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5182" w14:textId="53E7FABA" w:rsidR="009316AE" w:rsidRPr="00CB5526" w:rsidRDefault="009316AE" w:rsidP="00FB1C4F">
      <w:pPr>
        <w:ind w:hanging="1701"/>
        <w:rPr>
          <w:lang w:eastAsia="en-GB"/>
        </w:rPr>
      </w:pPr>
      <w:bookmarkStart w:id="0" w:name="_Hlk61871780"/>
    </w:p>
    <w:bookmarkEnd w:id="0"/>
    <w:p w14:paraId="64B4720C" w14:textId="77777777" w:rsidR="007C23C4" w:rsidRDefault="007C23C4" w:rsidP="005A0304">
      <w:pPr>
        <w:ind w:firstLine="426"/>
        <w:rPr>
          <w:b/>
          <w:color w:val="632423"/>
          <w:sz w:val="40"/>
          <w:szCs w:val="40"/>
          <w:lang w:eastAsia="en-GB"/>
        </w:rPr>
      </w:pPr>
    </w:p>
    <w:p w14:paraId="5150F6F2" w14:textId="1DC4F52F" w:rsidR="00D334C0" w:rsidRDefault="00953D89" w:rsidP="005A0304">
      <w:pPr>
        <w:ind w:left="426"/>
        <w:rPr>
          <w:b/>
          <w:color w:val="1B263C" w:themeColor="accent1" w:themeShade="80"/>
          <w:sz w:val="56"/>
          <w:szCs w:val="56"/>
          <w:lang w:eastAsia="en-GB"/>
        </w:rPr>
      </w:pPr>
      <w:r w:rsidRPr="00CB5526">
        <w:rPr>
          <w:b/>
          <w:color w:val="1B263C" w:themeColor="accent1" w:themeShade="80"/>
          <w:sz w:val="56"/>
          <w:szCs w:val="56"/>
          <w:lang w:eastAsia="en-GB"/>
        </w:rPr>
        <w:t>Review of the General Practi</w:t>
      </w:r>
      <w:r w:rsidR="007E0EB9" w:rsidRPr="00CB5526">
        <w:rPr>
          <w:b/>
          <w:color w:val="1B263C" w:themeColor="accent1" w:themeShade="80"/>
          <w:sz w:val="56"/>
          <w:szCs w:val="56"/>
          <w:lang w:eastAsia="en-GB"/>
        </w:rPr>
        <w:t>ce Education Programme</w:t>
      </w:r>
      <w:r w:rsidRPr="00CB5526">
        <w:rPr>
          <w:b/>
          <w:color w:val="1B263C" w:themeColor="accent1" w:themeShade="80"/>
          <w:sz w:val="56"/>
          <w:szCs w:val="56"/>
          <w:lang w:eastAsia="en-GB"/>
        </w:rPr>
        <w:t xml:space="preserve"> Training </w:t>
      </w:r>
      <w:r w:rsidR="007E0EB9" w:rsidRPr="00CB5526">
        <w:rPr>
          <w:b/>
          <w:color w:val="1B263C" w:themeColor="accent1" w:themeShade="80"/>
          <w:sz w:val="56"/>
          <w:szCs w:val="56"/>
          <w:lang w:eastAsia="en-GB"/>
        </w:rPr>
        <w:t>F</w:t>
      </w:r>
      <w:r w:rsidRPr="00CB5526">
        <w:rPr>
          <w:b/>
          <w:color w:val="1B263C" w:themeColor="accent1" w:themeShade="80"/>
          <w:sz w:val="56"/>
          <w:szCs w:val="56"/>
          <w:lang w:eastAsia="en-GB"/>
        </w:rPr>
        <w:t>unding</w:t>
      </w:r>
    </w:p>
    <w:p w14:paraId="27FEBB35" w14:textId="77777777" w:rsidR="00D334C0" w:rsidRDefault="00D334C0" w:rsidP="005A0304">
      <w:pPr>
        <w:ind w:left="426"/>
        <w:rPr>
          <w:b/>
          <w:color w:val="1B263C" w:themeColor="accent1" w:themeShade="80"/>
          <w:sz w:val="56"/>
          <w:szCs w:val="56"/>
          <w:lang w:eastAsia="en-GB"/>
        </w:rPr>
      </w:pPr>
    </w:p>
    <w:p w14:paraId="047D7B0D" w14:textId="4C593A22" w:rsidR="005A0304" w:rsidRPr="00D334C0" w:rsidRDefault="00D334C0" w:rsidP="005A0304">
      <w:pPr>
        <w:ind w:left="426"/>
        <w:rPr>
          <w:rFonts w:cs="Calibri"/>
          <w:b/>
          <w:color w:val="1B263C" w:themeColor="accent1" w:themeShade="80"/>
          <w:sz w:val="48"/>
          <w:szCs w:val="48"/>
          <w:lang w:eastAsia="en-GB"/>
        </w:rPr>
      </w:pPr>
      <w:r w:rsidRPr="00D334C0">
        <w:rPr>
          <w:rFonts w:cs="Calibri"/>
          <w:b/>
          <w:color w:val="1B263C" w:themeColor="accent1" w:themeShade="80"/>
          <w:sz w:val="48"/>
          <w:szCs w:val="48"/>
          <w:lang w:eastAsia="en-GB"/>
        </w:rPr>
        <w:t xml:space="preserve">For </w:t>
      </w:r>
      <w:r w:rsidRPr="00D334C0">
        <w:rPr>
          <w:rFonts w:cs="Calibri"/>
          <w:b/>
          <w:sz w:val="48"/>
          <w:szCs w:val="48"/>
        </w:rPr>
        <w:t>Manatū Hauora</w:t>
      </w:r>
      <w:r w:rsidRPr="00D334C0">
        <w:rPr>
          <w:rFonts w:cs="Calibri"/>
          <w:b/>
          <w:color w:val="1B263C" w:themeColor="accent1" w:themeShade="80"/>
          <w:sz w:val="48"/>
          <w:szCs w:val="48"/>
          <w:lang w:eastAsia="en-GB"/>
        </w:rPr>
        <w:t>/Ministry of Health</w:t>
      </w:r>
    </w:p>
    <w:p w14:paraId="5CE6416A" w14:textId="77777777" w:rsidR="005A0304" w:rsidRPr="00CB5526" w:rsidRDefault="005A0304" w:rsidP="005A0304">
      <w:pPr>
        <w:ind w:left="426"/>
        <w:rPr>
          <w:b/>
          <w:sz w:val="56"/>
          <w:szCs w:val="56"/>
          <w:lang w:eastAsia="en-GB"/>
        </w:rPr>
      </w:pPr>
    </w:p>
    <w:p w14:paraId="08687958" w14:textId="7B303E93" w:rsidR="005A0304" w:rsidRPr="00CB5526" w:rsidRDefault="00953D89" w:rsidP="005A0304">
      <w:pPr>
        <w:ind w:firstLine="426"/>
        <w:rPr>
          <w:b/>
          <w:color w:val="632423"/>
          <w:sz w:val="40"/>
          <w:szCs w:val="40"/>
          <w:lang w:eastAsia="en-GB"/>
        </w:rPr>
        <w:sectPr w:rsidR="005A0304" w:rsidRPr="00CB5526" w:rsidSect="00BF537D">
          <w:headerReference w:type="default" r:id="rId11"/>
          <w:footerReference w:type="default" r:id="rId12"/>
          <w:headerReference w:type="first" r:id="rId13"/>
          <w:footerReference w:type="first" r:id="rId14"/>
          <w:pgSz w:w="11906" w:h="16838"/>
          <w:pgMar w:top="2676" w:right="1418" w:bottom="1418" w:left="2835" w:header="567" w:footer="567" w:gutter="0"/>
          <w:cols w:space="708"/>
          <w:titlePg/>
          <w:docGrid w:linePitch="360"/>
        </w:sectPr>
      </w:pPr>
      <w:r w:rsidRPr="00CB5526">
        <w:rPr>
          <w:b/>
          <w:color w:val="632423"/>
          <w:sz w:val="40"/>
          <w:szCs w:val="40"/>
          <w:lang w:eastAsia="en-GB"/>
        </w:rPr>
        <w:t>May 2022</w:t>
      </w:r>
    </w:p>
    <w:p w14:paraId="52A627F5" w14:textId="64D048EB" w:rsidR="000D15D2" w:rsidRPr="00CB5526" w:rsidRDefault="000D15D2" w:rsidP="005D17C8">
      <w:pPr>
        <w:rPr>
          <w:b/>
          <w:color w:val="0F243E"/>
          <w:sz w:val="28"/>
          <w:szCs w:val="28"/>
          <w:lang w:eastAsia="en-GB"/>
        </w:rPr>
      </w:pPr>
      <w:r w:rsidRPr="00CB5526">
        <w:rPr>
          <w:b/>
          <w:color w:val="0F243E"/>
          <w:sz w:val="28"/>
          <w:szCs w:val="28"/>
          <w:lang w:eastAsia="en-GB"/>
        </w:rPr>
        <w:lastRenderedPageBreak/>
        <w:t>Table of contents</w:t>
      </w:r>
    </w:p>
    <w:p w14:paraId="6D65D31E" w14:textId="63BFAB24" w:rsidR="0047414F" w:rsidRDefault="00A95C19" w:rsidP="0047414F">
      <w:pPr>
        <w:pStyle w:val="TOC1"/>
        <w:tabs>
          <w:tab w:val="left" w:pos="7371"/>
        </w:tabs>
        <w:rPr>
          <w:rFonts w:asciiTheme="minorHAnsi" w:eastAsiaTheme="minorEastAsia" w:hAnsiTheme="minorHAnsi" w:cstheme="minorBidi" w:hint="eastAsia"/>
          <w:b w:val="0"/>
          <w:noProof/>
        </w:rPr>
      </w:pPr>
      <w:r w:rsidRPr="00CB5526">
        <w:fldChar w:fldCharType="begin"/>
      </w:r>
      <w:r w:rsidRPr="00CB5526">
        <w:instrText xml:space="preserve"> TOC \o "1-2" \t "Appendix Heading One,1" </w:instrText>
      </w:r>
      <w:r w:rsidRPr="00CB5526">
        <w:fldChar w:fldCharType="separate"/>
      </w:r>
      <w:r w:rsidR="0047414F">
        <w:rPr>
          <w:noProof/>
        </w:rPr>
        <w:t>Executive summary</w:t>
      </w:r>
      <w:r w:rsidR="0047414F">
        <w:rPr>
          <w:noProof/>
        </w:rPr>
        <w:tab/>
      </w:r>
      <w:r w:rsidR="0047414F">
        <w:rPr>
          <w:noProof/>
        </w:rPr>
        <w:fldChar w:fldCharType="begin"/>
      </w:r>
      <w:r w:rsidR="0047414F">
        <w:rPr>
          <w:noProof/>
        </w:rPr>
        <w:instrText xml:space="preserve"> PAGEREF _Toc105853873 \h </w:instrText>
      </w:r>
      <w:r w:rsidR="0047414F">
        <w:rPr>
          <w:noProof/>
        </w:rPr>
      </w:r>
      <w:r w:rsidR="0047414F">
        <w:rPr>
          <w:noProof/>
        </w:rPr>
        <w:fldChar w:fldCharType="separate"/>
      </w:r>
      <w:r w:rsidR="005E0451">
        <w:rPr>
          <w:noProof/>
        </w:rPr>
        <w:t>1</w:t>
      </w:r>
      <w:r w:rsidR="0047414F">
        <w:rPr>
          <w:noProof/>
        </w:rPr>
        <w:fldChar w:fldCharType="end"/>
      </w:r>
    </w:p>
    <w:p w14:paraId="3ECBC4E6" w14:textId="124A1DCC" w:rsidR="0047414F" w:rsidRDefault="0047414F" w:rsidP="0047414F">
      <w:pPr>
        <w:pStyle w:val="TOC1"/>
        <w:tabs>
          <w:tab w:val="left" w:pos="7371"/>
        </w:tabs>
        <w:rPr>
          <w:rFonts w:asciiTheme="minorHAnsi" w:eastAsiaTheme="minorEastAsia" w:hAnsiTheme="minorHAnsi" w:cstheme="minorBidi" w:hint="eastAsia"/>
          <w:b w:val="0"/>
          <w:noProof/>
        </w:rPr>
      </w:pPr>
      <w:r>
        <w:rPr>
          <w:noProof/>
        </w:rPr>
        <w:t>1.</w:t>
      </w:r>
      <w:r>
        <w:rPr>
          <w:rFonts w:asciiTheme="minorHAnsi" w:eastAsiaTheme="minorEastAsia" w:hAnsiTheme="minorHAnsi" w:cstheme="minorBidi"/>
          <w:b w:val="0"/>
          <w:noProof/>
        </w:rPr>
        <w:tab/>
      </w:r>
      <w:r>
        <w:rPr>
          <w:noProof/>
        </w:rPr>
        <w:t>The Aotearoa New Zealand general practice context</w:t>
      </w:r>
      <w:r>
        <w:rPr>
          <w:noProof/>
        </w:rPr>
        <w:tab/>
      </w:r>
      <w:r>
        <w:rPr>
          <w:noProof/>
        </w:rPr>
        <w:fldChar w:fldCharType="begin"/>
      </w:r>
      <w:r>
        <w:rPr>
          <w:noProof/>
        </w:rPr>
        <w:instrText xml:space="preserve"> PAGEREF _Toc105853881 \h </w:instrText>
      </w:r>
      <w:r>
        <w:rPr>
          <w:noProof/>
        </w:rPr>
      </w:r>
      <w:r>
        <w:rPr>
          <w:noProof/>
        </w:rPr>
        <w:fldChar w:fldCharType="separate"/>
      </w:r>
      <w:r w:rsidR="005E0451">
        <w:rPr>
          <w:noProof/>
        </w:rPr>
        <w:t>10</w:t>
      </w:r>
      <w:r>
        <w:rPr>
          <w:noProof/>
        </w:rPr>
        <w:fldChar w:fldCharType="end"/>
      </w:r>
    </w:p>
    <w:p w14:paraId="2A4D93A2" w14:textId="20173B1C" w:rsidR="0047414F" w:rsidRDefault="0047414F" w:rsidP="0047414F">
      <w:pPr>
        <w:pStyle w:val="TOC2"/>
        <w:tabs>
          <w:tab w:val="left" w:pos="7371"/>
        </w:tabs>
        <w:rPr>
          <w:rFonts w:asciiTheme="minorHAnsi" w:eastAsiaTheme="minorEastAsia" w:hAnsiTheme="minorHAnsi" w:cstheme="minorBidi" w:hint="eastAsia"/>
          <w:noProof/>
        </w:rPr>
      </w:pPr>
      <w:r>
        <w:rPr>
          <w:noProof/>
        </w:rPr>
        <w:t>1.1.</w:t>
      </w:r>
      <w:r>
        <w:rPr>
          <w:rFonts w:asciiTheme="minorHAnsi" w:eastAsiaTheme="minorEastAsia" w:hAnsiTheme="minorHAnsi" w:cstheme="minorBidi"/>
          <w:noProof/>
        </w:rPr>
        <w:tab/>
      </w:r>
      <w:r>
        <w:rPr>
          <w:noProof/>
        </w:rPr>
        <w:t>The General Practice Education Programme (GPEP)</w:t>
      </w:r>
      <w:r>
        <w:rPr>
          <w:noProof/>
        </w:rPr>
        <w:tab/>
      </w:r>
      <w:r>
        <w:rPr>
          <w:noProof/>
        </w:rPr>
        <w:fldChar w:fldCharType="begin"/>
      </w:r>
      <w:r>
        <w:rPr>
          <w:noProof/>
        </w:rPr>
        <w:instrText xml:space="preserve"> PAGEREF _Toc105853882 \h </w:instrText>
      </w:r>
      <w:r>
        <w:rPr>
          <w:noProof/>
        </w:rPr>
      </w:r>
      <w:r>
        <w:rPr>
          <w:noProof/>
        </w:rPr>
        <w:fldChar w:fldCharType="separate"/>
      </w:r>
      <w:r w:rsidR="005E0451">
        <w:rPr>
          <w:noProof/>
        </w:rPr>
        <w:t>11</w:t>
      </w:r>
      <w:r>
        <w:rPr>
          <w:noProof/>
        </w:rPr>
        <w:fldChar w:fldCharType="end"/>
      </w:r>
    </w:p>
    <w:p w14:paraId="7D256CCA" w14:textId="533811C4" w:rsidR="0047414F" w:rsidRDefault="0047414F" w:rsidP="0047414F">
      <w:pPr>
        <w:pStyle w:val="TOC2"/>
        <w:tabs>
          <w:tab w:val="left" w:pos="7371"/>
        </w:tabs>
        <w:rPr>
          <w:rFonts w:asciiTheme="minorHAnsi" w:eastAsiaTheme="minorEastAsia" w:hAnsiTheme="minorHAnsi" w:cstheme="minorBidi" w:hint="eastAsia"/>
          <w:noProof/>
        </w:rPr>
      </w:pPr>
      <w:r>
        <w:rPr>
          <w:noProof/>
        </w:rPr>
        <w:t>1.2.</w:t>
      </w:r>
      <w:r>
        <w:rPr>
          <w:rFonts w:asciiTheme="minorHAnsi" w:eastAsiaTheme="minorEastAsia" w:hAnsiTheme="minorHAnsi" w:cstheme="minorBidi"/>
          <w:noProof/>
        </w:rPr>
        <w:tab/>
      </w:r>
      <w:r>
        <w:rPr>
          <w:noProof/>
        </w:rPr>
        <w:t>GPEP 1</w:t>
      </w:r>
      <w:r>
        <w:rPr>
          <w:noProof/>
        </w:rPr>
        <w:tab/>
      </w:r>
      <w:r>
        <w:rPr>
          <w:noProof/>
        </w:rPr>
        <w:fldChar w:fldCharType="begin"/>
      </w:r>
      <w:r>
        <w:rPr>
          <w:noProof/>
        </w:rPr>
        <w:instrText xml:space="preserve"> PAGEREF _Toc105853883 \h </w:instrText>
      </w:r>
      <w:r>
        <w:rPr>
          <w:noProof/>
        </w:rPr>
      </w:r>
      <w:r>
        <w:rPr>
          <w:noProof/>
        </w:rPr>
        <w:fldChar w:fldCharType="separate"/>
      </w:r>
      <w:r w:rsidR="005E0451">
        <w:rPr>
          <w:noProof/>
        </w:rPr>
        <w:t>11</w:t>
      </w:r>
      <w:r>
        <w:rPr>
          <w:noProof/>
        </w:rPr>
        <w:fldChar w:fldCharType="end"/>
      </w:r>
    </w:p>
    <w:p w14:paraId="1FCB7167" w14:textId="27E94B9E" w:rsidR="0047414F" w:rsidRDefault="0047414F" w:rsidP="0047414F">
      <w:pPr>
        <w:pStyle w:val="TOC2"/>
        <w:tabs>
          <w:tab w:val="left" w:pos="7371"/>
        </w:tabs>
        <w:rPr>
          <w:rFonts w:asciiTheme="minorHAnsi" w:eastAsiaTheme="minorEastAsia" w:hAnsiTheme="minorHAnsi" w:cstheme="minorBidi" w:hint="eastAsia"/>
          <w:noProof/>
        </w:rPr>
      </w:pPr>
      <w:r>
        <w:rPr>
          <w:noProof/>
        </w:rPr>
        <w:t>1.3.</w:t>
      </w:r>
      <w:r>
        <w:rPr>
          <w:rFonts w:asciiTheme="minorHAnsi" w:eastAsiaTheme="minorEastAsia" w:hAnsiTheme="minorHAnsi" w:cstheme="minorBidi"/>
          <w:noProof/>
        </w:rPr>
        <w:tab/>
      </w:r>
      <w:r>
        <w:rPr>
          <w:noProof/>
        </w:rPr>
        <w:t>GPEP 2/3</w:t>
      </w:r>
      <w:r>
        <w:rPr>
          <w:noProof/>
        </w:rPr>
        <w:tab/>
      </w:r>
      <w:r>
        <w:rPr>
          <w:noProof/>
        </w:rPr>
        <w:fldChar w:fldCharType="begin"/>
      </w:r>
      <w:r>
        <w:rPr>
          <w:noProof/>
        </w:rPr>
        <w:instrText xml:space="preserve"> PAGEREF _Toc105853884 \h </w:instrText>
      </w:r>
      <w:r>
        <w:rPr>
          <w:noProof/>
        </w:rPr>
      </w:r>
      <w:r>
        <w:rPr>
          <w:noProof/>
        </w:rPr>
        <w:fldChar w:fldCharType="separate"/>
      </w:r>
      <w:r w:rsidR="005E0451">
        <w:rPr>
          <w:noProof/>
        </w:rPr>
        <w:t>11</w:t>
      </w:r>
      <w:r>
        <w:rPr>
          <w:noProof/>
        </w:rPr>
        <w:fldChar w:fldCharType="end"/>
      </w:r>
    </w:p>
    <w:p w14:paraId="5ACA452C" w14:textId="6A88687C" w:rsidR="0047414F" w:rsidRDefault="0047414F" w:rsidP="0047414F">
      <w:pPr>
        <w:pStyle w:val="TOC2"/>
        <w:tabs>
          <w:tab w:val="left" w:pos="7371"/>
        </w:tabs>
        <w:rPr>
          <w:rFonts w:asciiTheme="minorHAnsi" w:eastAsiaTheme="minorEastAsia" w:hAnsiTheme="minorHAnsi" w:cstheme="minorBidi" w:hint="eastAsia"/>
          <w:noProof/>
        </w:rPr>
      </w:pPr>
      <w:r>
        <w:rPr>
          <w:noProof/>
        </w:rPr>
        <w:t>1.4.</w:t>
      </w:r>
      <w:r>
        <w:rPr>
          <w:rFonts w:asciiTheme="minorHAnsi" w:eastAsiaTheme="minorEastAsia" w:hAnsiTheme="minorHAnsi" w:cstheme="minorBidi"/>
          <w:noProof/>
        </w:rPr>
        <w:tab/>
      </w:r>
      <w:r>
        <w:rPr>
          <w:noProof/>
        </w:rPr>
        <w:t>Differences between general practice and other specialities</w:t>
      </w:r>
      <w:r>
        <w:rPr>
          <w:noProof/>
        </w:rPr>
        <w:tab/>
      </w:r>
      <w:r>
        <w:rPr>
          <w:noProof/>
        </w:rPr>
        <w:fldChar w:fldCharType="begin"/>
      </w:r>
      <w:r>
        <w:rPr>
          <w:noProof/>
        </w:rPr>
        <w:instrText xml:space="preserve"> PAGEREF _Toc105853885 \h </w:instrText>
      </w:r>
      <w:r>
        <w:rPr>
          <w:noProof/>
        </w:rPr>
      </w:r>
      <w:r>
        <w:rPr>
          <w:noProof/>
        </w:rPr>
        <w:fldChar w:fldCharType="separate"/>
      </w:r>
      <w:r w:rsidR="005E0451">
        <w:rPr>
          <w:noProof/>
        </w:rPr>
        <w:t>12</w:t>
      </w:r>
      <w:r>
        <w:rPr>
          <w:noProof/>
        </w:rPr>
        <w:fldChar w:fldCharType="end"/>
      </w:r>
    </w:p>
    <w:p w14:paraId="1CCC9123" w14:textId="16BA7B7F" w:rsidR="0047414F" w:rsidRDefault="0047414F" w:rsidP="0047414F">
      <w:pPr>
        <w:pStyle w:val="TOC1"/>
        <w:tabs>
          <w:tab w:val="left" w:pos="7371"/>
        </w:tabs>
        <w:rPr>
          <w:rFonts w:asciiTheme="minorHAnsi" w:eastAsiaTheme="minorEastAsia" w:hAnsiTheme="minorHAnsi" w:cstheme="minorBidi" w:hint="eastAsia"/>
          <w:b w:val="0"/>
          <w:noProof/>
        </w:rPr>
      </w:pPr>
      <w:r>
        <w:rPr>
          <w:noProof/>
        </w:rPr>
        <w:t>2.</w:t>
      </w:r>
      <w:r>
        <w:rPr>
          <w:rFonts w:asciiTheme="minorHAnsi" w:eastAsiaTheme="minorEastAsia" w:hAnsiTheme="minorHAnsi" w:cstheme="minorBidi"/>
          <w:b w:val="0"/>
          <w:noProof/>
        </w:rPr>
        <w:tab/>
      </w:r>
      <w:r>
        <w:rPr>
          <w:noProof/>
        </w:rPr>
        <w:t>The GPEP Review</w:t>
      </w:r>
      <w:r>
        <w:rPr>
          <w:noProof/>
        </w:rPr>
        <w:tab/>
      </w:r>
      <w:r>
        <w:rPr>
          <w:noProof/>
        </w:rPr>
        <w:fldChar w:fldCharType="begin"/>
      </w:r>
      <w:r>
        <w:rPr>
          <w:noProof/>
        </w:rPr>
        <w:instrText xml:space="preserve"> PAGEREF _Toc105853886 \h </w:instrText>
      </w:r>
      <w:r>
        <w:rPr>
          <w:noProof/>
        </w:rPr>
      </w:r>
      <w:r>
        <w:rPr>
          <w:noProof/>
        </w:rPr>
        <w:fldChar w:fldCharType="separate"/>
      </w:r>
      <w:r w:rsidR="005E0451">
        <w:rPr>
          <w:noProof/>
        </w:rPr>
        <w:t>13</w:t>
      </w:r>
      <w:r>
        <w:rPr>
          <w:noProof/>
        </w:rPr>
        <w:fldChar w:fldCharType="end"/>
      </w:r>
    </w:p>
    <w:p w14:paraId="6EE8B19F" w14:textId="754ADED8" w:rsidR="0047414F" w:rsidRDefault="0047414F" w:rsidP="0047414F">
      <w:pPr>
        <w:pStyle w:val="TOC2"/>
        <w:tabs>
          <w:tab w:val="left" w:pos="7371"/>
        </w:tabs>
        <w:rPr>
          <w:rFonts w:asciiTheme="minorHAnsi" w:eastAsiaTheme="minorEastAsia" w:hAnsiTheme="minorHAnsi" w:cstheme="minorBidi" w:hint="eastAsia"/>
          <w:noProof/>
        </w:rPr>
      </w:pPr>
      <w:r>
        <w:rPr>
          <w:noProof/>
        </w:rPr>
        <w:t>2.1.</w:t>
      </w:r>
      <w:r>
        <w:rPr>
          <w:rFonts w:asciiTheme="minorHAnsi" w:eastAsiaTheme="minorEastAsia" w:hAnsiTheme="minorHAnsi" w:cstheme="minorBidi"/>
          <w:noProof/>
        </w:rPr>
        <w:tab/>
      </w:r>
      <w:r>
        <w:rPr>
          <w:noProof/>
        </w:rPr>
        <w:t>The scope of the review</w:t>
      </w:r>
      <w:r>
        <w:rPr>
          <w:noProof/>
        </w:rPr>
        <w:tab/>
      </w:r>
      <w:r>
        <w:rPr>
          <w:noProof/>
        </w:rPr>
        <w:fldChar w:fldCharType="begin"/>
      </w:r>
      <w:r>
        <w:rPr>
          <w:noProof/>
        </w:rPr>
        <w:instrText xml:space="preserve"> PAGEREF _Toc105853887 \h </w:instrText>
      </w:r>
      <w:r>
        <w:rPr>
          <w:noProof/>
        </w:rPr>
      </w:r>
      <w:r>
        <w:rPr>
          <w:noProof/>
        </w:rPr>
        <w:fldChar w:fldCharType="separate"/>
      </w:r>
      <w:r w:rsidR="005E0451">
        <w:rPr>
          <w:noProof/>
        </w:rPr>
        <w:t>13</w:t>
      </w:r>
      <w:r>
        <w:rPr>
          <w:noProof/>
        </w:rPr>
        <w:fldChar w:fldCharType="end"/>
      </w:r>
    </w:p>
    <w:p w14:paraId="6FF30CA8" w14:textId="32F6F241" w:rsidR="0047414F" w:rsidRDefault="0047414F" w:rsidP="0047414F">
      <w:pPr>
        <w:pStyle w:val="TOC2"/>
        <w:tabs>
          <w:tab w:val="left" w:pos="7371"/>
        </w:tabs>
        <w:rPr>
          <w:rFonts w:asciiTheme="minorHAnsi" w:eastAsiaTheme="minorEastAsia" w:hAnsiTheme="minorHAnsi" w:cstheme="minorBidi" w:hint="eastAsia"/>
          <w:noProof/>
        </w:rPr>
      </w:pPr>
      <w:r>
        <w:rPr>
          <w:noProof/>
        </w:rPr>
        <w:t>2.2.</w:t>
      </w:r>
      <w:r>
        <w:rPr>
          <w:rFonts w:asciiTheme="minorHAnsi" w:eastAsiaTheme="minorEastAsia" w:hAnsiTheme="minorHAnsi" w:cstheme="minorBidi"/>
          <w:noProof/>
        </w:rPr>
        <w:tab/>
      </w:r>
      <w:r>
        <w:rPr>
          <w:noProof/>
        </w:rPr>
        <w:t>Approach to the review</w:t>
      </w:r>
      <w:r>
        <w:rPr>
          <w:noProof/>
        </w:rPr>
        <w:tab/>
      </w:r>
      <w:r>
        <w:rPr>
          <w:noProof/>
        </w:rPr>
        <w:fldChar w:fldCharType="begin"/>
      </w:r>
      <w:r>
        <w:rPr>
          <w:noProof/>
        </w:rPr>
        <w:instrText xml:space="preserve"> PAGEREF _Toc105853888 \h </w:instrText>
      </w:r>
      <w:r>
        <w:rPr>
          <w:noProof/>
        </w:rPr>
      </w:r>
      <w:r>
        <w:rPr>
          <w:noProof/>
        </w:rPr>
        <w:fldChar w:fldCharType="separate"/>
      </w:r>
      <w:r w:rsidR="005E0451">
        <w:rPr>
          <w:noProof/>
        </w:rPr>
        <w:t>14</w:t>
      </w:r>
      <w:r>
        <w:rPr>
          <w:noProof/>
        </w:rPr>
        <w:fldChar w:fldCharType="end"/>
      </w:r>
    </w:p>
    <w:p w14:paraId="5A397873" w14:textId="2DDE013D" w:rsidR="0047414F" w:rsidRDefault="0047414F" w:rsidP="0047414F">
      <w:pPr>
        <w:pStyle w:val="TOC2"/>
        <w:tabs>
          <w:tab w:val="left" w:pos="7371"/>
        </w:tabs>
        <w:rPr>
          <w:rFonts w:asciiTheme="minorHAnsi" w:eastAsiaTheme="minorEastAsia" w:hAnsiTheme="minorHAnsi" w:cstheme="minorBidi" w:hint="eastAsia"/>
          <w:noProof/>
        </w:rPr>
      </w:pPr>
      <w:r>
        <w:rPr>
          <w:noProof/>
        </w:rPr>
        <w:t>2.3.</w:t>
      </w:r>
      <w:r>
        <w:rPr>
          <w:rFonts w:asciiTheme="minorHAnsi" w:eastAsiaTheme="minorEastAsia" w:hAnsiTheme="minorHAnsi" w:cstheme="minorBidi"/>
          <w:noProof/>
        </w:rPr>
        <w:tab/>
      </w:r>
      <w:r>
        <w:rPr>
          <w:noProof/>
        </w:rPr>
        <w:t>Information sources for the review</w:t>
      </w:r>
      <w:r>
        <w:rPr>
          <w:noProof/>
        </w:rPr>
        <w:tab/>
      </w:r>
      <w:r>
        <w:rPr>
          <w:noProof/>
        </w:rPr>
        <w:fldChar w:fldCharType="begin"/>
      </w:r>
      <w:r>
        <w:rPr>
          <w:noProof/>
        </w:rPr>
        <w:instrText xml:space="preserve"> PAGEREF _Toc105853889 \h </w:instrText>
      </w:r>
      <w:r>
        <w:rPr>
          <w:noProof/>
        </w:rPr>
      </w:r>
      <w:r>
        <w:rPr>
          <w:noProof/>
        </w:rPr>
        <w:fldChar w:fldCharType="separate"/>
      </w:r>
      <w:r w:rsidR="005E0451">
        <w:rPr>
          <w:noProof/>
        </w:rPr>
        <w:t>14</w:t>
      </w:r>
      <w:r>
        <w:rPr>
          <w:noProof/>
        </w:rPr>
        <w:fldChar w:fldCharType="end"/>
      </w:r>
    </w:p>
    <w:p w14:paraId="69CEB183" w14:textId="5CAA991D" w:rsidR="0047414F" w:rsidRDefault="0047414F" w:rsidP="0047414F">
      <w:pPr>
        <w:pStyle w:val="TOC2"/>
        <w:tabs>
          <w:tab w:val="left" w:pos="7371"/>
        </w:tabs>
        <w:rPr>
          <w:rFonts w:asciiTheme="minorHAnsi" w:eastAsiaTheme="minorEastAsia" w:hAnsiTheme="minorHAnsi" w:cstheme="minorBidi" w:hint="eastAsia"/>
          <w:noProof/>
        </w:rPr>
      </w:pPr>
      <w:r>
        <w:rPr>
          <w:noProof/>
        </w:rPr>
        <w:t>2.4.</w:t>
      </w:r>
      <w:r>
        <w:rPr>
          <w:rFonts w:asciiTheme="minorHAnsi" w:eastAsiaTheme="minorEastAsia" w:hAnsiTheme="minorHAnsi" w:cstheme="minorBidi"/>
          <w:noProof/>
        </w:rPr>
        <w:tab/>
      </w:r>
      <w:r>
        <w:rPr>
          <w:noProof/>
        </w:rPr>
        <w:t>Strengths and limitations</w:t>
      </w:r>
      <w:r>
        <w:rPr>
          <w:noProof/>
        </w:rPr>
        <w:tab/>
      </w:r>
      <w:r>
        <w:rPr>
          <w:noProof/>
        </w:rPr>
        <w:fldChar w:fldCharType="begin"/>
      </w:r>
      <w:r>
        <w:rPr>
          <w:noProof/>
        </w:rPr>
        <w:instrText xml:space="preserve"> PAGEREF _Toc105853890 \h </w:instrText>
      </w:r>
      <w:r>
        <w:rPr>
          <w:noProof/>
        </w:rPr>
      </w:r>
      <w:r>
        <w:rPr>
          <w:noProof/>
        </w:rPr>
        <w:fldChar w:fldCharType="separate"/>
      </w:r>
      <w:r w:rsidR="005E0451">
        <w:rPr>
          <w:noProof/>
        </w:rPr>
        <w:t>16</w:t>
      </w:r>
      <w:r>
        <w:rPr>
          <w:noProof/>
        </w:rPr>
        <w:fldChar w:fldCharType="end"/>
      </w:r>
    </w:p>
    <w:p w14:paraId="397CD159" w14:textId="5B59CC47" w:rsidR="0047414F" w:rsidRDefault="0047414F" w:rsidP="0047414F">
      <w:pPr>
        <w:pStyle w:val="TOC1"/>
        <w:tabs>
          <w:tab w:val="left" w:pos="7371"/>
        </w:tabs>
        <w:rPr>
          <w:rFonts w:asciiTheme="minorHAnsi" w:eastAsiaTheme="minorEastAsia" w:hAnsiTheme="minorHAnsi" w:cstheme="minorBidi" w:hint="eastAsia"/>
          <w:b w:val="0"/>
          <w:noProof/>
        </w:rPr>
      </w:pPr>
      <w:r>
        <w:rPr>
          <w:noProof/>
        </w:rPr>
        <w:t>3.</w:t>
      </w:r>
      <w:r>
        <w:rPr>
          <w:rFonts w:asciiTheme="minorHAnsi" w:eastAsiaTheme="minorEastAsia" w:hAnsiTheme="minorHAnsi" w:cstheme="minorBidi"/>
          <w:b w:val="0"/>
          <w:noProof/>
        </w:rPr>
        <w:tab/>
      </w:r>
      <w:r>
        <w:rPr>
          <w:noProof/>
        </w:rPr>
        <w:t>The GPEP Funding Model</w:t>
      </w:r>
      <w:r>
        <w:rPr>
          <w:noProof/>
        </w:rPr>
        <w:tab/>
      </w:r>
      <w:r>
        <w:rPr>
          <w:noProof/>
        </w:rPr>
        <w:fldChar w:fldCharType="begin"/>
      </w:r>
      <w:r>
        <w:rPr>
          <w:noProof/>
        </w:rPr>
        <w:instrText xml:space="preserve"> PAGEREF _Toc105853891 \h </w:instrText>
      </w:r>
      <w:r>
        <w:rPr>
          <w:noProof/>
        </w:rPr>
      </w:r>
      <w:r>
        <w:rPr>
          <w:noProof/>
        </w:rPr>
        <w:fldChar w:fldCharType="separate"/>
      </w:r>
      <w:r w:rsidR="005E0451">
        <w:rPr>
          <w:noProof/>
        </w:rPr>
        <w:t>17</w:t>
      </w:r>
      <w:r>
        <w:rPr>
          <w:noProof/>
        </w:rPr>
        <w:fldChar w:fldCharType="end"/>
      </w:r>
    </w:p>
    <w:p w14:paraId="0478063F" w14:textId="283ECEB0" w:rsidR="0047414F" w:rsidRDefault="0047414F" w:rsidP="0047414F">
      <w:pPr>
        <w:pStyle w:val="TOC2"/>
        <w:tabs>
          <w:tab w:val="left" w:pos="7371"/>
        </w:tabs>
        <w:rPr>
          <w:rFonts w:asciiTheme="minorHAnsi" w:eastAsiaTheme="minorEastAsia" w:hAnsiTheme="minorHAnsi" w:cstheme="minorBidi" w:hint="eastAsia"/>
          <w:noProof/>
        </w:rPr>
      </w:pPr>
      <w:r>
        <w:rPr>
          <w:noProof/>
        </w:rPr>
        <w:t>3.1.</w:t>
      </w:r>
      <w:r>
        <w:rPr>
          <w:rFonts w:asciiTheme="minorHAnsi" w:eastAsiaTheme="minorEastAsia" w:hAnsiTheme="minorHAnsi" w:cstheme="minorBidi"/>
          <w:noProof/>
        </w:rPr>
        <w:tab/>
      </w:r>
      <w:r>
        <w:rPr>
          <w:noProof/>
        </w:rPr>
        <w:t>Equity and Te Tiriti o Waitangi</w:t>
      </w:r>
      <w:r>
        <w:rPr>
          <w:noProof/>
        </w:rPr>
        <w:tab/>
      </w:r>
      <w:r>
        <w:rPr>
          <w:noProof/>
        </w:rPr>
        <w:fldChar w:fldCharType="begin"/>
      </w:r>
      <w:r>
        <w:rPr>
          <w:noProof/>
        </w:rPr>
        <w:instrText xml:space="preserve"> PAGEREF _Toc105853892 \h </w:instrText>
      </w:r>
      <w:r>
        <w:rPr>
          <w:noProof/>
        </w:rPr>
      </w:r>
      <w:r>
        <w:rPr>
          <w:noProof/>
        </w:rPr>
        <w:fldChar w:fldCharType="separate"/>
      </w:r>
      <w:r w:rsidR="005E0451">
        <w:rPr>
          <w:noProof/>
        </w:rPr>
        <w:t>17</w:t>
      </w:r>
      <w:r>
        <w:rPr>
          <w:noProof/>
        </w:rPr>
        <w:fldChar w:fldCharType="end"/>
      </w:r>
    </w:p>
    <w:p w14:paraId="0B945A3C" w14:textId="7403F9F0" w:rsidR="0047414F" w:rsidRDefault="0047414F" w:rsidP="0047414F">
      <w:pPr>
        <w:pStyle w:val="TOC2"/>
        <w:tabs>
          <w:tab w:val="left" w:pos="7371"/>
        </w:tabs>
        <w:rPr>
          <w:rFonts w:asciiTheme="minorHAnsi" w:eastAsiaTheme="minorEastAsia" w:hAnsiTheme="minorHAnsi" w:cstheme="minorBidi" w:hint="eastAsia"/>
          <w:noProof/>
        </w:rPr>
      </w:pPr>
      <w:r>
        <w:rPr>
          <w:noProof/>
        </w:rPr>
        <w:t>3.2.</w:t>
      </w:r>
      <w:r>
        <w:rPr>
          <w:rFonts w:asciiTheme="minorHAnsi" w:eastAsiaTheme="minorEastAsia" w:hAnsiTheme="minorHAnsi" w:cstheme="minorBidi"/>
          <w:noProof/>
        </w:rPr>
        <w:tab/>
      </w:r>
      <w:r>
        <w:rPr>
          <w:noProof/>
        </w:rPr>
        <w:t>The GPEP contract</w:t>
      </w:r>
      <w:r>
        <w:rPr>
          <w:noProof/>
        </w:rPr>
        <w:tab/>
      </w:r>
      <w:r>
        <w:rPr>
          <w:noProof/>
        </w:rPr>
        <w:fldChar w:fldCharType="begin"/>
      </w:r>
      <w:r>
        <w:rPr>
          <w:noProof/>
        </w:rPr>
        <w:instrText xml:space="preserve"> PAGEREF _Toc105853893 \h </w:instrText>
      </w:r>
      <w:r>
        <w:rPr>
          <w:noProof/>
        </w:rPr>
      </w:r>
      <w:r>
        <w:rPr>
          <w:noProof/>
        </w:rPr>
        <w:fldChar w:fldCharType="separate"/>
      </w:r>
      <w:r w:rsidR="005E0451">
        <w:rPr>
          <w:noProof/>
        </w:rPr>
        <w:t>18</w:t>
      </w:r>
      <w:r>
        <w:rPr>
          <w:noProof/>
        </w:rPr>
        <w:fldChar w:fldCharType="end"/>
      </w:r>
    </w:p>
    <w:p w14:paraId="55565DE0" w14:textId="0A66CDFA" w:rsidR="0047414F" w:rsidRDefault="0047414F" w:rsidP="0047414F">
      <w:pPr>
        <w:pStyle w:val="TOC2"/>
        <w:tabs>
          <w:tab w:val="left" w:pos="7371"/>
        </w:tabs>
        <w:rPr>
          <w:rFonts w:asciiTheme="minorHAnsi" w:eastAsiaTheme="minorEastAsia" w:hAnsiTheme="minorHAnsi" w:cstheme="minorBidi" w:hint="eastAsia"/>
          <w:noProof/>
        </w:rPr>
      </w:pPr>
      <w:r>
        <w:rPr>
          <w:noProof/>
        </w:rPr>
        <w:t>3.3.</w:t>
      </w:r>
      <w:r>
        <w:rPr>
          <w:rFonts w:asciiTheme="minorHAnsi" w:eastAsiaTheme="minorEastAsia" w:hAnsiTheme="minorHAnsi" w:cstheme="minorBidi"/>
          <w:noProof/>
        </w:rPr>
        <w:tab/>
      </w:r>
      <w:r>
        <w:rPr>
          <w:noProof/>
        </w:rPr>
        <w:t>The contracting process</w:t>
      </w:r>
      <w:r>
        <w:rPr>
          <w:noProof/>
        </w:rPr>
        <w:tab/>
      </w:r>
      <w:r>
        <w:rPr>
          <w:noProof/>
        </w:rPr>
        <w:fldChar w:fldCharType="begin"/>
      </w:r>
      <w:r>
        <w:rPr>
          <w:noProof/>
        </w:rPr>
        <w:instrText xml:space="preserve"> PAGEREF _Toc105853894 \h </w:instrText>
      </w:r>
      <w:r>
        <w:rPr>
          <w:noProof/>
        </w:rPr>
      </w:r>
      <w:r>
        <w:rPr>
          <w:noProof/>
        </w:rPr>
        <w:fldChar w:fldCharType="separate"/>
      </w:r>
      <w:r w:rsidR="005E0451">
        <w:rPr>
          <w:noProof/>
        </w:rPr>
        <w:t>19</w:t>
      </w:r>
      <w:r>
        <w:rPr>
          <w:noProof/>
        </w:rPr>
        <w:fldChar w:fldCharType="end"/>
      </w:r>
    </w:p>
    <w:p w14:paraId="6D5C4F69" w14:textId="723B852A" w:rsidR="0047414F" w:rsidRDefault="0047414F" w:rsidP="0047414F">
      <w:pPr>
        <w:pStyle w:val="TOC1"/>
        <w:tabs>
          <w:tab w:val="left" w:pos="7371"/>
        </w:tabs>
        <w:rPr>
          <w:rFonts w:asciiTheme="minorHAnsi" w:eastAsiaTheme="minorEastAsia" w:hAnsiTheme="minorHAnsi" w:cstheme="minorBidi" w:hint="eastAsia"/>
          <w:b w:val="0"/>
          <w:noProof/>
        </w:rPr>
      </w:pPr>
      <w:r>
        <w:rPr>
          <w:noProof/>
        </w:rPr>
        <w:t>4.</w:t>
      </w:r>
      <w:r>
        <w:rPr>
          <w:rFonts w:asciiTheme="minorHAnsi" w:eastAsiaTheme="minorEastAsia" w:hAnsiTheme="minorHAnsi" w:cstheme="minorBidi"/>
          <w:b w:val="0"/>
          <w:noProof/>
        </w:rPr>
        <w:tab/>
      </w:r>
      <w:r>
        <w:rPr>
          <w:noProof/>
        </w:rPr>
        <w:t>Registrar selection of general practice as a vocation</w:t>
      </w:r>
      <w:r>
        <w:rPr>
          <w:noProof/>
        </w:rPr>
        <w:tab/>
      </w:r>
      <w:r>
        <w:rPr>
          <w:noProof/>
        </w:rPr>
        <w:fldChar w:fldCharType="begin"/>
      </w:r>
      <w:r>
        <w:rPr>
          <w:noProof/>
        </w:rPr>
        <w:instrText xml:space="preserve"> PAGEREF _Toc105853895 \h </w:instrText>
      </w:r>
      <w:r>
        <w:rPr>
          <w:noProof/>
        </w:rPr>
      </w:r>
      <w:r>
        <w:rPr>
          <w:noProof/>
        </w:rPr>
        <w:fldChar w:fldCharType="separate"/>
      </w:r>
      <w:r w:rsidR="005E0451">
        <w:rPr>
          <w:noProof/>
        </w:rPr>
        <w:t>20</w:t>
      </w:r>
      <w:r>
        <w:rPr>
          <w:noProof/>
        </w:rPr>
        <w:fldChar w:fldCharType="end"/>
      </w:r>
    </w:p>
    <w:p w14:paraId="095F64B6" w14:textId="2BA5073D" w:rsidR="0047414F" w:rsidRDefault="0047414F" w:rsidP="0047414F">
      <w:pPr>
        <w:pStyle w:val="TOC2"/>
        <w:tabs>
          <w:tab w:val="left" w:pos="7371"/>
        </w:tabs>
        <w:rPr>
          <w:rFonts w:asciiTheme="minorHAnsi" w:eastAsiaTheme="minorEastAsia" w:hAnsiTheme="minorHAnsi" w:cstheme="minorBidi" w:hint="eastAsia"/>
          <w:noProof/>
        </w:rPr>
      </w:pPr>
      <w:r>
        <w:rPr>
          <w:noProof/>
        </w:rPr>
        <w:t>4.1.</w:t>
      </w:r>
      <w:r>
        <w:rPr>
          <w:rFonts w:asciiTheme="minorHAnsi" w:eastAsiaTheme="minorEastAsia" w:hAnsiTheme="minorHAnsi" w:cstheme="minorBidi"/>
          <w:noProof/>
        </w:rPr>
        <w:tab/>
      </w:r>
      <w:r>
        <w:rPr>
          <w:noProof/>
        </w:rPr>
        <w:t>Entering GPEP</w:t>
      </w:r>
      <w:r>
        <w:rPr>
          <w:noProof/>
        </w:rPr>
        <w:tab/>
      </w:r>
      <w:r>
        <w:rPr>
          <w:noProof/>
        </w:rPr>
        <w:fldChar w:fldCharType="begin"/>
      </w:r>
      <w:r>
        <w:rPr>
          <w:noProof/>
        </w:rPr>
        <w:instrText xml:space="preserve"> PAGEREF _Toc105853896 \h </w:instrText>
      </w:r>
      <w:r>
        <w:rPr>
          <w:noProof/>
        </w:rPr>
      </w:r>
      <w:r>
        <w:rPr>
          <w:noProof/>
        </w:rPr>
        <w:fldChar w:fldCharType="separate"/>
      </w:r>
      <w:r w:rsidR="005E0451">
        <w:rPr>
          <w:noProof/>
        </w:rPr>
        <w:t>20</w:t>
      </w:r>
      <w:r>
        <w:rPr>
          <w:noProof/>
        </w:rPr>
        <w:fldChar w:fldCharType="end"/>
      </w:r>
    </w:p>
    <w:p w14:paraId="2BA74D72" w14:textId="071A3218" w:rsidR="0047414F" w:rsidRDefault="0047414F" w:rsidP="0047414F">
      <w:pPr>
        <w:pStyle w:val="TOC2"/>
        <w:tabs>
          <w:tab w:val="left" w:pos="7371"/>
        </w:tabs>
        <w:rPr>
          <w:rFonts w:asciiTheme="minorHAnsi" w:eastAsiaTheme="minorEastAsia" w:hAnsiTheme="minorHAnsi" w:cstheme="minorBidi" w:hint="eastAsia"/>
          <w:noProof/>
        </w:rPr>
      </w:pPr>
      <w:r>
        <w:rPr>
          <w:noProof/>
        </w:rPr>
        <w:t>4.2.</w:t>
      </w:r>
      <w:r>
        <w:rPr>
          <w:rFonts w:asciiTheme="minorHAnsi" w:eastAsiaTheme="minorEastAsia" w:hAnsiTheme="minorHAnsi" w:cstheme="minorBidi"/>
          <w:noProof/>
        </w:rPr>
        <w:tab/>
      </w:r>
      <w:r>
        <w:rPr>
          <w:noProof/>
        </w:rPr>
        <w:t>Trends in registrar participation in GPEP</w:t>
      </w:r>
      <w:r>
        <w:rPr>
          <w:noProof/>
        </w:rPr>
        <w:tab/>
      </w:r>
      <w:r>
        <w:rPr>
          <w:noProof/>
        </w:rPr>
        <w:fldChar w:fldCharType="begin"/>
      </w:r>
      <w:r>
        <w:rPr>
          <w:noProof/>
        </w:rPr>
        <w:instrText xml:space="preserve"> PAGEREF _Toc105853897 \h </w:instrText>
      </w:r>
      <w:r>
        <w:rPr>
          <w:noProof/>
        </w:rPr>
      </w:r>
      <w:r>
        <w:rPr>
          <w:noProof/>
        </w:rPr>
        <w:fldChar w:fldCharType="separate"/>
      </w:r>
      <w:r w:rsidR="005E0451">
        <w:rPr>
          <w:noProof/>
        </w:rPr>
        <w:t>21</w:t>
      </w:r>
      <w:r>
        <w:rPr>
          <w:noProof/>
        </w:rPr>
        <w:fldChar w:fldCharType="end"/>
      </w:r>
    </w:p>
    <w:p w14:paraId="4C52D226" w14:textId="126A3D5C" w:rsidR="0047414F" w:rsidRDefault="0047414F" w:rsidP="0047414F">
      <w:pPr>
        <w:pStyle w:val="TOC2"/>
        <w:tabs>
          <w:tab w:val="left" w:pos="7371"/>
        </w:tabs>
        <w:rPr>
          <w:rFonts w:asciiTheme="minorHAnsi" w:eastAsiaTheme="minorEastAsia" w:hAnsiTheme="minorHAnsi" w:cstheme="minorBidi" w:hint="eastAsia"/>
          <w:noProof/>
        </w:rPr>
      </w:pPr>
      <w:r>
        <w:rPr>
          <w:noProof/>
        </w:rPr>
        <w:t>4.3.</w:t>
      </w:r>
      <w:r>
        <w:rPr>
          <w:rFonts w:asciiTheme="minorHAnsi" w:eastAsiaTheme="minorEastAsia" w:hAnsiTheme="minorHAnsi" w:cstheme="minorBidi"/>
          <w:noProof/>
        </w:rPr>
        <w:tab/>
      </w:r>
      <w:r>
        <w:rPr>
          <w:noProof/>
        </w:rPr>
        <w:t>Reasons for selection of general practice as a vocation</w:t>
      </w:r>
      <w:r>
        <w:rPr>
          <w:noProof/>
        </w:rPr>
        <w:tab/>
      </w:r>
      <w:r>
        <w:rPr>
          <w:noProof/>
        </w:rPr>
        <w:fldChar w:fldCharType="begin"/>
      </w:r>
      <w:r>
        <w:rPr>
          <w:noProof/>
        </w:rPr>
        <w:instrText xml:space="preserve"> PAGEREF _Toc105853898 \h </w:instrText>
      </w:r>
      <w:r>
        <w:rPr>
          <w:noProof/>
        </w:rPr>
      </w:r>
      <w:r>
        <w:rPr>
          <w:noProof/>
        </w:rPr>
        <w:fldChar w:fldCharType="separate"/>
      </w:r>
      <w:r w:rsidR="005E0451">
        <w:rPr>
          <w:noProof/>
        </w:rPr>
        <w:t>23</w:t>
      </w:r>
      <w:r>
        <w:rPr>
          <w:noProof/>
        </w:rPr>
        <w:fldChar w:fldCharType="end"/>
      </w:r>
    </w:p>
    <w:p w14:paraId="2054DD70" w14:textId="48F7023F" w:rsidR="0047414F" w:rsidRDefault="0047414F" w:rsidP="0047414F">
      <w:pPr>
        <w:pStyle w:val="TOC2"/>
        <w:tabs>
          <w:tab w:val="left" w:pos="7371"/>
        </w:tabs>
        <w:rPr>
          <w:rFonts w:asciiTheme="minorHAnsi" w:eastAsiaTheme="minorEastAsia" w:hAnsiTheme="minorHAnsi" w:cstheme="minorBidi" w:hint="eastAsia"/>
          <w:noProof/>
        </w:rPr>
      </w:pPr>
      <w:r>
        <w:rPr>
          <w:noProof/>
        </w:rPr>
        <w:t>4.4.</w:t>
      </w:r>
      <w:r>
        <w:rPr>
          <w:rFonts w:asciiTheme="minorHAnsi" w:eastAsiaTheme="minorEastAsia" w:hAnsiTheme="minorHAnsi" w:cstheme="minorBidi"/>
          <w:noProof/>
        </w:rPr>
        <w:tab/>
      </w:r>
      <w:r>
        <w:rPr>
          <w:noProof/>
        </w:rPr>
        <w:t>Barriers to selection of general practice as a vocation</w:t>
      </w:r>
      <w:r>
        <w:rPr>
          <w:noProof/>
        </w:rPr>
        <w:tab/>
      </w:r>
      <w:r>
        <w:rPr>
          <w:noProof/>
        </w:rPr>
        <w:fldChar w:fldCharType="begin"/>
      </w:r>
      <w:r>
        <w:rPr>
          <w:noProof/>
        </w:rPr>
        <w:instrText xml:space="preserve"> PAGEREF _Toc105853899 \h </w:instrText>
      </w:r>
      <w:r>
        <w:rPr>
          <w:noProof/>
        </w:rPr>
      </w:r>
      <w:r>
        <w:rPr>
          <w:noProof/>
        </w:rPr>
        <w:fldChar w:fldCharType="separate"/>
      </w:r>
      <w:r w:rsidR="005E0451">
        <w:rPr>
          <w:noProof/>
        </w:rPr>
        <w:t>27</w:t>
      </w:r>
      <w:r>
        <w:rPr>
          <w:noProof/>
        </w:rPr>
        <w:fldChar w:fldCharType="end"/>
      </w:r>
    </w:p>
    <w:p w14:paraId="72BFDF29" w14:textId="63A2BC85" w:rsidR="0047414F" w:rsidRDefault="0047414F" w:rsidP="0047414F">
      <w:pPr>
        <w:pStyle w:val="TOC2"/>
        <w:tabs>
          <w:tab w:val="left" w:pos="7371"/>
        </w:tabs>
        <w:rPr>
          <w:rFonts w:asciiTheme="minorHAnsi" w:eastAsiaTheme="minorEastAsia" w:hAnsiTheme="minorHAnsi" w:cstheme="minorBidi" w:hint="eastAsia"/>
          <w:noProof/>
        </w:rPr>
      </w:pPr>
      <w:r>
        <w:rPr>
          <w:noProof/>
        </w:rPr>
        <w:t>4.5.</w:t>
      </w:r>
      <w:r>
        <w:rPr>
          <w:rFonts w:asciiTheme="minorHAnsi" w:eastAsiaTheme="minorEastAsia" w:hAnsiTheme="minorHAnsi" w:cstheme="minorBidi"/>
          <w:noProof/>
        </w:rPr>
        <w:tab/>
      </w:r>
      <w:r>
        <w:rPr>
          <w:noProof/>
        </w:rPr>
        <w:t>Opportunities</w:t>
      </w:r>
      <w:r>
        <w:rPr>
          <w:noProof/>
        </w:rPr>
        <w:tab/>
      </w:r>
      <w:r>
        <w:rPr>
          <w:noProof/>
        </w:rPr>
        <w:fldChar w:fldCharType="begin"/>
      </w:r>
      <w:r>
        <w:rPr>
          <w:noProof/>
        </w:rPr>
        <w:instrText xml:space="preserve"> PAGEREF _Toc105853900 \h </w:instrText>
      </w:r>
      <w:r>
        <w:rPr>
          <w:noProof/>
        </w:rPr>
      </w:r>
      <w:r>
        <w:rPr>
          <w:noProof/>
        </w:rPr>
        <w:fldChar w:fldCharType="separate"/>
      </w:r>
      <w:r w:rsidR="005E0451">
        <w:rPr>
          <w:noProof/>
        </w:rPr>
        <w:t>30</w:t>
      </w:r>
      <w:r>
        <w:rPr>
          <w:noProof/>
        </w:rPr>
        <w:fldChar w:fldCharType="end"/>
      </w:r>
    </w:p>
    <w:p w14:paraId="45E1210E" w14:textId="791A3EBB" w:rsidR="0047414F" w:rsidRDefault="0047414F" w:rsidP="0047414F">
      <w:pPr>
        <w:pStyle w:val="TOC2"/>
        <w:tabs>
          <w:tab w:val="left" w:pos="7371"/>
        </w:tabs>
        <w:rPr>
          <w:rFonts w:asciiTheme="minorHAnsi" w:eastAsiaTheme="minorEastAsia" w:hAnsiTheme="minorHAnsi" w:cstheme="minorBidi" w:hint="eastAsia"/>
          <w:noProof/>
        </w:rPr>
      </w:pPr>
      <w:r>
        <w:rPr>
          <w:noProof/>
        </w:rPr>
        <w:t>4.6.</w:t>
      </w:r>
      <w:r>
        <w:rPr>
          <w:rFonts w:asciiTheme="minorHAnsi" w:eastAsiaTheme="minorEastAsia" w:hAnsiTheme="minorHAnsi" w:cstheme="minorBidi"/>
          <w:noProof/>
        </w:rPr>
        <w:tab/>
      </w:r>
      <w:r>
        <w:rPr>
          <w:noProof/>
        </w:rPr>
        <w:t>Employment conditions for GPEP registrars – contract comparisons</w:t>
      </w:r>
      <w:r>
        <w:rPr>
          <w:noProof/>
        </w:rPr>
        <w:tab/>
      </w:r>
      <w:r>
        <w:rPr>
          <w:noProof/>
        </w:rPr>
        <w:fldChar w:fldCharType="begin"/>
      </w:r>
      <w:r>
        <w:rPr>
          <w:noProof/>
        </w:rPr>
        <w:instrText xml:space="preserve"> PAGEREF _Toc105853901 \h </w:instrText>
      </w:r>
      <w:r>
        <w:rPr>
          <w:noProof/>
        </w:rPr>
      </w:r>
      <w:r>
        <w:rPr>
          <w:noProof/>
        </w:rPr>
        <w:fldChar w:fldCharType="separate"/>
      </w:r>
      <w:r w:rsidR="005E0451">
        <w:rPr>
          <w:noProof/>
        </w:rPr>
        <w:t>31</w:t>
      </w:r>
      <w:r>
        <w:rPr>
          <w:noProof/>
        </w:rPr>
        <w:fldChar w:fldCharType="end"/>
      </w:r>
    </w:p>
    <w:p w14:paraId="68BDE4FC" w14:textId="4823E21E" w:rsidR="0047414F" w:rsidRDefault="0047414F" w:rsidP="0047414F">
      <w:pPr>
        <w:pStyle w:val="TOC1"/>
        <w:tabs>
          <w:tab w:val="left" w:pos="7371"/>
        </w:tabs>
        <w:rPr>
          <w:rFonts w:asciiTheme="minorHAnsi" w:eastAsiaTheme="minorEastAsia" w:hAnsiTheme="minorHAnsi" w:cstheme="minorBidi" w:hint="eastAsia"/>
          <w:b w:val="0"/>
          <w:noProof/>
        </w:rPr>
      </w:pPr>
      <w:r>
        <w:rPr>
          <w:noProof/>
        </w:rPr>
        <w:t>5.</w:t>
      </w:r>
      <w:r>
        <w:rPr>
          <w:rFonts w:asciiTheme="minorHAnsi" w:eastAsiaTheme="minorEastAsia" w:hAnsiTheme="minorHAnsi" w:cstheme="minorBidi"/>
          <w:b w:val="0"/>
          <w:noProof/>
        </w:rPr>
        <w:tab/>
      </w:r>
      <w:r>
        <w:rPr>
          <w:noProof/>
        </w:rPr>
        <w:t>Employment models</w:t>
      </w:r>
      <w:r>
        <w:rPr>
          <w:noProof/>
        </w:rPr>
        <w:tab/>
      </w:r>
      <w:r>
        <w:rPr>
          <w:noProof/>
        </w:rPr>
        <w:fldChar w:fldCharType="begin"/>
      </w:r>
      <w:r>
        <w:rPr>
          <w:noProof/>
        </w:rPr>
        <w:instrText xml:space="preserve"> PAGEREF _Toc105853902 \h </w:instrText>
      </w:r>
      <w:r>
        <w:rPr>
          <w:noProof/>
        </w:rPr>
      </w:r>
      <w:r>
        <w:rPr>
          <w:noProof/>
        </w:rPr>
        <w:fldChar w:fldCharType="separate"/>
      </w:r>
      <w:r w:rsidR="005E0451">
        <w:rPr>
          <w:noProof/>
        </w:rPr>
        <w:t>34</w:t>
      </w:r>
      <w:r>
        <w:rPr>
          <w:noProof/>
        </w:rPr>
        <w:fldChar w:fldCharType="end"/>
      </w:r>
    </w:p>
    <w:p w14:paraId="58067BA6" w14:textId="411FAA44" w:rsidR="0047414F" w:rsidRDefault="0047414F" w:rsidP="0047414F">
      <w:pPr>
        <w:pStyle w:val="TOC2"/>
        <w:tabs>
          <w:tab w:val="left" w:pos="7371"/>
        </w:tabs>
        <w:rPr>
          <w:rFonts w:asciiTheme="minorHAnsi" w:eastAsiaTheme="minorEastAsia" w:hAnsiTheme="minorHAnsi" w:cstheme="minorBidi" w:hint="eastAsia"/>
          <w:noProof/>
        </w:rPr>
      </w:pPr>
      <w:r>
        <w:rPr>
          <w:noProof/>
        </w:rPr>
        <w:t>5.1.</w:t>
      </w:r>
      <w:r>
        <w:rPr>
          <w:rFonts w:asciiTheme="minorHAnsi" w:eastAsiaTheme="minorEastAsia" w:hAnsiTheme="minorHAnsi" w:cstheme="minorBidi"/>
          <w:noProof/>
        </w:rPr>
        <w:tab/>
      </w:r>
      <w:r>
        <w:rPr>
          <w:noProof/>
        </w:rPr>
        <w:t>Employment in GPEP 1</w:t>
      </w:r>
      <w:r>
        <w:rPr>
          <w:noProof/>
        </w:rPr>
        <w:tab/>
      </w:r>
      <w:r>
        <w:rPr>
          <w:noProof/>
        </w:rPr>
        <w:fldChar w:fldCharType="begin"/>
      </w:r>
      <w:r>
        <w:rPr>
          <w:noProof/>
        </w:rPr>
        <w:instrText xml:space="preserve"> PAGEREF _Toc105853903 \h </w:instrText>
      </w:r>
      <w:r>
        <w:rPr>
          <w:noProof/>
        </w:rPr>
      </w:r>
      <w:r>
        <w:rPr>
          <w:noProof/>
        </w:rPr>
        <w:fldChar w:fldCharType="separate"/>
      </w:r>
      <w:r w:rsidR="005E0451">
        <w:rPr>
          <w:noProof/>
        </w:rPr>
        <w:t>34</w:t>
      </w:r>
      <w:r>
        <w:rPr>
          <w:noProof/>
        </w:rPr>
        <w:fldChar w:fldCharType="end"/>
      </w:r>
    </w:p>
    <w:p w14:paraId="0BC282EC" w14:textId="3774757F" w:rsidR="0047414F" w:rsidRDefault="0047414F" w:rsidP="0047414F">
      <w:pPr>
        <w:pStyle w:val="TOC2"/>
        <w:tabs>
          <w:tab w:val="left" w:pos="7371"/>
        </w:tabs>
        <w:rPr>
          <w:rFonts w:asciiTheme="minorHAnsi" w:eastAsiaTheme="minorEastAsia" w:hAnsiTheme="minorHAnsi" w:cstheme="minorBidi" w:hint="eastAsia"/>
          <w:noProof/>
        </w:rPr>
      </w:pPr>
      <w:r>
        <w:rPr>
          <w:noProof/>
        </w:rPr>
        <w:t>5.2.</w:t>
      </w:r>
      <w:r>
        <w:rPr>
          <w:rFonts w:asciiTheme="minorHAnsi" w:eastAsiaTheme="minorEastAsia" w:hAnsiTheme="minorHAnsi" w:cstheme="minorBidi"/>
          <w:noProof/>
        </w:rPr>
        <w:tab/>
      </w:r>
      <w:r>
        <w:rPr>
          <w:noProof/>
        </w:rPr>
        <w:t>Employment in GPEP 2/3</w:t>
      </w:r>
      <w:r>
        <w:rPr>
          <w:noProof/>
        </w:rPr>
        <w:tab/>
      </w:r>
      <w:r>
        <w:rPr>
          <w:noProof/>
        </w:rPr>
        <w:fldChar w:fldCharType="begin"/>
      </w:r>
      <w:r>
        <w:rPr>
          <w:noProof/>
        </w:rPr>
        <w:instrText xml:space="preserve"> PAGEREF _Toc105853904 \h </w:instrText>
      </w:r>
      <w:r>
        <w:rPr>
          <w:noProof/>
        </w:rPr>
      </w:r>
      <w:r>
        <w:rPr>
          <w:noProof/>
        </w:rPr>
        <w:fldChar w:fldCharType="separate"/>
      </w:r>
      <w:r w:rsidR="005E0451">
        <w:rPr>
          <w:noProof/>
        </w:rPr>
        <w:t>38</w:t>
      </w:r>
      <w:r>
        <w:rPr>
          <w:noProof/>
        </w:rPr>
        <w:fldChar w:fldCharType="end"/>
      </w:r>
    </w:p>
    <w:p w14:paraId="402555A0" w14:textId="7DE4862F" w:rsidR="0047414F" w:rsidRDefault="0047414F" w:rsidP="0047414F">
      <w:pPr>
        <w:pStyle w:val="TOC2"/>
        <w:tabs>
          <w:tab w:val="left" w:pos="7371"/>
        </w:tabs>
        <w:rPr>
          <w:rFonts w:asciiTheme="minorHAnsi" w:eastAsiaTheme="minorEastAsia" w:hAnsiTheme="minorHAnsi" w:cstheme="minorBidi" w:hint="eastAsia"/>
          <w:noProof/>
        </w:rPr>
      </w:pPr>
      <w:r>
        <w:rPr>
          <w:noProof/>
        </w:rPr>
        <w:t>5.3.</w:t>
      </w:r>
      <w:r>
        <w:rPr>
          <w:rFonts w:asciiTheme="minorHAnsi" w:eastAsiaTheme="minorEastAsia" w:hAnsiTheme="minorHAnsi" w:cstheme="minorBidi"/>
          <w:noProof/>
        </w:rPr>
        <w:tab/>
      </w:r>
      <w:r>
        <w:rPr>
          <w:noProof/>
        </w:rPr>
        <w:t>Registrars in other programmes</w:t>
      </w:r>
      <w:r>
        <w:rPr>
          <w:noProof/>
        </w:rPr>
        <w:tab/>
      </w:r>
      <w:r>
        <w:rPr>
          <w:noProof/>
        </w:rPr>
        <w:fldChar w:fldCharType="begin"/>
      </w:r>
      <w:r>
        <w:rPr>
          <w:noProof/>
        </w:rPr>
        <w:instrText xml:space="preserve"> PAGEREF _Toc105853905 \h </w:instrText>
      </w:r>
      <w:r>
        <w:rPr>
          <w:noProof/>
        </w:rPr>
      </w:r>
      <w:r>
        <w:rPr>
          <w:noProof/>
        </w:rPr>
        <w:fldChar w:fldCharType="separate"/>
      </w:r>
      <w:r w:rsidR="005E0451">
        <w:rPr>
          <w:noProof/>
        </w:rPr>
        <w:t>38</w:t>
      </w:r>
      <w:r>
        <w:rPr>
          <w:noProof/>
        </w:rPr>
        <w:fldChar w:fldCharType="end"/>
      </w:r>
    </w:p>
    <w:p w14:paraId="7352B64F" w14:textId="72460297" w:rsidR="0047414F" w:rsidRDefault="0047414F" w:rsidP="0047414F">
      <w:pPr>
        <w:pStyle w:val="TOC1"/>
        <w:tabs>
          <w:tab w:val="left" w:pos="7371"/>
        </w:tabs>
        <w:rPr>
          <w:rFonts w:asciiTheme="minorHAnsi" w:eastAsiaTheme="minorEastAsia" w:hAnsiTheme="minorHAnsi" w:cstheme="minorBidi" w:hint="eastAsia"/>
          <w:b w:val="0"/>
          <w:noProof/>
        </w:rPr>
      </w:pPr>
      <w:r>
        <w:rPr>
          <w:noProof/>
        </w:rPr>
        <w:t>6.</w:t>
      </w:r>
      <w:r>
        <w:rPr>
          <w:rFonts w:asciiTheme="minorHAnsi" w:eastAsiaTheme="minorEastAsia" w:hAnsiTheme="minorHAnsi" w:cstheme="minorBidi"/>
          <w:b w:val="0"/>
          <w:noProof/>
        </w:rPr>
        <w:tab/>
      </w:r>
      <w:r>
        <w:rPr>
          <w:noProof/>
        </w:rPr>
        <w:t>Educational experiences</w:t>
      </w:r>
      <w:r>
        <w:rPr>
          <w:noProof/>
        </w:rPr>
        <w:tab/>
      </w:r>
      <w:r>
        <w:rPr>
          <w:noProof/>
        </w:rPr>
        <w:fldChar w:fldCharType="begin"/>
      </w:r>
      <w:r>
        <w:rPr>
          <w:noProof/>
        </w:rPr>
        <w:instrText xml:space="preserve"> PAGEREF _Toc105853906 \h </w:instrText>
      </w:r>
      <w:r>
        <w:rPr>
          <w:noProof/>
        </w:rPr>
      </w:r>
      <w:r>
        <w:rPr>
          <w:noProof/>
        </w:rPr>
        <w:fldChar w:fldCharType="separate"/>
      </w:r>
      <w:r w:rsidR="005E0451">
        <w:rPr>
          <w:noProof/>
        </w:rPr>
        <w:t>40</w:t>
      </w:r>
      <w:r>
        <w:rPr>
          <w:noProof/>
        </w:rPr>
        <w:fldChar w:fldCharType="end"/>
      </w:r>
    </w:p>
    <w:p w14:paraId="4728F713" w14:textId="2835762A" w:rsidR="0047414F" w:rsidRDefault="0047414F" w:rsidP="0047414F">
      <w:pPr>
        <w:pStyle w:val="TOC2"/>
        <w:tabs>
          <w:tab w:val="left" w:pos="7371"/>
        </w:tabs>
        <w:rPr>
          <w:rFonts w:asciiTheme="minorHAnsi" w:eastAsiaTheme="minorEastAsia" w:hAnsiTheme="minorHAnsi" w:cstheme="minorBidi" w:hint="eastAsia"/>
          <w:noProof/>
        </w:rPr>
      </w:pPr>
      <w:r>
        <w:rPr>
          <w:noProof/>
        </w:rPr>
        <w:t>6.1.</w:t>
      </w:r>
      <w:r>
        <w:rPr>
          <w:rFonts w:asciiTheme="minorHAnsi" w:eastAsiaTheme="minorEastAsia" w:hAnsiTheme="minorHAnsi" w:cstheme="minorBidi"/>
          <w:noProof/>
        </w:rPr>
        <w:tab/>
      </w:r>
      <w:r>
        <w:rPr>
          <w:noProof/>
        </w:rPr>
        <w:t>GPEP 1</w:t>
      </w:r>
      <w:r>
        <w:rPr>
          <w:noProof/>
        </w:rPr>
        <w:tab/>
      </w:r>
      <w:r>
        <w:rPr>
          <w:noProof/>
        </w:rPr>
        <w:fldChar w:fldCharType="begin"/>
      </w:r>
      <w:r>
        <w:rPr>
          <w:noProof/>
        </w:rPr>
        <w:instrText xml:space="preserve"> PAGEREF _Toc105853907 \h </w:instrText>
      </w:r>
      <w:r>
        <w:rPr>
          <w:noProof/>
        </w:rPr>
      </w:r>
      <w:r>
        <w:rPr>
          <w:noProof/>
        </w:rPr>
        <w:fldChar w:fldCharType="separate"/>
      </w:r>
      <w:r w:rsidR="005E0451">
        <w:rPr>
          <w:noProof/>
        </w:rPr>
        <w:t>40</w:t>
      </w:r>
      <w:r>
        <w:rPr>
          <w:noProof/>
        </w:rPr>
        <w:fldChar w:fldCharType="end"/>
      </w:r>
    </w:p>
    <w:p w14:paraId="099B6FD8" w14:textId="5AF9F182" w:rsidR="0047414F" w:rsidRDefault="0047414F" w:rsidP="0047414F">
      <w:pPr>
        <w:pStyle w:val="TOC2"/>
        <w:tabs>
          <w:tab w:val="left" w:pos="7371"/>
        </w:tabs>
        <w:rPr>
          <w:rFonts w:asciiTheme="minorHAnsi" w:eastAsiaTheme="minorEastAsia" w:hAnsiTheme="minorHAnsi" w:cstheme="minorBidi" w:hint="eastAsia"/>
          <w:noProof/>
        </w:rPr>
      </w:pPr>
      <w:r>
        <w:rPr>
          <w:noProof/>
        </w:rPr>
        <w:t>6.2.</w:t>
      </w:r>
      <w:r>
        <w:rPr>
          <w:rFonts w:asciiTheme="minorHAnsi" w:eastAsiaTheme="minorEastAsia" w:hAnsiTheme="minorHAnsi" w:cstheme="minorBidi"/>
          <w:noProof/>
        </w:rPr>
        <w:tab/>
      </w:r>
      <w:r>
        <w:rPr>
          <w:noProof/>
        </w:rPr>
        <w:t>Matching process</w:t>
      </w:r>
      <w:r>
        <w:rPr>
          <w:noProof/>
        </w:rPr>
        <w:tab/>
      </w:r>
      <w:r>
        <w:rPr>
          <w:noProof/>
        </w:rPr>
        <w:fldChar w:fldCharType="begin"/>
      </w:r>
      <w:r>
        <w:rPr>
          <w:noProof/>
        </w:rPr>
        <w:instrText xml:space="preserve"> PAGEREF _Toc105853908 \h </w:instrText>
      </w:r>
      <w:r>
        <w:rPr>
          <w:noProof/>
        </w:rPr>
      </w:r>
      <w:r>
        <w:rPr>
          <w:noProof/>
        </w:rPr>
        <w:fldChar w:fldCharType="separate"/>
      </w:r>
      <w:r w:rsidR="005E0451">
        <w:rPr>
          <w:noProof/>
        </w:rPr>
        <w:t>40</w:t>
      </w:r>
      <w:r>
        <w:rPr>
          <w:noProof/>
        </w:rPr>
        <w:fldChar w:fldCharType="end"/>
      </w:r>
    </w:p>
    <w:p w14:paraId="2B1E6013" w14:textId="087A6220" w:rsidR="0047414F" w:rsidRDefault="0047414F" w:rsidP="0047414F">
      <w:pPr>
        <w:pStyle w:val="TOC2"/>
        <w:tabs>
          <w:tab w:val="left" w:pos="7371"/>
        </w:tabs>
        <w:rPr>
          <w:rFonts w:asciiTheme="minorHAnsi" w:eastAsiaTheme="minorEastAsia" w:hAnsiTheme="minorHAnsi" w:cstheme="minorBidi" w:hint="eastAsia"/>
          <w:noProof/>
        </w:rPr>
      </w:pPr>
      <w:r>
        <w:rPr>
          <w:noProof/>
        </w:rPr>
        <w:t>6.3.</w:t>
      </w:r>
      <w:r>
        <w:rPr>
          <w:rFonts w:asciiTheme="minorHAnsi" w:eastAsiaTheme="minorEastAsia" w:hAnsiTheme="minorHAnsi" w:cstheme="minorBidi"/>
          <w:noProof/>
        </w:rPr>
        <w:tab/>
      </w:r>
      <w:r>
        <w:rPr>
          <w:noProof/>
        </w:rPr>
        <w:t>Experiences working in a general practice with a high proportion of Māori or Pacific patients</w:t>
      </w:r>
      <w:r>
        <w:rPr>
          <w:noProof/>
        </w:rPr>
        <w:tab/>
      </w:r>
      <w:r>
        <w:rPr>
          <w:noProof/>
        </w:rPr>
        <w:fldChar w:fldCharType="begin"/>
      </w:r>
      <w:r>
        <w:rPr>
          <w:noProof/>
        </w:rPr>
        <w:instrText xml:space="preserve"> PAGEREF _Toc105853909 \h </w:instrText>
      </w:r>
      <w:r>
        <w:rPr>
          <w:noProof/>
        </w:rPr>
      </w:r>
      <w:r>
        <w:rPr>
          <w:noProof/>
        </w:rPr>
        <w:fldChar w:fldCharType="separate"/>
      </w:r>
      <w:r w:rsidR="005E0451">
        <w:rPr>
          <w:noProof/>
        </w:rPr>
        <w:t>41</w:t>
      </w:r>
      <w:r>
        <w:rPr>
          <w:noProof/>
        </w:rPr>
        <w:fldChar w:fldCharType="end"/>
      </w:r>
    </w:p>
    <w:p w14:paraId="475891FE" w14:textId="29609000" w:rsidR="0047414F" w:rsidRDefault="0047414F" w:rsidP="0047414F">
      <w:pPr>
        <w:pStyle w:val="TOC2"/>
        <w:tabs>
          <w:tab w:val="left" w:pos="7371"/>
        </w:tabs>
        <w:rPr>
          <w:rFonts w:asciiTheme="minorHAnsi" w:eastAsiaTheme="minorEastAsia" w:hAnsiTheme="minorHAnsi" w:cstheme="minorBidi" w:hint="eastAsia"/>
          <w:noProof/>
        </w:rPr>
      </w:pPr>
      <w:r>
        <w:rPr>
          <w:noProof/>
        </w:rPr>
        <w:lastRenderedPageBreak/>
        <w:t>6.4.</w:t>
      </w:r>
      <w:r>
        <w:rPr>
          <w:rFonts w:asciiTheme="minorHAnsi" w:eastAsiaTheme="minorEastAsia" w:hAnsiTheme="minorHAnsi" w:cstheme="minorBidi"/>
          <w:noProof/>
        </w:rPr>
        <w:tab/>
      </w:r>
      <w:r>
        <w:rPr>
          <w:noProof/>
        </w:rPr>
        <w:t>Experiences of working as a registrar in rural general practices</w:t>
      </w:r>
      <w:r>
        <w:rPr>
          <w:noProof/>
        </w:rPr>
        <w:tab/>
      </w:r>
      <w:r>
        <w:rPr>
          <w:noProof/>
        </w:rPr>
        <w:fldChar w:fldCharType="begin"/>
      </w:r>
      <w:r>
        <w:rPr>
          <w:noProof/>
        </w:rPr>
        <w:instrText xml:space="preserve"> PAGEREF _Toc105853910 \h </w:instrText>
      </w:r>
      <w:r>
        <w:rPr>
          <w:noProof/>
        </w:rPr>
      </w:r>
      <w:r>
        <w:rPr>
          <w:noProof/>
        </w:rPr>
        <w:fldChar w:fldCharType="separate"/>
      </w:r>
      <w:r w:rsidR="005E0451">
        <w:rPr>
          <w:noProof/>
        </w:rPr>
        <w:t>41</w:t>
      </w:r>
      <w:r>
        <w:rPr>
          <w:noProof/>
        </w:rPr>
        <w:fldChar w:fldCharType="end"/>
      </w:r>
    </w:p>
    <w:p w14:paraId="2BE595FD" w14:textId="09A5A307" w:rsidR="0047414F" w:rsidRDefault="0047414F" w:rsidP="0047414F">
      <w:pPr>
        <w:pStyle w:val="TOC2"/>
        <w:tabs>
          <w:tab w:val="left" w:pos="7371"/>
        </w:tabs>
        <w:rPr>
          <w:rFonts w:asciiTheme="minorHAnsi" w:eastAsiaTheme="minorEastAsia" w:hAnsiTheme="minorHAnsi" w:cstheme="minorBidi" w:hint="eastAsia"/>
          <w:noProof/>
        </w:rPr>
      </w:pPr>
      <w:r>
        <w:rPr>
          <w:noProof/>
        </w:rPr>
        <w:t>6.5.</w:t>
      </w:r>
      <w:r>
        <w:rPr>
          <w:rFonts w:asciiTheme="minorHAnsi" w:eastAsiaTheme="minorEastAsia" w:hAnsiTheme="minorHAnsi" w:cstheme="minorBidi"/>
          <w:noProof/>
        </w:rPr>
        <w:tab/>
      </w:r>
      <w:r>
        <w:rPr>
          <w:noProof/>
        </w:rPr>
        <w:t>Preparedness for GPEP 2</w:t>
      </w:r>
      <w:r>
        <w:rPr>
          <w:noProof/>
        </w:rPr>
        <w:tab/>
      </w:r>
      <w:r>
        <w:rPr>
          <w:noProof/>
        </w:rPr>
        <w:fldChar w:fldCharType="begin"/>
      </w:r>
      <w:r>
        <w:rPr>
          <w:noProof/>
        </w:rPr>
        <w:instrText xml:space="preserve"> PAGEREF _Toc105853911 \h </w:instrText>
      </w:r>
      <w:r>
        <w:rPr>
          <w:noProof/>
        </w:rPr>
      </w:r>
      <w:r>
        <w:rPr>
          <w:noProof/>
        </w:rPr>
        <w:fldChar w:fldCharType="separate"/>
      </w:r>
      <w:r w:rsidR="005E0451">
        <w:rPr>
          <w:noProof/>
        </w:rPr>
        <w:t>42</w:t>
      </w:r>
      <w:r>
        <w:rPr>
          <w:noProof/>
        </w:rPr>
        <w:fldChar w:fldCharType="end"/>
      </w:r>
    </w:p>
    <w:p w14:paraId="21B7E726" w14:textId="752F329F" w:rsidR="0047414F" w:rsidRDefault="0047414F" w:rsidP="0047414F">
      <w:pPr>
        <w:pStyle w:val="TOC2"/>
        <w:tabs>
          <w:tab w:val="left" w:pos="7371"/>
        </w:tabs>
        <w:rPr>
          <w:rFonts w:asciiTheme="minorHAnsi" w:eastAsiaTheme="minorEastAsia" w:hAnsiTheme="minorHAnsi" w:cstheme="minorBidi" w:hint="eastAsia"/>
          <w:noProof/>
        </w:rPr>
      </w:pPr>
      <w:r>
        <w:rPr>
          <w:noProof/>
        </w:rPr>
        <w:t>6.6.</w:t>
      </w:r>
      <w:r>
        <w:rPr>
          <w:rFonts w:asciiTheme="minorHAnsi" w:eastAsiaTheme="minorEastAsia" w:hAnsiTheme="minorHAnsi" w:cstheme="minorBidi"/>
          <w:noProof/>
        </w:rPr>
        <w:tab/>
      </w:r>
      <w:r>
        <w:rPr>
          <w:noProof/>
        </w:rPr>
        <w:t>GPEP 2/3</w:t>
      </w:r>
      <w:r>
        <w:rPr>
          <w:noProof/>
        </w:rPr>
        <w:tab/>
      </w:r>
      <w:r>
        <w:rPr>
          <w:noProof/>
        </w:rPr>
        <w:fldChar w:fldCharType="begin"/>
      </w:r>
      <w:r>
        <w:rPr>
          <w:noProof/>
        </w:rPr>
        <w:instrText xml:space="preserve"> PAGEREF _Toc105853912 \h </w:instrText>
      </w:r>
      <w:r>
        <w:rPr>
          <w:noProof/>
        </w:rPr>
      </w:r>
      <w:r>
        <w:rPr>
          <w:noProof/>
        </w:rPr>
        <w:fldChar w:fldCharType="separate"/>
      </w:r>
      <w:r w:rsidR="005E0451">
        <w:rPr>
          <w:noProof/>
        </w:rPr>
        <w:t>43</w:t>
      </w:r>
      <w:r>
        <w:rPr>
          <w:noProof/>
        </w:rPr>
        <w:fldChar w:fldCharType="end"/>
      </w:r>
    </w:p>
    <w:p w14:paraId="272B6749" w14:textId="14029F54" w:rsidR="0047414F" w:rsidRDefault="0047414F" w:rsidP="0047414F">
      <w:pPr>
        <w:pStyle w:val="TOC2"/>
        <w:tabs>
          <w:tab w:val="left" w:pos="7371"/>
        </w:tabs>
        <w:rPr>
          <w:rFonts w:asciiTheme="minorHAnsi" w:eastAsiaTheme="minorEastAsia" w:hAnsiTheme="minorHAnsi" w:cstheme="minorBidi" w:hint="eastAsia"/>
          <w:noProof/>
        </w:rPr>
      </w:pPr>
      <w:r>
        <w:rPr>
          <w:noProof/>
        </w:rPr>
        <w:t>6.7.</w:t>
      </w:r>
      <w:r>
        <w:rPr>
          <w:rFonts w:asciiTheme="minorHAnsi" w:eastAsiaTheme="minorEastAsia" w:hAnsiTheme="minorHAnsi" w:cstheme="minorBidi"/>
          <w:noProof/>
        </w:rPr>
        <w:tab/>
      </w:r>
      <w:r>
        <w:rPr>
          <w:noProof/>
        </w:rPr>
        <w:t>Clinical preparedness to practice</w:t>
      </w:r>
      <w:r>
        <w:rPr>
          <w:noProof/>
        </w:rPr>
        <w:tab/>
      </w:r>
      <w:r>
        <w:rPr>
          <w:noProof/>
        </w:rPr>
        <w:fldChar w:fldCharType="begin"/>
      </w:r>
      <w:r>
        <w:rPr>
          <w:noProof/>
        </w:rPr>
        <w:instrText xml:space="preserve"> PAGEREF _Toc105853913 \h </w:instrText>
      </w:r>
      <w:r>
        <w:rPr>
          <w:noProof/>
        </w:rPr>
      </w:r>
      <w:r>
        <w:rPr>
          <w:noProof/>
        </w:rPr>
        <w:fldChar w:fldCharType="separate"/>
      </w:r>
      <w:r w:rsidR="005E0451">
        <w:rPr>
          <w:noProof/>
        </w:rPr>
        <w:t>44</w:t>
      </w:r>
      <w:r>
        <w:rPr>
          <w:noProof/>
        </w:rPr>
        <w:fldChar w:fldCharType="end"/>
      </w:r>
    </w:p>
    <w:p w14:paraId="47262420" w14:textId="7D47FFCF" w:rsidR="0047414F" w:rsidRDefault="0047414F" w:rsidP="0047414F">
      <w:pPr>
        <w:pStyle w:val="TOC2"/>
        <w:tabs>
          <w:tab w:val="left" w:pos="7371"/>
        </w:tabs>
        <w:rPr>
          <w:rFonts w:asciiTheme="minorHAnsi" w:eastAsiaTheme="minorEastAsia" w:hAnsiTheme="minorHAnsi" w:cstheme="minorBidi" w:hint="eastAsia"/>
          <w:noProof/>
        </w:rPr>
      </w:pPr>
      <w:r>
        <w:rPr>
          <w:noProof/>
        </w:rPr>
        <w:t>6.8.</w:t>
      </w:r>
      <w:r>
        <w:rPr>
          <w:rFonts w:asciiTheme="minorHAnsi" w:eastAsiaTheme="minorEastAsia" w:hAnsiTheme="minorHAnsi" w:cstheme="minorBidi"/>
          <w:noProof/>
        </w:rPr>
        <w:tab/>
      </w:r>
      <w:r>
        <w:rPr>
          <w:noProof/>
        </w:rPr>
        <w:t>Health and safety</w:t>
      </w:r>
      <w:r>
        <w:rPr>
          <w:noProof/>
        </w:rPr>
        <w:tab/>
      </w:r>
      <w:r>
        <w:rPr>
          <w:noProof/>
        </w:rPr>
        <w:fldChar w:fldCharType="begin"/>
      </w:r>
      <w:r>
        <w:rPr>
          <w:noProof/>
        </w:rPr>
        <w:instrText xml:space="preserve"> PAGEREF _Toc105853914 \h </w:instrText>
      </w:r>
      <w:r>
        <w:rPr>
          <w:noProof/>
        </w:rPr>
      </w:r>
      <w:r>
        <w:rPr>
          <w:noProof/>
        </w:rPr>
        <w:fldChar w:fldCharType="separate"/>
      </w:r>
      <w:r w:rsidR="005E0451">
        <w:rPr>
          <w:noProof/>
        </w:rPr>
        <w:t>45</w:t>
      </w:r>
      <w:r>
        <w:rPr>
          <w:noProof/>
        </w:rPr>
        <w:fldChar w:fldCharType="end"/>
      </w:r>
    </w:p>
    <w:p w14:paraId="1D44B9D7" w14:textId="4865EBF5" w:rsidR="0047414F" w:rsidRDefault="0047414F" w:rsidP="0047414F">
      <w:pPr>
        <w:pStyle w:val="TOC2"/>
        <w:tabs>
          <w:tab w:val="left" w:pos="7371"/>
        </w:tabs>
        <w:rPr>
          <w:rFonts w:asciiTheme="minorHAnsi" w:eastAsiaTheme="minorEastAsia" w:hAnsiTheme="minorHAnsi" w:cstheme="minorBidi" w:hint="eastAsia"/>
          <w:noProof/>
        </w:rPr>
      </w:pPr>
      <w:r>
        <w:rPr>
          <w:noProof/>
        </w:rPr>
        <w:t>6.9.</w:t>
      </w:r>
      <w:r>
        <w:rPr>
          <w:rFonts w:asciiTheme="minorHAnsi" w:eastAsiaTheme="minorEastAsia" w:hAnsiTheme="minorHAnsi" w:cstheme="minorBidi"/>
          <w:noProof/>
        </w:rPr>
        <w:tab/>
      </w:r>
      <w:r>
        <w:rPr>
          <w:noProof/>
        </w:rPr>
        <w:t>Trends in GPEP completion</w:t>
      </w:r>
      <w:r>
        <w:rPr>
          <w:noProof/>
        </w:rPr>
        <w:tab/>
      </w:r>
      <w:r>
        <w:rPr>
          <w:noProof/>
        </w:rPr>
        <w:fldChar w:fldCharType="begin"/>
      </w:r>
      <w:r>
        <w:rPr>
          <w:noProof/>
        </w:rPr>
        <w:instrText xml:space="preserve"> PAGEREF _Toc105853915 \h </w:instrText>
      </w:r>
      <w:r>
        <w:rPr>
          <w:noProof/>
        </w:rPr>
      </w:r>
      <w:r>
        <w:rPr>
          <w:noProof/>
        </w:rPr>
        <w:fldChar w:fldCharType="separate"/>
      </w:r>
      <w:r w:rsidR="005E0451">
        <w:rPr>
          <w:noProof/>
        </w:rPr>
        <w:t>46</w:t>
      </w:r>
      <w:r>
        <w:rPr>
          <w:noProof/>
        </w:rPr>
        <w:fldChar w:fldCharType="end"/>
      </w:r>
    </w:p>
    <w:p w14:paraId="709A3B41" w14:textId="40D13D23" w:rsidR="0047414F" w:rsidRDefault="0047414F" w:rsidP="0047414F">
      <w:pPr>
        <w:pStyle w:val="TOC1"/>
        <w:tabs>
          <w:tab w:val="left" w:pos="7371"/>
        </w:tabs>
        <w:rPr>
          <w:rFonts w:asciiTheme="minorHAnsi" w:eastAsiaTheme="minorEastAsia" w:hAnsiTheme="minorHAnsi" w:cstheme="minorBidi" w:hint="eastAsia"/>
          <w:b w:val="0"/>
          <w:noProof/>
        </w:rPr>
      </w:pPr>
      <w:r>
        <w:rPr>
          <w:noProof/>
        </w:rPr>
        <w:t>7.</w:t>
      </w:r>
      <w:r>
        <w:rPr>
          <w:rFonts w:asciiTheme="minorHAnsi" w:eastAsiaTheme="minorEastAsia" w:hAnsiTheme="minorHAnsi" w:cstheme="minorBidi"/>
          <w:b w:val="0"/>
          <w:noProof/>
        </w:rPr>
        <w:tab/>
      </w:r>
      <w:r>
        <w:rPr>
          <w:noProof/>
        </w:rPr>
        <w:t>Accredited practices and GP teachers</w:t>
      </w:r>
      <w:r>
        <w:rPr>
          <w:noProof/>
        </w:rPr>
        <w:tab/>
      </w:r>
      <w:r>
        <w:rPr>
          <w:noProof/>
        </w:rPr>
        <w:fldChar w:fldCharType="begin"/>
      </w:r>
      <w:r>
        <w:rPr>
          <w:noProof/>
        </w:rPr>
        <w:instrText xml:space="preserve"> PAGEREF _Toc105853916 \h </w:instrText>
      </w:r>
      <w:r>
        <w:rPr>
          <w:noProof/>
        </w:rPr>
      </w:r>
      <w:r>
        <w:rPr>
          <w:noProof/>
        </w:rPr>
        <w:fldChar w:fldCharType="separate"/>
      </w:r>
      <w:r w:rsidR="005E0451">
        <w:rPr>
          <w:noProof/>
        </w:rPr>
        <w:t>48</w:t>
      </w:r>
      <w:r>
        <w:rPr>
          <w:noProof/>
        </w:rPr>
        <w:fldChar w:fldCharType="end"/>
      </w:r>
    </w:p>
    <w:p w14:paraId="67E017C2" w14:textId="7F2CB20F" w:rsidR="0047414F" w:rsidRDefault="0047414F" w:rsidP="0047414F">
      <w:pPr>
        <w:pStyle w:val="TOC2"/>
        <w:tabs>
          <w:tab w:val="left" w:pos="7371"/>
        </w:tabs>
        <w:rPr>
          <w:rFonts w:asciiTheme="minorHAnsi" w:eastAsiaTheme="minorEastAsia" w:hAnsiTheme="minorHAnsi" w:cstheme="minorBidi" w:hint="eastAsia"/>
          <w:noProof/>
        </w:rPr>
      </w:pPr>
      <w:r>
        <w:rPr>
          <w:noProof/>
        </w:rPr>
        <w:t>7.1.</w:t>
      </w:r>
      <w:r>
        <w:rPr>
          <w:rFonts w:asciiTheme="minorHAnsi" w:eastAsiaTheme="minorEastAsia" w:hAnsiTheme="minorHAnsi" w:cstheme="minorBidi"/>
          <w:noProof/>
        </w:rPr>
        <w:tab/>
      </w:r>
      <w:r>
        <w:rPr>
          <w:noProof/>
        </w:rPr>
        <w:t>Medical educators</w:t>
      </w:r>
      <w:r>
        <w:rPr>
          <w:noProof/>
        </w:rPr>
        <w:tab/>
      </w:r>
      <w:r>
        <w:rPr>
          <w:noProof/>
        </w:rPr>
        <w:fldChar w:fldCharType="begin"/>
      </w:r>
      <w:r>
        <w:rPr>
          <w:noProof/>
        </w:rPr>
        <w:instrText xml:space="preserve"> PAGEREF _Toc105853917 \h </w:instrText>
      </w:r>
      <w:r>
        <w:rPr>
          <w:noProof/>
        </w:rPr>
      </w:r>
      <w:r>
        <w:rPr>
          <w:noProof/>
        </w:rPr>
        <w:fldChar w:fldCharType="separate"/>
      </w:r>
      <w:r w:rsidR="005E0451">
        <w:rPr>
          <w:noProof/>
        </w:rPr>
        <w:t>48</w:t>
      </w:r>
      <w:r>
        <w:rPr>
          <w:noProof/>
        </w:rPr>
        <w:fldChar w:fldCharType="end"/>
      </w:r>
    </w:p>
    <w:p w14:paraId="1AFC6417" w14:textId="5B0717ED" w:rsidR="0047414F" w:rsidRDefault="0047414F" w:rsidP="0047414F">
      <w:pPr>
        <w:pStyle w:val="TOC2"/>
        <w:tabs>
          <w:tab w:val="left" w:pos="7371"/>
        </w:tabs>
        <w:rPr>
          <w:rFonts w:asciiTheme="minorHAnsi" w:eastAsiaTheme="minorEastAsia" w:hAnsiTheme="minorHAnsi" w:cstheme="minorBidi" w:hint="eastAsia"/>
          <w:noProof/>
        </w:rPr>
      </w:pPr>
      <w:r>
        <w:rPr>
          <w:noProof/>
        </w:rPr>
        <w:t>7.2.</w:t>
      </w:r>
      <w:r>
        <w:rPr>
          <w:rFonts w:asciiTheme="minorHAnsi" w:eastAsiaTheme="minorEastAsia" w:hAnsiTheme="minorHAnsi" w:cstheme="minorBidi"/>
          <w:noProof/>
        </w:rPr>
        <w:tab/>
      </w:r>
      <w:r>
        <w:rPr>
          <w:noProof/>
        </w:rPr>
        <w:t>Teaching fellows</w:t>
      </w:r>
      <w:r>
        <w:rPr>
          <w:noProof/>
        </w:rPr>
        <w:tab/>
      </w:r>
      <w:r>
        <w:rPr>
          <w:noProof/>
        </w:rPr>
        <w:fldChar w:fldCharType="begin"/>
      </w:r>
      <w:r>
        <w:rPr>
          <w:noProof/>
        </w:rPr>
        <w:instrText xml:space="preserve"> PAGEREF _Toc105853918 \h </w:instrText>
      </w:r>
      <w:r>
        <w:rPr>
          <w:noProof/>
        </w:rPr>
      </w:r>
      <w:r>
        <w:rPr>
          <w:noProof/>
        </w:rPr>
        <w:fldChar w:fldCharType="separate"/>
      </w:r>
      <w:r w:rsidR="005E0451">
        <w:rPr>
          <w:noProof/>
        </w:rPr>
        <w:t>50</w:t>
      </w:r>
      <w:r>
        <w:rPr>
          <w:noProof/>
        </w:rPr>
        <w:fldChar w:fldCharType="end"/>
      </w:r>
    </w:p>
    <w:p w14:paraId="5F988E6F" w14:textId="0B55703D" w:rsidR="0047414F" w:rsidRDefault="0047414F" w:rsidP="0047414F">
      <w:pPr>
        <w:pStyle w:val="TOC2"/>
        <w:tabs>
          <w:tab w:val="left" w:pos="7371"/>
        </w:tabs>
        <w:rPr>
          <w:rFonts w:asciiTheme="minorHAnsi" w:eastAsiaTheme="minorEastAsia" w:hAnsiTheme="minorHAnsi" w:cstheme="minorBidi" w:hint="eastAsia"/>
          <w:noProof/>
        </w:rPr>
      </w:pPr>
      <w:r>
        <w:rPr>
          <w:noProof/>
        </w:rPr>
        <w:t>7.3.</w:t>
      </w:r>
      <w:r>
        <w:rPr>
          <w:rFonts w:asciiTheme="minorHAnsi" w:eastAsiaTheme="minorEastAsia" w:hAnsiTheme="minorHAnsi" w:cstheme="minorBidi"/>
          <w:noProof/>
        </w:rPr>
        <w:tab/>
      </w:r>
      <w:r>
        <w:rPr>
          <w:noProof/>
        </w:rPr>
        <w:t>Accredited practices</w:t>
      </w:r>
      <w:r>
        <w:rPr>
          <w:noProof/>
        </w:rPr>
        <w:tab/>
      </w:r>
      <w:r>
        <w:rPr>
          <w:noProof/>
        </w:rPr>
        <w:fldChar w:fldCharType="begin"/>
      </w:r>
      <w:r>
        <w:rPr>
          <w:noProof/>
        </w:rPr>
        <w:instrText xml:space="preserve"> PAGEREF _Toc105853919 \h </w:instrText>
      </w:r>
      <w:r>
        <w:rPr>
          <w:noProof/>
        </w:rPr>
      </w:r>
      <w:r>
        <w:rPr>
          <w:noProof/>
        </w:rPr>
        <w:fldChar w:fldCharType="separate"/>
      </w:r>
      <w:r w:rsidR="005E0451">
        <w:rPr>
          <w:noProof/>
        </w:rPr>
        <w:t>57</w:t>
      </w:r>
      <w:r>
        <w:rPr>
          <w:noProof/>
        </w:rPr>
        <w:fldChar w:fldCharType="end"/>
      </w:r>
    </w:p>
    <w:p w14:paraId="7A9D2E7C" w14:textId="37732487" w:rsidR="0047414F" w:rsidRDefault="0047414F" w:rsidP="0047414F">
      <w:pPr>
        <w:pStyle w:val="TOC1"/>
        <w:tabs>
          <w:tab w:val="left" w:pos="7371"/>
        </w:tabs>
        <w:rPr>
          <w:rFonts w:asciiTheme="minorHAnsi" w:eastAsiaTheme="minorEastAsia" w:hAnsiTheme="minorHAnsi" w:cstheme="minorBidi" w:hint="eastAsia"/>
          <w:b w:val="0"/>
          <w:noProof/>
        </w:rPr>
      </w:pPr>
      <w:r>
        <w:rPr>
          <w:noProof/>
        </w:rPr>
        <w:t>8.</w:t>
      </w:r>
      <w:r>
        <w:rPr>
          <w:rFonts w:asciiTheme="minorHAnsi" w:eastAsiaTheme="minorEastAsia" w:hAnsiTheme="minorHAnsi" w:cstheme="minorBidi"/>
          <w:b w:val="0"/>
          <w:noProof/>
        </w:rPr>
        <w:tab/>
      </w:r>
      <w:r>
        <w:rPr>
          <w:noProof/>
        </w:rPr>
        <w:t>Equity and te Tiriti o Waitangi</w:t>
      </w:r>
      <w:r>
        <w:rPr>
          <w:noProof/>
        </w:rPr>
        <w:tab/>
      </w:r>
      <w:r>
        <w:rPr>
          <w:noProof/>
        </w:rPr>
        <w:fldChar w:fldCharType="begin"/>
      </w:r>
      <w:r>
        <w:rPr>
          <w:noProof/>
        </w:rPr>
        <w:instrText xml:space="preserve"> PAGEREF _Toc105853920 \h </w:instrText>
      </w:r>
      <w:r>
        <w:rPr>
          <w:noProof/>
        </w:rPr>
      </w:r>
      <w:r>
        <w:rPr>
          <w:noProof/>
        </w:rPr>
        <w:fldChar w:fldCharType="separate"/>
      </w:r>
      <w:r w:rsidR="005E0451">
        <w:rPr>
          <w:noProof/>
        </w:rPr>
        <w:t>64</w:t>
      </w:r>
      <w:r>
        <w:rPr>
          <w:noProof/>
        </w:rPr>
        <w:fldChar w:fldCharType="end"/>
      </w:r>
    </w:p>
    <w:p w14:paraId="7B0D360B" w14:textId="46D2B004" w:rsidR="0047414F" w:rsidRDefault="0047414F" w:rsidP="0047414F">
      <w:pPr>
        <w:pStyle w:val="TOC2"/>
        <w:tabs>
          <w:tab w:val="left" w:pos="7371"/>
        </w:tabs>
        <w:rPr>
          <w:rFonts w:asciiTheme="minorHAnsi" w:eastAsiaTheme="minorEastAsia" w:hAnsiTheme="minorHAnsi" w:cstheme="minorBidi" w:hint="eastAsia"/>
          <w:noProof/>
        </w:rPr>
      </w:pPr>
      <w:r>
        <w:rPr>
          <w:noProof/>
        </w:rPr>
        <w:t>8.1.</w:t>
      </w:r>
      <w:r>
        <w:rPr>
          <w:rFonts w:asciiTheme="minorHAnsi" w:eastAsiaTheme="minorEastAsia" w:hAnsiTheme="minorHAnsi" w:cstheme="minorBidi"/>
          <w:noProof/>
        </w:rPr>
        <w:tab/>
      </w:r>
      <w:r>
        <w:rPr>
          <w:noProof/>
        </w:rPr>
        <w:t>Increasing the number of Māori and Pacific registrars</w:t>
      </w:r>
      <w:r>
        <w:rPr>
          <w:noProof/>
        </w:rPr>
        <w:tab/>
      </w:r>
      <w:r>
        <w:rPr>
          <w:noProof/>
        </w:rPr>
        <w:fldChar w:fldCharType="begin"/>
      </w:r>
      <w:r>
        <w:rPr>
          <w:noProof/>
        </w:rPr>
        <w:instrText xml:space="preserve"> PAGEREF _Toc105853921 \h </w:instrText>
      </w:r>
      <w:r>
        <w:rPr>
          <w:noProof/>
        </w:rPr>
      </w:r>
      <w:r>
        <w:rPr>
          <w:noProof/>
        </w:rPr>
        <w:fldChar w:fldCharType="separate"/>
      </w:r>
      <w:r w:rsidR="005E0451">
        <w:rPr>
          <w:noProof/>
        </w:rPr>
        <w:t>65</w:t>
      </w:r>
      <w:r>
        <w:rPr>
          <w:noProof/>
        </w:rPr>
        <w:fldChar w:fldCharType="end"/>
      </w:r>
    </w:p>
    <w:p w14:paraId="44DF2C85" w14:textId="62C8642E" w:rsidR="0047414F" w:rsidRDefault="0047414F" w:rsidP="0047414F">
      <w:pPr>
        <w:pStyle w:val="TOC2"/>
        <w:tabs>
          <w:tab w:val="left" w:pos="7371"/>
        </w:tabs>
        <w:rPr>
          <w:rFonts w:asciiTheme="minorHAnsi" w:eastAsiaTheme="minorEastAsia" w:hAnsiTheme="minorHAnsi" w:cstheme="minorBidi" w:hint="eastAsia"/>
          <w:noProof/>
        </w:rPr>
      </w:pPr>
      <w:r>
        <w:rPr>
          <w:noProof/>
        </w:rPr>
        <w:t>8.2.</w:t>
      </w:r>
      <w:r>
        <w:rPr>
          <w:rFonts w:asciiTheme="minorHAnsi" w:eastAsiaTheme="minorEastAsia" w:hAnsiTheme="minorHAnsi" w:cstheme="minorBidi"/>
          <w:noProof/>
        </w:rPr>
        <w:tab/>
      </w:r>
      <w:r>
        <w:rPr>
          <w:noProof/>
        </w:rPr>
        <w:t>Supporting M</w:t>
      </w:r>
      <w:r w:rsidRPr="003F2C4B">
        <w:rPr>
          <w:rFonts w:cs="Calibri"/>
          <w:noProof/>
        </w:rPr>
        <w:t>ā</w:t>
      </w:r>
      <w:r>
        <w:rPr>
          <w:noProof/>
        </w:rPr>
        <w:t>ori and Pacific registrars</w:t>
      </w:r>
      <w:r>
        <w:rPr>
          <w:noProof/>
        </w:rPr>
        <w:tab/>
      </w:r>
      <w:r>
        <w:rPr>
          <w:noProof/>
        </w:rPr>
        <w:fldChar w:fldCharType="begin"/>
      </w:r>
      <w:r>
        <w:rPr>
          <w:noProof/>
        </w:rPr>
        <w:instrText xml:space="preserve"> PAGEREF _Toc105853922 \h </w:instrText>
      </w:r>
      <w:r>
        <w:rPr>
          <w:noProof/>
        </w:rPr>
      </w:r>
      <w:r>
        <w:rPr>
          <w:noProof/>
        </w:rPr>
        <w:fldChar w:fldCharType="separate"/>
      </w:r>
      <w:r w:rsidR="005E0451">
        <w:rPr>
          <w:noProof/>
        </w:rPr>
        <w:t>66</w:t>
      </w:r>
      <w:r>
        <w:rPr>
          <w:noProof/>
        </w:rPr>
        <w:fldChar w:fldCharType="end"/>
      </w:r>
    </w:p>
    <w:p w14:paraId="40BBD324" w14:textId="7D64749D" w:rsidR="0047414F" w:rsidRDefault="0047414F" w:rsidP="0047414F">
      <w:pPr>
        <w:pStyle w:val="TOC2"/>
        <w:tabs>
          <w:tab w:val="left" w:pos="7371"/>
        </w:tabs>
        <w:rPr>
          <w:rFonts w:asciiTheme="minorHAnsi" w:eastAsiaTheme="minorEastAsia" w:hAnsiTheme="minorHAnsi" w:cstheme="minorBidi" w:hint="eastAsia"/>
          <w:noProof/>
        </w:rPr>
      </w:pPr>
      <w:r>
        <w:rPr>
          <w:noProof/>
        </w:rPr>
        <w:t>8.3.</w:t>
      </w:r>
      <w:r>
        <w:rPr>
          <w:rFonts w:asciiTheme="minorHAnsi" w:eastAsiaTheme="minorEastAsia" w:hAnsiTheme="minorHAnsi" w:cstheme="minorBidi"/>
          <w:noProof/>
        </w:rPr>
        <w:tab/>
      </w:r>
      <w:r>
        <w:rPr>
          <w:noProof/>
        </w:rPr>
        <w:t>Exposure to cultural learning and training</w:t>
      </w:r>
      <w:r>
        <w:rPr>
          <w:noProof/>
        </w:rPr>
        <w:tab/>
      </w:r>
      <w:r>
        <w:rPr>
          <w:noProof/>
        </w:rPr>
        <w:fldChar w:fldCharType="begin"/>
      </w:r>
      <w:r>
        <w:rPr>
          <w:noProof/>
        </w:rPr>
        <w:instrText xml:space="preserve"> PAGEREF _Toc105853923 \h </w:instrText>
      </w:r>
      <w:r>
        <w:rPr>
          <w:noProof/>
        </w:rPr>
      </w:r>
      <w:r>
        <w:rPr>
          <w:noProof/>
        </w:rPr>
        <w:fldChar w:fldCharType="separate"/>
      </w:r>
      <w:r w:rsidR="005E0451">
        <w:rPr>
          <w:noProof/>
        </w:rPr>
        <w:t>67</w:t>
      </w:r>
      <w:r>
        <w:rPr>
          <w:noProof/>
        </w:rPr>
        <w:fldChar w:fldCharType="end"/>
      </w:r>
    </w:p>
    <w:p w14:paraId="009FEA58" w14:textId="0D8ECD69" w:rsidR="0047414F" w:rsidRDefault="0047414F" w:rsidP="0047414F">
      <w:pPr>
        <w:pStyle w:val="TOC2"/>
        <w:tabs>
          <w:tab w:val="left" w:pos="7371"/>
        </w:tabs>
        <w:rPr>
          <w:rFonts w:asciiTheme="minorHAnsi" w:eastAsiaTheme="minorEastAsia" w:hAnsiTheme="minorHAnsi" w:cstheme="minorBidi" w:hint="eastAsia"/>
          <w:noProof/>
        </w:rPr>
      </w:pPr>
      <w:r>
        <w:rPr>
          <w:noProof/>
        </w:rPr>
        <w:t>8.4.</w:t>
      </w:r>
      <w:r>
        <w:rPr>
          <w:rFonts w:asciiTheme="minorHAnsi" w:eastAsiaTheme="minorEastAsia" w:hAnsiTheme="minorHAnsi" w:cstheme="minorBidi"/>
          <w:noProof/>
        </w:rPr>
        <w:tab/>
      </w:r>
      <w:r>
        <w:rPr>
          <w:noProof/>
        </w:rPr>
        <w:t>Expectations under Te Tiriti</w:t>
      </w:r>
      <w:r>
        <w:rPr>
          <w:noProof/>
        </w:rPr>
        <w:tab/>
      </w:r>
      <w:r>
        <w:rPr>
          <w:noProof/>
        </w:rPr>
        <w:fldChar w:fldCharType="begin"/>
      </w:r>
      <w:r>
        <w:rPr>
          <w:noProof/>
        </w:rPr>
        <w:instrText xml:space="preserve"> PAGEREF _Toc105853924 \h </w:instrText>
      </w:r>
      <w:r>
        <w:rPr>
          <w:noProof/>
        </w:rPr>
      </w:r>
      <w:r>
        <w:rPr>
          <w:noProof/>
        </w:rPr>
        <w:fldChar w:fldCharType="separate"/>
      </w:r>
      <w:r w:rsidR="005E0451">
        <w:rPr>
          <w:noProof/>
        </w:rPr>
        <w:t>68</w:t>
      </w:r>
      <w:r>
        <w:rPr>
          <w:noProof/>
        </w:rPr>
        <w:fldChar w:fldCharType="end"/>
      </w:r>
    </w:p>
    <w:p w14:paraId="11EDD26A" w14:textId="3211D172" w:rsidR="0047414F" w:rsidRDefault="0047414F" w:rsidP="0047414F">
      <w:pPr>
        <w:pStyle w:val="TOC1"/>
        <w:tabs>
          <w:tab w:val="left" w:pos="7371"/>
        </w:tabs>
        <w:rPr>
          <w:rFonts w:asciiTheme="minorHAnsi" w:eastAsiaTheme="minorEastAsia" w:hAnsiTheme="minorHAnsi" w:cstheme="minorBidi" w:hint="eastAsia"/>
          <w:b w:val="0"/>
          <w:noProof/>
        </w:rPr>
      </w:pPr>
      <w:r>
        <w:rPr>
          <w:noProof/>
        </w:rPr>
        <w:t>9.</w:t>
      </w:r>
      <w:r>
        <w:rPr>
          <w:rFonts w:asciiTheme="minorHAnsi" w:eastAsiaTheme="minorEastAsia" w:hAnsiTheme="minorHAnsi" w:cstheme="minorBidi"/>
          <w:b w:val="0"/>
          <w:noProof/>
        </w:rPr>
        <w:tab/>
      </w:r>
      <w:r>
        <w:rPr>
          <w:noProof/>
        </w:rPr>
        <w:t>Summary and recommendations</w:t>
      </w:r>
      <w:r>
        <w:rPr>
          <w:noProof/>
        </w:rPr>
        <w:tab/>
      </w:r>
      <w:r>
        <w:rPr>
          <w:noProof/>
        </w:rPr>
        <w:fldChar w:fldCharType="begin"/>
      </w:r>
      <w:r>
        <w:rPr>
          <w:noProof/>
        </w:rPr>
        <w:instrText xml:space="preserve"> PAGEREF _Toc105853925 \h </w:instrText>
      </w:r>
      <w:r>
        <w:rPr>
          <w:noProof/>
        </w:rPr>
      </w:r>
      <w:r>
        <w:rPr>
          <w:noProof/>
        </w:rPr>
        <w:fldChar w:fldCharType="separate"/>
      </w:r>
      <w:r w:rsidR="005E0451">
        <w:rPr>
          <w:noProof/>
        </w:rPr>
        <w:t>70</w:t>
      </w:r>
      <w:r>
        <w:rPr>
          <w:noProof/>
        </w:rPr>
        <w:fldChar w:fldCharType="end"/>
      </w:r>
    </w:p>
    <w:p w14:paraId="62820497" w14:textId="48CF486B" w:rsidR="0047414F" w:rsidRDefault="0047414F" w:rsidP="0047414F">
      <w:pPr>
        <w:pStyle w:val="TOC1"/>
        <w:tabs>
          <w:tab w:val="left" w:pos="7371"/>
        </w:tabs>
        <w:rPr>
          <w:rFonts w:asciiTheme="minorHAnsi" w:eastAsiaTheme="minorEastAsia" w:hAnsiTheme="minorHAnsi" w:cstheme="minorBidi" w:hint="eastAsia"/>
          <w:b w:val="0"/>
          <w:noProof/>
        </w:rPr>
      </w:pPr>
      <w:r>
        <w:rPr>
          <w:noProof/>
        </w:rPr>
        <w:t>Appendix One: Review questions</w:t>
      </w:r>
      <w:r>
        <w:rPr>
          <w:noProof/>
        </w:rPr>
        <w:tab/>
      </w:r>
      <w:r>
        <w:rPr>
          <w:noProof/>
        </w:rPr>
        <w:fldChar w:fldCharType="begin"/>
      </w:r>
      <w:r>
        <w:rPr>
          <w:noProof/>
        </w:rPr>
        <w:instrText xml:space="preserve"> PAGEREF _Toc105853931 \h </w:instrText>
      </w:r>
      <w:r>
        <w:rPr>
          <w:noProof/>
        </w:rPr>
      </w:r>
      <w:r>
        <w:rPr>
          <w:noProof/>
        </w:rPr>
        <w:fldChar w:fldCharType="separate"/>
      </w:r>
      <w:r w:rsidR="005E0451">
        <w:rPr>
          <w:noProof/>
        </w:rPr>
        <w:t>79</w:t>
      </w:r>
      <w:r>
        <w:rPr>
          <w:noProof/>
        </w:rPr>
        <w:fldChar w:fldCharType="end"/>
      </w:r>
    </w:p>
    <w:p w14:paraId="30F6FC7C" w14:textId="2BDCD9FA" w:rsidR="0047414F" w:rsidRDefault="0047414F" w:rsidP="0047414F">
      <w:pPr>
        <w:pStyle w:val="TOC1"/>
        <w:tabs>
          <w:tab w:val="left" w:pos="7371"/>
        </w:tabs>
        <w:rPr>
          <w:rFonts w:asciiTheme="minorHAnsi" w:eastAsiaTheme="minorEastAsia" w:hAnsiTheme="minorHAnsi" w:cstheme="minorBidi" w:hint="eastAsia"/>
          <w:b w:val="0"/>
          <w:noProof/>
        </w:rPr>
      </w:pPr>
      <w:r>
        <w:rPr>
          <w:noProof/>
        </w:rPr>
        <w:t>Appendix Two: Survey details</w:t>
      </w:r>
      <w:r>
        <w:rPr>
          <w:noProof/>
        </w:rPr>
        <w:tab/>
      </w:r>
      <w:r>
        <w:rPr>
          <w:noProof/>
        </w:rPr>
        <w:fldChar w:fldCharType="begin"/>
      </w:r>
      <w:r>
        <w:rPr>
          <w:noProof/>
        </w:rPr>
        <w:instrText xml:space="preserve"> PAGEREF _Toc105853932 \h </w:instrText>
      </w:r>
      <w:r>
        <w:rPr>
          <w:noProof/>
        </w:rPr>
      </w:r>
      <w:r>
        <w:rPr>
          <w:noProof/>
        </w:rPr>
        <w:fldChar w:fldCharType="separate"/>
      </w:r>
      <w:r w:rsidR="005E0451">
        <w:rPr>
          <w:noProof/>
        </w:rPr>
        <w:t>80</w:t>
      </w:r>
      <w:r>
        <w:rPr>
          <w:noProof/>
        </w:rPr>
        <w:fldChar w:fldCharType="end"/>
      </w:r>
    </w:p>
    <w:p w14:paraId="39E3123E" w14:textId="0E40DC8B" w:rsidR="00113282" w:rsidRPr="00CB5526" w:rsidRDefault="00A95C19" w:rsidP="0047414F">
      <w:pPr>
        <w:tabs>
          <w:tab w:val="left" w:pos="7371"/>
          <w:tab w:val="right" w:leader="dot" w:pos="7513"/>
        </w:tabs>
        <w:sectPr w:rsidR="00113282" w:rsidRPr="00CB5526" w:rsidSect="001E73F3">
          <w:headerReference w:type="default" r:id="rId15"/>
          <w:footerReference w:type="default" r:id="rId16"/>
          <w:pgSz w:w="11906" w:h="16838" w:code="9"/>
          <w:pgMar w:top="1985" w:right="1418" w:bottom="1985" w:left="2880" w:header="284" w:footer="567" w:gutter="0"/>
          <w:cols w:space="708"/>
          <w:docGrid w:linePitch="360"/>
        </w:sectPr>
      </w:pPr>
      <w:r w:rsidRPr="00CB5526">
        <w:rPr>
          <w:b/>
        </w:rPr>
        <w:fldChar w:fldCharType="end"/>
      </w:r>
    </w:p>
    <w:p w14:paraId="5007A3F7" w14:textId="62DF165A" w:rsidR="006C68FE" w:rsidRDefault="006C68FE" w:rsidP="00C4285B">
      <w:pPr>
        <w:pStyle w:val="MalaHeading1"/>
        <w:numPr>
          <w:ilvl w:val="0"/>
          <w:numId w:val="0"/>
        </w:numPr>
        <w:ind w:left="-993" w:firstLine="993"/>
      </w:pPr>
      <w:bookmarkStart w:id="1" w:name="_Toc105853873"/>
      <w:r w:rsidRPr="00CB5526">
        <w:lastRenderedPageBreak/>
        <w:t>Executive summary</w:t>
      </w:r>
      <w:bookmarkEnd w:id="1"/>
    </w:p>
    <w:p w14:paraId="01BD6B6E" w14:textId="77777777" w:rsidR="000F7CE5" w:rsidRDefault="000F7CE5" w:rsidP="000F7CE5">
      <w:pPr>
        <w:rPr>
          <w:lang w:eastAsia="en-GB"/>
        </w:rPr>
      </w:pPr>
      <w:r w:rsidRPr="005477FD">
        <w:rPr>
          <w:rFonts w:cs="Calibri"/>
          <w:lang w:eastAsia="en-GB"/>
        </w:rPr>
        <w:t xml:space="preserve">There is no doubt </w:t>
      </w:r>
      <w:r>
        <w:rPr>
          <w:rFonts w:cs="Calibri"/>
          <w:lang w:eastAsia="en-GB"/>
        </w:rPr>
        <w:t>about the importance of an effective primary healthcare system in Aotearoa New Zealand.</w:t>
      </w:r>
      <w:r w:rsidRPr="005477FD">
        <w:rPr>
          <w:rFonts w:cs="Calibri"/>
          <w:lang w:eastAsia="en-GB"/>
        </w:rPr>
        <w:t xml:space="preserve"> </w:t>
      </w:r>
      <w:r>
        <w:rPr>
          <w:lang w:eastAsia="en-GB"/>
        </w:rPr>
        <w:t xml:space="preserve">There is considerable evidence that prevention, early </w:t>
      </w:r>
      <w:proofErr w:type="gramStart"/>
      <w:r>
        <w:rPr>
          <w:lang w:eastAsia="en-GB"/>
        </w:rPr>
        <w:t>intervention</w:t>
      </w:r>
      <w:proofErr w:type="gramEnd"/>
      <w:r>
        <w:rPr>
          <w:lang w:eastAsia="en-GB"/>
        </w:rPr>
        <w:t xml:space="preserve"> and treatment in primary care reduce the costs associated with other parts of the health sector. </w:t>
      </w:r>
    </w:p>
    <w:p w14:paraId="4D466AAF" w14:textId="0194A488" w:rsidR="000F7CE5" w:rsidRDefault="000F7CE5" w:rsidP="000F7CE5">
      <w:pPr>
        <w:rPr>
          <w:rFonts w:cs="Calibri"/>
          <w:lang w:eastAsia="en-GB"/>
        </w:rPr>
      </w:pPr>
      <w:r>
        <w:rPr>
          <w:lang w:eastAsia="en-GB"/>
        </w:rPr>
        <w:t>General practitioners (</w:t>
      </w:r>
      <w:r>
        <w:rPr>
          <w:rFonts w:cs="Calibri"/>
          <w:lang w:eastAsia="en-GB"/>
        </w:rPr>
        <w:t xml:space="preserve">GPs) have a core role in delivering primary </w:t>
      </w:r>
      <w:proofErr w:type="gramStart"/>
      <w:r>
        <w:rPr>
          <w:rFonts w:cs="Calibri"/>
          <w:lang w:eastAsia="en-GB"/>
        </w:rPr>
        <w:t>care</w:t>
      </w:r>
      <w:proofErr w:type="gramEnd"/>
      <w:r>
        <w:rPr>
          <w:rFonts w:cs="Calibri"/>
          <w:lang w:eastAsia="en-GB"/>
        </w:rPr>
        <w:t xml:space="preserve"> but the workforce is aging and access to a general practice is difficult for some communities. Increasing the numbers of GPs is important to strengthen the workforce. </w:t>
      </w:r>
    </w:p>
    <w:p w14:paraId="4B6DE508" w14:textId="32A51CB5" w:rsidR="00C22056" w:rsidRDefault="00D334C0" w:rsidP="00CF54D0">
      <w:r>
        <w:t>Manat</w:t>
      </w:r>
      <w:r>
        <w:rPr>
          <w:rFonts w:cs="Calibri"/>
        </w:rPr>
        <w:t>ū</w:t>
      </w:r>
      <w:r>
        <w:t xml:space="preserve"> Hauora/</w:t>
      </w:r>
      <w:r w:rsidR="00C4285B">
        <w:t>Ministry of Health</w:t>
      </w:r>
      <w:r w:rsidR="00317C83">
        <w:t xml:space="preserve"> </w:t>
      </w:r>
      <w:r w:rsidR="00C4285B">
        <w:t xml:space="preserve">has commissioned a review of the General Practitioner Education Programme (GPEP) funding model. </w:t>
      </w:r>
      <w:r w:rsidR="00C22056">
        <w:t xml:space="preserve">GPEP </w:t>
      </w:r>
      <w:r w:rsidR="005E1303">
        <w:t>has been</w:t>
      </w:r>
      <w:r w:rsidR="00C22056">
        <w:t xml:space="preserve"> delivered by the Royal New Zealand College of General Practitioners (RNZCGP – the College) through a funding agreement with MOH. </w:t>
      </w:r>
    </w:p>
    <w:p w14:paraId="40D34F2D" w14:textId="0DCBAE36" w:rsidR="00C4285B" w:rsidRDefault="00C4285B" w:rsidP="00CF54D0">
      <w:r w:rsidRPr="00F43B90">
        <w:t>The specific question to be addressed through th</w:t>
      </w:r>
      <w:r w:rsidR="00AF4381">
        <w:t>is</w:t>
      </w:r>
      <w:r w:rsidRPr="00F43B90">
        <w:t xml:space="preserve"> review is whether the current GPEP contract supports the best outcomes for the recruitment and retention of the GP workforce</w:t>
      </w:r>
      <w:r w:rsidR="00EA5C63">
        <w:t>.</w:t>
      </w:r>
      <w:r w:rsidR="003C0824">
        <w:t xml:space="preserve"> The review </w:t>
      </w:r>
      <w:r w:rsidR="00150704">
        <w:t xml:space="preserve">scope </w:t>
      </w:r>
      <w:r w:rsidR="00AF4381">
        <w:t xml:space="preserve">is </w:t>
      </w:r>
      <w:r w:rsidR="003C0824">
        <w:t>the extent the GPEP funding model is an effective vehicle to attract registrars to GPEP and to enable a clinically and culturally competent GP workforce across Aotearoa New Zealand.</w:t>
      </w:r>
    </w:p>
    <w:p w14:paraId="59E6FCAC" w14:textId="52995302" w:rsidR="00812613" w:rsidRDefault="00812613" w:rsidP="00CF54D0">
      <w:r>
        <w:t xml:space="preserve">The focus of the review is only part of the GP registrar pipeline. The numbers of students including Māori and Pacific students entering Medical School, their Medical School and post-graduate experiences all influence their </w:t>
      </w:r>
      <w:r w:rsidR="00C00E2B">
        <w:t>entry to</w:t>
      </w:r>
      <w:r>
        <w:t xml:space="preserve"> GPEP.</w:t>
      </w:r>
    </w:p>
    <w:p w14:paraId="300ECCC2" w14:textId="744770D2" w:rsidR="00C4285B" w:rsidRDefault="00C4285B" w:rsidP="00CF54D0">
      <w:r>
        <w:t>The review has been informed by triangulation of information from document</w:t>
      </w:r>
      <w:r w:rsidR="00317C83">
        <w:t xml:space="preserve"> </w:t>
      </w:r>
      <w:r>
        <w:t>review</w:t>
      </w:r>
      <w:r w:rsidR="00317C83">
        <w:t>s</w:t>
      </w:r>
      <w:r>
        <w:t xml:space="preserve">, economic analyses, interviews with relevant organisations, and interviews and surveys with </w:t>
      </w:r>
      <w:r w:rsidR="00EA5C63">
        <w:t xml:space="preserve">GPEP </w:t>
      </w:r>
      <w:r>
        <w:t xml:space="preserve">registrars, </w:t>
      </w:r>
      <w:r w:rsidR="00EA5C63">
        <w:t xml:space="preserve">College fellows, </w:t>
      </w:r>
      <w:r w:rsidR="00C00E2B">
        <w:t>medical educators</w:t>
      </w:r>
      <w:r>
        <w:t xml:space="preserve"> and practices </w:t>
      </w:r>
      <w:r w:rsidR="000F7CE5">
        <w:t>accredited to provide</w:t>
      </w:r>
      <w:r>
        <w:t xml:space="preserve"> teaching placements.</w:t>
      </w:r>
    </w:p>
    <w:p w14:paraId="38E479E1" w14:textId="77777777" w:rsidR="00DD6ACB" w:rsidRDefault="00DD6ACB" w:rsidP="00DD6ACB">
      <w:pPr>
        <w:pStyle w:val="Malaheading2"/>
        <w:numPr>
          <w:ilvl w:val="0"/>
          <w:numId w:val="0"/>
        </w:numPr>
      </w:pPr>
      <w:bookmarkStart w:id="2" w:name="_Toc105853874"/>
      <w:bookmarkStart w:id="3" w:name="_Toc104816902"/>
      <w:r>
        <w:t>Addressing the identified barriers requires responses that extend beyond the current scope of the funding model</w:t>
      </w:r>
      <w:bookmarkEnd w:id="2"/>
      <w:r>
        <w:t xml:space="preserve"> </w:t>
      </w:r>
    </w:p>
    <w:p w14:paraId="573B8F22" w14:textId="7D7309FB" w:rsidR="007B46BF" w:rsidRDefault="009D7B78" w:rsidP="00F91319">
      <w:r>
        <w:t xml:space="preserve">Synthesis of information </w:t>
      </w:r>
      <w:r w:rsidR="00762299">
        <w:t xml:space="preserve">for </w:t>
      </w:r>
      <w:r>
        <w:t>the review</w:t>
      </w:r>
      <w:r w:rsidR="000F7CE5">
        <w:t xml:space="preserve"> has</w:t>
      </w:r>
      <w:r>
        <w:t xml:space="preserve"> identified </w:t>
      </w:r>
      <w:r w:rsidR="008F1907">
        <w:t xml:space="preserve">barriers to </w:t>
      </w:r>
      <w:r w:rsidR="00721DFC">
        <w:t xml:space="preserve">recruiting and retaining </w:t>
      </w:r>
      <w:r w:rsidR="007B46BF">
        <w:t>the</w:t>
      </w:r>
      <w:r w:rsidR="00721DFC">
        <w:t xml:space="preserve"> GP workforce</w:t>
      </w:r>
      <w:r w:rsidR="008F1907">
        <w:t xml:space="preserve"> </w:t>
      </w:r>
      <w:r w:rsidR="00762299">
        <w:t xml:space="preserve">required for an effective primary healthcare system in </w:t>
      </w:r>
      <w:r w:rsidR="007B46BF">
        <w:t xml:space="preserve">Aotearoa New Zealand. </w:t>
      </w:r>
    </w:p>
    <w:p w14:paraId="4D597217" w14:textId="12938393" w:rsidR="00F91319" w:rsidRDefault="00F91319" w:rsidP="00F91319">
      <w:r>
        <w:t xml:space="preserve">The Health System reforms provide a unique opportunity to respond to the review findings </w:t>
      </w:r>
      <w:r w:rsidR="00CF54D0">
        <w:t>and</w:t>
      </w:r>
      <w:r>
        <w:t xml:space="preserve"> develop innovative and more equitable approaches to building Aotearoa New Zealand’s GP workforce. </w:t>
      </w:r>
      <w:r w:rsidR="009D7B78">
        <w:t xml:space="preserve">Forming new partnerships and strengthening existing partnerships </w:t>
      </w:r>
      <w:r w:rsidR="00E64249">
        <w:t>provide</w:t>
      </w:r>
      <w:r w:rsidR="00CF54D0">
        <w:t xml:space="preserve">s the </w:t>
      </w:r>
      <w:r w:rsidR="009D7B78">
        <w:t>foundation for positive changes.</w:t>
      </w:r>
    </w:p>
    <w:p w14:paraId="6B878F10" w14:textId="6070AC28" w:rsidR="008027A2" w:rsidRDefault="00C00E2B" w:rsidP="008027A2">
      <w:pPr>
        <w:rPr>
          <w:lang w:eastAsia="en-GB"/>
        </w:rPr>
      </w:pPr>
      <w:r>
        <w:rPr>
          <w:lang w:eastAsia="en-GB"/>
        </w:rPr>
        <w:br w:type="column"/>
      </w:r>
      <w:r w:rsidR="008027A2">
        <w:rPr>
          <w:lang w:eastAsia="en-GB"/>
        </w:rPr>
        <w:lastRenderedPageBreak/>
        <w:t>The recommendations below are premised on:</w:t>
      </w:r>
    </w:p>
    <w:p w14:paraId="4B0B3EB5" w14:textId="54CC2BDB" w:rsidR="00766440" w:rsidRDefault="00D334C0" w:rsidP="008027A2">
      <w:pPr>
        <w:pStyle w:val="Bulleted"/>
        <w:rPr>
          <w:lang w:eastAsia="en-GB"/>
        </w:rPr>
      </w:pPr>
      <w:r>
        <w:t>Manat</w:t>
      </w:r>
      <w:r>
        <w:rPr>
          <w:rFonts w:cs="Calibri"/>
        </w:rPr>
        <w:t>ū</w:t>
      </w:r>
      <w:r>
        <w:t xml:space="preserve"> Hauora</w:t>
      </w:r>
      <w:r w:rsidR="00766440">
        <w:rPr>
          <w:lang w:eastAsia="en-GB"/>
        </w:rPr>
        <w:t xml:space="preserve"> obligations under Te Tiriti o Waitangi and the importance of achieving equitable outcomes for Māori </w:t>
      </w:r>
    </w:p>
    <w:p w14:paraId="4A883BB8" w14:textId="3699F2FA" w:rsidR="008027A2" w:rsidRDefault="008027A2" w:rsidP="008027A2">
      <w:pPr>
        <w:pStyle w:val="Bulleted"/>
        <w:rPr>
          <w:lang w:eastAsia="en-GB"/>
        </w:rPr>
      </w:pPr>
      <w:r>
        <w:rPr>
          <w:lang w:eastAsia="en-GB"/>
        </w:rPr>
        <w:t>Ensuring GPEP continues to offer flexible and part-time training options</w:t>
      </w:r>
    </w:p>
    <w:p w14:paraId="6767D2B0" w14:textId="2ABDFA12" w:rsidR="008027A2" w:rsidRDefault="008027A2" w:rsidP="008027A2">
      <w:pPr>
        <w:pStyle w:val="Bulleted"/>
        <w:rPr>
          <w:lang w:eastAsia="en-GB"/>
        </w:rPr>
      </w:pPr>
      <w:r>
        <w:rPr>
          <w:lang w:eastAsia="en-GB"/>
        </w:rPr>
        <w:t xml:space="preserve">GPEP </w:t>
      </w:r>
      <w:r w:rsidR="000F7CE5">
        <w:rPr>
          <w:lang w:eastAsia="en-GB"/>
        </w:rPr>
        <w:t>is funded</w:t>
      </w:r>
      <w:r>
        <w:rPr>
          <w:lang w:eastAsia="en-GB"/>
        </w:rPr>
        <w:t xml:space="preserve"> from the public purse as other vocational specialities.</w:t>
      </w:r>
    </w:p>
    <w:p w14:paraId="2841B8F9" w14:textId="77777777" w:rsidR="00AE1B2C" w:rsidRDefault="00AE1B2C" w:rsidP="00AE1B2C">
      <w:pPr>
        <w:pStyle w:val="Malaheading2"/>
        <w:numPr>
          <w:ilvl w:val="0"/>
          <w:numId w:val="0"/>
        </w:numPr>
      </w:pPr>
      <w:bookmarkStart w:id="4" w:name="_Toc105853875"/>
      <w:r>
        <w:t>An equity lens is essential in considering the extent the GPEP funding model supports a culturally competent general practice workforce.</w:t>
      </w:r>
      <w:bookmarkEnd w:id="4"/>
      <w:r>
        <w:t xml:space="preserve"> </w:t>
      </w:r>
    </w:p>
    <w:p w14:paraId="34A12E0D" w14:textId="052B7EAA" w:rsidR="00D33949" w:rsidRDefault="00D33949" w:rsidP="00D33949">
      <w:bookmarkStart w:id="5" w:name="_Hlk105854820"/>
      <w:r>
        <w:t xml:space="preserve">Achieving the </w:t>
      </w:r>
      <w:proofErr w:type="spellStart"/>
      <w:r w:rsidRPr="00142221">
        <w:rPr>
          <w:i/>
          <w:iCs/>
        </w:rPr>
        <w:t>Whakamaua</w:t>
      </w:r>
      <w:proofErr w:type="spellEnd"/>
      <w:r w:rsidRPr="00142221">
        <w:rPr>
          <w:i/>
          <w:iCs/>
        </w:rPr>
        <w:t>: Māori Health Action Plan</w:t>
      </w:r>
      <w:r>
        <w:rPr>
          <w:rStyle w:val="FootnoteReference"/>
          <w:lang w:eastAsia="en-GB"/>
        </w:rPr>
        <w:footnoteReference w:id="2"/>
      </w:r>
      <w:r>
        <w:t xml:space="preserve"> outcomes</w:t>
      </w:r>
      <w:r w:rsidR="00C00E2B">
        <w:t xml:space="preserve">, </w:t>
      </w:r>
      <w:r>
        <w:t>health sector obligations under Te Tiriti</w:t>
      </w:r>
      <w:r w:rsidR="00880999">
        <w:t xml:space="preserve"> and </w:t>
      </w:r>
      <w:r w:rsidR="00880999" w:rsidRPr="00880999">
        <w:t xml:space="preserve">the </w:t>
      </w:r>
      <w:r w:rsidR="00880999" w:rsidRPr="00C00E2B">
        <w:rPr>
          <w:i/>
          <w:iCs/>
          <w:lang w:val="en-US"/>
        </w:rPr>
        <w:t xml:space="preserve">Ola </w:t>
      </w:r>
      <w:proofErr w:type="spellStart"/>
      <w:r w:rsidR="00880999" w:rsidRPr="00C00E2B">
        <w:rPr>
          <w:i/>
          <w:iCs/>
          <w:lang w:val="en-US"/>
        </w:rPr>
        <w:t>Manuia</w:t>
      </w:r>
      <w:proofErr w:type="spellEnd"/>
      <w:r w:rsidR="00880999" w:rsidRPr="00C00E2B">
        <w:rPr>
          <w:i/>
          <w:iCs/>
          <w:lang w:val="en-US"/>
        </w:rPr>
        <w:t>: Pacific Health and Wellbeing Action Plan</w:t>
      </w:r>
      <w:r w:rsidR="00880999">
        <w:rPr>
          <w:rStyle w:val="FootnoteReference"/>
          <w:lang w:val="en-US"/>
        </w:rPr>
        <w:footnoteReference w:id="3"/>
      </w:r>
      <w:r>
        <w:t xml:space="preserve"> </w:t>
      </w:r>
      <w:r w:rsidR="00880999">
        <w:t xml:space="preserve">outcomes </w:t>
      </w:r>
      <w:r>
        <w:t>provide context to the GPEP review and must be considered in responses to the review findings and recommendations.</w:t>
      </w:r>
    </w:p>
    <w:p w14:paraId="1D53D5F7" w14:textId="290ADABA" w:rsidR="00D33949" w:rsidRDefault="00D33949" w:rsidP="00D33949">
      <w:r>
        <w:t>There are inequitable outcomes for Māori and Pacific people</w:t>
      </w:r>
      <w:r w:rsidR="00C00E2B">
        <w:t>s</w:t>
      </w:r>
      <w:r>
        <w:t xml:space="preserve"> in the current health system. </w:t>
      </w:r>
      <w:r w:rsidR="00E55A28">
        <w:t xml:space="preserve">Mana </w:t>
      </w:r>
      <w:proofErr w:type="spellStart"/>
      <w:r w:rsidR="00E55A28">
        <w:t>Taurite</w:t>
      </w:r>
      <w:proofErr w:type="spellEnd"/>
      <w:r w:rsidR="00E55A28">
        <w:t xml:space="preserve"> (</w:t>
      </w:r>
      <w:r w:rsidR="008119EF">
        <w:t>E</w:t>
      </w:r>
      <w:r w:rsidR="00AE1B2C">
        <w:t>quity</w:t>
      </w:r>
      <w:r w:rsidR="00E55A28">
        <w:t>)</w:t>
      </w:r>
      <w:r w:rsidR="00AE1B2C">
        <w:t xml:space="preserve"> must be reflected in the GPEP funding model, the employment model, support for registrars and in enabling opportunities for placements with kaupapa Māori providers</w:t>
      </w:r>
      <w:r w:rsidR="00AE1B2C" w:rsidRPr="00D33949">
        <w:rPr>
          <w:vertAlign w:val="superscript"/>
        </w:rPr>
        <w:footnoteReference w:id="4"/>
      </w:r>
      <w:r w:rsidR="00AE1B2C">
        <w:t xml:space="preserve"> for all registrars.</w:t>
      </w:r>
      <w:r w:rsidRPr="00D33949">
        <w:t xml:space="preserve"> </w:t>
      </w:r>
    </w:p>
    <w:p w14:paraId="78EFEA2D" w14:textId="7AB829CF" w:rsidR="00D33949" w:rsidRDefault="00D33949" w:rsidP="00D33949">
      <w:r>
        <w:t xml:space="preserve">A culturally competent GP workforce that includes more Māori and Pacific GPs will contribute to breaking down barriers for Māori and Pacific to access general practice and receive culturally safe healthcare. </w:t>
      </w:r>
      <w:proofErr w:type="spellStart"/>
      <w:r>
        <w:t>K</w:t>
      </w:r>
      <w:r w:rsidRPr="00835C5B">
        <w:rPr>
          <w:rFonts w:cs="Calibri"/>
        </w:rPr>
        <w:t>ō</w:t>
      </w:r>
      <w:r>
        <w:t>whiringa</w:t>
      </w:r>
      <w:proofErr w:type="spellEnd"/>
      <w:r>
        <w:t xml:space="preserve"> includes resourcing Māori and Pacific general practices to become accredited teaching practices and supporting more Māori and Pacific GPs to be involved in teaching.</w:t>
      </w:r>
    </w:p>
    <w:p w14:paraId="591DDB6B" w14:textId="1311AEF5" w:rsidR="00D33949" w:rsidRDefault="00D33949" w:rsidP="00D33949">
      <w:r w:rsidRPr="009A009B">
        <w:t>Tino Rangatiratanga</w:t>
      </w:r>
      <w:r w:rsidR="00E55A28">
        <w:t xml:space="preserve"> and </w:t>
      </w:r>
      <w:proofErr w:type="spellStart"/>
      <w:r>
        <w:t>P</w:t>
      </w:r>
      <w:r w:rsidRPr="00D33949">
        <w:t>ā</w:t>
      </w:r>
      <w:r>
        <w:t>tuitanga</w:t>
      </w:r>
      <w:proofErr w:type="spellEnd"/>
      <w:r>
        <w:t xml:space="preserve"> (Partnerships) between health sector organisations and Māori are a Te Tiriti obligation and change will not be achieved without partnerships at national and regional levels.</w:t>
      </w:r>
    </w:p>
    <w:p w14:paraId="6936C724" w14:textId="71932388" w:rsidR="00917B06" w:rsidRDefault="00917B06" w:rsidP="00E55A28">
      <w:proofErr w:type="spellStart"/>
      <w:r>
        <w:t>Whakamarumarutia</w:t>
      </w:r>
      <w:proofErr w:type="spellEnd"/>
      <w:r w:rsidR="00E55A28">
        <w:t xml:space="preserve"> (</w:t>
      </w:r>
      <w:r w:rsidR="008119EF">
        <w:t>A</w:t>
      </w:r>
      <w:r w:rsidR="00E55A28">
        <w:t xml:space="preserve">ctive </w:t>
      </w:r>
      <w:r w:rsidR="008119EF">
        <w:t>P</w:t>
      </w:r>
      <w:r w:rsidR="00E55A28">
        <w:t>rotection) requires ongoing m</w:t>
      </w:r>
      <w:r w:rsidR="00835C5B">
        <w:t xml:space="preserve">onitoring </w:t>
      </w:r>
      <w:r w:rsidR="00E55A28">
        <w:t>and evaluation of strategies put in place to respond to the review</w:t>
      </w:r>
      <w:r w:rsidR="00835C5B">
        <w:t>.</w:t>
      </w:r>
    </w:p>
    <w:p w14:paraId="48D7545A" w14:textId="4BBB3284" w:rsidR="008F1907" w:rsidRDefault="00DD6ACB" w:rsidP="00AC697B">
      <w:pPr>
        <w:pStyle w:val="Malaheading2"/>
        <w:numPr>
          <w:ilvl w:val="0"/>
          <w:numId w:val="0"/>
        </w:numPr>
      </w:pPr>
      <w:bookmarkStart w:id="6" w:name="_Toc105853876"/>
      <w:bookmarkEnd w:id="5"/>
      <w:r>
        <w:lastRenderedPageBreak/>
        <w:t>I</w:t>
      </w:r>
      <w:r w:rsidR="00F91319" w:rsidRPr="00B650A6">
        <w:t>nhibitors within the current model that may be a barrier to improving the number and distribution of GP training and supply</w:t>
      </w:r>
      <w:bookmarkEnd w:id="6"/>
      <w:r w:rsidR="00F91319">
        <w:t xml:space="preserve"> </w:t>
      </w:r>
    </w:p>
    <w:p w14:paraId="0522E608" w14:textId="77777777" w:rsidR="00721DFC" w:rsidRDefault="00721DFC" w:rsidP="008F1907">
      <w:pPr>
        <w:rPr>
          <w:lang w:eastAsia="en-GB"/>
        </w:rPr>
      </w:pPr>
      <w:r>
        <w:rPr>
          <w:lang w:eastAsia="en-GB"/>
        </w:rPr>
        <w:t xml:space="preserve">General practice is seen in the health sector as a ‘lesser’ profession. Lack of positive GP role models in DHB settings in post-graduate years, perceptions of GPEP as less rigorous than other vocational training programmes and ability to practice as a GP without completing GPEP contribute to this perception. </w:t>
      </w:r>
    </w:p>
    <w:p w14:paraId="1C06FE07" w14:textId="7C9250A7" w:rsidR="00F91319" w:rsidRDefault="004B2C53" w:rsidP="00F91319">
      <w:pPr>
        <w:rPr>
          <w:lang w:eastAsia="en-GB"/>
        </w:rPr>
      </w:pPr>
      <w:r>
        <w:rPr>
          <w:lang w:eastAsia="en-GB"/>
        </w:rPr>
        <w:t>A</w:t>
      </w:r>
      <w:r w:rsidR="00F91319">
        <w:rPr>
          <w:lang w:eastAsia="en-GB"/>
        </w:rPr>
        <w:t xml:space="preserve"> difference in income between general practice and hospital-based </w:t>
      </w:r>
      <w:r w:rsidR="00762299">
        <w:rPr>
          <w:lang w:eastAsia="en-GB"/>
        </w:rPr>
        <w:t>registrars</w:t>
      </w:r>
      <w:r w:rsidR="00F91319">
        <w:rPr>
          <w:lang w:eastAsia="en-GB"/>
        </w:rPr>
        <w:t xml:space="preserve"> </w:t>
      </w:r>
      <w:r w:rsidR="003146F4">
        <w:rPr>
          <w:lang w:eastAsia="en-GB"/>
        </w:rPr>
        <w:t>was the most widely identified</w:t>
      </w:r>
      <w:r w:rsidR="00F91319">
        <w:rPr>
          <w:lang w:eastAsia="en-GB"/>
        </w:rPr>
        <w:t xml:space="preserve"> barrier to entering GPEP. Although base salaries </w:t>
      </w:r>
      <w:r w:rsidR="003146F4">
        <w:rPr>
          <w:lang w:eastAsia="en-GB"/>
        </w:rPr>
        <w:t xml:space="preserve">for GPEP and DHB registrars </w:t>
      </w:r>
      <w:r w:rsidR="00F91319">
        <w:rPr>
          <w:lang w:eastAsia="en-GB"/>
        </w:rPr>
        <w:t xml:space="preserve">may appear similar, the terms and conditions and the employment category effectively result in lower incomes for </w:t>
      </w:r>
      <w:proofErr w:type="gramStart"/>
      <w:r w:rsidR="00F91319">
        <w:rPr>
          <w:lang w:eastAsia="en-GB"/>
        </w:rPr>
        <w:t>College</w:t>
      </w:r>
      <w:proofErr w:type="gramEnd"/>
      <w:r w:rsidR="00F91319">
        <w:rPr>
          <w:lang w:eastAsia="en-GB"/>
        </w:rPr>
        <w:t xml:space="preserve"> employed GPEP 1 registrars. In DHB settings, registrars also have opportunities to bolster their incomes through overtime payments.</w:t>
      </w:r>
    </w:p>
    <w:p w14:paraId="534C0232" w14:textId="26FD1DA6" w:rsidR="00F91319" w:rsidRDefault="00F91319" w:rsidP="00F91319">
      <w:pPr>
        <w:rPr>
          <w:lang w:eastAsia="en-GB"/>
        </w:rPr>
      </w:pPr>
      <w:r>
        <w:rPr>
          <w:lang w:eastAsia="en-GB"/>
        </w:rPr>
        <w:t xml:space="preserve">Combined with perceptions of general practice as a ‘lesser’ speciality, the income difference results in a workforce that prioritises flexibility and part-time training and/or is committed to community practice and primary care. Increases in the complexity of general practice, reports of high workloads, changes in the traditional model and reduced ability to generate incomes as practice owners all contribute to making general practice look </w:t>
      </w:r>
      <w:r w:rsidR="00762299">
        <w:rPr>
          <w:lang w:eastAsia="en-GB"/>
        </w:rPr>
        <w:t xml:space="preserve">a </w:t>
      </w:r>
      <w:r>
        <w:rPr>
          <w:lang w:eastAsia="en-GB"/>
        </w:rPr>
        <w:t>less appealing</w:t>
      </w:r>
      <w:r w:rsidR="00762299">
        <w:rPr>
          <w:lang w:eastAsia="en-GB"/>
        </w:rPr>
        <w:t xml:space="preserve"> vocational choice.</w:t>
      </w:r>
    </w:p>
    <w:p w14:paraId="345FEB5F" w14:textId="355AC25D" w:rsidR="00BD28B4" w:rsidRDefault="00BD28B4" w:rsidP="00BD28B4">
      <w:pPr>
        <w:rPr>
          <w:lang w:eastAsia="en-GB"/>
        </w:rPr>
      </w:pPr>
      <w:r>
        <w:rPr>
          <w:lang w:eastAsia="en-GB"/>
        </w:rPr>
        <w:t xml:space="preserve">Responding to recruitment barriers requires GPEP and DHB registrar incomes to be aligned alongside promoting general practice </w:t>
      </w:r>
      <w:r w:rsidR="00A55075">
        <w:rPr>
          <w:lang w:eastAsia="en-GB"/>
        </w:rPr>
        <w:t xml:space="preserve">in </w:t>
      </w:r>
      <w:r>
        <w:rPr>
          <w:lang w:eastAsia="en-GB"/>
        </w:rPr>
        <w:t xml:space="preserve">Medical School and post-graduate settings. Aligning employment terms and conditions does not mean </w:t>
      </w:r>
      <w:r w:rsidR="000F7CE5">
        <w:rPr>
          <w:lang w:eastAsia="en-GB"/>
        </w:rPr>
        <w:t>incomes</w:t>
      </w:r>
      <w:r>
        <w:rPr>
          <w:lang w:eastAsia="en-GB"/>
        </w:rPr>
        <w:t xml:space="preserve"> would </w:t>
      </w:r>
      <w:r w:rsidR="005E1303">
        <w:rPr>
          <w:lang w:eastAsia="en-GB"/>
        </w:rPr>
        <w:t xml:space="preserve">necessarily </w:t>
      </w:r>
      <w:r>
        <w:rPr>
          <w:lang w:eastAsia="en-GB"/>
        </w:rPr>
        <w:t xml:space="preserve">be the same for </w:t>
      </w:r>
      <w:r w:rsidR="00944B7D">
        <w:rPr>
          <w:lang w:eastAsia="en-GB"/>
        </w:rPr>
        <w:t xml:space="preserve">registrars across different </w:t>
      </w:r>
      <w:r>
        <w:rPr>
          <w:lang w:eastAsia="en-GB"/>
        </w:rPr>
        <w:t>vocational programmes</w:t>
      </w:r>
      <w:r w:rsidR="004B2C53">
        <w:rPr>
          <w:lang w:eastAsia="en-GB"/>
        </w:rPr>
        <w:t xml:space="preserve"> but would provide transparency</w:t>
      </w:r>
      <w:r w:rsidR="00766440">
        <w:rPr>
          <w:lang w:eastAsia="en-GB"/>
        </w:rPr>
        <w:t xml:space="preserve"> about the reasons for any </w:t>
      </w:r>
      <w:r w:rsidR="003E09DA">
        <w:rPr>
          <w:lang w:eastAsia="en-GB"/>
        </w:rPr>
        <w:t>differences</w:t>
      </w:r>
      <w:r w:rsidR="000F7CE5">
        <w:rPr>
          <w:lang w:eastAsia="en-GB"/>
        </w:rPr>
        <w:t>,</w:t>
      </w:r>
      <w:r w:rsidR="003E09DA">
        <w:rPr>
          <w:lang w:eastAsia="en-GB"/>
        </w:rPr>
        <w:t xml:space="preserve"> such as part-time </w:t>
      </w:r>
      <w:r w:rsidR="005E1303">
        <w:rPr>
          <w:lang w:eastAsia="en-GB"/>
        </w:rPr>
        <w:t xml:space="preserve">or on call </w:t>
      </w:r>
      <w:r w:rsidR="003E09DA">
        <w:rPr>
          <w:lang w:eastAsia="en-GB"/>
        </w:rPr>
        <w:t>work</w:t>
      </w:r>
      <w:r>
        <w:rPr>
          <w:lang w:eastAsia="en-GB"/>
        </w:rPr>
        <w:t>.</w:t>
      </w:r>
      <w:r w:rsidR="008065FA" w:rsidRPr="008065FA">
        <w:rPr>
          <w:lang w:eastAsia="en-GB"/>
        </w:rPr>
        <w:t xml:space="preserve"> </w:t>
      </w:r>
      <w:r w:rsidR="008065FA">
        <w:rPr>
          <w:lang w:eastAsia="en-GB"/>
        </w:rPr>
        <w:t>Incentives may also have a role to play in attracting doctors to general practice.</w:t>
      </w:r>
    </w:p>
    <w:p w14:paraId="567828D8" w14:textId="4003724A" w:rsidR="008119EF" w:rsidRDefault="008065FA">
      <w:bookmarkStart w:id="7" w:name="_Hlk105571109"/>
      <w:r>
        <w:t>Separation of employ</w:t>
      </w:r>
      <w:r w:rsidR="003E09DA">
        <w:t>er</w:t>
      </w:r>
      <w:r>
        <w:t xml:space="preserve"> and educator roles is likely to enable standardisation of terms and conditions of GPEP registrar employment within GPEP</w:t>
      </w:r>
      <w:r w:rsidR="008119EF">
        <w:t xml:space="preserve">, </w:t>
      </w:r>
      <w:r>
        <w:t>between GPEP and other vocational opportunities</w:t>
      </w:r>
      <w:r w:rsidR="0038173B">
        <w:t xml:space="preserve"> and provide transparency</w:t>
      </w:r>
      <w:r>
        <w:t>. Those we interviewed provided examples of a conflict between the College</w:t>
      </w:r>
      <w:r w:rsidR="0098010D">
        <w:t>’s</w:t>
      </w:r>
      <w:r>
        <w:t xml:space="preserve"> </w:t>
      </w:r>
      <w:r w:rsidR="000751A6">
        <w:t xml:space="preserve">current roles </w:t>
      </w:r>
      <w:r>
        <w:t xml:space="preserve">as an employer and an educator. From the College’s perspective there are challenges </w:t>
      </w:r>
      <w:r w:rsidR="0098010D">
        <w:t xml:space="preserve">in </w:t>
      </w:r>
      <w:r>
        <w:t>being responsible for the health and safety of registrars employed in different practices around the country.</w:t>
      </w:r>
      <w:r w:rsidR="00944B7D">
        <w:t xml:space="preserve"> </w:t>
      </w:r>
    </w:p>
    <w:p w14:paraId="2554C482" w14:textId="77777777" w:rsidR="00E55A28" w:rsidRDefault="008119EF">
      <w:r>
        <w:br w:type="column"/>
      </w:r>
    </w:p>
    <w:tbl>
      <w:tblPr>
        <w:tblStyle w:val="MITableClassic"/>
        <w:tblW w:w="0" w:type="auto"/>
        <w:shd w:val="clear" w:color="auto" w:fill="D0D9EA" w:themeFill="accent1" w:themeFillTint="33"/>
        <w:tblLook w:val="0480" w:firstRow="0" w:lastRow="0" w:firstColumn="1" w:lastColumn="0" w:noHBand="0" w:noVBand="1"/>
      </w:tblPr>
      <w:tblGrid>
        <w:gridCol w:w="7608"/>
      </w:tblGrid>
      <w:tr w:rsidR="00F91319" w14:paraId="6548475B" w14:textId="77777777" w:rsidTr="008065FA">
        <w:trPr>
          <w:cantSplit w:val="0"/>
        </w:trPr>
        <w:tc>
          <w:tcPr>
            <w:cnfStyle w:val="001000000000" w:firstRow="0" w:lastRow="0" w:firstColumn="1" w:lastColumn="0" w:oddVBand="0" w:evenVBand="0" w:oddHBand="0" w:evenHBand="0" w:firstRowFirstColumn="0" w:firstRowLastColumn="0" w:lastRowFirstColumn="0" w:lastRowLastColumn="0"/>
            <w:tcW w:w="7608" w:type="dxa"/>
            <w:shd w:val="clear" w:color="auto" w:fill="D0D9EA" w:themeFill="accent1" w:themeFillTint="33"/>
          </w:tcPr>
          <w:p w14:paraId="4CB17029" w14:textId="7977D4F9" w:rsidR="003146F4" w:rsidRDefault="00F91319" w:rsidP="008065FA">
            <w:pPr>
              <w:keepNext w:val="0"/>
              <w:rPr>
                <w:b/>
                <w:bCs/>
                <w:lang w:eastAsia="en-GB"/>
              </w:rPr>
            </w:pPr>
            <w:r w:rsidRPr="004C0FCD">
              <w:rPr>
                <w:b/>
                <w:bCs/>
                <w:lang w:eastAsia="en-GB"/>
              </w:rPr>
              <w:t xml:space="preserve">Recommendation </w:t>
            </w:r>
            <w:r w:rsidR="003C5FDC">
              <w:rPr>
                <w:b/>
                <w:bCs/>
                <w:lang w:eastAsia="en-GB"/>
              </w:rPr>
              <w:t>1</w:t>
            </w:r>
            <w:r w:rsidR="00762299">
              <w:rPr>
                <w:b/>
                <w:bCs/>
                <w:lang w:eastAsia="en-GB"/>
              </w:rPr>
              <w:t>a</w:t>
            </w:r>
            <w:r w:rsidRPr="004C0FCD">
              <w:rPr>
                <w:b/>
                <w:bCs/>
                <w:lang w:eastAsia="en-GB"/>
              </w:rPr>
              <w:t xml:space="preserve">: </w:t>
            </w:r>
            <w:r w:rsidR="00A96254">
              <w:rPr>
                <w:b/>
                <w:bCs/>
                <w:lang w:eastAsia="en-GB"/>
              </w:rPr>
              <w:t xml:space="preserve">Te </w:t>
            </w:r>
            <w:proofErr w:type="spellStart"/>
            <w:r w:rsidR="00A96254">
              <w:rPr>
                <w:b/>
                <w:bCs/>
                <w:lang w:eastAsia="en-GB"/>
              </w:rPr>
              <w:t>Whatu</w:t>
            </w:r>
            <w:proofErr w:type="spellEnd"/>
            <w:r w:rsidR="00A96254">
              <w:rPr>
                <w:b/>
                <w:bCs/>
                <w:lang w:eastAsia="en-GB"/>
              </w:rPr>
              <w:t xml:space="preserve"> Ora/</w:t>
            </w:r>
            <w:r w:rsidR="008B25F0">
              <w:rPr>
                <w:b/>
                <w:bCs/>
                <w:lang w:eastAsia="en-GB"/>
              </w:rPr>
              <w:t xml:space="preserve">HNZ is the employer for GPEP registrars and </w:t>
            </w:r>
            <w:r w:rsidRPr="004C0FCD">
              <w:rPr>
                <w:b/>
                <w:bCs/>
                <w:lang w:eastAsia="en-GB"/>
              </w:rPr>
              <w:t>GPEP registrars</w:t>
            </w:r>
            <w:r w:rsidR="003E09DA">
              <w:rPr>
                <w:b/>
                <w:bCs/>
                <w:lang w:eastAsia="en-GB"/>
              </w:rPr>
              <w:t>’</w:t>
            </w:r>
            <w:r w:rsidRPr="004C0FCD">
              <w:rPr>
                <w:b/>
                <w:bCs/>
                <w:lang w:eastAsia="en-GB"/>
              </w:rPr>
              <w:t xml:space="preserve"> salary </w:t>
            </w:r>
            <w:r>
              <w:rPr>
                <w:b/>
                <w:bCs/>
                <w:lang w:eastAsia="en-GB"/>
              </w:rPr>
              <w:t xml:space="preserve">and employment terms and conditions </w:t>
            </w:r>
            <w:r w:rsidR="003E09DA">
              <w:rPr>
                <w:b/>
                <w:bCs/>
                <w:lang w:eastAsia="en-GB"/>
              </w:rPr>
              <w:t xml:space="preserve">are aligned with </w:t>
            </w:r>
            <w:r w:rsidR="003E09DA" w:rsidRPr="004C0FCD">
              <w:rPr>
                <w:b/>
                <w:bCs/>
                <w:lang w:eastAsia="en-GB"/>
              </w:rPr>
              <w:t xml:space="preserve">registrars </w:t>
            </w:r>
            <w:r w:rsidR="003E09DA">
              <w:rPr>
                <w:b/>
                <w:bCs/>
                <w:lang w:eastAsia="en-GB"/>
              </w:rPr>
              <w:t xml:space="preserve">in </w:t>
            </w:r>
            <w:r w:rsidRPr="004C0FCD">
              <w:rPr>
                <w:b/>
                <w:bCs/>
                <w:lang w:eastAsia="en-GB"/>
              </w:rPr>
              <w:t xml:space="preserve">other vocational </w:t>
            </w:r>
            <w:r w:rsidR="003E09DA">
              <w:rPr>
                <w:b/>
                <w:bCs/>
                <w:lang w:eastAsia="en-GB"/>
              </w:rPr>
              <w:t>programmes</w:t>
            </w:r>
            <w:r w:rsidR="00A96254">
              <w:rPr>
                <w:b/>
                <w:bCs/>
                <w:lang w:eastAsia="en-GB"/>
              </w:rPr>
              <w:t>.</w:t>
            </w:r>
          </w:p>
          <w:p w14:paraId="0F2E6B81" w14:textId="3AB3BEE4" w:rsidR="000751A6" w:rsidRDefault="00EB649A" w:rsidP="000751A6">
            <w:pPr>
              <w:keepNext w:val="0"/>
              <w:rPr>
                <w:lang w:eastAsia="en-GB"/>
              </w:rPr>
            </w:pPr>
            <w:r>
              <w:rPr>
                <w:lang w:eastAsia="en-GB"/>
              </w:rPr>
              <w:t xml:space="preserve">Equivalence may be most effectively achieved if GPEP registrars and registrars in other vocational training programmes have the same employer and employment contracts.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944B7D">
              <w:rPr>
                <w:lang w:eastAsia="en-GB"/>
              </w:rPr>
              <w:t xml:space="preserve"> was identified </w:t>
            </w:r>
            <w:r w:rsidR="003E09DA">
              <w:rPr>
                <w:lang w:eastAsia="en-GB"/>
              </w:rPr>
              <w:t xml:space="preserve">by interviewed stakeholders </w:t>
            </w:r>
            <w:r w:rsidR="00944B7D">
              <w:rPr>
                <w:lang w:eastAsia="en-GB"/>
              </w:rPr>
              <w:t xml:space="preserve">as the potential employer. </w:t>
            </w:r>
            <w:r w:rsidR="000751A6" w:rsidRPr="008065FA">
              <w:rPr>
                <w:lang w:eastAsia="en-GB"/>
              </w:rPr>
              <w:t xml:space="preserve">GPEP registrar terms and conditions of employment </w:t>
            </w:r>
            <w:r w:rsidR="000751A6">
              <w:rPr>
                <w:lang w:eastAsia="en-GB"/>
              </w:rPr>
              <w:t>w</w:t>
            </w:r>
            <w:r w:rsidR="003E09DA">
              <w:rPr>
                <w:lang w:eastAsia="en-GB"/>
              </w:rPr>
              <w:t xml:space="preserve">ould </w:t>
            </w:r>
            <w:r w:rsidR="000751A6">
              <w:rPr>
                <w:lang w:eastAsia="en-GB"/>
              </w:rPr>
              <w:t>therefore be directly</w:t>
            </w:r>
            <w:r w:rsidR="000751A6" w:rsidRPr="008065FA">
              <w:rPr>
                <w:lang w:eastAsia="en-GB"/>
              </w:rPr>
              <w:t xml:space="preserve"> negotiated </w:t>
            </w:r>
            <w:r w:rsidR="000751A6">
              <w:rPr>
                <w:lang w:eastAsia="en-GB"/>
              </w:rPr>
              <w:t>with the funder</w:t>
            </w:r>
            <w:r w:rsidR="000751A6" w:rsidRPr="008065FA">
              <w:rPr>
                <w:lang w:eastAsia="en-GB"/>
              </w:rPr>
              <w:t>.</w:t>
            </w:r>
            <w:r w:rsidR="00DB6CD6">
              <w:rPr>
                <w:lang w:eastAsia="en-GB"/>
              </w:rPr>
              <w:t xml:space="preserve"> </w:t>
            </w:r>
            <w:r w:rsidR="00DB6CD6">
              <w:rPr>
                <w:lang w:eastAsia="en-GB"/>
              </w:rPr>
              <w:t>Having a single employer would also address current challenges with GPEP 1 registrars employed by practices.</w:t>
            </w:r>
          </w:p>
          <w:p w14:paraId="607E3320" w14:textId="69565960" w:rsidR="0038173B" w:rsidRPr="008065FA" w:rsidRDefault="0038173B" w:rsidP="000751A6">
            <w:pPr>
              <w:keepNext w:val="0"/>
              <w:rPr>
                <w:lang w:eastAsia="en-GB"/>
              </w:rPr>
            </w:pPr>
            <w:r>
              <w:rPr>
                <w:lang w:eastAsia="en-GB"/>
              </w:rPr>
              <w:t xml:space="preserve">Employment by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8119EF">
              <w:rPr>
                <w:lang w:eastAsia="en-GB"/>
              </w:rPr>
              <w:t xml:space="preserve"> </w:t>
            </w:r>
            <w:r>
              <w:rPr>
                <w:lang w:eastAsia="en-GB"/>
              </w:rPr>
              <w:t xml:space="preserve">is also likely to enable inclusion of </w:t>
            </w:r>
            <w:r w:rsidR="00A96254">
              <w:rPr>
                <w:lang w:eastAsia="en-GB"/>
              </w:rPr>
              <w:t xml:space="preserve">Te Aka </w:t>
            </w:r>
            <w:proofErr w:type="spellStart"/>
            <w:r w:rsidR="00A96254">
              <w:rPr>
                <w:lang w:eastAsia="en-GB"/>
              </w:rPr>
              <w:t>Whai</w:t>
            </w:r>
            <w:proofErr w:type="spellEnd"/>
            <w:r w:rsidR="00A96254">
              <w:rPr>
                <w:lang w:eastAsia="en-GB"/>
              </w:rPr>
              <w:t xml:space="preserve"> Ora/ </w:t>
            </w:r>
            <w:r>
              <w:rPr>
                <w:lang w:eastAsia="en-GB"/>
              </w:rPr>
              <w:t>Māori Health Authority in developing strategy and decisions about how best to support Māori registrars.</w:t>
            </w:r>
          </w:p>
          <w:p w14:paraId="69FC9226" w14:textId="00E61EF2" w:rsidR="00EB649A" w:rsidRDefault="00944B7D" w:rsidP="008065FA">
            <w:pPr>
              <w:keepNext w:val="0"/>
              <w:rPr>
                <w:lang w:eastAsia="en-GB"/>
              </w:rPr>
            </w:pPr>
            <w:r>
              <w:rPr>
                <w:lang w:eastAsia="en-GB"/>
              </w:rPr>
              <w:t>The College</w:t>
            </w:r>
            <w:r w:rsidR="0038173B">
              <w:rPr>
                <w:lang w:eastAsia="en-GB"/>
              </w:rPr>
              <w:t>, as the professional body,</w:t>
            </w:r>
            <w:r>
              <w:rPr>
                <w:lang w:eastAsia="en-GB"/>
              </w:rPr>
              <w:t xml:space="preserve"> would retain </w:t>
            </w:r>
            <w:r w:rsidR="0038173B">
              <w:rPr>
                <w:lang w:eastAsia="en-GB"/>
              </w:rPr>
              <w:t xml:space="preserve">leadership of GP training, </w:t>
            </w:r>
            <w:r>
              <w:rPr>
                <w:lang w:eastAsia="en-GB"/>
              </w:rPr>
              <w:t xml:space="preserve">responsibility for </w:t>
            </w:r>
            <w:r w:rsidR="004B2C53">
              <w:rPr>
                <w:lang w:eastAsia="en-GB"/>
              </w:rPr>
              <w:t xml:space="preserve">the educational content </w:t>
            </w:r>
            <w:r w:rsidR="0038173B">
              <w:rPr>
                <w:lang w:eastAsia="en-GB"/>
              </w:rPr>
              <w:t xml:space="preserve">and quality assurance, </w:t>
            </w:r>
            <w:r w:rsidR="004B2C53">
              <w:rPr>
                <w:lang w:eastAsia="en-GB"/>
              </w:rPr>
              <w:t xml:space="preserve">and </w:t>
            </w:r>
            <w:r>
              <w:rPr>
                <w:lang w:eastAsia="en-GB"/>
              </w:rPr>
              <w:t>pastoral care.</w:t>
            </w:r>
          </w:p>
          <w:p w14:paraId="70A88684" w14:textId="227670C7" w:rsidR="00762299" w:rsidRDefault="00762299" w:rsidP="008065FA">
            <w:pPr>
              <w:keepNext w:val="0"/>
              <w:rPr>
                <w:b/>
                <w:bCs/>
                <w:lang w:eastAsia="en-GB"/>
              </w:rPr>
            </w:pPr>
            <w:r>
              <w:rPr>
                <w:b/>
                <w:bCs/>
                <w:lang w:eastAsia="en-GB"/>
              </w:rPr>
              <w:t xml:space="preserve">Recommendation </w:t>
            </w:r>
            <w:r w:rsidR="008B25F0">
              <w:rPr>
                <w:b/>
                <w:bCs/>
                <w:lang w:eastAsia="en-GB"/>
              </w:rPr>
              <w:t>1b</w:t>
            </w:r>
            <w:r>
              <w:rPr>
                <w:b/>
                <w:bCs/>
                <w:lang w:eastAsia="en-GB"/>
              </w:rPr>
              <w:t xml:space="preserve">: </w:t>
            </w:r>
            <w:r w:rsidR="009D6B23">
              <w:rPr>
                <w:b/>
                <w:bCs/>
                <w:lang w:eastAsia="en-GB"/>
              </w:rPr>
              <w:t>G</w:t>
            </w:r>
            <w:r>
              <w:rPr>
                <w:b/>
                <w:bCs/>
                <w:lang w:eastAsia="en-GB"/>
              </w:rPr>
              <w:t xml:space="preserve">eneral practice </w:t>
            </w:r>
            <w:r w:rsidR="009D6B23">
              <w:rPr>
                <w:b/>
                <w:bCs/>
                <w:lang w:eastAsia="en-GB"/>
              </w:rPr>
              <w:t xml:space="preserve">is promoted </w:t>
            </w:r>
            <w:r w:rsidR="002B6488">
              <w:rPr>
                <w:b/>
                <w:bCs/>
                <w:lang w:eastAsia="en-GB"/>
              </w:rPr>
              <w:t xml:space="preserve">in the under-graduate and post-graduate years </w:t>
            </w:r>
            <w:r w:rsidR="009D6B23">
              <w:rPr>
                <w:b/>
                <w:bCs/>
                <w:lang w:eastAsia="en-GB"/>
              </w:rPr>
              <w:t>as an important and valuable vocational choice</w:t>
            </w:r>
            <w:r w:rsidR="008621BF">
              <w:rPr>
                <w:b/>
                <w:bCs/>
                <w:lang w:eastAsia="en-GB"/>
              </w:rPr>
              <w:t>.</w:t>
            </w:r>
          </w:p>
          <w:p w14:paraId="7BAADF5F" w14:textId="03CBCC18" w:rsidR="009D6B23" w:rsidRPr="009D6B23" w:rsidRDefault="009D6B23" w:rsidP="008065FA">
            <w:pPr>
              <w:keepNext w:val="0"/>
              <w:rPr>
                <w:lang w:eastAsia="en-GB"/>
              </w:rPr>
            </w:pPr>
            <w:r>
              <w:rPr>
                <w:lang w:eastAsia="en-GB"/>
              </w:rPr>
              <w:t>Promoting general practice requires health sector</w:t>
            </w:r>
            <w:r w:rsidR="00500F57">
              <w:rPr>
                <w:lang w:eastAsia="en-GB"/>
              </w:rPr>
              <w:t xml:space="preserve"> </w:t>
            </w:r>
            <w:r>
              <w:rPr>
                <w:lang w:eastAsia="en-GB"/>
              </w:rPr>
              <w:t xml:space="preserve">wide responses. While the College has a key role in promoting the profession, universities and </w:t>
            </w:r>
            <w:r w:rsidR="00500F57">
              <w:rPr>
                <w:lang w:eastAsia="en-GB"/>
              </w:rPr>
              <w:t xml:space="preserve">the Medical Council of New Zealand </w:t>
            </w:r>
            <w:r>
              <w:rPr>
                <w:lang w:eastAsia="en-GB"/>
              </w:rPr>
              <w:t xml:space="preserve">must </w:t>
            </w:r>
            <w:r w:rsidR="00500F57">
              <w:rPr>
                <w:lang w:eastAsia="en-GB"/>
              </w:rPr>
              <w:t>promote</w:t>
            </w:r>
            <w:r>
              <w:rPr>
                <w:lang w:eastAsia="en-GB"/>
              </w:rPr>
              <w:t xml:space="preserve"> general practice </w:t>
            </w:r>
            <w:r w:rsidR="00DB6CD6">
              <w:rPr>
                <w:lang w:eastAsia="en-GB"/>
              </w:rPr>
              <w:t>and increase exposure to general practice</w:t>
            </w:r>
            <w:r w:rsidR="00DB6CD6">
              <w:rPr>
                <w:lang w:eastAsia="en-GB"/>
              </w:rPr>
              <w:t xml:space="preserve"> </w:t>
            </w:r>
            <w:r>
              <w:rPr>
                <w:lang w:eastAsia="en-GB"/>
              </w:rPr>
              <w:t>in the undergraduate and post</w:t>
            </w:r>
            <w:r w:rsidR="0098010D">
              <w:rPr>
                <w:lang w:eastAsia="en-GB"/>
              </w:rPr>
              <w:t>-</w:t>
            </w:r>
            <w:r>
              <w:rPr>
                <w:lang w:eastAsia="en-GB"/>
              </w:rPr>
              <w:t>graduate years. Post</w:t>
            </w:r>
            <w:r w:rsidR="0098010D">
              <w:rPr>
                <w:lang w:eastAsia="en-GB"/>
              </w:rPr>
              <w:t>-</w:t>
            </w:r>
            <w:r>
              <w:rPr>
                <w:lang w:eastAsia="en-GB"/>
              </w:rPr>
              <w:t xml:space="preserve">graduate community practice </w:t>
            </w:r>
            <w:r w:rsidR="00DB6CD6">
              <w:rPr>
                <w:lang w:eastAsia="en-GB"/>
              </w:rPr>
              <w:t>attachments</w:t>
            </w:r>
            <w:r>
              <w:rPr>
                <w:lang w:eastAsia="en-GB"/>
              </w:rPr>
              <w:t xml:space="preserve"> are an existing mechanism to promote general practice</w:t>
            </w:r>
            <w:r w:rsidR="00DB6CD6">
              <w:rPr>
                <w:lang w:eastAsia="en-GB"/>
              </w:rPr>
              <w:t>. O</w:t>
            </w:r>
            <w:r w:rsidR="00A96254">
              <w:rPr>
                <w:lang w:eastAsia="en-GB"/>
              </w:rPr>
              <w:t>pportunities for community placements must be increased.</w:t>
            </w:r>
            <w:r>
              <w:rPr>
                <w:lang w:eastAsia="en-GB"/>
              </w:rPr>
              <w:t xml:space="preserve"> Good experiences on community attachments and in other settings with positive GP role models are effective in promoting general practice.</w:t>
            </w:r>
          </w:p>
        </w:tc>
      </w:tr>
    </w:tbl>
    <w:p w14:paraId="6ECA6D37" w14:textId="707EFB0F" w:rsidR="009D6B23" w:rsidRPr="00FA0B52" w:rsidRDefault="009D6B23" w:rsidP="00FA0B52">
      <w:pPr>
        <w:pStyle w:val="Malaheading2"/>
        <w:numPr>
          <w:ilvl w:val="0"/>
          <w:numId w:val="0"/>
        </w:numPr>
      </w:pPr>
      <w:bookmarkStart w:id="8" w:name="_Toc105853877"/>
      <w:r w:rsidRPr="00FA0B52">
        <w:t>Enabling a clinically competent general practitioner workforce</w:t>
      </w:r>
      <w:bookmarkEnd w:id="8"/>
      <w:r w:rsidR="00FA0B52">
        <w:t xml:space="preserve"> </w:t>
      </w:r>
    </w:p>
    <w:p w14:paraId="431AAD93" w14:textId="037CF3A5" w:rsidR="008C3156" w:rsidRDefault="008C3156" w:rsidP="008C3156">
      <w:pPr>
        <w:rPr>
          <w:lang w:eastAsia="en-GB"/>
        </w:rPr>
      </w:pPr>
      <w:r w:rsidRPr="00DB6CD6">
        <w:t xml:space="preserve">GPEP education funding is aligned to the first year of the programme. </w:t>
      </w:r>
      <w:r w:rsidRPr="00DB6CD6">
        <w:rPr>
          <w:lang w:eastAsia="en-GB"/>
        </w:rPr>
        <w:t xml:space="preserve">The </w:t>
      </w:r>
      <w:r w:rsidR="00A04037" w:rsidRPr="00DB6CD6">
        <w:rPr>
          <w:lang w:eastAsia="en-GB"/>
        </w:rPr>
        <w:t xml:space="preserve">current </w:t>
      </w:r>
      <w:r w:rsidRPr="00DB6CD6">
        <w:rPr>
          <w:lang w:eastAsia="en-GB"/>
        </w:rPr>
        <w:t>funding model drives the focus of most teaching components within the first year. This focus on the first year may contribute to perceptions the training programme is less rigorous than other vocational programmes.</w:t>
      </w:r>
      <w:r>
        <w:rPr>
          <w:lang w:eastAsia="en-GB"/>
        </w:rPr>
        <w:t xml:space="preserve"> </w:t>
      </w:r>
    </w:p>
    <w:p w14:paraId="798EDFBF" w14:textId="2C9D161A" w:rsidR="005648A4" w:rsidRDefault="005648A4" w:rsidP="005648A4">
      <w:r>
        <w:t xml:space="preserve">In interviews and in response to the survey, </w:t>
      </w:r>
      <w:r w:rsidR="00FD35DD">
        <w:t xml:space="preserve">current and past </w:t>
      </w:r>
      <w:r>
        <w:t xml:space="preserve">registrars, and GP teachers were positive about the GPEP 1 educational experiences. At the end of GPEP 1, except for record keeping, most registrars felt they had achieved the </w:t>
      </w:r>
      <w:r>
        <w:lastRenderedPageBreak/>
        <w:t xml:space="preserve">required clinical competencies. They were less confident about consulting with Māori, </w:t>
      </w:r>
      <w:proofErr w:type="gramStart"/>
      <w:r>
        <w:t>Pacific</w:t>
      </w:r>
      <w:proofErr w:type="gramEnd"/>
      <w:r>
        <w:t xml:space="preserve"> and patients in rural communities.</w:t>
      </w:r>
    </w:p>
    <w:p w14:paraId="1C59F3BD" w14:textId="0DFC5C24" w:rsidR="005648A4" w:rsidRDefault="005648A4" w:rsidP="005648A4">
      <w:r>
        <w:t>There was general feedback from all groups that more</w:t>
      </w:r>
      <w:r w:rsidR="00BC779F">
        <w:t xml:space="preserve"> </w:t>
      </w:r>
      <w:r>
        <w:t xml:space="preserve">support for registrars was needed in GPEP 2. </w:t>
      </w:r>
      <w:r w:rsidR="0098010D">
        <w:t>Interviewed registrars described t</w:t>
      </w:r>
      <w:r>
        <w:t>he current GPEP 2</w:t>
      </w:r>
      <w:r w:rsidR="00FD35DD">
        <w:t xml:space="preserve"> </w:t>
      </w:r>
      <w:r>
        <w:t xml:space="preserve">seminars as </w:t>
      </w:r>
      <w:r w:rsidR="000E343D">
        <w:t xml:space="preserve">too infrequent and as </w:t>
      </w:r>
      <w:r>
        <w:t>including too many participants. Registrars identified the need for more frequent and one on one or small group support focused on case reviews. Teachers discussed the benefits of moving the clinical component of the exam to the mid-point of GPEP 2</w:t>
      </w:r>
      <w:r w:rsidR="00541029">
        <w:t xml:space="preserve"> and the importance of supporting registrars who were struggling</w:t>
      </w:r>
      <w:r>
        <w:t>.</w:t>
      </w:r>
    </w:p>
    <w:p w14:paraId="12B66BCA" w14:textId="32AA0362" w:rsidR="001C22A5" w:rsidRDefault="001C22A5" w:rsidP="001C22A5">
      <w:pPr>
        <w:rPr>
          <w:lang w:eastAsia="en-GB"/>
        </w:rPr>
      </w:pPr>
      <w:r>
        <w:rPr>
          <w:lang w:eastAsia="en-GB"/>
        </w:rPr>
        <w:t>Teaching fellows and accredited practices provide placements for GPEP 1 registrars and would have a key role in any extension of the education programme into GPEP 2. There are currently more practices wanting to provide registrar placements than there are registrars</w:t>
      </w:r>
      <w:r w:rsidR="005E1303">
        <w:rPr>
          <w:lang w:eastAsia="en-GB"/>
        </w:rPr>
        <w:t xml:space="preserve">. This creates uncertainty for practices about whether they will have a registrar or not. </w:t>
      </w:r>
      <w:r>
        <w:rPr>
          <w:lang w:eastAsia="en-GB"/>
        </w:rPr>
        <w:t xml:space="preserve">Uncertainty can be a barrier to a practice investing in accreditation, providing space within the practice or development of accommodation options for registrars. Providing certainty to practices and support to meet accreditation criteria is a strategy to respond to current gaps in availability of registrar placements with rural practices and Māori and Pacific practices. </w:t>
      </w:r>
    </w:p>
    <w:p w14:paraId="478472D8" w14:textId="23E37153" w:rsidR="00CA2952" w:rsidRDefault="00BC779F" w:rsidP="004D6DDB">
      <w:pPr>
        <w:rPr>
          <w:lang w:eastAsia="en-GB"/>
        </w:rPr>
      </w:pPr>
      <w:r>
        <w:t xml:space="preserve">Extension of the educational component of GPEP 2 has funding implications both for teaching time and for registrar employment. </w:t>
      </w:r>
      <w:r w:rsidR="00BC7DF6">
        <w:t xml:space="preserve">Aligning GPEP </w:t>
      </w:r>
      <w:r w:rsidR="00F6295D">
        <w:t>registrar</w:t>
      </w:r>
      <w:r w:rsidR="00BC7DF6">
        <w:t xml:space="preserve"> employment with other vocational groups also require</w:t>
      </w:r>
      <w:r w:rsidR="004D6DDB">
        <w:t>s</w:t>
      </w:r>
      <w:r w:rsidR="00BC7DF6">
        <w:t xml:space="preserve"> consideration of options for</w:t>
      </w:r>
      <w:r w:rsidR="00F6295D">
        <w:t xml:space="preserve"> GPEP 2 employment by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F6295D">
        <w:t xml:space="preserve">. </w:t>
      </w:r>
      <w:r w:rsidR="004D6DDB">
        <w:rPr>
          <w:lang w:eastAsia="en-GB"/>
        </w:rPr>
        <w:t xml:space="preserve">In most other vocational programmes, registrars are employed by the DHB </w:t>
      </w:r>
      <w:r w:rsidR="00500F57">
        <w:rPr>
          <w:lang w:eastAsia="en-GB"/>
        </w:rPr>
        <w:t xml:space="preserve">for </w:t>
      </w:r>
      <w:r w:rsidR="004D6DDB">
        <w:rPr>
          <w:lang w:eastAsia="en-GB"/>
        </w:rPr>
        <w:t>three or more years, with the duration often being five or six years. In general practice this is complicated by the potential for registrars to start to generate income for the practice as they gain experience.</w:t>
      </w:r>
      <w:r w:rsidR="000E343D">
        <w:rPr>
          <w:lang w:eastAsia="en-GB"/>
        </w:rPr>
        <w:t xml:space="preserve"> Although the amount they can generate is affected by many factors.</w:t>
      </w:r>
    </w:p>
    <w:tbl>
      <w:tblPr>
        <w:tblStyle w:val="MITableClassic"/>
        <w:tblW w:w="0" w:type="auto"/>
        <w:shd w:val="clear" w:color="auto" w:fill="D0D9EA" w:themeFill="accent1" w:themeFillTint="33"/>
        <w:tblLook w:val="0480" w:firstRow="0" w:lastRow="0" w:firstColumn="1" w:lastColumn="0" w:noHBand="0" w:noVBand="1"/>
      </w:tblPr>
      <w:tblGrid>
        <w:gridCol w:w="7608"/>
      </w:tblGrid>
      <w:tr w:rsidR="00541029" w14:paraId="01129771" w14:textId="77777777" w:rsidTr="004D6DDB">
        <w:trPr>
          <w:cantSplit w:val="0"/>
        </w:trPr>
        <w:tc>
          <w:tcPr>
            <w:cnfStyle w:val="001000000000" w:firstRow="0" w:lastRow="0" w:firstColumn="1" w:lastColumn="0" w:oddVBand="0" w:evenVBand="0" w:oddHBand="0" w:evenHBand="0" w:firstRowFirstColumn="0" w:firstRowLastColumn="0" w:lastRowFirstColumn="0" w:lastRowLastColumn="0"/>
            <w:tcW w:w="7608" w:type="dxa"/>
            <w:shd w:val="clear" w:color="auto" w:fill="D0D9EA" w:themeFill="accent1" w:themeFillTint="33"/>
          </w:tcPr>
          <w:p w14:paraId="25BA8079" w14:textId="3967DE3B" w:rsidR="000E343D" w:rsidRPr="00DB6CD6" w:rsidRDefault="00FD35DD" w:rsidP="004D6DDB">
            <w:pPr>
              <w:keepNext w:val="0"/>
              <w:rPr>
                <w:b/>
                <w:bCs/>
                <w:lang w:eastAsia="en-GB"/>
              </w:rPr>
            </w:pPr>
            <w:r>
              <w:rPr>
                <w:lang w:eastAsia="en-GB"/>
              </w:rPr>
              <w:br w:type="column"/>
            </w:r>
            <w:r w:rsidR="00541029" w:rsidRPr="00DB6CD6">
              <w:rPr>
                <w:b/>
                <w:bCs/>
                <w:lang w:eastAsia="en-GB"/>
              </w:rPr>
              <w:t>Recommendation 2</w:t>
            </w:r>
            <w:r w:rsidR="00F6295D" w:rsidRPr="00DB6CD6">
              <w:rPr>
                <w:b/>
                <w:bCs/>
                <w:lang w:eastAsia="en-GB"/>
              </w:rPr>
              <w:t>a</w:t>
            </w:r>
            <w:r w:rsidR="00541029" w:rsidRPr="00DB6CD6">
              <w:rPr>
                <w:b/>
                <w:bCs/>
                <w:lang w:eastAsia="en-GB"/>
              </w:rPr>
              <w:t xml:space="preserve">: </w:t>
            </w:r>
            <w:bookmarkStart w:id="9" w:name="_Hlk108710274"/>
            <w:r w:rsidR="00A04037" w:rsidRPr="00DB6CD6">
              <w:rPr>
                <w:b/>
                <w:bCs/>
                <w:lang w:eastAsia="en-GB"/>
              </w:rPr>
              <w:t xml:space="preserve">Te </w:t>
            </w:r>
            <w:proofErr w:type="spellStart"/>
            <w:r w:rsidR="00A04037" w:rsidRPr="00DB6CD6">
              <w:rPr>
                <w:b/>
                <w:bCs/>
                <w:lang w:eastAsia="en-GB"/>
              </w:rPr>
              <w:t>Whatu</w:t>
            </w:r>
            <w:proofErr w:type="spellEnd"/>
            <w:r w:rsidR="00A04037" w:rsidRPr="00DB6CD6">
              <w:rPr>
                <w:b/>
                <w:bCs/>
                <w:lang w:eastAsia="en-GB"/>
              </w:rPr>
              <w:t xml:space="preserve"> Ora and the College work together to consider </w:t>
            </w:r>
            <w:r w:rsidR="00541029" w:rsidRPr="00DB6CD6">
              <w:rPr>
                <w:b/>
                <w:bCs/>
                <w:lang w:eastAsia="en-GB"/>
              </w:rPr>
              <w:t>expanding the educational component of GPEP 2 and deferring the clinical exam until GPEP 2</w:t>
            </w:r>
            <w:r w:rsidR="00A04037" w:rsidRPr="00DB6CD6">
              <w:rPr>
                <w:b/>
                <w:bCs/>
                <w:lang w:eastAsia="en-GB"/>
              </w:rPr>
              <w:t xml:space="preserve"> and the associated funding implications</w:t>
            </w:r>
            <w:r w:rsidR="008621BF">
              <w:rPr>
                <w:b/>
                <w:bCs/>
                <w:lang w:eastAsia="en-GB"/>
              </w:rPr>
              <w:t>.</w:t>
            </w:r>
          </w:p>
          <w:bookmarkEnd w:id="9"/>
          <w:p w14:paraId="1CD7AE7D" w14:textId="4F061589" w:rsidR="00541029" w:rsidRPr="00DB6CD6" w:rsidRDefault="007438C3" w:rsidP="004D6DDB">
            <w:pPr>
              <w:keepNext w:val="0"/>
              <w:rPr>
                <w:lang w:eastAsia="en-GB"/>
              </w:rPr>
            </w:pPr>
            <w:r w:rsidRPr="00DB6CD6">
              <w:rPr>
                <w:lang w:eastAsia="en-GB"/>
              </w:rPr>
              <w:t>The College, as the professional body, would lead the development and delivery of any changes in GPEP 2 support.</w:t>
            </w:r>
          </w:p>
          <w:p w14:paraId="3114BB7B" w14:textId="5B391F05" w:rsidR="00F6295D" w:rsidRPr="00DB6CD6" w:rsidRDefault="00F6295D" w:rsidP="004D6DDB">
            <w:pPr>
              <w:keepNext w:val="0"/>
              <w:rPr>
                <w:b/>
                <w:bCs/>
                <w:lang w:eastAsia="en-GB"/>
              </w:rPr>
            </w:pPr>
            <w:r w:rsidRPr="00DB6CD6">
              <w:rPr>
                <w:b/>
                <w:bCs/>
                <w:lang w:eastAsia="en-GB"/>
              </w:rPr>
              <w:t xml:space="preserve">Recommendation 2b: </w:t>
            </w:r>
            <w:r w:rsidR="00BC779F" w:rsidRPr="00DB6CD6">
              <w:rPr>
                <w:b/>
                <w:bCs/>
                <w:lang w:eastAsia="en-GB"/>
              </w:rPr>
              <w:t xml:space="preserve">Te </w:t>
            </w:r>
            <w:proofErr w:type="spellStart"/>
            <w:r w:rsidR="00BC779F" w:rsidRPr="00DB6CD6">
              <w:rPr>
                <w:b/>
                <w:bCs/>
                <w:lang w:eastAsia="en-GB"/>
              </w:rPr>
              <w:t>Whatu</w:t>
            </w:r>
            <w:proofErr w:type="spellEnd"/>
            <w:r w:rsidR="00BC779F" w:rsidRPr="00DB6CD6">
              <w:rPr>
                <w:b/>
                <w:bCs/>
                <w:lang w:eastAsia="en-GB"/>
              </w:rPr>
              <w:t xml:space="preserve"> Ora</w:t>
            </w:r>
            <w:r w:rsidR="000A2EB8" w:rsidRPr="00DB6CD6">
              <w:rPr>
                <w:b/>
                <w:bCs/>
                <w:lang w:eastAsia="en-GB"/>
              </w:rPr>
              <w:t>/HNZ</w:t>
            </w:r>
            <w:r w:rsidR="00BC779F" w:rsidRPr="00DB6CD6">
              <w:rPr>
                <w:b/>
                <w:bCs/>
                <w:lang w:eastAsia="en-GB"/>
              </w:rPr>
              <w:t xml:space="preserve"> </w:t>
            </w:r>
            <w:r w:rsidR="00500F57" w:rsidRPr="00DB6CD6">
              <w:rPr>
                <w:b/>
                <w:bCs/>
                <w:lang w:eastAsia="en-GB"/>
              </w:rPr>
              <w:t>and the College c</w:t>
            </w:r>
            <w:r w:rsidRPr="00DB6CD6">
              <w:rPr>
                <w:b/>
                <w:bCs/>
                <w:lang w:eastAsia="en-GB"/>
              </w:rPr>
              <w:t>onsider employment options for the educational component of GPEP 2</w:t>
            </w:r>
            <w:r w:rsidR="008621BF">
              <w:rPr>
                <w:b/>
                <w:bCs/>
                <w:lang w:eastAsia="en-GB"/>
              </w:rPr>
              <w:t>.</w:t>
            </w:r>
          </w:p>
          <w:p w14:paraId="459A67B0" w14:textId="18C394FF" w:rsidR="004D6DDB" w:rsidRPr="00DB6CD6" w:rsidRDefault="00F6295D" w:rsidP="004D6DDB">
            <w:pPr>
              <w:keepNext w:val="0"/>
              <w:rPr>
                <w:lang w:eastAsia="en-GB"/>
              </w:rPr>
            </w:pPr>
            <w:r w:rsidRPr="00DB6CD6">
              <w:rPr>
                <w:lang w:eastAsia="en-GB"/>
              </w:rPr>
              <w:t xml:space="preserve">Employment options should be considered alongside an extension of the GPEP 2 educational component. </w:t>
            </w:r>
            <w:r w:rsidR="004D6DDB" w:rsidRPr="00DB6CD6">
              <w:rPr>
                <w:lang w:eastAsia="en-GB"/>
              </w:rPr>
              <w:t>Options might include</w:t>
            </w:r>
            <w:r w:rsidR="000E343D" w:rsidRPr="00DB6CD6">
              <w:rPr>
                <w:lang w:eastAsia="en-GB"/>
              </w:rPr>
              <w:t xml:space="preserve"> </w:t>
            </w:r>
            <w:r w:rsidR="000A2EB8" w:rsidRPr="00DB6CD6">
              <w:rPr>
                <w:lang w:eastAsia="en-GB"/>
              </w:rPr>
              <w:t xml:space="preserve">Te </w:t>
            </w:r>
            <w:proofErr w:type="spellStart"/>
            <w:r w:rsidR="000A2EB8" w:rsidRPr="00DB6CD6">
              <w:rPr>
                <w:lang w:eastAsia="en-GB"/>
              </w:rPr>
              <w:t>Whatu</w:t>
            </w:r>
            <w:proofErr w:type="spellEnd"/>
            <w:r w:rsidR="000A2EB8" w:rsidRPr="00DB6CD6">
              <w:rPr>
                <w:lang w:eastAsia="en-GB"/>
              </w:rPr>
              <w:t xml:space="preserve"> Ora/</w:t>
            </w:r>
            <w:r w:rsidR="000E343D" w:rsidRPr="00DB6CD6">
              <w:rPr>
                <w:lang w:eastAsia="en-GB"/>
              </w:rPr>
              <w:t>HNZ employment in part or full until after the clinical exam</w:t>
            </w:r>
            <w:r w:rsidR="008E456C" w:rsidRPr="00DB6CD6">
              <w:rPr>
                <w:lang w:eastAsia="en-GB"/>
              </w:rPr>
              <w:t xml:space="preserve"> (adjusted by practice co-payment rates),</w:t>
            </w:r>
            <w:r w:rsidR="004D6DDB" w:rsidRPr="00DB6CD6">
              <w:rPr>
                <w:lang w:eastAsia="en-GB"/>
              </w:rPr>
              <w:t xml:space="preserve"> </w:t>
            </w:r>
            <w:r w:rsidR="008E456C" w:rsidRPr="00DB6CD6">
              <w:rPr>
                <w:lang w:eastAsia="en-GB"/>
              </w:rPr>
              <w:lastRenderedPageBreak/>
              <w:t>general practice</w:t>
            </w:r>
            <w:r w:rsidR="004D6DDB" w:rsidRPr="00DB6CD6">
              <w:rPr>
                <w:lang w:eastAsia="en-GB"/>
              </w:rPr>
              <w:t xml:space="preserve"> subsidies for education </w:t>
            </w:r>
            <w:r w:rsidR="008E456C" w:rsidRPr="00DB6CD6">
              <w:rPr>
                <w:lang w:eastAsia="en-GB"/>
              </w:rPr>
              <w:t>time</w:t>
            </w:r>
            <w:r w:rsidR="004D6DDB" w:rsidRPr="00DB6CD6">
              <w:rPr>
                <w:lang w:eastAsia="en-GB"/>
              </w:rPr>
              <w:t xml:space="preserve">, </w:t>
            </w:r>
            <w:r w:rsidR="008E456C" w:rsidRPr="00DB6CD6">
              <w:rPr>
                <w:lang w:eastAsia="en-GB"/>
              </w:rPr>
              <w:t xml:space="preserve">and/or </w:t>
            </w:r>
            <w:r w:rsidR="004D6DDB" w:rsidRPr="00DB6CD6">
              <w:rPr>
                <w:lang w:eastAsia="en-GB"/>
              </w:rPr>
              <w:t>regional rotations (see below) that extend to GPEP 2.</w:t>
            </w:r>
          </w:p>
          <w:p w14:paraId="77F5E256" w14:textId="77777777" w:rsidR="004D6DDB" w:rsidRPr="00DB6CD6" w:rsidRDefault="004D6DDB" w:rsidP="004D6DDB">
            <w:pPr>
              <w:keepNext w:val="0"/>
              <w:rPr>
                <w:lang w:eastAsia="en-GB"/>
              </w:rPr>
            </w:pPr>
            <w:r w:rsidRPr="00DB6CD6">
              <w:rPr>
                <w:lang w:eastAsia="en-GB"/>
              </w:rPr>
              <w:t>In GPEP 3, registrars would be totally practice employed</w:t>
            </w:r>
            <w:r w:rsidR="00E50492" w:rsidRPr="00DB6CD6">
              <w:rPr>
                <w:lang w:eastAsia="en-GB"/>
              </w:rPr>
              <w:t xml:space="preserve"> as they are at present</w:t>
            </w:r>
            <w:r w:rsidRPr="00DB6CD6">
              <w:rPr>
                <w:lang w:eastAsia="en-GB"/>
              </w:rPr>
              <w:t>.</w:t>
            </w:r>
          </w:p>
          <w:p w14:paraId="443F2A8D" w14:textId="77777777" w:rsidR="00E338EA" w:rsidRPr="00DB6CD6" w:rsidRDefault="00E338EA" w:rsidP="004D6DDB">
            <w:pPr>
              <w:keepNext w:val="0"/>
              <w:rPr>
                <w:b/>
                <w:bCs/>
                <w:lang w:eastAsia="en-GB"/>
              </w:rPr>
            </w:pPr>
            <w:r w:rsidRPr="00DB6CD6">
              <w:rPr>
                <w:b/>
                <w:bCs/>
                <w:lang w:eastAsia="en-GB"/>
              </w:rPr>
              <w:t xml:space="preserve">Recommendation 2c. The funder and the College develop strategies to support wider representation of rural, Māori and Pacific practices to become accredited practices.  </w:t>
            </w:r>
          </w:p>
          <w:p w14:paraId="7433C4D2" w14:textId="54140854" w:rsidR="008D5867" w:rsidRPr="00E338EA" w:rsidRDefault="008D5867" w:rsidP="004D6DDB">
            <w:pPr>
              <w:keepNext w:val="0"/>
              <w:rPr>
                <w:b/>
                <w:bCs/>
                <w:lang w:eastAsia="en-GB"/>
              </w:rPr>
            </w:pPr>
            <w:r w:rsidRPr="00DB6CD6">
              <w:rPr>
                <w:lang w:eastAsia="en-GB"/>
              </w:rPr>
              <w:t xml:space="preserve">Recognising that providing registrar placements in VLCA practices and other practices with low co-payments may be a cost to the practices that needs to be covered as part of the funding model. Considering that there may be other ways to assess </w:t>
            </w:r>
            <w:r w:rsidR="007C5694">
              <w:rPr>
                <w:lang w:eastAsia="en-GB"/>
              </w:rPr>
              <w:t xml:space="preserve">practice </w:t>
            </w:r>
            <w:r w:rsidRPr="00DB6CD6">
              <w:rPr>
                <w:lang w:eastAsia="en-GB"/>
              </w:rPr>
              <w:t>quality</w:t>
            </w:r>
            <w:r w:rsidR="007C5694">
              <w:rPr>
                <w:lang w:eastAsia="en-GB"/>
              </w:rPr>
              <w:t xml:space="preserve"> for accreditation</w:t>
            </w:r>
            <w:r w:rsidRPr="00DB6CD6">
              <w:rPr>
                <w:lang w:eastAsia="en-GB"/>
              </w:rPr>
              <w:t>.</w:t>
            </w:r>
          </w:p>
        </w:tc>
      </w:tr>
    </w:tbl>
    <w:p w14:paraId="13948646" w14:textId="2339A26D" w:rsidR="00541029" w:rsidRDefault="00541029" w:rsidP="00541029">
      <w:pPr>
        <w:pStyle w:val="Malaheading2"/>
        <w:numPr>
          <w:ilvl w:val="0"/>
          <w:numId w:val="0"/>
        </w:numPr>
      </w:pPr>
      <w:bookmarkStart w:id="10" w:name="_Toc105853878"/>
      <w:r>
        <w:lastRenderedPageBreak/>
        <w:t>Enabling a culturally competent</w:t>
      </w:r>
      <w:r w:rsidR="00E75FB1">
        <w:t xml:space="preserve"> and culturally safe</w:t>
      </w:r>
      <w:r>
        <w:t xml:space="preserve"> workforce</w:t>
      </w:r>
      <w:bookmarkEnd w:id="10"/>
      <w:r>
        <w:t xml:space="preserve"> </w:t>
      </w:r>
    </w:p>
    <w:p w14:paraId="53C76E93" w14:textId="0BAE9849" w:rsidR="00E50492" w:rsidRDefault="00E50492" w:rsidP="00AC6495">
      <w:pPr>
        <w:rPr>
          <w:lang w:eastAsia="en-GB"/>
        </w:rPr>
      </w:pPr>
      <w:r>
        <w:rPr>
          <w:lang w:eastAsia="en-GB"/>
        </w:rPr>
        <w:t xml:space="preserve">A culturally competent workforce underpins health sector obligations to Te Tiriti </w:t>
      </w:r>
      <w:r w:rsidR="002D3F2A">
        <w:rPr>
          <w:lang w:eastAsia="en-GB"/>
        </w:rPr>
        <w:t>principles</w:t>
      </w:r>
      <w:r>
        <w:rPr>
          <w:lang w:eastAsia="en-GB"/>
        </w:rPr>
        <w:t xml:space="preserve"> of Mana </w:t>
      </w:r>
      <w:proofErr w:type="spellStart"/>
      <w:r>
        <w:rPr>
          <w:lang w:eastAsia="en-GB"/>
        </w:rPr>
        <w:t>Taurite</w:t>
      </w:r>
      <w:proofErr w:type="spellEnd"/>
      <w:r>
        <w:rPr>
          <w:lang w:eastAsia="en-GB"/>
        </w:rPr>
        <w:t xml:space="preserve"> (Equity), </w:t>
      </w:r>
      <w:proofErr w:type="spellStart"/>
      <w:r w:rsidR="002D3F2A">
        <w:rPr>
          <w:lang w:eastAsia="en-GB"/>
        </w:rPr>
        <w:t>Whakamarumarutia</w:t>
      </w:r>
      <w:proofErr w:type="spellEnd"/>
      <w:r w:rsidR="002D3F2A">
        <w:rPr>
          <w:lang w:eastAsia="en-GB"/>
        </w:rPr>
        <w:t xml:space="preserve"> (Active protection), and </w:t>
      </w:r>
      <w:proofErr w:type="spellStart"/>
      <w:r w:rsidR="002D3F2A">
        <w:rPr>
          <w:lang w:eastAsia="en-GB"/>
        </w:rPr>
        <w:t>K</w:t>
      </w:r>
      <w:r w:rsidR="002D3F2A">
        <w:rPr>
          <w:rFonts w:cs="Calibri"/>
          <w:lang w:eastAsia="en-GB"/>
        </w:rPr>
        <w:t>ō</w:t>
      </w:r>
      <w:r w:rsidR="002D3F2A">
        <w:rPr>
          <w:lang w:eastAsia="en-GB"/>
        </w:rPr>
        <w:t>whiringa</w:t>
      </w:r>
      <w:proofErr w:type="spellEnd"/>
      <w:r w:rsidR="002D3F2A">
        <w:rPr>
          <w:lang w:eastAsia="en-GB"/>
        </w:rPr>
        <w:t xml:space="preserve"> (options to receive culturally competent care)</w:t>
      </w:r>
      <w:r w:rsidR="00812613">
        <w:rPr>
          <w:lang w:eastAsia="en-GB"/>
        </w:rPr>
        <w:t>.</w:t>
      </w:r>
    </w:p>
    <w:p w14:paraId="04114A28" w14:textId="4EE57507" w:rsidR="003C5FDC" w:rsidRDefault="003C5FDC" w:rsidP="00AC6495">
      <w:pPr>
        <w:rPr>
          <w:lang w:eastAsia="en-GB"/>
        </w:rPr>
      </w:pPr>
      <w:r>
        <w:rPr>
          <w:lang w:eastAsia="en-GB"/>
        </w:rPr>
        <w:t>Enabling a culturally competent workforce requires:</w:t>
      </w:r>
    </w:p>
    <w:p w14:paraId="54EA624A" w14:textId="7158AF8A" w:rsidR="00FD35DD" w:rsidRDefault="003C5FDC" w:rsidP="00B81FEE">
      <w:pPr>
        <w:pStyle w:val="Bulleted"/>
        <w:rPr>
          <w:lang w:eastAsia="en-GB"/>
        </w:rPr>
      </w:pPr>
      <w:r>
        <w:rPr>
          <w:lang w:eastAsia="en-GB"/>
        </w:rPr>
        <w:t>Recruiting and retaining Māori and Pacific doctors to GPEP</w:t>
      </w:r>
      <w:r w:rsidR="00FD35DD">
        <w:rPr>
          <w:lang w:eastAsia="en-GB"/>
        </w:rPr>
        <w:t xml:space="preserve">. </w:t>
      </w:r>
      <w:r w:rsidR="008F797B" w:rsidRPr="008F797B">
        <w:rPr>
          <w:rFonts w:eastAsiaTheme="minorHAnsi"/>
          <w:lang w:eastAsia="en-GB"/>
        </w:rPr>
        <w:t>The general practice workforce does not reflect the population it serves, with low participation from Māori and Pa</w:t>
      </w:r>
      <w:r w:rsidR="008E456C">
        <w:rPr>
          <w:rFonts w:eastAsiaTheme="minorHAnsi"/>
          <w:lang w:eastAsia="en-GB"/>
        </w:rPr>
        <w:t>cific peoples</w:t>
      </w:r>
      <w:r w:rsidR="008F797B" w:rsidRPr="008F797B">
        <w:rPr>
          <w:rFonts w:eastAsiaTheme="minorHAnsi"/>
          <w:lang w:eastAsia="en-GB"/>
        </w:rPr>
        <w:t xml:space="preserve">. </w:t>
      </w:r>
      <w:r w:rsidR="00FD35DD">
        <w:rPr>
          <w:lang w:eastAsia="en-GB"/>
        </w:rPr>
        <w:t xml:space="preserve">Barriers within the education system that result in lower NCEA 3 </w:t>
      </w:r>
      <w:r w:rsidR="00553918">
        <w:rPr>
          <w:lang w:eastAsia="en-GB"/>
        </w:rPr>
        <w:t>attainments</w:t>
      </w:r>
      <w:r w:rsidR="00FD35DD">
        <w:rPr>
          <w:lang w:eastAsia="en-GB"/>
        </w:rPr>
        <w:t xml:space="preserve"> by rangatahi Māori and Pacific young people affect the numbers who can enter Medical School. </w:t>
      </w:r>
      <w:r w:rsidR="00812613">
        <w:rPr>
          <w:lang w:eastAsia="en-GB"/>
        </w:rPr>
        <w:t>Medical School funding also influences the numbers of graduate doctors.</w:t>
      </w:r>
    </w:p>
    <w:p w14:paraId="53DEF51B" w14:textId="11A17C23" w:rsidR="003C5FDC" w:rsidRDefault="003C5FDC" w:rsidP="003C5FDC">
      <w:pPr>
        <w:pStyle w:val="Bulleted"/>
        <w:rPr>
          <w:lang w:eastAsia="en-GB"/>
        </w:rPr>
      </w:pPr>
      <w:r>
        <w:rPr>
          <w:lang w:eastAsia="en-GB"/>
        </w:rPr>
        <w:t>Providing appropriate support to Māori and Pacific registrars</w:t>
      </w:r>
      <w:r w:rsidR="005B2D84">
        <w:rPr>
          <w:lang w:eastAsia="en-GB"/>
        </w:rPr>
        <w:t>.</w:t>
      </w:r>
      <w:r w:rsidR="005B2D84" w:rsidRPr="005B2D84">
        <w:rPr>
          <w:lang w:eastAsia="en-GB"/>
        </w:rPr>
        <w:t xml:space="preserve"> </w:t>
      </w:r>
      <w:r w:rsidR="005B2D84">
        <w:rPr>
          <w:lang w:eastAsia="en-GB"/>
        </w:rPr>
        <w:t>Rangatahi Māori and Pacific young people who do enter GPEP need to be supported in ways that recognise their contribution to a culturally competent general practice workforce. Current support for Māori and Pacific registrars relies on the goodwill and commitment of a small group of teachers</w:t>
      </w:r>
      <w:r w:rsidR="00E75FB1">
        <w:rPr>
          <w:lang w:eastAsia="en-GB"/>
        </w:rPr>
        <w:t xml:space="preserve"> and Māori and Pacific doctors</w:t>
      </w:r>
      <w:r w:rsidR="005B2D84">
        <w:rPr>
          <w:lang w:eastAsia="en-GB"/>
        </w:rPr>
        <w:t>.</w:t>
      </w:r>
    </w:p>
    <w:p w14:paraId="60391E59" w14:textId="64E8AEE1" w:rsidR="003C5FDC" w:rsidRDefault="003C5FDC" w:rsidP="003C5FDC">
      <w:pPr>
        <w:pStyle w:val="Bulleted"/>
        <w:rPr>
          <w:lang w:eastAsia="en-GB"/>
        </w:rPr>
      </w:pPr>
      <w:r>
        <w:rPr>
          <w:lang w:eastAsia="en-GB"/>
        </w:rPr>
        <w:t xml:space="preserve">Building cultural competence </w:t>
      </w:r>
      <w:r w:rsidR="00E75FB1">
        <w:rPr>
          <w:lang w:eastAsia="en-GB"/>
        </w:rPr>
        <w:t xml:space="preserve">and cultural safety </w:t>
      </w:r>
      <w:r>
        <w:rPr>
          <w:lang w:eastAsia="en-GB"/>
        </w:rPr>
        <w:t xml:space="preserve">amongst non-Māori and non-Pacific </w:t>
      </w:r>
      <w:r w:rsidR="008E456C">
        <w:rPr>
          <w:lang w:eastAsia="en-GB"/>
        </w:rPr>
        <w:t xml:space="preserve">teachers and </w:t>
      </w:r>
      <w:r>
        <w:rPr>
          <w:lang w:eastAsia="en-GB"/>
        </w:rPr>
        <w:t>registrars.</w:t>
      </w:r>
    </w:p>
    <w:p w14:paraId="6DF502F1" w14:textId="3A726DE0" w:rsidR="00AC6495" w:rsidRDefault="00AC6495" w:rsidP="00AC6495">
      <w:pPr>
        <w:rPr>
          <w:lang w:eastAsia="en-GB"/>
        </w:rPr>
      </w:pPr>
      <w:r>
        <w:rPr>
          <w:lang w:eastAsia="en-GB"/>
        </w:rPr>
        <w:t xml:space="preserve">The equity component </w:t>
      </w:r>
      <w:r w:rsidR="007C5694">
        <w:rPr>
          <w:lang w:eastAsia="en-GB"/>
        </w:rPr>
        <w:t>to support and mentor</w:t>
      </w:r>
      <w:r>
        <w:rPr>
          <w:lang w:eastAsia="en-GB"/>
        </w:rPr>
        <w:t xml:space="preserve"> Māori and Pacific registrars represents 2% of the</w:t>
      </w:r>
      <w:r w:rsidR="00812613">
        <w:rPr>
          <w:lang w:eastAsia="en-GB"/>
        </w:rPr>
        <w:t xml:space="preserve"> operational</w:t>
      </w:r>
      <w:r>
        <w:rPr>
          <w:lang w:eastAsia="en-GB"/>
        </w:rPr>
        <w:t xml:space="preserve"> </w:t>
      </w:r>
      <w:r w:rsidR="007C5694">
        <w:rPr>
          <w:lang w:eastAsia="en-GB"/>
        </w:rPr>
        <w:t xml:space="preserve">component of the </w:t>
      </w:r>
      <w:r>
        <w:rPr>
          <w:lang w:eastAsia="en-GB"/>
        </w:rPr>
        <w:t>contract</w:t>
      </w:r>
      <w:r w:rsidR="007C5694">
        <w:rPr>
          <w:lang w:eastAsia="en-GB"/>
        </w:rPr>
        <w:t>.</w:t>
      </w:r>
      <w:r>
        <w:rPr>
          <w:lang w:eastAsia="en-GB"/>
        </w:rPr>
        <w:t xml:space="preserve"> Additional funding has been provided by </w:t>
      </w:r>
      <w:r w:rsidR="00D334C0">
        <w:t>Manat</w:t>
      </w:r>
      <w:r w:rsidR="00D334C0">
        <w:rPr>
          <w:rFonts w:cs="Calibri"/>
        </w:rPr>
        <w:t>ū</w:t>
      </w:r>
      <w:r w:rsidR="00D334C0">
        <w:t xml:space="preserve"> Hauora</w:t>
      </w:r>
      <w:r>
        <w:rPr>
          <w:lang w:eastAsia="en-GB"/>
        </w:rPr>
        <w:t xml:space="preserve"> to the College to provide cultural training for GP teachers</w:t>
      </w:r>
      <w:r w:rsidR="00BC7DF6">
        <w:rPr>
          <w:lang w:eastAsia="en-GB"/>
        </w:rPr>
        <w:t xml:space="preserve"> and to extend the support for Māori and Pacific registrars</w:t>
      </w:r>
      <w:r>
        <w:rPr>
          <w:lang w:eastAsia="en-GB"/>
        </w:rPr>
        <w:t xml:space="preserve">. </w:t>
      </w:r>
      <w:r w:rsidR="005B2D84">
        <w:rPr>
          <w:lang w:eastAsia="en-GB"/>
        </w:rPr>
        <w:t xml:space="preserve">This is likely to improve support for Māori and Pacific registrars but </w:t>
      </w:r>
      <w:r w:rsidR="005D53DC">
        <w:rPr>
          <w:lang w:eastAsia="en-GB"/>
        </w:rPr>
        <w:t>was not in place</w:t>
      </w:r>
      <w:r w:rsidR="00BC7DF6">
        <w:rPr>
          <w:lang w:eastAsia="en-GB"/>
        </w:rPr>
        <w:t xml:space="preserve"> when the review interviews were completed.</w:t>
      </w:r>
    </w:p>
    <w:p w14:paraId="6B7EC013" w14:textId="0CB5822A" w:rsidR="00AC6495" w:rsidRDefault="00AC6495" w:rsidP="00AC6495">
      <w:pPr>
        <w:rPr>
          <w:lang w:eastAsia="en-GB"/>
        </w:rPr>
      </w:pPr>
      <w:r>
        <w:rPr>
          <w:lang w:eastAsia="en-GB"/>
        </w:rPr>
        <w:lastRenderedPageBreak/>
        <w:t xml:space="preserve">GPEP registrars attend </w:t>
      </w:r>
      <w:proofErr w:type="spellStart"/>
      <w:r>
        <w:rPr>
          <w:lang w:eastAsia="en-GB"/>
        </w:rPr>
        <w:t>noho</w:t>
      </w:r>
      <w:proofErr w:type="spellEnd"/>
      <w:r>
        <w:rPr>
          <w:lang w:eastAsia="en-GB"/>
        </w:rPr>
        <w:t xml:space="preserve"> marae as a two-day programme initiation. However, the most effective opportunities to develop cultural understandings for non-Māori and non-Pacific GPs is </w:t>
      </w:r>
      <w:r w:rsidR="005D53DC">
        <w:rPr>
          <w:lang w:eastAsia="en-GB"/>
        </w:rPr>
        <w:t xml:space="preserve">for them </w:t>
      </w:r>
      <w:r>
        <w:rPr>
          <w:lang w:eastAsia="en-GB"/>
        </w:rPr>
        <w:t xml:space="preserve">to live and work in communities with a high proportion of Māori and/or Pacific peoples. </w:t>
      </w:r>
      <w:r w:rsidR="004D6DDB">
        <w:rPr>
          <w:lang w:eastAsia="en-GB"/>
        </w:rPr>
        <w:t xml:space="preserve">The </w:t>
      </w:r>
      <w:r w:rsidR="005D53DC">
        <w:rPr>
          <w:lang w:eastAsia="en-GB"/>
        </w:rPr>
        <w:t xml:space="preserve">current </w:t>
      </w:r>
      <w:r w:rsidR="004D6DDB">
        <w:rPr>
          <w:lang w:eastAsia="en-GB"/>
        </w:rPr>
        <w:t xml:space="preserve">option of GPEP 1 employment directly with practices limits opportunities </w:t>
      </w:r>
      <w:r w:rsidR="005D53DC">
        <w:rPr>
          <w:lang w:eastAsia="en-GB"/>
        </w:rPr>
        <w:t xml:space="preserve">for the College </w:t>
      </w:r>
      <w:r w:rsidR="004D6DDB">
        <w:rPr>
          <w:lang w:eastAsia="en-GB"/>
        </w:rPr>
        <w:t xml:space="preserve">to require registrars to complete placements in Māori, </w:t>
      </w:r>
      <w:proofErr w:type="gramStart"/>
      <w:r w:rsidR="004D6DDB">
        <w:rPr>
          <w:lang w:eastAsia="en-GB"/>
        </w:rPr>
        <w:t>Pacific</w:t>
      </w:r>
      <w:proofErr w:type="gramEnd"/>
      <w:r w:rsidR="004D6DDB">
        <w:rPr>
          <w:lang w:eastAsia="en-GB"/>
        </w:rPr>
        <w:t xml:space="preserve"> and rural localities.</w:t>
      </w:r>
    </w:p>
    <w:p w14:paraId="46F05059" w14:textId="384BF76D" w:rsidR="00A518E2" w:rsidRDefault="00AC6495" w:rsidP="004D6DDB">
      <w:pPr>
        <w:rPr>
          <w:lang w:eastAsia="en-GB"/>
        </w:rPr>
      </w:pPr>
      <w:r>
        <w:rPr>
          <w:lang w:eastAsia="en-GB"/>
        </w:rPr>
        <w:t xml:space="preserve">Māori and Pacific GPs are under-represented in the teaching workforce. </w:t>
      </w:r>
      <w:r w:rsidR="00A518E2">
        <w:rPr>
          <w:lang w:eastAsia="en-GB"/>
        </w:rPr>
        <w:t xml:space="preserve">Under-representation reflects general under-representation in the GP workforce. Strategies are needed to involve Māori and Pacific doctors in teaching earlier in their careers to develop teaching skills and </w:t>
      </w:r>
      <w:r w:rsidR="00461184">
        <w:rPr>
          <w:lang w:eastAsia="en-GB"/>
        </w:rPr>
        <w:t xml:space="preserve">to </w:t>
      </w:r>
      <w:r w:rsidR="00A518E2">
        <w:rPr>
          <w:lang w:eastAsia="en-GB"/>
        </w:rPr>
        <w:t>adequately fund teaching time.</w:t>
      </w:r>
    </w:p>
    <w:p w14:paraId="7881BD5B" w14:textId="19F3BAA0" w:rsidR="001E1D82" w:rsidRDefault="00AC6495" w:rsidP="004D6DDB">
      <w:pPr>
        <w:rPr>
          <w:lang w:eastAsia="en-GB"/>
        </w:rPr>
      </w:pPr>
      <w:r>
        <w:rPr>
          <w:lang w:eastAsia="en-GB"/>
        </w:rPr>
        <w:t xml:space="preserve">Māori and Pacific practices are under-represented </w:t>
      </w:r>
      <w:r w:rsidR="008E456C">
        <w:rPr>
          <w:lang w:eastAsia="en-GB"/>
        </w:rPr>
        <w:t>in</w:t>
      </w:r>
      <w:r>
        <w:rPr>
          <w:lang w:eastAsia="en-GB"/>
        </w:rPr>
        <w:t xml:space="preserve"> practices accredited to take registrars</w:t>
      </w:r>
      <w:r w:rsidR="007C5694">
        <w:rPr>
          <w:lang w:eastAsia="en-GB"/>
        </w:rPr>
        <w:t xml:space="preserve">, including in </w:t>
      </w:r>
      <w:r w:rsidR="008E456C">
        <w:rPr>
          <w:lang w:eastAsia="en-GB"/>
        </w:rPr>
        <w:t>districts with a high proportion of Māori communities</w:t>
      </w:r>
      <w:r>
        <w:rPr>
          <w:lang w:eastAsia="en-GB"/>
        </w:rPr>
        <w:t xml:space="preserve">. </w:t>
      </w:r>
    </w:p>
    <w:p w14:paraId="47C8309A" w14:textId="123C4681" w:rsidR="008E456C" w:rsidRDefault="001E1D82" w:rsidP="001E1D82">
      <w:pPr>
        <w:rPr>
          <w:lang w:eastAsia="en-GB"/>
        </w:rPr>
      </w:pPr>
      <w:r>
        <w:rPr>
          <w:lang w:eastAsia="en-GB"/>
        </w:rPr>
        <w:t xml:space="preserve">There are accreditation barriers to becoming a placement provider for registrars. Increasing the number of Māori and Pacific accredited practices requires further examination of barriers and development of strategies to address identified barriers. </w:t>
      </w:r>
      <w:r w:rsidR="008C3156" w:rsidRPr="00461184">
        <w:rPr>
          <w:lang w:eastAsia="en-GB"/>
        </w:rPr>
        <w:t>Q</w:t>
      </w:r>
      <w:r w:rsidRPr="00461184">
        <w:rPr>
          <w:lang w:eastAsia="en-GB"/>
        </w:rPr>
        <w:t xml:space="preserve">uality assurance is </w:t>
      </w:r>
      <w:r w:rsidR="008C3156" w:rsidRPr="00461184">
        <w:rPr>
          <w:lang w:eastAsia="en-GB"/>
        </w:rPr>
        <w:t xml:space="preserve">essential </w:t>
      </w:r>
      <w:r w:rsidRPr="00461184">
        <w:rPr>
          <w:lang w:eastAsia="en-GB"/>
        </w:rPr>
        <w:t xml:space="preserve">but the current requirements of Cornerstone accreditation, </w:t>
      </w:r>
      <w:r w:rsidR="00461184">
        <w:rPr>
          <w:lang w:eastAsia="en-GB"/>
        </w:rPr>
        <w:t xml:space="preserve">presence of </w:t>
      </w:r>
      <w:r w:rsidRPr="00461184">
        <w:rPr>
          <w:lang w:eastAsia="en-GB"/>
        </w:rPr>
        <w:t xml:space="preserve">a teaching fellow and the cost of being an accredited practice </w:t>
      </w:r>
      <w:r w:rsidR="005D53DC" w:rsidRPr="00461184">
        <w:rPr>
          <w:lang w:eastAsia="en-GB"/>
        </w:rPr>
        <w:t xml:space="preserve">appear to be </w:t>
      </w:r>
      <w:r w:rsidRPr="00461184">
        <w:rPr>
          <w:lang w:eastAsia="en-GB"/>
        </w:rPr>
        <w:t>disadvantaging some types of providers</w:t>
      </w:r>
      <w:r w:rsidR="00E75FB1" w:rsidRPr="00461184">
        <w:rPr>
          <w:lang w:eastAsia="en-GB"/>
        </w:rPr>
        <w:t xml:space="preserve"> such as very </w:t>
      </w:r>
      <w:proofErr w:type="gramStart"/>
      <w:r w:rsidR="00E75FB1" w:rsidRPr="00461184">
        <w:rPr>
          <w:lang w:eastAsia="en-GB"/>
        </w:rPr>
        <w:t>low cost</w:t>
      </w:r>
      <w:proofErr w:type="gramEnd"/>
      <w:r w:rsidR="00E75FB1" w:rsidRPr="00461184">
        <w:rPr>
          <w:lang w:eastAsia="en-GB"/>
        </w:rPr>
        <w:t xml:space="preserve"> access (VLCA) practices and </w:t>
      </w:r>
      <w:r w:rsidR="00E50492" w:rsidRPr="00461184">
        <w:rPr>
          <w:lang w:eastAsia="en-GB"/>
        </w:rPr>
        <w:t>Māori and Pacific</w:t>
      </w:r>
      <w:r w:rsidR="00E75FB1" w:rsidRPr="00461184">
        <w:rPr>
          <w:lang w:eastAsia="en-GB"/>
        </w:rPr>
        <w:t xml:space="preserve"> providers</w:t>
      </w:r>
      <w:r w:rsidRPr="00461184">
        <w:rPr>
          <w:lang w:eastAsia="en-GB"/>
        </w:rPr>
        <w:t>.</w:t>
      </w:r>
    </w:p>
    <w:tbl>
      <w:tblPr>
        <w:tblStyle w:val="MITableClassic"/>
        <w:tblW w:w="0" w:type="auto"/>
        <w:shd w:val="clear" w:color="auto" w:fill="D0D9EA" w:themeFill="accent1" w:themeFillTint="33"/>
        <w:tblLook w:val="0480" w:firstRow="0" w:lastRow="0" w:firstColumn="1" w:lastColumn="0" w:noHBand="0" w:noVBand="1"/>
      </w:tblPr>
      <w:tblGrid>
        <w:gridCol w:w="7608"/>
      </w:tblGrid>
      <w:tr w:rsidR="001A396E" w14:paraId="121E2B55" w14:textId="77777777" w:rsidTr="00E954D7">
        <w:trPr>
          <w:cantSplit w:val="0"/>
        </w:trPr>
        <w:tc>
          <w:tcPr>
            <w:cnfStyle w:val="001000000000" w:firstRow="0" w:lastRow="0" w:firstColumn="1" w:lastColumn="0" w:oddVBand="0" w:evenVBand="0" w:oddHBand="0" w:evenHBand="0" w:firstRowFirstColumn="0" w:firstRowLastColumn="0" w:lastRowFirstColumn="0" w:lastRowLastColumn="0"/>
            <w:tcW w:w="7608" w:type="dxa"/>
            <w:shd w:val="clear" w:color="auto" w:fill="D0D9EA" w:themeFill="accent1" w:themeFillTint="33"/>
          </w:tcPr>
          <w:p w14:paraId="51B79133" w14:textId="77777777" w:rsidR="001A396E" w:rsidRDefault="001A396E" w:rsidP="00E954D7">
            <w:pPr>
              <w:keepNext w:val="0"/>
              <w:rPr>
                <w:b/>
                <w:bCs/>
                <w:lang w:eastAsia="en-GB"/>
              </w:rPr>
            </w:pPr>
            <w:r w:rsidRPr="004C0FCD">
              <w:rPr>
                <w:b/>
                <w:bCs/>
                <w:lang w:eastAsia="en-GB"/>
              </w:rPr>
              <w:t xml:space="preserve">Recommendation </w:t>
            </w:r>
            <w:r>
              <w:rPr>
                <w:b/>
                <w:bCs/>
                <w:lang w:eastAsia="en-GB"/>
              </w:rPr>
              <w:t>3</w:t>
            </w:r>
            <w:r w:rsidRPr="004C0FCD">
              <w:rPr>
                <w:b/>
                <w:bCs/>
                <w:lang w:eastAsia="en-GB"/>
              </w:rPr>
              <w:t>:</w:t>
            </w:r>
            <w:r>
              <w:rPr>
                <w:b/>
                <w:bCs/>
                <w:lang w:eastAsia="en-GB"/>
              </w:rPr>
              <w:t xml:space="preserve"> Explore and address barriers to Māori and Pacific participation in GPEP training. </w:t>
            </w:r>
            <w:r w:rsidRPr="005D53DC">
              <w:rPr>
                <w:b/>
                <w:bCs/>
                <w:lang w:eastAsia="en-GB"/>
              </w:rPr>
              <w:t xml:space="preserve">For </w:t>
            </w:r>
            <w:proofErr w:type="gramStart"/>
            <w:r w:rsidRPr="005D53DC">
              <w:rPr>
                <w:b/>
                <w:bCs/>
                <w:lang w:eastAsia="en-GB"/>
              </w:rPr>
              <w:t>example</w:t>
            </w:r>
            <w:proofErr w:type="gramEnd"/>
            <w:r w:rsidRPr="005D53DC">
              <w:rPr>
                <w:b/>
                <w:bCs/>
                <w:lang w:eastAsia="en-GB"/>
              </w:rPr>
              <w:t xml:space="preserve"> by</w:t>
            </w:r>
            <w:r>
              <w:rPr>
                <w:b/>
                <w:bCs/>
                <w:lang w:eastAsia="en-GB"/>
              </w:rPr>
              <w:t>:</w:t>
            </w:r>
          </w:p>
          <w:p w14:paraId="33C5E836" w14:textId="649F1A31" w:rsidR="009A4D88" w:rsidRDefault="002D3F2A" w:rsidP="001B3F2C">
            <w:pPr>
              <w:pStyle w:val="Bulleted"/>
              <w:keepNext w:val="0"/>
              <w:rPr>
                <w:lang w:eastAsia="en-GB"/>
              </w:rPr>
            </w:pPr>
            <w:r>
              <w:rPr>
                <w:lang w:eastAsia="en-GB"/>
              </w:rPr>
              <w:t>Enabling Tino Rangatiratanga through e</w:t>
            </w:r>
            <w:r w:rsidR="001B3F2C">
              <w:rPr>
                <w:lang w:eastAsia="en-GB"/>
              </w:rPr>
              <w:t xml:space="preserve">nsuring a Māori voice in decisions about GPEP funding and content. </w:t>
            </w:r>
            <w:r w:rsidR="008E456C">
              <w:rPr>
                <w:lang w:eastAsia="en-GB"/>
              </w:rPr>
              <w:t xml:space="preserve">Nationally, </w:t>
            </w:r>
            <w:r w:rsidR="000D468C">
              <w:rPr>
                <w:lang w:eastAsia="en-GB"/>
              </w:rPr>
              <w:t xml:space="preserve">Te Aka </w:t>
            </w:r>
            <w:proofErr w:type="spellStart"/>
            <w:r w:rsidR="000D468C">
              <w:rPr>
                <w:lang w:eastAsia="en-GB"/>
              </w:rPr>
              <w:t>Whai</w:t>
            </w:r>
            <w:proofErr w:type="spellEnd"/>
            <w:r w:rsidR="000D468C">
              <w:rPr>
                <w:lang w:eastAsia="en-GB"/>
              </w:rPr>
              <w:t xml:space="preserve"> Ora/</w:t>
            </w:r>
            <w:r w:rsidR="001B3F2C">
              <w:rPr>
                <w:lang w:eastAsia="en-GB"/>
              </w:rPr>
              <w:t xml:space="preserve">Māori Health Authority </w:t>
            </w:r>
            <w:r w:rsidR="00461184">
              <w:rPr>
                <w:lang w:eastAsia="en-GB"/>
              </w:rPr>
              <w:t>is</w:t>
            </w:r>
            <w:r w:rsidR="001B3F2C">
              <w:rPr>
                <w:lang w:eastAsia="en-GB"/>
              </w:rPr>
              <w:t xml:space="preserve"> the best placed organisation.</w:t>
            </w:r>
            <w:r w:rsidR="008E456C">
              <w:rPr>
                <w:lang w:eastAsia="en-GB"/>
              </w:rPr>
              <w:t xml:space="preserve"> </w:t>
            </w:r>
          </w:p>
          <w:p w14:paraId="1D96996B" w14:textId="5ED69276" w:rsidR="001B3F2C" w:rsidRDefault="002D3F2A" w:rsidP="001B3F2C">
            <w:pPr>
              <w:pStyle w:val="Bulleted"/>
              <w:keepNext w:val="0"/>
              <w:rPr>
                <w:lang w:eastAsia="en-GB"/>
              </w:rPr>
            </w:pPr>
            <w:proofErr w:type="spellStart"/>
            <w:r>
              <w:rPr>
                <w:lang w:eastAsia="en-GB"/>
              </w:rPr>
              <w:t>P</w:t>
            </w:r>
            <w:r>
              <w:rPr>
                <w:rFonts w:cs="Calibri"/>
                <w:lang w:eastAsia="en-GB"/>
              </w:rPr>
              <w:t>ā</w:t>
            </w:r>
            <w:r>
              <w:rPr>
                <w:lang w:eastAsia="en-GB"/>
              </w:rPr>
              <w:t>tuitanga</w:t>
            </w:r>
            <w:proofErr w:type="spellEnd"/>
            <w:r>
              <w:rPr>
                <w:lang w:eastAsia="en-GB"/>
              </w:rPr>
              <w:t xml:space="preserve"> - </w:t>
            </w:r>
            <w:r w:rsidR="008E456C">
              <w:rPr>
                <w:lang w:eastAsia="en-GB"/>
              </w:rPr>
              <w:t>Regional partnerships with mana whenua</w:t>
            </w:r>
            <w:r w:rsidR="009A4D88" w:rsidRPr="00CC1E62">
              <w:rPr>
                <w:rFonts w:cs="Calibri"/>
                <w:lang w:eastAsia="en-GB"/>
              </w:rPr>
              <w:t xml:space="preserve"> to strengthen registrar and teachers’ cultural understandings and experiences</w:t>
            </w:r>
            <w:r w:rsidR="009A4D88">
              <w:rPr>
                <w:lang w:eastAsia="en-GB"/>
              </w:rPr>
              <w:t xml:space="preserve">. </w:t>
            </w:r>
            <w:r w:rsidR="009A4D88">
              <w:rPr>
                <w:rFonts w:cs="Calibri"/>
                <w:lang w:eastAsia="en-GB"/>
              </w:rPr>
              <w:t xml:space="preserve">Cultural training for registrars </w:t>
            </w:r>
            <w:r w:rsidR="009A4D88" w:rsidRPr="00CC1E62">
              <w:rPr>
                <w:rFonts w:cs="Calibri"/>
                <w:lang w:eastAsia="en-GB"/>
              </w:rPr>
              <w:t>can sit alongside the clinical training</w:t>
            </w:r>
            <w:r w:rsidR="009A4D88">
              <w:rPr>
                <w:rFonts w:cs="Calibri"/>
                <w:lang w:eastAsia="en-GB"/>
              </w:rPr>
              <w:t xml:space="preserve"> and does not need to be delivered by clinicians</w:t>
            </w:r>
            <w:r w:rsidR="009A4D88" w:rsidRPr="00CC1E62">
              <w:rPr>
                <w:rFonts w:cs="Calibri"/>
                <w:lang w:eastAsia="en-GB"/>
              </w:rPr>
              <w:t xml:space="preserve">. A </w:t>
            </w:r>
            <w:r w:rsidR="009A4D88" w:rsidRPr="00CC1E62">
              <w:rPr>
                <w:rStyle w:val="cf01"/>
                <w:rFonts w:ascii="Calibri" w:hAnsi="Calibri" w:cs="Calibri"/>
                <w:sz w:val="22"/>
                <w:szCs w:val="22"/>
              </w:rPr>
              <w:t xml:space="preserve">mana whenua approach will enable registrars to care for patients in a way that considers the community and context </w:t>
            </w:r>
            <w:r w:rsidR="00461184">
              <w:rPr>
                <w:rStyle w:val="cf01"/>
                <w:rFonts w:ascii="Calibri" w:hAnsi="Calibri" w:cs="Calibri"/>
                <w:sz w:val="22"/>
                <w:szCs w:val="22"/>
              </w:rPr>
              <w:t xml:space="preserve">where </w:t>
            </w:r>
            <w:r w:rsidR="009A4D88" w:rsidRPr="00CC1E62">
              <w:rPr>
                <w:rStyle w:val="cf01"/>
                <w:rFonts w:ascii="Calibri" w:hAnsi="Calibri" w:cs="Calibri"/>
                <w:sz w:val="22"/>
                <w:szCs w:val="22"/>
              </w:rPr>
              <w:t>wh</w:t>
            </w:r>
            <w:r w:rsidR="009A4D88">
              <w:rPr>
                <w:rStyle w:val="cf01"/>
                <w:rFonts w:ascii="Calibri" w:hAnsi="Calibri" w:cs="Calibri"/>
                <w:sz w:val="22"/>
                <w:szCs w:val="22"/>
              </w:rPr>
              <w:t>ā</w:t>
            </w:r>
            <w:r w:rsidR="009A4D88" w:rsidRPr="00CC1E62">
              <w:rPr>
                <w:rStyle w:val="cf01"/>
                <w:rFonts w:ascii="Calibri" w:hAnsi="Calibri" w:cs="Calibri"/>
                <w:sz w:val="22"/>
                <w:szCs w:val="22"/>
              </w:rPr>
              <w:t>nau live</w:t>
            </w:r>
            <w:r w:rsidR="009A4D88">
              <w:rPr>
                <w:rStyle w:val="cf01"/>
                <w:rFonts w:ascii="Calibri" w:hAnsi="Calibri" w:cs="Calibri"/>
                <w:sz w:val="22"/>
                <w:szCs w:val="22"/>
              </w:rPr>
              <w:t>.</w:t>
            </w:r>
          </w:p>
          <w:p w14:paraId="0A4A2DEB" w14:textId="48396FA4" w:rsidR="001A396E" w:rsidRPr="001A396E" w:rsidRDefault="001A396E" w:rsidP="00E954D7">
            <w:pPr>
              <w:pStyle w:val="Bulleted"/>
              <w:rPr>
                <w:lang w:eastAsia="en-GB"/>
              </w:rPr>
            </w:pPr>
            <w:r w:rsidRPr="001A396E">
              <w:rPr>
                <w:lang w:eastAsia="en-GB"/>
              </w:rPr>
              <w:t>Strengthening the support for Māori and Pacific registrars</w:t>
            </w:r>
            <w:r w:rsidR="009A4D88">
              <w:rPr>
                <w:lang w:eastAsia="en-GB"/>
              </w:rPr>
              <w:t xml:space="preserve">. The </w:t>
            </w:r>
            <w:r w:rsidR="00AE1B2C">
              <w:rPr>
                <w:lang w:eastAsia="en-GB"/>
              </w:rPr>
              <w:t xml:space="preserve">additional funding provided by </w:t>
            </w:r>
            <w:r w:rsidR="00D334C0">
              <w:t>Manat</w:t>
            </w:r>
            <w:r w:rsidR="00D334C0">
              <w:rPr>
                <w:rFonts w:cs="Calibri"/>
              </w:rPr>
              <w:t>ū</w:t>
            </w:r>
            <w:r w:rsidR="00D334C0">
              <w:t xml:space="preserve"> Hauora</w:t>
            </w:r>
            <w:r w:rsidR="00AE1B2C">
              <w:rPr>
                <w:lang w:eastAsia="en-GB"/>
              </w:rPr>
              <w:t xml:space="preserve"> for registrar support </w:t>
            </w:r>
            <w:r w:rsidR="009A4D88">
              <w:rPr>
                <w:lang w:eastAsia="en-GB"/>
              </w:rPr>
              <w:t>may be</w:t>
            </w:r>
            <w:r w:rsidR="00AE1B2C">
              <w:rPr>
                <w:lang w:eastAsia="en-GB"/>
              </w:rPr>
              <w:t xml:space="preserve"> sufficient. </w:t>
            </w:r>
          </w:p>
          <w:p w14:paraId="5AD0426C" w14:textId="566B70A5" w:rsidR="001A396E" w:rsidRPr="00411E89" w:rsidRDefault="00411E89" w:rsidP="00D44D2F">
            <w:pPr>
              <w:pStyle w:val="Bulleted"/>
              <w:rPr>
                <w:rFonts w:cs="Calibri"/>
                <w:lang w:eastAsia="en-GB"/>
              </w:rPr>
            </w:pPr>
            <w:r w:rsidRPr="00411E89">
              <w:rPr>
                <w:rFonts w:cs="Calibri"/>
                <w:lang w:eastAsia="en-GB"/>
              </w:rPr>
              <w:t>Building the Māori and Pacific teaching workforce and in the interim c</w:t>
            </w:r>
            <w:r w:rsidR="001A396E" w:rsidRPr="00411E89">
              <w:rPr>
                <w:rFonts w:cs="Calibri"/>
                <w:lang w:eastAsia="en-GB"/>
              </w:rPr>
              <w:t xml:space="preserve">onsidering ways to include Māori </w:t>
            </w:r>
            <w:r w:rsidR="00AE1B2C" w:rsidRPr="00411E89">
              <w:rPr>
                <w:rFonts w:cs="Calibri"/>
                <w:lang w:eastAsia="en-GB"/>
              </w:rPr>
              <w:t xml:space="preserve">and Pacific </w:t>
            </w:r>
            <w:r w:rsidR="001A396E" w:rsidRPr="00411E89">
              <w:rPr>
                <w:rFonts w:cs="Calibri"/>
                <w:lang w:eastAsia="en-GB"/>
              </w:rPr>
              <w:t>doctors in clinical teaching even if they have not achieved College fellowship.</w:t>
            </w:r>
          </w:p>
          <w:p w14:paraId="02910FF7" w14:textId="15D9BCB4" w:rsidR="001B3F2C" w:rsidRDefault="001A396E" w:rsidP="009A4D88">
            <w:pPr>
              <w:pStyle w:val="Bulleted"/>
              <w:rPr>
                <w:lang w:eastAsia="en-GB"/>
              </w:rPr>
            </w:pPr>
            <w:r w:rsidRPr="001A396E">
              <w:rPr>
                <w:lang w:eastAsia="en-GB"/>
              </w:rPr>
              <w:t xml:space="preserve">Enabling more representation of Māori and Pacific </w:t>
            </w:r>
            <w:r w:rsidR="00AE1B2C">
              <w:rPr>
                <w:lang w:eastAsia="en-GB"/>
              </w:rPr>
              <w:t>general practices</w:t>
            </w:r>
            <w:r w:rsidRPr="001A396E">
              <w:rPr>
                <w:lang w:eastAsia="en-GB"/>
              </w:rPr>
              <w:t xml:space="preserve"> as placement providers</w:t>
            </w:r>
            <w:r w:rsidR="008D5867">
              <w:rPr>
                <w:lang w:eastAsia="en-GB"/>
              </w:rPr>
              <w:t xml:space="preserve"> (see Recommendation 2c)</w:t>
            </w:r>
            <w:r>
              <w:rPr>
                <w:lang w:eastAsia="en-GB"/>
              </w:rPr>
              <w:t>.</w:t>
            </w:r>
            <w:r w:rsidRPr="001A396E">
              <w:rPr>
                <w:lang w:eastAsia="en-GB"/>
              </w:rPr>
              <w:t xml:space="preserve"> </w:t>
            </w:r>
          </w:p>
        </w:tc>
      </w:tr>
    </w:tbl>
    <w:p w14:paraId="68A48C71" w14:textId="0072856D" w:rsidR="00B650A6" w:rsidRDefault="001E1D82" w:rsidP="005D600C">
      <w:pPr>
        <w:pStyle w:val="Malaheading2"/>
        <w:numPr>
          <w:ilvl w:val="0"/>
          <w:numId w:val="0"/>
        </w:numPr>
        <w:rPr>
          <w:b w:val="0"/>
          <w:bCs w:val="0"/>
        </w:rPr>
      </w:pPr>
      <w:bookmarkStart w:id="11" w:name="_Toc105853879"/>
      <w:r>
        <w:lastRenderedPageBreak/>
        <w:t xml:space="preserve">Regional training programmes </w:t>
      </w:r>
      <w:r w:rsidR="008027A2">
        <w:t xml:space="preserve">have the potential to </w:t>
      </w:r>
      <w:bookmarkEnd w:id="3"/>
      <w:r w:rsidR="005D600C">
        <w:t xml:space="preserve">provide more effective </w:t>
      </w:r>
      <w:r w:rsidR="00B650A6" w:rsidRPr="00B650A6">
        <w:t>coverage for training placements</w:t>
      </w:r>
      <w:r w:rsidR="007F2722">
        <w:t xml:space="preserve"> including for rural localities</w:t>
      </w:r>
      <w:bookmarkEnd w:id="11"/>
    </w:p>
    <w:p w14:paraId="399CA81F" w14:textId="529A2DA7" w:rsidR="008F6522" w:rsidRDefault="000A44CD" w:rsidP="00D17CCC">
      <w:pPr>
        <w:pStyle w:val="Malanorm"/>
        <w:rPr>
          <w:lang w:eastAsia="en-GB"/>
        </w:rPr>
      </w:pPr>
      <w:r w:rsidRPr="007C16A2">
        <w:rPr>
          <w:lang w:eastAsia="en-GB"/>
        </w:rPr>
        <w:t>While there are more placement providers than registrar, there is a lack of different practice types in some localities</w:t>
      </w:r>
      <w:r w:rsidR="007C16A2">
        <w:rPr>
          <w:lang w:eastAsia="en-GB"/>
        </w:rPr>
        <w:t xml:space="preserve">, </w:t>
      </w:r>
      <w:r w:rsidR="00DB0681" w:rsidRPr="007C16A2">
        <w:rPr>
          <w:lang w:eastAsia="en-GB"/>
        </w:rPr>
        <w:t>registrars who do not want to relocate or who consider they have had insufficient time to plan for relocation</w:t>
      </w:r>
      <w:r w:rsidR="00C06C99" w:rsidRPr="007C16A2">
        <w:rPr>
          <w:lang w:eastAsia="en-GB"/>
        </w:rPr>
        <w:t>,</w:t>
      </w:r>
      <w:r w:rsidR="00DB0681" w:rsidRPr="007C16A2">
        <w:rPr>
          <w:lang w:eastAsia="en-GB"/>
        </w:rPr>
        <w:t xml:space="preserve"> and the availability of a practice-employment option </w:t>
      </w:r>
      <w:r w:rsidR="007F2722" w:rsidRPr="007C16A2">
        <w:rPr>
          <w:lang w:eastAsia="en-GB"/>
        </w:rPr>
        <w:t>to avoid</w:t>
      </w:r>
      <w:r w:rsidR="00DB0681" w:rsidRPr="007C16A2">
        <w:rPr>
          <w:lang w:eastAsia="en-GB"/>
        </w:rPr>
        <w:t xml:space="preserve"> relocation.</w:t>
      </w:r>
      <w:r w:rsidR="00DB0681">
        <w:rPr>
          <w:lang w:eastAsia="en-GB"/>
        </w:rPr>
        <w:t xml:space="preserve"> </w:t>
      </w:r>
    </w:p>
    <w:p w14:paraId="42281609" w14:textId="4EC79B59" w:rsidR="005D600C" w:rsidRDefault="005D600C" w:rsidP="005D600C">
      <w:pPr>
        <w:rPr>
          <w:lang w:eastAsia="en-GB"/>
        </w:rPr>
      </w:pPr>
      <w:r>
        <w:rPr>
          <w:lang w:eastAsia="en-GB"/>
        </w:rPr>
        <w:t>Most other vocational programmes include mandatory rotation. These are largely planned and allow certainty for registrars.</w:t>
      </w:r>
      <w:r w:rsidR="005B2D84">
        <w:rPr>
          <w:lang w:eastAsia="en-GB"/>
        </w:rPr>
        <w:t xml:space="preserve"> </w:t>
      </w:r>
      <w:r>
        <w:rPr>
          <w:lang w:eastAsia="en-GB"/>
        </w:rPr>
        <w:t xml:space="preserve">There is potential for a </w:t>
      </w:r>
      <w:r w:rsidR="005B2D84">
        <w:rPr>
          <w:lang w:eastAsia="en-GB"/>
        </w:rPr>
        <w:t xml:space="preserve">one or </w:t>
      </w:r>
      <w:r>
        <w:rPr>
          <w:lang w:eastAsia="en-GB"/>
        </w:rPr>
        <w:t xml:space="preserve">two-year GPEP </w:t>
      </w:r>
      <w:r w:rsidR="009A4D88">
        <w:rPr>
          <w:lang w:eastAsia="en-GB"/>
        </w:rPr>
        <w:t xml:space="preserve">regional </w:t>
      </w:r>
      <w:r>
        <w:rPr>
          <w:lang w:eastAsia="en-GB"/>
        </w:rPr>
        <w:t xml:space="preserve">programme to be </w:t>
      </w:r>
      <w:r w:rsidR="009A4D88">
        <w:rPr>
          <w:lang w:eastAsia="en-GB"/>
        </w:rPr>
        <w:t>developed</w:t>
      </w:r>
      <w:r>
        <w:rPr>
          <w:lang w:eastAsia="en-GB"/>
        </w:rPr>
        <w:t xml:space="preserve">. </w:t>
      </w:r>
    </w:p>
    <w:p w14:paraId="16E23CCD" w14:textId="60FEFF91" w:rsidR="005D600C" w:rsidRDefault="005D600C" w:rsidP="005D600C">
      <w:pPr>
        <w:pStyle w:val="Bulleted"/>
        <w:rPr>
          <w:lang w:eastAsia="en-GB"/>
        </w:rPr>
      </w:pPr>
      <w:r>
        <w:rPr>
          <w:lang w:eastAsia="en-GB"/>
        </w:rPr>
        <w:t xml:space="preserve">A regional programme could be developed </w:t>
      </w:r>
      <w:r w:rsidR="00C06C99">
        <w:rPr>
          <w:lang w:eastAsia="en-GB"/>
        </w:rPr>
        <w:t>as funded partnerships with</w:t>
      </w:r>
      <w:r w:rsidR="009A4D88">
        <w:rPr>
          <w:lang w:eastAsia="en-GB"/>
        </w:rPr>
        <w:t xml:space="preserve"> mana whenua,</w:t>
      </w:r>
      <w:r>
        <w:rPr>
          <w:lang w:eastAsia="en-GB"/>
        </w:rPr>
        <w:t xml:space="preserve"> PHOs and other primary care providers.</w:t>
      </w:r>
    </w:p>
    <w:p w14:paraId="00433CAC" w14:textId="65C0EFEF" w:rsidR="005D600C" w:rsidRDefault="005D600C" w:rsidP="005D600C">
      <w:pPr>
        <w:pStyle w:val="Bulleted"/>
        <w:rPr>
          <w:lang w:eastAsia="en-GB"/>
        </w:rPr>
      </w:pPr>
      <w:r>
        <w:rPr>
          <w:lang w:eastAsia="en-GB"/>
        </w:rPr>
        <w:t>Registrars could select a region and complete a programme that would include options</w:t>
      </w:r>
      <w:r w:rsidR="007C16A2">
        <w:rPr>
          <w:lang w:eastAsia="en-GB"/>
        </w:rPr>
        <w:t xml:space="preserve"> within the region</w:t>
      </w:r>
      <w:r>
        <w:rPr>
          <w:lang w:eastAsia="en-GB"/>
        </w:rPr>
        <w:t xml:space="preserve">. Options could </w:t>
      </w:r>
      <w:r w:rsidR="00C06C99">
        <w:rPr>
          <w:lang w:eastAsia="en-GB"/>
        </w:rPr>
        <w:t>consider</w:t>
      </w:r>
      <w:r>
        <w:rPr>
          <w:lang w:eastAsia="en-GB"/>
        </w:rPr>
        <w:t xml:space="preserve"> a registrar’s ability to travel. We heard from registrars that </w:t>
      </w:r>
      <w:r w:rsidR="007C16A2">
        <w:rPr>
          <w:lang w:eastAsia="en-GB"/>
        </w:rPr>
        <w:t xml:space="preserve">adequate time to plan </w:t>
      </w:r>
      <w:r>
        <w:rPr>
          <w:lang w:eastAsia="en-GB"/>
        </w:rPr>
        <w:t xml:space="preserve">would </w:t>
      </w:r>
      <w:r w:rsidR="007C16A2">
        <w:rPr>
          <w:lang w:eastAsia="en-GB"/>
        </w:rPr>
        <w:t>make it</w:t>
      </w:r>
      <w:r>
        <w:rPr>
          <w:lang w:eastAsia="en-GB"/>
        </w:rPr>
        <w:t xml:space="preserve"> easier for them to relocate. </w:t>
      </w:r>
    </w:p>
    <w:p w14:paraId="2E7B4ECE" w14:textId="68CA9FCE" w:rsidR="005D600C" w:rsidRDefault="005D600C" w:rsidP="005D600C">
      <w:pPr>
        <w:pStyle w:val="Bulleted"/>
        <w:rPr>
          <w:lang w:eastAsia="en-GB"/>
        </w:rPr>
      </w:pPr>
      <w:r>
        <w:rPr>
          <w:lang w:eastAsia="en-GB"/>
        </w:rPr>
        <w:t>The regional programme might involve fewer general practices but provide more certainty to those that were involved. Certainty would enable practices to plan for a registrar and potentially increase enrolled patient numbers and capitation income.</w:t>
      </w:r>
    </w:p>
    <w:p w14:paraId="40618976" w14:textId="75699CD8" w:rsidR="00C06C99" w:rsidRDefault="00C06C99" w:rsidP="008D5867">
      <w:pPr>
        <w:pStyle w:val="Bulleted"/>
        <w:spacing w:after="240"/>
        <w:ind w:left="714" w:hanging="357"/>
        <w:rPr>
          <w:lang w:eastAsia="en-GB"/>
        </w:rPr>
      </w:pPr>
      <w:r>
        <w:rPr>
          <w:lang w:eastAsia="en-GB"/>
        </w:rPr>
        <w:t>Other organisations and settings could be part of a regional rotation with appropriate supervision and guidance. For example, marae and workplace clinics, NGO services and rural hospital rotations.</w:t>
      </w:r>
    </w:p>
    <w:tbl>
      <w:tblPr>
        <w:tblStyle w:val="MITableClassic"/>
        <w:tblW w:w="0" w:type="auto"/>
        <w:shd w:val="clear" w:color="auto" w:fill="D0D9EA" w:themeFill="accent1" w:themeFillTint="33"/>
        <w:tblLook w:val="0480" w:firstRow="0" w:lastRow="0" w:firstColumn="1" w:lastColumn="0" w:noHBand="0" w:noVBand="1"/>
      </w:tblPr>
      <w:tblGrid>
        <w:gridCol w:w="7608"/>
      </w:tblGrid>
      <w:tr w:rsidR="008F6522" w14:paraId="27AEDCD8" w14:textId="77777777" w:rsidTr="003D12EB">
        <w:trPr>
          <w:cantSplit w:val="0"/>
        </w:trPr>
        <w:tc>
          <w:tcPr>
            <w:cnfStyle w:val="001000000000" w:firstRow="0" w:lastRow="0" w:firstColumn="1" w:lastColumn="0" w:oddVBand="0" w:evenVBand="0" w:oddHBand="0" w:evenHBand="0" w:firstRowFirstColumn="0" w:firstRowLastColumn="0" w:lastRowFirstColumn="0" w:lastRowLastColumn="0"/>
            <w:tcW w:w="7608" w:type="dxa"/>
            <w:shd w:val="clear" w:color="auto" w:fill="D0D9EA" w:themeFill="accent1" w:themeFillTint="33"/>
          </w:tcPr>
          <w:p w14:paraId="6F1EDE3E" w14:textId="05C3B39C" w:rsidR="004A7288" w:rsidRPr="0081477E" w:rsidRDefault="008F6522" w:rsidP="005D600C">
            <w:pPr>
              <w:keepNext w:val="0"/>
              <w:rPr>
                <w:b/>
                <w:bCs/>
                <w:lang w:eastAsia="en-GB"/>
              </w:rPr>
            </w:pPr>
            <w:r w:rsidRPr="0081477E">
              <w:rPr>
                <w:b/>
                <w:bCs/>
                <w:lang w:eastAsia="en-GB"/>
              </w:rPr>
              <w:t xml:space="preserve">Recommendation </w:t>
            </w:r>
            <w:r w:rsidR="004A7288" w:rsidRPr="0081477E">
              <w:rPr>
                <w:b/>
                <w:bCs/>
                <w:lang w:eastAsia="en-GB"/>
              </w:rPr>
              <w:t>4</w:t>
            </w:r>
            <w:r w:rsidRPr="0081477E">
              <w:rPr>
                <w:b/>
                <w:bCs/>
                <w:lang w:eastAsia="en-GB"/>
              </w:rPr>
              <w:t>:</w:t>
            </w:r>
            <w:r w:rsidR="005D600C" w:rsidRPr="0081477E">
              <w:rPr>
                <w:b/>
                <w:bCs/>
                <w:lang w:eastAsia="en-GB"/>
              </w:rPr>
              <w:t xml:space="preserve"> </w:t>
            </w:r>
            <w:r w:rsidR="0081477E" w:rsidRPr="0081477E">
              <w:rPr>
                <w:b/>
                <w:bCs/>
                <w:lang w:eastAsia="en-GB"/>
              </w:rPr>
              <w:t xml:space="preserve">Health sector organisations and the College </w:t>
            </w:r>
            <w:r w:rsidR="005D600C" w:rsidRPr="0081477E">
              <w:rPr>
                <w:b/>
                <w:bCs/>
                <w:lang w:eastAsia="en-GB"/>
              </w:rPr>
              <w:t xml:space="preserve">consult with </w:t>
            </w:r>
            <w:r w:rsidR="00C06C99" w:rsidRPr="0081477E">
              <w:rPr>
                <w:b/>
                <w:bCs/>
                <w:lang w:eastAsia="en-GB"/>
              </w:rPr>
              <w:t xml:space="preserve">mana whenua and other </w:t>
            </w:r>
            <w:r w:rsidR="005D600C" w:rsidRPr="0081477E">
              <w:rPr>
                <w:b/>
                <w:bCs/>
                <w:lang w:eastAsia="en-GB"/>
              </w:rPr>
              <w:t xml:space="preserve">regional partners </w:t>
            </w:r>
            <w:r w:rsidR="00C06C99" w:rsidRPr="0081477E">
              <w:rPr>
                <w:b/>
                <w:bCs/>
                <w:lang w:eastAsia="en-GB"/>
              </w:rPr>
              <w:t>t</w:t>
            </w:r>
            <w:r w:rsidR="005D600C" w:rsidRPr="0081477E">
              <w:rPr>
                <w:b/>
                <w:bCs/>
                <w:lang w:eastAsia="en-GB"/>
              </w:rPr>
              <w:t>o explore opportunities for r</w:t>
            </w:r>
            <w:r w:rsidR="00783D87" w:rsidRPr="0081477E">
              <w:rPr>
                <w:b/>
                <w:bCs/>
                <w:lang w:eastAsia="en-GB"/>
              </w:rPr>
              <w:t xml:space="preserve">egional placement programmes </w:t>
            </w:r>
            <w:r w:rsidR="005D600C" w:rsidRPr="0081477E">
              <w:rPr>
                <w:b/>
                <w:bCs/>
                <w:lang w:eastAsia="en-GB"/>
              </w:rPr>
              <w:t xml:space="preserve">to </w:t>
            </w:r>
            <w:r w:rsidR="00783D87" w:rsidRPr="0081477E">
              <w:rPr>
                <w:b/>
                <w:bCs/>
                <w:lang w:eastAsia="en-GB"/>
              </w:rPr>
              <w:t>extend coverage and i</w:t>
            </w:r>
            <w:r w:rsidRPr="0081477E">
              <w:rPr>
                <w:b/>
                <w:bCs/>
                <w:lang w:eastAsia="en-GB"/>
              </w:rPr>
              <w:t xml:space="preserve">mprove cultural </w:t>
            </w:r>
            <w:r w:rsidR="008621BF">
              <w:rPr>
                <w:b/>
                <w:bCs/>
                <w:lang w:eastAsia="en-GB"/>
              </w:rPr>
              <w:t>safety</w:t>
            </w:r>
            <w:r w:rsidRPr="0081477E">
              <w:rPr>
                <w:b/>
                <w:bCs/>
                <w:lang w:eastAsia="en-GB"/>
              </w:rPr>
              <w:t xml:space="preserve"> education </w:t>
            </w:r>
            <w:r w:rsidR="006F6834" w:rsidRPr="0081477E">
              <w:rPr>
                <w:b/>
                <w:bCs/>
                <w:lang w:eastAsia="en-GB"/>
              </w:rPr>
              <w:t>and understanding of rural localities</w:t>
            </w:r>
            <w:r w:rsidR="005D600C" w:rsidRPr="0081477E">
              <w:rPr>
                <w:b/>
                <w:bCs/>
                <w:lang w:eastAsia="en-GB"/>
              </w:rPr>
              <w:t xml:space="preserve">. </w:t>
            </w:r>
          </w:p>
          <w:p w14:paraId="417C9284" w14:textId="77777777" w:rsidR="00A630B7" w:rsidRDefault="00A630B7" w:rsidP="005D600C">
            <w:pPr>
              <w:keepNext w:val="0"/>
              <w:rPr>
                <w:lang w:eastAsia="en-GB"/>
              </w:rPr>
            </w:pPr>
            <w:r>
              <w:rPr>
                <w:lang w:eastAsia="en-GB"/>
              </w:rPr>
              <w:t>A regional pilot programme could be set-up and evaluated to inform national development.</w:t>
            </w:r>
          </w:p>
          <w:p w14:paraId="2CDFFB0D" w14:textId="178F644F" w:rsidR="00A438FD" w:rsidRPr="00A438FD" w:rsidRDefault="00A438FD" w:rsidP="005D600C">
            <w:pPr>
              <w:keepNext w:val="0"/>
              <w:rPr>
                <w:lang w:eastAsia="en-GB"/>
              </w:rPr>
            </w:pPr>
            <w:r w:rsidRPr="00A438FD">
              <w:rPr>
                <w:lang w:eastAsia="en-GB"/>
              </w:rPr>
              <w:t xml:space="preserve">Regional partnerships </w:t>
            </w:r>
            <w:r>
              <w:rPr>
                <w:lang w:eastAsia="en-GB"/>
              </w:rPr>
              <w:t xml:space="preserve">could build on partnerships started with Te </w:t>
            </w:r>
            <w:proofErr w:type="spellStart"/>
            <w:r>
              <w:rPr>
                <w:lang w:eastAsia="en-GB"/>
              </w:rPr>
              <w:t>Ah</w:t>
            </w:r>
            <w:r w:rsidR="000C43D9">
              <w:rPr>
                <w:lang w:eastAsia="en-GB"/>
              </w:rPr>
              <w:t>u</w:t>
            </w:r>
            <w:r>
              <w:rPr>
                <w:lang w:eastAsia="en-GB"/>
              </w:rPr>
              <w:t>nga</w:t>
            </w:r>
            <w:proofErr w:type="spellEnd"/>
            <w:r>
              <w:rPr>
                <w:lang w:eastAsia="en-GB"/>
              </w:rPr>
              <w:t xml:space="preserve"> and the undergraduate interprofessional education initiatives.</w:t>
            </w:r>
          </w:p>
        </w:tc>
      </w:tr>
    </w:tbl>
    <w:p w14:paraId="57111E78" w14:textId="77777777" w:rsidR="00E55A28" w:rsidRDefault="00E55A28" w:rsidP="0081477E"/>
    <w:p w14:paraId="0C2B0827" w14:textId="46CACB51" w:rsidR="008F6522" w:rsidRPr="008F7903" w:rsidRDefault="00E55A28" w:rsidP="008F7903">
      <w:pPr>
        <w:pStyle w:val="Malaheading2"/>
        <w:numPr>
          <w:ilvl w:val="0"/>
          <w:numId w:val="0"/>
        </w:numPr>
      </w:pPr>
      <w:r>
        <w:br w:type="column"/>
      </w:r>
      <w:bookmarkStart w:id="12" w:name="_Toc105853880"/>
      <w:r w:rsidR="008F6522" w:rsidRPr="00B650A6">
        <w:lastRenderedPageBreak/>
        <w:t>Appropriate use of funding (within the allocated budget)</w:t>
      </w:r>
      <w:bookmarkEnd w:id="12"/>
    </w:p>
    <w:p w14:paraId="69E466AE" w14:textId="03B40A3E" w:rsidR="008F6522" w:rsidRDefault="008F6522" w:rsidP="008F6522">
      <w:r w:rsidRPr="00F9282B">
        <w:t>The</w:t>
      </w:r>
      <w:r>
        <w:t xml:space="preserve"> GPEP contract comprises four components with budget allocated to each component. </w:t>
      </w:r>
      <w:r w:rsidR="000B53B9">
        <w:t>The</w:t>
      </w:r>
      <w:r w:rsidR="005B2D84">
        <w:t xml:space="preserve"> transactional nature of the</w:t>
      </w:r>
      <w:r w:rsidR="000B53B9">
        <w:t xml:space="preserve"> contract constrains new initiatives</w:t>
      </w:r>
      <w:r>
        <w:t>.</w:t>
      </w:r>
    </w:p>
    <w:p w14:paraId="2CF99775" w14:textId="14F89BDA" w:rsidR="0081477E" w:rsidRDefault="0081477E" w:rsidP="008F6522">
      <w:r>
        <w:t>The commissioning model, contract management and funding must reflect equity.</w:t>
      </w:r>
      <w:r w:rsidR="00A438FD">
        <w:t xml:space="preserve"> No one party can achieve the changes needed.</w:t>
      </w:r>
    </w:p>
    <w:tbl>
      <w:tblPr>
        <w:tblStyle w:val="MITableClassic"/>
        <w:tblW w:w="0" w:type="auto"/>
        <w:shd w:val="clear" w:color="auto" w:fill="D0D9EA" w:themeFill="accent1" w:themeFillTint="33"/>
        <w:tblLook w:val="0480" w:firstRow="0" w:lastRow="0" w:firstColumn="1" w:lastColumn="0" w:noHBand="0" w:noVBand="1"/>
      </w:tblPr>
      <w:tblGrid>
        <w:gridCol w:w="7608"/>
      </w:tblGrid>
      <w:tr w:rsidR="006F6834" w14:paraId="399ABE0F" w14:textId="77777777" w:rsidTr="007B1651">
        <w:trPr>
          <w:cantSplit w:val="0"/>
        </w:trPr>
        <w:tc>
          <w:tcPr>
            <w:cnfStyle w:val="001000000000" w:firstRow="0" w:lastRow="0" w:firstColumn="1" w:lastColumn="0" w:oddVBand="0" w:evenVBand="0" w:oddHBand="0" w:evenHBand="0" w:firstRowFirstColumn="0" w:firstRowLastColumn="0" w:lastRowFirstColumn="0" w:lastRowLastColumn="0"/>
            <w:tcW w:w="7608" w:type="dxa"/>
            <w:shd w:val="clear" w:color="auto" w:fill="D0D9EA" w:themeFill="accent1" w:themeFillTint="33"/>
          </w:tcPr>
          <w:p w14:paraId="24AC6BE2" w14:textId="221A0795" w:rsidR="006F6834" w:rsidRDefault="006F6834" w:rsidP="006F6834">
            <w:pPr>
              <w:keepNext w:val="0"/>
              <w:rPr>
                <w:b/>
                <w:bCs/>
                <w:lang w:eastAsia="en-GB"/>
              </w:rPr>
            </w:pPr>
            <w:r w:rsidRPr="004C0FCD">
              <w:rPr>
                <w:b/>
                <w:bCs/>
                <w:lang w:eastAsia="en-GB"/>
              </w:rPr>
              <w:t xml:space="preserve">Recommendation </w:t>
            </w:r>
            <w:r>
              <w:rPr>
                <w:b/>
                <w:bCs/>
                <w:lang w:eastAsia="en-GB"/>
              </w:rPr>
              <w:t>5</w:t>
            </w:r>
            <w:r w:rsidRPr="004C0FCD">
              <w:rPr>
                <w:b/>
                <w:bCs/>
                <w:lang w:eastAsia="en-GB"/>
              </w:rPr>
              <w:t>:</w:t>
            </w:r>
            <w:r>
              <w:rPr>
                <w:b/>
                <w:bCs/>
                <w:lang w:eastAsia="en-GB"/>
              </w:rPr>
              <w:t xml:space="preserve"> </w:t>
            </w:r>
            <w:r w:rsidR="00096BC9" w:rsidRPr="00096BC9">
              <w:rPr>
                <w:b/>
                <w:bCs/>
                <w:lang w:eastAsia="en-GB"/>
              </w:rPr>
              <w:t>A reviewed GPEP funding contract with a focus on partnerships</w:t>
            </w:r>
            <w:r w:rsidR="00A438FD">
              <w:rPr>
                <w:b/>
                <w:bCs/>
                <w:lang w:eastAsia="en-GB"/>
              </w:rPr>
              <w:t xml:space="preserve"> between health sector organisations</w:t>
            </w:r>
            <w:r w:rsidR="00096BC9" w:rsidRPr="00096BC9">
              <w:rPr>
                <w:b/>
                <w:bCs/>
                <w:lang w:eastAsia="en-GB"/>
              </w:rPr>
              <w:t xml:space="preserve"> to achieve change</w:t>
            </w:r>
          </w:p>
          <w:p w14:paraId="1F9287EF" w14:textId="3469EEFE" w:rsidR="005D600C" w:rsidRDefault="004A7288" w:rsidP="006F6834">
            <w:pPr>
              <w:keepNext w:val="0"/>
              <w:rPr>
                <w:lang w:eastAsia="en-GB"/>
              </w:rPr>
            </w:pPr>
            <w:r>
              <w:t xml:space="preserve">The recommendations arising from the review will require substantial changes to the current GPEP contract. </w:t>
            </w:r>
            <w:r w:rsidR="005D600C">
              <w:t xml:space="preserve">Achieving change will require the key sector stakeholders to work together to </w:t>
            </w:r>
            <w:r w:rsidR="008F7903">
              <w:t xml:space="preserve">progressively address the issues raised in this review and to </w:t>
            </w:r>
            <w:r w:rsidR="005D600C">
              <w:t>strengthen the GP workforce.</w:t>
            </w:r>
            <w:r w:rsidR="0018162B">
              <w:t xml:space="preserve"> </w:t>
            </w:r>
          </w:p>
          <w:p w14:paraId="3F8A5990" w14:textId="0BEAB723" w:rsidR="00B034E3" w:rsidRDefault="0018162B" w:rsidP="00B034E3">
            <w:pPr>
              <w:keepNext w:val="0"/>
            </w:pPr>
            <w:r>
              <w:t xml:space="preserve">A change in the GPEP contracting relationship </w:t>
            </w:r>
            <w:r w:rsidR="00B81BD4">
              <w:t>between</w:t>
            </w:r>
            <w:r w:rsidR="00B034E3">
              <w:t xml:space="preserve"> </w:t>
            </w:r>
            <w:r w:rsidR="00D334C0">
              <w:t>Manat</w:t>
            </w:r>
            <w:r w:rsidR="00D334C0">
              <w:rPr>
                <w:rFonts w:cs="Calibri"/>
              </w:rPr>
              <w:t>ū</w:t>
            </w:r>
            <w:r w:rsidR="00D334C0">
              <w:t xml:space="preserve"> Hauora </w:t>
            </w:r>
            <w:r w:rsidR="00B71640">
              <w:t xml:space="preserve">and the College </w:t>
            </w:r>
            <w:r>
              <w:t xml:space="preserve">is required to </w:t>
            </w:r>
            <w:r w:rsidR="00B034E3">
              <w:t>work towards a high trust contracting model</w:t>
            </w:r>
            <w:r>
              <w:t xml:space="preserve">. </w:t>
            </w:r>
          </w:p>
        </w:tc>
      </w:tr>
    </w:tbl>
    <w:p w14:paraId="0D86C752" w14:textId="077D6B19" w:rsidR="00F36B3F" w:rsidRPr="002B0CCF" w:rsidRDefault="00F36B3F" w:rsidP="002B0CCF">
      <w:pPr>
        <w:pStyle w:val="MalaHeading1"/>
      </w:pPr>
      <w:bookmarkStart w:id="13" w:name="_Toc105853881"/>
      <w:bookmarkEnd w:id="7"/>
      <w:r w:rsidRPr="002B0CCF">
        <w:lastRenderedPageBreak/>
        <w:t xml:space="preserve">The </w:t>
      </w:r>
      <w:r w:rsidR="004D7EE0" w:rsidRPr="002B0CCF">
        <w:t xml:space="preserve">Aotearoa New Zealand </w:t>
      </w:r>
      <w:r w:rsidRPr="002B0CCF">
        <w:t>general practi</w:t>
      </w:r>
      <w:r w:rsidR="004D7EE0" w:rsidRPr="002B0CCF">
        <w:t>ce context</w:t>
      </w:r>
      <w:bookmarkEnd w:id="13"/>
    </w:p>
    <w:p w14:paraId="03C67285" w14:textId="5187DF6A" w:rsidR="00F0128E" w:rsidRPr="00CB5526" w:rsidRDefault="00F36B3F" w:rsidP="00F36B3F">
      <w:r w:rsidRPr="00CB5526">
        <w:t xml:space="preserve">General practice and other forms of primary care are important parts of Aotearoa New Zealand’s primary healthcare system. </w:t>
      </w:r>
      <w:r w:rsidR="008158E2" w:rsidRPr="00CB5526">
        <w:t>Primary care is</w:t>
      </w:r>
      <w:r w:rsidR="006D62A2" w:rsidRPr="00CB5526">
        <w:t xml:space="preserve"> community based and </w:t>
      </w:r>
      <w:r w:rsidR="008158E2" w:rsidRPr="00CB5526">
        <w:t xml:space="preserve">the </w:t>
      </w:r>
      <w:r w:rsidR="00D1600C" w:rsidRPr="00CB5526">
        <w:t>foundation of healthcare</w:t>
      </w:r>
      <w:r w:rsidR="006D62A2" w:rsidRPr="00CB5526">
        <w:t xml:space="preserve">. </w:t>
      </w:r>
      <w:r w:rsidR="00F54D5A">
        <w:t>P</w:t>
      </w:r>
      <w:r w:rsidR="0014646A">
        <w:t>revention and treatment in primary care</w:t>
      </w:r>
      <w:r w:rsidR="00D67CCB">
        <w:t xml:space="preserve"> </w:t>
      </w:r>
      <w:r w:rsidR="004A62DE" w:rsidRPr="00CB5526">
        <w:t xml:space="preserve">takes the pressure off specialist health services. </w:t>
      </w:r>
    </w:p>
    <w:p w14:paraId="3BC5886F" w14:textId="24666E8E" w:rsidR="00D406C4" w:rsidRDefault="004B2B2A" w:rsidP="00D406C4">
      <w:r w:rsidRPr="004B2B2A">
        <w:t>Between 2008 and 2016, the number of GP consultations increased nearly 12%, which was higher than the population growth of 10.2% in the same period</w:t>
      </w:r>
      <w:r>
        <w:rPr>
          <w:rStyle w:val="FootnoteReference"/>
        </w:rPr>
        <w:footnoteReference w:id="5"/>
      </w:r>
      <w:r w:rsidRPr="004B2B2A">
        <w:t>.</w:t>
      </w:r>
      <w:r w:rsidR="00546E39">
        <w:t xml:space="preserve"> </w:t>
      </w:r>
      <w:r w:rsidR="00D406C4" w:rsidRPr="009E1807">
        <w:t xml:space="preserve">Complexity of community presentations in a primary care setting </w:t>
      </w:r>
      <w:r>
        <w:t xml:space="preserve">also </w:t>
      </w:r>
      <w:r w:rsidR="00D406C4" w:rsidRPr="009E1807">
        <w:t>continue to increase. The financial cost to patients coupled with health complexities result in patients presenting multiple problems in a 15-minute appointment. The current model of care is widely recognised as inadequate particularly for rural and high needs areas and contributes to high levels of burn-out.</w:t>
      </w:r>
      <w:r w:rsidR="00D406C4">
        <w:t xml:space="preserve"> </w:t>
      </w:r>
    </w:p>
    <w:p w14:paraId="717D75FF" w14:textId="7F03C5BA" w:rsidR="005930C1" w:rsidRDefault="005930C1" w:rsidP="005930C1">
      <w:pPr>
        <w:pStyle w:val="Quotes"/>
      </w:pPr>
      <w:r>
        <w:t>General practice is becoming more and more time consuming to just do business as usual. (</w:t>
      </w:r>
      <w:r w:rsidR="00DC7A79">
        <w:t>Survey data – Teacher</w:t>
      </w:r>
      <w:r>
        <w:t>)</w:t>
      </w:r>
    </w:p>
    <w:p w14:paraId="6E318396" w14:textId="39FAFAAF" w:rsidR="00125D0A" w:rsidRPr="00CB5526" w:rsidRDefault="00125D0A" w:rsidP="00125D0A">
      <w:r w:rsidRPr="00B72B6D">
        <w:t xml:space="preserve">Although </w:t>
      </w:r>
      <w:r w:rsidR="00751719" w:rsidRPr="00B72B6D">
        <w:t>most</w:t>
      </w:r>
      <w:r w:rsidRPr="00B72B6D">
        <w:t xml:space="preserve"> general practices </w:t>
      </w:r>
      <w:r w:rsidR="00B72B6D" w:rsidRPr="00B72B6D">
        <w:t xml:space="preserve">operate as a privately owned business, there are </w:t>
      </w:r>
      <w:r w:rsidR="00F54D5A">
        <w:t>other</w:t>
      </w:r>
      <w:r w:rsidR="00B72B6D" w:rsidRPr="00B72B6D">
        <w:t xml:space="preserve"> </w:t>
      </w:r>
      <w:r w:rsidR="00957604" w:rsidRPr="00B72B6D">
        <w:t xml:space="preserve">business models, </w:t>
      </w:r>
      <w:r w:rsidR="00B72B6D" w:rsidRPr="00B72B6D">
        <w:t>ranging from the traditional owner-operator model to corporate ownership and NGO or Iwi models.</w:t>
      </w:r>
      <w:r w:rsidR="00FE77F9">
        <w:t xml:space="preserve"> </w:t>
      </w:r>
      <w:r w:rsidR="00B72B6D" w:rsidRPr="00B72B6D">
        <w:t xml:space="preserve">There is an </w:t>
      </w:r>
      <w:r w:rsidR="00957604" w:rsidRPr="00B72B6D">
        <w:t>increasing</w:t>
      </w:r>
      <w:r w:rsidR="00C95AAF" w:rsidRPr="00B72B6D">
        <w:t xml:space="preserve"> focus on the </w:t>
      </w:r>
      <w:r w:rsidR="004A2D78">
        <w:t xml:space="preserve">wider </w:t>
      </w:r>
      <w:r w:rsidR="00C95AAF" w:rsidRPr="00B72B6D">
        <w:t>primary care team</w:t>
      </w:r>
      <w:r w:rsidR="00B72B6D" w:rsidRPr="00B72B6D">
        <w:t xml:space="preserve">, and upon </w:t>
      </w:r>
      <w:r w:rsidR="00C95AAF" w:rsidRPr="00B72B6D">
        <w:t xml:space="preserve">the </w:t>
      </w:r>
      <w:r w:rsidR="00B72B6D" w:rsidRPr="00B72B6D">
        <w:t>development</w:t>
      </w:r>
      <w:r w:rsidR="00C95AAF" w:rsidRPr="00B72B6D">
        <w:t xml:space="preserve"> of other models of primary care</w:t>
      </w:r>
      <w:r w:rsidR="00B72B6D" w:rsidRPr="00B72B6D">
        <w:t>,</w:t>
      </w:r>
      <w:r w:rsidR="00C95AAF" w:rsidRPr="00B72B6D">
        <w:t xml:space="preserve"> such as nurse practitioner clinics</w:t>
      </w:r>
      <w:r w:rsidR="00390FBD" w:rsidRPr="00B72B6D">
        <w:t xml:space="preserve">. </w:t>
      </w:r>
    </w:p>
    <w:p w14:paraId="289B3C47" w14:textId="377CBBC0" w:rsidR="00A6674A" w:rsidRPr="00CB5526" w:rsidRDefault="00672034" w:rsidP="00672034">
      <w:r w:rsidRPr="00CB5526">
        <w:t>A</w:t>
      </w:r>
      <w:r w:rsidR="00FB312D" w:rsidRPr="00CB5526">
        <w:t xml:space="preserve"> </w:t>
      </w:r>
      <w:r w:rsidR="00A6674A" w:rsidRPr="00CB5526">
        <w:t xml:space="preserve">disproportionately lower number of Māori and Pacific </w:t>
      </w:r>
      <w:r w:rsidR="00112F04">
        <w:t>general practitioners (</w:t>
      </w:r>
      <w:r w:rsidR="00A6674A" w:rsidRPr="00CB5526">
        <w:t>GPs</w:t>
      </w:r>
      <w:r w:rsidR="00112F04">
        <w:t>)</w:t>
      </w:r>
      <w:r w:rsidR="00A6674A" w:rsidRPr="00CB5526">
        <w:t xml:space="preserve"> compared to population</w:t>
      </w:r>
      <w:r w:rsidRPr="00CB5526">
        <w:t xml:space="preserve"> </w:t>
      </w:r>
      <w:r w:rsidR="004159E8">
        <w:t xml:space="preserve">proportions </w:t>
      </w:r>
      <w:r w:rsidR="009F3060">
        <w:t xml:space="preserve">is a barrier to achieving </w:t>
      </w:r>
      <w:r w:rsidRPr="00CB5526">
        <w:t>equitable outcomes for M</w:t>
      </w:r>
      <w:r w:rsidR="007538CB" w:rsidRPr="00CB5526">
        <w:rPr>
          <w:rFonts w:cs="Calibri"/>
        </w:rPr>
        <w:t>ā</w:t>
      </w:r>
      <w:r w:rsidRPr="00CB5526">
        <w:t>ori and Pacific communities</w:t>
      </w:r>
      <w:r w:rsidR="007B3D7F" w:rsidRPr="00CB5526">
        <w:t>.</w:t>
      </w:r>
      <w:r w:rsidR="00FB605F" w:rsidRPr="00CB5526">
        <w:t xml:space="preserve"> Challenges in </w:t>
      </w:r>
      <w:r w:rsidR="0095555F" w:rsidRPr="00CB5526">
        <w:t>recruiting</w:t>
      </w:r>
      <w:r w:rsidR="00704D8B" w:rsidRPr="00CB5526">
        <w:t xml:space="preserve"> </w:t>
      </w:r>
      <w:r w:rsidR="00FD4F19" w:rsidRPr="00CB5526">
        <w:rPr>
          <w:rFonts w:eastAsiaTheme="minorHAnsi"/>
        </w:rPr>
        <w:t>Royal New Zealand College of General Practitioners (RNZCGP</w:t>
      </w:r>
      <w:r w:rsidR="00FD4F19">
        <w:rPr>
          <w:rFonts w:eastAsiaTheme="minorHAnsi"/>
        </w:rPr>
        <w:t xml:space="preserve"> – the College</w:t>
      </w:r>
      <w:r w:rsidR="00FD4F19" w:rsidRPr="00CB5526">
        <w:rPr>
          <w:rFonts w:eastAsiaTheme="minorHAnsi"/>
        </w:rPr>
        <w:t xml:space="preserve">) </w:t>
      </w:r>
      <w:r w:rsidR="00704D8B" w:rsidRPr="00CB5526">
        <w:t>fellows to rural locations contribute</w:t>
      </w:r>
      <w:r w:rsidR="00FD4F19">
        <w:t>s</w:t>
      </w:r>
      <w:r w:rsidR="00704D8B" w:rsidRPr="00CB5526">
        <w:t xml:space="preserve"> to inequitable outcomes for those living in rural locations.</w:t>
      </w:r>
    </w:p>
    <w:p w14:paraId="3D8EFB0E" w14:textId="660475A8" w:rsidR="006F1614" w:rsidRPr="00CB5526" w:rsidRDefault="009E1807" w:rsidP="00672034">
      <w:r w:rsidRPr="00CB5526">
        <w:t>The 2020 general practitioner workforce survey</w:t>
      </w:r>
      <w:r w:rsidRPr="00CB5526">
        <w:rPr>
          <w:rStyle w:val="FootnoteReference"/>
        </w:rPr>
        <w:footnoteReference w:id="6"/>
      </w:r>
      <w:r w:rsidRPr="00CB5526">
        <w:t xml:space="preserve"> </w:t>
      </w:r>
      <w:r w:rsidR="007055CB" w:rsidRPr="00CB5526">
        <w:t xml:space="preserve">noted </w:t>
      </w:r>
      <w:r w:rsidR="00945263">
        <w:t>t</w:t>
      </w:r>
      <w:r w:rsidR="007055CB" w:rsidRPr="00CB5526">
        <w:t xml:space="preserve">he GP </w:t>
      </w:r>
      <w:r w:rsidR="00F54D5A">
        <w:t xml:space="preserve">education </w:t>
      </w:r>
      <w:r w:rsidR="007055CB" w:rsidRPr="00CB5526">
        <w:t>intake needs to increase to develop a sustainable workforce. </w:t>
      </w:r>
    </w:p>
    <w:p w14:paraId="3952710C" w14:textId="0D7B19B7" w:rsidR="00830358" w:rsidRPr="00A16840" w:rsidRDefault="00830358" w:rsidP="00A16840">
      <w:pPr>
        <w:pStyle w:val="Heading2"/>
      </w:pPr>
      <w:bookmarkStart w:id="14" w:name="_Toc105853882"/>
      <w:r w:rsidRPr="00A16840">
        <w:lastRenderedPageBreak/>
        <w:t>The General Practice Education Programme (GPEP)</w:t>
      </w:r>
      <w:bookmarkEnd w:id="14"/>
      <w:r w:rsidRPr="00A16840">
        <w:t xml:space="preserve"> </w:t>
      </w:r>
    </w:p>
    <w:p w14:paraId="539BA4E8" w14:textId="38F6241D" w:rsidR="00830358" w:rsidRPr="00E83869" w:rsidRDefault="000D2808" w:rsidP="00E83869">
      <w:pPr>
        <w:rPr>
          <w:rFonts w:eastAsiaTheme="minorHAnsi"/>
        </w:rPr>
      </w:pPr>
      <w:r w:rsidRPr="00CB5526">
        <w:rPr>
          <w:rFonts w:eastAsiaTheme="minorHAnsi"/>
        </w:rPr>
        <w:t>The</w:t>
      </w:r>
      <w:r w:rsidR="00EF7BC7">
        <w:rPr>
          <w:rFonts w:eastAsiaTheme="minorHAnsi"/>
        </w:rPr>
        <w:t xml:space="preserve"> College</w:t>
      </w:r>
      <w:r w:rsidRPr="00CB5526">
        <w:rPr>
          <w:rFonts w:eastAsiaTheme="minorHAnsi"/>
        </w:rPr>
        <w:t xml:space="preserve"> is funded by the </w:t>
      </w:r>
      <w:r w:rsidR="00D334C0">
        <w:t>Manat</w:t>
      </w:r>
      <w:r w:rsidR="00D334C0">
        <w:rPr>
          <w:rFonts w:cs="Calibri"/>
        </w:rPr>
        <w:t>ū</w:t>
      </w:r>
      <w:r w:rsidR="00D334C0">
        <w:t xml:space="preserve"> Hauora</w:t>
      </w:r>
      <w:r w:rsidR="00D334C0">
        <w:rPr>
          <w:rFonts w:eastAsiaTheme="minorHAnsi"/>
        </w:rPr>
        <w:t>/</w:t>
      </w:r>
      <w:r w:rsidRPr="00CB5526">
        <w:rPr>
          <w:rFonts w:eastAsiaTheme="minorHAnsi"/>
        </w:rPr>
        <w:t xml:space="preserve">Ministry of Health to deliver the </w:t>
      </w:r>
      <w:r w:rsidR="00E83869" w:rsidRPr="00CB5526">
        <w:t xml:space="preserve">three-year </w:t>
      </w:r>
      <w:r w:rsidRPr="00CB5526">
        <w:rPr>
          <w:rFonts w:eastAsiaTheme="minorHAnsi"/>
        </w:rPr>
        <w:t>General Practice Education Programme (GPEP).</w:t>
      </w:r>
      <w:r w:rsidR="00E83869">
        <w:rPr>
          <w:rFonts w:eastAsiaTheme="minorHAnsi"/>
        </w:rPr>
        <w:t xml:space="preserve"> </w:t>
      </w:r>
      <w:r w:rsidR="002B2BFA" w:rsidRPr="00CB5526">
        <w:t>Registrars are eligible to enter after two-years hospital-based post-graduate work.</w:t>
      </w:r>
      <w:r w:rsidR="00695744" w:rsidRPr="00CB5526">
        <w:t xml:space="preserve"> After </w:t>
      </w:r>
      <w:r w:rsidR="002B2BFA" w:rsidRPr="00CB5526">
        <w:t xml:space="preserve">36 months </w:t>
      </w:r>
      <w:r w:rsidR="00F92A8F" w:rsidRPr="00CB5526">
        <w:t>o</w:t>
      </w:r>
      <w:r w:rsidR="00E83869">
        <w:t>f</w:t>
      </w:r>
      <w:r w:rsidR="00F92A8F" w:rsidRPr="00CB5526">
        <w:t xml:space="preserve"> GPEP</w:t>
      </w:r>
      <w:r w:rsidR="00900436">
        <w:t>,</w:t>
      </w:r>
      <w:r w:rsidR="00F92A8F" w:rsidRPr="00CB5526">
        <w:t xml:space="preserve"> registrars can be assessed and if they meet the </w:t>
      </w:r>
      <w:proofErr w:type="gramStart"/>
      <w:r w:rsidR="00F92A8F" w:rsidRPr="00CB5526">
        <w:t>standards</w:t>
      </w:r>
      <w:proofErr w:type="gramEnd"/>
      <w:r w:rsidR="00F92A8F" w:rsidRPr="00CB5526">
        <w:t xml:space="preserve"> they become a fellow of the College</w:t>
      </w:r>
      <w:r w:rsidR="00F242CC" w:rsidRPr="00CB5526">
        <w:rPr>
          <w:rStyle w:val="FootnoteReference"/>
        </w:rPr>
        <w:footnoteReference w:id="7"/>
      </w:r>
      <w:r w:rsidR="00F92A8F" w:rsidRPr="00CB5526">
        <w:t>.</w:t>
      </w:r>
    </w:p>
    <w:p w14:paraId="6920F41C" w14:textId="77777777" w:rsidR="004656CC" w:rsidRPr="00A16840" w:rsidRDefault="004656CC" w:rsidP="00A16840">
      <w:pPr>
        <w:pStyle w:val="Heading2"/>
      </w:pPr>
      <w:bookmarkStart w:id="15" w:name="_Toc105853883"/>
      <w:r w:rsidRPr="00A16840">
        <w:t>GPEP 1</w:t>
      </w:r>
      <w:bookmarkEnd w:id="15"/>
    </w:p>
    <w:p w14:paraId="7758B293" w14:textId="4F15A0B1" w:rsidR="00830358" w:rsidRPr="00C3451E" w:rsidRDefault="00830358" w:rsidP="00830358">
      <w:r w:rsidRPr="00C3451E">
        <w:t xml:space="preserve">GPEP 1 is </w:t>
      </w:r>
      <w:r w:rsidR="0062143B" w:rsidRPr="00C3451E">
        <w:t>one</w:t>
      </w:r>
      <w:r w:rsidRPr="00C3451E">
        <w:t xml:space="preserve"> intensive year of training in the work environment</w:t>
      </w:r>
      <w:r w:rsidRPr="00C3451E">
        <w:rPr>
          <w:rFonts w:eastAsiaTheme="minorHAnsi"/>
        </w:rPr>
        <w:t xml:space="preserve">. </w:t>
      </w:r>
      <w:r w:rsidR="00607F76" w:rsidRPr="00C3451E">
        <w:t xml:space="preserve">Many </w:t>
      </w:r>
      <w:r w:rsidRPr="00C3451E">
        <w:t>registrars accepted for GPEP</w:t>
      </w:r>
      <w:r w:rsidR="00464C9B" w:rsidRPr="00C3451E">
        <w:t xml:space="preserve"> </w:t>
      </w:r>
      <w:r w:rsidRPr="00C3451E">
        <w:t xml:space="preserve">1 are employed by </w:t>
      </w:r>
      <w:r w:rsidR="002B0960" w:rsidRPr="00C3451E">
        <w:t>the College</w:t>
      </w:r>
      <w:r w:rsidRPr="00C3451E">
        <w:t xml:space="preserve"> for the first 12 months through funding provided by the Ministry contract with </w:t>
      </w:r>
      <w:r w:rsidR="000401C3" w:rsidRPr="00C3451E">
        <w:t>the College</w:t>
      </w:r>
      <w:r w:rsidRPr="00C3451E">
        <w:t>.</w:t>
      </w:r>
      <w:r w:rsidR="00F8020C" w:rsidRPr="00C3451E">
        <w:t xml:space="preserve"> </w:t>
      </w:r>
    </w:p>
    <w:p w14:paraId="3646B8A3" w14:textId="5AD10FE5" w:rsidR="00607F76" w:rsidRPr="00C3451E" w:rsidRDefault="0062143B" w:rsidP="00830358">
      <w:r w:rsidRPr="00C3451E">
        <w:t xml:space="preserve">GPEP 1 registrars are based in general practices. </w:t>
      </w:r>
      <w:r w:rsidR="008D5AFC" w:rsidRPr="00C3451E">
        <w:t xml:space="preserve">Registrars who are College employed are required to complete two six-month placements. </w:t>
      </w:r>
      <w:r w:rsidRPr="00C3451E">
        <w:t xml:space="preserve">They spend on average one day </w:t>
      </w:r>
      <w:r w:rsidR="00A21257" w:rsidRPr="00C3451E">
        <w:t xml:space="preserve">each week </w:t>
      </w:r>
      <w:r w:rsidR="00A26862" w:rsidRPr="00C3451E">
        <w:t xml:space="preserve">in </w:t>
      </w:r>
      <w:r w:rsidR="00813ABF" w:rsidRPr="00C3451E">
        <w:t>seminars</w:t>
      </w:r>
      <w:r w:rsidR="00A26862" w:rsidRPr="00C3451E">
        <w:t xml:space="preserve"> and workshops under </w:t>
      </w:r>
      <w:r w:rsidR="001A41D2" w:rsidRPr="00C3451E">
        <w:t>the</w:t>
      </w:r>
      <w:r w:rsidR="00A26862" w:rsidRPr="00C3451E">
        <w:t xml:space="preserve"> guidance of </w:t>
      </w:r>
      <w:r w:rsidR="00F54D5A" w:rsidRPr="00C3451E">
        <w:t>m</w:t>
      </w:r>
      <w:r w:rsidR="00830358" w:rsidRPr="00C3451E">
        <w:t xml:space="preserve">edical </w:t>
      </w:r>
      <w:r w:rsidR="00F54D5A" w:rsidRPr="00C3451E">
        <w:t>e</w:t>
      </w:r>
      <w:r w:rsidR="00830358" w:rsidRPr="00C3451E">
        <w:t>ducators</w:t>
      </w:r>
      <w:r w:rsidRPr="00C3451E">
        <w:t xml:space="preserve"> (ME). </w:t>
      </w:r>
      <w:r w:rsidR="00607F76" w:rsidRPr="00C3451E">
        <w:t xml:space="preserve">They are required to undertake a range of activities as set down in the </w:t>
      </w:r>
      <w:r w:rsidR="000A44CD" w:rsidRPr="00C3451E">
        <w:t xml:space="preserve">College’s </w:t>
      </w:r>
      <w:r w:rsidR="00607F76" w:rsidRPr="00C3451E">
        <w:t xml:space="preserve">GPEP Programme Regulations. </w:t>
      </w:r>
    </w:p>
    <w:p w14:paraId="417714F7" w14:textId="1A9F6BEE" w:rsidR="00830358" w:rsidRPr="00CB5526" w:rsidRDefault="0062143B" w:rsidP="00830358">
      <w:r w:rsidRPr="00C3451E">
        <w:t xml:space="preserve">Day to day support </w:t>
      </w:r>
      <w:r w:rsidR="00A26862" w:rsidRPr="00C3451E">
        <w:t xml:space="preserve">and mentorship </w:t>
      </w:r>
      <w:r w:rsidRPr="00C3451E">
        <w:t>is provided by a t</w:t>
      </w:r>
      <w:r w:rsidR="00830358" w:rsidRPr="00C3451E">
        <w:t>eacher in the practice</w:t>
      </w:r>
      <w:r w:rsidRPr="00C3451E">
        <w:t xml:space="preserve">. The practice </w:t>
      </w:r>
      <w:r w:rsidR="0098409B" w:rsidRPr="00C3451E">
        <w:t>must</w:t>
      </w:r>
      <w:r w:rsidRPr="00C3451E">
        <w:t xml:space="preserve"> be accredited </w:t>
      </w:r>
      <w:r w:rsidR="00607F76" w:rsidRPr="00C3451E">
        <w:t xml:space="preserve">by the College </w:t>
      </w:r>
      <w:r w:rsidRPr="00C3451E">
        <w:t xml:space="preserve">to </w:t>
      </w:r>
      <w:r w:rsidR="002D0D51" w:rsidRPr="00C3451E">
        <w:t xml:space="preserve">host a registrar and the teacher </w:t>
      </w:r>
      <w:r w:rsidR="00421936" w:rsidRPr="00C3451E">
        <w:t>must</w:t>
      </w:r>
      <w:r w:rsidR="002D0D51" w:rsidRPr="00C3451E">
        <w:t xml:space="preserve"> be </w:t>
      </w:r>
      <w:r w:rsidR="00830358" w:rsidRPr="00C3451E">
        <w:t>a fellow</w:t>
      </w:r>
      <w:r w:rsidR="002D0D51" w:rsidRPr="00C3451E">
        <w:t xml:space="preserve"> of </w:t>
      </w:r>
      <w:r w:rsidR="00C3451E">
        <w:t>the College</w:t>
      </w:r>
      <w:r w:rsidR="002D0D51" w:rsidRPr="00C3451E">
        <w:t>.</w:t>
      </w:r>
    </w:p>
    <w:p w14:paraId="1F6D6E6C" w14:textId="77777777" w:rsidR="004656CC" w:rsidRPr="00CB5526" w:rsidRDefault="004656CC" w:rsidP="00A16840">
      <w:pPr>
        <w:pStyle w:val="Heading2"/>
      </w:pPr>
      <w:bookmarkStart w:id="16" w:name="_Toc105853884"/>
      <w:r w:rsidRPr="00CB5526">
        <w:t>GPEP 2/3</w:t>
      </w:r>
      <w:bookmarkEnd w:id="16"/>
    </w:p>
    <w:p w14:paraId="3CFD7A2D" w14:textId="3FBAF473" w:rsidR="0095307A" w:rsidRPr="00C3451E" w:rsidRDefault="009D4379" w:rsidP="00830358">
      <w:pPr>
        <w:rPr>
          <w:rFonts w:eastAsiaTheme="minorHAnsi" w:cs="Calibri"/>
        </w:rPr>
      </w:pPr>
      <w:r w:rsidRPr="00C3451E">
        <w:rPr>
          <w:rFonts w:eastAsiaTheme="minorHAnsi" w:cs="Calibri"/>
        </w:rPr>
        <w:t>Registrars complete t</w:t>
      </w:r>
      <w:r w:rsidR="00830358" w:rsidRPr="00C3451E">
        <w:rPr>
          <w:rFonts w:eastAsiaTheme="minorHAnsi" w:cs="Calibri"/>
        </w:rPr>
        <w:t>wo subsequent years of supervised practice and additional learning (GPEP</w:t>
      </w:r>
      <w:r w:rsidR="002A77D4" w:rsidRPr="00C3451E">
        <w:rPr>
          <w:rFonts w:eastAsiaTheme="minorHAnsi" w:cs="Calibri"/>
        </w:rPr>
        <w:t xml:space="preserve"> </w:t>
      </w:r>
      <w:r w:rsidR="00830358" w:rsidRPr="00C3451E">
        <w:rPr>
          <w:rFonts w:eastAsiaTheme="minorHAnsi" w:cs="Calibri"/>
        </w:rPr>
        <w:t>2/3) employed directly by general practices</w:t>
      </w:r>
      <w:r w:rsidR="00976D77" w:rsidRPr="00C3451E">
        <w:rPr>
          <w:rFonts w:eastAsiaTheme="minorHAnsi" w:cs="Calibri"/>
        </w:rPr>
        <w:t>. The aim of GPEP 2/3 is to</w:t>
      </w:r>
      <w:r w:rsidR="006F0ACF" w:rsidRPr="00C3451E">
        <w:rPr>
          <w:rFonts w:eastAsiaTheme="minorHAnsi" w:cs="Calibri"/>
        </w:rPr>
        <w:t xml:space="preserve"> provide an opportunity</w:t>
      </w:r>
      <w:r w:rsidR="00976D77" w:rsidRPr="00C3451E">
        <w:rPr>
          <w:rFonts w:eastAsiaTheme="minorHAnsi" w:cs="Calibri"/>
        </w:rPr>
        <w:t xml:space="preserve"> for registrars to refine their skills, </w:t>
      </w:r>
      <w:proofErr w:type="gramStart"/>
      <w:r w:rsidR="00976D77" w:rsidRPr="00C3451E">
        <w:rPr>
          <w:rFonts w:eastAsiaTheme="minorHAnsi" w:cs="Calibri"/>
        </w:rPr>
        <w:t>knowledge</w:t>
      </w:r>
      <w:proofErr w:type="gramEnd"/>
      <w:r w:rsidR="00976D77" w:rsidRPr="00C3451E">
        <w:rPr>
          <w:rFonts w:eastAsiaTheme="minorHAnsi" w:cs="Calibri"/>
        </w:rPr>
        <w:t xml:space="preserve"> and clinical practice with an emphasis on reflection.</w:t>
      </w:r>
      <w:r w:rsidR="00830358" w:rsidRPr="00C3451E">
        <w:rPr>
          <w:rFonts w:eastAsiaTheme="minorHAnsi" w:cs="Calibri"/>
        </w:rPr>
        <w:t xml:space="preserve"> </w:t>
      </w:r>
      <w:r w:rsidR="00FB5AEC" w:rsidRPr="00C3451E">
        <w:rPr>
          <w:rFonts w:eastAsiaTheme="minorHAnsi" w:cs="Calibri"/>
        </w:rPr>
        <w:t xml:space="preserve">Registrars participate in group sessions </w:t>
      </w:r>
      <w:r w:rsidR="00363213" w:rsidRPr="00C3451E">
        <w:rPr>
          <w:rFonts w:eastAsiaTheme="minorHAnsi" w:cs="Calibri"/>
        </w:rPr>
        <w:t>approximately</w:t>
      </w:r>
      <w:r w:rsidR="00FB5AEC" w:rsidRPr="00C3451E">
        <w:rPr>
          <w:rFonts w:eastAsiaTheme="minorHAnsi" w:cs="Calibri"/>
        </w:rPr>
        <w:t xml:space="preserve"> two-monthly.</w:t>
      </w:r>
      <w:r w:rsidR="00607F76" w:rsidRPr="00C3451E">
        <w:rPr>
          <w:rFonts w:eastAsiaTheme="minorHAnsi" w:cs="Calibri"/>
        </w:rPr>
        <w:t xml:space="preserve"> They undertake additional requirements and assessments as set down in the </w:t>
      </w:r>
      <w:r w:rsidR="00C3451E">
        <w:rPr>
          <w:rFonts w:eastAsiaTheme="minorHAnsi" w:cs="Calibri"/>
        </w:rPr>
        <w:t xml:space="preserve">College’s </w:t>
      </w:r>
      <w:r w:rsidR="00607F76" w:rsidRPr="00C3451E">
        <w:rPr>
          <w:rFonts w:eastAsiaTheme="minorHAnsi" w:cs="Calibri"/>
        </w:rPr>
        <w:t xml:space="preserve">GPEP </w:t>
      </w:r>
      <w:r w:rsidR="00C3451E">
        <w:rPr>
          <w:rFonts w:eastAsiaTheme="minorHAnsi" w:cs="Calibri"/>
        </w:rPr>
        <w:t>P</w:t>
      </w:r>
      <w:r w:rsidR="00607F76" w:rsidRPr="00C3451E">
        <w:rPr>
          <w:rFonts w:eastAsiaTheme="minorHAnsi" w:cs="Calibri"/>
        </w:rPr>
        <w:t>rogramme Regulations, including completion of an academic component.</w:t>
      </w:r>
      <w:r w:rsidR="00FB5AEC" w:rsidRPr="00C3451E">
        <w:rPr>
          <w:rFonts w:eastAsiaTheme="minorHAnsi" w:cs="Calibri"/>
        </w:rPr>
        <w:t xml:space="preserve"> </w:t>
      </w:r>
      <w:r w:rsidR="00A75188" w:rsidRPr="00C3451E">
        <w:rPr>
          <w:rFonts w:eastAsiaTheme="minorHAnsi" w:cs="Calibri"/>
        </w:rPr>
        <w:t xml:space="preserve">They are expected to maintain a mentoring relationship with a fellow of the </w:t>
      </w:r>
      <w:r w:rsidR="00963C9F" w:rsidRPr="00C3451E">
        <w:rPr>
          <w:rFonts w:eastAsiaTheme="minorHAnsi" w:cs="Calibri"/>
        </w:rPr>
        <w:t>C</w:t>
      </w:r>
      <w:r w:rsidR="00A75188" w:rsidRPr="00C3451E">
        <w:rPr>
          <w:rFonts w:eastAsiaTheme="minorHAnsi" w:cs="Calibri"/>
        </w:rPr>
        <w:t>ollege.</w:t>
      </w:r>
      <w:r w:rsidR="00607F76" w:rsidRPr="00C3451E">
        <w:rPr>
          <w:rFonts w:eastAsiaTheme="minorHAnsi" w:cs="Calibri"/>
        </w:rPr>
        <w:t xml:space="preserve"> </w:t>
      </w:r>
      <w:r w:rsidR="0095307A" w:rsidRPr="00C3451E">
        <w:rPr>
          <w:rFonts w:eastAsiaTheme="minorHAnsi" w:cs="Calibri"/>
        </w:rPr>
        <w:t xml:space="preserve"> </w:t>
      </w:r>
    </w:p>
    <w:p w14:paraId="70270CC5" w14:textId="6974CF36" w:rsidR="00A75188" w:rsidRPr="00CB5526" w:rsidRDefault="00280669" w:rsidP="00F36B3F">
      <w:pPr>
        <w:rPr>
          <w:rFonts w:eastAsiaTheme="minorHAnsi" w:cs="Calibri"/>
        </w:rPr>
      </w:pPr>
      <w:r w:rsidRPr="00C3451E">
        <w:rPr>
          <w:rFonts w:eastAsiaTheme="minorHAnsi" w:cs="Calibri"/>
        </w:rPr>
        <w:t>The annual fee for GPEP years 2</w:t>
      </w:r>
      <w:r w:rsidR="00465C19" w:rsidRPr="00C3451E">
        <w:rPr>
          <w:rFonts w:eastAsiaTheme="minorHAnsi" w:cs="Calibri"/>
        </w:rPr>
        <w:t>/</w:t>
      </w:r>
      <w:r w:rsidRPr="00C3451E">
        <w:rPr>
          <w:rFonts w:eastAsiaTheme="minorHAnsi" w:cs="Calibri"/>
        </w:rPr>
        <w:t xml:space="preserve">3 is $2,500 plus GST. At the completion of GPEP </w:t>
      </w:r>
      <w:r w:rsidR="00465C19" w:rsidRPr="00C3451E">
        <w:rPr>
          <w:rFonts w:eastAsiaTheme="minorHAnsi" w:cs="Calibri"/>
        </w:rPr>
        <w:t xml:space="preserve">1 </w:t>
      </w:r>
      <w:r w:rsidRPr="00C3451E">
        <w:rPr>
          <w:rFonts w:eastAsiaTheme="minorHAnsi" w:cs="Calibri"/>
        </w:rPr>
        <w:t>registrars also begin paying membership fees to the College. On successful</w:t>
      </w:r>
      <w:r w:rsidRPr="00CB5526">
        <w:rPr>
          <w:rFonts w:eastAsiaTheme="minorHAnsi" w:cs="Calibri"/>
        </w:rPr>
        <w:t xml:space="preserve"> </w:t>
      </w:r>
      <w:r w:rsidRPr="00CB5526">
        <w:rPr>
          <w:rFonts w:eastAsiaTheme="minorHAnsi" w:cs="Calibri"/>
        </w:rPr>
        <w:lastRenderedPageBreak/>
        <w:t>completion of all the programme requirements there is a Fellowship assessment fee of $2,100 plus GST.</w:t>
      </w:r>
    </w:p>
    <w:p w14:paraId="62253BD5" w14:textId="04088C22" w:rsidR="00C77E86" w:rsidRDefault="00C77E86" w:rsidP="00A16840">
      <w:pPr>
        <w:pStyle w:val="Heading2"/>
      </w:pPr>
      <w:bookmarkStart w:id="17" w:name="_Toc105853885"/>
      <w:r>
        <w:t>Differences between general practice and other specialities</w:t>
      </w:r>
      <w:bookmarkEnd w:id="17"/>
    </w:p>
    <w:p w14:paraId="3D7E00FE" w14:textId="6399C3EC" w:rsidR="00625D2B" w:rsidRPr="00CB5526" w:rsidRDefault="00625D2B" w:rsidP="00AD53E6">
      <w:pPr>
        <w:rPr>
          <w:lang w:eastAsia="en-GB"/>
        </w:rPr>
      </w:pPr>
      <w:r w:rsidRPr="00CB5526">
        <w:rPr>
          <w:lang w:eastAsia="en-GB"/>
        </w:rPr>
        <w:t xml:space="preserve">The GPEP funding model must be considered in the context of the training pipeline. </w:t>
      </w:r>
      <w:r w:rsidR="00F54D5A">
        <w:rPr>
          <w:lang w:eastAsia="en-GB"/>
        </w:rPr>
        <w:t>D</w:t>
      </w:r>
      <w:r>
        <w:rPr>
          <w:lang w:eastAsia="en-GB"/>
        </w:rPr>
        <w:t xml:space="preserve">octors </w:t>
      </w:r>
      <w:r w:rsidR="007204B8">
        <w:rPr>
          <w:lang w:eastAsia="en-GB"/>
        </w:rPr>
        <w:t xml:space="preserve">mainly work in </w:t>
      </w:r>
      <w:r w:rsidR="008743EF">
        <w:rPr>
          <w:lang w:eastAsia="en-GB"/>
        </w:rPr>
        <w:t>hospitals</w:t>
      </w:r>
      <w:r w:rsidR="00F54D5A">
        <w:rPr>
          <w:lang w:eastAsia="en-GB"/>
        </w:rPr>
        <w:t xml:space="preserve"> in their post-graduate years</w:t>
      </w:r>
      <w:r w:rsidR="008743EF">
        <w:rPr>
          <w:lang w:eastAsia="en-GB"/>
        </w:rPr>
        <w:t xml:space="preserve">. </w:t>
      </w:r>
      <w:r w:rsidR="00745961">
        <w:rPr>
          <w:lang w:eastAsia="en-GB"/>
        </w:rPr>
        <w:t xml:space="preserve">They have access to monitoring and advice </w:t>
      </w:r>
      <w:r w:rsidR="00CC0EC6">
        <w:rPr>
          <w:lang w:eastAsia="en-GB"/>
        </w:rPr>
        <w:t>in hospital settings</w:t>
      </w:r>
      <w:r w:rsidR="00662291">
        <w:rPr>
          <w:lang w:eastAsia="en-GB"/>
        </w:rPr>
        <w:t xml:space="preserve"> from senior medical staff, </w:t>
      </w:r>
      <w:r w:rsidR="00607F76">
        <w:rPr>
          <w:lang w:eastAsia="en-GB"/>
        </w:rPr>
        <w:t xml:space="preserve">other </w:t>
      </w:r>
      <w:r w:rsidR="009B2B77">
        <w:rPr>
          <w:lang w:eastAsia="en-GB"/>
        </w:rPr>
        <w:t>registrars,</w:t>
      </w:r>
      <w:r w:rsidR="00662291">
        <w:rPr>
          <w:lang w:eastAsia="en-GB"/>
        </w:rPr>
        <w:t xml:space="preserve"> and </w:t>
      </w:r>
      <w:r w:rsidR="00D07039">
        <w:rPr>
          <w:lang w:eastAsia="en-GB"/>
        </w:rPr>
        <w:t xml:space="preserve">nurses. </w:t>
      </w:r>
      <w:r w:rsidR="008743EF">
        <w:rPr>
          <w:lang w:eastAsia="en-GB"/>
        </w:rPr>
        <w:t xml:space="preserve">They </w:t>
      </w:r>
      <w:r>
        <w:rPr>
          <w:lang w:eastAsia="en-GB"/>
        </w:rPr>
        <w:t>have little exposure to p</w:t>
      </w:r>
      <w:r w:rsidRPr="00CB5526">
        <w:rPr>
          <w:lang w:eastAsia="en-GB"/>
        </w:rPr>
        <w:t xml:space="preserve">ositive general practice role models </w:t>
      </w:r>
      <w:r w:rsidRPr="00CB5526">
        <w:rPr>
          <w:rFonts w:eastAsiaTheme="minorHAnsi"/>
          <w:lang w:eastAsia="en-GB"/>
        </w:rPr>
        <w:t xml:space="preserve">unless they do </w:t>
      </w:r>
      <w:r w:rsidR="00E305EB">
        <w:rPr>
          <w:rFonts w:eastAsiaTheme="minorHAnsi"/>
          <w:lang w:eastAsia="en-GB"/>
        </w:rPr>
        <w:t xml:space="preserve">a </w:t>
      </w:r>
      <w:r w:rsidRPr="00CB5526">
        <w:rPr>
          <w:rFonts w:eastAsiaTheme="minorHAnsi"/>
          <w:lang w:eastAsia="en-GB"/>
        </w:rPr>
        <w:t>community run in a general practice.</w:t>
      </w:r>
      <w:r w:rsidR="00FE77F9">
        <w:rPr>
          <w:rFonts w:eastAsiaTheme="minorHAnsi"/>
          <w:lang w:eastAsia="en-GB"/>
        </w:rPr>
        <w:t xml:space="preserve"> </w:t>
      </w:r>
      <w:r w:rsidR="00E03B5A">
        <w:rPr>
          <w:rFonts w:eastAsiaTheme="minorHAnsi"/>
          <w:lang w:eastAsia="en-GB"/>
        </w:rPr>
        <w:t>Hospital</w:t>
      </w:r>
      <w:r w:rsidR="0079306B">
        <w:rPr>
          <w:rFonts w:eastAsiaTheme="minorHAnsi"/>
          <w:lang w:eastAsia="en-GB"/>
        </w:rPr>
        <w:t>-</w:t>
      </w:r>
      <w:r w:rsidR="00E03B5A">
        <w:rPr>
          <w:rFonts w:eastAsiaTheme="minorHAnsi"/>
          <w:lang w:eastAsia="en-GB"/>
        </w:rPr>
        <w:t>based registrar programmes are often closely integrated into service delivery, and represent a core part of the hospital workforce, supporting senior doctors in service delivery and providing significant elements of both daytime and out of hours care.</w:t>
      </w:r>
    </w:p>
    <w:p w14:paraId="73856CBC" w14:textId="55FF94DD" w:rsidR="000D6447" w:rsidRDefault="00E03B5A" w:rsidP="00C77E86">
      <w:pPr>
        <w:rPr>
          <w:lang w:eastAsia="en-GB"/>
        </w:rPr>
      </w:pPr>
      <w:r>
        <w:rPr>
          <w:lang w:eastAsia="en-GB"/>
        </w:rPr>
        <w:t xml:space="preserve">Several key differences apply to </w:t>
      </w:r>
      <w:r w:rsidR="00F116DC">
        <w:rPr>
          <w:lang w:eastAsia="en-GB"/>
        </w:rPr>
        <w:t>g</w:t>
      </w:r>
      <w:r w:rsidR="004A32CC">
        <w:rPr>
          <w:lang w:eastAsia="en-GB"/>
        </w:rPr>
        <w:t xml:space="preserve">eneral practice </w:t>
      </w:r>
      <w:r w:rsidR="00F116DC">
        <w:rPr>
          <w:lang w:eastAsia="en-GB"/>
        </w:rPr>
        <w:t>that differ</w:t>
      </w:r>
      <w:r w:rsidR="004A32CC">
        <w:rPr>
          <w:lang w:eastAsia="en-GB"/>
        </w:rPr>
        <w:t xml:space="preserve"> from hospital health care</w:t>
      </w:r>
      <w:r w:rsidR="000D6447">
        <w:rPr>
          <w:lang w:eastAsia="en-GB"/>
        </w:rPr>
        <w:t>:</w:t>
      </w:r>
    </w:p>
    <w:p w14:paraId="6DF58437" w14:textId="44A8961A" w:rsidR="000D6447" w:rsidRDefault="008743EF" w:rsidP="000D6447">
      <w:pPr>
        <w:pStyle w:val="Bulleted"/>
        <w:rPr>
          <w:lang w:eastAsia="en-GB"/>
        </w:rPr>
      </w:pPr>
      <w:r>
        <w:rPr>
          <w:lang w:eastAsia="en-GB"/>
        </w:rPr>
        <w:t xml:space="preserve">The </w:t>
      </w:r>
      <w:r w:rsidR="007E0A8F">
        <w:rPr>
          <w:lang w:eastAsia="en-GB"/>
        </w:rPr>
        <w:t>State pays</w:t>
      </w:r>
      <w:r w:rsidR="00BF611C">
        <w:rPr>
          <w:lang w:eastAsia="en-GB"/>
        </w:rPr>
        <w:t xml:space="preserve"> </w:t>
      </w:r>
      <w:r w:rsidR="000D6447">
        <w:rPr>
          <w:lang w:eastAsia="en-GB"/>
        </w:rPr>
        <w:t xml:space="preserve">around </w:t>
      </w:r>
      <w:r w:rsidR="00BF611C">
        <w:rPr>
          <w:lang w:eastAsia="en-GB"/>
        </w:rPr>
        <w:t>two-thirds of the</w:t>
      </w:r>
      <w:r w:rsidR="007E0A8F">
        <w:rPr>
          <w:lang w:eastAsia="en-GB"/>
        </w:rPr>
        <w:t xml:space="preserve"> cost of delivering gen</w:t>
      </w:r>
      <w:r w:rsidR="00BF611C">
        <w:rPr>
          <w:lang w:eastAsia="en-GB"/>
        </w:rPr>
        <w:t>eral</w:t>
      </w:r>
      <w:r w:rsidR="007E0A8F">
        <w:rPr>
          <w:lang w:eastAsia="en-GB"/>
        </w:rPr>
        <w:t xml:space="preserve"> practice care</w:t>
      </w:r>
      <w:r w:rsidR="000D6447">
        <w:rPr>
          <w:lang w:eastAsia="en-GB"/>
        </w:rPr>
        <w:t>.</w:t>
      </w:r>
      <w:r w:rsidR="00FE77F9">
        <w:rPr>
          <w:lang w:eastAsia="en-GB"/>
        </w:rPr>
        <w:t xml:space="preserve"> </w:t>
      </w:r>
      <w:r w:rsidR="000D6447">
        <w:rPr>
          <w:lang w:eastAsia="en-GB"/>
        </w:rPr>
        <w:t xml:space="preserve">This is fundamentally different </w:t>
      </w:r>
      <w:r w:rsidR="007E0A8F">
        <w:rPr>
          <w:lang w:eastAsia="en-GB"/>
        </w:rPr>
        <w:t>to fully funded</w:t>
      </w:r>
      <w:r w:rsidR="00BF611C">
        <w:rPr>
          <w:lang w:eastAsia="en-GB"/>
        </w:rPr>
        <w:t xml:space="preserve"> public hospital </w:t>
      </w:r>
      <w:proofErr w:type="gramStart"/>
      <w:r w:rsidR="00BF611C">
        <w:rPr>
          <w:lang w:eastAsia="en-GB"/>
        </w:rPr>
        <w:t>care</w:t>
      </w:r>
      <w:r w:rsidR="000D6447">
        <w:rPr>
          <w:lang w:eastAsia="en-GB"/>
        </w:rPr>
        <w:t>, and</w:t>
      </w:r>
      <w:proofErr w:type="gramEnd"/>
      <w:r w:rsidR="000D6447">
        <w:rPr>
          <w:lang w:eastAsia="en-GB"/>
        </w:rPr>
        <w:t xml:space="preserve"> is </w:t>
      </w:r>
      <w:r w:rsidR="00C3451E">
        <w:rPr>
          <w:lang w:eastAsia="en-GB"/>
        </w:rPr>
        <w:t xml:space="preserve">in </w:t>
      </w:r>
      <w:r w:rsidR="000D6447">
        <w:rPr>
          <w:lang w:eastAsia="en-GB"/>
        </w:rPr>
        <w:t>a different training setting that results in different issues for trainees.</w:t>
      </w:r>
      <w:r w:rsidR="00FE77F9">
        <w:rPr>
          <w:lang w:eastAsia="en-GB"/>
        </w:rPr>
        <w:t xml:space="preserve"> </w:t>
      </w:r>
      <w:r w:rsidR="000D6447">
        <w:rPr>
          <w:lang w:eastAsia="en-GB"/>
        </w:rPr>
        <w:t>For example, trainees may be contractors rather than salaried staff.</w:t>
      </w:r>
    </w:p>
    <w:p w14:paraId="41BDB8FA" w14:textId="78D02F9E" w:rsidR="007E0A8F" w:rsidRDefault="00A835F7" w:rsidP="000D6447">
      <w:pPr>
        <w:pStyle w:val="Bulleted"/>
        <w:rPr>
          <w:lang w:eastAsia="en-GB"/>
        </w:rPr>
      </w:pPr>
      <w:r>
        <w:rPr>
          <w:lang w:eastAsia="en-GB"/>
        </w:rPr>
        <w:t xml:space="preserve">Doctors can </w:t>
      </w:r>
      <w:r w:rsidR="000D6447">
        <w:rPr>
          <w:lang w:eastAsia="en-GB"/>
        </w:rPr>
        <w:t xml:space="preserve">provide general </w:t>
      </w:r>
      <w:r>
        <w:rPr>
          <w:lang w:eastAsia="en-GB"/>
        </w:rPr>
        <w:t xml:space="preserve">practice in the community under </w:t>
      </w:r>
      <w:r w:rsidRPr="009C2264">
        <w:rPr>
          <w:rFonts w:eastAsiaTheme="minorHAnsi"/>
        </w:rPr>
        <w:t>a general scope of practice</w:t>
      </w:r>
      <w:r>
        <w:rPr>
          <w:rFonts w:eastAsiaTheme="minorHAnsi"/>
        </w:rPr>
        <w:t xml:space="preserve">. </w:t>
      </w:r>
      <w:r w:rsidR="000D6447">
        <w:rPr>
          <w:rFonts w:eastAsiaTheme="minorHAnsi"/>
        </w:rPr>
        <w:t xml:space="preserve">Fellowship, achieved via the registrar programme, brings </w:t>
      </w:r>
      <w:r>
        <w:rPr>
          <w:rFonts w:eastAsiaTheme="minorHAnsi"/>
        </w:rPr>
        <w:t xml:space="preserve">no additional remuneration </w:t>
      </w:r>
      <w:r w:rsidR="000D6447">
        <w:rPr>
          <w:rFonts w:eastAsiaTheme="minorHAnsi"/>
        </w:rPr>
        <w:t xml:space="preserve">or formal seniority </w:t>
      </w:r>
      <w:r>
        <w:rPr>
          <w:rFonts w:eastAsiaTheme="minorHAnsi"/>
        </w:rPr>
        <w:t xml:space="preserve">for </w:t>
      </w:r>
      <w:r w:rsidR="00650794">
        <w:rPr>
          <w:rFonts w:eastAsiaTheme="minorHAnsi"/>
        </w:rPr>
        <w:t xml:space="preserve">those who become </w:t>
      </w:r>
      <w:r w:rsidR="0032665D">
        <w:rPr>
          <w:rFonts w:eastAsiaTheme="minorHAnsi"/>
        </w:rPr>
        <w:t>Fellows of the College</w:t>
      </w:r>
      <w:r w:rsidR="000D6447">
        <w:rPr>
          <w:rFonts w:eastAsiaTheme="minorHAnsi"/>
        </w:rPr>
        <w:t>, beyond peer recognition from immediate colleagues</w:t>
      </w:r>
      <w:r w:rsidR="00C474B0">
        <w:rPr>
          <w:rFonts w:eastAsiaTheme="minorHAnsi"/>
        </w:rPr>
        <w:t xml:space="preserve">. </w:t>
      </w:r>
    </w:p>
    <w:p w14:paraId="473F35E7" w14:textId="76A6EA47" w:rsidR="00593984" w:rsidRPr="00CB5526" w:rsidRDefault="001234B3" w:rsidP="00593984">
      <w:pPr>
        <w:rPr>
          <w:rFonts w:eastAsiaTheme="minorHAnsi"/>
        </w:rPr>
      </w:pPr>
      <w:r>
        <w:rPr>
          <w:rFonts w:eastAsiaTheme="minorHAnsi"/>
        </w:rPr>
        <w:t xml:space="preserve">Many issues </w:t>
      </w:r>
      <w:r w:rsidR="004C63B2">
        <w:rPr>
          <w:rFonts w:eastAsiaTheme="minorHAnsi"/>
        </w:rPr>
        <w:t>for general</w:t>
      </w:r>
      <w:r w:rsidR="00C77E86">
        <w:rPr>
          <w:rFonts w:eastAsiaTheme="minorHAnsi"/>
        </w:rPr>
        <w:t xml:space="preserve"> practice in Aotearoa </w:t>
      </w:r>
      <w:r w:rsidR="00984333">
        <w:rPr>
          <w:rFonts w:eastAsiaTheme="minorHAnsi"/>
        </w:rPr>
        <w:t xml:space="preserve">New Zealand are </w:t>
      </w:r>
      <w:proofErr w:type="gramStart"/>
      <w:r>
        <w:rPr>
          <w:rFonts w:eastAsiaTheme="minorHAnsi"/>
        </w:rPr>
        <w:t>similar to</w:t>
      </w:r>
      <w:proofErr w:type="gramEnd"/>
      <w:r>
        <w:rPr>
          <w:rFonts w:eastAsiaTheme="minorHAnsi"/>
        </w:rPr>
        <w:t xml:space="preserve"> </w:t>
      </w:r>
      <w:r w:rsidR="00C77E86">
        <w:rPr>
          <w:rFonts w:eastAsiaTheme="minorHAnsi"/>
        </w:rPr>
        <w:t xml:space="preserve">other </w:t>
      </w:r>
      <w:r w:rsidR="008D133A">
        <w:rPr>
          <w:rFonts w:eastAsiaTheme="minorHAnsi"/>
        </w:rPr>
        <w:t xml:space="preserve">international </w:t>
      </w:r>
      <w:r w:rsidR="00C77E86">
        <w:rPr>
          <w:rFonts w:eastAsiaTheme="minorHAnsi"/>
        </w:rPr>
        <w:t>jurisdictions</w:t>
      </w:r>
      <w:r w:rsidR="006066BB">
        <w:rPr>
          <w:rFonts w:eastAsiaTheme="minorHAnsi"/>
        </w:rPr>
        <w:t>.</w:t>
      </w:r>
      <w:r w:rsidR="00FE77F9">
        <w:rPr>
          <w:rFonts w:eastAsiaTheme="minorHAnsi"/>
        </w:rPr>
        <w:t xml:space="preserve"> </w:t>
      </w:r>
      <w:r w:rsidR="006C7705">
        <w:rPr>
          <w:rFonts w:eastAsiaTheme="minorHAnsi"/>
        </w:rPr>
        <w:t>For example, g</w:t>
      </w:r>
      <w:r w:rsidR="006066BB">
        <w:rPr>
          <w:rFonts w:eastAsiaTheme="minorHAnsi"/>
        </w:rPr>
        <w:t>eneral practice is typically privately owned in</w:t>
      </w:r>
      <w:r w:rsidR="006C7705">
        <w:rPr>
          <w:rFonts w:eastAsiaTheme="minorHAnsi"/>
        </w:rPr>
        <w:t xml:space="preserve"> both</w:t>
      </w:r>
      <w:r w:rsidR="006066BB">
        <w:rPr>
          <w:rFonts w:eastAsiaTheme="minorHAnsi"/>
        </w:rPr>
        <w:t xml:space="preserve"> the United Kingdom and Australia, </w:t>
      </w:r>
      <w:r w:rsidR="006C7705">
        <w:rPr>
          <w:rFonts w:eastAsiaTheme="minorHAnsi"/>
        </w:rPr>
        <w:t>and issues of rurality are important for general practice in many parts of the world.</w:t>
      </w:r>
    </w:p>
    <w:p w14:paraId="2C88FF83" w14:textId="5594EF4C" w:rsidR="00593984" w:rsidRPr="00CB5526" w:rsidRDefault="00593984" w:rsidP="002B0CCF">
      <w:pPr>
        <w:pStyle w:val="MalaHeading1"/>
      </w:pPr>
      <w:bookmarkStart w:id="18" w:name="_Toc105853886"/>
      <w:r w:rsidRPr="00CB5526">
        <w:lastRenderedPageBreak/>
        <w:t>The GPEP Review</w:t>
      </w:r>
      <w:bookmarkEnd w:id="18"/>
    </w:p>
    <w:p w14:paraId="72C5D71D" w14:textId="3541AA22" w:rsidR="00593984" w:rsidRPr="00CB5526" w:rsidRDefault="00D334C0" w:rsidP="009B2B77">
      <w:pPr>
        <w:pStyle w:val="Malanorm"/>
        <w:spacing w:after="60"/>
      </w:pPr>
      <w:r>
        <w:t>Manat</w:t>
      </w:r>
      <w:r>
        <w:rPr>
          <w:rFonts w:cs="Calibri"/>
        </w:rPr>
        <w:t>ū</w:t>
      </w:r>
      <w:r>
        <w:t xml:space="preserve"> Hauora</w:t>
      </w:r>
      <w:r w:rsidR="00593984" w:rsidRPr="00CB5526">
        <w:t xml:space="preserve"> has requested a formal evaluation of </w:t>
      </w:r>
      <w:r w:rsidR="00ED7D8C" w:rsidRPr="00CB5526">
        <w:t xml:space="preserve">the </w:t>
      </w:r>
      <w:r w:rsidR="00593984" w:rsidRPr="00CB5526">
        <w:t xml:space="preserve">GPEP </w:t>
      </w:r>
      <w:r w:rsidR="00ED7D8C" w:rsidRPr="00CB5526">
        <w:t xml:space="preserve">funding </w:t>
      </w:r>
      <w:r w:rsidR="00593984" w:rsidRPr="00CB5526">
        <w:t>model to:</w:t>
      </w:r>
    </w:p>
    <w:p w14:paraId="2ADA5F6F" w14:textId="1417A98B" w:rsidR="00593984" w:rsidRPr="00CB5526" w:rsidRDefault="00593984" w:rsidP="00BE792F">
      <w:pPr>
        <w:pStyle w:val="MIBullets"/>
        <w:numPr>
          <w:ilvl w:val="0"/>
          <w:numId w:val="5"/>
        </w:numPr>
        <w:spacing w:after="120"/>
        <w:ind w:left="714" w:hanging="357"/>
        <w:contextualSpacing/>
      </w:pPr>
      <w:r w:rsidRPr="00CB5526">
        <w:t>Identify if the current contract appropriately supports the GPEP to improve the number and distribution of training and supply, and future sustainability</w:t>
      </w:r>
    </w:p>
    <w:p w14:paraId="168BEE62" w14:textId="77777777" w:rsidR="00593984" w:rsidRPr="00CB5526" w:rsidRDefault="00593984" w:rsidP="00BE792F">
      <w:pPr>
        <w:pStyle w:val="MIBullets"/>
        <w:numPr>
          <w:ilvl w:val="0"/>
          <w:numId w:val="5"/>
        </w:numPr>
        <w:spacing w:before="60" w:after="120"/>
        <w:contextualSpacing/>
      </w:pPr>
      <w:r w:rsidRPr="00CB5526">
        <w:t xml:space="preserve">Identify any inhibitors within the current model that may be a barrier to improving the number and distribution of GP training and supply. </w:t>
      </w:r>
    </w:p>
    <w:p w14:paraId="1144DCE7" w14:textId="77777777" w:rsidR="00593984" w:rsidRPr="00CB5526" w:rsidRDefault="00593984" w:rsidP="00BE792F">
      <w:pPr>
        <w:pStyle w:val="MIBullets"/>
        <w:numPr>
          <w:ilvl w:val="0"/>
          <w:numId w:val="5"/>
        </w:numPr>
        <w:spacing w:before="60" w:after="120"/>
        <w:contextualSpacing/>
      </w:pPr>
      <w:r w:rsidRPr="00CB5526">
        <w:t xml:space="preserve">Provide any recommendations for improvements to the contract. </w:t>
      </w:r>
    </w:p>
    <w:p w14:paraId="19DB3F58" w14:textId="11D09052" w:rsidR="00593984" w:rsidRPr="00CB5526" w:rsidRDefault="00593984" w:rsidP="00F00450">
      <w:pPr>
        <w:pStyle w:val="Malanorm"/>
        <w:spacing w:after="60"/>
      </w:pPr>
      <w:bookmarkStart w:id="19" w:name="_Hlk104725891"/>
      <w:bookmarkStart w:id="20" w:name="_Hlk104725437"/>
      <w:r w:rsidRPr="00CB5526">
        <w:t xml:space="preserve">The specific question to be addressed through the evaluation is whether the current GPEP contract supports the best outcomes for the recruitment and retention of the GP workforce including: </w:t>
      </w:r>
    </w:p>
    <w:p w14:paraId="0B19DA01" w14:textId="79D14360" w:rsidR="00593984" w:rsidRPr="00CB5526" w:rsidRDefault="00593984" w:rsidP="00BE792F">
      <w:pPr>
        <w:pStyle w:val="MIBullets"/>
        <w:numPr>
          <w:ilvl w:val="0"/>
          <w:numId w:val="5"/>
        </w:numPr>
        <w:spacing w:after="120"/>
        <w:ind w:left="714" w:hanging="357"/>
        <w:contextualSpacing/>
      </w:pPr>
      <w:bookmarkStart w:id="21" w:name="_Hlk104725860"/>
      <w:bookmarkEnd w:id="19"/>
      <w:r w:rsidRPr="00CB5526">
        <w:t>Responsiveness and compliance with Te Tiriti</w:t>
      </w:r>
      <w:r w:rsidR="00ED7D8C" w:rsidRPr="00CB5526">
        <w:t xml:space="preserve"> o Waitangi</w:t>
      </w:r>
      <w:r w:rsidRPr="00CB5526">
        <w:t xml:space="preserve"> obligations</w:t>
      </w:r>
    </w:p>
    <w:p w14:paraId="79CD1354" w14:textId="2AE35A12" w:rsidR="00593984" w:rsidRPr="00CB5526" w:rsidRDefault="00593984" w:rsidP="00BE792F">
      <w:pPr>
        <w:pStyle w:val="MIBullets"/>
        <w:numPr>
          <w:ilvl w:val="0"/>
          <w:numId w:val="5"/>
        </w:numPr>
        <w:spacing w:before="60" w:after="120"/>
        <w:contextualSpacing/>
      </w:pPr>
      <w:r w:rsidRPr="00CB5526">
        <w:t xml:space="preserve">An emphasis on equity that will intensify the response to the </w:t>
      </w:r>
      <w:r w:rsidR="00ED7D8C" w:rsidRPr="00CB5526">
        <w:t xml:space="preserve">recognised </w:t>
      </w:r>
      <w:r w:rsidRPr="00CB5526">
        <w:t>GP workforce challenge</w:t>
      </w:r>
      <w:r w:rsidR="00F00450">
        <w:t>s</w:t>
      </w:r>
      <w:r w:rsidRPr="00CB5526">
        <w:t xml:space="preserve"> </w:t>
      </w:r>
    </w:p>
    <w:p w14:paraId="4B6B7BD8" w14:textId="6A2984A9" w:rsidR="00593984" w:rsidRPr="00CB5526" w:rsidRDefault="00593984" w:rsidP="00BE792F">
      <w:pPr>
        <w:pStyle w:val="MIBullets"/>
        <w:numPr>
          <w:ilvl w:val="0"/>
          <w:numId w:val="5"/>
        </w:numPr>
        <w:spacing w:before="60" w:after="120"/>
        <w:contextualSpacing/>
      </w:pPr>
      <w:r w:rsidRPr="00CB5526">
        <w:t>Appropriate use of funding (within the allocated budget)</w:t>
      </w:r>
    </w:p>
    <w:p w14:paraId="757AF0E5" w14:textId="55D32547" w:rsidR="00593984" w:rsidRPr="00CB5526" w:rsidRDefault="00593984" w:rsidP="00BE792F">
      <w:pPr>
        <w:pStyle w:val="MIBullets"/>
        <w:numPr>
          <w:ilvl w:val="0"/>
          <w:numId w:val="5"/>
        </w:numPr>
        <w:spacing w:before="60" w:after="120"/>
        <w:contextualSpacing/>
      </w:pPr>
      <w:r w:rsidRPr="00CB5526">
        <w:t xml:space="preserve">How registrars on the training programme should be employed </w:t>
      </w:r>
    </w:p>
    <w:p w14:paraId="087882D2" w14:textId="77777777" w:rsidR="00593984" w:rsidRPr="00CB5526" w:rsidRDefault="00593984" w:rsidP="00BE792F">
      <w:pPr>
        <w:pStyle w:val="MIBullets"/>
        <w:numPr>
          <w:ilvl w:val="0"/>
          <w:numId w:val="5"/>
        </w:numPr>
        <w:spacing w:before="60" w:after="120"/>
        <w:contextualSpacing/>
      </w:pPr>
      <w:r w:rsidRPr="00CB5526">
        <w:t xml:space="preserve">How to access the most effective coverage for training placements. </w:t>
      </w:r>
    </w:p>
    <w:bookmarkEnd w:id="20"/>
    <w:bookmarkEnd w:id="21"/>
    <w:p w14:paraId="584C2963" w14:textId="4E7184BE" w:rsidR="00ED7D8C" w:rsidRPr="00CB5526" w:rsidRDefault="00ED7D8C" w:rsidP="00ED7D8C">
      <w:r w:rsidRPr="00CB5526">
        <w:t>The last review of GPEP was in 2010-12 to revise the curriculum content and establish an employment model for GP registrars.</w:t>
      </w:r>
    </w:p>
    <w:p w14:paraId="1CAA791D" w14:textId="1D404ED6" w:rsidR="001062EB" w:rsidRPr="00CB5526" w:rsidRDefault="001062EB" w:rsidP="00A16840">
      <w:pPr>
        <w:pStyle w:val="Heading2"/>
      </w:pPr>
      <w:bookmarkStart w:id="22" w:name="_Toc105853887"/>
      <w:r w:rsidRPr="00CB5526">
        <w:t xml:space="preserve">The </w:t>
      </w:r>
      <w:r w:rsidR="00C81EEC" w:rsidRPr="00CB5526">
        <w:t>scope</w:t>
      </w:r>
      <w:r w:rsidRPr="00CB5526">
        <w:t xml:space="preserve"> of the review</w:t>
      </w:r>
      <w:bookmarkEnd w:id="22"/>
    </w:p>
    <w:p w14:paraId="64899E5B" w14:textId="4EE3C911" w:rsidR="001062EB" w:rsidRPr="00CB5526" w:rsidRDefault="001062EB" w:rsidP="001062EB">
      <w:r w:rsidRPr="00CB5526">
        <w:t xml:space="preserve">GPEP funding influences the entry of post-graduates into GPEP and </w:t>
      </w:r>
      <w:r w:rsidR="004A2D78">
        <w:t xml:space="preserve">the </w:t>
      </w:r>
      <w:r w:rsidRPr="00CB5526">
        <w:t>delivery of GPEP training and placement provision by the RNZCGP. The extent GPEP funding enables entry to GPEP and the RNZCGP to produce clinically and culturally competent GPs is the focus of the review. However, it is important to also acknowledge other parts of the training pipeline such as the number of Māori and Pacific students entering medical schools, the extent they are enabled by other factors to enter GPEP training and wider socio-economic determinants of health also influence health outcomes.</w:t>
      </w:r>
    </w:p>
    <w:p w14:paraId="0E8CE8D2" w14:textId="71BCFC0B" w:rsidR="001062EB" w:rsidRPr="00CB5526" w:rsidRDefault="001062EB" w:rsidP="001062EB">
      <w:r w:rsidRPr="00CB5526">
        <w:t xml:space="preserve">The figure below highlights the </w:t>
      </w:r>
      <w:r w:rsidR="00C81EEC" w:rsidRPr="00CB5526">
        <w:t>scope</w:t>
      </w:r>
      <w:r w:rsidRPr="00CB5526">
        <w:t xml:space="preserve"> of the GPEP review.</w:t>
      </w:r>
    </w:p>
    <w:p w14:paraId="4ECC7902" w14:textId="10D5A0C7" w:rsidR="001062EB" w:rsidRPr="00CB5526" w:rsidRDefault="00BC20C8" w:rsidP="0084002B">
      <w:pPr>
        <w:pStyle w:val="Caption"/>
      </w:pPr>
      <w:r w:rsidRPr="00BC20C8">
        <w:lastRenderedPageBreak/>
        <w:drawing>
          <wp:inline distT="0" distB="0" distL="0" distR="0" wp14:anchorId="3323A6A4" wp14:editId="671363C2">
            <wp:extent cx="5008309" cy="4019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722"/>
                    <a:stretch/>
                  </pic:blipFill>
                  <pic:spPr bwMode="auto">
                    <a:xfrm>
                      <a:off x="0" y="0"/>
                      <a:ext cx="5012650" cy="4023034"/>
                    </a:xfrm>
                    <a:prstGeom prst="rect">
                      <a:avLst/>
                    </a:prstGeom>
                    <a:noFill/>
                    <a:ln>
                      <a:noFill/>
                    </a:ln>
                    <a:extLst>
                      <a:ext uri="{53640926-AAD7-44D8-BBD7-CCE9431645EC}">
                        <a14:shadowObscured xmlns:a14="http://schemas.microsoft.com/office/drawing/2010/main"/>
                      </a:ext>
                    </a:extLst>
                  </pic:spPr>
                </pic:pic>
              </a:graphicData>
            </a:graphic>
          </wp:inline>
        </w:drawing>
      </w:r>
    </w:p>
    <w:p w14:paraId="39EA5BB8" w14:textId="76A47306" w:rsidR="001062EB" w:rsidRPr="004E6E7C" w:rsidRDefault="001062EB" w:rsidP="0084002B">
      <w:pPr>
        <w:pStyle w:val="Caption"/>
      </w:pPr>
      <w:r w:rsidRPr="004E6E7C">
        <w:t xml:space="preserve">Figure </w:t>
      </w:r>
      <w:r w:rsidRPr="004E6E7C">
        <w:fldChar w:fldCharType="begin"/>
      </w:r>
      <w:r w:rsidRPr="004E6E7C">
        <w:instrText>SEQ Figure \* ARABIC</w:instrText>
      </w:r>
      <w:r w:rsidRPr="004E6E7C">
        <w:fldChar w:fldCharType="separate"/>
      </w:r>
      <w:r w:rsidR="005E0451">
        <w:rPr>
          <w:noProof/>
        </w:rPr>
        <w:t>1</w:t>
      </w:r>
      <w:r w:rsidRPr="004E6E7C">
        <w:fldChar w:fldCharType="end"/>
      </w:r>
      <w:r w:rsidRPr="004E6E7C">
        <w:t>. The scope of the GPEP review in the general practitioner training pipeline</w:t>
      </w:r>
    </w:p>
    <w:p w14:paraId="35372178" w14:textId="04D622DE" w:rsidR="006D670A" w:rsidRPr="002B0CCF" w:rsidRDefault="006D670A" w:rsidP="00A16840">
      <w:pPr>
        <w:pStyle w:val="Heading2"/>
      </w:pPr>
      <w:bookmarkStart w:id="23" w:name="_Toc105853888"/>
      <w:r w:rsidRPr="002B0CCF">
        <w:t>Approach to the review</w:t>
      </w:r>
      <w:bookmarkEnd w:id="23"/>
    </w:p>
    <w:p w14:paraId="7D7F9197" w14:textId="2227691C" w:rsidR="006D670A" w:rsidRPr="00CB5526" w:rsidRDefault="006D670A" w:rsidP="006D670A">
      <w:r w:rsidRPr="00CB5526">
        <w:t xml:space="preserve">A draft scope of work, review questions and review framework were developed to provide a theoretical foundation for the evaluation. Development was based on interviews with </w:t>
      </w:r>
      <w:r w:rsidR="003203CB">
        <w:t>representatives</w:t>
      </w:r>
      <w:r w:rsidRPr="00CB5526">
        <w:t xml:space="preserve"> from the </w:t>
      </w:r>
      <w:r w:rsidR="00D334C0">
        <w:t>Manat</w:t>
      </w:r>
      <w:r w:rsidR="00D334C0">
        <w:rPr>
          <w:rFonts w:cs="Calibri"/>
        </w:rPr>
        <w:t>ū</w:t>
      </w:r>
      <w:r w:rsidR="00D334C0">
        <w:t xml:space="preserve"> Hauora</w:t>
      </w:r>
      <w:r w:rsidRPr="00CB5526">
        <w:t xml:space="preserve"> team including the Māori and Pacific Directorates, the Chief Nurse and </w:t>
      </w:r>
      <w:r w:rsidR="00312823">
        <w:t xml:space="preserve">the </w:t>
      </w:r>
      <w:r w:rsidRPr="00CB5526">
        <w:t>Primary Care</w:t>
      </w:r>
      <w:r w:rsidR="00312823">
        <w:t xml:space="preserve"> Directorate</w:t>
      </w:r>
      <w:r w:rsidR="003203CB">
        <w:t xml:space="preserve"> as well as the College</w:t>
      </w:r>
      <w:r w:rsidRPr="00CB5526">
        <w:t>.</w:t>
      </w:r>
    </w:p>
    <w:p w14:paraId="3DD54844" w14:textId="7E80F257" w:rsidR="006D670A" w:rsidRPr="00CB5526" w:rsidRDefault="006D670A" w:rsidP="006D670A">
      <w:r w:rsidRPr="00CB5526">
        <w:t>The drafts were presented and discussed at a workshop of key stakeholders with the aim of ensuring a shared understanding of the review scope and information that will be used to inform the review. These were revised to include feedback received.</w:t>
      </w:r>
    </w:p>
    <w:p w14:paraId="73FE3C4B" w14:textId="38C33E3B" w:rsidR="006D670A" w:rsidRPr="00CB5526" w:rsidRDefault="006D670A" w:rsidP="00A16840">
      <w:pPr>
        <w:pStyle w:val="Heading2"/>
      </w:pPr>
      <w:bookmarkStart w:id="24" w:name="_Toc105853889"/>
      <w:r w:rsidRPr="00CB5526">
        <w:t>Information sources for the review</w:t>
      </w:r>
      <w:bookmarkEnd w:id="24"/>
    </w:p>
    <w:p w14:paraId="1B489EA4" w14:textId="240ECE7D" w:rsidR="006D670A" w:rsidRPr="00CB5526" w:rsidRDefault="004656CC" w:rsidP="00ED7D8C">
      <w:r w:rsidRPr="00CB5526">
        <w:t xml:space="preserve">The review drew information from </w:t>
      </w:r>
      <w:r w:rsidR="00D04758" w:rsidRPr="00CB5526">
        <w:t>documents</w:t>
      </w:r>
      <w:r w:rsidRPr="00CB5526">
        <w:t xml:space="preserve">, </w:t>
      </w:r>
      <w:r w:rsidR="006C68FE" w:rsidRPr="00CB5526">
        <w:t xml:space="preserve">analysis of administrative data from </w:t>
      </w:r>
      <w:r w:rsidR="00D334C0">
        <w:t>Manat</w:t>
      </w:r>
      <w:r w:rsidR="00D334C0">
        <w:rPr>
          <w:rFonts w:cs="Calibri"/>
        </w:rPr>
        <w:t>ū</w:t>
      </w:r>
      <w:r w:rsidR="00D334C0">
        <w:t xml:space="preserve"> Hauora</w:t>
      </w:r>
      <w:r w:rsidR="006C68FE" w:rsidRPr="00CB5526">
        <w:t xml:space="preserve"> and RNZCGP, </w:t>
      </w:r>
      <w:r w:rsidRPr="00CB5526">
        <w:t xml:space="preserve">in-depth interviews, analysis of </w:t>
      </w:r>
      <w:r w:rsidR="00D04758" w:rsidRPr="00CB5526">
        <w:t xml:space="preserve">information from </w:t>
      </w:r>
      <w:r w:rsidRPr="00CB5526">
        <w:t>survey</w:t>
      </w:r>
      <w:r w:rsidR="00D04758" w:rsidRPr="00CB5526">
        <w:t>s</w:t>
      </w:r>
      <w:r w:rsidR="006C68FE" w:rsidRPr="00CB5526">
        <w:t xml:space="preserve"> (detailed in Appendix Two)</w:t>
      </w:r>
      <w:r w:rsidR="00D04758" w:rsidRPr="00CB5526">
        <w:t xml:space="preserve">, and analysis of information about the costs of GPEP. </w:t>
      </w:r>
    </w:p>
    <w:p w14:paraId="6DF66D1C" w14:textId="7EA8A88C" w:rsidR="00D04758" w:rsidRPr="00CB5526" w:rsidRDefault="00D04758" w:rsidP="0084002B">
      <w:pPr>
        <w:pStyle w:val="Caption"/>
      </w:pPr>
      <w:r w:rsidRPr="00CB5526">
        <w:lastRenderedPageBreak/>
        <w:t xml:space="preserve">Table </w:t>
      </w:r>
      <w:r>
        <w:fldChar w:fldCharType="begin"/>
      </w:r>
      <w:r>
        <w:instrText>SEQ Table \* ARABIC</w:instrText>
      </w:r>
      <w:r>
        <w:fldChar w:fldCharType="separate"/>
      </w:r>
      <w:r w:rsidR="005E0451">
        <w:rPr>
          <w:noProof/>
        </w:rPr>
        <w:t>1</w:t>
      </w:r>
      <w:r>
        <w:fldChar w:fldCharType="end"/>
      </w:r>
      <w:r w:rsidRPr="00CB5526">
        <w:t>. Information sources for the review</w:t>
      </w:r>
    </w:p>
    <w:tbl>
      <w:tblPr>
        <w:tblStyle w:val="MITableClassic"/>
        <w:tblW w:w="0" w:type="auto"/>
        <w:tblLook w:val="04A0" w:firstRow="1" w:lastRow="0" w:firstColumn="1" w:lastColumn="0" w:noHBand="0" w:noVBand="1"/>
      </w:tblPr>
      <w:tblGrid>
        <w:gridCol w:w="2127"/>
        <w:gridCol w:w="3260"/>
        <w:gridCol w:w="2221"/>
      </w:tblGrid>
      <w:tr w:rsidR="00D04758" w:rsidRPr="00546E39" w14:paraId="2DBAC071" w14:textId="77777777" w:rsidTr="00D04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2B756240" w14:textId="64FBC415" w:rsidR="00D04758" w:rsidRPr="00546E39" w:rsidRDefault="00D04758" w:rsidP="00D04758">
            <w:pPr>
              <w:spacing w:before="0" w:after="0" w:line="240" w:lineRule="auto"/>
              <w:rPr>
                <w:sz w:val="20"/>
                <w:szCs w:val="20"/>
              </w:rPr>
            </w:pPr>
            <w:r w:rsidRPr="00546E39">
              <w:rPr>
                <w:sz w:val="20"/>
                <w:szCs w:val="20"/>
              </w:rPr>
              <w:t>Information source</w:t>
            </w:r>
          </w:p>
        </w:tc>
        <w:tc>
          <w:tcPr>
            <w:tcW w:w="5481" w:type="dxa"/>
            <w:gridSpan w:val="2"/>
          </w:tcPr>
          <w:p w14:paraId="51470C96" w14:textId="77777777" w:rsidR="00D04758" w:rsidRPr="00546E39" w:rsidRDefault="00D04758" w:rsidP="00D04758">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D04758" w:rsidRPr="00546E39" w14:paraId="126C6595" w14:textId="77777777" w:rsidTr="00D04758">
        <w:tc>
          <w:tcPr>
            <w:cnfStyle w:val="001000000000" w:firstRow="0" w:lastRow="0" w:firstColumn="1" w:lastColumn="0" w:oddVBand="0" w:evenVBand="0" w:oddHBand="0" w:evenHBand="0" w:firstRowFirstColumn="0" w:firstRowLastColumn="0" w:lastRowFirstColumn="0" w:lastRowLastColumn="0"/>
            <w:tcW w:w="2127" w:type="dxa"/>
          </w:tcPr>
          <w:p w14:paraId="2761256F" w14:textId="34E9F3CE" w:rsidR="00D04758" w:rsidRPr="00546E39" w:rsidRDefault="00D04758" w:rsidP="00D04758">
            <w:pPr>
              <w:spacing w:before="0" w:after="0" w:line="240" w:lineRule="auto"/>
              <w:rPr>
                <w:sz w:val="20"/>
                <w:szCs w:val="20"/>
              </w:rPr>
            </w:pPr>
            <w:r w:rsidRPr="00546E39">
              <w:rPr>
                <w:sz w:val="20"/>
                <w:szCs w:val="20"/>
              </w:rPr>
              <w:t>Documents</w:t>
            </w:r>
          </w:p>
        </w:tc>
        <w:tc>
          <w:tcPr>
            <w:tcW w:w="5481" w:type="dxa"/>
            <w:gridSpan w:val="2"/>
          </w:tcPr>
          <w:p w14:paraId="54E5E419" w14:textId="45128D0F" w:rsidR="00D04758" w:rsidRPr="00546E39" w:rsidRDefault="002D502A"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GPEP contract and College contract </w:t>
            </w:r>
            <w:r w:rsidR="00BD452D" w:rsidRPr="00546E39">
              <w:rPr>
                <w:sz w:val="20"/>
                <w:szCs w:val="20"/>
              </w:rPr>
              <w:t xml:space="preserve">teacher </w:t>
            </w:r>
            <w:r w:rsidRPr="00546E39">
              <w:rPr>
                <w:sz w:val="20"/>
                <w:szCs w:val="20"/>
              </w:rPr>
              <w:t xml:space="preserve">template </w:t>
            </w:r>
          </w:p>
        </w:tc>
      </w:tr>
      <w:tr w:rsidR="006C68FE" w:rsidRPr="00546E39" w14:paraId="4BDCF624" w14:textId="77777777" w:rsidTr="00D04758">
        <w:tc>
          <w:tcPr>
            <w:cnfStyle w:val="001000000000" w:firstRow="0" w:lastRow="0" w:firstColumn="1" w:lastColumn="0" w:oddVBand="0" w:evenVBand="0" w:oddHBand="0" w:evenHBand="0" w:firstRowFirstColumn="0" w:firstRowLastColumn="0" w:lastRowFirstColumn="0" w:lastRowLastColumn="0"/>
            <w:tcW w:w="2127" w:type="dxa"/>
          </w:tcPr>
          <w:p w14:paraId="495DF6DC" w14:textId="4E0316D8" w:rsidR="006C68FE" w:rsidRPr="00546E39" w:rsidRDefault="006C68FE" w:rsidP="00D04758">
            <w:pPr>
              <w:spacing w:before="0" w:after="0" w:line="240" w:lineRule="auto"/>
              <w:rPr>
                <w:sz w:val="20"/>
                <w:szCs w:val="20"/>
              </w:rPr>
            </w:pPr>
            <w:r w:rsidRPr="00546E39">
              <w:rPr>
                <w:sz w:val="20"/>
                <w:szCs w:val="20"/>
              </w:rPr>
              <w:t>Administrative data</w:t>
            </w:r>
          </w:p>
        </w:tc>
        <w:tc>
          <w:tcPr>
            <w:tcW w:w="5481" w:type="dxa"/>
            <w:gridSpan w:val="2"/>
          </w:tcPr>
          <w:p w14:paraId="5608BB98" w14:textId="77777777" w:rsidR="006C68FE" w:rsidRPr="00546E39" w:rsidRDefault="00451DCB"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2015-2020 </w:t>
            </w:r>
            <w:r w:rsidR="00833321" w:rsidRPr="00546E39">
              <w:rPr>
                <w:sz w:val="20"/>
                <w:szCs w:val="20"/>
              </w:rPr>
              <w:t xml:space="preserve">Registrar cohort </w:t>
            </w:r>
            <w:r w:rsidRPr="00546E39">
              <w:rPr>
                <w:sz w:val="20"/>
                <w:szCs w:val="20"/>
              </w:rPr>
              <w:t xml:space="preserve">data provided by the College </w:t>
            </w:r>
          </w:p>
          <w:p w14:paraId="14F16B5C" w14:textId="1E8B1A71" w:rsidR="00451DCB" w:rsidRPr="00546E39" w:rsidRDefault="00451DCB"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Current teacher and accredited practice data provided by the College</w:t>
            </w:r>
          </w:p>
          <w:p w14:paraId="34D43408" w14:textId="79402E40" w:rsidR="00451DCB" w:rsidRPr="00546E39" w:rsidRDefault="00B2186A" w:rsidP="00B2186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MCNZ register data – analysed by </w:t>
            </w:r>
            <w:r w:rsidR="00D334C0">
              <w:rPr>
                <w:sz w:val="20"/>
                <w:szCs w:val="20"/>
              </w:rPr>
              <w:t xml:space="preserve">the </w:t>
            </w:r>
            <w:r w:rsidR="00D334C0" w:rsidRPr="00D334C0">
              <w:rPr>
                <w:sz w:val="20"/>
                <w:szCs w:val="20"/>
              </w:rPr>
              <w:t>Manat</w:t>
            </w:r>
            <w:r w:rsidR="00D334C0" w:rsidRPr="00D334C0">
              <w:rPr>
                <w:rFonts w:cs="Calibri"/>
                <w:sz w:val="20"/>
                <w:szCs w:val="20"/>
              </w:rPr>
              <w:t>ū</w:t>
            </w:r>
            <w:r w:rsidR="00D334C0" w:rsidRPr="00D334C0">
              <w:rPr>
                <w:sz w:val="20"/>
                <w:szCs w:val="20"/>
              </w:rPr>
              <w:t xml:space="preserve"> Hauora</w:t>
            </w:r>
            <w:r w:rsidR="00D334C0" w:rsidRPr="00D334C0">
              <w:rPr>
                <w:sz w:val="20"/>
                <w:szCs w:val="20"/>
              </w:rPr>
              <w:t xml:space="preserve"> </w:t>
            </w:r>
            <w:r w:rsidRPr="00D334C0">
              <w:rPr>
                <w:sz w:val="20"/>
                <w:szCs w:val="20"/>
              </w:rPr>
              <w:t>team</w:t>
            </w:r>
          </w:p>
        </w:tc>
      </w:tr>
      <w:tr w:rsidR="00D04758" w:rsidRPr="00546E39" w14:paraId="2BBB70DB" w14:textId="77777777" w:rsidTr="00D04758">
        <w:tc>
          <w:tcPr>
            <w:cnfStyle w:val="001000000000" w:firstRow="0" w:lastRow="0" w:firstColumn="1" w:lastColumn="0" w:oddVBand="0" w:evenVBand="0" w:oddHBand="0" w:evenHBand="0" w:firstRowFirstColumn="0" w:firstRowLastColumn="0" w:lastRowFirstColumn="0" w:lastRowLastColumn="0"/>
            <w:tcW w:w="2127" w:type="dxa"/>
          </w:tcPr>
          <w:p w14:paraId="707582BE" w14:textId="0BB7C6A9" w:rsidR="00D04758" w:rsidRPr="00546E39" w:rsidRDefault="00D04758" w:rsidP="00D04758">
            <w:pPr>
              <w:spacing w:before="0" w:after="0" w:line="240" w:lineRule="auto"/>
              <w:rPr>
                <w:sz w:val="20"/>
                <w:szCs w:val="20"/>
              </w:rPr>
            </w:pPr>
            <w:r w:rsidRPr="00546E39">
              <w:rPr>
                <w:sz w:val="20"/>
                <w:szCs w:val="20"/>
              </w:rPr>
              <w:t>In-depth interviews</w:t>
            </w:r>
            <w:r w:rsidR="00AA302F" w:rsidRPr="00546E39">
              <w:rPr>
                <w:sz w:val="20"/>
                <w:szCs w:val="20"/>
              </w:rPr>
              <w:t xml:space="preserve"> – a small number were completed in focus groups</w:t>
            </w:r>
          </w:p>
        </w:tc>
        <w:tc>
          <w:tcPr>
            <w:tcW w:w="5481" w:type="dxa"/>
            <w:gridSpan w:val="2"/>
          </w:tcPr>
          <w:p w14:paraId="48D891A6" w14:textId="616FC734" w:rsidR="00913BD6" w:rsidRPr="00546E39" w:rsidRDefault="00BF4B6F"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RN</w:t>
            </w:r>
            <w:r w:rsidR="00913BD6" w:rsidRPr="00546E39">
              <w:rPr>
                <w:sz w:val="20"/>
                <w:szCs w:val="20"/>
              </w:rPr>
              <w:t>ZCGP</w:t>
            </w:r>
            <w:r w:rsidR="00ED1346" w:rsidRPr="00546E39">
              <w:rPr>
                <w:sz w:val="20"/>
                <w:szCs w:val="20"/>
              </w:rPr>
              <w:t xml:space="preserve">: CEO, President, </w:t>
            </w:r>
            <w:proofErr w:type="spellStart"/>
            <w:r w:rsidR="00CB6997" w:rsidRPr="00546E39">
              <w:rPr>
                <w:sz w:val="20"/>
                <w:szCs w:val="20"/>
              </w:rPr>
              <w:t>Pou</w:t>
            </w:r>
            <w:proofErr w:type="spellEnd"/>
            <w:r w:rsidR="00CB6997" w:rsidRPr="00546E39">
              <w:rPr>
                <w:sz w:val="20"/>
                <w:szCs w:val="20"/>
              </w:rPr>
              <w:t xml:space="preserve"> </w:t>
            </w:r>
            <w:proofErr w:type="spellStart"/>
            <w:r w:rsidR="00CB6997" w:rsidRPr="00546E39">
              <w:rPr>
                <w:sz w:val="20"/>
                <w:szCs w:val="20"/>
              </w:rPr>
              <w:t>Whirinaki</w:t>
            </w:r>
            <w:proofErr w:type="spellEnd"/>
            <w:r w:rsidR="00773D7D" w:rsidRPr="00546E39">
              <w:rPr>
                <w:sz w:val="20"/>
                <w:szCs w:val="20"/>
              </w:rPr>
              <w:t xml:space="preserve">, </w:t>
            </w:r>
            <w:r w:rsidR="0034589F" w:rsidRPr="00546E39">
              <w:rPr>
                <w:sz w:val="20"/>
                <w:szCs w:val="20"/>
              </w:rPr>
              <w:t>c</w:t>
            </w:r>
            <w:r w:rsidR="00773D7D" w:rsidRPr="00546E39">
              <w:rPr>
                <w:sz w:val="20"/>
                <w:szCs w:val="20"/>
              </w:rPr>
              <w:t>linical leads</w:t>
            </w:r>
            <w:r w:rsidR="00A95ADE" w:rsidRPr="00546E39">
              <w:rPr>
                <w:sz w:val="20"/>
                <w:szCs w:val="20"/>
              </w:rPr>
              <w:t xml:space="preserve"> (2)</w:t>
            </w:r>
            <w:r w:rsidR="00B45E1F" w:rsidRPr="00546E39">
              <w:rPr>
                <w:sz w:val="20"/>
                <w:szCs w:val="20"/>
              </w:rPr>
              <w:t xml:space="preserve">, Pacific chapter </w:t>
            </w:r>
            <w:r w:rsidR="009304F7" w:rsidRPr="00546E39">
              <w:rPr>
                <w:sz w:val="20"/>
                <w:szCs w:val="20"/>
              </w:rPr>
              <w:t>representative</w:t>
            </w:r>
          </w:p>
          <w:p w14:paraId="4BD27719" w14:textId="51005F55" w:rsidR="00913BD6" w:rsidRPr="00546E39" w:rsidRDefault="00B45E1F"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Organisations: </w:t>
            </w:r>
            <w:r w:rsidR="00913BD6" w:rsidRPr="00546E39">
              <w:rPr>
                <w:sz w:val="20"/>
                <w:szCs w:val="20"/>
              </w:rPr>
              <w:t>Rural General Practice Network</w:t>
            </w:r>
            <w:r w:rsidR="00B60A77" w:rsidRPr="00546E39">
              <w:rPr>
                <w:sz w:val="20"/>
                <w:szCs w:val="20"/>
              </w:rPr>
              <w:t>, Censor-in-Chief, GP</w:t>
            </w:r>
            <w:r w:rsidR="00F84930" w:rsidRPr="00546E39">
              <w:rPr>
                <w:sz w:val="20"/>
                <w:szCs w:val="20"/>
              </w:rPr>
              <w:t xml:space="preserve"> NZ</w:t>
            </w:r>
            <w:r w:rsidR="00D90642" w:rsidRPr="00546E39">
              <w:rPr>
                <w:sz w:val="20"/>
                <w:szCs w:val="20"/>
              </w:rPr>
              <w:t>, NZRDA</w:t>
            </w:r>
            <w:r w:rsidR="00E96A02" w:rsidRPr="00546E39">
              <w:rPr>
                <w:sz w:val="20"/>
                <w:szCs w:val="20"/>
              </w:rPr>
              <w:t>, DHB</w:t>
            </w:r>
            <w:r w:rsidR="00F01DB7" w:rsidRPr="00546E39">
              <w:rPr>
                <w:sz w:val="20"/>
                <w:szCs w:val="20"/>
              </w:rPr>
              <w:t xml:space="preserve">s (x2), </w:t>
            </w:r>
            <w:r w:rsidR="003B7F01" w:rsidRPr="00546E39">
              <w:rPr>
                <w:sz w:val="20"/>
                <w:szCs w:val="20"/>
              </w:rPr>
              <w:t>TAS, MCNZ, PHO</w:t>
            </w:r>
          </w:p>
          <w:p w14:paraId="0FE61E82" w14:textId="15B57C38" w:rsidR="007A3FA1" w:rsidRPr="00546E39" w:rsidRDefault="007A3FA1"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NHC were invited to participate but did not </w:t>
            </w:r>
            <w:r w:rsidR="00705267" w:rsidRPr="00546E39">
              <w:rPr>
                <w:sz w:val="20"/>
                <w:szCs w:val="20"/>
              </w:rPr>
              <w:t>respond</w:t>
            </w:r>
            <w:r w:rsidR="00496F72" w:rsidRPr="00546E39">
              <w:rPr>
                <w:sz w:val="20"/>
                <w:szCs w:val="20"/>
              </w:rPr>
              <w:t>.</w:t>
            </w:r>
          </w:p>
          <w:p w14:paraId="6AA5549F" w14:textId="2631D6E2" w:rsidR="007B5728" w:rsidRPr="00546E39" w:rsidRDefault="00BE0C43"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Teachers: </w:t>
            </w:r>
            <w:r w:rsidR="007A3FA1" w:rsidRPr="00546E39">
              <w:rPr>
                <w:sz w:val="20"/>
                <w:szCs w:val="20"/>
              </w:rPr>
              <w:t>x6</w:t>
            </w:r>
          </w:p>
          <w:p w14:paraId="5B335E94" w14:textId="604F0862" w:rsidR="007A3FA1" w:rsidRPr="00546E39" w:rsidRDefault="0066025C"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ME: x</w:t>
            </w:r>
            <w:r w:rsidR="00D5254E" w:rsidRPr="00546E39">
              <w:rPr>
                <w:sz w:val="20"/>
                <w:szCs w:val="20"/>
              </w:rPr>
              <w:t>5</w:t>
            </w:r>
          </w:p>
          <w:p w14:paraId="73ACD810" w14:textId="3D195DDE" w:rsidR="007F7A3E" w:rsidRPr="00546E39" w:rsidRDefault="007F7A3E"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GP registrars: </w:t>
            </w:r>
            <w:r w:rsidR="00E70B43" w:rsidRPr="00546E39">
              <w:rPr>
                <w:sz w:val="20"/>
                <w:szCs w:val="20"/>
              </w:rPr>
              <w:t>x9</w:t>
            </w:r>
          </w:p>
          <w:p w14:paraId="684C3F10" w14:textId="166B69A2" w:rsidR="00E70B43" w:rsidRPr="00546E39" w:rsidRDefault="00C76748"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 xml:space="preserve">Accredited practices: </w:t>
            </w:r>
            <w:r w:rsidR="00AA302F" w:rsidRPr="00546E39">
              <w:rPr>
                <w:sz w:val="20"/>
                <w:szCs w:val="20"/>
              </w:rPr>
              <w:t>x4</w:t>
            </w:r>
          </w:p>
          <w:p w14:paraId="36D71924" w14:textId="54535B0E" w:rsidR="00AA302F" w:rsidRPr="00546E39" w:rsidRDefault="00AA302F"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Māori provider</w:t>
            </w:r>
          </w:p>
          <w:p w14:paraId="6725AF1A" w14:textId="281191A2" w:rsidR="00D04758" w:rsidRPr="00546E39" w:rsidRDefault="00AA302F" w:rsidP="00D04758">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Pacific provider</w:t>
            </w:r>
          </w:p>
        </w:tc>
      </w:tr>
      <w:tr w:rsidR="001448E4" w:rsidRPr="00546E39" w14:paraId="08E9B1C2" w14:textId="77777777" w:rsidTr="00D268FA">
        <w:tc>
          <w:tcPr>
            <w:cnfStyle w:val="001000000000" w:firstRow="0" w:lastRow="0" w:firstColumn="1" w:lastColumn="0" w:oddVBand="0" w:evenVBand="0" w:oddHBand="0" w:evenHBand="0" w:firstRowFirstColumn="0" w:firstRowLastColumn="0" w:lastRowFirstColumn="0" w:lastRowLastColumn="0"/>
            <w:tcW w:w="2127" w:type="dxa"/>
            <w:vMerge w:val="restart"/>
          </w:tcPr>
          <w:p w14:paraId="50E5576D" w14:textId="1F22021E" w:rsidR="001448E4" w:rsidRPr="00546E39" w:rsidRDefault="001448E4" w:rsidP="00D268FA">
            <w:pPr>
              <w:spacing w:before="0" w:after="0" w:line="240" w:lineRule="auto"/>
              <w:rPr>
                <w:sz w:val="20"/>
                <w:szCs w:val="20"/>
              </w:rPr>
            </w:pPr>
            <w:r w:rsidRPr="00546E39">
              <w:rPr>
                <w:sz w:val="20"/>
                <w:szCs w:val="20"/>
              </w:rPr>
              <w:t>Surveys</w:t>
            </w:r>
          </w:p>
        </w:tc>
        <w:tc>
          <w:tcPr>
            <w:tcW w:w="3260" w:type="dxa"/>
          </w:tcPr>
          <w:p w14:paraId="42A64E62" w14:textId="62968699" w:rsidR="001448E4" w:rsidRPr="00546E39" w:rsidRDefault="001448E4" w:rsidP="00D268F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GPEP RMO – sent by NZRDA</w:t>
            </w:r>
          </w:p>
        </w:tc>
        <w:tc>
          <w:tcPr>
            <w:tcW w:w="2221" w:type="dxa"/>
          </w:tcPr>
          <w:p w14:paraId="0957D096" w14:textId="5D5EBE77" w:rsidR="001448E4" w:rsidRPr="00546E39" w:rsidRDefault="001448E4" w:rsidP="00D268F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190 (9%)</w:t>
            </w:r>
          </w:p>
        </w:tc>
      </w:tr>
      <w:tr w:rsidR="001448E4" w:rsidRPr="00546E39" w14:paraId="1DA3351D" w14:textId="77777777" w:rsidTr="00D268FA">
        <w:tc>
          <w:tcPr>
            <w:cnfStyle w:val="001000000000" w:firstRow="0" w:lastRow="0" w:firstColumn="1" w:lastColumn="0" w:oddVBand="0" w:evenVBand="0" w:oddHBand="0" w:evenHBand="0" w:firstRowFirstColumn="0" w:firstRowLastColumn="0" w:lastRowFirstColumn="0" w:lastRowLastColumn="0"/>
            <w:tcW w:w="2127" w:type="dxa"/>
            <w:vMerge/>
          </w:tcPr>
          <w:p w14:paraId="1B745A7B" w14:textId="77777777" w:rsidR="001448E4" w:rsidRPr="00546E39" w:rsidRDefault="001448E4" w:rsidP="00D268FA">
            <w:pPr>
              <w:spacing w:before="0" w:after="0" w:line="240" w:lineRule="auto"/>
              <w:rPr>
                <w:sz w:val="20"/>
                <w:szCs w:val="20"/>
              </w:rPr>
            </w:pPr>
          </w:p>
        </w:tc>
        <w:tc>
          <w:tcPr>
            <w:tcW w:w="3260" w:type="dxa"/>
          </w:tcPr>
          <w:p w14:paraId="4597DEC9" w14:textId="77777777" w:rsidR="001448E4" w:rsidRDefault="001448E4" w:rsidP="00D268F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GPEP registrar</w:t>
            </w:r>
            <w:r w:rsidR="008A62E7" w:rsidRPr="00546E39">
              <w:rPr>
                <w:sz w:val="20"/>
                <w:szCs w:val="20"/>
              </w:rPr>
              <w:t>s</w:t>
            </w:r>
            <w:r w:rsidR="00865194" w:rsidRPr="00546E39">
              <w:rPr>
                <w:sz w:val="20"/>
                <w:szCs w:val="20"/>
              </w:rPr>
              <w:t xml:space="preserve"> including 20 current GPEP 1, 71 who had completed GPEP 1, 125 </w:t>
            </w:r>
            <w:r w:rsidR="00C55C9A" w:rsidRPr="00546E39">
              <w:rPr>
                <w:sz w:val="20"/>
                <w:szCs w:val="20"/>
              </w:rPr>
              <w:t>who</w:t>
            </w:r>
            <w:r w:rsidR="00865194" w:rsidRPr="00546E39">
              <w:rPr>
                <w:sz w:val="20"/>
                <w:szCs w:val="20"/>
              </w:rPr>
              <w:t xml:space="preserve"> had completed GPEP 2, 172 fellows, </w:t>
            </w:r>
            <w:r w:rsidR="00C55C9A" w:rsidRPr="00546E39">
              <w:rPr>
                <w:sz w:val="20"/>
                <w:szCs w:val="20"/>
              </w:rPr>
              <w:t>13 on hold, 3 discontinued and 11 other definitions.</w:t>
            </w:r>
          </w:p>
          <w:p w14:paraId="59BFED7C" w14:textId="799DD700" w:rsidR="00602F9F" w:rsidRPr="00546E39" w:rsidRDefault="00602F9F" w:rsidP="00D268F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Survey responses were received from 33 Māori and 12 Pacific current or </w:t>
            </w:r>
            <w:proofErr w:type="gramStart"/>
            <w:r>
              <w:rPr>
                <w:sz w:val="20"/>
                <w:szCs w:val="20"/>
              </w:rPr>
              <w:t>past-registrars</w:t>
            </w:r>
            <w:proofErr w:type="gramEnd"/>
            <w:r>
              <w:rPr>
                <w:rStyle w:val="FootnoteReference"/>
                <w:sz w:val="20"/>
                <w:szCs w:val="20"/>
              </w:rPr>
              <w:footnoteReference w:id="8"/>
            </w:r>
            <w:r>
              <w:rPr>
                <w:sz w:val="20"/>
                <w:szCs w:val="20"/>
              </w:rPr>
              <w:t>.</w:t>
            </w:r>
          </w:p>
        </w:tc>
        <w:tc>
          <w:tcPr>
            <w:tcW w:w="2221" w:type="dxa"/>
          </w:tcPr>
          <w:p w14:paraId="33068EDB" w14:textId="17810CB1" w:rsidR="001448E4" w:rsidRPr="00546E39" w:rsidRDefault="001448E4" w:rsidP="00D268F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415 (25%)</w:t>
            </w:r>
          </w:p>
        </w:tc>
      </w:tr>
      <w:tr w:rsidR="001448E4" w:rsidRPr="00546E39" w14:paraId="1C783D63" w14:textId="77777777" w:rsidTr="00D268FA">
        <w:tc>
          <w:tcPr>
            <w:cnfStyle w:val="001000000000" w:firstRow="0" w:lastRow="0" w:firstColumn="1" w:lastColumn="0" w:oddVBand="0" w:evenVBand="0" w:oddHBand="0" w:evenHBand="0" w:firstRowFirstColumn="0" w:firstRowLastColumn="0" w:lastRowFirstColumn="0" w:lastRowLastColumn="0"/>
            <w:tcW w:w="2127" w:type="dxa"/>
            <w:vMerge/>
          </w:tcPr>
          <w:p w14:paraId="32A2C475" w14:textId="77777777" w:rsidR="001448E4" w:rsidRPr="00546E39" w:rsidRDefault="001448E4" w:rsidP="00D268FA">
            <w:pPr>
              <w:spacing w:before="0" w:after="0" w:line="240" w:lineRule="auto"/>
              <w:rPr>
                <w:sz w:val="20"/>
                <w:szCs w:val="20"/>
              </w:rPr>
            </w:pPr>
          </w:p>
        </w:tc>
        <w:tc>
          <w:tcPr>
            <w:tcW w:w="3260" w:type="dxa"/>
          </w:tcPr>
          <w:p w14:paraId="29578BC8" w14:textId="64FF9507" w:rsidR="001448E4" w:rsidRPr="00546E39" w:rsidRDefault="001448E4" w:rsidP="00D268F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GP teacher (RNZCGP Fellow)</w:t>
            </w:r>
          </w:p>
        </w:tc>
        <w:tc>
          <w:tcPr>
            <w:tcW w:w="2221" w:type="dxa"/>
          </w:tcPr>
          <w:p w14:paraId="1E9A31E1" w14:textId="415BCEE3" w:rsidR="001448E4" w:rsidRPr="00546E39" w:rsidRDefault="001448E4" w:rsidP="00D268F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168 (36%)</w:t>
            </w:r>
          </w:p>
        </w:tc>
      </w:tr>
      <w:tr w:rsidR="001448E4" w:rsidRPr="00546E39" w14:paraId="6EDF5E9C" w14:textId="77777777" w:rsidTr="00D268FA">
        <w:tc>
          <w:tcPr>
            <w:cnfStyle w:val="001000000000" w:firstRow="0" w:lastRow="0" w:firstColumn="1" w:lastColumn="0" w:oddVBand="0" w:evenVBand="0" w:oddHBand="0" w:evenHBand="0" w:firstRowFirstColumn="0" w:firstRowLastColumn="0" w:lastRowFirstColumn="0" w:lastRowLastColumn="0"/>
            <w:tcW w:w="2127" w:type="dxa"/>
            <w:vMerge/>
          </w:tcPr>
          <w:p w14:paraId="50D2610F" w14:textId="77777777" w:rsidR="001448E4" w:rsidRPr="00546E39" w:rsidRDefault="001448E4" w:rsidP="00D268FA">
            <w:pPr>
              <w:spacing w:before="0" w:after="0" w:line="240" w:lineRule="auto"/>
              <w:rPr>
                <w:sz w:val="20"/>
                <w:szCs w:val="20"/>
              </w:rPr>
            </w:pPr>
          </w:p>
        </w:tc>
        <w:tc>
          <w:tcPr>
            <w:tcW w:w="3260" w:type="dxa"/>
          </w:tcPr>
          <w:p w14:paraId="31E26C78" w14:textId="13BA868C" w:rsidR="001448E4" w:rsidRPr="00546E39" w:rsidRDefault="001448E4" w:rsidP="00D268FA">
            <w:p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GPEP accredited practice</w:t>
            </w:r>
          </w:p>
        </w:tc>
        <w:tc>
          <w:tcPr>
            <w:tcW w:w="2221" w:type="dxa"/>
          </w:tcPr>
          <w:p w14:paraId="56680046" w14:textId="097D0897" w:rsidR="001448E4" w:rsidRPr="00546E39" w:rsidRDefault="001448E4" w:rsidP="00D268F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44 (24%)</w:t>
            </w:r>
          </w:p>
        </w:tc>
      </w:tr>
    </w:tbl>
    <w:p w14:paraId="3AE82045" w14:textId="666A147F" w:rsidR="00281F27" w:rsidRDefault="00281F27" w:rsidP="007A6625">
      <w:pPr>
        <w:spacing w:before="240"/>
      </w:pPr>
      <w:r>
        <w:t xml:space="preserve">Interviews were analysed </w:t>
      </w:r>
      <w:r w:rsidR="0034589F">
        <w:t xml:space="preserve">thematically </w:t>
      </w:r>
      <w:r>
        <w:t>to identify key themes. Survey data were analysed descriptively.</w:t>
      </w:r>
    </w:p>
    <w:p w14:paraId="514F471C" w14:textId="60874849" w:rsidR="007A6625" w:rsidRDefault="007A6625" w:rsidP="00602F9F">
      <w:r>
        <w:t>The economic analysis drew on</w:t>
      </w:r>
      <w:r w:rsidR="003D122B">
        <w:t xml:space="preserve"> contract analysis and information held by Sapere about the costs of general practice. I</w:t>
      </w:r>
      <w:r w:rsidR="00BD452D">
        <w:t>nformation from the surveys about</w:t>
      </w:r>
      <w:r w:rsidR="004619A0">
        <w:t xml:space="preserve"> supervision time, registrar consultation times and numbers of patients seen</w:t>
      </w:r>
      <w:r w:rsidR="006249EC">
        <w:t xml:space="preserve"> informed the </w:t>
      </w:r>
      <w:r w:rsidR="0034589F">
        <w:t xml:space="preserve">economic </w:t>
      </w:r>
      <w:r w:rsidR="006249EC">
        <w:t>analyses.</w:t>
      </w:r>
      <w:r w:rsidR="003D122B">
        <w:t xml:space="preserve"> </w:t>
      </w:r>
    </w:p>
    <w:p w14:paraId="07FC7233" w14:textId="06BA4EAD" w:rsidR="00D04758" w:rsidRPr="00CB5526" w:rsidRDefault="00D04758" w:rsidP="00A16840">
      <w:pPr>
        <w:pStyle w:val="Heading2"/>
      </w:pPr>
      <w:bookmarkStart w:id="25" w:name="_Toc105853890"/>
      <w:r w:rsidRPr="00CB5526">
        <w:lastRenderedPageBreak/>
        <w:t xml:space="preserve">Strengths and </w:t>
      </w:r>
      <w:r w:rsidR="00581AAF">
        <w:t>l</w:t>
      </w:r>
      <w:r w:rsidRPr="00CB5526">
        <w:t>imitations</w:t>
      </w:r>
      <w:bookmarkEnd w:id="25"/>
    </w:p>
    <w:p w14:paraId="2FAFBC37" w14:textId="6EB6F6EC" w:rsidR="0019395A" w:rsidRDefault="007A6625" w:rsidP="00CC57F3">
      <w:pPr>
        <w:rPr>
          <w:lang w:eastAsia="en-GB"/>
        </w:rPr>
      </w:pPr>
      <w:r>
        <w:rPr>
          <w:lang w:eastAsia="en-GB"/>
        </w:rPr>
        <w:t xml:space="preserve">The review was strengthened by </w:t>
      </w:r>
      <w:r w:rsidR="00BC1154">
        <w:rPr>
          <w:lang w:eastAsia="en-GB"/>
        </w:rPr>
        <w:t>triangulation of information gathered from different sources and perspectives and by the willingness of those invited to participate in interviews and the survey.</w:t>
      </w:r>
    </w:p>
    <w:p w14:paraId="564ECA31" w14:textId="420DAE76" w:rsidR="00BC1154" w:rsidRDefault="00BC1154" w:rsidP="00CC57F3">
      <w:pPr>
        <w:rPr>
          <w:lang w:eastAsia="en-GB"/>
        </w:rPr>
      </w:pPr>
      <w:r>
        <w:rPr>
          <w:lang w:eastAsia="en-GB"/>
        </w:rPr>
        <w:t xml:space="preserve">The survey responses were </w:t>
      </w:r>
      <w:proofErr w:type="gramStart"/>
      <w:r>
        <w:rPr>
          <w:lang w:eastAsia="en-GB"/>
        </w:rPr>
        <w:t>adequate</w:t>
      </w:r>
      <w:proofErr w:type="gramEnd"/>
      <w:r>
        <w:rPr>
          <w:lang w:eastAsia="en-GB"/>
        </w:rPr>
        <w:t xml:space="preserve"> </w:t>
      </w:r>
      <w:r w:rsidR="00DF5585">
        <w:rPr>
          <w:lang w:eastAsia="en-GB"/>
        </w:rPr>
        <w:t xml:space="preserve">and the profile of respondents </w:t>
      </w:r>
      <w:r w:rsidR="00033E44">
        <w:rPr>
          <w:lang w:eastAsia="en-GB"/>
        </w:rPr>
        <w:t xml:space="preserve">aligned with the sampling frame. While a slightly higher proportion of female registrars </w:t>
      </w:r>
      <w:r w:rsidR="005E544A">
        <w:rPr>
          <w:lang w:eastAsia="en-GB"/>
        </w:rPr>
        <w:t xml:space="preserve">completed the registrar survey than male registrars, weighting of the results did not </w:t>
      </w:r>
      <w:r w:rsidR="004B3DF9">
        <w:rPr>
          <w:lang w:eastAsia="en-GB"/>
        </w:rPr>
        <w:t xml:space="preserve">materially </w:t>
      </w:r>
      <w:r w:rsidR="00281F27">
        <w:rPr>
          <w:lang w:eastAsia="en-GB"/>
        </w:rPr>
        <w:t xml:space="preserve">alter the </w:t>
      </w:r>
      <w:r w:rsidR="004B3DF9">
        <w:rPr>
          <w:lang w:eastAsia="en-GB"/>
        </w:rPr>
        <w:t>findings.</w:t>
      </w:r>
      <w:r w:rsidR="00033E44">
        <w:rPr>
          <w:lang w:eastAsia="en-GB"/>
        </w:rPr>
        <w:t xml:space="preserve"> </w:t>
      </w:r>
    </w:p>
    <w:p w14:paraId="30599D4F" w14:textId="77777777" w:rsidR="00BC1154" w:rsidRDefault="00BC1154" w:rsidP="00CC57F3">
      <w:pPr>
        <w:rPr>
          <w:lang w:eastAsia="en-GB"/>
        </w:rPr>
      </w:pPr>
      <w:r>
        <w:rPr>
          <w:lang w:eastAsia="en-GB"/>
        </w:rPr>
        <w:t>There were some limitations to the review:</w:t>
      </w:r>
    </w:p>
    <w:p w14:paraId="4455866D" w14:textId="5FE711E6" w:rsidR="004B3DF9" w:rsidRDefault="00077760" w:rsidP="004B3DF9">
      <w:pPr>
        <w:pStyle w:val="Bulleted"/>
        <w:rPr>
          <w:lang w:eastAsia="en-GB"/>
        </w:rPr>
      </w:pPr>
      <w:r>
        <w:rPr>
          <w:lang w:eastAsia="en-GB"/>
        </w:rPr>
        <w:t xml:space="preserve">Completion data were limited because of the time frame </w:t>
      </w:r>
      <w:r w:rsidR="008B16B6">
        <w:rPr>
          <w:lang w:eastAsia="en-GB"/>
        </w:rPr>
        <w:t xml:space="preserve">over which </w:t>
      </w:r>
      <w:r w:rsidR="00743434">
        <w:rPr>
          <w:lang w:eastAsia="en-GB"/>
        </w:rPr>
        <w:t>GPEP training could be completed</w:t>
      </w:r>
      <w:r w:rsidR="00875564">
        <w:rPr>
          <w:lang w:eastAsia="en-GB"/>
        </w:rPr>
        <w:t xml:space="preserve"> including deferments.</w:t>
      </w:r>
    </w:p>
    <w:p w14:paraId="63F853CA" w14:textId="059440FB" w:rsidR="00743434" w:rsidRDefault="00743434" w:rsidP="004B3DF9">
      <w:pPr>
        <w:pStyle w:val="Bulleted"/>
        <w:rPr>
          <w:lang w:eastAsia="en-GB"/>
        </w:rPr>
      </w:pPr>
      <w:r>
        <w:rPr>
          <w:lang w:eastAsia="en-GB"/>
        </w:rPr>
        <w:t xml:space="preserve">We </w:t>
      </w:r>
      <w:r w:rsidR="005F277E">
        <w:rPr>
          <w:lang w:eastAsia="en-GB"/>
        </w:rPr>
        <w:t xml:space="preserve">had contact details </w:t>
      </w:r>
      <w:r w:rsidR="00581AAF">
        <w:rPr>
          <w:lang w:eastAsia="en-GB"/>
        </w:rPr>
        <w:t>for current registrars, teacher and accredited practices but were not able to survey those who may have wanted to be a placement provider but did not meet eligibility criteria.</w:t>
      </w:r>
    </w:p>
    <w:p w14:paraId="3B12A71D" w14:textId="77777777" w:rsidR="00D04758" w:rsidRPr="00CB5526" w:rsidRDefault="00D04758" w:rsidP="00D04758"/>
    <w:p w14:paraId="78621825" w14:textId="77777777" w:rsidR="000A0E58" w:rsidRPr="00CB5526" w:rsidRDefault="000A0E58" w:rsidP="002B0CCF">
      <w:pPr>
        <w:pStyle w:val="MalaHeading1"/>
      </w:pPr>
      <w:bookmarkStart w:id="26" w:name="_Toc105853891"/>
      <w:r w:rsidRPr="00CB5526">
        <w:lastRenderedPageBreak/>
        <w:t>The GPEP Funding Model</w:t>
      </w:r>
      <w:bookmarkEnd w:id="26"/>
    </w:p>
    <w:tbl>
      <w:tblPr>
        <w:tblStyle w:val="MITableClassic"/>
        <w:tblW w:w="7613" w:type="dxa"/>
        <w:tblLook w:val="04A0" w:firstRow="1" w:lastRow="0" w:firstColumn="1" w:lastColumn="0" w:noHBand="0" w:noVBand="1"/>
      </w:tblPr>
      <w:tblGrid>
        <w:gridCol w:w="7613"/>
      </w:tblGrid>
      <w:tr w:rsidR="008F4A5E" w14:paraId="4D0083B7" w14:textId="77777777" w:rsidTr="00E51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13" w:type="dxa"/>
          </w:tcPr>
          <w:p w14:paraId="748EDC0E" w14:textId="7FF6AECB" w:rsidR="008F4A5E" w:rsidRDefault="001B2734" w:rsidP="0047079A">
            <w:pPr>
              <w:spacing w:before="0" w:after="0"/>
              <w:rPr>
                <w:lang w:eastAsia="en-GB"/>
              </w:rPr>
            </w:pPr>
            <w:r>
              <w:rPr>
                <w:lang w:eastAsia="en-GB"/>
              </w:rPr>
              <w:t>Key messages</w:t>
            </w:r>
          </w:p>
        </w:tc>
      </w:tr>
      <w:tr w:rsidR="001B2734" w14:paraId="2E6A4147" w14:textId="77777777" w:rsidTr="00E51C60">
        <w:tc>
          <w:tcPr>
            <w:cnfStyle w:val="001000000000" w:firstRow="0" w:lastRow="0" w:firstColumn="1" w:lastColumn="0" w:oddVBand="0" w:evenVBand="0" w:oddHBand="0" w:evenHBand="0" w:firstRowFirstColumn="0" w:firstRowLastColumn="0" w:lastRowFirstColumn="0" w:lastRowLastColumn="0"/>
            <w:tcW w:w="7613" w:type="dxa"/>
          </w:tcPr>
          <w:p w14:paraId="50DD0A90" w14:textId="38334A31" w:rsidR="00875564" w:rsidRDefault="00B05311" w:rsidP="00875564">
            <w:pPr>
              <w:rPr>
                <w:lang w:eastAsia="en-GB"/>
              </w:rPr>
            </w:pPr>
            <w:r>
              <w:rPr>
                <w:lang w:eastAsia="en-GB"/>
              </w:rPr>
              <w:t xml:space="preserve">The </w:t>
            </w:r>
            <w:r w:rsidR="00875564">
              <w:rPr>
                <w:lang w:eastAsia="en-GB"/>
              </w:rPr>
              <w:t xml:space="preserve">contract comprises </w:t>
            </w:r>
            <w:r w:rsidR="00B96738">
              <w:rPr>
                <w:lang w:eastAsia="en-GB"/>
              </w:rPr>
              <w:t xml:space="preserve">four components of the contract </w:t>
            </w:r>
            <w:r w:rsidR="00875564">
              <w:rPr>
                <w:lang w:eastAsia="en-GB"/>
              </w:rPr>
              <w:t xml:space="preserve">which </w:t>
            </w:r>
            <w:r w:rsidR="00B96738">
              <w:rPr>
                <w:lang w:eastAsia="en-GB"/>
              </w:rPr>
              <w:t>reflect the key aspects of GPEP delivery</w:t>
            </w:r>
            <w:r w:rsidR="000D3B5A">
              <w:rPr>
                <w:lang w:eastAsia="en-GB"/>
              </w:rPr>
              <w:t>.</w:t>
            </w:r>
            <w:r w:rsidR="00875564">
              <w:rPr>
                <w:lang w:eastAsia="en-GB"/>
              </w:rPr>
              <w:t xml:space="preserve"> The contract structure and inability to move money from one component to another limit responsiveness and flexibility.</w:t>
            </w:r>
          </w:p>
          <w:p w14:paraId="5082364E" w14:textId="0447C98C" w:rsidR="00DC12E0" w:rsidRDefault="00BC20C8" w:rsidP="007A751A">
            <w:pPr>
              <w:rPr>
                <w:lang w:eastAsia="en-GB"/>
              </w:rPr>
            </w:pPr>
            <w:r>
              <w:rPr>
                <w:lang w:eastAsia="en-GB"/>
              </w:rPr>
              <w:t>The equity component to support and mentor Māori and Pacific registrars represents 2% of the operational component of the contract</w:t>
            </w:r>
            <w:r>
              <w:rPr>
                <w:rStyle w:val="FootnoteReference"/>
                <w:lang w:eastAsia="en-GB"/>
              </w:rPr>
              <w:footnoteReference w:id="9"/>
            </w:r>
            <w:r>
              <w:rPr>
                <w:lang w:eastAsia="en-GB"/>
              </w:rPr>
              <w:t xml:space="preserve">. </w:t>
            </w:r>
          </w:p>
        </w:tc>
      </w:tr>
      <w:tr w:rsidR="001B2734" w14:paraId="79A14837" w14:textId="77777777" w:rsidTr="00E51C60">
        <w:tc>
          <w:tcPr>
            <w:cnfStyle w:val="001000000000" w:firstRow="0" w:lastRow="0" w:firstColumn="1" w:lastColumn="0" w:oddVBand="0" w:evenVBand="0" w:oddHBand="0" w:evenHBand="0" w:firstRowFirstColumn="0" w:firstRowLastColumn="0" w:lastRowFirstColumn="0" w:lastRowLastColumn="0"/>
            <w:tcW w:w="7613" w:type="dxa"/>
          </w:tcPr>
          <w:p w14:paraId="37972068" w14:textId="77777777" w:rsidR="001B2734" w:rsidRPr="0047079A" w:rsidRDefault="001B2734" w:rsidP="007A751A">
            <w:pPr>
              <w:rPr>
                <w:b/>
                <w:lang w:eastAsia="en-GB"/>
              </w:rPr>
            </w:pPr>
            <w:r w:rsidRPr="0047079A">
              <w:rPr>
                <w:b/>
                <w:lang w:eastAsia="en-GB"/>
              </w:rPr>
              <w:t>Opportunities:</w:t>
            </w:r>
          </w:p>
          <w:p w14:paraId="2F368127" w14:textId="558DE27D" w:rsidR="001B2734" w:rsidRDefault="0072294B" w:rsidP="007A751A">
            <w:pPr>
              <w:rPr>
                <w:lang w:eastAsia="en-GB"/>
              </w:rPr>
            </w:pPr>
            <w:r>
              <w:rPr>
                <w:lang w:eastAsia="en-GB"/>
              </w:rPr>
              <w:t>A</w:t>
            </w:r>
            <w:r w:rsidR="00902DC1">
              <w:rPr>
                <w:lang w:eastAsia="en-GB"/>
              </w:rPr>
              <w:t xml:space="preserve"> balance</w:t>
            </w:r>
            <w:r w:rsidR="004E0035">
              <w:rPr>
                <w:lang w:eastAsia="en-GB"/>
              </w:rPr>
              <w:t xml:space="preserve"> between </w:t>
            </w:r>
            <w:r>
              <w:rPr>
                <w:lang w:eastAsia="en-GB"/>
              </w:rPr>
              <w:t xml:space="preserve">the </w:t>
            </w:r>
            <w:r w:rsidR="004E0035">
              <w:rPr>
                <w:lang w:eastAsia="en-GB"/>
              </w:rPr>
              <w:t>current transactional contract and a</w:t>
            </w:r>
            <w:r w:rsidR="00B05311">
              <w:rPr>
                <w:lang w:eastAsia="en-GB"/>
              </w:rPr>
              <w:t>n outcomes focused contract</w:t>
            </w:r>
            <w:r w:rsidR="00FD36DE">
              <w:rPr>
                <w:lang w:eastAsia="en-GB"/>
              </w:rPr>
              <w:t xml:space="preserve"> that allows more flexibility to move </w:t>
            </w:r>
            <w:r w:rsidR="00027851">
              <w:rPr>
                <w:lang w:eastAsia="en-GB"/>
              </w:rPr>
              <w:t>money between contract components</w:t>
            </w:r>
            <w:r>
              <w:rPr>
                <w:lang w:eastAsia="en-GB"/>
              </w:rPr>
              <w:t>.</w:t>
            </w:r>
            <w:r w:rsidR="00B05311">
              <w:rPr>
                <w:lang w:eastAsia="en-GB"/>
              </w:rPr>
              <w:t xml:space="preserve"> </w:t>
            </w:r>
          </w:p>
          <w:p w14:paraId="5B05E862" w14:textId="7BE0DAA8" w:rsidR="00010884" w:rsidRDefault="000D3B5A" w:rsidP="007A751A">
            <w:pPr>
              <w:rPr>
                <w:lang w:eastAsia="en-GB"/>
              </w:rPr>
            </w:pPr>
            <w:r>
              <w:rPr>
                <w:lang w:eastAsia="en-GB"/>
              </w:rPr>
              <w:t xml:space="preserve">Inclusion of </w:t>
            </w:r>
            <w:r w:rsidR="00EA3CCB">
              <w:rPr>
                <w:lang w:eastAsia="en-GB"/>
              </w:rPr>
              <w:t xml:space="preserve">perspectives from </w:t>
            </w:r>
            <w:r w:rsidR="00D334C0">
              <w:t>Manat</w:t>
            </w:r>
            <w:r w:rsidR="00D334C0">
              <w:rPr>
                <w:rFonts w:cs="Calibri"/>
              </w:rPr>
              <w:t>ū</w:t>
            </w:r>
            <w:r w:rsidR="00D334C0">
              <w:t xml:space="preserve"> Hauora</w:t>
            </w:r>
            <w:r w:rsidR="0072294B">
              <w:rPr>
                <w:lang w:eastAsia="en-GB"/>
              </w:rPr>
              <w:t xml:space="preserve"> and College </w:t>
            </w:r>
            <w:r w:rsidR="00EA3CCB">
              <w:rPr>
                <w:lang w:eastAsia="en-GB"/>
              </w:rPr>
              <w:t xml:space="preserve">policy teams and </w:t>
            </w:r>
            <w:r w:rsidR="00D334C0">
              <w:rPr>
                <w:lang w:eastAsia="en-GB"/>
              </w:rPr>
              <w:t xml:space="preserve">consultation with </w:t>
            </w:r>
            <w:r w:rsidR="00EA3CCB">
              <w:rPr>
                <w:lang w:eastAsia="en-GB"/>
              </w:rPr>
              <w:t xml:space="preserve">Māori </w:t>
            </w:r>
            <w:r w:rsidR="0072294B">
              <w:rPr>
                <w:lang w:eastAsia="en-GB"/>
              </w:rPr>
              <w:t>c</w:t>
            </w:r>
            <w:r w:rsidR="00203EDC">
              <w:rPr>
                <w:lang w:eastAsia="en-GB"/>
              </w:rPr>
              <w:t>ould strengthen the co</w:t>
            </w:r>
            <w:r w:rsidR="001F2EC5">
              <w:rPr>
                <w:lang w:eastAsia="en-GB"/>
              </w:rPr>
              <w:t xml:space="preserve">ntract </w:t>
            </w:r>
            <w:r w:rsidR="0072294B">
              <w:rPr>
                <w:lang w:eastAsia="en-GB"/>
              </w:rPr>
              <w:t xml:space="preserve">content </w:t>
            </w:r>
            <w:r w:rsidR="001F2EC5">
              <w:rPr>
                <w:lang w:eastAsia="en-GB"/>
              </w:rPr>
              <w:t xml:space="preserve">and improve the extent </w:t>
            </w:r>
            <w:r w:rsidR="00D334C0">
              <w:t>Manat</w:t>
            </w:r>
            <w:r w:rsidR="00D334C0">
              <w:rPr>
                <w:rFonts w:cs="Calibri"/>
              </w:rPr>
              <w:t>ū</w:t>
            </w:r>
            <w:r w:rsidR="00D334C0">
              <w:t xml:space="preserve"> Hauora</w:t>
            </w:r>
            <w:r w:rsidR="001F2EC5">
              <w:rPr>
                <w:lang w:eastAsia="en-GB"/>
              </w:rPr>
              <w:t xml:space="preserve"> is meeting its obligations under </w:t>
            </w:r>
            <w:r w:rsidR="00E02595">
              <w:rPr>
                <w:lang w:eastAsia="en-GB"/>
              </w:rPr>
              <w:t>T</w:t>
            </w:r>
            <w:r w:rsidR="001F2EC5">
              <w:rPr>
                <w:lang w:eastAsia="en-GB"/>
              </w:rPr>
              <w:t>e Tiriti</w:t>
            </w:r>
            <w:r w:rsidR="00E02595">
              <w:rPr>
                <w:lang w:eastAsia="en-GB"/>
              </w:rPr>
              <w:t xml:space="preserve"> o Waitangi</w:t>
            </w:r>
            <w:r w:rsidR="001F2EC5">
              <w:rPr>
                <w:lang w:eastAsia="en-GB"/>
              </w:rPr>
              <w:t>.</w:t>
            </w:r>
          </w:p>
        </w:tc>
      </w:tr>
    </w:tbl>
    <w:p w14:paraId="1E9A2F71" w14:textId="77777777" w:rsidR="00BB1774" w:rsidRDefault="00BB1774" w:rsidP="00A16840">
      <w:pPr>
        <w:pStyle w:val="Heading2"/>
      </w:pPr>
      <w:bookmarkStart w:id="27" w:name="_Toc105853892"/>
      <w:r>
        <w:t>Equity and Te Tiriti o Waitangi</w:t>
      </w:r>
      <w:bookmarkEnd w:id="27"/>
    </w:p>
    <w:p w14:paraId="50B78DE9" w14:textId="79A49DB4" w:rsidR="00272CFE" w:rsidRDefault="00D334C0" w:rsidP="00BB1774">
      <w:bookmarkStart w:id="28" w:name="_Hlk104725771"/>
      <w:r>
        <w:t>Manat</w:t>
      </w:r>
      <w:r>
        <w:rPr>
          <w:rFonts w:cs="Calibri"/>
        </w:rPr>
        <w:t>ū</w:t>
      </w:r>
      <w:r>
        <w:t xml:space="preserve"> Hauora</w:t>
      </w:r>
      <w:r w:rsidR="008008D9">
        <w:t xml:space="preserve"> has </w:t>
      </w:r>
      <w:r w:rsidR="00BB1774">
        <w:t>obligations under Te Tiriti o Waitangi (Te Tiriti)</w:t>
      </w:r>
      <w:r w:rsidR="00F535BD">
        <w:t>. Meeting those obligations through the GPEP contract</w:t>
      </w:r>
      <w:r w:rsidR="00BB1774">
        <w:t xml:space="preserve"> is necessary if the Ministry is to realise the overall aims </w:t>
      </w:r>
      <w:proofErr w:type="gramStart"/>
      <w:r w:rsidR="00BB1774">
        <w:t>of</w:t>
      </w:r>
      <w:proofErr w:type="gramEnd"/>
      <w:r w:rsidR="00BB1774">
        <w:t xml:space="preserve"> He Korowai Oranga: Māori Health Strategy and achieve </w:t>
      </w:r>
      <w:r w:rsidR="00C7185E">
        <w:t xml:space="preserve">equitable </w:t>
      </w:r>
      <w:r w:rsidR="00BB1774">
        <w:t xml:space="preserve">outcomes for the health and disability system as a whole. </w:t>
      </w:r>
    </w:p>
    <w:bookmarkEnd w:id="28"/>
    <w:p w14:paraId="1C1ABFA5" w14:textId="09E03E90" w:rsidR="00BB1774" w:rsidRDefault="00C7185E" w:rsidP="00BB1774">
      <w:r>
        <w:t xml:space="preserve">The Ministry’s </w:t>
      </w:r>
      <w:r w:rsidR="00BB1774">
        <w:t xml:space="preserve">Te Tiriti obligations underpin </w:t>
      </w:r>
      <w:proofErr w:type="spellStart"/>
      <w:r w:rsidR="00BB1774" w:rsidRPr="004A2D78">
        <w:rPr>
          <w:i/>
          <w:iCs/>
        </w:rPr>
        <w:t>Whakamaua</w:t>
      </w:r>
      <w:proofErr w:type="spellEnd"/>
      <w:r w:rsidR="00BB1774" w:rsidRPr="004A2D78">
        <w:rPr>
          <w:i/>
          <w:iCs/>
        </w:rPr>
        <w:t>: Māori Health Action Plan</w:t>
      </w:r>
      <w:r w:rsidR="00BB1774">
        <w:t xml:space="preserve"> 2020–2025 which sets the government’s direction for Māori health advancement over the next five years.</w:t>
      </w:r>
      <w:r w:rsidR="00B7515B">
        <w:t xml:space="preserve"> The Ministry recognises that </w:t>
      </w:r>
      <w:r w:rsidR="00074CE8">
        <w:t>‘</w:t>
      </w:r>
      <w:r w:rsidR="00B7515B">
        <w:t xml:space="preserve">Equity recognises different people with different levels of advantage require different approaches and resources to get equitable health </w:t>
      </w:r>
      <w:proofErr w:type="gramStart"/>
      <w:r w:rsidR="00B7515B">
        <w:t>outcomes</w:t>
      </w:r>
      <w:r w:rsidR="00074CE8">
        <w:t>’</w:t>
      </w:r>
      <w:proofErr w:type="gramEnd"/>
      <w:r w:rsidR="00B7515B">
        <w:t>.</w:t>
      </w:r>
    </w:p>
    <w:p w14:paraId="57541A55" w14:textId="0461F39F" w:rsidR="00503D46" w:rsidRDefault="00503D46" w:rsidP="00BB1774">
      <w:proofErr w:type="spellStart"/>
      <w:r>
        <w:t>Whaka</w:t>
      </w:r>
      <w:r w:rsidR="00876045">
        <w:t>maua</w:t>
      </w:r>
      <w:proofErr w:type="spellEnd"/>
      <w:r w:rsidR="000E73B9">
        <w:t xml:space="preserve"> focus</w:t>
      </w:r>
      <w:r w:rsidR="002C118A">
        <w:t xml:space="preserve">es on four high-level outcomes </w:t>
      </w:r>
      <w:r w:rsidR="00D05800">
        <w:t xml:space="preserve">to realise the vision of </w:t>
      </w:r>
      <w:proofErr w:type="spellStart"/>
      <w:r w:rsidR="00D05800">
        <w:t>pae</w:t>
      </w:r>
      <w:proofErr w:type="spellEnd"/>
      <w:r w:rsidR="00D05800">
        <w:t xml:space="preserve"> </w:t>
      </w:r>
      <w:proofErr w:type="spellStart"/>
      <w:r w:rsidR="00D05800">
        <w:t>ora</w:t>
      </w:r>
      <w:proofErr w:type="spellEnd"/>
      <w:r w:rsidR="00BA1DFC">
        <w:rPr>
          <w:rStyle w:val="FootnoteReference"/>
        </w:rPr>
        <w:footnoteReference w:id="10"/>
      </w:r>
      <w:r w:rsidR="00D05800">
        <w:t>:</w:t>
      </w:r>
    </w:p>
    <w:p w14:paraId="4C7EFCD8" w14:textId="77777777" w:rsidR="00D05800" w:rsidRPr="00D05800" w:rsidRDefault="00D05800" w:rsidP="00D05800">
      <w:pPr>
        <w:pStyle w:val="Bulleted"/>
      </w:pPr>
      <w:r w:rsidRPr="00D05800">
        <w:lastRenderedPageBreak/>
        <w:t>Iwi, hapū, whānau and Māori communities can exercise their authority to improve their health and wellbeing. </w:t>
      </w:r>
    </w:p>
    <w:p w14:paraId="3EB6C056" w14:textId="77777777" w:rsidR="00D05800" w:rsidRPr="00D05800" w:rsidRDefault="00D05800" w:rsidP="00D05800">
      <w:pPr>
        <w:pStyle w:val="Bulleted"/>
      </w:pPr>
      <w:r w:rsidRPr="00D05800">
        <w:t xml:space="preserve">The health and disability system </w:t>
      </w:r>
      <w:proofErr w:type="gramStart"/>
      <w:r w:rsidRPr="00D05800">
        <w:t>is</w:t>
      </w:r>
      <w:proofErr w:type="gramEnd"/>
      <w:r w:rsidRPr="00D05800">
        <w:t xml:space="preserve"> fair and sustainable and delivers more equitable outcomes for Māori. </w:t>
      </w:r>
    </w:p>
    <w:p w14:paraId="03FD833B" w14:textId="77777777" w:rsidR="00D05800" w:rsidRPr="00D05800" w:rsidRDefault="00D05800" w:rsidP="00D05800">
      <w:pPr>
        <w:pStyle w:val="Bulleted"/>
      </w:pPr>
      <w:r w:rsidRPr="00D05800">
        <w:t>The health and disability system addresses racism and discrimination in all its forms. </w:t>
      </w:r>
    </w:p>
    <w:p w14:paraId="2FA015B3" w14:textId="77777777" w:rsidR="00D05800" w:rsidRPr="00D05800" w:rsidRDefault="00D05800" w:rsidP="00D05800">
      <w:pPr>
        <w:pStyle w:val="Bulleted"/>
      </w:pPr>
      <w:r w:rsidRPr="00D05800">
        <w:t xml:space="preserve">The inclusion and protection of </w:t>
      </w:r>
      <w:proofErr w:type="spellStart"/>
      <w:r w:rsidRPr="00D05800">
        <w:t>mātauranga</w:t>
      </w:r>
      <w:proofErr w:type="spellEnd"/>
      <w:r w:rsidRPr="00D05800">
        <w:t xml:space="preserve"> Māori throughout the health and disability system. </w:t>
      </w:r>
    </w:p>
    <w:p w14:paraId="50DA7594" w14:textId="19DFD900" w:rsidR="00E2444D" w:rsidRDefault="00E2444D" w:rsidP="00BB1774">
      <w:pPr>
        <w:rPr>
          <w:lang w:eastAsia="en-GB"/>
        </w:rPr>
      </w:pPr>
      <w:r w:rsidRPr="000251BD">
        <w:rPr>
          <w:i/>
          <w:iCs/>
          <w:lang w:eastAsia="en-GB"/>
        </w:rPr>
        <w:t xml:space="preserve">Ola </w:t>
      </w:r>
      <w:proofErr w:type="spellStart"/>
      <w:r w:rsidRPr="000251BD">
        <w:rPr>
          <w:i/>
          <w:iCs/>
          <w:lang w:eastAsia="en-GB"/>
        </w:rPr>
        <w:t>Manuia</w:t>
      </w:r>
      <w:proofErr w:type="spellEnd"/>
      <w:r w:rsidRPr="000251BD">
        <w:rPr>
          <w:i/>
          <w:iCs/>
          <w:lang w:eastAsia="en-GB"/>
        </w:rPr>
        <w:t>: The Pacific Health and Wellbeing Action Plan</w:t>
      </w:r>
      <w:r>
        <w:rPr>
          <w:rStyle w:val="FootnoteReference"/>
          <w:lang w:eastAsia="en-GB"/>
        </w:rPr>
        <w:footnoteReference w:id="11"/>
      </w:r>
      <w:r>
        <w:rPr>
          <w:lang w:eastAsia="en-GB"/>
        </w:rPr>
        <w:t xml:space="preserve"> is a tool for the health sector </w:t>
      </w:r>
      <w:r>
        <w:t xml:space="preserve">when they are planning and delivering health and disability services for Pacific peoples in Aotearoa New Zealand. It emphasises the need for a whole of government approach to achieving equitable health and wellbeing outcomes for Pacific </w:t>
      </w:r>
      <w:r w:rsidR="000251BD">
        <w:t>peoples.</w:t>
      </w:r>
    </w:p>
    <w:p w14:paraId="4936DC41" w14:textId="49EF2D0D" w:rsidR="00BB1774" w:rsidRDefault="006071BB" w:rsidP="00BB1774">
      <w:pPr>
        <w:rPr>
          <w:lang w:eastAsia="en-GB"/>
        </w:rPr>
      </w:pPr>
      <w:r>
        <w:rPr>
          <w:lang w:eastAsia="en-GB"/>
        </w:rPr>
        <w:t>Achieving t</w:t>
      </w:r>
      <w:r w:rsidR="00D05800">
        <w:rPr>
          <w:lang w:eastAsia="en-GB"/>
        </w:rPr>
        <w:t xml:space="preserve">he </w:t>
      </w:r>
      <w:proofErr w:type="spellStart"/>
      <w:r w:rsidR="00D05800" w:rsidRPr="000251BD">
        <w:rPr>
          <w:i/>
          <w:iCs/>
          <w:lang w:eastAsia="en-GB"/>
        </w:rPr>
        <w:t>Whakamaua</w:t>
      </w:r>
      <w:proofErr w:type="spellEnd"/>
      <w:r w:rsidR="005F6CB7">
        <w:rPr>
          <w:lang w:eastAsia="en-GB"/>
        </w:rPr>
        <w:t xml:space="preserve"> </w:t>
      </w:r>
      <w:r w:rsidR="00E2444D">
        <w:rPr>
          <w:lang w:eastAsia="en-GB"/>
        </w:rPr>
        <w:t xml:space="preserve">and </w:t>
      </w:r>
      <w:r w:rsidR="00E2444D" w:rsidRPr="000251BD">
        <w:rPr>
          <w:i/>
          <w:iCs/>
          <w:lang w:eastAsia="en-GB"/>
        </w:rPr>
        <w:t xml:space="preserve">Ola </w:t>
      </w:r>
      <w:proofErr w:type="spellStart"/>
      <w:r w:rsidR="00E2444D" w:rsidRPr="000251BD">
        <w:rPr>
          <w:i/>
          <w:iCs/>
          <w:lang w:eastAsia="en-GB"/>
        </w:rPr>
        <w:t>Manuia</w:t>
      </w:r>
      <w:proofErr w:type="spellEnd"/>
      <w:r w:rsidR="00E2444D">
        <w:rPr>
          <w:lang w:eastAsia="en-GB"/>
        </w:rPr>
        <w:t xml:space="preserve"> </w:t>
      </w:r>
      <w:r>
        <w:rPr>
          <w:lang w:eastAsia="en-GB"/>
        </w:rPr>
        <w:t xml:space="preserve">outcomes and </w:t>
      </w:r>
      <w:r w:rsidR="00D334C0">
        <w:t>Manat</w:t>
      </w:r>
      <w:r w:rsidR="00D334C0">
        <w:rPr>
          <w:rFonts w:cs="Calibri"/>
        </w:rPr>
        <w:t>ū</w:t>
      </w:r>
      <w:r w:rsidR="00D334C0">
        <w:t xml:space="preserve"> Hauora</w:t>
      </w:r>
      <w:r w:rsidR="003D6A77">
        <w:rPr>
          <w:lang w:eastAsia="en-GB"/>
        </w:rPr>
        <w:t xml:space="preserve"> obligations and aims provide context to the </w:t>
      </w:r>
      <w:r w:rsidR="00C7185E">
        <w:rPr>
          <w:lang w:eastAsia="en-GB"/>
        </w:rPr>
        <w:t>GPEP review</w:t>
      </w:r>
      <w:r w:rsidR="003D6A77">
        <w:rPr>
          <w:lang w:eastAsia="en-GB"/>
        </w:rPr>
        <w:t xml:space="preserve"> and must be considered in </w:t>
      </w:r>
      <w:r w:rsidR="00D10D8F">
        <w:rPr>
          <w:lang w:eastAsia="en-GB"/>
        </w:rPr>
        <w:t xml:space="preserve">the Ministry and College’s response to the review </w:t>
      </w:r>
      <w:r w:rsidR="00C7185E">
        <w:rPr>
          <w:lang w:eastAsia="en-GB"/>
        </w:rPr>
        <w:t>findings and recommendations</w:t>
      </w:r>
      <w:r w:rsidR="00D10D8F">
        <w:rPr>
          <w:lang w:eastAsia="en-GB"/>
        </w:rPr>
        <w:t>.</w:t>
      </w:r>
      <w:r w:rsidR="00F0413B">
        <w:rPr>
          <w:lang w:eastAsia="en-GB"/>
        </w:rPr>
        <w:t xml:space="preserve"> Equity must be reflected in the GPEP funding model, the employment model and in training placements</w:t>
      </w:r>
      <w:r w:rsidR="006E24ED">
        <w:rPr>
          <w:rStyle w:val="FootnoteReference"/>
          <w:lang w:eastAsia="en-GB"/>
        </w:rPr>
        <w:footnoteReference w:id="12"/>
      </w:r>
      <w:r w:rsidR="00F0413B">
        <w:rPr>
          <w:lang w:eastAsia="en-GB"/>
        </w:rPr>
        <w:t>.</w:t>
      </w:r>
    </w:p>
    <w:p w14:paraId="664548BD" w14:textId="77777777" w:rsidR="000A0E58" w:rsidRPr="00CB5526" w:rsidRDefault="000A0E58" w:rsidP="00A16840">
      <w:pPr>
        <w:pStyle w:val="Heading2"/>
      </w:pPr>
      <w:bookmarkStart w:id="29" w:name="_Toc105853893"/>
      <w:r w:rsidRPr="00CB5526">
        <w:t>The GPEP contract</w:t>
      </w:r>
      <w:bookmarkEnd w:id="29"/>
    </w:p>
    <w:p w14:paraId="40F97ADC" w14:textId="2D62F7C7" w:rsidR="000A0E58" w:rsidRPr="00F035F1" w:rsidRDefault="000A0E58" w:rsidP="00F035F1">
      <w:pPr>
        <w:rPr>
          <w:rFonts w:eastAsiaTheme="minorHAnsi"/>
        </w:rPr>
      </w:pPr>
      <w:r w:rsidRPr="00F035F1">
        <w:rPr>
          <w:rFonts w:eastAsiaTheme="minorHAnsi"/>
        </w:rPr>
        <w:t xml:space="preserve">The </w:t>
      </w:r>
      <w:r w:rsidR="00EC6A09" w:rsidRPr="00F035F1">
        <w:rPr>
          <w:rFonts w:eastAsiaTheme="minorHAnsi"/>
        </w:rPr>
        <w:t xml:space="preserve">2021 </w:t>
      </w:r>
      <w:r w:rsidRPr="00F035F1">
        <w:rPr>
          <w:rFonts w:eastAsiaTheme="minorHAnsi"/>
        </w:rPr>
        <w:t xml:space="preserve">GPEP contract </w:t>
      </w:r>
      <w:r w:rsidR="0072294B" w:rsidRPr="00F035F1">
        <w:rPr>
          <w:rFonts w:eastAsiaTheme="minorHAnsi"/>
        </w:rPr>
        <w:t xml:space="preserve">is </w:t>
      </w:r>
      <w:r w:rsidRPr="00F035F1">
        <w:rPr>
          <w:rFonts w:eastAsiaTheme="minorHAnsi"/>
        </w:rPr>
        <w:t>comprise</w:t>
      </w:r>
      <w:r w:rsidR="0072294B" w:rsidRPr="00F035F1">
        <w:rPr>
          <w:rFonts w:eastAsiaTheme="minorHAnsi"/>
        </w:rPr>
        <w:t>d</w:t>
      </w:r>
      <w:r w:rsidRPr="00F035F1">
        <w:rPr>
          <w:rFonts w:eastAsiaTheme="minorHAnsi"/>
        </w:rPr>
        <w:t xml:space="preserve"> of four components:</w:t>
      </w:r>
    </w:p>
    <w:p w14:paraId="19450E3A" w14:textId="6C58B3BE" w:rsidR="00D6656D" w:rsidRPr="00F035F1" w:rsidRDefault="00D6656D" w:rsidP="00F035F1">
      <w:pPr>
        <w:pStyle w:val="Bulleted"/>
      </w:pPr>
      <w:r w:rsidRPr="00F035F1">
        <w:t>Component 1: Salaries and direct costs</w:t>
      </w:r>
      <w:r w:rsidR="00875564" w:rsidRPr="00F035F1">
        <w:t xml:space="preserve">. As more registrars move to practice employment the registrar salary costs to the College and </w:t>
      </w:r>
      <w:r w:rsidR="00D334C0" w:rsidRPr="00F035F1">
        <w:t>Manatū Hauora</w:t>
      </w:r>
      <w:r w:rsidR="00875564" w:rsidRPr="00F035F1">
        <w:t xml:space="preserve"> decrease.</w:t>
      </w:r>
    </w:p>
    <w:p w14:paraId="3ABB9786" w14:textId="5A3C315C" w:rsidR="00EC6A09" w:rsidRPr="00F035F1" w:rsidRDefault="00EC6A09" w:rsidP="00F035F1">
      <w:r w:rsidRPr="00F035F1">
        <w:t>Components 2, 3 and 4 are the operational components of the contract</w:t>
      </w:r>
      <w:r w:rsidR="00F035F1">
        <w:rPr>
          <w:rStyle w:val="FootnoteReference"/>
        </w:rPr>
        <w:footnoteReference w:id="13"/>
      </w:r>
    </w:p>
    <w:p w14:paraId="093F9958" w14:textId="3145A768" w:rsidR="00D6656D" w:rsidRPr="00F035F1" w:rsidRDefault="00D6656D" w:rsidP="00F035F1">
      <w:pPr>
        <w:pStyle w:val="Bulleted"/>
      </w:pPr>
      <w:r w:rsidRPr="00F035F1">
        <w:t xml:space="preserve">Component 2: </w:t>
      </w:r>
      <w:r w:rsidR="00EC6A09" w:rsidRPr="00F035F1">
        <w:t xml:space="preserve">Programme delivery. </w:t>
      </w:r>
      <w:r w:rsidRPr="00F035F1">
        <w:t>College training and admin</w:t>
      </w:r>
      <w:r w:rsidR="00F035F1">
        <w:t>istration</w:t>
      </w:r>
      <w:r w:rsidRPr="00F035F1">
        <w:t xml:space="preserve"> cost to deliver the programme</w:t>
      </w:r>
      <w:r w:rsidR="00223155" w:rsidRPr="00F035F1">
        <w:t xml:space="preserve"> including all the costs associated with Medical Educators and Fellow</w:t>
      </w:r>
      <w:r w:rsidR="0016065D" w:rsidRPr="00F035F1">
        <w:t>s</w:t>
      </w:r>
      <w:r w:rsidR="000C43D9" w:rsidRPr="00F035F1">
        <w:t>.</w:t>
      </w:r>
      <w:r w:rsidR="00F035F1" w:rsidRPr="00F035F1">
        <w:t xml:space="preserve"> </w:t>
      </w:r>
      <w:r w:rsidR="00F035F1" w:rsidRPr="00F035F1">
        <w:rPr>
          <w:rStyle w:val="cf01"/>
          <w:rFonts w:ascii="Calibri" w:hAnsi="Calibri" w:cs="Times New Roman"/>
          <w:sz w:val="22"/>
          <w:szCs w:val="22"/>
        </w:rPr>
        <w:t xml:space="preserve">This component also includes funding to support </w:t>
      </w:r>
      <w:r w:rsidR="00F035F1" w:rsidRPr="00F035F1">
        <w:rPr>
          <w:rStyle w:val="cf01"/>
          <w:rFonts w:ascii="Calibri" w:hAnsi="Calibri" w:cs="Times New Roman"/>
          <w:sz w:val="22"/>
          <w:szCs w:val="22"/>
        </w:rPr>
        <w:lastRenderedPageBreak/>
        <w:t xml:space="preserve">equity and cultural safety for GP trainees </w:t>
      </w:r>
      <w:proofErr w:type="gramStart"/>
      <w:r w:rsidR="00F035F1" w:rsidRPr="00F035F1">
        <w:rPr>
          <w:rStyle w:val="cf01"/>
          <w:rFonts w:ascii="Calibri" w:hAnsi="Calibri" w:cs="Times New Roman"/>
          <w:sz w:val="22"/>
          <w:szCs w:val="22"/>
        </w:rPr>
        <w:t>e</w:t>
      </w:r>
      <w:r w:rsidR="00F035F1">
        <w:rPr>
          <w:rStyle w:val="cf01"/>
          <w:rFonts w:ascii="Calibri" w:hAnsi="Calibri" w:cs="Times New Roman"/>
          <w:sz w:val="22"/>
          <w:szCs w:val="22"/>
        </w:rPr>
        <w:t>.</w:t>
      </w:r>
      <w:r w:rsidR="00F035F1" w:rsidRPr="00F035F1">
        <w:rPr>
          <w:rStyle w:val="cf01"/>
          <w:rFonts w:ascii="Calibri" w:hAnsi="Calibri" w:cs="Times New Roman"/>
          <w:sz w:val="22"/>
          <w:szCs w:val="22"/>
        </w:rPr>
        <w:t>g.</w:t>
      </w:r>
      <w:proofErr w:type="gramEnd"/>
      <w:r w:rsidR="00F035F1" w:rsidRPr="00F035F1">
        <w:rPr>
          <w:rStyle w:val="cf01"/>
          <w:rFonts w:ascii="Calibri" w:hAnsi="Calibri" w:cs="Times New Roman"/>
          <w:sz w:val="22"/>
          <w:szCs w:val="22"/>
        </w:rPr>
        <w:t xml:space="preserve"> Te </w:t>
      </w:r>
      <w:proofErr w:type="spellStart"/>
      <w:r w:rsidR="00F035F1" w:rsidRPr="00F035F1">
        <w:rPr>
          <w:rStyle w:val="cf01"/>
          <w:rFonts w:ascii="Calibri" w:hAnsi="Calibri" w:cs="Times New Roman"/>
          <w:sz w:val="22"/>
          <w:szCs w:val="22"/>
        </w:rPr>
        <w:t>Ahunga</w:t>
      </w:r>
      <w:proofErr w:type="spellEnd"/>
      <w:r w:rsidR="00F035F1" w:rsidRPr="00F035F1">
        <w:rPr>
          <w:rStyle w:val="cf01"/>
          <w:rFonts w:ascii="Calibri" w:hAnsi="Calibri" w:cs="Times New Roman"/>
          <w:sz w:val="22"/>
          <w:szCs w:val="22"/>
        </w:rPr>
        <w:t xml:space="preserve"> programme, MIHI501 course costs for educators</w:t>
      </w:r>
      <w:r w:rsidR="000C43D9" w:rsidRPr="00F035F1">
        <w:t xml:space="preserve"> </w:t>
      </w:r>
      <w:r w:rsidR="00E1539F" w:rsidRPr="00F035F1">
        <w:t>–</w:t>
      </w:r>
      <w:r w:rsidR="002E0924" w:rsidRPr="00F035F1">
        <w:t xml:space="preserve"> </w:t>
      </w:r>
      <w:r w:rsidR="00EC6A09" w:rsidRPr="00F035F1">
        <w:t xml:space="preserve">93% </w:t>
      </w:r>
      <w:r w:rsidR="00E1539F" w:rsidRPr="00F035F1">
        <w:t xml:space="preserve">% of </w:t>
      </w:r>
      <w:r w:rsidR="00EC6A09" w:rsidRPr="00F035F1">
        <w:t>operational component of the contract</w:t>
      </w:r>
      <w:r w:rsidR="00EA2EA3" w:rsidRPr="00F035F1">
        <w:t>.</w:t>
      </w:r>
      <w:r w:rsidRPr="00F035F1">
        <w:t xml:space="preserve"> </w:t>
      </w:r>
    </w:p>
    <w:p w14:paraId="289ECD25" w14:textId="0446659A" w:rsidR="00EA2EA3" w:rsidRDefault="00D6656D" w:rsidP="00EA2EA3">
      <w:pPr>
        <w:pStyle w:val="Bulleted"/>
        <w:rPr>
          <w:lang w:eastAsia="en-GB"/>
        </w:rPr>
      </w:pPr>
      <w:r w:rsidRPr="00D6656D">
        <w:t xml:space="preserve">Component 3: </w:t>
      </w:r>
      <w:r w:rsidR="00EC6A09">
        <w:t xml:space="preserve">Māori and Pacific Health. </w:t>
      </w:r>
      <w:r w:rsidR="00F035F1">
        <w:t>Specific funding to</w:t>
      </w:r>
      <w:r w:rsidR="005A0A00">
        <w:t xml:space="preserve"> support </w:t>
      </w:r>
      <w:r w:rsidR="000C43D9">
        <w:t xml:space="preserve">and mentor </w:t>
      </w:r>
      <w:r w:rsidR="005A0A00">
        <w:t xml:space="preserve">Māori and Pacific registrars </w:t>
      </w:r>
      <w:r w:rsidRPr="00D6656D">
        <w:t>–</w:t>
      </w:r>
      <w:r w:rsidR="002E0924">
        <w:t xml:space="preserve"> </w:t>
      </w:r>
      <w:r w:rsidR="00EC6A09">
        <w:t>2</w:t>
      </w:r>
      <w:r w:rsidR="00E1539F">
        <w:t xml:space="preserve">% of </w:t>
      </w:r>
      <w:r w:rsidR="00EC6A09">
        <w:t>the operational component of the contract</w:t>
      </w:r>
      <w:r w:rsidR="00EA2EA3">
        <w:t xml:space="preserve">. </w:t>
      </w:r>
    </w:p>
    <w:p w14:paraId="6F245D2A" w14:textId="0EE4913F" w:rsidR="00EC6A09" w:rsidRPr="00D6656D" w:rsidRDefault="00EC6A09" w:rsidP="008E51C6">
      <w:pPr>
        <w:pStyle w:val="Bulleted"/>
      </w:pPr>
      <w:r w:rsidRPr="00D6656D">
        <w:t xml:space="preserve"> </w:t>
      </w:r>
      <w:r w:rsidR="00D6656D" w:rsidRPr="00D6656D">
        <w:t xml:space="preserve">Component 4: GPEP 2/3 and beyond </w:t>
      </w:r>
      <w:r w:rsidR="00E1539F">
        <w:t>–</w:t>
      </w:r>
      <w:r w:rsidR="002E0924">
        <w:t xml:space="preserve"> </w:t>
      </w:r>
      <w:r>
        <w:t>6</w:t>
      </w:r>
      <w:r w:rsidR="00E1539F">
        <w:t xml:space="preserve">% of </w:t>
      </w:r>
      <w:r>
        <w:t>the operational component of the contract</w:t>
      </w:r>
      <w:r w:rsidR="00EA2EA3">
        <w:t>.</w:t>
      </w:r>
      <w:r w:rsidRPr="00D6656D">
        <w:t xml:space="preserve"> </w:t>
      </w:r>
    </w:p>
    <w:p w14:paraId="023D70B4" w14:textId="2DBC6A76" w:rsidR="000A0E58" w:rsidRDefault="000A0E58" w:rsidP="000A0E58">
      <w:pPr>
        <w:rPr>
          <w:rFonts w:eastAsiaTheme="minorHAnsi"/>
        </w:rPr>
      </w:pPr>
      <w:r>
        <w:rPr>
          <w:rFonts w:eastAsiaTheme="minorHAnsi"/>
        </w:rPr>
        <w:t xml:space="preserve">The </w:t>
      </w:r>
      <w:r w:rsidR="00EA2EA3">
        <w:rPr>
          <w:rFonts w:eastAsiaTheme="minorHAnsi"/>
        </w:rPr>
        <w:t xml:space="preserve">College </w:t>
      </w:r>
      <w:r>
        <w:rPr>
          <w:rFonts w:eastAsiaTheme="minorHAnsi"/>
        </w:rPr>
        <w:t>reports separately on each contract component</w:t>
      </w:r>
      <w:r w:rsidR="009E483B">
        <w:rPr>
          <w:rFonts w:eastAsiaTheme="minorHAnsi"/>
        </w:rPr>
        <w:t xml:space="preserve">. In </w:t>
      </w:r>
      <w:r w:rsidR="002A5459">
        <w:rPr>
          <w:rFonts w:eastAsiaTheme="minorHAnsi"/>
        </w:rPr>
        <w:t>principle,</w:t>
      </w:r>
      <w:r>
        <w:rPr>
          <w:rFonts w:eastAsiaTheme="minorHAnsi"/>
        </w:rPr>
        <w:t xml:space="preserve"> money cannot be shifted between the different components</w:t>
      </w:r>
      <w:r w:rsidR="00FA4AC0">
        <w:rPr>
          <w:rFonts w:eastAsiaTheme="minorHAnsi"/>
        </w:rPr>
        <w:t xml:space="preserve"> except by mutual agreement with MOH</w:t>
      </w:r>
      <w:r>
        <w:rPr>
          <w:rFonts w:eastAsiaTheme="minorHAnsi"/>
        </w:rPr>
        <w:t>.</w:t>
      </w:r>
      <w:r w:rsidR="00CB48DA">
        <w:rPr>
          <w:rFonts w:eastAsiaTheme="minorHAnsi"/>
        </w:rPr>
        <w:t xml:space="preserve"> Overspend in </w:t>
      </w:r>
      <w:r w:rsidR="009A3366">
        <w:rPr>
          <w:rFonts w:eastAsiaTheme="minorHAnsi"/>
        </w:rPr>
        <w:t xml:space="preserve">any of the contract components </w:t>
      </w:r>
      <w:r w:rsidR="009E4B05">
        <w:rPr>
          <w:rFonts w:eastAsiaTheme="minorHAnsi"/>
        </w:rPr>
        <w:t>is</w:t>
      </w:r>
      <w:r w:rsidR="009A3366">
        <w:rPr>
          <w:rFonts w:eastAsiaTheme="minorHAnsi"/>
        </w:rPr>
        <w:t xml:space="preserve"> covered by </w:t>
      </w:r>
      <w:r w:rsidR="00E609C9">
        <w:rPr>
          <w:rFonts w:eastAsiaTheme="minorHAnsi"/>
        </w:rPr>
        <w:t>the</w:t>
      </w:r>
      <w:r w:rsidR="009A3366">
        <w:rPr>
          <w:rFonts w:eastAsiaTheme="minorHAnsi"/>
        </w:rPr>
        <w:t xml:space="preserve"> College and underspend returned to </w:t>
      </w:r>
      <w:r w:rsidR="00E609C9">
        <w:rPr>
          <w:rFonts w:eastAsiaTheme="minorHAnsi"/>
        </w:rPr>
        <w:t>MOH.</w:t>
      </w:r>
    </w:p>
    <w:p w14:paraId="0A195DC5" w14:textId="13954FCF" w:rsidR="000A0E58" w:rsidRDefault="000A0E58" w:rsidP="000A0E58">
      <w:pPr>
        <w:pStyle w:val="Quotes"/>
        <w:rPr>
          <w:rFonts w:eastAsiaTheme="minorHAnsi"/>
        </w:rPr>
      </w:pPr>
      <w:r>
        <w:t>From a College perspective there is a lot that goes into balancing the components. If I overspend on component 3 the College has to pay that, and we have no funding</w:t>
      </w:r>
      <w:r w:rsidR="0088217E">
        <w:t xml:space="preserve"> …</w:t>
      </w:r>
      <w:r>
        <w:t xml:space="preserve"> (RNZCGP)</w:t>
      </w:r>
    </w:p>
    <w:p w14:paraId="0A2F00C6" w14:textId="77777777" w:rsidR="000A0E58" w:rsidRPr="00CB5526" w:rsidRDefault="000A0E58" w:rsidP="00A16840">
      <w:pPr>
        <w:pStyle w:val="Heading2"/>
      </w:pPr>
      <w:bookmarkStart w:id="30" w:name="_Toc105853894"/>
      <w:r w:rsidRPr="00CB5526">
        <w:t>The contracting process</w:t>
      </w:r>
      <w:bookmarkEnd w:id="30"/>
    </w:p>
    <w:p w14:paraId="77395AAE" w14:textId="1F06F11D" w:rsidR="000A0E58" w:rsidRDefault="00643264" w:rsidP="000A0E58">
      <w:pPr>
        <w:rPr>
          <w:rFonts w:eastAsiaTheme="minorHAnsi"/>
        </w:rPr>
      </w:pPr>
      <w:r>
        <w:rPr>
          <w:rFonts w:eastAsiaTheme="minorHAnsi"/>
        </w:rPr>
        <w:t>The GPEP contract is</w:t>
      </w:r>
      <w:r w:rsidR="000A0E58" w:rsidRPr="00CB5526">
        <w:rPr>
          <w:rFonts w:eastAsiaTheme="minorHAnsi"/>
        </w:rPr>
        <w:t xml:space="preserve"> negotiated </w:t>
      </w:r>
      <w:r w:rsidR="00211FB0">
        <w:rPr>
          <w:rFonts w:eastAsiaTheme="minorHAnsi"/>
        </w:rPr>
        <w:t xml:space="preserve">annually </w:t>
      </w:r>
      <w:r w:rsidR="000A0E58" w:rsidRPr="00CB5526">
        <w:rPr>
          <w:rFonts w:eastAsiaTheme="minorHAnsi"/>
        </w:rPr>
        <w:t>between Health Workforce New Zealand and RNZCGP.</w:t>
      </w:r>
      <w:r>
        <w:rPr>
          <w:rFonts w:eastAsiaTheme="minorHAnsi"/>
        </w:rPr>
        <w:t xml:space="preserve"> In the future the negotiation will be between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2E0B7D">
        <w:rPr>
          <w:lang w:eastAsia="en-GB"/>
        </w:rPr>
        <w:t xml:space="preserve"> </w:t>
      </w:r>
      <w:r>
        <w:rPr>
          <w:rFonts w:eastAsiaTheme="minorHAnsi"/>
        </w:rPr>
        <w:t>and the College.</w:t>
      </w:r>
      <w:r w:rsidR="002E0B7D">
        <w:rPr>
          <w:rFonts w:eastAsiaTheme="minorHAnsi"/>
        </w:rPr>
        <w:t xml:space="preserve"> </w:t>
      </w:r>
      <w:r>
        <w:rPr>
          <w:rFonts w:eastAsiaTheme="minorHAnsi"/>
        </w:rPr>
        <w:t>There is no</w:t>
      </w:r>
      <w:r w:rsidR="000A0E58" w:rsidRPr="00CB5526">
        <w:rPr>
          <w:rFonts w:eastAsiaTheme="minorHAnsi"/>
        </w:rPr>
        <w:t xml:space="preserve"> input from other </w:t>
      </w:r>
      <w:r w:rsidR="00D334C0">
        <w:t>Manat</w:t>
      </w:r>
      <w:r w:rsidR="00D334C0">
        <w:rPr>
          <w:rFonts w:cs="Calibri"/>
        </w:rPr>
        <w:t>ū</w:t>
      </w:r>
      <w:r w:rsidR="00D334C0">
        <w:t xml:space="preserve"> Hauora</w:t>
      </w:r>
      <w:r w:rsidR="000A0E58" w:rsidRPr="00CB5526">
        <w:rPr>
          <w:rFonts w:eastAsiaTheme="minorHAnsi"/>
        </w:rPr>
        <w:t xml:space="preserve"> directorates including primary care, the </w:t>
      </w:r>
      <w:proofErr w:type="gramStart"/>
      <w:r w:rsidR="000A0E58" w:rsidRPr="00CB5526">
        <w:rPr>
          <w:rFonts w:eastAsiaTheme="minorHAnsi"/>
        </w:rPr>
        <w:t>Māori</w:t>
      </w:r>
      <w:proofErr w:type="gramEnd"/>
      <w:r w:rsidR="000A0E58" w:rsidRPr="00CB5526">
        <w:rPr>
          <w:rFonts w:eastAsiaTheme="minorHAnsi"/>
        </w:rPr>
        <w:t xml:space="preserve"> and Pacific Directorates.</w:t>
      </w:r>
    </w:p>
    <w:p w14:paraId="57ABA686" w14:textId="2C2897FC" w:rsidR="0009169C" w:rsidRDefault="0009169C" w:rsidP="000A0E58">
      <w:pPr>
        <w:rPr>
          <w:rFonts w:eastAsiaTheme="minorHAnsi"/>
        </w:rPr>
      </w:pPr>
      <w:r>
        <w:rPr>
          <w:rFonts w:eastAsiaTheme="minorHAnsi"/>
        </w:rPr>
        <w:t xml:space="preserve">The </w:t>
      </w:r>
      <w:r w:rsidR="00DA1491">
        <w:rPr>
          <w:rFonts w:eastAsiaTheme="minorHAnsi"/>
        </w:rPr>
        <w:t xml:space="preserve">College negotiate </w:t>
      </w:r>
      <w:r>
        <w:rPr>
          <w:rFonts w:eastAsiaTheme="minorHAnsi"/>
        </w:rPr>
        <w:t>registrar salar</w:t>
      </w:r>
      <w:r w:rsidR="00DA1491">
        <w:rPr>
          <w:rFonts w:eastAsiaTheme="minorHAnsi"/>
        </w:rPr>
        <w:t xml:space="preserve">ies based on a funding envelope agreed with the Ministry. </w:t>
      </w:r>
    </w:p>
    <w:p w14:paraId="55CA46BA" w14:textId="77777777" w:rsidR="00834462" w:rsidRDefault="00834462" w:rsidP="000A0E58">
      <w:pPr>
        <w:rPr>
          <w:rFonts w:eastAsiaTheme="minorHAnsi"/>
        </w:rPr>
      </w:pPr>
    </w:p>
    <w:p w14:paraId="6BC26840" w14:textId="2B4C6101" w:rsidR="00A07D7B" w:rsidRPr="00FD199C" w:rsidRDefault="00A07D7B" w:rsidP="002B0CCF">
      <w:pPr>
        <w:pStyle w:val="MalaHeading1"/>
      </w:pPr>
      <w:bookmarkStart w:id="31" w:name="_Toc105853895"/>
      <w:r w:rsidRPr="00FD199C">
        <w:lastRenderedPageBreak/>
        <w:t>Registrar selection of general practice as a vocation</w:t>
      </w:r>
      <w:bookmarkEnd w:id="31"/>
    </w:p>
    <w:tbl>
      <w:tblPr>
        <w:tblStyle w:val="MITableClassic"/>
        <w:tblW w:w="7797" w:type="dxa"/>
        <w:tblLook w:val="04A0" w:firstRow="1" w:lastRow="0" w:firstColumn="1" w:lastColumn="0" w:noHBand="0" w:noVBand="1"/>
      </w:tblPr>
      <w:tblGrid>
        <w:gridCol w:w="7797"/>
      </w:tblGrid>
      <w:tr w:rsidR="0088217E" w14:paraId="2E98F9D0" w14:textId="77777777" w:rsidTr="009D34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7" w:type="dxa"/>
          </w:tcPr>
          <w:p w14:paraId="1C66CB7B" w14:textId="77777777" w:rsidR="0088217E" w:rsidRDefault="0088217E" w:rsidP="009D3403">
            <w:pPr>
              <w:spacing w:before="0" w:after="0"/>
              <w:rPr>
                <w:lang w:eastAsia="en-GB"/>
              </w:rPr>
            </w:pPr>
            <w:r>
              <w:rPr>
                <w:lang w:eastAsia="en-GB"/>
              </w:rPr>
              <w:t>Key messages</w:t>
            </w:r>
          </w:p>
        </w:tc>
      </w:tr>
      <w:tr w:rsidR="0088217E" w14:paraId="6CEFBC1C" w14:textId="77777777" w:rsidTr="009D3403">
        <w:tc>
          <w:tcPr>
            <w:cnfStyle w:val="001000000000" w:firstRow="0" w:lastRow="0" w:firstColumn="1" w:lastColumn="0" w:oddVBand="0" w:evenVBand="0" w:oddHBand="0" w:evenHBand="0" w:firstRowFirstColumn="0" w:firstRowLastColumn="0" w:lastRowFirstColumn="0" w:lastRowLastColumn="0"/>
            <w:tcW w:w="7797" w:type="dxa"/>
          </w:tcPr>
          <w:p w14:paraId="43299667" w14:textId="06F290E3" w:rsidR="0088217E" w:rsidRDefault="00B563FD" w:rsidP="009D3403">
            <w:pPr>
              <w:rPr>
                <w:lang w:eastAsia="en-GB"/>
              </w:rPr>
            </w:pPr>
            <w:bookmarkStart w:id="32" w:name="_Hlk104725814"/>
            <w:r>
              <w:rPr>
                <w:lang w:eastAsia="en-GB"/>
              </w:rPr>
              <w:t>The</w:t>
            </w:r>
            <w:r w:rsidR="007F70E0">
              <w:rPr>
                <w:lang w:eastAsia="en-GB"/>
              </w:rPr>
              <w:t xml:space="preserve"> flexibility and ability to train part-time is an important incentive for participation in GPEP</w:t>
            </w:r>
            <w:r w:rsidR="00E62FAD">
              <w:rPr>
                <w:lang w:eastAsia="en-GB"/>
              </w:rPr>
              <w:t>.</w:t>
            </w:r>
          </w:p>
          <w:p w14:paraId="09900DCD" w14:textId="7C44EFFE" w:rsidR="007F70E0" w:rsidRDefault="00715325" w:rsidP="009D3403">
            <w:pPr>
              <w:rPr>
                <w:lang w:eastAsia="en-GB"/>
              </w:rPr>
            </w:pPr>
            <w:bookmarkStart w:id="33" w:name="_Hlk104725823"/>
            <w:bookmarkEnd w:id="32"/>
            <w:r>
              <w:rPr>
                <w:lang w:eastAsia="en-GB"/>
              </w:rPr>
              <w:t xml:space="preserve">Although base salaries </w:t>
            </w:r>
            <w:r w:rsidR="00E45494">
              <w:rPr>
                <w:lang w:eastAsia="en-GB"/>
              </w:rPr>
              <w:t xml:space="preserve">may appear </w:t>
            </w:r>
            <w:r>
              <w:rPr>
                <w:lang w:eastAsia="en-GB"/>
              </w:rPr>
              <w:t>simila</w:t>
            </w:r>
            <w:r w:rsidR="000E3968">
              <w:rPr>
                <w:lang w:eastAsia="en-GB"/>
              </w:rPr>
              <w:t>r</w:t>
            </w:r>
            <w:r w:rsidR="00E55CCC">
              <w:rPr>
                <w:lang w:eastAsia="en-GB"/>
              </w:rPr>
              <w:t>,</w:t>
            </w:r>
            <w:r w:rsidR="00F7077A">
              <w:rPr>
                <w:lang w:eastAsia="en-GB"/>
              </w:rPr>
              <w:t xml:space="preserve"> the terms and conditions and the employment category </w:t>
            </w:r>
            <w:r w:rsidR="00E45494">
              <w:rPr>
                <w:lang w:eastAsia="en-GB"/>
              </w:rPr>
              <w:t xml:space="preserve">effectively </w:t>
            </w:r>
            <w:r w:rsidR="00F7077A">
              <w:rPr>
                <w:lang w:eastAsia="en-GB"/>
              </w:rPr>
              <w:t xml:space="preserve">result in </w:t>
            </w:r>
            <w:r w:rsidR="00A6387A">
              <w:rPr>
                <w:lang w:eastAsia="en-GB"/>
              </w:rPr>
              <w:t xml:space="preserve">lower </w:t>
            </w:r>
            <w:r w:rsidR="00B22FD1">
              <w:rPr>
                <w:lang w:eastAsia="en-GB"/>
              </w:rPr>
              <w:t xml:space="preserve">incomes for </w:t>
            </w:r>
            <w:proofErr w:type="gramStart"/>
            <w:r w:rsidR="00B22FD1">
              <w:rPr>
                <w:lang w:eastAsia="en-GB"/>
              </w:rPr>
              <w:t>College</w:t>
            </w:r>
            <w:proofErr w:type="gramEnd"/>
            <w:r w:rsidR="00B22FD1">
              <w:rPr>
                <w:lang w:eastAsia="en-GB"/>
              </w:rPr>
              <w:t xml:space="preserve"> employed GPEP 1 registrars</w:t>
            </w:r>
            <w:r w:rsidR="00E45494">
              <w:rPr>
                <w:lang w:eastAsia="en-GB"/>
              </w:rPr>
              <w:t xml:space="preserve"> than hospital</w:t>
            </w:r>
            <w:r w:rsidR="0079306B">
              <w:rPr>
                <w:lang w:eastAsia="en-GB"/>
              </w:rPr>
              <w:t>-</w:t>
            </w:r>
            <w:r w:rsidR="00E45494">
              <w:rPr>
                <w:lang w:eastAsia="en-GB"/>
              </w:rPr>
              <w:t>based registrars</w:t>
            </w:r>
            <w:r w:rsidR="00B22FD1">
              <w:rPr>
                <w:lang w:eastAsia="en-GB"/>
              </w:rPr>
              <w:t>.</w:t>
            </w:r>
            <w:r w:rsidR="00023D1A">
              <w:rPr>
                <w:lang w:eastAsia="en-GB"/>
              </w:rPr>
              <w:t xml:space="preserve"> </w:t>
            </w:r>
            <w:r w:rsidR="00E45494">
              <w:rPr>
                <w:lang w:eastAsia="en-GB"/>
              </w:rPr>
              <w:t>I</w:t>
            </w:r>
            <w:r w:rsidR="00023D1A">
              <w:rPr>
                <w:lang w:eastAsia="en-GB"/>
              </w:rPr>
              <w:t>n DHB settings re</w:t>
            </w:r>
            <w:r w:rsidR="00B94BE5">
              <w:rPr>
                <w:lang w:eastAsia="en-GB"/>
              </w:rPr>
              <w:t xml:space="preserve">gistrars </w:t>
            </w:r>
            <w:r w:rsidR="00E45494">
              <w:rPr>
                <w:lang w:eastAsia="en-GB"/>
              </w:rPr>
              <w:t xml:space="preserve">also </w:t>
            </w:r>
            <w:r w:rsidR="00B94BE5">
              <w:rPr>
                <w:lang w:eastAsia="en-GB"/>
              </w:rPr>
              <w:t>have opportunities to bolster their incomes through overtime payments.</w:t>
            </w:r>
            <w:r w:rsidR="00F01657">
              <w:rPr>
                <w:lang w:eastAsia="en-GB"/>
              </w:rPr>
              <w:t xml:space="preserve"> Th</w:t>
            </w:r>
            <w:r w:rsidR="00E45494">
              <w:rPr>
                <w:lang w:eastAsia="en-GB"/>
              </w:rPr>
              <w:t xml:space="preserve">is difference in income between general practice and </w:t>
            </w:r>
            <w:r w:rsidR="0079306B">
              <w:rPr>
                <w:lang w:eastAsia="en-GB"/>
              </w:rPr>
              <w:t>hospital-based</w:t>
            </w:r>
            <w:r w:rsidR="00E45494">
              <w:rPr>
                <w:lang w:eastAsia="en-GB"/>
              </w:rPr>
              <w:t xml:space="preserve"> specialties</w:t>
            </w:r>
            <w:r w:rsidR="00F01657">
              <w:rPr>
                <w:lang w:eastAsia="en-GB"/>
              </w:rPr>
              <w:t xml:space="preserve"> is a key barrier to entering GPEP.</w:t>
            </w:r>
          </w:p>
          <w:p w14:paraId="4D2DB118" w14:textId="0ECCA1AA" w:rsidR="0088217E" w:rsidRDefault="00D6453E" w:rsidP="009D3403">
            <w:pPr>
              <w:rPr>
                <w:lang w:eastAsia="en-GB"/>
              </w:rPr>
            </w:pPr>
            <w:r>
              <w:rPr>
                <w:lang w:eastAsia="en-GB"/>
              </w:rPr>
              <w:t xml:space="preserve">Perceptions of general practice </w:t>
            </w:r>
            <w:r w:rsidR="00715325">
              <w:rPr>
                <w:lang w:eastAsia="en-GB"/>
              </w:rPr>
              <w:t xml:space="preserve">in </w:t>
            </w:r>
            <w:r w:rsidR="00C52DD6">
              <w:rPr>
                <w:lang w:eastAsia="en-GB"/>
              </w:rPr>
              <w:t xml:space="preserve">DHB settings, </w:t>
            </w:r>
            <w:r w:rsidR="00EA2EA3">
              <w:rPr>
                <w:lang w:eastAsia="en-GB"/>
              </w:rPr>
              <w:t>limited</w:t>
            </w:r>
            <w:r w:rsidR="00C52DD6">
              <w:rPr>
                <w:lang w:eastAsia="en-GB"/>
              </w:rPr>
              <w:t xml:space="preserve"> exposure </w:t>
            </w:r>
            <w:r w:rsidR="003426CE">
              <w:rPr>
                <w:lang w:eastAsia="en-GB"/>
              </w:rPr>
              <w:t xml:space="preserve">to general practice during </w:t>
            </w:r>
            <w:r w:rsidR="00EA2EA3">
              <w:rPr>
                <w:lang w:eastAsia="en-GB"/>
              </w:rPr>
              <w:t xml:space="preserve">under-graduate and </w:t>
            </w:r>
            <w:r w:rsidR="003426CE">
              <w:rPr>
                <w:lang w:eastAsia="en-GB"/>
              </w:rPr>
              <w:t>post-graduate DHB years</w:t>
            </w:r>
            <w:r w:rsidR="00626723">
              <w:rPr>
                <w:lang w:eastAsia="en-GB"/>
              </w:rPr>
              <w:t xml:space="preserve"> and</w:t>
            </w:r>
            <w:r>
              <w:rPr>
                <w:lang w:eastAsia="en-GB"/>
              </w:rPr>
              <w:t xml:space="preserve"> the ability to work as a GP without completing GPEP contribute to perceptions of general practice as a ‘lesser’ speciality</w:t>
            </w:r>
            <w:r w:rsidR="00E45494">
              <w:rPr>
                <w:lang w:eastAsia="en-GB"/>
              </w:rPr>
              <w:t xml:space="preserve"> that is less attractive than higher status professions</w:t>
            </w:r>
            <w:r>
              <w:rPr>
                <w:lang w:eastAsia="en-GB"/>
              </w:rPr>
              <w:t>.</w:t>
            </w:r>
            <w:bookmarkEnd w:id="33"/>
          </w:p>
        </w:tc>
      </w:tr>
      <w:tr w:rsidR="0088217E" w14:paraId="769B8878" w14:textId="77777777" w:rsidTr="009D3403">
        <w:tc>
          <w:tcPr>
            <w:cnfStyle w:val="001000000000" w:firstRow="0" w:lastRow="0" w:firstColumn="1" w:lastColumn="0" w:oddVBand="0" w:evenVBand="0" w:oddHBand="0" w:evenHBand="0" w:firstRowFirstColumn="0" w:firstRowLastColumn="0" w:lastRowFirstColumn="0" w:lastRowLastColumn="0"/>
            <w:tcW w:w="7797" w:type="dxa"/>
          </w:tcPr>
          <w:p w14:paraId="44106892" w14:textId="77777777" w:rsidR="0088217E" w:rsidRPr="0079306B" w:rsidRDefault="0088217E" w:rsidP="009D3403">
            <w:pPr>
              <w:rPr>
                <w:b/>
                <w:bCs/>
                <w:lang w:eastAsia="en-GB"/>
              </w:rPr>
            </w:pPr>
            <w:r w:rsidRPr="0079306B">
              <w:rPr>
                <w:b/>
                <w:bCs/>
                <w:lang w:eastAsia="en-GB"/>
              </w:rPr>
              <w:t>Opportunities:</w:t>
            </w:r>
          </w:p>
          <w:p w14:paraId="48279515" w14:textId="07D21084" w:rsidR="0088217E" w:rsidRPr="0079306B" w:rsidRDefault="005B11E7" w:rsidP="009D3403">
            <w:pPr>
              <w:rPr>
                <w:lang w:eastAsia="en-GB"/>
              </w:rPr>
            </w:pPr>
            <w:bookmarkStart w:id="34" w:name="_Hlk104726154"/>
            <w:r w:rsidRPr="0079306B">
              <w:rPr>
                <w:lang w:eastAsia="en-GB"/>
              </w:rPr>
              <w:t xml:space="preserve">Employment conditions aligning </w:t>
            </w:r>
            <w:r w:rsidR="00626723" w:rsidRPr="0079306B">
              <w:rPr>
                <w:lang w:eastAsia="en-GB"/>
              </w:rPr>
              <w:t xml:space="preserve">GPEP registrars </w:t>
            </w:r>
            <w:r w:rsidRPr="0079306B">
              <w:rPr>
                <w:lang w:eastAsia="en-GB"/>
              </w:rPr>
              <w:t>with</w:t>
            </w:r>
            <w:r w:rsidR="007A1C7B" w:rsidRPr="0079306B">
              <w:rPr>
                <w:lang w:eastAsia="en-GB"/>
              </w:rPr>
              <w:t xml:space="preserve"> the same terms and conditions as</w:t>
            </w:r>
            <w:r w:rsidRPr="0079306B">
              <w:rPr>
                <w:lang w:eastAsia="en-GB"/>
              </w:rPr>
              <w:t xml:space="preserve"> DHB employed registrars would remove a key barrier to GPEP participation.</w:t>
            </w:r>
          </w:p>
          <w:p w14:paraId="43AA4811" w14:textId="6EC82E10" w:rsidR="0088217E" w:rsidRDefault="005B11E7" w:rsidP="009D3403">
            <w:pPr>
              <w:rPr>
                <w:lang w:eastAsia="en-GB"/>
              </w:rPr>
            </w:pPr>
            <w:r w:rsidRPr="0079306B">
              <w:rPr>
                <w:lang w:eastAsia="en-GB"/>
              </w:rPr>
              <w:t>Enhanc</w:t>
            </w:r>
            <w:r w:rsidR="00626723" w:rsidRPr="0079306B">
              <w:rPr>
                <w:lang w:eastAsia="en-GB"/>
              </w:rPr>
              <w:t>ing the</w:t>
            </w:r>
            <w:r w:rsidRPr="0079306B">
              <w:rPr>
                <w:lang w:eastAsia="en-GB"/>
              </w:rPr>
              <w:t xml:space="preserve"> profile of general practice through promotion, compulsory community runs and </w:t>
            </w:r>
            <w:r w:rsidR="00C54199" w:rsidRPr="0079306B">
              <w:rPr>
                <w:lang w:eastAsia="en-GB"/>
              </w:rPr>
              <w:t xml:space="preserve">positive GP </w:t>
            </w:r>
            <w:r w:rsidRPr="0079306B">
              <w:rPr>
                <w:lang w:eastAsia="en-GB"/>
              </w:rPr>
              <w:t xml:space="preserve">role models </w:t>
            </w:r>
            <w:r w:rsidR="007C7087" w:rsidRPr="0079306B">
              <w:rPr>
                <w:lang w:eastAsia="en-GB"/>
              </w:rPr>
              <w:t xml:space="preserve">in under-graduate and post-graduate years </w:t>
            </w:r>
            <w:r w:rsidRPr="0079306B">
              <w:rPr>
                <w:lang w:eastAsia="en-GB"/>
              </w:rPr>
              <w:t xml:space="preserve">would contribute to </w:t>
            </w:r>
            <w:r w:rsidR="00D6453E" w:rsidRPr="0079306B">
              <w:rPr>
                <w:lang w:eastAsia="en-GB"/>
              </w:rPr>
              <w:t xml:space="preserve">building </w:t>
            </w:r>
            <w:r w:rsidR="00626723" w:rsidRPr="0079306B">
              <w:rPr>
                <w:lang w:eastAsia="en-GB"/>
              </w:rPr>
              <w:t>a positive</w:t>
            </w:r>
            <w:r w:rsidR="00D6453E" w:rsidRPr="0079306B">
              <w:rPr>
                <w:lang w:eastAsia="en-GB"/>
              </w:rPr>
              <w:t xml:space="preserve"> profile of general practice.</w:t>
            </w:r>
            <w:bookmarkEnd w:id="34"/>
          </w:p>
        </w:tc>
      </w:tr>
    </w:tbl>
    <w:p w14:paraId="4968CAB1" w14:textId="528FE421" w:rsidR="00D664A4" w:rsidRDefault="00D664A4" w:rsidP="00A16840">
      <w:pPr>
        <w:pStyle w:val="Heading2"/>
      </w:pPr>
      <w:bookmarkStart w:id="35" w:name="_Toc105853896"/>
      <w:r>
        <w:t>Entering GPEP</w:t>
      </w:r>
      <w:bookmarkEnd w:id="35"/>
    </w:p>
    <w:p w14:paraId="306FFC05" w14:textId="0F589927" w:rsidR="00E473AE" w:rsidRPr="00E473AE" w:rsidRDefault="00E473AE" w:rsidP="00E473AE">
      <w:pPr>
        <w:rPr>
          <w:lang w:eastAsia="en-GB"/>
        </w:rPr>
      </w:pPr>
      <w:r>
        <w:rPr>
          <w:lang w:eastAsia="en-GB"/>
        </w:rPr>
        <w:t>The following are the annual timelines for GPEP applications:</w:t>
      </w:r>
    </w:p>
    <w:p w14:paraId="1C496496" w14:textId="42FB3749" w:rsidR="002835A8" w:rsidRPr="002835A8" w:rsidRDefault="002835A8" w:rsidP="00541DBF">
      <w:pPr>
        <w:pStyle w:val="Bulleted"/>
        <w:rPr>
          <w:rFonts w:eastAsiaTheme="minorHAnsi"/>
          <w:lang w:eastAsia="en-GB"/>
        </w:rPr>
      </w:pPr>
      <w:r w:rsidRPr="002835A8">
        <w:rPr>
          <w:rFonts w:eastAsiaTheme="minorHAnsi"/>
          <w:lang w:eastAsia="en-GB"/>
        </w:rPr>
        <w:t xml:space="preserve">Applications for intakes open in February – </w:t>
      </w:r>
      <w:r w:rsidR="00541DBF">
        <w:rPr>
          <w:rFonts w:eastAsiaTheme="minorHAnsi"/>
          <w:lang w:eastAsia="en-GB"/>
        </w:rPr>
        <w:t xml:space="preserve">recently shifted from December </w:t>
      </w:r>
      <w:r w:rsidRPr="002835A8">
        <w:rPr>
          <w:rFonts w:eastAsiaTheme="minorHAnsi"/>
          <w:lang w:eastAsia="en-GB"/>
        </w:rPr>
        <w:t xml:space="preserve">to align with other speciality programmes </w:t>
      </w:r>
    </w:p>
    <w:p w14:paraId="46A4A004" w14:textId="04798091" w:rsidR="002835A8" w:rsidRPr="002835A8" w:rsidRDefault="001A0BA5" w:rsidP="00541DBF">
      <w:pPr>
        <w:pStyle w:val="Bulleted"/>
        <w:rPr>
          <w:rFonts w:eastAsiaTheme="minorHAnsi"/>
          <w:lang w:eastAsia="en-GB"/>
        </w:rPr>
      </w:pPr>
      <w:r>
        <w:rPr>
          <w:rFonts w:eastAsiaTheme="minorHAnsi"/>
          <w:lang w:eastAsia="en-GB"/>
        </w:rPr>
        <w:t>The s</w:t>
      </w:r>
      <w:r w:rsidR="002835A8" w:rsidRPr="002835A8">
        <w:rPr>
          <w:rFonts w:eastAsiaTheme="minorHAnsi"/>
          <w:lang w:eastAsia="en-GB"/>
        </w:rPr>
        <w:t>election process may include an interview</w:t>
      </w:r>
    </w:p>
    <w:p w14:paraId="349B84E8" w14:textId="0024A21D" w:rsidR="002835A8" w:rsidRPr="002835A8" w:rsidRDefault="002835A8" w:rsidP="00541DBF">
      <w:pPr>
        <w:pStyle w:val="Bulleted"/>
        <w:rPr>
          <w:rFonts w:eastAsiaTheme="minorHAnsi"/>
          <w:lang w:eastAsia="en-GB"/>
        </w:rPr>
      </w:pPr>
      <w:r w:rsidRPr="002835A8">
        <w:rPr>
          <w:rFonts w:eastAsiaTheme="minorHAnsi"/>
          <w:lang w:eastAsia="en-GB"/>
        </w:rPr>
        <w:t xml:space="preserve">Selected applicants </w:t>
      </w:r>
      <w:r w:rsidR="007C7087">
        <w:rPr>
          <w:rFonts w:eastAsiaTheme="minorHAnsi"/>
          <w:lang w:eastAsia="en-GB"/>
        </w:rPr>
        <w:t>may also be interviewed by a</w:t>
      </w:r>
      <w:r w:rsidRPr="002835A8">
        <w:rPr>
          <w:rFonts w:eastAsiaTheme="minorHAnsi"/>
          <w:lang w:eastAsia="en-GB"/>
        </w:rPr>
        <w:t xml:space="preserve"> regional Medical Educator</w:t>
      </w:r>
    </w:p>
    <w:p w14:paraId="4D468EBF" w14:textId="520E80EF" w:rsidR="002835A8" w:rsidRDefault="002835A8" w:rsidP="00541DBF">
      <w:pPr>
        <w:pStyle w:val="Bulleted"/>
        <w:rPr>
          <w:rFonts w:eastAsiaTheme="minorHAnsi"/>
          <w:lang w:eastAsia="en-GB"/>
        </w:rPr>
      </w:pPr>
      <w:r w:rsidRPr="002835A8">
        <w:rPr>
          <w:rFonts w:eastAsiaTheme="minorHAnsi"/>
          <w:lang w:eastAsia="en-GB"/>
        </w:rPr>
        <w:t>Unsuccessful applicants are notified in June</w:t>
      </w:r>
      <w:r w:rsidR="007C7087">
        <w:rPr>
          <w:rFonts w:eastAsiaTheme="minorHAnsi"/>
          <w:lang w:eastAsia="en-GB"/>
        </w:rPr>
        <w:t>/July</w:t>
      </w:r>
      <w:r w:rsidRPr="002835A8">
        <w:rPr>
          <w:rFonts w:eastAsiaTheme="minorHAnsi"/>
          <w:lang w:eastAsia="en-GB"/>
        </w:rPr>
        <w:t xml:space="preserve"> and successful </w:t>
      </w:r>
      <w:r w:rsidR="007C7087" w:rsidRPr="002835A8">
        <w:rPr>
          <w:rFonts w:eastAsiaTheme="minorHAnsi"/>
          <w:lang w:eastAsia="en-GB"/>
        </w:rPr>
        <w:t>applica</w:t>
      </w:r>
      <w:r w:rsidR="007C7087">
        <w:rPr>
          <w:rFonts w:eastAsiaTheme="minorHAnsi"/>
          <w:lang w:eastAsia="en-GB"/>
        </w:rPr>
        <w:t>nt</w:t>
      </w:r>
      <w:r w:rsidR="007C7087" w:rsidRPr="002835A8">
        <w:rPr>
          <w:rFonts w:eastAsiaTheme="minorHAnsi"/>
          <w:lang w:eastAsia="en-GB"/>
        </w:rPr>
        <w:t>s</w:t>
      </w:r>
      <w:r w:rsidR="007C7087">
        <w:rPr>
          <w:rFonts w:eastAsiaTheme="minorHAnsi"/>
          <w:lang w:eastAsia="en-GB"/>
        </w:rPr>
        <w:t xml:space="preserve"> offered a place with their confirmation of acceptance of the offer by</w:t>
      </w:r>
      <w:r w:rsidR="007C7087" w:rsidRPr="002835A8">
        <w:rPr>
          <w:rFonts w:eastAsiaTheme="minorHAnsi"/>
          <w:lang w:eastAsia="en-GB"/>
        </w:rPr>
        <w:t xml:space="preserve"> </w:t>
      </w:r>
      <w:r w:rsidRPr="002835A8">
        <w:rPr>
          <w:rFonts w:eastAsiaTheme="minorHAnsi"/>
          <w:lang w:eastAsia="en-GB"/>
        </w:rPr>
        <w:t>August</w:t>
      </w:r>
      <w:r w:rsidR="004E64AE">
        <w:rPr>
          <w:rFonts w:eastAsiaTheme="minorHAnsi"/>
          <w:lang w:eastAsia="en-GB"/>
        </w:rPr>
        <w:t xml:space="preserve">. Those accepted </w:t>
      </w:r>
      <w:r w:rsidR="00593E3B">
        <w:rPr>
          <w:rFonts w:eastAsiaTheme="minorHAnsi"/>
          <w:lang w:eastAsia="en-GB"/>
        </w:rPr>
        <w:t xml:space="preserve">may not take up the offer or </w:t>
      </w:r>
      <w:r w:rsidR="00FA1481">
        <w:rPr>
          <w:rFonts w:eastAsiaTheme="minorHAnsi"/>
          <w:lang w:eastAsia="en-GB"/>
        </w:rPr>
        <w:t xml:space="preserve">may </w:t>
      </w:r>
      <w:r w:rsidR="00593E3B">
        <w:rPr>
          <w:rFonts w:eastAsiaTheme="minorHAnsi"/>
          <w:lang w:eastAsia="en-GB"/>
        </w:rPr>
        <w:t>defer between August and the start of GPEP 1</w:t>
      </w:r>
      <w:r w:rsidR="00F43A80">
        <w:rPr>
          <w:rFonts w:eastAsiaTheme="minorHAnsi"/>
          <w:lang w:eastAsia="en-GB"/>
        </w:rPr>
        <w:t>.</w:t>
      </w:r>
    </w:p>
    <w:p w14:paraId="75DB21DA" w14:textId="7753EB95" w:rsidR="000C7AC3" w:rsidRDefault="007C7087" w:rsidP="00541DBF">
      <w:pPr>
        <w:pStyle w:val="Bulleted"/>
        <w:rPr>
          <w:rFonts w:eastAsiaTheme="minorHAnsi"/>
          <w:lang w:eastAsia="en-GB"/>
        </w:rPr>
      </w:pPr>
      <w:r>
        <w:rPr>
          <w:rFonts w:eastAsiaTheme="minorHAnsi"/>
          <w:lang w:eastAsia="en-GB"/>
        </w:rPr>
        <w:lastRenderedPageBreak/>
        <w:t xml:space="preserve">Applicants are confirmed their placement regions in the August timeframe, with their practice placement confirmed </w:t>
      </w:r>
      <w:r w:rsidR="0079306B">
        <w:rPr>
          <w:rFonts w:eastAsiaTheme="minorHAnsi"/>
          <w:lang w:eastAsia="en-GB"/>
        </w:rPr>
        <w:t>later</w:t>
      </w:r>
      <w:r>
        <w:rPr>
          <w:rFonts w:eastAsiaTheme="minorHAnsi"/>
          <w:lang w:eastAsia="en-GB"/>
        </w:rPr>
        <w:t xml:space="preserve">.  </w:t>
      </w:r>
      <w:r w:rsidR="00D334C0">
        <w:t>Manat</w:t>
      </w:r>
      <w:r w:rsidR="00D334C0">
        <w:rPr>
          <w:rFonts w:cs="Calibri"/>
        </w:rPr>
        <w:t>ū</w:t>
      </w:r>
      <w:r w:rsidR="00D334C0">
        <w:t xml:space="preserve"> Hauora</w:t>
      </w:r>
      <w:r w:rsidR="002835A8">
        <w:rPr>
          <w:rFonts w:eastAsiaTheme="minorHAnsi"/>
          <w:lang w:eastAsia="en-GB"/>
        </w:rPr>
        <w:t xml:space="preserve"> </w:t>
      </w:r>
      <w:r w:rsidR="00912E1E">
        <w:rPr>
          <w:rFonts w:eastAsiaTheme="minorHAnsi"/>
          <w:lang w:eastAsia="en-GB"/>
        </w:rPr>
        <w:t>receives budget confirmation</w:t>
      </w:r>
      <w:r w:rsidR="002A3822">
        <w:rPr>
          <w:rFonts w:eastAsiaTheme="minorHAnsi"/>
          <w:lang w:eastAsia="en-GB"/>
        </w:rPr>
        <w:t xml:space="preserve"> in July</w:t>
      </w:r>
      <w:r>
        <w:rPr>
          <w:rFonts w:eastAsiaTheme="minorHAnsi"/>
          <w:lang w:eastAsia="en-GB"/>
        </w:rPr>
        <w:t>.</w:t>
      </w:r>
      <w:r w:rsidR="00332BD9">
        <w:rPr>
          <w:rFonts w:eastAsiaTheme="minorHAnsi"/>
          <w:lang w:eastAsia="en-GB"/>
        </w:rPr>
        <w:t xml:space="preserve"> </w:t>
      </w:r>
    </w:p>
    <w:p w14:paraId="6020EC8A" w14:textId="6422DFBD" w:rsidR="002835A8" w:rsidRPr="002835A8" w:rsidRDefault="00D334C0" w:rsidP="00541DBF">
      <w:pPr>
        <w:pStyle w:val="Bulleted"/>
        <w:rPr>
          <w:rFonts w:eastAsiaTheme="minorHAnsi"/>
          <w:lang w:eastAsia="en-GB"/>
        </w:rPr>
      </w:pPr>
      <w:r>
        <w:t>Manat</w:t>
      </w:r>
      <w:r>
        <w:rPr>
          <w:rFonts w:cs="Calibri"/>
        </w:rPr>
        <w:t>ū</w:t>
      </w:r>
      <w:r>
        <w:t xml:space="preserve"> Hauora</w:t>
      </w:r>
      <w:r w:rsidR="000C7AC3">
        <w:rPr>
          <w:rFonts w:eastAsiaTheme="minorHAnsi"/>
          <w:lang w:eastAsia="en-GB"/>
        </w:rPr>
        <w:t xml:space="preserve"> </w:t>
      </w:r>
      <w:r w:rsidR="002835A8">
        <w:rPr>
          <w:rFonts w:eastAsiaTheme="minorHAnsi"/>
          <w:lang w:eastAsia="en-GB"/>
        </w:rPr>
        <w:t>approves the contracted number of registrars</w:t>
      </w:r>
      <w:r w:rsidR="0079306B">
        <w:rPr>
          <w:rFonts w:eastAsiaTheme="minorHAnsi"/>
          <w:lang w:eastAsia="en-GB"/>
        </w:rPr>
        <w:t>.</w:t>
      </w:r>
    </w:p>
    <w:p w14:paraId="04FDC541" w14:textId="0A10B291" w:rsidR="00AB66B6" w:rsidRDefault="00AB66B6" w:rsidP="00AB66B6">
      <w:pPr>
        <w:rPr>
          <w:rFonts w:eastAsiaTheme="minorHAnsi"/>
          <w:lang w:eastAsia="en-GB"/>
        </w:rPr>
      </w:pPr>
      <w:r>
        <w:rPr>
          <w:rFonts w:eastAsiaTheme="minorHAnsi"/>
          <w:lang w:eastAsia="en-GB"/>
        </w:rPr>
        <w:t xml:space="preserve">Registrars reported confusion and frustration navigating the College website and application form. </w:t>
      </w:r>
      <w:r w:rsidR="005C3AF7">
        <w:rPr>
          <w:rFonts w:eastAsiaTheme="minorHAnsi"/>
          <w:lang w:eastAsia="en-GB"/>
        </w:rPr>
        <w:t>Although</w:t>
      </w:r>
      <w:r w:rsidR="00927E31">
        <w:rPr>
          <w:rFonts w:eastAsiaTheme="minorHAnsi"/>
          <w:lang w:eastAsia="en-GB"/>
        </w:rPr>
        <w:t xml:space="preserve"> registrars are advised of their placement region they are not notified of the practice until close to the </w:t>
      </w:r>
      <w:r w:rsidR="003C237F">
        <w:rPr>
          <w:rFonts w:eastAsiaTheme="minorHAnsi"/>
          <w:lang w:eastAsia="en-GB"/>
        </w:rPr>
        <w:t xml:space="preserve">start of GPEP. </w:t>
      </w:r>
      <w:r w:rsidR="00A10704">
        <w:rPr>
          <w:rFonts w:eastAsiaTheme="minorHAnsi"/>
          <w:lang w:eastAsia="en-GB"/>
        </w:rPr>
        <w:t xml:space="preserve">Availability of practices to provide placements is fluid with </w:t>
      </w:r>
      <w:r w:rsidR="007C7087">
        <w:rPr>
          <w:rFonts w:eastAsiaTheme="minorHAnsi"/>
          <w:lang w:eastAsia="en-GB"/>
        </w:rPr>
        <w:t xml:space="preserve">teaching fellows </w:t>
      </w:r>
      <w:r w:rsidR="00A10704">
        <w:rPr>
          <w:rFonts w:eastAsiaTheme="minorHAnsi"/>
          <w:lang w:eastAsia="en-GB"/>
        </w:rPr>
        <w:t xml:space="preserve">leaving potentially eligible practices or practices becoming unavailable for other reasons. </w:t>
      </w:r>
      <w:r w:rsidR="00793614">
        <w:rPr>
          <w:rFonts w:eastAsiaTheme="minorHAnsi"/>
          <w:lang w:eastAsia="en-GB"/>
        </w:rPr>
        <w:t xml:space="preserve">The timelines may contribute to </w:t>
      </w:r>
      <w:r w:rsidR="000E3902">
        <w:rPr>
          <w:rFonts w:eastAsiaTheme="minorHAnsi"/>
          <w:lang w:eastAsia="en-GB"/>
        </w:rPr>
        <w:t>feedback we received about the</w:t>
      </w:r>
      <w:r w:rsidR="004E6356">
        <w:rPr>
          <w:rFonts w:eastAsiaTheme="minorHAnsi"/>
          <w:lang w:eastAsia="en-GB"/>
        </w:rPr>
        <w:t xml:space="preserve"> college administration support </w:t>
      </w:r>
      <w:r w:rsidR="000E3902">
        <w:rPr>
          <w:rFonts w:eastAsiaTheme="minorHAnsi"/>
          <w:lang w:eastAsia="en-GB"/>
        </w:rPr>
        <w:t xml:space="preserve">which </w:t>
      </w:r>
      <w:r w:rsidR="004E6356">
        <w:rPr>
          <w:rFonts w:eastAsiaTheme="minorHAnsi"/>
          <w:lang w:eastAsia="en-GB"/>
        </w:rPr>
        <w:t>was widely described as inadequate across the GPEP years.</w:t>
      </w:r>
    </w:p>
    <w:p w14:paraId="18FCEF76" w14:textId="0E8695B0" w:rsidR="00812C19" w:rsidRDefault="00812C19" w:rsidP="00812C19">
      <w:pPr>
        <w:pStyle w:val="Quotes"/>
        <w:rPr>
          <w:rFonts w:eastAsiaTheme="minorHAnsi"/>
          <w:lang w:eastAsia="en-GB"/>
        </w:rPr>
      </w:pPr>
      <w:r>
        <w:rPr>
          <w:rFonts w:eastAsiaTheme="minorHAnsi"/>
          <w:lang w:eastAsia="en-GB"/>
        </w:rPr>
        <w:t>T</w:t>
      </w:r>
      <w:r w:rsidRPr="00812C19">
        <w:rPr>
          <w:rFonts w:eastAsiaTheme="minorHAnsi"/>
          <w:lang w:eastAsia="en-GB"/>
        </w:rPr>
        <w:t>he high turnover of admin staff makes it impossible to get answers to queries or support.</w:t>
      </w:r>
      <w:r w:rsidR="007C787E">
        <w:rPr>
          <w:rFonts w:eastAsiaTheme="minorHAnsi"/>
          <w:lang w:eastAsia="en-GB"/>
        </w:rPr>
        <w:t xml:space="preserve"> (Survey data</w:t>
      </w:r>
      <w:r w:rsidR="0079306B">
        <w:rPr>
          <w:rFonts w:eastAsiaTheme="minorHAnsi"/>
          <w:lang w:eastAsia="en-GB"/>
        </w:rPr>
        <w:t xml:space="preserve"> </w:t>
      </w:r>
      <w:r w:rsidR="007C787E">
        <w:rPr>
          <w:rFonts w:eastAsiaTheme="minorHAnsi"/>
          <w:lang w:eastAsia="en-GB"/>
        </w:rPr>
        <w:t>- Registrar)</w:t>
      </w:r>
    </w:p>
    <w:p w14:paraId="6DD4AB52" w14:textId="556B0077" w:rsidR="00AB66B6" w:rsidRDefault="00AB66B6" w:rsidP="00AB66B6">
      <w:pPr>
        <w:rPr>
          <w:rFonts w:eastAsiaTheme="minorHAnsi"/>
          <w:lang w:eastAsia="en-GB"/>
        </w:rPr>
      </w:pPr>
      <w:r>
        <w:rPr>
          <w:rFonts w:eastAsiaTheme="minorHAnsi"/>
          <w:lang w:eastAsia="en-GB"/>
        </w:rPr>
        <w:t xml:space="preserve">Many people highlighted the importance of overseas trained doctors and their contribution to the sustainability of primary care in Aotearoa New Zealand. Some overseas doctors shared their frustration over the application process to GPEP. The hidden costs, confusion around eligibility based on visa status and expectation to be retrained deterred potential overseas doctors from entering GPEP. </w:t>
      </w:r>
    </w:p>
    <w:p w14:paraId="12BD4FE5" w14:textId="708E71E8" w:rsidR="00AB66B6" w:rsidRDefault="00AB66B6" w:rsidP="00AB66B6">
      <w:pPr>
        <w:pStyle w:val="Quotes"/>
      </w:pPr>
      <w:r w:rsidRPr="008544EE">
        <w:t xml:space="preserve">Financial as a resident but not quite </w:t>
      </w:r>
      <w:r>
        <w:t xml:space="preserve">a </w:t>
      </w:r>
      <w:r w:rsidRPr="008544EE">
        <w:t>permanent resident</w:t>
      </w:r>
      <w:r w:rsidR="00B9496A">
        <w:t>.</w:t>
      </w:r>
      <w:r w:rsidRPr="008544EE">
        <w:t xml:space="preserve"> I had to fund my own training and find my own job at considerable cost.</w:t>
      </w:r>
      <w:r w:rsidR="00FE77F9">
        <w:t xml:space="preserve"> </w:t>
      </w:r>
      <w:r w:rsidRPr="008544EE">
        <w:t>No support to do this</w:t>
      </w:r>
      <w:r>
        <w:t>… I w</w:t>
      </w:r>
      <w:r w:rsidRPr="008544EE">
        <w:t>anted to be a GP, desperate need in NZ for GPs but I had to pay 40k for the privilege. This would put off a lot of potential GPs from applying.</w:t>
      </w:r>
      <w:r>
        <w:t xml:space="preserve"> (Survey data – Registrar)</w:t>
      </w:r>
    </w:p>
    <w:p w14:paraId="37BD38FE" w14:textId="77777777" w:rsidR="0079306B" w:rsidRDefault="0079306B" w:rsidP="0079306B">
      <w:pPr>
        <w:spacing w:before="240"/>
      </w:pPr>
      <w:r>
        <w:t>Overseas trained doctors are often placed in rural areas. The implications are an increased need for cultural safety education and potential lack of continuity of care as overseas trained staff move on.</w:t>
      </w:r>
    </w:p>
    <w:p w14:paraId="71402D6E" w14:textId="77777777" w:rsidR="0079306B" w:rsidRDefault="0079306B" w:rsidP="0079306B">
      <w:pPr>
        <w:pStyle w:val="Quotes"/>
      </w:pPr>
      <w:r>
        <w:t>I know for example, in our local owned practice none of the medical staff are from here, they don’t whakapapa here. In fact, many of them are international people that come here by way of being able to secure a job in a New Zealand lifestyle. I don't think that they're often here for the long haul. Many of them are here to kind of gain their visa residency and immigration stuff, and meet the clinical requirements, but then they move on. And they tend to move around the rural communities because there's just no one that's applying for those jobs. (Manat</w:t>
      </w:r>
      <w:r>
        <w:rPr>
          <w:rFonts w:cs="Calibri"/>
        </w:rPr>
        <w:t>ū</w:t>
      </w:r>
      <w:r>
        <w:t xml:space="preserve"> Hauora Stakeholder)</w:t>
      </w:r>
    </w:p>
    <w:p w14:paraId="4FDD7A65" w14:textId="567CE9BF" w:rsidR="00A07D7B" w:rsidRDefault="00D3461F" w:rsidP="00A16840">
      <w:pPr>
        <w:pStyle w:val="Heading2"/>
      </w:pPr>
      <w:bookmarkStart w:id="36" w:name="_Toc105853897"/>
      <w:r>
        <w:br w:type="column"/>
      </w:r>
      <w:r w:rsidR="00A07D7B" w:rsidRPr="00FD199C">
        <w:lastRenderedPageBreak/>
        <w:t>Trends in registrar participation in GPEP</w:t>
      </w:r>
      <w:bookmarkEnd w:id="36"/>
    </w:p>
    <w:p w14:paraId="59787AE9" w14:textId="409180C3" w:rsidR="008855E2" w:rsidRDefault="008855E2" w:rsidP="008855E2">
      <w:pPr>
        <w:rPr>
          <w:lang w:eastAsia="en-GB"/>
        </w:rPr>
      </w:pPr>
      <w:r>
        <w:rPr>
          <w:lang w:eastAsia="en-GB"/>
        </w:rPr>
        <w:t>Trends in regis</w:t>
      </w:r>
      <w:r w:rsidR="008C54FB">
        <w:rPr>
          <w:lang w:eastAsia="en-GB"/>
        </w:rPr>
        <w:t>t</w:t>
      </w:r>
      <w:r>
        <w:rPr>
          <w:lang w:eastAsia="en-GB"/>
        </w:rPr>
        <w:t xml:space="preserve">rar participation were examined for registrars entering GPEP from </w:t>
      </w:r>
      <w:r w:rsidR="008C54FB">
        <w:rPr>
          <w:lang w:eastAsia="en-GB"/>
        </w:rPr>
        <w:t>201</w:t>
      </w:r>
      <w:r w:rsidR="00F23418">
        <w:rPr>
          <w:lang w:eastAsia="en-GB"/>
        </w:rPr>
        <w:t>5</w:t>
      </w:r>
      <w:r w:rsidR="008C54FB">
        <w:rPr>
          <w:lang w:eastAsia="en-GB"/>
        </w:rPr>
        <w:t xml:space="preserve">-2020. This </w:t>
      </w:r>
      <w:proofErr w:type="gramStart"/>
      <w:r w:rsidR="008C54FB">
        <w:rPr>
          <w:lang w:eastAsia="en-GB"/>
        </w:rPr>
        <w:t>time period</w:t>
      </w:r>
      <w:proofErr w:type="gramEnd"/>
      <w:r w:rsidR="008C54FB">
        <w:rPr>
          <w:lang w:eastAsia="en-GB"/>
        </w:rPr>
        <w:t xml:space="preserve"> was selected as providing an opportunity for the earlies</w:t>
      </w:r>
      <w:r w:rsidR="00241E9A">
        <w:rPr>
          <w:lang w:eastAsia="en-GB"/>
        </w:rPr>
        <w:t>t</w:t>
      </w:r>
      <w:r w:rsidR="008C54FB">
        <w:rPr>
          <w:lang w:eastAsia="en-GB"/>
        </w:rPr>
        <w:t xml:space="preserve"> cohorts to have completed training while also allowing feedback from registrars</w:t>
      </w:r>
      <w:r w:rsidR="00E90C36">
        <w:rPr>
          <w:lang w:eastAsia="en-GB"/>
        </w:rPr>
        <w:t xml:space="preserve"> entering GPEP more recently.</w:t>
      </w:r>
    </w:p>
    <w:p w14:paraId="3A1997D2" w14:textId="07E66CDC" w:rsidR="00E90C36" w:rsidRPr="008855E2" w:rsidRDefault="00E90C36" w:rsidP="008855E2">
      <w:pPr>
        <w:rPr>
          <w:lang w:eastAsia="en-GB"/>
        </w:rPr>
      </w:pPr>
      <w:r>
        <w:rPr>
          <w:lang w:eastAsia="en-GB"/>
        </w:rPr>
        <w:t>Analysis of the cohort found:</w:t>
      </w:r>
    </w:p>
    <w:p w14:paraId="600A5FA0" w14:textId="77777777" w:rsidR="00543491" w:rsidRDefault="005A209A" w:rsidP="00BE792F">
      <w:pPr>
        <w:pStyle w:val="ListParagraph"/>
        <w:numPr>
          <w:ilvl w:val="0"/>
          <w:numId w:val="7"/>
        </w:numPr>
        <w:rPr>
          <w:lang w:eastAsia="en-GB"/>
        </w:rPr>
      </w:pPr>
      <w:r>
        <w:rPr>
          <w:lang w:eastAsia="en-GB"/>
        </w:rPr>
        <w:t xml:space="preserve">The number of new registrars per year </w:t>
      </w:r>
      <w:r w:rsidR="007B6693">
        <w:rPr>
          <w:lang w:eastAsia="en-GB"/>
        </w:rPr>
        <w:t>fluctuates. The highest numbers were in 2016/17 intak</w:t>
      </w:r>
      <w:r w:rsidR="00EF60BF">
        <w:rPr>
          <w:lang w:eastAsia="en-GB"/>
        </w:rPr>
        <w:t>e.</w:t>
      </w:r>
      <w:r w:rsidR="005E105F">
        <w:rPr>
          <w:lang w:eastAsia="en-GB"/>
        </w:rPr>
        <w:t xml:space="preserve"> </w:t>
      </w:r>
    </w:p>
    <w:p w14:paraId="4204A645" w14:textId="25B5B387" w:rsidR="00433CB0" w:rsidRDefault="005E105F" w:rsidP="00BE792F">
      <w:pPr>
        <w:pStyle w:val="ListParagraph"/>
        <w:numPr>
          <w:ilvl w:val="0"/>
          <w:numId w:val="7"/>
        </w:numPr>
        <w:rPr>
          <w:lang w:eastAsia="en-GB"/>
        </w:rPr>
      </w:pPr>
      <w:r>
        <w:rPr>
          <w:lang w:eastAsia="en-GB"/>
        </w:rPr>
        <w:t>The</w:t>
      </w:r>
      <w:r w:rsidR="00543491">
        <w:rPr>
          <w:lang w:eastAsia="en-GB"/>
        </w:rPr>
        <w:t xml:space="preserve">re </w:t>
      </w:r>
      <w:r w:rsidR="009057F6">
        <w:rPr>
          <w:lang w:eastAsia="en-GB"/>
        </w:rPr>
        <w:t>has consistent</w:t>
      </w:r>
      <w:r w:rsidR="000D4A44">
        <w:rPr>
          <w:lang w:eastAsia="en-GB"/>
        </w:rPr>
        <w:t>ly been a</w:t>
      </w:r>
      <w:r w:rsidR="00543491">
        <w:rPr>
          <w:lang w:eastAsia="en-GB"/>
        </w:rPr>
        <w:t xml:space="preserve"> higher</w:t>
      </w:r>
      <w:r>
        <w:rPr>
          <w:lang w:eastAsia="en-GB"/>
        </w:rPr>
        <w:t xml:space="preserve"> proportion of female</w:t>
      </w:r>
      <w:r w:rsidR="00543491">
        <w:rPr>
          <w:lang w:eastAsia="en-GB"/>
        </w:rPr>
        <w:t xml:space="preserve"> than male registrars</w:t>
      </w:r>
      <w:r w:rsidR="00DD0EB9">
        <w:rPr>
          <w:lang w:eastAsia="en-GB"/>
        </w:rPr>
        <w:t>.</w:t>
      </w:r>
      <w:r w:rsidR="000D4A44">
        <w:rPr>
          <w:lang w:eastAsia="en-GB"/>
        </w:rPr>
        <w:t xml:space="preserve"> </w:t>
      </w:r>
    </w:p>
    <w:p w14:paraId="43D7CE0D" w14:textId="622932F5" w:rsidR="00DD0EB9" w:rsidRPr="007C5851" w:rsidRDefault="000F60C4" w:rsidP="00BE792F">
      <w:pPr>
        <w:pStyle w:val="ListParagraph"/>
        <w:numPr>
          <w:ilvl w:val="0"/>
          <w:numId w:val="7"/>
        </w:numPr>
        <w:rPr>
          <w:lang w:eastAsia="en-GB"/>
        </w:rPr>
      </w:pPr>
      <w:r w:rsidRPr="007C5851">
        <w:rPr>
          <w:lang w:eastAsia="en-GB"/>
        </w:rPr>
        <w:t>The me</w:t>
      </w:r>
      <w:r w:rsidR="008117D9" w:rsidRPr="007C5851">
        <w:rPr>
          <w:lang w:eastAsia="en-GB"/>
        </w:rPr>
        <w:t xml:space="preserve">dian age </w:t>
      </w:r>
      <w:r w:rsidR="00184793" w:rsidRPr="007C5851">
        <w:rPr>
          <w:lang w:eastAsia="en-GB"/>
        </w:rPr>
        <w:t>is 30-32</w:t>
      </w:r>
      <w:r w:rsidR="005128D5" w:rsidRPr="007C5851">
        <w:rPr>
          <w:lang w:eastAsia="en-GB"/>
        </w:rPr>
        <w:t xml:space="preserve">. A small proportion of older registrars </w:t>
      </w:r>
      <w:r w:rsidR="00AE05DE" w:rsidRPr="007C5851">
        <w:rPr>
          <w:lang w:eastAsia="en-GB"/>
        </w:rPr>
        <w:t xml:space="preserve">reflects overseas trained doctors and </w:t>
      </w:r>
      <w:r w:rsidR="00A8019E" w:rsidRPr="007C5851">
        <w:rPr>
          <w:lang w:eastAsia="en-GB"/>
        </w:rPr>
        <w:t xml:space="preserve">some New Zealand trained </w:t>
      </w:r>
      <w:r w:rsidR="00D73868" w:rsidRPr="007C5851">
        <w:rPr>
          <w:lang w:eastAsia="en-GB"/>
        </w:rPr>
        <w:t>general registrants</w:t>
      </w:r>
      <w:r w:rsidR="00191E7C">
        <w:rPr>
          <w:lang w:eastAsia="en-GB"/>
        </w:rPr>
        <w:t xml:space="preserve"> entering GPEP</w:t>
      </w:r>
      <w:r w:rsidR="009057F6" w:rsidRPr="007C5851">
        <w:rPr>
          <w:lang w:eastAsia="en-GB"/>
        </w:rPr>
        <w:t>.</w:t>
      </w:r>
    </w:p>
    <w:p w14:paraId="6A244881" w14:textId="77777777" w:rsidR="00483AF4" w:rsidRPr="007C5851" w:rsidRDefault="009B6775" w:rsidP="00BE792F">
      <w:pPr>
        <w:pStyle w:val="ListParagraph"/>
        <w:numPr>
          <w:ilvl w:val="0"/>
          <w:numId w:val="7"/>
        </w:numPr>
        <w:rPr>
          <w:lang w:eastAsia="en-GB"/>
        </w:rPr>
      </w:pPr>
      <w:r w:rsidRPr="007C5851">
        <w:rPr>
          <w:lang w:eastAsia="en-GB"/>
        </w:rPr>
        <w:t xml:space="preserve">Registrars identifying as Asian ethnic groups are over-represented compared to their proportion in the population and </w:t>
      </w:r>
      <w:r w:rsidR="00C76D30" w:rsidRPr="007C5851">
        <w:rPr>
          <w:lang w:eastAsia="en-GB"/>
        </w:rPr>
        <w:t>Māori registrars are under-represented.</w:t>
      </w:r>
      <w:r w:rsidR="00483AF4" w:rsidRPr="007C5851">
        <w:rPr>
          <w:lang w:eastAsia="en-GB"/>
        </w:rPr>
        <w:t xml:space="preserve"> </w:t>
      </w:r>
    </w:p>
    <w:p w14:paraId="2F7CAB12" w14:textId="46B518E3" w:rsidR="007C5851" w:rsidRPr="007C5851" w:rsidRDefault="007B600F" w:rsidP="00BE792F">
      <w:pPr>
        <w:pStyle w:val="ListParagraph"/>
        <w:numPr>
          <w:ilvl w:val="0"/>
          <w:numId w:val="7"/>
        </w:numPr>
        <w:spacing w:after="240"/>
        <w:ind w:left="714" w:hanging="357"/>
        <w:rPr>
          <w:lang w:eastAsia="en-GB"/>
        </w:rPr>
      </w:pPr>
      <w:r w:rsidRPr="007C5851">
        <w:rPr>
          <w:lang w:eastAsia="en-GB"/>
        </w:rPr>
        <w:t>There was no significant difference in post-graduate years on entry for registrars with NZ primary qualifications by ethnicity</w:t>
      </w:r>
      <w:r w:rsidR="00241E9A">
        <w:rPr>
          <w:lang w:eastAsia="en-GB"/>
        </w:rPr>
        <w:t>.</w:t>
      </w:r>
    </w:p>
    <w:p w14:paraId="6A43222A" w14:textId="6141FABF" w:rsidR="00094896" w:rsidRPr="007C5851" w:rsidRDefault="00094896" w:rsidP="009D6200">
      <w:pPr>
        <w:pStyle w:val="Caption"/>
        <w:keepNext/>
        <w:rPr>
          <w:lang w:eastAsia="en-GB"/>
        </w:rPr>
      </w:pPr>
      <w:r>
        <w:lastRenderedPageBreak/>
        <w:t xml:space="preserve">Table </w:t>
      </w:r>
      <w:r>
        <w:fldChar w:fldCharType="begin"/>
      </w:r>
      <w:r>
        <w:instrText>SEQ Table \* ARABIC</w:instrText>
      </w:r>
      <w:r>
        <w:fldChar w:fldCharType="separate"/>
      </w:r>
      <w:r w:rsidR="005E0451">
        <w:rPr>
          <w:noProof/>
        </w:rPr>
        <w:t>2</w:t>
      </w:r>
      <w:r>
        <w:fldChar w:fldCharType="end"/>
      </w:r>
      <w:r>
        <w:t>. Registrar profiles (Source: RNZCGP and MCNZ data)</w:t>
      </w:r>
      <w:r w:rsidR="002827E3">
        <w:rPr>
          <w:rStyle w:val="FootnoteReference"/>
        </w:rPr>
        <w:footnoteReference w:id="14"/>
      </w:r>
    </w:p>
    <w:tbl>
      <w:tblPr>
        <w:tblStyle w:val="MITableClassic1"/>
        <w:tblW w:w="8098" w:type="dxa"/>
        <w:tblLayout w:type="fixed"/>
        <w:tblLook w:val="04A0" w:firstRow="1" w:lastRow="0" w:firstColumn="1" w:lastColumn="0" w:noHBand="0" w:noVBand="1"/>
      </w:tblPr>
      <w:tblGrid>
        <w:gridCol w:w="2262"/>
        <w:gridCol w:w="969"/>
        <w:gridCol w:w="973"/>
        <w:gridCol w:w="970"/>
        <w:gridCol w:w="969"/>
        <w:gridCol w:w="970"/>
        <w:gridCol w:w="967"/>
        <w:gridCol w:w="18"/>
      </w:tblGrid>
      <w:tr w:rsidR="00E66ACF" w:rsidRPr="00E74D3F" w14:paraId="5B57ADB7" w14:textId="77777777" w:rsidTr="00626723">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2262" w:type="dxa"/>
            <w:noWrap/>
            <w:vAlign w:val="bottom"/>
            <w:hideMark/>
          </w:tcPr>
          <w:p w14:paraId="013D8FA9" w14:textId="171FDD49" w:rsidR="00433CB0" w:rsidRPr="00433CB0" w:rsidRDefault="00433CB0" w:rsidP="00C22049">
            <w:pPr>
              <w:spacing w:before="0" w:after="0" w:line="240" w:lineRule="auto"/>
              <w:jc w:val="center"/>
              <w:rPr>
                <w:rFonts w:cs="Calibri"/>
                <w:bCs/>
                <w:sz w:val="20"/>
                <w:szCs w:val="20"/>
              </w:rPr>
            </w:pPr>
            <w:r w:rsidRPr="00433CB0">
              <w:rPr>
                <w:rFonts w:cs="Calibri"/>
                <w:bCs/>
                <w:sz w:val="20"/>
                <w:szCs w:val="20"/>
              </w:rPr>
              <w:t>GPEP Intake Year</w:t>
            </w:r>
          </w:p>
        </w:tc>
        <w:tc>
          <w:tcPr>
            <w:tcW w:w="969" w:type="dxa"/>
            <w:noWrap/>
            <w:vAlign w:val="bottom"/>
            <w:hideMark/>
          </w:tcPr>
          <w:p w14:paraId="31BCEC16"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2015</w:t>
            </w:r>
          </w:p>
        </w:tc>
        <w:tc>
          <w:tcPr>
            <w:tcW w:w="973" w:type="dxa"/>
            <w:noWrap/>
            <w:vAlign w:val="bottom"/>
            <w:hideMark/>
          </w:tcPr>
          <w:p w14:paraId="37B9C97B"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2016</w:t>
            </w:r>
          </w:p>
        </w:tc>
        <w:tc>
          <w:tcPr>
            <w:tcW w:w="970" w:type="dxa"/>
            <w:noWrap/>
            <w:vAlign w:val="bottom"/>
            <w:hideMark/>
          </w:tcPr>
          <w:p w14:paraId="6D734F95"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2017</w:t>
            </w:r>
          </w:p>
        </w:tc>
        <w:tc>
          <w:tcPr>
            <w:tcW w:w="969" w:type="dxa"/>
            <w:noWrap/>
            <w:vAlign w:val="bottom"/>
            <w:hideMark/>
          </w:tcPr>
          <w:p w14:paraId="7BC0EBD4"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2018</w:t>
            </w:r>
          </w:p>
        </w:tc>
        <w:tc>
          <w:tcPr>
            <w:tcW w:w="970" w:type="dxa"/>
            <w:noWrap/>
            <w:vAlign w:val="bottom"/>
            <w:hideMark/>
          </w:tcPr>
          <w:p w14:paraId="33242904"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2019</w:t>
            </w:r>
          </w:p>
        </w:tc>
        <w:tc>
          <w:tcPr>
            <w:tcW w:w="985" w:type="dxa"/>
            <w:gridSpan w:val="2"/>
            <w:noWrap/>
            <w:vAlign w:val="bottom"/>
            <w:hideMark/>
          </w:tcPr>
          <w:p w14:paraId="0D4641D1" w14:textId="77777777" w:rsidR="00433CB0" w:rsidRPr="00433CB0" w:rsidRDefault="00433CB0" w:rsidP="00433CB0">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2020</w:t>
            </w:r>
          </w:p>
        </w:tc>
      </w:tr>
      <w:tr w:rsidR="00433CB0" w:rsidRPr="00094896" w14:paraId="082CD21A" w14:textId="77777777" w:rsidTr="00626723">
        <w:trPr>
          <w:trHeight w:val="288"/>
        </w:trPr>
        <w:tc>
          <w:tcPr>
            <w:cnfStyle w:val="001000000000" w:firstRow="0" w:lastRow="0" w:firstColumn="1" w:lastColumn="0" w:oddVBand="0" w:evenVBand="0" w:oddHBand="0" w:evenHBand="0" w:firstRowFirstColumn="0" w:firstRowLastColumn="0" w:lastRowFirstColumn="0" w:lastRowLastColumn="0"/>
            <w:tcW w:w="2262" w:type="dxa"/>
            <w:noWrap/>
            <w:hideMark/>
          </w:tcPr>
          <w:p w14:paraId="760EA7A9" w14:textId="0968F296" w:rsidR="00433CB0" w:rsidRPr="00094896" w:rsidRDefault="00433CB0" w:rsidP="00F615D9">
            <w:pPr>
              <w:spacing w:before="0" w:after="0" w:line="240" w:lineRule="auto"/>
              <w:jc w:val="right"/>
              <w:rPr>
                <w:rFonts w:cs="Calibri"/>
                <w:color w:val="000000"/>
                <w:sz w:val="20"/>
                <w:szCs w:val="20"/>
              </w:rPr>
            </w:pPr>
            <w:r w:rsidRPr="00094896">
              <w:rPr>
                <w:rFonts w:cs="Calibri"/>
                <w:color w:val="000000"/>
                <w:sz w:val="20"/>
                <w:szCs w:val="20"/>
              </w:rPr>
              <w:t>Total</w:t>
            </w:r>
            <w:r w:rsidR="00F615D9">
              <w:rPr>
                <w:rFonts w:cs="Calibri"/>
                <w:color w:val="000000"/>
                <w:sz w:val="20"/>
                <w:szCs w:val="20"/>
              </w:rPr>
              <w:t xml:space="preserve"> n</w:t>
            </w:r>
            <w:r w:rsidRPr="00094896">
              <w:rPr>
                <w:rFonts w:cs="Calibri"/>
                <w:color w:val="000000"/>
                <w:sz w:val="20"/>
                <w:szCs w:val="20"/>
              </w:rPr>
              <w:t xml:space="preserve">umber of </w:t>
            </w:r>
            <w:r w:rsidR="00F615D9">
              <w:rPr>
                <w:rFonts w:cs="Calibri"/>
                <w:color w:val="000000"/>
                <w:sz w:val="20"/>
                <w:szCs w:val="20"/>
              </w:rPr>
              <w:t>t</w:t>
            </w:r>
            <w:r w:rsidRPr="00094896">
              <w:rPr>
                <w:rFonts w:cs="Calibri"/>
                <w:color w:val="000000"/>
                <w:sz w:val="20"/>
                <w:szCs w:val="20"/>
              </w:rPr>
              <w:t>rainees</w:t>
            </w:r>
            <w:r w:rsidR="000827E0">
              <w:rPr>
                <w:rFonts w:cs="Calibri"/>
                <w:color w:val="000000"/>
                <w:sz w:val="20"/>
                <w:szCs w:val="20"/>
              </w:rPr>
              <w:t xml:space="preserve"> in </w:t>
            </w:r>
            <w:proofErr w:type="gramStart"/>
            <w:r w:rsidR="000827E0">
              <w:rPr>
                <w:rFonts w:cs="Calibri"/>
                <w:color w:val="000000"/>
                <w:sz w:val="20"/>
                <w:szCs w:val="20"/>
              </w:rPr>
              <w:t>College</w:t>
            </w:r>
            <w:proofErr w:type="gramEnd"/>
            <w:r w:rsidR="000827E0">
              <w:rPr>
                <w:rFonts w:cs="Calibri"/>
                <w:color w:val="000000"/>
                <w:sz w:val="20"/>
                <w:szCs w:val="20"/>
              </w:rPr>
              <w:t xml:space="preserve"> data</w:t>
            </w:r>
          </w:p>
        </w:tc>
        <w:tc>
          <w:tcPr>
            <w:tcW w:w="969" w:type="dxa"/>
            <w:noWrap/>
            <w:vAlign w:val="center"/>
            <w:hideMark/>
          </w:tcPr>
          <w:p w14:paraId="2B42EC2B"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184</w:t>
            </w:r>
          </w:p>
        </w:tc>
        <w:tc>
          <w:tcPr>
            <w:tcW w:w="973" w:type="dxa"/>
            <w:noWrap/>
            <w:vAlign w:val="center"/>
            <w:hideMark/>
          </w:tcPr>
          <w:p w14:paraId="416AE525"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241</w:t>
            </w:r>
          </w:p>
        </w:tc>
        <w:tc>
          <w:tcPr>
            <w:tcW w:w="970" w:type="dxa"/>
            <w:noWrap/>
            <w:vAlign w:val="center"/>
            <w:hideMark/>
          </w:tcPr>
          <w:p w14:paraId="3CE586C5"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234</w:t>
            </w:r>
          </w:p>
        </w:tc>
        <w:tc>
          <w:tcPr>
            <w:tcW w:w="969" w:type="dxa"/>
            <w:noWrap/>
            <w:vAlign w:val="center"/>
            <w:hideMark/>
          </w:tcPr>
          <w:p w14:paraId="4C701499"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186</w:t>
            </w:r>
          </w:p>
        </w:tc>
        <w:tc>
          <w:tcPr>
            <w:tcW w:w="970" w:type="dxa"/>
            <w:noWrap/>
            <w:vAlign w:val="center"/>
            <w:hideMark/>
          </w:tcPr>
          <w:p w14:paraId="02D3140B"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170</w:t>
            </w:r>
          </w:p>
        </w:tc>
        <w:tc>
          <w:tcPr>
            <w:tcW w:w="985" w:type="dxa"/>
            <w:gridSpan w:val="2"/>
            <w:noWrap/>
            <w:vAlign w:val="center"/>
            <w:hideMark/>
          </w:tcPr>
          <w:p w14:paraId="76B49108" w14:textId="77777777" w:rsidR="00433CB0" w:rsidRPr="00433CB0" w:rsidRDefault="00433CB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216</w:t>
            </w:r>
          </w:p>
        </w:tc>
      </w:tr>
      <w:tr w:rsidR="000827E0" w:rsidRPr="00094896" w14:paraId="7DA0072A" w14:textId="77777777" w:rsidTr="00626723">
        <w:trPr>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6304FB8F" w14:textId="163A8ED6" w:rsidR="000827E0" w:rsidRPr="00094896" w:rsidRDefault="000827E0" w:rsidP="00F615D9">
            <w:pPr>
              <w:spacing w:before="0" w:after="0" w:line="240" w:lineRule="auto"/>
              <w:jc w:val="right"/>
              <w:rPr>
                <w:rFonts w:cs="Calibri"/>
                <w:color w:val="000000"/>
                <w:sz w:val="20"/>
                <w:szCs w:val="20"/>
              </w:rPr>
            </w:pPr>
            <w:r>
              <w:rPr>
                <w:rFonts w:cs="Calibri"/>
                <w:color w:val="000000"/>
                <w:sz w:val="20"/>
                <w:szCs w:val="20"/>
              </w:rPr>
              <w:t xml:space="preserve">Total contracted </w:t>
            </w:r>
            <w:r w:rsidRPr="00D334C0">
              <w:rPr>
                <w:rFonts w:cs="Calibri"/>
                <w:color w:val="000000"/>
                <w:sz w:val="20"/>
                <w:szCs w:val="20"/>
              </w:rPr>
              <w:t>trainees (</w:t>
            </w:r>
            <w:r w:rsidR="00D334C0" w:rsidRPr="00D334C0">
              <w:rPr>
                <w:sz w:val="20"/>
                <w:szCs w:val="20"/>
              </w:rPr>
              <w:t>Manat</w:t>
            </w:r>
            <w:r w:rsidR="00D334C0" w:rsidRPr="00D334C0">
              <w:rPr>
                <w:rFonts w:cs="Calibri"/>
                <w:sz w:val="20"/>
                <w:szCs w:val="20"/>
              </w:rPr>
              <w:t>ū</w:t>
            </w:r>
            <w:r w:rsidR="00D334C0" w:rsidRPr="00D334C0">
              <w:rPr>
                <w:sz w:val="20"/>
                <w:szCs w:val="20"/>
              </w:rPr>
              <w:t xml:space="preserve"> Hauora</w:t>
            </w:r>
            <w:r w:rsidRPr="00D334C0">
              <w:rPr>
                <w:rFonts w:cs="Calibri"/>
                <w:color w:val="000000"/>
                <w:sz w:val="20"/>
                <w:szCs w:val="20"/>
              </w:rPr>
              <w:t xml:space="preserve"> data)</w:t>
            </w:r>
          </w:p>
        </w:tc>
        <w:tc>
          <w:tcPr>
            <w:tcW w:w="969" w:type="dxa"/>
            <w:noWrap/>
            <w:vAlign w:val="center"/>
          </w:tcPr>
          <w:p w14:paraId="5133985B" w14:textId="77777777" w:rsidR="000827E0" w:rsidRPr="00433CB0" w:rsidRDefault="000827E0"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p>
        </w:tc>
        <w:tc>
          <w:tcPr>
            <w:tcW w:w="973" w:type="dxa"/>
            <w:noWrap/>
            <w:vAlign w:val="center"/>
          </w:tcPr>
          <w:p w14:paraId="4368BB1E" w14:textId="5EE2ED49" w:rsidR="000827E0" w:rsidRPr="00433CB0" w:rsidRDefault="00C75159"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171</w:t>
            </w:r>
          </w:p>
        </w:tc>
        <w:tc>
          <w:tcPr>
            <w:tcW w:w="970" w:type="dxa"/>
            <w:noWrap/>
            <w:vAlign w:val="center"/>
          </w:tcPr>
          <w:p w14:paraId="23DF427F" w14:textId="7CB773F0" w:rsidR="000827E0" w:rsidRPr="00433CB0" w:rsidRDefault="00C75159"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183</w:t>
            </w:r>
          </w:p>
        </w:tc>
        <w:tc>
          <w:tcPr>
            <w:tcW w:w="969" w:type="dxa"/>
            <w:noWrap/>
            <w:vAlign w:val="center"/>
          </w:tcPr>
          <w:p w14:paraId="4706B862" w14:textId="64682F58" w:rsidR="000827E0" w:rsidRPr="00433CB0" w:rsidRDefault="00C75159"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190</w:t>
            </w:r>
          </w:p>
        </w:tc>
        <w:tc>
          <w:tcPr>
            <w:tcW w:w="970" w:type="dxa"/>
            <w:noWrap/>
            <w:vAlign w:val="center"/>
          </w:tcPr>
          <w:p w14:paraId="67DC74EB" w14:textId="69A0B3D9" w:rsidR="000827E0" w:rsidRPr="00433CB0" w:rsidRDefault="00C75159"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193</w:t>
            </w:r>
          </w:p>
        </w:tc>
        <w:tc>
          <w:tcPr>
            <w:tcW w:w="985" w:type="dxa"/>
            <w:gridSpan w:val="2"/>
            <w:noWrap/>
            <w:vAlign w:val="center"/>
          </w:tcPr>
          <w:p w14:paraId="0F7E5C1A" w14:textId="0AF43B15" w:rsidR="000827E0" w:rsidRPr="00433CB0" w:rsidRDefault="00C75159" w:rsidP="00433CB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184</w:t>
            </w:r>
          </w:p>
        </w:tc>
      </w:tr>
      <w:tr w:rsidR="00E66ACF" w:rsidRPr="00094896" w14:paraId="0C848CEA"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3CA04A88" w14:textId="77777777" w:rsidR="00E66ACF" w:rsidRPr="00094896" w:rsidRDefault="00E66ACF" w:rsidP="00F615D9">
            <w:pPr>
              <w:spacing w:before="0" w:after="0" w:line="240" w:lineRule="auto"/>
              <w:jc w:val="right"/>
              <w:rPr>
                <w:rFonts w:cs="Calibri"/>
                <w:color w:val="000000"/>
                <w:sz w:val="20"/>
                <w:szCs w:val="20"/>
              </w:rPr>
            </w:pPr>
            <w:r w:rsidRPr="00094896">
              <w:rPr>
                <w:rFonts w:cs="Calibri"/>
                <w:color w:val="000000"/>
                <w:sz w:val="20"/>
                <w:szCs w:val="20"/>
              </w:rPr>
              <w:t>Medical post-graduate years at entry (mean)</w:t>
            </w:r>
          </w:p>
        </w:tc>
        <w:tc>
          <w:tcPr>
            <w:tcW w:w="969" w:type="dxa"/>
            <w:noWrap/>
            <w:vAlign w:val="center"/>
          </w:tcPr>
          <w:p w14:paraId="6C581A19"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7.9</w:t>
            </w:r>
          </w:p>
        </w:tc>
        <w:tc>
          <w:tcPr>
            <w:tcW w:w="973" w:type="dxa"/>
            <w:noWrap/>
            <w:vAlign w:val="center"/>
          </w:tcPr>
          <w:p w14:paraId="0AEE10FE"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10.1</w:t>
            </w:r>
          </w:p>
        </w:tc>
        <w:tc>
          <w:tcPr>
            <w:tcW w:w="970" w:type="dxa"/>
            <w:noWrap/>
            <w:vAlign w:val="center"/>
          </w:tcPr>
          <w:p w14:paraId="6A0EA6EE"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8</w:t>
            </w:r>
          </w:p>
        </w:tc>
        <w:tc>
          <w:tcPr>
            <w:tcW w:w="969" w:type="dxa"/>
            <w:noWrap/>
            <w:vAlign w:val="center"/>
          </w:tcPr>
          <w:p w14:paraId="4F26DD50"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7.7</w:t>
            </w:r>
          </w:p>
        </w:tc>
        <w:tc>
          <w:tcPr>
            <w:tcW w:w="970" w:type="dxa"/>
            <w:noWrap/>
            <w:vAlign w:val="center"/>
          </w:tcPr>
          <w:p w14:paraId="210532A3"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7.5</w:t>
            </w:r>
          </w:p>
        </w:tc>
        <w:tc>
          <w:tcPr>
            <w:tcW w:w="967" w:type="dxa"/>
            <w:noWrap/>
            <w:vAlign w:val="center"/>
          </w:tcPr>
          <w:p w14:paraId="5F745242" w14:textId="77777777" w:rsidR="00E66ACF" w:rsidRPr="00E74D3F" w:rsidRDefault="00E66ACF" w:rsidP="009C7EE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7.9</w:t>
            </w:r>
          </w:p>
        </w:tc>
      </w:tr>
      <w:tr w:rsidR="00397C7B" w:rsidRPr="00094896" w14:paraId="4C6EE488"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611D9B4D" w14:textId="70649521" w:rsidR="00397C7B" w:rsidRPr="00094896" w:rsidRDefault="00397C7B" w:rsidP="00F615D9">
            <w:pPr>
              <w:spacing w:before="0" w:after="0" w:line="240" w:lineRule="auto"/>
              <w:jc w:val="right"/>
              <w:rPr>
                <w:rFonts w:cs="Calibri"/>
                <w:color w:val="000000"/>
                <w:sz w:val="20"/>
                <w:szCs w:val="20"/>
              </w:rPr>
            </w:pPr>
            <w:r w:rsidRPr="00094896">
              <w:rPr>
                <w:rFonts w:cs="Calibri"/>
                <w:color w:val="000000"/>
                <w:sz w:val="20"/>
                <w:szCs w:val="20"/>
              </w:rPr>
              <w:t>Medical post-graduate years at entry (median)</w:t>
            </w:r>
          </w:p>
        </w:tc>
        <w:tc>
          <w:tcPr>
            <w:tcW w:w="969" w:type="dxa"/>
            <w:noWrap/>
            <w:vAlign w:val="center"/>
          </w:tcPr>
          <w:p w14:paraId="47DBCFF5" w14:textId="1F6B086F"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5.5</w:t>
            </w:r>
          </w:p>
        </w:tc>
        <w:tc>
          <w:tcPr>
            <w:tcW w:w="973" w:type="dxa"/>
            <w:noWrap/>
            <w:vAlign w:val="center"/>
          </w:tcPr>
          <w:p w14:paraId="56C5D4ED" w14:textId="682F4AAF"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w:t>
            </w:r>
          </w:p>
        </w:tc>
        <w:tc>
          <w:tcPr>
            <w:tcW w:w="970" w:type="dxa"/>
            <w:noWrap/>
            <w:vAlign w:val="center"/>
          </w:tcPr>
          <w:p w14:paraId="7E8669A7" w14:textId="79511CE6"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w:t>
            </w:r>
          </w:p>
        </w:tc>
        <w:tc>
          <w:tcPr>
            <w:tcW w:w="969" w:type="dxa"/>
            <w:noWrap/>
            <w:vAlign w:val="center"/>
          </w:tcPr>
          <w:p w14:paraId="0590188B" w14:textId="37CE9107"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w:t>
            </w:r>
          </w:p>
        </w:tc>
        <w:tc>
          <w:tcPr>
            <w:tcW w:w="970" w:type="dxa"/>
            <w:noWrap/>
            <w:vAlign w:val="center"/>
          </w:tcPr>
          <w:p w14:paraId="040A3D21" w14:textId="0A9E7B8F"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w:t>
            </w:r>
          </w:p>
        </w:tc>
        <w:tc>
          <w:tcPr>
            <w:tcW w:w="967" w:type="dxa"/>
            <w:noWrap/>
            <w:vAlign w:val="center"/>
          </w:tcPr>
          <w:p w14:paraId="17D7CA0C" w14:textId="7CF6D165" w:rsidR="00397C7B" w:rsidRPr="00094896" w:rsidRDefault="00397C7B" w:rsidP="00397C7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w:t>
            </w:r>
          </w:p>
        </w:tc>
      </w:tr>
      <w:tr w:rsidR="005E105F" w:rsidRPr="00094896" w14:paraId="2340CB5D"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1BC41866" w14:textId="51E98F61" w:rsidR="005E105F" w:rsidRPr="00094896" w:rsidRDefault="005E105F" w:rsidP="00F615D9">
            <w:pPr>
              <w:spacing w:before="0" w:after="0" w:line="240" w:lineRule="auto"/>
              <w:jc w:val="right"/>
              <w:rPr>
                <w:rFonts w:cs="Calibri"/>
                <w:color w:val="000000"/>
                <w:sz w:val="20"/>
                <w:szCs w:val="20"/>
              </w:rPr>
            </w:pPr>
            <w:r w:rsidRPr="00094896">
              <w:rPr>
                <w:rFonts w:cs="Calibri"/>
                <w:color w:val="000000"/>
                <w:sz w:val="20"/>
                <w:szCs w:val="20"/>
              </w:rPr>
              <w:t xml:space="preserve">% </w:t>
            </w:r>
            <w:r w:rsidR="00F615D9" w:rsidRPr="00094896">
              <w:rPr>
                <w:rFonts w:cs="Calibri"/>
                <w:color w:val="000000"/>
                <w:sz w:val="20"/>
                <w:szCs w:val="20"/>
              </w:rPr>
              <w:t>Female</w:t>
            </w:r>
          </w:p>
        </w:tc>
        <w:tc>
          <w:tcPr>
            <w:tcW w:w="969" w:type="dxa"/>
            <w:noWrap/>
            <w:vAlign w:val="center"/>
          </w:tcPr>
          <w:p w14:paraId="4CE8B64A" w14:textId="2708E37B"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65%</w:t>
            </w:r>
          </w:p>
        </w:tc>
        <w:tc>
          <w:tcPr>
            <w:tcW w:w="973" w:type="dxa"/>
            <w:noWrap/>
            <w:vAlign w:val="center"/>
          </w:tcPr>
          <w:p w14:paraId="16A6240B" w14:textId="1B0BA12E"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61%</w:t>
            </w:r>
          </w:p>
        </w:tc>
        <w:tc>
          <w:tcPr>
            <w:tcW w:w="970" w:type="dxa"/>
            <w:noWrap/>
            <w:vAlign w:val="center"/>
          </w:tcPr>
          <w:p w14:paraId="7EC16C0B" w14:textId="28331DBB"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58%</w:t>
            </w:r>
          </w:p>
        </w:tc>
        <w:tc>
          <w:tcPr>
            <w:tcW w:w="969" w:type="dxa"/>
            <w:noWrap/>
            <w:vAlign w:val="center"/>
          </w:tcPr>
          <w:p w14:paraId="5D5AEF16" w14:textId="4C08555E"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54%</w:t>
            </w:r>
          </w:p>
        </w:tc>
        <w:tc>
          <w:tcPr>
            <w:tcW w:w="970" w:type="dxa"/>
            <w:noWrap/>
            <w:vAlign w:val="center"/>
          </w:tcPr>
          <w:p w14:paraId="0492FA09" w14:textId="76BFC718"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59%</w:t>
            </w:r>
          </w:p>
        </w:tc>
        <w:tc>
          <w:tcPr>
            <w:tcW w:w="967" w:type="dxa"/>
            <w:noWrap/>
            <w:vAlign w:val="center"/>
          </w:tcPr>
          <w:p w14:paraId="158ED2FC" w14:textId="3645DCA7" w:rsidR="005E105F" w:rsidRPr="00094896" w:rsidRDefault="005E105F" w:rsidP="005E105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57%</w:t>
            </w:r>
          </w:p>
        </w:tc>
      </w:tr>
      <w:tr w:rsidR="000F60C4" w:rsidRPr="00094896" w14:paraId="5F46DAA3"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19957660" w14:textId="07E79046" w:rsidR="000F60C4" w:rsidRPr="00094896" w:rsidRDefault="000F60C4" w:rsidP="00F615D9">
            <w:pPr>
              <w:spacing w:before="0" w:after="0" w:line="240" w:lineRule="auto"/>
              <w:jc w:val="right"/>
              <w:rPr>
                <w:rFonts w:cs="Calibri"/>
                <w:color w:val="000000"/>
                <w:sz w:val="20"/>
                <w:szCs w:val="20"/>
              </w:rPr>
            </w:pPr>
            <w:r w:rsidRPr="00E74D3F">
              <w:rPr>
                <w:rFonts w:cs="Calibri"/>
                <w:color w:val="000000"/>
                <w:sz w:val="20"/>
                <w:szCs w:val="20"/>
              </w:rPr>
              <w:t xml:space="preserve">Median </w:t>
            </w:r>
            <w:r w:rsidR="00F615D9">
              <w:rPr>
                <w:rFonts w:cs="Calibri"/>
                <w:color w:val="000000"/>
                <w:sz w:val="20"/>
                <w:szCs w:val="20"/>
              </w:rPr>
              <w:t>a</w:t>
            </w:r>
            <w:r w:rsidRPr="00E74D3F">
              <w:rPr>
                <w:rFonts w:cs="Calibri"/>
                <w:color w:val="000000"/>
                <w:sz w:val="20"/>
                <w:szCs w:val="20"/>
              </w:rPr>
              <w:t>ge (years)</w:t>
            </w:r>
          </w:p>
        </w:tc>
        <w:tc>
          <w:tcPr>
            <w:tcW w:w="969" w:type="dxa"/>
            <w:noWrap/>
            <w:vAlign w:val="center"/>
          </w:tcPr>
          <w:p w14:paraId="15EB098F" w14:textId="1786536D"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30</w:t>
            </w:r>
          </w:p>
        </w:tc>
        <w:tc>
          <w:tcPr>
            <w:tcW w:w="973" w:type="dxa"/>
            <w:noWrap/>
            <w:vAlign w:val="center"/>
          </w:tcPr>
          <w:p w14:paraId="74DA6DC4" w14:textId="173B42A9"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32</w:t>
            </w:r>
          </w:p>
        </w:tc>
        <w:tc>
          <w:tcPr>
            <w:tcW w:w="970" w:type="dxa"/>
            <w:noWrap/>
            <w:vAlign w:val="center"/>
          </w:tcPr>
          <w:p w14:paraId="7AB1E898" w14:textId="5778FA80"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30</w:t>
            </w:r>
          </w:p>
        </w:tc>
        <w:tc>
          <w:tcPr>
            <w:tcW w:w="969" w:type="dxa"/>
            <w:noWrap/>
            <w:vAlign w:val="center"/>
          </w:tcPr>
          <w:p w14:paraId="1634FABE" w14:textId="572EE7AD"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30</w:t>
            </w:r>
          </w:p>
        </w:tc>
        <w:tc>
          <w:tcPr>
            <w:tcW w:w="970" w:type="dxa"/>
            <w:noWrap/>
            <w:vAlign w:val="center"/>
          </w:tcPr>
          <w:p w14:paraId="098417AE" w14:textId="3D7AB642"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30</w:t>
            </w:r>
          </w:p>
        </w:tc>
        <w:tc>
          <w:tcPr>
            <w:tcW w:w="967" w:type="dxa"/>
            <w:noWrap/>
            <w:vAlign w:val="center"/>
          </w:tcPr>
          <w:p w14:paraId="2B8D1AB8" w14:textId="27AED6B9" w:rsidR="000F60C4" w:rsidRPr="00E74D3F" w:rsidRDefault="000F60C4" w:rsidP="000F60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31</w:t>
            </w:r>
          </w:p>
        </w:tc>
      </w:tr>
      <w:tr w:rsidR="00E8570C" w:rsidRPr="00094896" w14:paraId="444A880F"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00B251D2" w14:textId="16878E96" w:rsidR="00E8570C" w:rsidRPr="00E74D3F" w:rsidRDefault="00E8570C" w:rsidP="00F615D9">
            <w:pPr>
              <w:spacing w:before="0" w:after="0" w:line="240" w:lineRule="auto"/>
              <w:jc w:val="right"/>
              <w:rPr>
                <w:rFonts w:cs="Calibri"/>
                <w:color w:val="000000"/>
                <w:sz w:val="20"/>
                <w:szCs w:val="20"/>
              </w:rPr>
            </w:pPr>
            <w:r w:rsidRPr="00E74D3F">
              <w:rPr>
                <w:rFonts w:cs="Calibri"/>
                <w:color w:val="000000"/>
                <w:sz w:val="20"/>
                <w:szCs w:val="20"/>
              </w:rPr>
              <w:t>% Māori</w:t>
            </w:r>
          </w:p>
        </w:tc>
        <w:tc>
          <w:tcPr>
            <w:tcW w:w="969" w:type="dxa"/>
            <w:noWrap/>
            <w:vAlign w:val="center"/>
          </w:tcPr>
          <w:p w14:paraId="53F9A145" w14:textId="629E808D"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8%</w:t>
            </w:r>
          </w:p>
        </w:tc>
        <w:tc>
          <w:tcPr>
            <w:tcW w:w="973" w:type="dxa"/>
            <w:noWrap/>
            <w:vAlign w:val="center"/>
          </w:tcPr>
          <w:p w14:paraId="2AACAA33" w14:textId="75B68267"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7%</w:t>
            </w:r>
          </w:p>
        </w:tc>
        <w:tc>
          <w:tcPr>
            <w:tcW w:w="970" w:type="dxa"/>
            <w:noWrap/>
            <w:vAlign w:val="center"/>
          </w:tcPr>
          <w:p w14:paraId="3D0A30DB" w14:textId="75B599CF"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w:t>
            </w:r>
          </w:p>
        </w:tc>
        <w:tc>
          <w:tcPr>
            <w:tcW w:w="969" w:type="dxa"/>
            <w:noWrap/>
            <w:vAlign w:val="center"/>
          </w:tcPr>
          <w:p w14:paraId="4B012297" w14:textId="52DA85B8"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8%</w:t>
            </w:r>
          </w:p>
        </w:tc>
        <w:tc>
          <w:tcPr>
            <w:tcW w:w="970" w:type="dxa"/>
            <w:noWrap/>
            <w:vAlign w:val="center"/>
          </w:tcPr>
          <w:p w14:paraId="0598DD51" w14:textId="2448D6DC"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9%</w:t>
            </w:r>
          </w:p>
        </w:tc>
        <w:tc>
          <w:tcPr>
            <w:tcW w:w="967" w:type="dxa"/>
            <w:noWrap/>
            <w:vAlign w:val="center"/>
          </w:tcPr>
          <w:p w14:paraId="546F1376" w14:textId="196788CC" w:rsidR="00E8570C" w:rsidRPr="00E74D3F" w:rsidRDefault="00E8570C" w:rsidP="00E8570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9%</w:t>
            </w:r>
          </w:p>
        </w:tc>
      </w:tr>
      <w:tr w:rsidR="00795C7C" w:rsidRPr="00094896" w14:paraId="210F91FB"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478148A0" w14:textId="7239CA7E" w:rsidR="00795C7C" w:rsidRPr="00E74D3F" w:rsidRDefault="00795C7C" w:rsidP="00F615D9">
            <w:pPr>
              <w:spacing w:before="0" w:after="0" w:line="240" w:lineRule="auto"/>
              <w:jc w:val="right"/>
              <w:rPr>
                <w:rFonts w:cs="Calibri"/>
                <w:color w:val="000000"/>
                <w:sz w:val="20"/>
                <w:szCs w:val="20"/>
              </w:rPr>
            </w:pPr>
            <w:r w:rsidRPr="00E74D3F">
              <w:rPr>
                <w:rFonts w:cs="Calibri"/>
                <w:color w:val="000000"/>
                <w:sz w:val="20"/>
                <w:szCs w:val="20"/>
              </w:rPr>
              <w:t>% Pacific</w:t>
            </w:r>
          </w:p>
        </w:tc>
        <w:tc>
          <w:tcPr>
            <w:tcW w:w="969" w:type="dxa"/>
            <w:noWrap/>
            <w:vAlign w:val="center"/>
          </w:tcPr>
          <w:p w14:paraId="45CBFB4A" w14:textId="2E1A4A0C"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1%</w:t>
            </w:r>
          </w:p>
        </w:tc>
        <w:tc>
          <w:tcPr>
            <w:tcW w:w="973" w:type="dxa"/>
            <w:noWrap/>
            <w:vAlign w:val="center"/>
          </w:tcPr>
          <w:p w14:paraId="3D742591" w14:textId="41977504"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w:t>
            </w:r>
          </w:p>
        </w:tc>
        <w:tc>
          <w:tcPr>
            <w:tcW w:w="970" w:type="dxa"/>
            <w:noWrap/>
            <w:vAlign w:val="center"/>
          </w:tcPr>
          <w:p w14:paraId="2BD203CB" w14:textId="6A70FF4E"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w:t>
            </w:r>
          </w:p>
        </w:tc>
        <w:tc>
          <w:tcPr>
            <w:tcW w:w="969" w:type="dxa"/>
            <w:noWrap/>
            <w:vAlign w:val="center"/>
          </w:tcPr>
          <w:p w14:paraId="32E84D9A" w14:textId="0BFF3FE9"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w:t>
            </w:r>
          </w:p>
        </w:tc>
        <w:tc>
          <w:tcPr>
            <w:tcW w:w="970" w:type="dxa"/>
            <w:noWrap/>
            <w:vAlign w:val="center"/>
          </w:tcPr>
          <w:p w14:paraId="14F5D208" w14:textId="5A4388B0"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w:t>
            </w:r>
          </w:p>
        </w:tc>
        <w:tc>
          <w:tcPr>
            <w:tcW w:w="967" w:type="dxa"/>
            <w:noWrap/>
            <w:vAlign w:val="center"/>
          </w:tcPr>
          <w:p w14:paraId="35874284" w14:textId="6BDFA6DF" w:rsidR="00795C7C" w:rsidRPr="00E74D3F" w:rsidRDefault="00795C7C" w:rsidP="00795C7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w:t>
            </w:r>
          </w:p>
        </w:tc>
      </w:tr>
      <w:tr w:rsidR="00E240E3" w:rsidRPr="00094896" w14:paraId="15B59D95"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20ADA61A" w14:textId="6B4849E1" w:rsidR="00E240E3" w:rsidRPr="00E74D3F" w:rsidRDefault="00E240E3" w:rsidP="00F615D9">
            <w:pPr>
              <w:spacing w:before="0" w:after="0" w:line="240" w:lineRule="auto"/>
              <w:jc w:val="right"/>
              <w:rPr>
                <w:rFonts w:cs="Calibri"/>
                <w:color w:val="000000"/>
                <w:sz w:val="20"/>
                <w:szCs w:val="20"/>
              </w:rPr>
            </w:pPr>
            <w:r w:rsidRPr="00E74D3F">
              <w:rPr>
                <w:rFonts w:cs="Calibri"/>
                <w:color w:val="000000"/>
                <w:sz w:val="20"/>
                <w:szCs w:val="20"/>
              </w:rPr>
              <w:t>% Asian</w:t>
            </w:r>
          </w:p>
        </w:tc>
        <w:tc>
          <w:tcPr>
            <w:tcW w:w="969" w:type="dxa"/>
            <w:noWrap/>
            <w:vAlign w:val="center"/>
          </w:tcPr>
          <w:p w14:paraId="40CA09FD" w14:textId="4F472DE1"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36%</w:t>
            </w:r>
          </w:p>
        </w:tc>
        <w:tc>
          <w:tcPr>
            <w:tcW w:w="973" w:type="dxa"/>
            <w:noWrap/>
            <w:vAlign w:val="center"/>
          </w:tcPr>
          <w:p w14:paraId="21EE00E2" w14:textId="78B8039A"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36%</w:t>
            </w:r>
          </w:p>
        </w:tc>
        <w:tc>
          <w:tcPr>
            <w:tcW w:w="970" w:type="dxa"/>
            <w:noWrap/>
            <w:vAlign w:val="center"/>
          </w:tcPr>
          <w:p w14:paraId="42A4AD00" w14:textId="466F163E"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32%</w:t>
            </w:r>
          </w:p>
        </w:tc>
        <w:tc>
          <w:tcPr>
            <w:tcW w:w="969" w:type="dxa"/>
            <w:noWrap/>
            <w:vAlign w:val="center"/>
          </w:tcPr>
          <w:p w14:paraId="428DBD1B" w14:textId="2EB5268F"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32%</w:t>
            </w:r>
          </w:p>
        </w:tc>
        <w:tc>
          <w:tcPr>
            <w:tcW w:w="970" w:type="dxa"/>
            <w:noWrap/>
            <w:vAlign w:val="center"/>
          </w:tcPr>
          <w:p w14:paraId="529C820F" w14:textId="76951436"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28%</w:t>
            </w:r>
          </w:p>
        </w:tc>
        <w:tc>
          <w:tcPr>
            <w:tcW w:w="967" w:type="dxa"/>
            <w:noWrap/>
            <w:vAlign w:val="center"/>
          </w:tcPr>
          <w:p w14:paraId="59365DB4" w14:textId="50355AC5" w:rsidR="00E240E3" w:rsidRPr="00E74D3F" w:rsidRDefault="00E240E3" w:rsidP="00E240E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33%</w:t>
            </w:r>
          </w:p>
        </w:tc>
      </w:tr>
      <w:tr w:rsidR="00D32CC2" w:rsidRPr="00094896" w14:paraId="2A43C0C2"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6A8AC1BF" w14:textId="76A2F82C" w:rsidR="00D32CC2" w:rsidRPr="00E74D3F" w:rsidRDefault="00D32CC2" w:rsidP="00F615D9">
            <w:pPr>
              <w:spacing w:before="0" w:after="0" w:line="240" w:lineRule="auto"/>
              <w:jc w:val="right"/>
              <w:rPr>
                <w:rFonts w:cs="Calibri"/>
                <w:color w:val="000000"/>
                <w:sz w:val="20"/>
                <w:szCs w:val="20"/>
              </w:rPr>
            </w:pPr>
            <w:r w:rsidRPr="00E74D3F">
              <w:rPr>
                <w:rFonts w:cs="Calibri"/>
                <w:color w:val="000000"/>
                <w:sz w:val="20"/>
                <w:szCs w:val="20"/>
              </w:rPr>
              <w:t xml:space="preserve">% </w:t>
            </w:r>
            <w:r w:rsidR="00F615D9" w:rsidRPr="00E74D3F">
              <w:rPr>
                <w:rFonts w:cs="Calibri"/>
                <w:color w:val="000000"/>
                <w:sz w:val="20"/>
                <w:szCs w:val="20"/>
              </w:rPr>
              <w:t>European/other</w:t>
            </w:r>
          </w:p>
        </w:tc>
        <w:tc>
          <w:tcPr>
            <w:tcW w:w="969" w:type="dxa"/>
            <w:noWrap/>
            <w:vAlign w:val="center"/>
          </w:tcPr>
          <w:p w14:paraId="68379C85" w14:textId="4146A868"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60%</w:t>
            </w:r>
          </w:p>
        </w:tc>
        <w:tc>
          <w:tcPr>
            <w:tcW w:w="973" w:type="dxa"/>
            <w:noWrap/>
            <w:vAlign w:val="center"/>
          </w:tcPr>
          <w:p w14:paraId="387C75E1" w14:textId="4EB76EC7"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60%</w:t>
            </w:r>
          </w:p>
        </w:tc>
        <w:tc>
          <w:tcPr>
            <w:tcW w:w="970" w:type="dxa"/>
            <w:noWrap/>
            <w:vAlign w:val="center"/>
          </w:tcPr>
          <w:p w14:paraId="19C3113B" w14:textId="6E21AFB1"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63%</w:t>
            </w:r>
          </w:p>
        </w:tc>
        <w:tc>
          <w:tcPr>
            <w:tcW w:w="969" w:type="dxa"/>
            <w:noWrap/>
            <w:vAlign w:val="center"/>
          </w:tcPr>
          <w:p w14:paraId="6B78CBC3" w14:textId="1D5E0C9E"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60%</w:t>
            </w:r>
          </w:p>
        </w:tc>
        <w:tc>
          <w:tcPr>
            <w:tcW w:w="970" w:type="dxa"/>
            <w:noWrap/>
            <w:vAlign w:val="center"/>
          </w:tcPr>
          <w:p w14:paraId="142DF50C" w14:textId="3C16D1DB"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66%</w:t>
            </w:r>
          </w:p>
        </w:tc>
        <w:tc>
          <w:tcPr>
            <w:tcW w:w="967" w:type="dxa"/>
            <w:noWrap/>
            <w:vAlign w:val="center"/>
          </w:tcPr>
          <w:p w14:paraId="421E94EB" w14:textId="527D8AD6" w:rsidR="00D32CC2" w:rsidRPr="00E74D3F" w:rsidRDefault="00D32CC2" w:rsidP="00D32CC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58%</w:t>
            </w:r>
          </w:p>
        </w:tc>
      </w:tr>
      <w:tr w:rsidR="00F06E6C" w:rsidRPr="00094896" w14:paraId="586B4712" w14:textId="77777777" w:rsidTr="00626723">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115DF17E" w14:textId="42BD6AA5" w:rsidR="00F06E6C" w:rsidRPr="00094896" w:rsidRDefault="00F06E6C" w:rsidP="00F615D9">
            <w:pPr>
              <w:spacing w:before="0" w:after="0" w:line="240" w:lineRule="auto"/>
              <w:jc w:val="right"/>
              <w:rPr>
                <w:rFonts w:cs="Calibri"/>
                <w:color w:val="000000"/>
                <w:sz w:val="20"/>
                <w:szCs w:val="20"/>
              </w:rPr>
            </w:pPr>
            <w:r w:rsidRPr="00094896">
              <w:rPr>
                <w:rFonts w:cs="Calibri"/>
                <w:color w:val="000000"/>
                <w:sz w:val="20"/>
                <w:szCs w:val="20"/>
              </w:rPr>
              <w:t>% Overseas trained</w:t>
            </w:r>
          </w:p>
        </w:tc>
        <w:tc>
          <w:tcPr>
            <w:tcW w:w="969" w:type="dxa"/>
            <w:noWrap/>
            <w:vAlign w:val="center"/>
          </w:tcPr>
          <w:p w14:paraId="5C0637D4" w14:textId="766448DE"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34%</w:t>
            </w:r>
          </w:p>
        </w:tc>
        <w:tc>
          <w:tcPr>
            <w:tcW w:w="973" w:type="dxa"/>
            <w:noWrap/>
            <w:vAlign w:val="center"/>
          </w:tcPr>
          <w:p w14:paraId="75989DAC" w14:textId="004C7180"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32%</w:t>
            </w:r>
          </w:p>
        </w:tc>
        <w:tc>
          <w:tcPr>
            <w:tcW w:w="970" w:type="dxa"/>
            <w:noWrap/>
            <w:vAlign w:val="center"/>
          </w:tcPr>
          <w:p w14:paraId="7AE5D1A2" w14:textId="0FAAF0ED"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27%</w:t>
            </w:r>
          </w:p>
        </w:tc>
        <w:tc>
          <w:tcPr>
            <w:tcW w:w="969" w:type="dxa"/>
            <w:noWrap/>
            <w:vAlign w:val="center"/>
          </w:tcPr>
          <w:p w14:paraId="5DA82152" w14:textId="2BE97B22"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32%</w:t>
            </w:r>
          </w:p>
        </w:tc>
        <w:tc>
          <w:tcPr>
            <w:tcW w:w="970" w:type="dxa"/>
            <w:noWrap/>
            <w:vAlign w:val="center"/>
          </w:tcPr>
          <w:p w14:paraId="16132F2B" w14:textId="372590B0"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29%</w:t>
            </w:r>
          </w:p>
        </w:tc>
        <w:tc>
          <w:tcPr>
            <w:tcW w:w="967" w:type="dxa"/>
            <w:noWrap/>
            <w:vAlign w:val="center"/>
          </w:tcPr>
          <w:p w14:paraId="79053911" w14:textId="372C8AFA" w:rsidR="00F06E6C" w:rsidRPr="00E74D3F" w:rsidRDefault="00F06E6C" w:rsidP="00F06E6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74D3F">
              <w:rPr>
                <w:rFonts w:cs="Calibri"/>
                <w:color w:val="000000"/>
                <w:sz w:val="20"/>
                <w:szCs w:val="20"/>
              </w:rPr>
              <w:t>36%</w:t>
            </w:r>
          </w:p>
        </w:tc>
      </w:tr>
    </w:tbl>
    <w:p w14:paraId="63619525" w14:textId="47382D07" w:rsidR="00A07D7B" w:rsidRPr="00CB5526" w:rsidRDefault="00BE2787" w:rsidP="00A16840">
      <w:pPr>
        <w:pStyle w:val="Heading2"/>
      </w:pPr>
      <w:bookmarkStart w:id="37" w:name="_Toc105853898"/>
      <w:r>
        <w:t>Reasons for</w:t>
      </w:r>
      <w:r w:rsidR="00A07D7B" w:rsidRPr="00CB5526">
        <w:t xml:space="preserve"> selection of general practice as a vocation</w:t>
      </w:r>
      <w:bookmarkEnd w:id="37"/>
    </w:p>
    <w:p w14:paraId="31D84D52" w14:textId="553B730E" w:rsidR="00DE3D74" w:rsidRDefault="00DE3D74" w:rsidP="00DE3D74">
      <w:pPr>
        <w:rPr>
          <w:rFonts w:eastAsiaTheme="minorHAnsi"/>
          <w:lang w:eastAsia="en-GB"/>
        </w:rPr>
      </w:pPr>
      <w:r>
        <w:rPr>
          <w:rFonts w:eastAsiaTheme="minorHAnsi"/>
          <w:lang w:eastAsia="en-GB"/>
        </w:rPr>
        <w:t xml:space="preserve">The most </w:t>
      </w:r>
      <w:r w:rsidR="00884AE1">
        <w:rPr>
          <w:rFonts w:eastAsiaTheme="minorHAnsi"/>
          <w:lang w:eastAsia="en-GB"/>
        </w:rPr>
        <w:t xml:space="preserve">highly rated </w:t>
      </w:r>
      <w:r w:rsidR="000900BA">
        <w:rPr>
          <w:rFonts w:eastAsiaTheme="minorHAnsi"/>
          <w:lang w:eastAsia="en-GB"/>
        </w:rPr>
        <w:t>reasons</w:t>
      </w:r>
      <w:r>
        <w:rPr>
          <w:rFonts w:eastAsiaTheme="minorHAnsi"/>
          <w:lang w:eastAsia="en-GB"/>
        </w:rPr>
        <w:t xml:space="preserve"> </w:t>
      </w:r>
      <w:r w:rsidR="003D4410">
        <w:rPr>
          <w:rFonts w:eastAsiaTheme="minorHAnsi"/>
          <w:lang w:eastAsia="en-GB"/>
        </w:rPr>
        <w:t>survey respondents gave for</w:t>
      </w:r>
      <w:r w:rsidR="00376261">
        <w:rPr>
          <w:rFonts w:eastAsiaTheme="minorHAnsi"/>
          <w:lang w:eastAsia="en-GB"/>
        </w:rPr>
        <w:t xml:space="preserve"> </w:t>
      </w:r>
      <w:r w:rsidR="000900BA">
        <w:rPr>
          <w:rFonts w:eastAsiaTheme="minorHAnsi"/>
          <w:lang w:eastAsia="en-GB"/>
        </w:rPr>
        <w:t xml:space="preserve">entering </w:t>
      </w:r>
      <w:r w:rsidR="00376261">
        <w:rPr>
          <w:rFonts w:eastAsiaTheme="minorHAnsi"/>
          <w:lang w:eastAsia="en-GB"/>
        </w:rPr>
        <w:t>GPEP w</w:t>
      </w:r>
      <w:r w:rsidR="000900BA">
        <w:rPr>
          <w:rFonts w:eastAsiaTheme="minorHAnsi"/>
          <w:lang w:eastAsia="en-GB"/>
        </w:rPr>
        <w:t>ere</w:t>
      </w:r>
      <w:r w:rsidR="00376261">
        <w:rPr>
          <w:rFonts w:eastAsiaTheme="minorHAnsi"/>
          <w:lang w:eastAsia="en-GB"/>
        </w:rPr>
        <w:t xml:space="preserve"> the flexible hours and opportunity to train part-time</w:t>
      </w:r>
      <w:r w:rsidR="001D41E4">
        <w:rPr>
          <w:rFonts w:eastAsiaTheme="minorHAnsi"/>
          <w:lang w:eastAsia="en-GB"/>
        </w:rPr>
        <w:t xml:space="preserve"> (</w:t>
      </w:r>
      <w:r w:rsidR="001D41E4">
        <w:rPr>
          <w:rFonts w:eastAsiaTheme="minorHAnsi"/>
          <w:lang w:eastAsia="en-GB"/>
        </w:rPr>
        <w:fldChar w:fldCharType="begin"/>
      </w:r>
      <w:r w:rsidR="001D41E4">
        <w:rPr>
          <w:rFonts w:eastAsiaTheme="minorHAnsi"/>
          <w:lang w:eastAsia="en-GB"/>
        </w:rPr>
        <w:instrText xml:space="preserve"> REF _Ref104111710 \h </w:instrText>
      </w:r>
      <w:r w:rsidR="001D41E4">
        <w:rPr>
          <w:rFonts w:eastAsiaTheme="minorHAnsi"/>
          <w:lang w:eastAsia="en-GB"/>
        </w:rPr>
      </w:r>
      <w:r w:rsidR="001D41E4">
        <w:rPr>
          <w:rFonts w:eastAsiaTheme="minorHAnsi"/>
          <w:lang w:eastAsia="en-GB"/>
        </w:rPr>
        <w:fldChar w:fldCharType="separate"/>
      </w:r>
      <w:r w:rsidR="005E0451">
        <w:t xml:space="preserve">Figure </w:t>
      </w:r>
      <w:r w:rsidR="005E0451">
        <w:rPr>
          <w:noProof/>
        </w:rPr>
        <w:t>2</w:t>
      </w:r>
      <w:r w:rsidR="001D41E4">
        <w:rPr>
          <w:rFonts w:eastAsiaTheme="minorHAnsi"/>
          <w:lang w:eastAsia="en-GB"/>
        </w:rPr>
        <w:fldChar w:fldCharType="end"/>
      </w:r>
      <w:r w:rsidR="001D41E4">
        <w:rPr>
          <w:rFonts w:eastAsiaTheme="minorHAnsi"/>
          <w:lang w:eastAsia="en-GB"/>
        </w:rPr>
        <w:t>)</w:t>
      </w:r>
      <w:r w:rsidR="00376261">
        <w:rPr>
          <w:rFonts w:eastAsiaTheme="minorHAnsi"/>
          <w:lang w:eastAsia="en-GB"/>
        </w:rPr>
        <w:t xml:space="preserve">. </w:t>
      </w:r>
      <w:r w:rsidR="00BB3E6B">
        <w:rPr>
          <w:rFonts w:eastAsiaTheme="minorHAnsi"/>
          <w:lang w:eastAsia="en-GB"/>
        </w:rPr>
        <w:t>Re</w:t>
      </w:r>
      <w:r>
        <w:rPr>
          <w:rFonts w:eastAsiaTheme="minorHAnsi"/>
          <w:lang w:eastAsia="en-GB"/>
        </w:rPr>
        <w:t xml:space="preserve">gistrars compared the long-rostered shifts in the hospital to the flexibility and work life balance of general practice. </w:t>
      </w:r>
      <w:r w:rsidR="00BB3E6B">
        <w:rPr>
          <w:rFonts w:eastAsiaTheme="minorHAnsi"/>
          <w:lang w:eastAsia="en-GB"/>
        </w:rPr>
        <w:t>F</w:t>
      </w:r>
      <w:r>
        <w:rPr>
          <w:rFonts w:eastAsiaTheme="minorHAnsi"/>
          <w:lang w:eastAsia="en-GB"/>
        </w:rPr>
        <w:t xml:space="preserve">lexibility and family-friendly hours were particularly attractive to registrars who had young families or wanted to start families. </w:t>
      </w:r>
    </w:p>
    <w:p w14:paraId="521B0699" w14:textId="32901AED" w:rsidR="00DE3D74" w:rsidRDefault="00DE3D74" w:rsidP="00DE3D74">
      <w:pPr>
        <w:pStyle w:val="Quotes"/>
        <w:rPr>
          <w:rFonts w:eastAsiaTheme="minorHAnsi"/>
        </w:rPr>
      </w:pPr>
      <w:r w:rsidRPr="00604E95">
        <w:t>No other speciality offers such flexibility from so early on as GP. I was a parent of three children</w:t>
      </w:r>
      <w:r>
        <w:t>.</w:t>
      </w:r>
      <w:r w:rsidRPr="00604E95">
        <w:t xml:space="preserve"> </w:t>
      </w:r>
      <w:r>
        <w:t>(</w:t>
      </w:r>
      <w:r w:rsidR="005A0F8E">
        <w:t xml:space="preserve">Survey data - </w:t>
      </w:r>
      <w:r>
        <w:t>Registrar)</w:t>
      </w:r>
    </w:p>
    <w:p w14:paraId="71D9042E" w14:textId="77777777" w:rsidR="00DE3D74" w:rsidRPr="00BC2953" w:rsidRDefault="00DE3D74" w:rsidP="00DE3D74">
      <w:pPr>
        <w:pStyle w:val="Malanorm"/>
        <w:rPr>
          <w:rFonts w:cs="Calibri"/>
        </w:rPr>
      </w:pPr>
      <w:r w:rsidRPr="00BC2953">
        <w:rPr>
          <w:rFonts w:cs="Calibri"/>
        </w:rPr>
        <w:lastRenderedPageBreak/>
        <w:t>However, a key implication of flexible and family-friendly hours is a lower income compared to DHB-employed registrars with the potential to supplement their base salaries with overtime hours.</w:t>
      </w:r>
    </w:p>
    <w:p w14:paraId="6C950AA4" w14:textId="7700391B" w:rsidR="00EA0679" w:rsidRDefault="00954B8F" w:rsidP="0084002B">
      <w:pPr>
        <w:pStyle w:val="Caption"/>
      </w:pPr>
      <w:r>
        <w:rPr>
          <w:noProof/>
        </w:rPr>
        <w:drawing>
          <wp:inline distT="0" distB="0" distL="0" distR="0" wp14:anchorId="24FED9AC" wp14:editId="5F010433">
            <wp:extent cx="4844005" cy="3569970"/>
            <wp:effectExtent l="0" t="0" r="0" b="0"/>
            <wp:docPr id="42" name="Picture 35" descr="Chart, bar chart&#10;&#10;Description automatically generated">
              <a:extLst xmlns:a="http://schemas.openxmlformats.org/drawingml/2006/main">
                <a:ext uri="{FF2B5EF4-FFF2-40B4-BE49-F238E27FC236}">
                  <a16:creationId xmlns:a16="http://schemas.microsoft.com/office/drawing/2014/main" id="{3848E59D-BAB7-E37B-A440-59CD7F4BE2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5" descr="Chart, bar chart&#10;&#10;Description automatically generated">
                      <a:extLst>
                        <a:ext uri="{FF2B5EF4-FFF2-40B4-BE49-F238E27FC236}">
                          <a16:creationId xmlns:a16="http://schemas.microsoft.com/office/drawing/2014/main" id="{3848E59D-BAB7-E37B-A440-59CD7F4BE28A}"/>
                        </a:ext>
                      </a:extLst>
                    </pic:cNvPr>
                    <pic:cNvPicPr>
                      <a:picLocks noChangeAspect="1"/>
                    </pic:cNvPicPr>
                  </pic:nvPicPr>
                  <pic:blipFill>
                    <a:blip r:embed="rId18"/>
                    <a:stretch>
                      <a:fillRect/>
                    </a:stretch>
                  </pic:blipFill>
                  <pic:spPr>
                    <a:xfrm>
                      <a:off x="0" y="0"/>
                      <a:ext cx="4861494" cy="3582859"/>
                    </a:xfrm>
                    <a:prstGeom prst="rect">
                      <a:avLst/>
                    </a:prstGeom>
                  </pic:spPr>
                </pic:pic>
              </a:graphicData>
            </a:graphic>
          </wp:inline>
        </w:drawing>
      </w:r>
    </w:p>
    <w:p w14:paraId="2CC61424" w14:textId="0EA26AA6" w:rsidR="00EA0679" w:rsidRDefault="00EA0679" w:rsidP="0084002B">
      <w:pPr>
        <w:pStyle w:val="Caption"/>
      </w:pPr>
      <w:bookmarkStart w:id="38" w:name="_Ref104111710"/>
      <w:r>
        <w:t xml:space="preserve">Figure </w:t>
      </w:r>
      <w:r>
        <w:fldChar w:fldCharType="begin"/>
      </w:r>
      <w:r>
        <w:instrText>SEQ Figure \* ARABIC</w:instrText>
      </w:r>
      <w:r>
        <w:fldChar w:fldCharType="separate"/>
      </w:r>
      <w:r w:rsidR="005E0451">
        <w:rPr>
          <w:noProof/>
        </w:rPr>
        <w:t>2</w:t>
      </w:r>
      <w:r>
        <w:fldChar w:fldCharType="end"/>
      </w:r>
      <w:bookmarkEnd w:id="38"/>
      <w:r>
        <w:t>.</w:t>
      </w:r>
      <w:r w:rsidRPr="00541D2F">
        <w:t xml:space="preserve"> </w:t>
      </w:r>
      <w:r w:rsidR="00C72195">
        <w:t>Current and past r</w:t>
      </w:r>
      <w:r w:rsidRPr="00541D2F">
        <w:t xml:space="preserve">egistrar survey </w:t>
      </w:r>
      <w:r w:rsidR="00BE2787">
        <w:t xml:space="preserve">– reasons for selecting </w:t>
      </w:r>
      <w:r w:rsidRPr="00541D2F">
        <w:t>GPEP</w:t>
      </w:r>
      <w:r w:rsidR="00BE2787">
        <w:t xml:space="preserve">. All </w:t>
      </w:r>
      <w:r w:rsidR="007950C3">
        <w:t>statements</w:t>
      </w:r>
      <w:r w:rsidR="00BE2787">
        <w:t xml:space="preserve"> were rated</w:t>
      </w:r>
      <w:r w:rsidRPr="00541D2F">
        <w:t xml:space="preserve"> on a 1 (not at all important) to 4 (very important) scale (n=411-413).</w:t>
      </w:r>
    </w:p>
    <w:p w14:paraId="6A4822D0" w14:textId="6D6F6EF3" w:rsidR="00542591" w:rsidRPr="00BC2953" w:rsidRDefault="00542591" w:rsidP="00542591">
      <w:r>
        <w:t>Those who worked part-time considered flexible hours</w:t>
      </w:r>
      <w:r>
        <w:rPr>
          <w:rStyle w:val="FootnoteReference"/>
          <w:rFonts w:cs="Calibri"/>
        </w:rPr>
        <w:footnoteReference w:id="15"/>
      </w:r>
      <w:r>
        <w:t xml:space="preserve"> more of an incentive with means of 3.32 for full-time and 3.66 for part-time registrars</w:t>
      </w:r>
      <w:r>
        <w:rPr>
          <w:rStyle w:val="FootnoteReference"/>
          <w:rFonts w:cs="Calibri"/>
        </w:rPr>
        <w:footnoteReference w:id="16"/>
      </w:r>
      <w:r>
        <w:t>. Females were more likely than males to rate flexibility of hours highly</w:t>
      </w:r>
      <w:r>
        <w:rPr>
          <w:rStyle w:val="FootnoteReference"/>
          <w:rFonts w:cs="Calibri"/>
        </w:rPr>
        <w:footnoteReference w:id="17"/>
      </w:r>
      <w:r>
        <w:t xml:space="preserve">. </w:t>
      </w:r>
    </w:p>
    <w:p w14:paraId="46511958" w14:textId="00F108A9" w:rsidR="00AA5A75" w:rsidRDefault="00AA5A75" w:rsidP="00AA5A75">
      <w:r>
        <w:lastRenderedPageBreak/>
        <w:t>Registrars who worked full-time were significantly more likely to rate working as part of a primary care team</w:t>
      </w:r>
      <w:r>
        <w:rPr>
          <w:rStyle w:val="FootnoteReference"/>
          <w:rFonts w:cs="Calibri"/>
        </w:rPr>
        <w:footnoteReference w:id="18"/>
      </w:r>
      <w:r>
        <w:t xml:space="preserve"> and positive general practitioner role models</w:t>
      </w:r>
      <w:r>
        <w:rPr>
          <w:rStyle w:val="FootnoteReference"/>
          <w:rFonts w:cs="Calibri"/>
        </w:rPr>
        <w:footnoteReference w:id="19"/>
      </w:r>
      <w:r>
        <w:t xml:space="preserve"> as </w:t>
      </w:r>
      <w:r w:rsidR="000900BA">
        <w:t xml:space="preserve">incentives to enter GPEP </w:t>
      </w:r>
      <w:r>
        <w:t xml:space="preserve">compared to those who worked part-time. </w:t>
      </w:r>
      <w:r w:rsidR="00542591">
        <w:t>Positive general practitioner roles were rated more highly</w:t>
      </w:r>
      <w:r w:rsidR="00514427">
        <w:t xml:space="preserve"> by</w:t>
      </w:r>
      <w:r w:rsidR="00542591">
        <w:t xml:space="preserve"> males than females</w:t>
      </w:r>
      <w:r w:rsidR="00542591">
        <w:rPr>
          <w:rStyle w:val="FootnoteReference"/>
          <w:rFonts w:cs="Calibri"/>
        </w:rPr>
        <w:footnoteReference w:id="20"/>
      </w:r>
      <w:r w:rsidR="00542591">
        <w:t>.</w:t>
      </w:r>
    </w:p>
    <w:p w14:paraId="07AECAB0" w14:textId="6CEB8C98" w:rsidR="00506724" w:rsidRDefault="00506724" w:rsidP="00AA5A75">
      <w:pPr>
        <w:pStyle w:val="Malanorm"/>
      </w:pPr>
      <w:r>
        <w:t xml:space="preserve">It was evident through interviews and survey analysis that </w:t>
      </w:r>
      <w:r w:rsidR="007830FE">
        <w:t>the importance</w:t>
      </w:r>
      <w:r>
        <w:t xml:space="preserve"> of primary care in the Aotearoa New Zealand health care system</w:t>
      </w:r>
      <w:r w:rsidR="007830FE">
        <w:t xml:space="preserve"> was </w:t>
      </w:r>
      <w:r w:rsidR="00AB4183">
        <w:t>also a</w:t>
      </w:r>
      <w:r w:rsidR="00194E51">
        <w:t xml:space="preserve"> </w:t>
      </w:r>
      <w:r w:rsidR="007830FE">
        <w:t xml:space="preserve">reason for </w:t>
      </w:r>
      <w:r w:rsidR="000E4CE2">
        <w:t xml:space="preserve">deciding to become a </w:t>
      </w:r>
      <w:r w:rsidR="00194E51">
        <w:t>GP</w:t>
      </w:r>
      <w:r>
        <w:t xml:space="preserve">. </w:t>
      </w:r>
      <w:r w:rsidR="00407D8F">
        <w:t>Registrars gave examples of patients they had treated</w:t>
      </w:r>
      <w:r>
        <w:t xml:space="preserve"> in the hospital system </w:t>
      </w:r>
      <w:r w:rsidR="000737FA">
        <w:t xml:space="preserve">for whom treatment in general practice </w:t>
      </w:r>
      <w:r>
        <w:t xml:space="preserve">could have prevented </w:t>
      </w:r>
      <w:r w:rsidR="000737FA">
        <w:t>the need for</w:t>
      </w:r>
      <w:r>
        <w:t xml:space="preserve"> secondary care. The idea of supporting and treating patients rather than being </w:t>
      </w:r>
      <w:r w:rsidRPr="00127CAE">
        <w:rPr>
          <w:rFonts w:cs="Times New Roman"/>
          <w:i/>
          <w:noProof/>
          <w:color w:val="953735" w:themeColor="accent2"/>
          <w:sz w:val="20"/>
          <w:szCs w:val="20"/>
        </w:rPr>
        <w:t>the ambulance at the bottom of the cliff</w:t>
      </w:r>
      <w:r>
        <w:t xml:space="preserve"> appealed to registrars who understood and valued general practice. </w:t>
      </w:r>
    </w:p>
    <w:p w14:paraId="57A2884B" w14:textId="74B5688C" w:rsidR="00506724" w:rsidRDefault="00506724" w:rsidP="00506724">
      <w:pPr>
        <w:pStyle w:val="Quotes"/>
      </w:pPr>
      <w:r w:rsidRPr="00BA2288">
        <w:t>I saw so many patient</w:t>
      </w:r>
      <w:r w:rsidR="005F7208">
        <w:t>s</w:t>
      </w:r>
      <w:r w:rsidRPr="00BA2288">
        <w:t xml:space="preserve"> in the hospital who could have avoided admission if they had been well engaged</w:t>
      </w:r>
      <w:r w:rsidR="000737FA">
        <w:t>.</w:t>
      </w:r>
      <w:r>
        <w:t xml:space="preserve"> (</w:t>
      </w:r>
      <w:r w:rsidR="005A0F8E">
        <w:t xml:space="preserve">Survey data- </w:t>
      </w:r>
      <w:r w:rsidR="002925E2">
        <w:t>R</w:t>
      </w:r>
      <w:r>
        <w:t>egistrar)</w:t>
      </w:r>
    </w:p>
    <w:p w14:paraId="63E89909" w14:textId="218BA2A2" w:rsidR="00FB437B" w:rsidRDefault="00506724" w:rsidP="00FB437B">
      <w:pPr>
        <w:rPr>
          <w:rFonts w:eastAsiaTheme="minorHAnsi"/>
          <w:lang w:eastAsia="en-GB"/>
        </w:rPr>
      </w:pPr>
      <w:r>
        <w:t>Registrars commit</w:t>
      </w:r>
      <w:r w:rsidR="00B73B27">
        <w:t>ted</w:t>
      </w:r>
      <w:r>
        <w:t xml:space="preserve"> to the value of primary care commonly described passion, enjoyment, ability to provide continuity of care to individuals and wider wh</w:t>
      </w:r>
      <w:r w:rsidR="000737FA">
        <w:rPr>
          <w:rFonts w:cs="Calibri"/>
        </w:rPr>
        <w:t>ā</w:t>
      </w:r>
      <w:r>
        <w:t xml:space="preserve">nau, and the ability to implement and immerse themselves in the community as other contributing factors to choosing general practice. </w:t>
      </w:r>
      <w:r w:rsidR="00FB437B">
        <w:rPr>
          <w:rFonts w:eastAsiaTheme="minorHAnsi"/>
          <w:lang w:eastAsia="en-GB"/>
        </w:rPr>
        <w:t>The ability to work in different locations was also mentioned by some registrars.</w:t>
      </w:r>
    </w:p>
    <w:p w14:paraId="74CC3D4A" w14:textId="180A9346" w:rsidR="0099172D" w:rsidRDefault="0099172D" w:rsidP="0099172D">
      <w:r>
        <w:t xml:space="preserve">Although numbers were small, </w:t>
      </w:r>
      <w:r w:rsidR="00C72195">
        <w:t xml:space="preserve">a higher proportion of </w:t>
      </w:r>
      <w:r w:rsidR="003D4410">
        <w:t xml:space="preserve">Māori and Pacific doctors responding to the registrar survey </w:t>
      </w:r>
      <w:r w:rsidR="00C72195">
        <w:t xml:space="preserve">rated the ongoing need for GP services and to experience placements in Māori and Pacific communities as important reasons to enter GPEP. Two Māori doctors specifically mentioned wanting to </w:t>
      </w:r>
      <w:r w:rsidR="00C72195" w:rsidRPr="00D819B5">
        <w:rPr>
          <w:i/>
          <w:noProof/>
          <w:color w:val="953735" w:themeColor="accent2"/>
          <w:sz w:val="20"/>
          <w:szCs w:val="20"/>
        </w:rPr>
        <w:t xml:space="preserve">escape hospital politics </w:t>
      </w:r>
      <w:r w:rsidR="00D819B5" w:rsidRPr="00D819B5">
        <w:t>and</w:t>
      </w:r>
      <w:r w:rsidR="00D819B5" w:rsidRPr="00D819B5">
        <w:rPr>
          <w:i/>
          <w:noProof/>
          <w:color w:val="953735" w:themeColor="accent2"/>
          <w:sz w:val="20"/>
          <w:szCs w:val="20"/>
        </w:rPr>
        <w:t xml:space="preserve"> leave the toxic hospital system</w:t>
      </w:r>
      <w:r w:rsidR="00D819B5">
        <w:t>.</w:t>
      </w:r>
    </w:p>
    <w:p w14:paraId="16F63BF1" w14:textId="18F7D9EE" w:rsidR="00CC5409" w:rsidRDefault="0099172D" w:rsidP="00577939">
      <w:pPr>
        <w:pStyle w:val="Caption"/>
        <w:keepNext/>
      </w:pPr>
      <w:r>
        <w:lastRenderedPageBreak/>
        <w:t xml:space="preserve">Table </w:t>
      </w:r>
      <w:fldSimple w:instr=" SEQ Table \* ARABIC ">
        <w:r w:rsidR="005E0451">
          <w:rPr>
            <w:noProof/>
          </w:rPr>
          <w:t>3</w:t>
        </w:r>
      </w:fldSimple>
      <w:r>
        <w:t xml:space="preserve">. </w:t>
      </w:r>
      <w:r w:rsidR="00C72195">
        <w:t>Current and past r</w:t>
      </w:r>
      <w:r w:rsidRPr="0013641D">
        <w:t>egistrar survey – reasons for selecting GPEP</w:t>
      </w:r>
      <w:r>
        <w:t xml:space="preserve"> by ethnicity. The table summarises the percentage rating different statements as a 3 or 4 on a 1 (</w:t>
      </w:r>
      <w:r w:rsidRPr="0013641D">
        <w:t>not at all important) to 4 (very important) scale</w:t>
      </w:r>
      <w:r>
        <w:t>.</w:t>
      </w:r>
    </w:p>
    <w:tbl>
      <w:tblPr>
        <w:tblStyle w:val="MITableClassic1"/>
        <w:tblW w:w="8081" w:type="dxa"/>
        <w:tblLayout w:type="fixed"/>
        <w:tblLook w:val="04A0" w:firstRow="1" w:lastRow="0" w:firstColumn="1" w:lastColumn="0" w:noHBand="0" w:noVBand="1"/>
      </w:tblPr>
      <w:tblGrid>
        <w:gridCol w:w="4820"/>
        <w:gridCol w:w="1044"/>
        <w:gridCol w:w="1045"/>
        <w:gridCol w:w="1172"/>
      </w:tblGrid>
      <w:tr w:rsidR="00CC5409" w:rsidRPr="0099172D" w14:paraId="01344AF4" w14:textId="77777777" w:rsidTr="00D3461F">
        <w:trPr>
          <w:cnfStyle w:val="100000000000" w:firstRow="1" w:lastRow="0" w:firstColumn="0" w:lastColumn="0" w:oddVBand="0" w:evenVBand="0" w:oddHBand="0" w:evenHBand="0" w:firstRowFirstColumn="0" w:firstRowLastColumn="0" w:lastRowFirstColumn="0" w:lastRowLastColumn="0"/>
          <w:trHeight w:val="1200"/>
        </w:trPr>
        <w:tc>
          <w:tcPr>
            <w:cnfStyle w:val="001000000100" w:firstRow="0" w:lastRow="0" w:firstColumn="1" w:lastColumn="0" w:oddVBand="0" w:evenVBand="0" w:oddHBand="0" w:evenHBand="0" w:firstRowFirstColumn="1" w:firstRowLastColumn="0" w:lastRowFirstColumn="0" w:lastRowLastColumn="0"/>
            <w:tcW w:w="4820" w:type="dxa"/>
            <w:noWrap/>
            <w:hideMark/>
          </w:tcPr>
          <w:p w14:paraId="13098828" w14:textId="77777777" w:rsidR="00CC5409" w:rsidRPr="00CC5409" w:rsidRDefault="00CC5409" w:rsidP="0099172D">
            <w:pPr>
              <w:spacing w:before="0" w:after="0" w:line="240" w:lineRule="auto"/>
              <w:jc w:val="right"/>
              <w:rPr>
                <w:rFonts w:eastAsiaTheme="minorHAnsi"/>
                <w:sz w:val="20"/>
                <w:szCs w:val="20"/>
                <w:lang w:eastAsia="en-GB"/>
              </w:rPr>
            </w:pPr>
          </w:p>
        </w:tc>
        <w:tc>
          <w:tcPr>
            <w:tcW w:w="1044" w:type="dxa"/>
            <w:hideMark/>
          </w:tcPr>
          <w:p w14:paraId="6FB9191B" w14:textId="77777777" w:rsidR="00CC5409" w:rsidRPr="00CC5409" w:rsidRDefault="00CC5409" w:rsidP="00CC540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Pacific (n=12)</w:t>
            </w:r>
          </w:p>
        </w:tc>
        <w:tc>
          <w:tcPr>
            <w:tcW w:w="1045" w:type="dxa"/>
            <w:hideMark/>
          </w:tcPr>
          <w:p w14:paraId="2B0511F4" w14:textId="267C8A84" w:rsidR="00CC5409" w:rsidRPr="00CC5409" w:rsidRDefault="00C72195" w:rsidP="00CC540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Māori</w:t>
            </w:r>
            <w:r w:rsidR="00CC5409" w:rsidRPr="00CC5409">
              <w:rPr>
                <w:rFonts w:eastAsiaTheme="minorHAnsi"/>
                <w:sz w:val="20"/>
                <w:szCs w:val="20"/>
                <w:lang w:eastAsia="en-GB"/>
              </w:rPr>
              <w:br/>
              <w:t>(n=33)</w:t>
            </w:r>
          </w:p>
        </w:tc>
        <w:tc>
          <w:tcPr>
            <w:tcW w:w="1172" w:type="dxa"/>
            <w:hideMark/>
          </w:tcPr>
          <w:p w14:paraId="7C8E7BE7" w14:textId="6C1205E0" w:rsidR="00CC5409" w:rsidRPr="00CC5409" w:rsidRDefault="00CC5409" w:rsidP="00CC540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Non-</w:t>
            </w:r>
            <w:r w:rsidR="00C72195" w:rsidRPr="00CC5409">
              <w:rPr>
                <w:rFonts w:eastAsiaTheme="minorHAnsi"/>
                <w:sz w:val="20"/>
                <w:szCs w:val="20"/>
                <w:lang w:eastAsia="en-GB"/>
              </w:rPr>
              <w:t>Māori</w:t>
            </w:r>
            <w:r w:rsidRPr="00CC5409">
              <w:rPr>
                <w:rFonts w:eastAsiaTheme="minorHAnsi"/>
                <w:sz w:val="20"/>
                <w:szCs w:val="20"/>
                <w:lang w:eastAsia="en-GB"/>
              </w:rPr>
              <w:t>, non</w:t>
            </w:r>
            <w:r w:rsidRPr="0099172D">
              <w:rPr>
                <w:rFonts w:eastAsiaTheme="minorHAnsi"/>
                <w:sz w:val="20"/>
                <w:szCs w:val="20"/>
                <w:lang w:eastAsia="en-GB"/>
              </w:rPr>
              <w:t>-</w:t>
            </w:r>
            <w:r w:rsidRPr="00CC5409">
              <w:rPr>
                <w:rFonts w:eastAsiaTheme="minorHAnsi"/>
                <w:sz w:val="20"/>
                <w:szCs w:val="20"/>
                <w:lang w:eastAsia="en-GB"/>
              </w:rPr>
              <w:t>Pacific</w:t>
            </w:r>
            <w:r w:rsidRPr="0099172D">
              <w:rPr>
                <w:rFonts w:eastAsiaTheme="minorHAnsi"/>
                <w:sz w:val="20"/>
                <w:szCs w:val="20"/>
                <w:lang w:eastAsia="en-GB"/>
              </w:rPr>
              <w:t xml:space="preserve"> (=343-345)</w:t>
            </w:r>
          </w:p>
        </w:tc>
      </w:tr>
      <w:tr w:rsidR="00CC5409" w:rsidRPr="0099172D" w14:paraId="6E6DEE22"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63FBBC2" w14:textId="1E04D469"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Flexibility of hours including ability to train part-time</w:t>
            </w:r>
          </w:p>
        </w:tc>
        <w:tc>
          <w:tcPr>
            <w:tcW w:w="1044" w:type="dxa"/>
            <w:noWrap/>
            <w:hideMark/>
          </w:tcPr>
          <w:p w14:paraId="2612C464"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100%</w:t>
            </w:r>
          </w:p>
        </w:tc>
        <w:tc>
          <w:tcPr>
            <w:tcW w:w="1045" w:type="dxa"/>
            <w:noWrap/>
            <w:hideMark/>
          </w:tcPr>
          <w:p w14:paraId="3904EBAC"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88%</w:t>
            </w:r>
          </w:p>
        </w:tc>
        <w:tc>
          <w:tcPr>
            <w:tcW w:w="1172" w:type="dxa"/>
            <w:noWrap/>
            <w:hideMark/>
          </w:tcPr>
          <w:p w14:paraId="0CD1F9EF"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87%</w:t>
            </w:r>
          </w:p>
        </w:tc>
      </w:tr>
      <w:tr w:rsidR="00CC5409" w:rsidRPr="0099172D" w14:paraId="149FCC0E" w14:textId="77777777" w:rsidTr="00D3461F">
        <w:trPr>
          <w:trHeight w:val="294"/>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D35FB0E" w14:textId="7ED2135E"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Positive general practitioner role models</w:t>
            </w:r>
          </w:p>
        </w:tc>
        <w:tc>
          <w:tcPr>
            <w:tcW w:w="1044" w:type="dxa"/>
            <w:noWrap/>
            <w:hideMark/>
          </w:tcPr>
          <w:p w14:paraId="7AED3F12"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75%</w:t>
            </w:r>
          </w:p>
        </w:tc>
        <w:tc>
          <w:tcPr>
            <w:tcW w:w="1045" w:type="dxa"/>
            <w:noWrap/>
            <w:hideMark/>
          </w:tcPr>
          <w:p w14:paraId="7A998075"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76%</w:t>
            </w:r>
          </w:p>
        </w:tc>
        <w:tc>
          <w:tcPr>
            <w:tcW w:w="1172" w:type="dxa"/>
            <w:noWrap/>
            <w:hideMark/>
          </w:tcPr>
          <w:p w14:paraId="6DE2107F"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72%</w:t>
            </w:r>
          </w:p>
        </w:tc>
      </w:tr>
      <w:tr w:rsidR="00CC5409" w:rsidRPr="0099172D" w14:paraId="3112FBD5"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A1D55B6" w14:textId="535DBE4C"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Opportunity to give back to my community</w:t>
            </w:r>
          </w:p>
        </w:tc>
        <w:tc>
          <w:tcPr>
            <w:tcW w:w="1044" w:type="dxa"/>
            <w:noWrap/>
            <w:hideMark/>
          </w:tcPr>
          <w:p w14:paraId="626E023A"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92%</w:t>
            </w:r>
          </w:p>
        </w:tc>
        <w:tc>
          <w:tcPr>
            <w:tcW w:w="1045" w:type="dxa"/>
            <w:noWrap/>
            <w:hideMark/>
          </w:tcPr>
          <w:p w14:paraId="3158667A"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73%</w:t>
            </w:r>
          </w:p>
        </w:tc>
        <w:tc>
          <w:tcPr>
            <w:tcW w:w="1172" w:type="dxa"/>
            <w:noWrap/>
            <w:hideMark/>
          </w:tcPr>
          <w:p w14:paraId="27603661"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67%</w:t>
            </w:r>
          </w:p>
        </w:tc>
      </w:tr>
      <w:tr w:rsidR="00CC5409" w:rsidRPr="0099172D" w14:paraId="7A829B2F"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0A86C4EE" w14:textId="7A2D69AD"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To work as part of a primary care team</w:t>
            </w:r>
          </w:p>
        </w:tc>
        <w:tc>
          <w:tcPr>
            <w:tcW w:w="1044" w:type="dxa"/>
            <w:noWrap/>
            <w:hideMark/>
          </w:tcPr>
          <w:p w14:paraId="6F3D826D"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75%</w:t>
            </w:r>
          </w:p>
        </w:tc>
        <w:tc>
          <w:tcPr>
            <w:tcW w:w="1045" w:type="dxa"/>
            <w:noWrap/>
            <w:hideMark/>
          </w:tcPr>
          <w:p w14:paraId="25C170A2"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61%</w:t>
            </w:r>
          </w:p>
        </w:tc>
        <w:tc>
          <w:tcPr>
            <w:tcW w:w="1172" w:type="dxa"/>
            <w:noWrap/>
            <w:hideMark/>
          </w:tcPr>
          <w:p w14:paraId="090AB306"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69%</w:t>
            </w:r>
          </w:p>
        </w:tc>
      </w:tr>
      <w:tr w:rsidR="00CC5409" w:rsidRPr="0099172D" w14:paraId="5CDFB675"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F884824" w14:textId="09203ED3"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To meet the ongoing need for GP services for New Zealanders</w:t>
            </w:r>
          </w:p>
        </w:tc>
        <w:tc>
          <w:tcPr>
            <w:tcW w:w="1044" w:type="dxa"/>
            <w:noWrap/>
            <w:hideMark/>
          </w:tcPr>
          <w:p w14:paraId="2A4486D7"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75%</w:t>
            </w:r>
          </w:p>
        </w:tc>
        <w:tc>
          <w:tcPr>
            <w:tcW w:w="1045" w:type="dxa"/>
            <w:noWrap/>
            <w:hideMark/>
          </w:tcPr>
          <w:p w14:paraId="21F5A007"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73%</w:t>
            </w:r>
          </w:p>
        </w:tc>
        <w:tc>
          <w:tcPr>
            <w:tcW w:w="1172" w:type="dxa"/>
            <w:noWrap/>
            <w:hideMark/>
          </w:tcPr>
          <w:p w14:paraId="6708EFAD"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58%</w:t>
            </w:r>
          </w:p>
        </w:tc>
      </w:tr>
      <w:tr w:rsidR="00CC5409" w:rsidRPr="0099172D" w14:paraId="10C0E663"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21845BF" w14:textId="464EF41A"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Shorter length of vocational training</w:t>
            </w:r>
          </w:p>
        </w:tc>
        <w:tc>
          <w:tcPr>
            <w:tcW w:w="1044" w:type="dxa"/>
            <w:noWrap/>
            <w:hideMark/>
          </w:tcPr>
          <w:p w14:paraId="18387B51"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67%</w:t>
            </w:r>
          </w:p>
        </w:tc>
        <w:tc>
          <w:tcPr>
            <w:tcW w:w="1045" w:type="dxa"/>
            <w:noWrap/>
            <w:hideMark/>
          </w:tcPr>
          <w:p w14:paraId="49DF9E7A"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42%</w:t>
            </w:r>
          </w:p>
        </w:tc>
        <w:tc>
          <w:tcPr>
            <w:tcW w:w="1172" w:type="dxa"/>
            <w:noWrap/>
            <w:hideMark/>
          </w:tcPr>
          <w:p w14:paraId="22CF962C"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57%</w:t>
            </w:r>
          </w:p>
        </w:tc>
      </w:tr>
      <w:tr w:rsidR="00CC5409" w:rsidRPr="0099172D" w14:paraId="6942C90F"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1435D32" w14:textId="785505EB"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To experience a placement in a rural location</w:t>
            </w:r>
          </w:p>
        </w:tc>
        <w:tc>
          <w:tcPr>
            <w:tcW w:w="1044" w:type="dxa"/>
            <w:noWrap/>
            <w:hideMark/>
          </w:tcPr>
          <w:p w14:paraId="505B2CFE"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17%</w:t>
            </w:r>
          </w:p>
        </w:tc>
        <w:tc>
          <w:tcPr>
            <w:tcW w:w="1045" w:type="dxa"/>
            <w:noWrap/>
            <w:hideMark/>
          </w:tcPr>
          <w:p w14:paraId="54D9E058"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27%</w:t>
            </w:r>
          </w:p>
        </w:tc>
        <w:tc>
          <w:tcPr>
            <w:tcW w:w="1172" w:type="dxa"/>
            <w:noWrap/>
            <w:hideMark/>
          </w:tcPr>
          <w:p w14:paraId="4580622A"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28%</w:t>
            </w:r>
          </w:p>
        </w:tc>
      </w:tr>
      <w:tr w:rsidR="00CC5409" w:rsidRPr="0099172D" w14:paraId="022E0123" w14:textId="77777777" w:rsidTr="00D3461F">
        <w:trPr>
          <w:trHeight w:val="288"/>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353139E" w14:textId="1E28E264" w:rsidR="00CC5409" w:rsidRPr="00CC5409" w:rsidRDefault="00CC5409" w:rsidP="0099172D">
            <w:pPr>
              <w:spacing w:before="0" w:after="0" w:line="240" w:lineRule="auto"/>
              <w:jc w:val="right"/>
              <w:rPr>
                <w:rFonts w:eastAsiaTheme="minorHAnsi"/>
                <w:sz w:val="20"/>
                <w:szCs w:val="20"/>
                <w:lang w:eastAsia="en-GB"/>
              </w:rPr>
            </w:pPr>
            <w:r w:rsidRPr="0099172D">
              <w:rPr>
                <w:rFonts w:eastAsiaTheme="minorHAnsi"/>
                <w:sz w:val="20"/>
                <w:szCs w:val="20"/>
                <w:lang w:eastAsia="en-GB"/>
              </w:rPr>
              <w:t>To experience a placement in Māori or Pacific communities</w:t>
            </w:r>
          </w:p>
        </w:tc>
        <w:tc>
          <w:tcPr>
            <w:tcW w:w="1044" w:type="dxa"/>
            <w:noWrap/>
            <w:hideMark/>
          </w:tcPr>
          <w:p w14:paraId="35248252"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75%</w:t>
            </w:r>
          </w:p>
        </w:tc>
        <w:tc>
          <w:tcPr>
            <w:tcW w:w="1045" w:type="dxa"/>
            <w:noWrap/>
            <w:hideMark/>
          </w:tcPr>
          <w:p w14:paraId="54A8492C"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67%</w:t>
            </w:r>
          </w:p>
        </w:tc>
        <w:tc>
          <w:tcPr>
            <w:tcW w:w="1172" w:type="dxa"/>
            <w:noWrap/>
            <w:hideMark/>
          </w:tcPr>
          <w:p w14:paraId="570BFE77" w14:textId="77777777" w:rsidR="00CC5409" w:rsidRPr="00CC5409" w:rsidRDefault="00CC5409" w:rsidP="00CC5409">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C5409">
              <w:rPr>
                <w:rFonts w:eastAsiaTheme="minorHAnsi"/>
                <w:sz w:val="20"/>
                <w:szCs w:val="20"/>
                <w:lang w:eastAsia="en-GB"/>
              </w:rPr>
              <w:t>29%</w:t>
            </w:r>
          </w:p>
        </w:tc>
      </w:tr>
    </w:tbl>
    <w:p w14:paraId="20A2AD43" w14:textId="7F665155" w:rsidR="00514427" w:rsidRDefault="00514427" w:rsidP="0047414F">
      <w:pPr>
        <w:spacing w:before="240"/>
      </w:pPr>
      <w:r>
        <w:t>Although numbers were small</w:t>
      </w:r>
      <w:r w:rsidR="005D5D62">
        <w:t>er</w:t>
      </w:r>
      <w:r>
        <w:t xml:space="preserve">, RMO survey respondents also rated flexibility of hours as the most important reasons for </w:t>
      </w:r>
      <w:r w:rsidR="005D5D62">
        <w:t xml:space="preserve">considering </w:t>
      </w:r>
      <w:r>
        <w:t>GPEP.</w:t>
      </w:r>
    </w:p>
    <w:p w14:paraId="1BDDA9DA" w14:textId="32039C93" w:rsidR="00514427" w:rsidRDefault="00514427" w:rsidP="0084002B">
      <w:pPr>
        <w:pStyle w:val="Caption"/>
      </w:pPr>
      <w:r>
        <w:t xml:space="preserve">Table </w:t>
      </w:r>
      <w:r>
        <w:fldChar w:fldCharType="begin"/>
      </w:r>
      <w:r>
        <w:instrText>SEQ Table \* ARABIC</w:instrText>
      </w:r>
      <w:r>
        <w:fldChar w:fldCharType="separate"/>
      </w:r>
      <w:r w:rsidR="005E0451">
        <w:rPr>
          <w:noProof/>
        </w:rPr>
        <w:t>4</w:t>
      </w:r>
      <w:r>
        <w:fldChar w:fldCharType="end"/>
      </w:r>
      <w:r>
        <w:t>.</w:t>
      </w:r>
      <w:r w:rsidRPr="00A01E18">
        <w:t xml:space="preserve"> RMO survey </w:t>
      </w:r>
      <w:r>
        <w:t>reasons to enter</w:t>
      </w:r>
      <w:r w:rsidRPr="00A01E18">
        <w:t xml:space="preserve"> GPEP of those who d</w:t>
      </w:r>
      <w:r>
        <w:t>id</w:t>
      </w:r>
      <w:r w:rsidRPr="00A01E18">
        <w:t xml:space="preserve">/are </w:t>
      </w:r>
      <w:r>
        <w:t>currently</w:t>
      </w:r>
      <w:r w:rsidRPr="00A01E18">
        <w:t xml:space="preserve"> considering general practice as a vocational pathway (n=</w:t>
      </w:r>
      <w:r>
        <w:t>138</w:t>
      </w:r>
      <w:r w:rsidRPr="00A01E18">
        <w:t>) (3 and 4 ratings on a 1-4 scale).</w:t>
      </w:r>
    </w:p>
    <w:tbl>
      <w:tblPr>
        <w:tblStyle w:val="MITableClassic"/>
        <w:tblW w:w="8223" w:type="dxa"/>
        <w:tblLayout w:type="fixed"/>
        <w:tblLook w:val="04A0" w:firstRow="1" w:lastRow="0" w:firstColumn="1" w:lastColumn="0" w:noHBand="0" w:noVBand="1"/>
      </w:tblPr>
      <w:tblGrid>
        <w:gridCol w:w="4537"/>
        <w:gridCol w:w="1418"/>
        <w:gridCol w:w="992"/>
        <w:gridCol w:w="1276"/>
      </w:tblGrid>
      <w:tr w:rsidR="00514427" w:rsidRPr="00C1391D" w14:paraId="742C39E3" w14:textId="77777777" w:rsidTr="00D346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7" w:type="dxa"/>
          </w:tcPr>
          <w:p w14:paraId="21C9C0C0" w14:textId="77777777" w:rsidR="00514427" w:rsidRPr="00C1391D" w:rsidRDefault="00514427" w:rsidP="00E73CED">
            <w:pPr>
              <w:spacing w:before="0" w:after="0" w:line="240" w:lineRule="auto"/>
              <w:jc w:val="center"/>
              <w:rPr>
                <w:rFonts w:eastAsiaTheme="minorHAnsi"/>
                <w:sz w:val="20"/>
                <w:szCs w:val="20"/>
                <w:lang w:eastAsia="en-GB"/>
              </w:rPr>
            </w:pPr>
          </w:p>
        </w:tc>
        <w:tc>
          <w:tcPr>
            <w:tcW w:w="1418" w:type="dxa"/>
            <w:vAlign w:val="bottom"/>
          </w:tcPr>
          <w:p w14:paraId="53F45433" w14:textId="77777777" w:rsidR="00514427" w:rsidRPr="00C1391D" w:rsidRDefault="00514427" w:rsidP="00E73CE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Pr>
                <w:sz w:val="20"/>
                <w:szCs w:val="20"/>
              </w:rPr>
              <w:t>Current PGY1 or PGY2</w:t>
            </w:r>
            <w:r w:rsidRPr="00C1391D">
              <w:rPr>
                <w:sz w:val="20"/>
                <w:szCs w:val="20"/>
              </w:rPr>
              <w:br/>
              <w:t>(n=71)</w:t>
            </w:r>
          </w:p>
        </w:tc>
        <w:tc>
          <w:tcPr>
            <w:tcW w:w="992" w:type="dxa"/>
            <w:vAlign w:val="bottom"/>
          </w:tcPr>
          <w:p w14:paraId="5F4F092F" w14:textId="77777777" w:rsidR="00514427" w:rsidRPr="00C1391D" w:rsidRDefault="00514427" w:rsidP="00E73CE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Pr>
                <w:sz w:val="20"/>
                <w:szCs w:val="20"/>
              </w:rPr>
              <w:t>Current PGY3</w:t>
            </w:r>
            <w:r w:rsidRPr="00C1391D">
              <w:rPr>
                <w:sz w:val="20"/>
                <w:szCs w:val="20"/>
              </w:rPr>
              <w:t>+ (n=38)</w:t>
            </w:r>
          </w:p>
        </w:tc>
        <w:tc>
          <w:tcPr>
            <w:tcW w:w="1276" w:type="dxa"/>
            <w:vAlign w:val="bottom"/>
          </w:tcPr>
          <w:p w14:paraId="7620360C" w14:textId="77777777" w:rsidR="00514427" w:rsidRPr="00C1391D" w:rsidRDefault="00514427" w:rsidP="00E73CE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sz w:val="20"/>
                <w:szCs w:val="20"/>
                <w:lang w:eastAsia="en-GB"/>
              </w:rPr>
            </w:pPr>
            <w:r w:rsidRPr="00C1391D">
              <w:rPr>
                <w:rFonts w:eastAsiaTheme="minorHAnsi"/>
                <w:sz w:val="20"/>
                <w:szCs w:val="20"/>
                <w:lang w:eastAsia="en-GB"/>
              </w:rPr>
              <w:t>Registrars not in GPEP</w:t>
            </w:r>
          </w:p>
          <w:p w14:paraId="4CC672BA" w14:textId="77777777" w:rsidR="00514427" w:rsidRPr="00C1391D" w:rsidRDefault="00514427" w:rsidP="00E73CE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(n=29)</w:t>
            </w:r>
          </w:p>
        </w:tc>
      </w:tr>
      <w:tr w:rsidR="00514427" w:rsidRPr="00C1391D" w14:paraId="6D06E18C"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5FB59E04"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Flexibility of hours including ability to train part-time</w:t>
            </w:r>
          </w:p>
        </w:tc>
        <w:tc>
          <w:tcPr>
            <w:tcW w:w="1418" w:type="dxa"/>
            <w:vAlign w:val="center"/>
          </w:tcPr>
          <w:p w14:paraId="557BF6AA"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99%</w:t>
            </w:r>
          </w:p>
        </w:tc>
        <w:tc>
          <w:tcPr>
            <w:tcW w:w="992" w:type="dxa"/>
            <w:vAlign w:val="center"/>
          </w:tcPr>
          <w:p w14:paraId="0FB2B13A"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97%</w:t>
            </w:r>
          </w:p>
        </w:tc>
        <w:tc>
          <w:tcPr>
            <w:tcW w:w="1276" w:type="dxa"/>
            <w:vAlign w:val="center"/>
          </w:tcPr>
          <w:p w14:paraId="5545ACE6"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97%</w:t>
            </w:r>
          </w:p>
        </w:tc>
      </w:tr>
      <w:tr w:rsidR="00514427" w:rsidRPr="00C1391D" w14:paraId="21E4E58C"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3C07AA93"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Positive general practitioner role models</w:t>
            </w:r>
          </w:p>
        </w:tc>
        <w:tc>
          <w:tcPr>
            <w:tcW w:w="1418" w:type="dxa"/>
            <w:vAlign w:val="center"/>
          </w:tcPr>
          <w:p w14:paraId="0D27A6D7"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90%</w:t>
            </w:r>
          </w:p>
        </w:tc>
        <w:tc>
          <w:tcPr>
            <w:tcW w:w="992" w:type="dxa"/>
            <w:vAlign w:val="center"/>
          </w:tcPr>
          <w:p w14:paraId="45384CFD"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95%</w:t>
            </w:r>
          </w:p>
        </w:tc>
        <w:tc>
          <w:tcPr>
            <w:tcW w:w="1276" w:type="dxa"/>
            <w:vAlign w:val="center"/>
          </w:tcPr>
          <w:p w14:paraId="1BEE594F"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79%</w:t>
            </w:r>
          </w:p>
        </w:tc>
      </w:tr>
      <w:tr w:rsidR="00514427" w:rsidRPr="00C1391D" w14:paraId="79B0B4A8"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6546E806"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Opportunity to give back to my community</w:t>
            </w:r>
          </w:p>
        </w:tc>
        <w:tc>
          <w:tcPr>
            <w:tcW w:w="1418" w:type="dxa"/>
            <w:vAlign w:val="center"/>
          </w:tcPr>
          <w:p w14:paraId="6C4028E9"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76%</w:t>
            </w:r>
          </w:p>
        </w:tc>
        <w:tc>
          <w:tcPr>
            <w:tcW w:w="992" w:type="dxa"/>
            <w:vAlign w:val="center"/>
          </w:tcPr>
          <w:p w14:paraId="746E60B6"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79%</w:t>
            </w:r>
          </w:p>
        </w:tc>
        <w:tc>
          <w:tcPr>
            <w:tcW w:w="1276" w:type="dxa"/>
            <w:vAlign w:val="center"/>
          </w:tcPr>
          <w:p w14:paraId="49811FE0"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72%</w:t>
            </w:r>
          </w:p>
        </w:tc>
      </w:tr>
      <w:tr w:rsidR="00514427" w:rsidRPr="00C1391D" w14:paraId="789FDB9D"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0B0F7A89"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To work as part of a primary care team</w:t>
            </w:r>
          </w:p>
        </w:tc>
        <w:tc>
          <w:tcPr>
            <w:tcW w:w="1418" w:type="dxa"/>
            <w:vAlign w:val="center"/>
          </w:tcPr>
          <w:p w14:paraId="6BDC83A7"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83%</w:t>
            </w:r>
          </w:p>
        </w:tc>
        <w:tc>
          <w:tcPr>
            <w:tcW w:w="992" w:type="dxa"/>
            <w:vAlign w:val="center"/>
          </w:tcPr>
          <w:p w14:paraId="05B38C1E"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74%</w:t>
            </w:r>
          </w:p>
        </w:tc>
        <w:tc>
          <w:tcPr>
            <w:tcW w:w="1276" w:type="dxa"/>
            <w:vAlign w:val="center"/>
          </w:tcPr>
          <w:p w14:paraId="5413047C"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69%</w:t>
            </w:r>
          </w:p>
        </w:tc>
      </w:tr>
      <w:tr w:rsidR="00514427" w:rsidRPr="00C1391D" w14:paraId="61D6AB82"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27B91CAF"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To meet the ongoing need for GP services for New Zealanders</w:t>
            </w:r>
          </w:p>
        </w:tc>
        <w:tc>
          <w:tcPr>
            <w:tcW w:w="1418" w:type="dxa"/>
            <w:vAlign w:val="center"/>
          </w:tcPr>
          <w:p w14:paraId="038E28CA"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85%</w:t>
            </w:r>
          </w:p>
        </w:tc>
        <w:tc>
          <w:tcPr>
            <w:tcW w:w="992" w:type="dxa"/>
            <w:vAlign w:val="center"/>
          </w:tcPr>
          <w:p w14:paraId="7FBF7E3C"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79%</w:t>
            </w:r>
          </w:p>
        </w:tc>
        <w:tc>
          <w:tcPr>
            <w:tcW w:w="1276" w:type="dxa"/>
            <w:vAlign w:val="center"/>
          </w:tcPr>
          <w:p w14:paraId="705AAE1E"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62%</w:t>
            </w:r>
          </w:p>
        </w:tc>
      </w:tr>
      <w:tr w:rsidR="00514427" w:rsidRPr="00C1391D" w14:paraId="234C196C"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037E88C0"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Shorter length of vocational training</w:t>
            </w:r>
          </w:p>
        </w:tc>
        <w:tc>
          <w:tcPr>
            <w:tcW w:w="1418" w:type="dxa"/>
            <w:vAlign w:val="center"/>
          </w:tcPr>
          <w:p w14:paraId="2850DE28"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63%</w:t>
            </w:r>
          </w:p>
        </w:tc>
        <w:tc>
          <w:tcPr>
            <w:tcW w:w="992" w:type="dxa"/>
            <w:vAlign w:val="center"/>
          </w:tcPr>
          <w:p w14:paraId="4167650B"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55%</w:t>
            </w:r>
          </w:p>
        </w:tc>
        <w:tc>
          <w:tcPr>
            <w:tcW w:w="1276" w:type="dxa"/>
            <w:vAlign w:val="center"/>
          </w:tcPr>
          <w:p w14:paraId="369C3FE6"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59%</w:t>
            </w:r>
          </w:p>
        </w:tc>
      </w:tr>
      <w:tr w:rsidR="00514427" w:rsidRPr="00C1391D" w14:paraId="733A8C30"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397806EC"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To experience a placement in a rural location</w:t>
            </w:r>
          </w:p>
        </w:tc>
        <w:tc>
          <w:tcPr>
            <w:tcW w:w="1418" w:type="dxa"/>
            <w:vAlign w:val="center"/>
          </w:tcPr>
          <w:p w14:paraId="4CAE5889"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58%</w:t>
            </w:r>
          </w:p>
        </w:tc>
        <w:tc>
          <w:tcPr>
            <w:tcW w:w="992" w:type="dxa"/>
            <w:vAlign w:val="center"/>
          </w:tcPr>
          <w:p w14:paraId="57876093"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66%</w:t>
            </w:r>
          </w:p>
        </w:tc>
        <w:tc>
          <w:tcPr>
            <w:tcW w:w="1276" w:type="dxa"/>
            <w:vAlign w:val="center"/>
          </w:tcPr>
          <w:p w14:paraId="7F90DB50"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45%</w:t>
            </w:r>
          </w:p>
        </w:tc>
      </w:tr>
      <w:tr w:rsidR="00514427" w:rsidRPr="00C1391D" w14:paraId="6BF17C11" w14:textId="77777777" w:rsidTr="00D3461F">
        <w:tc>
          <w:tcPr>
            <w:cnfStyle w:val="001000000000" w:firstRow="0" w:lastRow="0" w:firstColumn="1" w:lastColumn="0" w:oddVBand="0" w:evenVBand="0" w:oddHBand="0" w:evenHBand="0" w:firstRowFirstColumn="0" w:firstRowLastColumn="0" w:lastRowFirstColumn="0" w:lastRowLastColumn="0"/>
            <w:tcW w:w="4537" w:type="dxa"/>
          </w:tcPr>
          <w:p w14:paraId="2820FEA8" w14:textId="77777777" w:rsidR="00514427" w:rsidRPr="00C1391D" w:rsidRDefault="00514427" w:rsidP="00E73CED">
            <w:pPr>
              <w:spacing w:before="0" w:after="0" w:line="240" w:lineRule="auto"/>
              <w:jc w:val="right"/>
              <w:rPr>
                <w:rFonts w:eastAsiaTheme="minorHAnsi"/>
                <w:sz w:val="20"/>
                <w:szCs w:val="20"/>
                <w:lang w:eastAsia="en-GB"/>
              </w:rPr>
            </w:pPr>
            <w:r w:rsidRPr="00C1391D">
              <w:rPr>
                <w:rFonts w:eastAsiaTheme="minorHAnsi"/>
                <w:sz w:val="20"/>
                <w:szCs w:val="20"/>
                <w:lang w:eastAsia="en-GB"/>
              </w:rPr>
              <w:t>To experience a placement in Māori or Pacific communities</w:t>
            </w:r>
          </w:p>
        </w:tc>
        <w:tc>
          <w:tcPr>
            <w:tcW w:w="1418" w:type="dxa"/>
            <w:vAlign w:val="center"/>
          </w:tcPr>
          <w:p w14:paraId="14D63831"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62%</w:t>
            </w:r>
          </w:p>
        </w:tc>
        <w:tc>
          <w:tcPr>
            <w:tcW w:w="992" w:type="dxa"/>
            <w:vAlign w:val="center"/>
          </w:tcPr>
          <w:p w14:paraId="79367C60"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58%</w:t>
            </w:r>
          </w:p>
        </w:tc>
        <w:tc>
          <w:tcPr>
            <w:tcW w:w="1276" w:type="dxa"/>
            <w:vAlign w:val="center"/>
          </w:tcPr>
          <w:p w14:paraId="3A4E6124" w14:textId="77777777" w:rsidR="00514427" w:rsidRPr="00C1391D" w:rsidRDefault="00514427" w:rsidP="00E73CE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eastAsia="en-GB"/>
              </w:rPr>
            </w:pPr>
            <w:r w:rsidRPr="00C1391D">
              <w:rPr>
                <w:rFonts w:eastAsiaTheme="minorHAnsi"/>
                <w:sz w:val="20"/>
                <w:szCs w:val="20"/>
                <w:lang w:eastAsia="en-GB"/>
              </w:rPr>
              <w:t>41%</w:t>
            </w:r>
          </w:p>
        </w:tc>
      </w:tr>
    </w:tbl>
    <w:p w14:paraId="700A0AF9" w14:textId="77777777" w:rsidR="00D3461F" w:rsidRDefault="00D3461F" w:rsidP="005D5D62">
      <w:pPr>
        <w:pStyle w:val="Malanorm"/>
        <w:spacing w:before="240"/>
      </w:pPr>
    </w:p>
    <w:p w14:paraId="4E783B8C" w14:textId="4C53EE63" w:rsidR="00506724" w:rsidRDefault="00D3461F" w:rsidP="005D5D62">
      <w:pPr>
        <w:pStyle w:val="Malanorm"/>
        <w:spacing w:before="240"/>
      </w:pPr>
      <w:r>
        <w:br w:type="column"/>
      </w:r>
      <w:r w:rsidR="00506724">
        <w:lastRenderedPageBreak/>
        <w:t xml:space="preserve">Some medical students entered medical school with aspirations to be a general practitioner. </w:t>
      </w:r>
      <w:r w:rsidR="00A56112">
        <w:t>General practice was the first choice for vocational training for 71% of survey respondents.</w:t>
      </w:r>
      <w:r w:rsidR="00A53150">
        <w:t xml:space="preserve"> Others </w:t>
      </w:r>
      <w:r w:rsidR="00506724">
        <w:t>who entered GPEP 1 described being unsure of what speciality to pursue but acknowledged and attributed their general practice choice to the academic exposure to general practice and experience of the community-based attachments.</w:t>
      </w:r>
    </w:p>
    <w:p w14:paraId="759149C4" w14:textId="39954F19" w:rsidR="00506724" w:rsidRDefault="00506724" w:rsidP="00506724">
      <w:pPr>
        <w:pStyle w:val="Quotes"/>
        <w:rPr>
          <w:rFonts w:eastAsiaTheme="minorHAnsi"/>
          <w:lang w:eastAsia="en-GB"/>
        </w:rPr>
      </w:pPr>
      <w:r>
        <w:t>…I did the rural program</w:t>
      </w:r>
      <w:r w:rsidR="00582324">
        <w:t>me</w:t>
      </w:r>
      <w:r>
        <w:t xml:space="preserve"> and the fifth year at Otago University, where we did a lot of general practice as part of the curriculum for that year, and quite enjoyed it (</w:t>
      </w:r>
      <w:r w:rsidR="005A0F8E">
        <w:t xml:space="preserve">Interview - </w:t>
      </w:r>
      <w:r>
        <w:t>Registrar)</w:t>
      </w:r>
    </w:p>
    <w:p w14:paraId="097B2AE1" w14:textId="43F51CB7" w:rsidR="00FB437B" w:rsidRDefault="00FB437B" w:rsidP="00FB437B">
      <w:pPr>
        <w:spacing w:before="240"/>
      </w:pPr>
      <w:r>
        <w:t xml:space="preserve">For those </w:t>
      </w:r>
      <w:r w:rsidR="00AD39C8">
        <w:t>for whom general practice was not their first choice of vocational training</w:t>
      </w:r>
      <w:r w:rsidR="00AA5A75">
        <w:t>, t</w:t>
      </w:r>
      <w:r>
        <w:t xml:space="preserve">he most common first choices were anaesthetics, emergency medicine, </w:t>
      </w:r>
      <w:proofErr w:type="gramStart"/>
      <w:r>
        <w:t>paediatrics</w:t>
      </w:r>
      <w:proofErr w:type="gramEnd"/>
      <w:r>
        <w:t xml:space="preserve"> and rural hospital training. Common reasons for changing to general practice were in response to burn out, to have better working conditions and interest in general practice.</w:t>
      </w:r>
    </w:p>
    <w:p w14:paraId="5528A7BF" w14:textId="42AB306A" w:rsidR="00FB437B" w:rsidRDefault="00FB437B" w:rsidP="00FB437B">
      <w:pPr>
        <w:pStyle w:val="Quotes"/>
      </w:pPr>
      <w:r>
        <w:t>Almost completed Oncology training, but preferred flexibility offered by GP. Having worked in hospital training, GP is a poor cousin. Undervalued and under</w:t>
      </w:r>
      <w:r w:rsidR="007C5694">
        <w:t>-</w:t>
      </w:r>
      <w:r>
        <w:t>resourced. (</w:t>
      </w:r>
      <w:r w:rsidR="00783F62">
        <w:t xml:space="preserve">Survey data - </w:t>
      </w:r>
      <w:r>
        <w:t>Registrar)</w:t>
      </w:r>
    </w:p>
    <w:p w14:paraId="13B81D99" w14:textId="153F7C0E" w:rsidR="00FB437B" w:rsidRDefault="00FB437B" w:rsidP="00FB437B">
      <w:pPr>
        <w:pStyle w:val="Quotes"/>
      </w:pPr>
      <w:r>
        <w:t>Considered Gynaecology but felt training years and on call hours too long and did not enjoy obstetric emergencies so did not apply. (Survey</w:t>
      </w:r>
      <w:r w:rsidR="00855F46">
        <w:t xml:space="preserve"> data - </w:t>
      </w:r>
      <w:r>
        <w:t>Registrar)</w:t>
      </w:r>
    </w:p>
    <w:p w14:paraId="1954323A" w14:textId="06BC17D1" w:rsidR="00FB437B" w:rsidRDefault="00FB437B" w:rsidP="00FB437B">
      <w:pPr>
        <w:pStyle w:val="Quotes"/>
      </w:pPr>
      <w:r>
        <w:t>Shifted to general practice as that alligned better with my evolving sense of self and values/ideals. (Survey</w:t>
      </w:r>
      <w:r w:rsidR="00855F46">
        <w:t xml:space="preserve"> data - </w:t>
      </w:r>
      <w:r>
        <w:t>Registrar)</w:t>
      </w:r>
    </w:p>
    <w:p w14:paraId="4E17A506" w14:textId="539EB2D0" w:rsidR="00FB437B" w:rsidRDefault="00FB437B" w:rsidP="00FB437B">
      <w:pPr>
        <w:pStyle w:val="Quotes"/>
      </w:pPr>
      <w:r>
        <w:t>I had always wanted to be a GP when in medical school but the focus in med school and in the post graduate years as a junior doctor are heavily slanted in favour of hospital medicine. I just forgot about general practice for seven years. (Survey</w:t>
      </w:r>
      <w:r w:rsidR="00317297">
        <w:t xml:space="preserve"> data – </w:t>
      </w:r>
      <w:r>
        <w:t>Registrar)</w:t>
      </w:r>
    </w:p>
    <w:p w14:paraId="7C22BBBB" w14:textId="146E71B9" w:rsidR="00FB437B" w:rsidRDefault="00FB437B" w:rsidP="00FB437B">
      <w:pPr>
        <w:pStyle w:val="Quotes"/>
      </w:pPr>
      <w:r>
        <w:t>After having children I discovered GP after meeting and working with some of the best GP's and smartest doctors I've ever met.</w:t>
      </w:r>
      <w:r w:rsidR="00FE77F9">
        <w:t xml:space="preserve"> </w:t>
      </w:r>
      <w:r>
        <w:t>This was life changing. (</w:t>
      </w:r>
      <w:r w:rsidR="00317297">
        <w:t xml:space="preserve">Survey data - </w:t>
      </w:r>
      <w:r>
        <w:t>Registrar)</w:t>
      </w:r>
    </w:p>
    <w:p w14:paraId="5B88EBFE" w14:textId="6722266A" w:rsidR="00FB437B" w:rsidRDefault="00FB437B" w:rsidP="00FB437B">
      <w:pPr>
        <w:pStyle w:val="Quotes"/>
      </w:pPr>
      <w:r>
        <w:t>Paediatrics. But I resigned due to horrendous working hours and night shifts. And I am very happy I did. Plenty of paediatrics in general practice. (Survey</w:t>
      </w:r>
      <w:r w:rsidR="00BE4E6B">
        <w:t xml:space="preserve"> data - </w:t>
      </w:r>
      <w:r>
        <w:t>Registrar)</w:t>
      </w:r>
    </w:p>
    <w:p w14:paraId="5EB7A8C5" w14:textId="00DAAD60" w:rsidR="00A07D7B" w:rsidRPr="00CB5526" w:rsidRDefault="00A07D7B" w:rsidP="00A16840">
      <w:pPr>
        <w:pStyle w:val="Heading2"/>
      </w:pPr>
      <w:bookmarkStart w:id="39" w:name="_Toc105853899"/>
      <w:r w:rsidRPr="00CB5526">
        <w:t>Barriers to selection of general practice as a vocation</w:t>
      </w:r>
      <w:bookmarkEnd w:id="39"/>
    </w:p>
    <w:p w14:paraId="7493D53D" w14:textId="196BB284" w:rsidR="000074DF" w:rsidRPr="00600292" w:rsidRDefault="003E0506" w:rsidP="000074DF">
      <w:pPr>
        <w:rPr>
          <w:rFonts w:eastAsiaTheme="minorHAnsi"/>
          <w:lang w:val="en-GB" w:eastAsia="en-GB"/>
        </w:rPr>
      </w:pPr>
      <w:r w:rsidRPr="00CB5526">
        <w:rPr>
          <w:rFonts w:eastAsiaTheme="minorHAnsi"/>
          <w:lang w:eastAsia="en-GB"/>
        </w:rPr>
        <w:t xml:space="preserve">Lack of </w:t>
      </w:r>
      <w:r w:rsidR="00801E55">
        <w:rPr>
          <w:rFonts w:eastAsiaTheme="minorHAnsi"/>
          <w:lang w:eastAsia="en-GB"/>
        </w:rPr>
        <w:t xml:space="preserve">pay </w:t>
      </w:r>
      <w:r w:rsidRPr="00CB5526">
        <w:rPr>
          <w:rFonts w:eastAsiaTheme="minorHAnsi"/>
          <w:lang w:eastAsia="en-GB"/>
        </w:rPr>
        <w:t>parity and employment conditions with other vocational training programmes</w:t>
      </w:r>
      <w:r>
        <w:rPr>
          <w:rFonts w:eastAsiaTheme="minorHAnsi"/>
          <w:lang w:eastAsia="en-GB"/>
        </w:rPr>
        <w:t xml:space="preserve"> was widely described</w:t>
      </w:r>
      <w:r w:rsidR="00F648AA">
        <w:rPr>
          <w:rFonts w:eastAsiaTheme="minorHAnsi"/>
          <w:lang w:eastAsia="en-GB"/>
        </w:rPr>
        <w:t xml:space="preserve"> </w:t>
      </w:r>
      <w:r w:rsidR="000A4912">
        <w:rPr>
          <w:rFonts w:eastAsiaTheme="minorHAnsi"/>
          <w:lang w:eastAsia="en-GB"/>
        </w:rPr>
        <w:t>by registrars</w:t>
      </w:r>
      <w:r>
        <w:rPr>
          <w:rFonts w:eastAsiaTheme="minorHAnsi"/>
          <w:lang w:eastAsia="en-GB"/>
        </w:rPr>
        <w:t xml:space="preserve"> as a main barrier to selecting general practice. </w:t>
      </w:r>
      <w:r w:rsidR="00EC14CE">
        <w:rPr>
          <w:rFonts w:eastAsiaTheme="minorHAnsi"/>
          <w:lang w:eastAsia="en-GB"/>
        </w:rPr>
        <w:t xml:space="preserve">In the </w:t>
      </w:r>
      <w:r w:rsidR="00AC38CF">
        <w:rPr>
          <w:rFonts w:eastAsiaTheme="minorHAnsi"/>
          <w:lang w:eastAsia="en-GB"/>
        </w:rPr>
        <w:t xml:space="preserve">registrar </w:t>
      </w:r>
      <w:r w:rsidR="00EC14CE">
        <w:rPr>
          <w:rFonts w:eastAsiaTheme="minorHAnsi"/>
          <w:lang w:eastAsia="en-GB"/>
        </w:rPr>
        <w:t>survey</w:t>
      </w:r>
      <w:r w:rsidR="00AC38CF">
        <w:rPr>
          <w:rFonts w:eastAsiaTheme="minorHAnsi"/>
          <w:lang w:eastAsia="en-GB"/>
        </w:rPr>
        <w:t xml:space="preserve"> and RMO surveys</w:t>
      </w:r>
      <w:r w:rsidR="00EC14CE">
        <w:rPr>
          <w:rFonts w:eastAsiaTheme="minorHAnsi"/>
          <w:lang w:eastAsia="en-GB"/>
        </w:rPr>
        <w:t>, s</w:t>
      </w:r>
      <w:r w:rsidR="00F648AA">
        <w:rPr>
          <w:rFonts w:eastAsiaTheme="minorHAnsi"/>
          <w:lang w:eastAsia="en-GB"/>
        </w:rPr>
        <w:t>alary</w:t>
      </w:r>
      <w:r w:rsidR="00EC14CE">
        <w:rPr>
          <w:rFonts w:eastAsiaTheme="minorHAnsi"/>
          <w:lang w:eastAsia="en-GB"/>
        </w:rPr>
        <w:t xml:space="preserve"> in</w:t>
      </w:r>
      <w:r w:rsidR="00F37F70">
        <w:rPr>
          <w:rFonts w:eastAsiaTheme="minorHAnsi"/>
          <w:lang w:eastAsia="en-GB"/>
        </w:rPr>
        <w:t xml:space="preserve"> GPEP 1 </w:t>
      </w:r>
      <w:r w:rsidR="009C2BBE">
        <w:rPr>
          <w:rFonts w:eastAsiaTheme="minorHAnsi"/>
          <w:lang w:eastAsia="en-GB"/>
        </w:rPr>
        <w:t xml:space="preserve">was the </w:t>
      </w:r>
      <w:r w:rsidR="00566E56">
        <w:rPr>
          <w:rFonts w:eastAsiaTheme="minorHAnsi"/>
          <w:lang w:eastAsia="en-GB"/>
        </w:rPr>
        <w:t>most noted</w:t>
      </w:r>
      <w:r w:rsidR="009C2BBE">
        <w:rPr>
          <w:rFonts w:eastAsiaTheme="minorHAnsi"/>
          <w:lang w:eastAsia="en-GB"/>
        </w:rPr>
        <w:t xml:space="preserve"> barrier to entering GPEP training </w:t>
      </w:r>
      <w:r w:rsidR="0015257A">
        <w:rPr>
          <w:rFonts w:eastAsiaTheme="minorHAnsi"/>
          <w:lang w:eastAsia="en-GB"/>
        </w:rPr>
        <w:t>(</w:t>
      </w:r>
      <w:r w:rsidR="001C2FC7">
        <w:rPr>
          <w:rFonts w:eastAsiaTheme="minorHAnsi"/>
          <w:lang w:eastAsia="en-GB"/>
        </w:rPr>
        <w:fldChar w:fldCharType="begin"/>
      </w:r>
      <w:r w:rsidR="001C2FC7">
        <w:rPr>
          <w:rFonts w:eastAsiaTheme="minorHAnsi"/>
          <w:lang w:eastAsia="en-GB"/>
        </w:rPr>
        <w:instrText xml:space="preserve"> REF _Ref104112368 \h </w:instrText>
      </w:r>
      <w:r w:rsidR="001C2FC7">
        <w:rPr>
          <w:rFonts w:eastAsiaTheme="minorHAnsi"/>
          <w:lang w:eastAsia="en-GB"/>
        </w:rPr>
      </w:r>
      <w:r w:rsidR="001C2FC7">
        <w:rPr>
          <w:rFonts w:eastAsiaTheme="minorHAnsi"/>
          <w:lang w:eastAsia="en-GB"/>
        </w:rPr>
        <w:fldChar w:fldCharType="separate"/>
      </w:r>
      <w:r w:rsidR="005E0451">
        <w:t xml:space="preserve">Figure </w:t>
      </w:r>
      <w:r w:rsidR="005E0451">
        <w:rPr>
          <w:noProof/>
        </w:rPr>
        <w:t>3</w:t>
      </w:r>
      <w:r w:rsidR="001C2FC7">
        <w:rPr>
          <w:rFonts w:eastAsiaTheme="minorHAnsi"/>
          <w:lang w:eastAsia="en-GB"/>
        </w:rPr>
        <w:fldChar w:fldCharType="end"/>
      </w:r>
      <w:r w:rsidR="000E062D">
        <w:rPr>
          <w:rFonts w:eastAsiaTheme="minorHAnsi"/>
          <w:lang w:eastAsia="en-GB"/>
        </w:rPr>
        <w:t xml:space="preserve">; </w:t>
      </w:r>
      <w:r w:rsidR="000E062D">
        <w:rPr>
          <w:rFonts w:eastAsiaTheme="minorHAnsi"/>
          <w:lang w:eastAsia="en-GB"/>
        </w:rPr>
        <w:fldChar w:fldCharType="begin"/>
      </w:r>
      <w:r w:rsidR="000E062D">
        <w:rPr>
          <w:rFonts w:eastAsiaTheme="minorHAnsi"/>
          <w:lang w:eastAsia="en-GB"/>
        </w:rPr>
        <w:instrText xml:space="preserve"> REF _Ref104384890 \h </w:instrText>
      </w:r>
      <w:r w:rsidR="000E062D">
        <w:rPr>
          <w:rFonts w:eastAsiaTheme="minorHAnsi"/>
          <w:lang w:eastAsia="en-GB"/>
        </w:rPr>
      </w:r>
      <w:r w:rsidR="000E062D">
        <w:rPr>
          <w:rFonts w:eastAsiaTheme="minorHAnsi"/>
          <w:lang w:eastAsia="en-GB"/>
        </w:rPr>
        <w:fldChar w:fldCharType="separate"/>
      </w:r>
      <w:r w:rsidR="005E0451">
        <w:t xml:space="preserve">Table </w:t>
      </w:r>
      <w:r w:rsidR="005E0451">
        <w:rPr>
          <w:noProof/>
        </w:rPr>
        <w:t>5</w:t>
      </w:r>
      <w:r w:rsidR="000E062D">
        <w:rPr>
          <w:rFonts w:eastAsiaTheme="minorHAnsi"/>
          <w:lang w:eastAsia="en-GB"/>
        </w:rPr>
        <w:fldChar w:fldCharType="end"/>
      </w:r>
      <w:r w:rsidR="000E062D">
        <w:rPr>
          <w:rFonts w:eastAsiaTheme="minorHAnsi"/>
          <w:lang w:eastAsia="en-GB"/>
        </w:rPr>
        <w:t xml:space="preserve">). </w:t>
      </w:r>
      <w:r w:rsidR="008D61FD">
        <w:rPr>
          <w:rFonts w:eastAsiaTheme="minorHAnsi"/>
          <w:lang w:eastAsia="en-GB"/>
        </w:rPr>
        <w:t xml:space="preserve">Registrars explained </w:t>
      </w:r>
      <w:r w:rsidR="008D61FD">
        <w:rPr>
          <w:rFonts w:eastAsiaTheme="minorHAnsi"/>
          <w:lang w:eastAsia="en-GB"/>
        </w:rPr>
        <w:lastRenderedPageBreak/>
        <w:t>their</w:t>
      </w:r>
      <w:r w:rsidR="002925E2">
        <w:rPr>
          <w:rFonts w:eastAsiaTheme="minorHAnsi"/>
          <w:lang w:eastAsia="en-GB"/>
        </w:rPr>
        <w:t xml:space="preserve"> financial commitments to a mortgage, childcare, </w:t>
      </w:r>
      <w:proofErr w:type="gramStart"/>
      <w:r w:rsidR="002925E2">
        <w:rPr>
          <w:rFonts w:eastAsiaTheme="minorHAnsi"/>
          <w:lang w:eastAsia="en-GB"/>
        </w:rPr>
        <w:t>schooling</w:t>
      </w:r>
      <w:proofErr w:type="gramEnd"/>
      <w:r w:rsidR="002925E2">
        <w:rPr>
          <w:rFonts w:eastAsiaTheme="minorHAnsi"/>
          <w:lang w:eastAsia="en-GB"/>
        </w:rPr>
        <w:t xml:space="preserve"> and other life costs could not be maintained on the current GPEP 1 salary.</w:t>
      </w:r>
      <w:r w:rsidR="00FE77F9">
        <w:rPr>
          <w:rFonts w:eastAsiaTheme="minorHAnsi"/>
          <w:lang w:eastAsia="en-GB"/>
        </w:rPr>
        <w:t xml:space="preserve"> </w:t>
      </w:r>
    </w:p>
    <w:p w14:paraId="77C09ED0" w14:textId="0D07AEE0" w:rsidR="002925E2" w:rsidRPr="00740C76" w:rsidRDefault="00222D1E" w:rsidP="002925E2">
      <w:pPr>
        <w:pStyle w:val="Quotes"/>
      </w:pPr>
      <w:r>
        <w:t>A f</w:t>
      </w:r>
      <w:r w:rsidR="002925E2" w:rsidRPr="00740C76">
        <w:t xml:space="preserve">inancially big hit compared to previous wages and also compared to </w:t>
      </w:r>
      <w:r w:rsidR="00DB54D1">
        <w:t>h</w:t>
      </w:r>
      <w:r w:rsidR="002925E2" w:rsidRPr="00740C76">
        <w:t xml:space="preserve">ouse </w:t>
      </w:r>
      <w:r w:rsidR="00DB54D1">
        <w:t>o</w:t>
      </w:r>
      <w:r w:rsidR="002925E2" w:rsidRPr="00740C76">
        <w:t>fficer salar</w:t>
      </w:r>
      <w:r>
        <w:t>ies</w:t>
      </w:r>
      <w:r w:rsidR="00ED1E87">
        <w:t>. I</w:t>
      </w:r>
      <w:r w:rsidR="002925E2" w:rsidRPr="00740C76">
        <w:t xml:space="preserve">f my other half was not also working we would not have been able to afford to do training scheme and </w:t>
      </w:r>
      <w:r w:rsidR="002925E2">
        <w:t>I</w:t>
      </w:r>
      <w:r w:rsidR="002925E2" w:rsidRPr="00740C76">
        <w:t xml:space="preserve"> would have worked in </w:t>
      </w:r>
      <w:r w:rsidR="00ED1E87">
        <w:t>general</w:t>
      </w:r>
      <w:r w:rsidR="002925E2" w:rsidRPr="00740C76">
        <w:t xml:space="preserve"> practice as a non</w:t>
      </w:r>
      <w:r w:rsidR="00ED1E87">
        <w:t>-</w:t>
      </w:r>
      <w:r w:rsidR="002925E2" w:rsidRPr="00740C76">
        <w:t>fellow ongoing.</w:t>
      </w:r>
      <w:r w:rsidR="003C4E32">
        <w:t xml:space="preserve"> </w:t>
      </w:r>
      <w:r w:rsidR="003D3BD3">
        <w:t>(</w:t>
      </w:r>
      <w:r w:rsidR="00E95A35">
        <w:t>Survey data – Registrar)</w:t>
      </w:r>
    </w:p>
    <w:p w14:paraId="1CD05B24" w14:textId="3AE750EB" w:rsidR="00606591" w:rsidRDefault="00FA682D" w:rsidP="0084002B">
      <w:pPr>
        <w:pStyle w:val="Caption"/>
      </w:pPr>
      <w:r>
        <w:rPr>
          <w:noProof/>
        </w:rPr>
        <w:drawing>
          <wp:inline distT="0" distB="0" distL="0" distR="0" wp14:anchorId="57182122" wp14:editId="2E78C3C3">
            <wp:extent cx="4831080" cy="1744980"/>
            <wp:effectExtent l="0" t="0" r="7620" b="7620"/>
            <wp:docPr id="9" name="Picture 39" descr="Chart, bar chart&#10;&#10;Description automatically generated">
              <a:extLst xmlns:a="http://schemas.openxmlformats.org/drawingml/2006/main">
                <a:ext uri="{FF2B5EF4-FFF2-40B4-BE49-F238E27FC236}">
                  <a16:creationId xmlns:a16="http://schemas.microsoft.com/office/drawing/2014/main" id="{A92298AE-0B6F-6C45-CE67-3C404C0506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9" descr="Chart, bar chart&#10;&#10;Description automatically generated">
                      <a:extLst>
                        <a:ext uri="{FF2B5EF4-FFF2-40B4-BE49-F238E27FC236}">
                          <a16:creationId xmlns:a16="http://schemas.microsoft.com/office/drawing/2014/main" id="{A92298AE-0B6F-6C45-CE67-3C404C050607}"/>
                        </a:ext>
                      </a:extLst>
                    </pic:cNvPr>
                    <pic:cNvPicPr>
                      <a:picLocks noChangeAspect="1"/>
                    </pic:cNvPicPr>
                  </pic:nvPicPr>
                  <pic:blipFill>
                    <a:blip r:embed="rId19"/>
                    <a:stretch>
                      <a:fillRect/>
                    </a:stretch>
                  </pic:blipFill>
                  <pic:spPr>
                    <a:xfrm>
                      <a:off x="0" y="0"/>
                      <a:ext cx="4831080" cy="1744980"/>
                    </a:xfrm>
                    <a:prstGeom prst="rect">
                      <a:avLst/>
                    </a:prstGeom>
                  </pic:spPr>
                </pic:pic>
              </a:graphicData>
            </a:graphic>
          </wp:inline>
        </w:drawing>
      </w:r>
    </w:p>
    <w:p w14:paraId="0045320C" w14:textId="51286C3A" w:rsidR="00606591" w:rsidRDefault="00606591" w:rsidP="0084002B">
      <w:pPr>
        <w:pStyle w:val="Caption"/>
      </w:pPr>
      <w:bookmarkStart w:id="40" w:name="_Ref104112368"/>
      <w:r>
        <w:t xml:space="preserve">Figure </w:t>
      </w:r>
      <w:r>
        <w:fldChar w:fldCharType="begin"/>
      </w:r>
      <w:r>
        <w:instrText>SEQ Figure \* ARABIC</w:instrText>
      </w:r>
      <w:r>
        <w:fldChar w:fldCharType="separate"/>
      </w:r>
      <w:r w:rsidR="005E0451">
        <w:rPr>
          <w:noProof/>
        </w:rPr>
        <w:t>3</w:t>
      </w:r>
      <w:r>
        <w:fldChar w:fldCharType="end"/>
      </w:r>
      <w:bookmarkEnd w:id="40"/>
      <w:r>
        <w:t xml:space="preserve">. </w:t>
      </w:r>
      <w:r w:rsidR="008B3803">
        <w:t>Current and past r</w:t>
      </w:r>
      <w:r w:rsidRPr="00B012E6">
        <w:t>egistrar survey GPEP barriers</w:t>
      </w:r>
      <w:r w:rsidR="007950C3">
        <w:t>. All statements were rated</w:t>
      </w:r>
      <w:r w:rsidRPr="00B012E6">
        <w:t xml:space="preserve"> on a 1 (not at all </w:t>
      </w:r>
      <w:r w:rsidR="00FA682D">
        <w:t>a barrier</w:t>
      </w:r>
      <w:r w:rsidRPr="00B012E6">
        <w:t xml:space="preserve">) to 4 (very </w:t>
      </w:r>
      <w:r w:rsidR="00FA682D">
        <w:t>much a barrier</w:t>
      </w:r>
      <w:r w:rsidRPr="00B012E6">
        <w:t>) scale (n=398-410).</w:t>
      </w:r>
    </w:p>
    <w:p w14:paraId="40E86BFC" w14:textId="77777777" w:rsidR="007367A2" w:rsidRPr="00600292" w:rsidRDefault="007367A2" w:rsidP="007367A2">
      <w:pPr>
        <w:rPr>
          <w:rFonts w:eastAsiaTheme="minorHAnsi"/>
          <w:lang w:val="en-GB" w:eastAsia="en-GB"/>
        </w:rPr>
      </w:pPr>
      <w:r>
        <w:rPr>
          <w:rFonts w:eastAsiaTheme="minorHAnsi"/>
          <w:lang w:val="en-GB" w:eastAsia="en-GB"/>
        </w:rPr>
        <w:t>There were no statistically significant differences in means between females and males in the extent salary in GPEP 1, status of general practice, and the possibility of having to relocate were barriers to entering GPEP.</w:t>
      </w:r>
    </w:p>
    <w:p w14:paraId="59C8B35B" w14:textId="32C265F9" w:rsidR="005D5D62" w:rsidRDefault="005D5D62" w:rsidP="005D5D62">
      <w:pPr>
        <w:rPr>
          <w:rFonts w:eastAsiaTheme="minorHAnsi"/>
          <w:lang w:eastAsia="en-GB"/>
        </w:rPr>
      </w:pPr>
      <w:r w:rsidRPr="008371CE">
        <w:rPr>
          <w:rFonts w:eastAsiaTheme="minorHAnsi"/>
          <w:lang w:eastAsia="en-GB"/>
        </w:rPr>
        <w:t xml:space="preserve">The absence of protected learning time </w:t>
      </w:r>
      <w:r>
        <w:rPr>
          <w:rFonts w:eastAsiaTheme="minorHAnsi"/>
          <w:lang w:eastAsia="en-GB"/>
        </w:rPr>
        <w:t xml:space="preserve">and funding associated with learning were </w:t>
      </w:r>
      <w:r w:rsidRPr="008371CE">
        <w:rPr>
          <w:rFonts w:eastAsiaTheme="minorHAnsi"/>
          <w:lang w:eastAsia="en-GB"/>
        </w:rPr>
        <w:t xml:space="preserve">also </w:t>
      </w:r>
      <w:r>
        <w:rPr>
          <w:rFonts w:eastAsiaTheme="minorHAnsi"/>
          <w:lang w:eastAsia="en-GB"/>
        </w:rPr>
        <w:t>described in interviews as barriers</w:t>
      </w:r>
      <w:r w:rsidRPr="008371CE">
        <w:rPr>
          <w:rFonts w:eastAsiaTheme="minorHAnsi"/>
          <w:lang w:eastAsia="en-GB"/>
        </w:rPr>
        <w:t>.</w:t>
      </w:r>
      <w:r>
        <w:rPr>
          <w:rFonts w:eastAsiaTheme="minorHAnsi"/>
          <w:lang w:eastAsia="en-GB"/>
        </w:rPr>
        <w:t xml:space="preserve"> </w:t>
      </w:r>
    </w:p>
    <w:p w14:paraId="039584CD" w14:textId="77777777" w:rsidR="005D5D62" w:rsidRDefault="005D5D62" w:rsidP="005D5D62">
      <w:pPr>
        <w:pStyle w:val="Quotes"/>
        <w:rPr>
          <w:rFonts w:eastAsiaTheme="minorHAnsi"/>
          <w:lang w:eastAsia="en-GB"/>
        </w:rPr>
      </w:pPr>
      <w:r w:rsidRPr="00684E13">
        <w:rPr>
          <w:rFonts w:eastAsiaTheme="minorHAnsi"/>
          <w:lang w:eastAsia="en-GB"/>
        </w:rPr>
        <w:t xml:space="preserve">Funding CME for GPs - we're required to do this for registration but carry all the costs (compared to </w:t>
      </w:r>
      <w:r>
        <w:rPr>
          <w:rFonts w:eastAsiaTheme="minorHAnsi"/>
          <w:lang w:eastAsia="en-GB"/>
        </w:rPr>
        <w:t>DHB</w:t>
      </w:r>
      <w:r w:rsidRPr="00684E13">
        <w:rPr>
          <w:rFonts w:eastAsiaTheme="minorHAnsi"/>
          <w:lang w:eastAsia="en-GB"/>
        </w:rPr>
        <w:t xml:space="preserve"> employees)</w:t>
      </w:r>
      <w:r>
        <w:rPr>
          <w:rFonts w:eastAsiaTheme="minorHAnsi"/>
          <w:lang w:eastAsia="en-GB"/>
        </w:rPr>
        <w:t>. (Survey data – Registrar)</w:t>
      </w:r>
    </w:p>
    <w:p w14:paraId="55C9CACC" w14:textId="113306D6" w:rsidR="00474919" w:rsidRDefault="009A2726" w:rsidP="00C20997">
      <w:pPr>
        <w:rPr>
          <w:rFonts w:eastAsiaTheme="minorHAnsi"/>
          <w:lang w:eastAsia="en-GB"/>
        </w:rPr>
      </w:pPr>
      <w:r>
        <w:rPr>
          <w:rFonts w:eastAsiaTheme="minorHAnsi"/>
          <w:lang w:eastAsia="en-GB"/>
        </w:rPr>
        <w:t xml:space="preserve">The status of general practice as a vocation and the </w:t>
      </w:r>
      <w:r w:rsidR="001971C8">
        <w:rPr>
          <w:rFonts w:eastAsiaTheme="minorHAnsi"/>
          <w:lang w:eastAsia="en-GB"/>
        </w:rPr>
        <w:t xml:space="preserve">possibility of having to relocate were also barriers for </w:t>
      </w:r>
      <w:r w:rsidR="000074DF">
        <w:rPr>
          <w:rFonts w:eastAsiaTheme="minorHAnsi"/>
          <w:lang w:eastAsia="en-GB"/>
        </w:rPr>
        <w:t xml:space="preserve">RMO considering GPEP </w:t>
      </w:r>
      <w:r w:rsidR="00C2795C">
        <w:rPr>
          <w:rFonts w:eastAsiaTheme="minorHAnsi"/>
          <w:lang w:eastAsia="en-GB"/>
        </w:rPr>
        <w:t>(</w:t>
      </w:r>
      <w:r w:rsidR="00C2795C">
        <w:rPr>
          <w:rFonts w:eastAsiaTheme="minorHAnsi"/>
          <w:lang w:eastAsia="en-GB"/>
        </w:rPr>
        <w:fldChar w:fldCharType="begin"/>
      </w:r>
      <w:r w:rsidR="00C2795C">
        <w:rPr>
          <w:rFonts w:eastAsiaTheme="minorHAnsi"/>
          <w:lang w:eastAsia="en-GB"/>
        </w:rPr>
        <w:instrText xml:space="preserve"> REF _Ref104384890 \h </w:instrText>
      </w:r>
      <w:r w:rsidR="00C2795C">
        <w:rPr>
          <w:rFonts w:eastAsiaTheme="minorHAnsi"/>
          <w:lang w:eastAsia="en-GB"/>
        </w:rPr>
      </w:r>
      <w:r w:rsidR="00C2795C">
        <w:rPr>
          <w:rFonts w:eastAsiaTheme="minorHAnsi"/>
          <w:lang w:eastAsia="en-GB"/>
        </w:rPr>
        <w:fldChar w:fldCharType="separate"/>
      </w:r>
      <w:r w:rsidR="005E0451">
        <w:t xml:space="preserve">Table </w:t>
      </w:r>
      <w:r w:rsidR="005E0451">
        <w:rPr>
          <w:noProof/>
        </w:rPr>
        <w:t>5</w:t>
      </w:r>
      <w:r w:rsidR="00C2795C">
        <w:rPr>
          <w:rFonts w:eastAsiaTheme="minorHAnsi"/>
          <w:lang w:eastAsia="en-GB"/>
        </w:rPr>
        <w:fldChar w:fldCharType="end"/>
      </w:r>
      <w:r w:rsidR="00C2795C">
        <w:rPr>
          <w:rFonts w:eastAsiaTheme="minorHAnsi"/>
          <w:lang w:eastAsia="en-GB"/>
        </w:rPr>
        <w:t>).</w:t>
      </w:r>
    </w:p>
    <w:p w14:paraId="4342D782" w14:textId="73E9B833" w:rsidR="001C2FC7" w:rsidRDefault="001C2FC7" w:rsidP="0084002B">
      <w:pPr>
        <w:pStyle w:val="Caption"/>
      </w:pPr>
      <w:bookmarkStart w:id="41" w:name="_Ref104384890"/>
      <w:bookmarkStart w:id="42" w:name="_Ref104112419"/>
      <w:r>
        <w:t xml:space="preserve">Table </w:t>
      </w:r>
      <w:r>
        <w:fldChar w:fldCharType="begin"/>
      </w:r>
      <w:r>
        <w:instrText>SEQ Table \* ARABIC</w:instrText>
      </w:r>
      <w:r>
        <w:fldChar w:fldCharType="separate"/>
      </w:r>
      <w:r w:rsidR="005E0451">
        <w:rPr>
          <w:noProof/>
        </w:rPr>
        <w:t>5</w:t>
      </w:r>
      <w:r>
        <w:fldChar w:fldCharType="end"/>
      </w:r>
      <w:bookmarkEnd w:id="41"/>
      <w:r>
        <w:t>. RMO survey barriers to GPEP of those who didn't/are not considering general practice as a vocational pathway (n=57-61) (3 and 4 ratings on a 1-4 scale).</w:t>
      </w:r>
      <w:bookmarkEnd w:id="42"/>
    </w:p>
    <w:tbl>
      <w:tblPr>
        <w:tblStyle w:val="MITableClassic"/>
        <w:tblW w:w="0" w:type="auto"/>
        <w:tblLook w:val="04A0" w:firstRow="1" w:lastRow="0" w:firstColumn="1" w:lastColumn="0" w:noHBand="0" w:noVBand="1"/>
      </w:tblPr>
      <w:tblGrid>
        <w:gridCol w:w="3166"/>
        <w:gridCol w:w="1480"/>
        <w:gridCol w:w="1481"/>
        <w:gridCol w:w="1481"/>
      </w:tblGrid>
      <w:tr w:rsidR="001C2FC7" w:rsidRPr="00311EB9" w14:paraId="71D6E508" w14:textId="77777777" w:rsidTr="007367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66" w:type="dxa"/>
          </w:tcPr>
          <w:p w14:paraId="7652759B" w14:textId="77777777" w:rsidR="001C2FC7" w:rsidRPr="00311EB9" w:rsidRDefault="001C2FC7" w:rsidP="007367A2">
            <w:pPr>
              <w:pStyle w:val="Malanorm"/>
              <w:spacing w:before="0" w:after="0" w:line="240" w:lineRule="auto"/>
              <w:jc w:val="center"/>
              <w:rPr>
                <w:rFonts w:cs="Calibri"/>
                <w:sz w:val="20"/>
                <w:szCs w:val="20"/>
              </w:rPr>
            </w:pPr>
          </w:p>
        </w:tc>
        <w:tc>
          <w:tcPr>
            <w:tcW w:w="1480" w:type="dxa"/>
          </w:tcPr>
          <w:p w14:paraId="5476C447" w14:textId="382A961F" w:rsidR="001C2FC7" w:rsidRPr="00311EB9" w:rsidRDefault="00ED67BE" w:rsidP="007367A2">
            <w:pPr>
              <w:pStyle w:val="Malanorm"/>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PGY1</w:t>
            </w:r>
            <w:r w:rsidR="001C2FC7" w:rsidRPr="00311EB9">
              <w:rPr>
                <w:rFonts w:cs="Calibri"/>
                <w:sz w:val="20"/>
                <w:szCs w:val="20"/>
              </w:rPr>
              <w:t xml:space="preserve"> or </w:t>
            </w:r>
            <w:r>
              <w:rPr>
                <w:rFonts w:cs="Calibri"/>
                <w:sz w:val="20"/>
                <w:szCs w:val="20"/>
              </w:rPr>
              <w:t>PGY2</w:t>
            </w:r>
            <w:r w:rsidR="001C2FC7" w:rsidRPr="00311EB9">
              <w:rPr>
                <w:rFonts w:cs="Calibri"/>
                <w:sz w:val="20"/>
                <w:szCs w:val="20"/>
              </w:rPr>
              <w:br/>
              <w:t>(n=29-32)</w:t>
            </w:r>
          </w:p>
        </w:tc>
        <w:tc>
          <w:tcPr>
            <w:tcW w:w="1481" w:type="dxa"/>
          </w:tcPr>
          <w:p w14:paraId="6B54B321" w14:textId="41315FCD" w:rsidR="001C2FC7" w:rsidRPr="00311EB9" w:rsidRDefault="00ED67BE" w:rsidP="007367A2">
            <w:pPr>
              <w:pStyle w:val="Malanorm"/>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PGY3</w:t>
            </w:r>
            <w:r w:rsidR="001C2FC7" w:rsidRPr="00311EB9">
              <w:rPr>
                <w:rFonts w:cs="Calibri"/>
                <w:sz w:val="20"/>
                <w:szCs w:val="20"/>
              </w:rPr>
              <w:t>+</w:t>
            </w:r>
            <w:r w:rsidR="001C2FC7" w:rsidRPr="00311EB9">
              <w:rPr>
                <w:rFonts w:cs="Calibri"/>
                <w:sz w:val="20"/>
                <w:szCs w:val="20"/>
              </w:rPr>
              <w:br/>
              <w:t>(n=17)</w:t>
            </w:r>
          </w:p>
        </w:tc>
        <w:tc>
          <w:tcPr>
            <w:tcW w:w="1481" w:type="dxa"/>
          </w:tcPr>
          <w:p w14:paraId="2B68E2F0" w14:textId="77777777" w:rsidR="001C2FC7" w:rsidRPr="00311EB9" w:rsidRDefault="001C2FC7" w:rsidP="007367A2">
            <w:pPr>
              <w:pStyle w:val="Malanorm"/>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Registrars not in GPEP (n=11-12)</w:t>
            </w:r>
          </w:p>
        </w:tc>
      </w:tr>
      <w:tr w:rsidR="001C2FC7" w:rsidRPr="00311EB9" w14:paraId="02526674" w14:textId="77777777" w:rsidTr="00681758">
        <w:tc>
          <w:tcPr>
            <w:cnfStyle w:val="001000000000" w:firstRow="0" w:lastRow="0" w:firstColumn="1" w:lastColumn="0" w:oddVBand="0" w:evenVBand="0" w:oddHBand="0" w:evenHBand="0" w:firstRowFirstColumn="0" w:firstRowLastColumn="0" w:lastRowFirstColumn="0" w:lastRowLastColumn="0"/>
            <w:tcW w:w="3166" w:type="dxa"/>
          </w:tcPr>
          <w:p w14:paraId="5C1D478F" w14:textId="6F637F8B" w:rsidR="001C2FC7" w:rsidRPr="00311EB9" w:rsidRDefault="001C2FC7" w:rsidP="00681758">
            <w:pPr>
              <w:pStyle w:val="Malanorm"/>
              <w:spacing w:before="0" w:after="0" w:line="240" w:lineRule="auto"/>
              <w:jc w:val="right"/>
              <w:rPr>
                <w:rFonts w:cs="Calibri"/>
                <w:sz w:val="20"/>
                <w:szCs w:val="20"/>
              </w:rPr>
            </w:pPr>
            <w:r w:rsidRPr="00311EB9">
              <w:rPr>
                <w:rFonts w:cs="Calibri"/>
                <w:sz w:val="20"/>
                <w:szCs w:val="20"/>
              </w:rPr>
              <w:t xml:space="preserve">Salary </w:t>
            </w:r>
            <w:proofErr w:type="gramStart"/>
            <w:r w:rsidRPr="00311EB9">
              <w:rPr>
                <w:rFonts w:cs="Calibri"/>
                <w:sz w:val="20"/>
                <w:szCs w:val="20"/>
              </w:rPr>
              <w:t>drop</w:t>
            </w:r>
            <w:proofErr w:type="gramEnd"/>
            <w:r w:rsidRPr="00311EB9">
              <w:rPr>
                <w:rFonts w:cs="Calibri"/>
                <w:sz w:val="20"/>
                <w:szCs w:val="20"/>
              </w:rPr>
              <w:t xml:space="preserve"> in GPEP</w:t>
            </w:r>
            <w:r w:rsidR="00C9074F">
              <w:rPr>
                <w:rFonts w:cs="Calibri"/>
                <w:sz w:val="20"/>
                <w:szCs w:val="20"/>
              </w:rPr>
              <w:t xml:space="preserve"> </w:t>
            </w:r>
            <w:r w:rsidRPr="00311EB9">
              <w:rPr>
                <w:rFonts w:cs="Calibri"/>
                <w:sz w:val="20"/>
                <w:szCs w:val="20"/>
              </w:rPr>
              <w:t>1</w:t>
            </w:r>
          </w:p>
        </w:tc>
        <w:tc>
          <w:tcPr>
            <w:tcW w:w="1480" w:type="dxa"/>
            <w:vAlign w:val="center"/>
          </w:tcPr>
          <w:p w14:paraId="6A4F2944"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77%</w:t>
            </w:r>
          </w:p>
        </w:tc>
        <w:tc>
          <w:tcPr>
            <w:tcW w:w="1481" w:type="dxa"/>
            <w:vAlign w:val="center"/>
          </w:tcPr>
          <w:p w14:paraId="79EEFA41"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88%</w:t>
            </w:r>
          </w:p>
        </w:tc>
        <w:tc>
          <w:tcPr>
            <w:tcW w:w="1481" w:type="dxa"/>
            <w:vAlign w:val="center"/>
          </w:tcPr>
          <w:p w14:paraId="600386AC"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67%</w:t>
            </w:r>
          </w:p>
        </w:tc>
      </w:tr>
      <w:tr w:rsidR="000B67B8" w:rsidRPr="00311EB9" w14:paraId="17CAE93D" w14:textId="77777777" w:rsidTr="00681758">
        <w:tc>
          <w:tcPr>
            <w:cnfStyle w:val="001000000000" w:firstRow="0" w:lastRow="0" w:firstColumn="1" w:lastColumn="0" w:oddVBand="0" w:evenVBand="0" w:oddHBand="0" w:evenHBand="0" w:firstRowFirstColumn="0" w:firstRowLastColumn="0" w:lastRowFirstColumn="0" w:lastRowLastColumn="0"/>
            <w:tcW w:w="3166" w:type="dxa"/>
          </w:tcPr>
          <w:p w14:paraId="74A798D5" w14:textId="77777777" w:rsidR="000B67B8" w:rsidRPr="00311EB9" w:rsidRDefault="000B67B8" w:rsidP="00681758">
            <w:pPr>
              <w:pStyle w:val="Malanorm"/>
              <w:spacing w:before="0" w:after="0" w:line="240" w:lineRule="auto"/>
              <w:jc w:val="right"/>
              <w:rPr>
                <w:rFonts w:cs="Calibri"/>
                <w:sz w:val="20"/>
                <w:szCs w:val="20"/>
              </w:rPr>
            </w:pPr>
            <w:r w:rsidRPr="00311EB9">
              <w:rPr>
                <w:rFonts w:cs="Calibri"/>
                <w:sz w:val="20"/>
                <w:szCs w:val="20"/>
              </w:rPr>
              <w:t>Perceived lower status of general practice as a vocation</w:t>
            </w:r>
          </w:p>
        </w:tc>
        <w:tc>
          <w:tcPr>
            <w:tcW w:w="1480" w:type="dxa"/>
            <w:vAlign w:val="center"/>
          </w:tcPr>
          <w:p w14:paraId="5C9F11D2" w14:textId="77777777" w:rsidR="000B67B8" w:rsidRPr="00311EB9" w:rsidRDefault="000B67B8"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45%</w:t>
            </w:r>
          </w:p>
        </w:tc>
        <w:tc>
          <w:tcPr>
            <w:tcW w:w="1481" w:type="dxa"/>
            <w:vAlign w:val="center"/>
          </w:tcPr>
          <w:p w14:paraId="5D7B9B99" w14:textId="77777777" w:rsidR="000B67B8" w:rsidRPr="00311EB9" w:rsidRDefault="000B67B8"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76%</w:t>
            </w:r>
          </w:p>
        </w:tc>
        <w:tc>
          <w:tcPr>
            <w:tcW w:w="1481" w:type="dxa"/>
            <w:vAlign w:val="center"/>
          </w:tcPr>
          <w:p w14:paraId="6A0D3584" w14:textId="77777777" w:rsidR="000B67B8" w:rsidRPr="00311EB9" w:rsidRDefault="000B67B8"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42%</w:t>
            </w:r>
          </w:p>
        </w:tc>
      </w:tr>
      <w:tr w:rsidR="001C2FC7" w:rsidRPr="00311EB9" w14:paraId="138E9028" w14:textId="77777777" w:rsidTr="00681758">
        <w:tc>
          <w:tcPr>
            <w:cnfStyle w:val="001000000000" w:firstRow="0" w:lastRow="0" w:firstColumn="1" w:lastColumn="0" w:oddVBand="0" w:evenVBand="0" w:oddHBand="0" w:evenHBand="0" w:firstRowFirstColumn="0" w:firstRowLastColumn="0" w:lastRowFirstColumn="0" w:lastRowLastColumn="0"/>
            <w:tcW w:w="3166" w:type="dxa"/>
          </w:tcPr>
          <w:p w14:paraId="2E312E2F" w14:textId="77777777" w:rsidR="001C2FC7" w:rsidRPr="00311EB9" w:rsidRDefault="001C2FC7" w:rsidP="00681758">
            <w:pPr>
              <w:pStyle w:val="Malanorm"/>
              <w:spacing w:before="0" w:after="0" w:line="240" w:lineRule="auto"/>
              <w:jc w:val="right"/>
              <w:rPr>
                <w:rFonts w:cs="Calibri"/>
                <w:sz w:val="20"/>
                <w:szCs w:val="20"/>
              </w:rPr>
            </w:pPr>
            <w:r w:rsidRPr="00311EB9">
              <w:rPr>
                <w:rFonts w:cs="Calibri"/>
                <w:sz w:val="20"/>
                <w:szCs w:val="20"/>
              </w:rPr>
              <w:t xml:space="preserve">Possibility of having to relocate for some or </w:t>
            </w:r>
            <w:proofErr w:type="gramStart"/>
            <w:r w:rsidRPr="00311EB9">
              <w:rPr>
                <w:rFonts w:cs="Calibri"/>
                <w:sz w:val="20"/>
                <w:szCs w:val="20"/>
              </w:rPr>
              <w:t xml:space="preserve">all </w:t>
            </w:r>
            <w:r>
              <w:rPr>
                <w:rFonts w:cs="Calibri"/>
                <w:sz w:val="20"/>
                <w:szCs w:val="20"/>
              </w:rPr>
              <w:t>of</w:t>
            </w:r>
            <w:proofErr w:type="gramEnd"/>
            <w:r w:rsidRPr="00311EB9">
              <w:rPr>
                <w:rFonts w:cs="Calibri"/>
                <w:sz w:val="20"/>
                <w:szCs w:val="20"/>
              </w:rPr>
              <w:t xml:space="preserve"> the training</w:t>
            </w:r>
          </w:p>
        </w:tc>
        <w:tc>
          <w:tcPr>
            <w:tcW w:w="1480" w:type="dxa"/>
            <w:vAlign w:val="center"/>
          </w:tcPr>
          <w:p w14:paraId="2FC583D7"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63%</w:t>
            </w:r>
          </w:p>
        </w:tc>
        <w:tc>
          <w:tcPr>
            <w:tcW w:w="1481" w:type="dxa"/>
            <w:vAlign w:val="center"/>
          </w:tcPr>
          <w:p w14:paraId="475F9384"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53%</w:t>
            </w:r>
          </w:p>
        </w:tc>
        <w:tc>
          <w:tcPr>
            <w:tcW w:w="1481" w:type="dxa"/>
            <w:vAlign w:val="center"/>
          </w:tcPr>
          <w:p w14:paraId="38AB0293" w14:textId="77777777" w:rsidR="001C2FC7" w:rsidRPr="00311EB9" w:rsidRDefault="001C2FC7" w:rsidP="00681758">
            <w:pPr>
              <w:pStyle w:val="Malanorm"/>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311EB9">
              <w:rPr>
                <w:rFonts w:cs="Calibri"/>
                <w:sz w:val="20"/>
                <w:szCs w:val="20"/>
              </w:rPr>
              <w:t>45%</w:t>
            </w:r>
          </w:p>
        </w:tc>
      </w:tr>
    </w:tbl>
    <w:p w14:paraId="03FB269B" w14:textId="2A9B9AFC" w:rsidR="00C2795C" w:rsidRDefault="00C2795C" w:rsidP="00C2795C">
      <w:pPr>
        <w:spacing w:before="240"/>
        <w:rPr>
          <w:rFonts w:eastAsiaTheme="minorHAnsi"/>
          <w:lang w:eastAsia="en-GB"/>
        </w:rPr>
      </w:pPr>
      <w:r>
        <w:rPr>
          <w:rFonts w:eastAsiaTheme="minorHAnsi"/>
          <w:lang w:eastAsia="en-GB"/>
        </w:rPr>
        <w:t xml:space="preserve">The perception of general practice as a second-class specialty was commonly noted as having a negative impact on registrars deciding to complete GPEP. Throughout in-depth interviews and in comments in the survey, participants discussed the </w:t>
      </w:r>
      <w:r>
        <w:rPr>
          <w:rFonts w:eastAsiaTheme="minorHAnsi"/>
          <w:lang w:eastAsia="en-GB"/>
        </w:rPr>
        <w:lastRenderedPageBreak/>
        <w:t xml:space="preserve">disconnect between primary and secondary care, with secondary colleagues often misunderstanding the role of a general practitioner. Some participants shared the public misconception of a GP as also being a barrier. Registrars often saw and heard about GP burnout in addition to the sector undervaluing general practice, which also contributed to them staying in the hospital system. </w:t>
      </w:r>
    </w:p>
    <w:p w14:paraId="7BD3D2D4" w14:textId="77777777" w:rsidR="00C2795C" w:rsidRDefault="00C2795C" w:rsidP="00C2795C">
      <w:pPr>
        <w:rPr>
          <w:rFonts w:eastAsiaTheme="minorHAnsi"/>
          <w:lang w:eastAsia="en-GB"/>
        </w:rPr>
      </w:pPr>
      <w:r>
        <w:rPr>
          <w:rFonts w:eastAsiaTheme="minorHAnsi"/>
          <w:lang w:eastAsia="en-GB"/>
        </w:rPr>
        <w:t>Several of those we interviewed highlighted that doctors can practice in a general practice without completing GPEP and without being a fellow of the College. There are no financial benefits such as different capitation fees or other benefits to being a fellow of the College. These factors contribute to the perception that general practice is a lesser speciality.</w:t>
      </w:r>
    </w:p>
    <w:p w14:paraId="084C191D" w14:textId="4C910C08" w:rsidR="00C2795C" w:rsidRDefault="00C2795C" w:rsidP="00C2795C">
      <w:pPr>
        <w:pStyle w:val="Quotes"/>
        <w:rPr>
          <w:rFonts w:eastAsiaTheme="minorHAnsi"/>
          <w:lang w:eastAsia="en-GB"/>
        </w:rPr>
      </w:pPr>
      <w:r>
        <w:t xml:space="preserve">Within New Zealand society there is a real feeling of, they are a hospital specialist or they’re </w:t>
      </w:r>
      <w:r w:rsidRPr="004F57AA">
        <w:t>just</w:t>
      </w:r>
      <w:r>
        <w:t xml:space="preserve"> a GP. In everything that the College does now, we refer to them as specialist GPs because they have done specialist training which is what the GPEP training is. </w:t>
      </w:r>
      <w:r w:rsidRPr="004F57AA">
        <w:t>(</w:t>
      </w:r>
      <w:r w:rsidR="00E74224">
        <w:t>RNZCGP</w:t>
      </w:r>
      <w:r w:rsidRPr="004F57AA">
        <w:t>)</w:t>
      </w:r>
    </w:p>
    <w:p w14:paraId="78407E15" w14:textId="77777777" w:rsidR="00995378" w:rsidRDefault="00995378" w:rsidP="00995378">
      <w:pPr>
        <w:rPr>
          <w:rFonts w:eastAsiaTheme="minorHAnsi"/>
          <w:lang w:eastAsia="en-GB"/>
        </w:rPr>
      </w:pPr>
      <w:r w:rsidRPr="00CB5526">
        <w:rPr>
          <w:rFonts w:eastAsiaTheme="minorHAnsi"/>
          <w:lang w:eastAsia="en-GB"/>
        </w:rPr>
        <w:t xml:space="preserve">Lack of </w:t>
      </w:r>
      <w:r>
        <w:rPr>
          <w:rFonts w:eastAsiaTheme="minorHAnsi"/>
          <w:lang w:eastAsia="en-GB"/>
        </w:rPr>
        <w:t xml:space="preserve">known </w:t>
      </w:r>
      <w:r w:rsidRPr="00CB5526">
        <w:rPr>
          <w:rFonts w:eastAsiaTheme="minorHAnsi"/>
          <w:lang w:eastAsia="en-GB"/>
        </w:rPr>
        <w:t>career pathways</w:t>
      </w:r>
      <w:r>
        <w:rPr>
          <w:rFonts w:eastAsiaTheme="minorHAnsi"/>
          <w:lang w:eastAsia="en-GB"/>
        </w:rPr>
        <w:t xml:space="preserve">, promotion of work opportunities and the uncertainty of general practice </w:t>
      </w:r>
      <w:proofErr w:type="gramStart"/>
      <w:r>
        <w:rPr>
          <w:rFonts w:eastAsiaTheme="minorHAnsi"/>
          <w:lang w:eastAsia="en-GB"/>
        </w:rPr>
        <w:t>in the near future</w:t>
      </w:r>
      <w:proofErr w:type="gramEnd"/>
      <w:r>
        <w:rPr>
          <w:rFonts w:eastAsiaTheme="minorHAnsi"/>
          <w:lang w:eastAsia="en-GB"/>
        </w:rPr>
        <w:t xml:space="preserve"> were also described as barriers to entering GPEP.</w:t>
      </w:r>
    </w:p>
    <w:p w14:paraId="27DFD85D" w14:textId="74844C54" w:rsidR="00C20BCF" w:rsidRDefault="00E7096F" w:rsidP="00AF46D6">
      <w:pPr>
        <w:rPr>
          <w:rFonts w:eastAsiaTheme="minorHAnsi"/>
          <w:lang w:eastAsia="en-GB"/>
        </w:rPr>
      </w:pPr>
      <w:r>
        <w:rPr>
          <w:rFonts w:eastAsiaTheme="minorHAnsi"/>
          <w:lang w:eastAsia="en-GB"/>
        </w:rPr>
        <w:t xml:space="preserve">While relocation is a component of other vocational training programmes, in GPEP the incentive of flexible training and the high representation of females makes relocation more of a challenge. </w:t>
      </w:r>
      <w:r w:rsidR="00AF46D6">
        <w:rPr>
          <w:rFonts w:eastAsiaTheme="minorHAnsi"/>
          <w:lang w:eastAsia="en-GB"/>
        </w:rPr>
        <w:t>In response to the survey</w:t>
      </w:r>
      <w:r w:rsidR="004B644C">
        <w:rPr>
          <w:rFonts w:eastAsiaTheme="minorHAnsi"/>
          <w:lang w:eastAsia="en-GB"/>
        </w:rPr>
        <w:t xml:space="preserve">, 46% of the </w:t>
      </w:r>
      <w:r w:rsidR="000B5490">
        <w:rPr>
          <w:rFonts w:eastAsiaTheme="minorHAnsi"/>
          <w:lang w:eastAsia="en-GB"/>
        </w:rPr>
        <w:t>64</w:t>
      </w:r>
      <w:r w:rsidR="004B644C">
        <w:rPr>
          <w:rFonts w:eastAsiaTheme="minorHAnsi"/>
          <w:lang w:eastAsia="en-GB"/>
        </w:rPr>
        <w:t xml:space="preserve"> registrars who had to relocate for </w:t>
      </w:r>
      <w:r w:rsidR="000B5490">
        <w:rPr>
          <w:rFonts w:eastAsiaTheme="minorHAnsi"/>
          <w:lang w:eastAsia="en-GB"/>
        </w:rPr>
        <w:t>GPEP</w:t>
      </w:r>
      <w:r w:rsidR="004B644C">
        <w:rPr>
          <w:rFonts w:eastAsiaTheme="minorHAnsi"/>
          <w:lang w:eastAsia="en-GB"/>
        </w:rPr>
        <w:t xml:space="preserve"> </w:t>
      </w:r>
      <w:r w:rsidR="006510B2">
        <w:rPr>
          <w:rFonts w:eastAsiaTheme="minorHAnsi"/>
          <w:lang w:eastAsia="en-GB"/>
        </w:rPr>
        <w:t>rated</w:t>
      </w:r>
      <w:r w:rsidR="004B644C">
        <w:rPr>
          <w:rFonts w:eastAsiaTheme="minorHAnsi"/>
          <w:lang w:eastAsia="en-GB"/>
        </w:rPr>
        <w:t xml:space="preserve"> </w:t>
      </w:r>
      <w:r w:rsidR="00FF6138">
        <w:rPr>
          <w:rFonts w:eastAsiaTheme="minorHAnsi"/>
          <w:lang w:eastAsia="en-GB"/>
        </w:rPr>
        <w:t xml:space="preserve">relocation as </w:t>
      </w:r>
      <w:r w:rsidR="004B644C">
        <w:rPr>
          <w:rFonts w:eastAsiaTheme="minorHAnsi"/>
          <w:lang w:eastAsia="en-GB"/>
        </w:rPr>
        <w:t>difficult or very difficult</w:t>
      </w:r>
      <w:r w:rsidR="005C663D">
        <w:rPr>
          <w:rFonts w:eastAsiaTheme="minorHAnsi"/>
          <w:lang w:eastAsia="en-GB"/>
        </w:rPr>
        <w:t xml:space="preserve"> (</w:t>
      </w:r>
      <w:r w:rsidR="005C663D">
        <w:rPr>
          <w:rFonts w:eastAsiaTheme="minorHAnsi"/>
          <w:lang w:eastAsia="en-GB"/>
        </w:rPr>
        <w:fldChar w:fldCharType="begin"/>
      </w:r>
      <w:r w:rsidR="005C663D">
        <w:rPr>
          <w:rFonts w:eastAsiaTheme="minorHAnsi"/>
          <w:lang w:eastAsia="en-GB"/>
        </w:rPr>
        <w:instrText xml:space="preserve"> REF _Ref104112913 \h </w:instrText>
      </w:r>
      <w:r w:rsidR="005C663D">
        <w:rPr>
          <w:rFonts w:eastAsiaTheme="minorHAnsi"/>
          <w:lang w:eastAsia="en-GB"/>
        </w:rPr>
      </w:r>
      <w:r w:rsidR="005C663D">
        <w:rPr>
          <w:rFonts w:eastAsiaTheme="minorHAnsi"/>
          <w:lang w:eastAsia="en-GB"/>
        </w:rPr>
        <w:fldChar w:fldCharType="separate"/>
      </w:r>
      <w:r w:rsidR="005E0451">
        <w:t xml:space="preserve">Figure </w:t>
      </w:r>
      <w:r w:rsidR="005E0451">
        <w:rPr>
          <w:noProof/>
        </w:rPr>
        <w:t>4</w:t>
      </w:r>
      <w:r w:rsidR="005C663D">
        <w:rPr>
          <w:rFonts w:eastAsiaTheme="minorHAnsi"/>
          <w:lang w:eastAsia="en-GB"/>
        </w:rPr>
        <w:fldChar w:fldCharType="end"/>
      </w:r>
      <w:r w:rsidR="005C663D">
        <w:rPr>
          <w:rFonts w:eastAsiaTheme="minorHAnsi"/>
          <w:lang w:eastAsia="en-GB"/>
        </w:rPr>
        <w:t xml:space="preserve">). </w:t>
      </w:r>
    </w:p>
    <w:p w14:paraId="32141798" w14:textId="0E40842B" w:rsidR="00AB7898" w:rsidRDefault="00AF46D6" w:rsidP="00FF6138">
      <w:pPr>
        <w:rPr>
          <w:rFonts w:eastAsiaTheme="minorHAnsi"/>
          <w:lang w:eastAsia="en-GB"/>
        </w:rPr>
      </w:pPr>
      <w:r>
        <w:rPr>
          <w:rFonts w:eastAsiaTheme="minorHAnsi"/>
          <w:lang w:eastAsia="en-GB"/>
        </w:rPr>
        <w:t>Registrars who were required to move away from their families, support systems and particularly those with young children described the lack of flexibility and consideration of suitable placements.</w:t>
      </w:r>
      <w:r w:rsidR="00FE77F9">
        <w:rPr>
          <w:rFonts w:eastAsiaTheme="minorHAnsi"/>
          <w:lang w:eastAsia="en-GB"/>
        </w:rPr>
        <w:t xml:space="preserve"> </w:t>
      </w:r>
      <w:r>
        <w:rPr>
          <w:rFonts w:eastAsiaTheme="minorHAnsi"/>
          <w:lang w:eastAsia="en-GB"/>
        </w:rPr>
        <w:t xml:space="preserve">Challenges with placements were described as the costs of moving and finding accommodation, and inability to plan because of late notification of practice placements by the College. </w:t>
      </w:r>
      <w:r w:rsidR="00AB7898">
        <w:rPr>
          <w:rFonts w:eastAsiaTheme="minorHAnsi"/>
          <w:lang w:eastAsia="en-GB"/>
        </w:rPr>
        <w:t>Some registrars mentioned they were notified of their placement one month prior to commencement of GPEP 1.</w:t>
      </w:r>
    </w:p>
    <w:p w14:paraId="4B0D5E31" w14:textId="55517C22" w:rsidR="00AF46D6" w:rsidRDefault="00AF46D6" w:rsidP="00FF6138">
      <w:pPr>
        <w:rPr>
          <w:rFonts w:eastAsiaTheme="minorHAnsi"/>
          <w:lang w:eastAsia="en-GB"/>
        </w:rPr>
      </w:pPr>
      <w:r>
        <w:rPr>
          <w:rFonts w:eastAsiaTheme="minorHAnsi"/>
          <w:lang w:eastAsia="en-GB"/>
        </w:rPr>
        <w:t>Stakeholders considered the accommodation supplement</w:t>
      </w:r>
      <w:r>
        <w:rPr>
          <w:rStyle w:val="FootnoteReference"/>
          <w:rFonts w:eastAsiaTheme="minorHAnsi"/>
          <w:lang w:eastAsia="en-GB"/>
        </w:rPr>
        <w:footnoteReference w:id="21"/>
      </w:r>
      <w:r>
        <w:rPr>
          <w:rFonts w:eastAsiaTheme="minorHAnsi"/>
          <w:lang w:eastAsia="en-GB"/>
        </w:rPr>
        <w:t xml:space="preserve"> for rural placements was inadequate but </w:t>
      </w:r>
      <w:r w:rsidR="00215298">
        <w:rPr>
          <w:rFonts w:eastAsiaTheme="minorHAnsi"/>
          <w:lang w:eastAsia="en-GB"/>
        </w:rPr>
        <w:t xml:space="preserve">that </w:t>
      </w:r>
      <w:r>
        <w:rPr>
          <w:rFonts w:eastAsiaTheme="minorHAnsi"/>
          <w:lang w:eastAsia="en-GB"/>
        </w:rPr>
        <w:t xml:space="preserve">has recently been increased. </w:t>
      </w:r>
    </w:p>
    <w:p w14:paraId="5AE36174" w14:textId="0A52C654" w:rsidR="00AF46D6" w:rsidRDefault="00AF46D6" w:rsidP="00AF46D6">
      <w:pPr>
        <w:pStyle w:val="Bulleted"/>
        <w:numPr>
          <w:ilvl w:val="0"/>
          <w:numId w:val="0"/>
        </w:numPr>
        <w:ind w:left="720"/>
        <w:rPr>
          <w:rStyle w:val="QuotesChar"/>
        </w:rPr>
      </w:pPr>
      <w:r w:rsidRPr="00564AFF">
        <w:rPr>
          <w:rStyle w:val="QuotesChar"/>
        </w:rPr>
        <w:t>I was not in a position to travel for GPEP having a young family and a child with special needs</w:t>
      </w:r>
      <w:r>
        <w:rPr>
          <w:rStyle w:val="QuotesChar"/>
        </w:rPr>
        <w:t>. I</w:t>
      </w:r>
      <w:r w:rsidRPr="00564AFF">
        <w:rPr>
          <w:rStyle w:val="QuotesChar"/>
        </w:rPr>
        <w:t>f</w:t>
      </w:r>
      <w:r w:rsidR="00AB66B6">
        <w:rPr>
          <w:rStyle w:val="QuotesChar"/>
        </w:rPr>
        <w:t xml:space="preserve"> I</w:t>
      </w:r>
      <w:r w:rsidRPr="00564AFF">
        <w:rPr>
          <w:rStyle w:val="QuotesChar"/>
        </w:rPr>
        <w:t xml:space="preserve"> was not placed in </w:t>
      </w:r>
      <w:r>
        <w:rPr>
          <w:rStyle w:val="QuotesChar"/>
        </w:rPr>
        <w:t xml:space="preserve">my </w:t>
      </w:r>
      <w:r w:rsidRPr="00564AFF">
        <w:rPr>
          <w:rStyle w:val="QuotesChar"/>
        </w:rPr>
        <w:t xml:space="preserve">area </w:t>
      </w:r>
      <w:r>
        <w:rPr>
          <w:rStyle w:val="QuotesChar"/>
        </w:rPr>
        <w:t>I</w:t>
      </w:r>
      <w:r w:rsidRPr="00564AFF">
        <w:rPr>
          <w:rStyle w:val="QuotesChar"/>
        </w:rPr>
        <w:t xml:space="preserve"> would have turned down </w:t>
      </w:r>
      <w:r>
        <w:rPr>
          <w:rStyle w:val="QuotesChar"/>
        </w:rPr>
        <w:t xml:space="preserve">the </w:t>
      </w:r>
      <w:r w:rsidRPr="00564AFF">
        <w:rPr>
          <w:rStyle w:val="QuotesChar"/>
        </w:rPr>
        <w:t>position</w:t>
      </w:r>
      <w:r w:rsidRPr="00094D21">
        <w:rPr>
          <w:rStyle w:val="QuotesChar"/>
        </w:rPr>
        <w:t>. (</w:t>
      </w:r>
      <w:r w:rsidR="005A0F8E">
        <w:rPr>
          <w:rStyle w:val="QuotesChar"/>
        </w:rPr>
        <w:t xml:space="preserve">Survey data - </w:t>
      </w:r>
      <w:r w:rsidRPr="00094D21">
        <w:rPr>
          <w:rStyle w:val="QuotesChar"/>
        </w:rPr>
        <w:t>Reg</w:t>
      </w:r>
      <w:r>
        <w:rPr>
          <w:rStyle w:val="QuotesChar"/>
        </w:rPr>
        <w:t>istrar</w:t>
      </w:r>
      <w:r w:rsidRPr="00094D21">
        <w:rPr>
          <w:rStyle w:val="QuotesChar"/>
        </w:rPr>
        <w:t>)</w:t>
      </w:r>
    </w:p>
    <w:p w14:paraId="2C745075" w14:textId="7B96D994" w:rsidR="00142C41" w:rsidRPr="00142C41" w:rsidRDefault="00142C41" w:rsidP="00142C41">
      <w:pPr>
        <w:pStyle w:val="Quotes"/>
        <w:rPr>
          <w:rStyle w:val="QuotesChar"/>
          <w:i/>
          <w:lang w:val="en-NZ"/>
        </w:rPr>
      </w:pPr>
      <w:r w:rsidRPr="007B2932">
        <w:t>I had to borrow a large sum of money in order to relocate and support my family while training as a GPEP</w:t>
      </w:r>
      <w:r w:rsidR="00C9074F">
        <w:t xml:space="preserve"> </w:t>
      </w:r>
      <w:r w:rsidRPr="007B2932">
        <w:t xml:space="preserve">1. The pay cut moving from </w:t>
      </w:r>
      <w:r w:rsidR="00D316EC">
        <w:t>…</w:t>
      </w:r>
      <w:r w:rsidRPr="007B2932">
        <w:t xml:space="preserve"> to GPEP training (approx $30,000+ over the course of GPEP</w:t>
      </w:r>
      <w:r w:rsidR="00C9074F">
        <w:t xml:space="preserve"> </w:t>
      </w:r>
      <w:r w:rsidRPr="007B2932">
        <w:t>1) is a huge disincentive to doctors with a settled lifestyle and well-progressed careers in other specialties.</w:t>
      </w:r>
      <w:r>
        <w:t xml:space="preserve"> (</w:t>
      </w:r>
      <w:r w:rsidR="005A0F8E">
        <w:t>Survey</w:t>
      </w:r>
      <w:r>
        <w:t xml:space="preserve"> data</w:t>
      </w:r>
      <w:r w:rsidR="005A0F8E">
        <w:t xml:space="preserve"> - </w:t>
      </w:r>
      <w:r>
        <w:t>Registrar)</w:t>
      </w:r>
    </w:p>
    <w:p w14:paraId="4CEAF291" w14:textId="4D719EEA" w:rsidR="008971E2" w:rsidRDefault="00A6613F" w:rsidP="00D3461F">
      <w:pPr>
        <w:keepNext/>
        <w:spacing w:after="0"/>
      </w:pPr>
      <w:r>
        <w:rPr>
          <w:noProof/>
        </w:rPr>
        <w:lastRenderedPageBreak/>
        <w:drawing>
          <wp:inline distT="0" distB="0" distL="0" distR="0" wp14:anchorId="471EE816" wp14:editId="010A4CB5">
            <wp:extent cx="4572396" cy="666750"/>
            <wp:effectExtent l="0" t="0" r="0" b="0"/>
            <wp:docPr id="40" name="Picture 30" descr="Chart, waterfall chart&#10;&#10;Description automatically generated">
              <a:extLst xmlns:a="http://schemas.openxmlformats.org/drawingml/2006/main">
                <a:ext uri="{FF2B5EF4-FFF2-40B4-BE49-F238E27FC236}">
                  <a16:creationId xmlns:a16="http://schemas.microsoft.com/office/drawing/2014/main" id="{2ED5A19A-C66E-5272-04A2-6C69C95B8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0" descr="Chart, waterfall chart&#10;&#10;Description automatically generated">
                      <a:extLst>
                        <a:ext uri="{FF2B5EF4-FFF2-40B4-BE49-F238E27FC236}">
                          <a16:creationId xmlns:a16="http://schemas.microsoft.com/office/drawing/2014/main" id="{2ED5A19A-C66E-5272-04A2-6C69C95B877C}"/>
                        </a:ext>
                      </a:extLst>
                    </pic:cNvPr>
                    <pic:cNvPicPr>
                      <a:picLocks noChangeAspect="1"/>
                    </pic:cNvPicPr>
                  </pic:nvPicPr>
                  <pic:blipFill rotWithShape="1">
                    <a:blip r:embed="rId20"/>
                    <a:srcRect t="30867" b="35891"/>
                    <a:stretch/>
                  </pic:blipFill>
                  <pic:spPr>
                    <a:xfrm>
                      <a:off x="0" y="0"/>
                      <a:ext cx="4572396" cy="666750"/>
                    </a:xfrm>
                    <a:prstGeom prst="rect">
                      <a:avLst/>
                    </a:prstGeom>
                  </pic:spPr>
                </pic:pic>
              </a:graphicData>
            </a:graphic>
          </wp:inline>
        </w:drawing>
      </w:r>
    </w:p>
    <w:p w14:paraId="0561271F" w14:textId="7A3ECAE0" w:rsidR="008971E2" w:rsidRDefault="008971E2" w:rsidP="0084002B">
      <w:pPr>
        <w:pStyle w:val="Caption"/>
        <w:rPr>
          <w:rFonts w:eastAsiaTheme="minorHAnsi"/>
          <w:lang w:eastAsia="en-GB"/>
        </w:rPr>
      </w:pPr>
      <w:bookmarkStart w:id="43" w:name="_Ref104112913"/>
      <w:r>
        <w:t xml:space="preserve">Figure </w:t>
      </w:r>
      <w:r>
        <w:fldChar w:fldCharType="begin"/>
      </w:r>
      <w:r>
        <w:instrText>SEQ Figure \* ARABIC</w:instrText>
      </w:r>
      <w:r>
        <w:fldChar w:fldCharType="separate"/>
      </w:r>
      <w:r w:rsidR="005E0451">
        <w:rPr>
          <w:noProof/>
        </w:rPr>
        <w:t>4</w:t>
      </w:r>
      <w:r>
        <w:fldChar w:fldCharType="end"/>
      </w:r>
      <w:bookmarkEnd w:id="43"/>
      <w:r>
        <w:t xml:space="preserve">. </w:t>
      </w:r>
      <w:r w:rsidR="008B3803">
        <w:t>Current and past r</w:t>
      </w:r>
      <w:r>
        <w:t>egistrar survey ease of relocating in GPEP</w:t>
      </w:r>
      <w:r w:rsidR="00C9074F">
        <w:t xml:space="preserve"> </w:t>
      </w:r>
      <w:r>
        <w:t xml:space="preserve">1 </w:t>
      </w:r>
      <w:r w:rsidR="00D6413B">
        <w:t xml:space="preserve">on a scale from 1 (very difficult) to 4 (very easy) </w:t>
      </w:r>
      <w:r>
        <w:t>(n=64).</w:t>
      </w:r>
    </w:p>
    <w:p w14:paraId="5AA557A9" w14:textId="453E5ED5" w:rsidR="000703C4" w:rsidRDefault="0052691A" w:rsidP="00A16840">
      <w:pPr>
        <w:pStyle w:val="Heading2"/>
      </w:pPr>
      <w:bookmarkStart w:id="44" w:name="_Toc105853900"/>
      <w:r>
        <w:t>Opportunities</w:t>
      </w:r>
      <w:bookmarkEnd w:id="44"/>
    </w:p>
    <w:p w14:paraId="77367F4E" w14:textId="59CB8D53" w:rsidR="00D62C2B" w:rsidRDefault="006E2076" w:rsidP="00D316EC">
      <w:pPr>
        <w:spacing w:after="0"/>
      </w:pPr>
      <w:r>
        <w:t xml:space="preserve">Registrars responding to the survey were asked for suggestions about </w:t>
      </w:r>
      <w:r w:rsidR="00867470">
        <w:t>opportunities to attract registrars into GPEP</w:t>
      </w:r>
      <w:r w:rsidR="00510F6C">
        <w:t xml:space="preserve"> (</w:t>
      </w:r>
      <w:r w:rsidR="00510F6C">
        <w:fldChar w:fldCharType="begin"/>
      </w:r>
      <w:r w:rsidR="00510F6C">
        <w:instrText xml:space="preserve"> REF _Ref104113757 \h </w:instrText>
      </w:r>
      <w:r w:rsidR="00510F6C">
        <w:fldChar w:fldCharType="separate"/>
      </w:r>
      <w:r w:rsidR="005E0451">
        <w:t xml:space="preserve">Figure </w:t>
      </w:r>
      <w:r w:rsidR="005E0451">
        <w:rPr>
          <w:noProof/>
        </w:rPr>
        <w:t>5</w:t>
      </w:r>
      <w:r w:rsidR="00510F6C">
        <w:fldChar w:fldCharType="end"/>
      </w:r>
      <w:r w:rsidR="00510F6C">
        <w:t>)</w:t>
      </w:r>
      <w:r w:rsidR="0052691A">
        <w:t xml:space="preserve">. </w:t>
      </w:r>
      <w:r w:rsidR="00C70478">
        <w:t>Suggestions were provided by 288</w:t>
      </w:r>
      <w:r w:rsidR="00F66C9E">
        <w:t xml:space="preserve"> registrars</w:t>
      </w:r>
      <w:r w:rsidR="00C70478">
        <w:t>.</w:t>
      </w:r>
    </w:p>
    <w:p w14:paraId="5C50F111" w14:textId="01361D47" w:rsidR="00937947" w:rsidRPr="00C20BCF" w:rsidRDefault="00653C7B" w:rsidP="00D316EC">
      <w:pPr>
        <w:keepNext/>
        <w:spacing w:after="0"/>
        <w:rPr>
          <w:highlight w:val="yellow"/>
        </w:rPr>
      </w:pPr>
      <w:r>
        <w:rPr>
          <w:noProof/>
        </w:rPr>
        <w:drawing>
          <wp:inline distT="0" distB="0" distL="0" distR="0" wp14:anchorId="140DCBE4" wp14:editId="797003A2">
            <wp:extent cx="4572396" cy="2164268"/>
            <wp:effectExtent l="0" t="0" r="0" b="7620"/>
            <wp:docPr id="77" name="Picture 76" descr="Chart, bar chart&#10;&#10;Description automatically generated">
              <a:extLst xmlns:a="http://schemas.openxmlformats.org/drawingml/2006/main">
                <a:ext uri="{FF2B5EF4-FFF2-40B4-BE49-F238E27FC236}">
                  <a16:creationId xmlns:a16="http://schemas.microsoft.com/office/drawing/2014/main" id="{CCCA3649-754D-2ABD-5F88-E0EB1B598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descr="Chart, bar chart&#10;&#10;Description automatically generated">
                      <a:extLst>
                        <a:ext uri="{FF2B5EF4-FFF2-40B4-BE49-F238E27FC236}">
                          <a16:creationId xmlns:a16="http://schemas.microsoft.com/office/drawing/2014/main" id="{CCCA3649-754D-2ABD-5F88-E0EB1B598A05}"/>
                        </a:ext>
                      </a:extLst>
                    </pic:cNvPr>
                    <pic:cNvPicPr>
                      <a:picLocks noChangeAspect="1"/>
                    </pic:cNvPicPr>
                  </pic:nvPicPr>
                  <pic:blipFill>
                    <a:blip r:embed="rId21"/>
                    <a:stretch>
                      <a:fillRect/>
                    </a:stretch>
                  </pic:blipFill>
                  <pic:spPr>
                    <a:xfrm>
                      <a:off x="0" y="0"/>
                      <a:ext cx="4572396" cy="2164268"/>
                    </a:xfrm>
                    <a:prstGeom prst="rect">
                      <a:avLst/>
                    </a:prstGeom>
                  </pic:spPr>
                </pic:pic>
              </a:graphicData>
            </a:graphic>
          </wp:inline>
        </w:drawing>
      </w:r>
    </w:p>
    <w:p w14:paraId="283D0D9E" w14:textId="1C58058C" w:rsidR="00937947" w:rsidRDefault="00937947" w:rsidP="0084002B">
      <w:pPr>
        <w:pStyle w:val="Caption"/>
      </w:pPr>
      <w:bookmarkStart w:id="45" w:name="_Ref104113757"/>
      <w:r>
        <w:t xml:space="preserve">Figure </w:t>
      </w:r>
      <w:r>
        <w:fldChar w:fldCharType="begin"/>
      </w:r>
      <w:r>
        <w:instrText>SEQ Figure \* ARABIC</w:instrText>
      </w:r>
      <w:r>
        <w:fldChar w:fldCharType="separate"/>
      </w:r>
      <w:r w:rsidR="005E0451">
        <w:rPr>
          <w:noProof/>
        </w:rPr>
        <w:t>5</w:t>
      </w:r>
      <w:r>
        <w:fldChar w:fldCharType="end"/>
      </w:r>
      <w:bookmarkEnd w:id="45"/>
      <w:r>
        <w:t>. Opportunities to attract registrars to GPEP open text (n=288).</w:t>
      </w:r>
    </w:p>
    <w:p w14:paraId="59DC250A" w14:textId="0C9B931F" w:rsidR="008409BC" w:rsidRDefault="008409BC" w:rsidP="00911B46">
      <w:pPr>
        <w:pStyle w:val="Bulleted"/>
        <w:spacing w:before="240"/>
        <w:ind w:left="714" w:hanging="357"/>
      </w:pPr>
      <w:r>
        <w:t xml:space="preserve">The most frequently </w:t>
      </w:r>
      <w:r w:rsidR="00C225E6">
        <w:t>suggested opportunity</w:t>
      </w:r>
      <w:r>
        <w:t xml:space="preserve"> (</w:t>
      </w:r>
      <w:r w:rsidR="00DE5428" w:rsidRPr="001D5C23">
        <w:t>55</w:t>
      </w:r>
      <w:r>
        <w:t>% of comments) was to increase pay and achieve pay parity with other registrar programmes</w:t>
      </w:r>
      <w:r w:rsidR="00F31363" w:rsidRPr="001D5C23">
        <w:t>.</w:t>
      </w:r>
    </w:p>
    <w:p w14:paraId="70451D93" w14:textId="33F10118" w:rsidR="00D819B5" w:rsidRPr="00D819B5" w:rsidRDefault="00D819B5" w:rsidP="00D819B5">
      <w:pPr>
        <w:pStyle w:val="Quotes"/>
      </w:pPr>
      <w:r w:rsidRPr="00D819B5">
        <w:t>Competitive salaries, being seen as equals to our hospital</w:t>
      </w:r>
      <w:r>
        <w:t>-</w:t>
      </w:r>
      <w:r w:rsidRPr="00D819B5">
        <w:t>based colleagues and specialists in our own right (instead of 'cop out' koretake only work part</w:t>
      </w:r>
      <w:r>
        <w:t>-</w:t>
      </w:r>
      <w:r w:rsidRPr="00D819B5">
        <w:t>time GPs)</w:t>
      </w:r>
    </w:p>
    <w:p w14:paraId="2ECDCF6C" w14:textId="3D0618ED" w:rsidR="00171FFD" w:rsidRPr="001D5C23" w:rsidRDefault="00081B82" w:rsidP="000A75FA">
      <w:pPr>
        <w:pStyle w:val="Bulleted"/>
      </w:pPr>
      <w:r w:rsidRPr="001D5C23">
        <w:t xml:space="preserve">15% of registrars highlighted </w:t>
      </w:r>
      <w:r w:rsidR="00D7421C" w:rsidRPr="001D5C23">
        <w:t xml:space="preserve">the importance of </w:t>
      </w:r>
      <w:r w:rsidR="000A75FA" w:rsidRPr="001D5C23">
        <w:t xml:space="preserve">increased </w:t>
      </w:r>
      <w:r w:rsidR="008B491F">
        <w:t xml:space="preserve">primary care </w:t>
      </w:r>
      <w:r w:rsidR="000A75FA" w:rsidRPr="001D5C23">
        <w:t>placement opportunit</w:t>
      </w:r>
      <w:r w:rsidR="008B491F">
        <w:t>ies</w:t>
      </w:r>
      <w:r w:rsidR="00C814BC" w:rsidRPr="001D5C23">
        <w:t xml:space="preserve"> particularly during medical school</w:t>
      </w:r>
      <w:r w:rsidR="009160CC" w:rsidRPr="001D5C23">
        <w:t xml:space="preserve"> and house officer years. Survey responses recognised the value </w:t>
      </w:r>
      <w:r w:rsidR="006F7BEB" w:rsidRPr="001D5C23">
        <w:t xml:space="preserve">of </w:t>
      </w:r>
      <w:r w:rsidR="00E16E5B" w:rsidRPr="001D5C23">
        <w:t xml:space="preserve">general practice runs </w:t>
      </w:r>
      <w:r w:rsidR="00FA7DC5" w:rsidRPr="001D5C23">
        <w:t xml:space="preserve">with some registrars </w:t>
      </w:r>
      <w:r w:rsidR="00CA5C5F" w:rsidRPr="001D5C23">
        <w:t xml:space="preserve">attributing their </w:t>
      </w:r>
      <w:r w:rsidR="005B4BB2" w:rsidRPr="001D5C23">
        <w:t>GPEP entry to the</w:t>
      </w:r>
      <w:r w:rsidR="002D66FD" w:rsidRPr="001D5C23">
        <w:t xml:space="preserve">ir experience </w:t>
      </w:r>
      <w:r w:rsidR="00171FFD" w:rsidRPr="001D5C23">
        <w:t xml:space="preserve">during GP runs. </w:t>
      </w:r>
      <w:r w:rsidR="00635364" w:rsidRPr="001D5C23">
        <w:t xml:space="preserve">Some registrar survey respondents also noted the importance of </w:t>
      </w:r>
      <w:r w:rsidR="008B491F">
        <w:t xml:space="preserve">general practice </w:t>
      </w:r>
      <w:r w:rsidR="00635364" w:rsidRPr="001D5C23">
        <w:t xml:space="preserve">runs </w:t>
      </w:r>
      <w:r w:rsidR="004E35DB" w:rsidRPr="001D5C23">
        <w:t xml:space="preserve">as a mechanism </w:t>
      </w:r>
      <w:r w:rsidR="00635364" w:rsidRPr="001D5C23">
        <w:t xml:space="preserve">to </w:t>
      </w:r>
      <w:r w:rsidR="00A042ED" w:rsidRPr="001D5C23">
        <w:t xml:space="preserve">positively influence </w:t>
      </w:r>
      <w:r w:rsidR="004762F3">
        <w:t xml:space="preserve">medical </w:t>
      </w:r>
      <w:proofErr w:type="gramStart"/>
      <w:r w:rsidR="004762F3">
        <w:t>students</w:t>
      </w:r>
      <w:proofErr w:type="gramEnd"/>
      <w:r w:rsidR="00F8225B" w:rsidRPr="001D5C23">
        <w:t xml:space="preserve"> perception of general practice.</w:t>
      </w:r>
    </w:p>
    <w:p w14:paraId="75A6C1ED" w14:textId="2C1A5A69" w:rsidR="00AF264B" w:rsidRDefault="00182CEA" w:rsidP="001B5ECE">
      <w:pPr>
        <w:pStyle w:val="Quotes"/>
      </w:pPr>
      <w:r w:rsidRPr="00182CEA">
        <w:t>I think that having house officer GP runs to get people to see both sides of care makes a big difference to change juniors opinion and understanding of GP barriers.</w:t>
      </w:r>
      <w:r>
        <w:t xml:space="preserve"> (Survey data- Registrar) </w:t>
      </w:r>
    </w:p>
    <w:p w14:paraId="6D85CAB2" w14:textId="2A8B7BF9" w:rsidR="008409BC" w:rsidRDefault="001D5C23" w:rsidP="008409BC">
      <w:pPr>
        <w:pStyle w:val="Bulleted"/>
      </w:pPr>
      <w:r w:rsidRPr="001D5C23">
        <w:lastRenderedPageBreak/>
        <w:t xml:space="preserve">13% of </w:t>
      </w:r>
      <w:r>
        <w:t xml:space="preserve">survey respondents </w:t>
      </w:r>
      <w:r w:rsidR="00322733">
        <w:t xml:space="preserve">noted the need to include </w:t>
      </w:r>
      <w:r w:rsidR="001E75A9">
        <w:t xml:space="preserve">continuing medical </w:t>
      </w:r>
      <w:r w:rsidR="00EA328C">
        <w:t>education</w:t>
      </w:r>
      <w:r w:rsidR="000A0212">
        <w:t xml:space="preserve"> and </w:t>
      </w:r>
      <w:r w:rsidR="00886CCB">
        <w:t>protected teaching</w:t>
      </w:r>
      <w:r w:rsidR="00EA328C">
        <w:t xml:space="preserve"> and admin</w:t>
      </w:r>
      <w:r w:rsidR="008B491F">
        <w:t>istration</w:t>
      </w:r>
      <w:r w:rsidR="00EA328C">
        <w:t xml:space="preserve"> time into </w:t>
      </w:r>
      <w:r w:rsidR="000A0212">
        <w:t xml:space="preserve">the GPEP </w:t>
      </w:r>
      <w:r w:rsidR="00246E83">
        <w:t xml:space="preserve">contract. </w:t>
      </w:r>
      <w:r w:rsidR="009C7F1A">
        <w:t xml:space="preserve">Some </w:t>
      </w:r>
      <w:r w:rsidR="00246E83">
        <w:t>registrars</w:t>
      </w:r>
      <w:r w:rsidR="00004D4D">
        <w:t xml:space="preserve"> commented on DHB benefits and </w:t>
      </w:r>
      <w:r w:rsidR="00DC4BB9">
        <w:t xml:space="preserve">suggested </w:t>
      </w:r>
      <w:r w:rsidR="008F7CE9">
        <w:t xml:space="preserve">equal benefits as DHB registrars </w:t>
      </w:r>
      <w:r w:rsidR="009C7F1A">
        <w:t xml:space="preserve">particularly pay-parity and CME at a minimum. </w:t>
      </w:r>
    </w:p>
    <w:p w14:paraId="6D8D68CD" w14:textId="6525CA22" w:rsidR="00AC315F" w:rsidRPr="001D5C23" w:rsidRDefault="00AC315F" w:rsidP="00D91501">
      <w:pPr>
        <w:pStyle w:val="Quotes"/>
      </w:pPr>
      <w:r w:rsidRPr="00AC315F">
        <w:t xml:space="preserve">Have general practice paid equally to hospital doctors and </w:t>
      </w:r>
      <w:r w:rsidR="00D91501">
        <w:t>g</w:t>
      </w:r>
      <w:r w:rsidRPr="00AC315F">
        <w:t>ive equal benefits e</w:t>
      </w:r>
      <w:r w:rsidR="00C573C6">
        <w:t>.</w:t>
      </w:r>
      <w:r w:rsidRPr="00AC315F">
        <w:t>g</w:t>
      </w:r>
      <w:r w:rsidR="00C573C6">
        <w:t>.</w:t>
      </w:r>
      <w:r w:rsidRPr="00AC315F">
        <w:t xml:space="preserve"> leave/study benefits/work conditions/non clinical time and you will get more </w:t>
      </w:r>
      <w:r w:rsidR="00C573C6">
        <w:t>GP</w:t>
      </w:r>
      <w:r w:rsidRPr="00AC315F">
        <w:t xml:space="preserve">s. </w:t>
      </w:r>
      <w:r w:rsidR="009502F1">
        <w:t>(Survey data – Registrar)</w:t>
      </w:r>
      <w:r w:rsidRPr="00AC315F">
        <w:t xml:space="preserve"> </w:t>
      </w:r>
    </w:p>
    <w:p w14:paraId="40BDF53E" w14:textId="6C6FC7C6" w:rsidR="008409BC" w:rsidRDefault="004C52D3" w:rsidP="008409BC">
      <w:pPr>
        <w:pStyle w:val="Bulleted"/>
      </w:pPr>
      <w:r w:rsidRPr="00376621">
        <w:t xml:space="preserve">8% of survey respondents </w:t>
      </w:r>
      <w:r w:rsidR="00120F46" w:rsidRPr="00376621">
        <w:t xml:space="preserve">recommended providing a </w:t>
      </w:r>
      <w:r w:rsidR="008B491F">
        <w:t xml:space="preserve">more </w:t>
      </w:r>
      <w:r w:rsidR="00120F46" w:rsidRPr="00376621">
        <w:t xml:space="preserve">robust training programme. Suggestions </w:t>
      </w:r>
      <w:r w:rsidR="00376621" w:rsidRPr="00376621">
        <w:t xml:space="preserve">around a robust training programme included (but </w:t>
      </w:r>
      <w:r w:rsidR="00802D99">
        <w:t xml:space="preserve">were </w:t>
      </w:r>
      <w:r w:rsidR="00376621" w:rsidRPr="00376621">
        <w:t xml:space="preserve">not limited to): </w:t>
      </w:r>
    </w:p>
    <w:p w14:paraId="17339ADF" w14:textId="77777777" w:rsidR="008B491F" w:rsidRDefault="008B491F" w:rsidP="008B491F">
      <w:pPr>
        <w:pStyle w:val="Bulleted"/>
        <w:numPr>
          <w:ilvl w:val="0"/>
          <w:numId w:val="12"/>
        </w:numPr>
      </w:pPr>
      <w:r>
        <w:t xml:space="preserve">Formal education in GPEP 2 and GPEP 3 </w:t>
      </w:r>
    </w:p>
    <w:p w14:paraId="26EDD1F6" w14:textId="54766A5E" w:rsidR="00117148" w:rsidRDefault="00DC4891" w:rsidP="00BE792F">
      <w:pPr>
        <w:pStyle w:val="Bulleted"/>
        <w:numPr>
          <w:ilvl w:val="0"/>
          <w:numId w:val="12"/>
        </w:numPr>
      </w:pPr>
      <w:r>
        <w:t>W</w:t>
      </w:r>
      <w:r w:rsidR="00733267">
        <w:t xml:space="preserve">eekly teaching </w:t>
      </w:r>
      <w:r w:rsidR="002D4A9B">
        <w:t>and seminars</w:t>
      </w:r>
      <w:r w:rsidR="00733267">
        <w:t xml:space="preserve"> relevant to general practice </w:t>
      </w:r>
    </w:p>
    <w:p w14:paraId="70A72B26" w14:textId="4CB00C61" w:rsidR="00117148" w:rsidRDefault="00DD7FEF" w:rsidP="00BE792F">
      <w:pPr>
        <w:pStyle w:val="Bulleted"/>
        <w:numPr>
          <w:ilvl w:val="0"/>
          <w:numId w:val="12"/>
        </w:numPr>
      </w:pPr>
      <w:r>
        <w:t xml:space="preserve">Opportunity for </w:t>
      </w:r>
      <w:r w:rsidR="00C258D2">
        <w:t>specific teaching (special interest</w:t>
      </w:r>
      <w:r w:rsidR="00821D50">
        <w:t>/ subspeciality)</w:t>
      </w:r>
      <w:r w:rsidR="009A20CC">
        <w:t>.</w:t>
      </w:r>
    </w:p>
    <w:p w14:paraId="1E611EF2" w14:textId="55CDFE91" w:rsidR="0012545E" w:rsidRPr="00F45091" w:rsidRDefault="0012545E" w:rsidP="0012545E">
      <w:pPr>
        <w:pStyle w:val="Quotes"/>
      </w:pPr>
      <w:r w:rsidRPr="00880A8C">
        <w:t>The GPEP</w:t>
      </w:r>
      <w:r w:rsidR="0084002B">
        <w:t xml:space="preserve"> </w:t>
      </w:r>
      <w:r w:rsidRPr="00880A8C">
        <w:t>1 program</w:t>
      </w:r>
      <w:r>
        <w:t>me</w:t>
      </w:r>
      <w:r w:rsidRPr="00880A8C">
        <w:t xml:space="preserve"> when I did it felt weak on lots of clinical stuff</w:t>
      </w:r>
      <w:r w:rsidR="008B491F">
        <w:t>. I</w:t>
      </w:r>
      <w:r w:rsidRPr="00880A8C">
        <w:t xml:space="preserve">t did not emphasise the fact that GPs are advanced generalists. </w:t>
      </w:r>
      <w:r w:rsidR="00512C72">
        <w:t>-</w:t>
      </w:r>
      <w:r w:rsidRPr="00880A8C">
        <w:t xml:space="preserve"> Actually have program</w:t>
      </w:r>
      <w:r w:rsidR="00531BC4">
        <w:t>me</w:t>
      </w:r>
      <w:r w:rsidRPr="00880A8C">
        <w:t>s for training GPSEs (GP's with special interests). Make it possible for trainees to nominate a special interest pathway from the outset</w:t>
      </w:r>
      <w:r>
        <w:t>. (Survey data – Registrar)</w:t>
      </w:r>
    </w:p>
    <w:p w14:paraId="78AB7FDB" w14:textId="73978C49" w:rsidR="00376621" w:rsidRPr="00174DAA" w:rsidRDefault="001F417B" w:rsidP="009A20CC">
      <w:pPr>
        <w:pStyle w:val="Bulleted"/>
      </w:pPr>
      <w:r w:rsidRPr="00174DAA">
        <w:t>Emphasis</w:t>
      </w:r>
      <w:r w:rsidR="009A20CC">
        <w:t>ing</w:t>
      </w:r>
      <w:r w:rsidRPr="00174DAA">
        <w:t xml:space="preserve"> a career that enable</w:t>
      </w:r>
      <w:r w:rsidR="00802D99">
        <w:t>d</w:t>
      </w:r>
      <w:r w:rsidRPr="00174DAA">
        <w:t xml:space="preserve"> a work and life balance was noted by 7% of registrars as an opportunity to attract registrars. </w:t>
      </w:r>
    </w:p>
    <w:p w14:paraId="73CFADE5" w14:textId="3A6AD64C" w:rsidR="002E58D4" w:rsidRPr="00CB5526" w:rsidRDefault="002E58D4" w:rsidP="00A16840">
      <w:pPr>
        <w:pStyle w:val="Heading2"/>
      </w:pPr>
      <w:bookmarkStart w:id="46" w:name="_Toc105853901"/>
      <w:r w:rsidRPr="00CB5526">
        <w:t>Employment conditions for GPEP registrars</w:t>
      </w:r>
      <w:r>
        <w:t xml:space="preserve"> – contract comparisons</w:t>
      </w:r>
      <w:bookmarkEnd w:id="46"/>
    </w:p>
    <w:p w14:paraId="485F3544" w14:textId="77777777" w:rsidR="003E21C5" w:rsidRDefault="002E58D4" w:rsidP="002E58D4">
      <w:r w:rsidRPr="008855E1">
        <w:t>A universal theme amongst those interviewed was the need for parity between GPEP registrars and DHB employed registrars in other vocational programmes.</w:t>
      </w:r>
      <w:r w:rsidRPr="00CB5526">
        <w:t xml:space="preserve"> </w:t>
      </w:r>
    </w:p>
    <w:p w14:paraId="014F169E" w14:textId="1F0F7209" w:rsidR="002E58D4" w:rsidRDefault="002E58D4" w:rsidP="002E58D4">
      <w:r w:rsidRPr="00CB5526">
        <w:t xml:space="preserve">Comparison of the base salaries and other terms and conditions of GPEP registrars </w:t>
      </w:r>
      <w:r w:rsidR="003E21C5">
        <w:t xml:space="preserve">found that the base salary for a </w:t>
      </w:r>
      <w:proofErr w:type="gramStart"/>
      <w:r w:rsidR="003E21C5">
        <w:t>40</w:t>
      </w:r>
      <w:r w:rsidR="00D3461F">
        <w:t xml:space="preserve"> to </w:t>
      </w:r>
      <w:r w:rsidR="003E21C5">
        <w:t>45 hour</w:t>
      </w:r>
      <w:proofErr w:type="gramEnd"/>
      <w:r w:rsidR="003E21C5">
        <w:t xml:space="preserve"> employment week was broadly similar to the early stages of</w:t>
      </w:r>
      <w:r w:rsidR="00D3461F">
        <w:t xml:space="preserve"> the</w:t>
      </w:r>
      <w:r w:rsidR="00FE77F9">
        <w:t xml:space="preserve"> </w:t>
      </w:r>
      <w:r w:rsidR="003E21C5">
        <w:t xml:space="preserve">Resident Doctors Association MECA with DHBs, at the scale that applies for a 40-45 hour </w:t>
      </w:r>
      <w:r w:rsidR="004A2D78">
        <w:t xml:space="preserve">working </w:t>
      </w:r>
      <w:r w:rsidR="003E21C5">
        <w:t>week (Category F).</w:t>
      </w:r>
      <w:r w:rsidR="00FE77F9">
        <w:t xml:space="preserve"> </w:t>
      </w:r>
      <w:r w:rsidR="003E21C5">
        <w:t>However</w:t>
      </w:r>
      <w:r w:rsidR="00D3461F">
        <w:t>,</w:t>
      </w:r>
      <w:r w:rsidR="003E21C5">
        <w:t xml:space="preserve"> </w:t>
      </w:r>
      <w:r w:rsidR="00D3461F">
        <w:t>most</w:t>
      </w:r>
      <w:r w:rsidR="003E21C5">
        <w:t xml:space="preserve"> registrars employed with DHBs are placed at Category C or above, reflecting employment weeks of more than 55 hours.</w:t>
      </w:r>
      <w:r w:rsidR="00FE77F9">
        <w:t xml:space="preserve"> </w:t>
      </w:r>
      <w:r w:rsidR="003E21C5">
        <w:t xml:space="preserve">In effect this means that the majority of DHB registrars will have a base salary in the range $15 to $35,000 more than in GPEP </w:t>
      </w:r>
      <w:r w:rsidR="00D3461F">
        <w:t>1</w:t>
      </w:r>
      <w:r w:rsidR="003E21C5">
        <w:t>.</w:t>
      </w:r>
      <w:r w:rsidR="00FE77F9">
        <w:t xml:space="preserve"> </w:t>
      </w:r>
      <w:r w:rsidR="003E21C5">
        <w:t>The extent to which the longer working week in the DHB setting includes time spent on education activities associated with the registrar role, and how this compares to unpaid educational time committed by GPEP registrars is unclear.</w:t>
      </w:r>
    </w:p>
    <w:p w14:paraId="5800089A" w14:textId="45E344C3" w:rsidR="003E21C5" w:rsidRPr="00CB5526" w:rsidRDefault="003E21C5" w:rsidP="002E58D4">
      <w:r>
        <w:t xml:space="preserve">Beyond the base salary, the </w:t>
      </w:r>
      <w:proofErr w:type="gramStart"/>
      <w:r>
        <w:t>terms</w:t>
      </w:r>
      <w:proofErr w:type="gramEnd"/>
      <w:r>
        <w:t xml:space="preserve"> and conditions of the DHB MECA are more generous, both in terms of allowances, and in terms of leave entitlements.</w:t>
      </w:r>
      <w:r w:rsidR="00FE77F9">
        <w:t xml:space="preserve"> </w:t>
      </w:r>
      <w:r w:rsidR="000513A1">
        <w:t>Moreover, the scope to earn increased income from additional duties, on call and overnight hours is significant in a DHB setting for most specialties.</w:t>
      </w:r>
    </w:p>
    <w:p w14:paraId="63FF9321" w14:textId="77777777" w:rsidR="007D73A6" w:rsidRDefault="007D73A6" w:rsidP="003E21C5">
      <w:pPr>
        <w:pStyle w:val="Bulleted"/>
        <w:numPr>
          <w:ilvl w:val="0"/>
          <w:numId w:val="0"/>
        </w:numPr>
        <w:ind w:left="360"/>
        <w:sectPr w:rsidR="007D73A6" w:rsidSect="00113282">
          <w:headerReference w:type="default" r:id="rId22"/>
          <w:footerReference w:type="default" r:id="rId23"/>
          <w:pgSz w:w="11906" w:h="16838" w:code="9"/>
          <w:pgMar w:top="1985" w:right="1418" w:bottom="1985" w:left="2880" w:header="284" w:footer="567" w:gutter="0"/>
          <w:pgNumType w:start="1"/>
          <w:cols w:space="708"/>
          <w:docGrid w:linePitch="360"/>
        </w:sectPr>
      </w:pPr>
    </w:p>
    <w:p w14:paraId="6AAAB765" w14:textId="1E2100FC" w:rsidR="002E58D4" w:rsidRDefault="002E58D4" w:rsidP="0084002B">
      <w:pPr>
        <w:pStyle w:val="Caption"/>
      </w:pPr>
      <w:r w:rsidRPr="002B0CCF">
        <w:lastRenderedPageBreak/>
        <w:t xml:space="preserve">Table </w:t>
      </w:r>
      <w:r w:rsidRPr="002B0CCF">
        <w:fldChar w:fldCharType="begin"/>
      </w:r>
      <w:r w:rsidRPr="002B0CCF">
        <w:instrText>SEQ Table \* ARABIC</w:instrText>
      </w:r>
      <w:r w:rsidRPr="002B0CCF">
        <w:fldChar w:fldCharType="separate"/>
      </w:r>
      <w:r w:rsidR="005E0451">
        <w:rPr>
          <w:noProof/>
        </w:rPr>
        <w:t>6</w:t>
      </w:r>
      <w:r w:rsidRPr="002B0CCF">
        <w:fldChar w:fldCharType="end"/>
      </w:r>
      <w:r w:rsidRPr="002B0CCF">
        <w:t>. Employment conditions for GPEP registrars and registrars in other vocational training programmes</w:t>
      </w:r>
    </w:p>
    <w:tbl>
      <w:tblPr>
        <w:tblStyle w:val="MITableClassic"/>
        <w:tblW w:w="14175" w:type="dxa"/>
        <w:tblLook w:val="04A0" w:firstRow="1" w:lastRow="0" w:firstColumn="1" w:lastColumn="0" w:noHBand="0" w:noVBand="1"/>
      </w:tblPr>
      <w:tblGrid>
        <w:gridCol w:w="2410"/>
        <w:gridCol w:w="5812"/>
        <w:gridCol w:w="5953"/>
      </w:tblGrid>
      <w:tr w:rsidR="003E21C5" w:rsidRPr="002B0CCF" w14:paraId="16AA6F52" w14:textId="77777777" w:rsidTr="007D73A6">
        <w:trPr>
          <w:cnfStyle w:val="100000000000" w:firstRow="1" w:lastRow="0" w:firstColumn="0" w:lastColumn="0" w:oddVBand="0" w:evenVBand="0" w:oddHBand="0" w:evenHBand="0" w:firstRowFirstColumn="0" w:firstRowLastColumn="0" w:lastRowFirstColumn="0" w:lastRowLastColumn="0"/>
          <w:cantSplit w:val="0"/>
          <w:trHeight w:val="20"/>
        </w:trPr>
        <w:tc>
          <w:tcPr>
            <w:cnfStyle w:val="001000000100" w:firstRow="0" w:lastRow="0" w:firstColumn="1" w:lastColumn="0" w:oddVBand="0" w:evenVBand="0" w:oddHBand="0" w:evenHBand="0" w:firstRowFirstColumn="1" w:firstRowLastColumn="0" w:lastRowFirstColumn="0" w:lastRowLastColumn="0"/>
            <w:tcW w:w="2410" w:type="dxa"/>
          </w:tcPr>
          <w:p w14:paraId="49C11EB4" w14:textId="77777777" w:rsidR="003E21C5" w:rsidRPr="002B0CCF" w:rsidRDefault="003E21C5" w:rsidP="002B0CCF">
            <w:pPr>
              <w:keepNext w:val="0"/>
              <w:spacing w:before="0" w:after="0" w:line="240" w:lineRule="auto"/>
              <w:rPr>
                <w:rFonts w:cs="Calibri"/>
                <w:sz w:val="20"/>
                <w:szCs w:val="20"/>
              </w:rPr>
            </w:pPr>
          </w:p>
        </w:tc>
        <w:tc>
          <w:tcPr>
            <w:tcW w:w="5812" w:type="dxa"/>
          </w:tcPr>
          <w:p w14:paraId="10C3AB72" w14:textId="5C68AA30" w:rsidR="003E21C5" w:rsidRPr="002B0CCF" w:rsidRDefault="003E21C5" w:rsidP="002B0CCF">
            <w:pPr>
              <w:keepNext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GPEP</w:t>
            </w:r>
            <w:r w:rsidR="0084002B">
              <w:rPr>
                <w:rFonts w:cs="Calibri"/>
                <w:sz w:val="20"/>
                <w:szCs w:val="20"/>
              </w:rPr>
              <w:t xml:space="preserve"> </w:t>
            </w:r>
            <w:r w:rsidRPr="002B0CCF">
              <w:rPr>
                <w:rFonts w:cs="Calibri"/>
                <w:sz w:val="20"/>
                <w:szCs w:val="20"/>
              </w:rPr>
              <w:t>1 Agreement</w:t>
            </w:r>
          </w:p>
        </w:tc>
        <w:tc>
          <w:tcPr>
            <w:tcW w:w="5953" w:type="dxa"/>
          </w:tcPr>
          <w:p w14:paraId="3D94F5E7" w14:textId="77777777" w:rsidR="003E21C5" w:rsidRPr="002B0CCF" w:rsidRDefault="003E21C5" w:rsidP="002B0CCF">
            <w:pPr>
              <w:keepNext w:val="0"/>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NZRDA MECA</w:t>
            </w:r>
            <w:r w:rsidRPr="002B0CCF">
              <w:rPr>
                <w:rStyle w:val="FootnoteReference"/>
                <w:rFonts w:cs="Calibri"/>
                <w:sz w:val="20"/>
                <w:szCs w:val="20"/>
              </w:rPr>
              <w:footnoteReference w:id="22"/>
            </w:r>
          </w:p>
        </w:tc>
      </w:tr>
      <w:tr w:rsidR="003E21C5" w:rsidRPr="002B0CCF" w14:paraId="252CBF9A"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237D4C72"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Less than 5 years post-grad - Base salary in urban areas</w:t>
            </w:r>
          </w:p>
        </w:tc>
        <w:tc>
          <w:tcPr>
            <w:tcW w:w="5812" w:type="dxa"/>
            <w:vMerge w:val="restart"/>
          </w:tcPr>
          <w:p w14:paraId="18EA78F9"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$82,742</w:t>
            </w:r>
          </w:p>
        </w:tc>
        <w:tc>
          <w:tcPr>
            <w:tcW w:w="5953" w:type="dxa"/>
          </w:tcPr>
          <w:p w14:paraId="762FADD6"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$76,186 (Registrar Year 1)</w:t>
            </w:r>
          </w:p>
          <w:p w14:paraId="1E2CF297"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$80,273 (Registrar Year 2)</w:t>
            </w:r>
          </w:p>
          <w:p w14:paraId="3D634A78"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$84,327 (Registrar Year 3)</w:t>
            </w:r>
          </w:p>
        </w:tc>
      </w:tr>
      <w:tr w:rsidR="003E21C5" w:rsidRPr="002B0CCF" w14:paraId="4E73C791"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vMerge/>
          </w:tcPr>
          <w:p w14:paraId="40BF40E6" w14:textId="77777777" w:rsidR="003E21C5" w:rsidRPr="002B0CCF" w:rsidRDefault="003E21C5" w:rsidP="002B0CCF">
            <w:pPr>
              <w:keepNext w:val="0"/>
              <w:spacing w:before="0" w:after="0" w:line="240" w:lineRule="auto"/>
              <w:rPr>
                <w:rFonts w:cs="Calibri"/>
                <w:sz w:val="20"/>
                <w:szCs w:val="20"/>
              </w:rPr>
            </w:pPr>
          </w:p>
        </w:tc>
        <w:tc>
          <w:tcPr>
            <w:tcW w:w="5812" w:type="dxa"/>
            <w:vMerge/>
          </w:tcPr>
          <w:p w14:paraId="04299C1D"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5953" w:type="dxa"/>
          </w:tcPr>
          <w:p w14:paraId="4B56AEDF"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$68,571 (Senior House Officer Year 3)</w:t>
            </w:r>
          </w:p>
          <w:p w14:paraId="577F6C8A"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$72,242 (Senior House Officer Year 4)</w:t>
            </w:r>
          </w:p>
        </w:tc>
      </w:tr>
      <w:tr w:rsidR="003E21C5" w:rsidRPr="002B0CCF" w14:paraId="5278DDB2"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4ABBF2EC"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Ordinary hours of work</w:t>
            </w:r>
          </w:p>
        </w:tc>
        <w:tc>
          <w:tcPr>
            <w:tcW w:w="5812" w:type="dxa"/>
          </w:tcPr>
          <w:p w14:paraId="27631B22"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40 to 45 hours per week, between 7.30am and 6pm, Monday to Friday</w:t>
            </w:r>
          </w:p>
        </w:tc>
        <w:tc>
          <w:tcPr>
            <w:tcW w:w="5953" w:type="dxa"/>
          </w:tcPr>
          <w:p w14:paraId="2014A133"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40 hours per week, no more than 8 per day between 7am and 5.30pm, Monday to Friday</w:t>
            </w:r>
          </w:p>
        </w:tc>
      </w:tr>
      <w:tr w:rsidR="003E21C5" w:rsidRPr="002B0CCF" w14:paraId="4D1CAC86"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01DDCA0A"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Additional duty hourly rate</w:t>
            </w:r>
          </w:p>
        </w:tc>
        <w:tc>
          <w:tcPr>
            <w:tcW w:w="5812" w:type="dxa"/>
            <w:vMerge w:val="restart"/>
          </w:tcPr>
          <w:p w14:paraId="349C82FA"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5953" w:type="dxa"/>
          </w:tcPr>
          <w:p w14:paraId="73598424"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$85 Registrar (0800-2200)</w:t>
            </w:r>
          </w:p>
          <w:p w14:paraId="4C2F4952"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$130 Registrar (2200-0800)</w:t>
            </w:r>
          </w:p>
        </w:tc>
      </w:tr>
      <w:tr w:rsidR="003E21C5" w:rsidRPr="002B0CCF" w14:paraId="7FEDE543"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vMerge/>
          </w:tcPr>
          <w:p w14:paraId="6013736F" w14:textId="77777777" w:rsidR="003E21C5" w:rsidRPr="002B0CCF" w:rsidRDefault="003E21C5" w:rsidP="002B0CCF">
            <w:pPr>
              <w:keepNext w:val="0"/>
              <w:spacing w:before="0" w:after="0" w:line="240" w:lineRule="auto"/>
              <w:rPr>
                <w:rFonts w:cs="Calibri"/>
                <w:sz w:val="20"/>
                <w:szCs w:val="20"/>
              </w:rPr>
            </w:pPr>
          </w:p>
        </w:tc>
        <w:tc>
          <w:tcPr>
            <w:tcW w:w="5812" w:type="dxa"/>
            <w:vMerge/>
          </w:tcPr>
          <w:p w14:paraId="65405299"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5953" w:type="dxa"/>
          </w:tcPr>
          <w:p w14:paraId="6FAD9949"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$75 Senior House Officer (0800-2200)</w:t>
            </w:r>
          </w:p>
          <w:p w14:paraId="71DE8053"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$115 Senior House Officer (2200-0800)</w:t>
            </w:r>
          </w:p>
        </w:tc>
      </w:tr>
      <w:tr w:rsidR="003E21C5" w:rsidRPr="002B0CCF" w14:paraId="2AC05D79"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648137F2"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Annual leave</w:t>
            </w:r>
          </w:p>
        </w:tc>
        <w:tc>
          <w:tcPr>
            <w:tcW w:w="5812" w:type="dxa"/>
          </w:tcPr>
          <w:p w14:paraId="4C4C1B73" w14:textId="77777777" w:rsidR="003E21C5" w:rsidRPr="002B0CCF" w:rsidRDefault="003E21C5" w:rsidP="007D73A6">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20 days</w:t>
            </w:r>
          </w:p>
        </w:tc>
        <w:tc>
          <w:tcPr>
            <w:tcW w:w="5953" w:type="dxa"/>
          </w:tcPr>
          <w:p w14:paraId="1EC5F122" w14:textId="77777777" w:rsidR="003E21C5" w:rsidRPr="002B0CCF" w:rsidRDefault="003E21C5" w:rsidP="007D73A6">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30 days</w:t>
            </w:r>
          </w:p>
        </w:tc>
      </w:tr>
      <w:tr w:rsidR="003E21C5" w:rsidRPr="002B0CCF" w14:paraId="6A8E48A7"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30CEC6AC"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Sick leave</w:t>
            </w:r>
          </w:p>
        </w:tc>
        <w:tc>
          <w:tcPr>
            <w:tcW w:w="5812" w:type="dxa"/>
          </w:tcPr>
          <w:p w14:paraId="07A8748D" w14:textId="77777777" w:rsidR="003E21C5" w:rsidRPr="002B0CCF" w:rsidRDefault="003E21C5" w:rsidP="007D73A6">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15 days</w:t>
            </w:r>
          </w:p>
        </w:tc>
        <w:tc>
          <w:tcPr>
            <w:tcW w:w="5953" w:type="dxa"/>
          </w:tcPr>
          <w:p w14:paraId="648C044F" w14:textId="77777777" w:rsidR="003E21C5" w:rsidRPr="002B0CCF" w:rsidRDefault="003E21C5" w:rsidP="007D73A6">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30 days</w:t>
            </w:r>
          </w:p>
        </w:tc>
      </w:tr>
      <w:tr w:rsidR="003E21C5" w:rsidRPr="002B0CCF" w14:paraId="102C0917"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6F861578"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Allowance for work undertaken in non-urban and/or high needs areas</w:t>
            </w:r>
          </w:p>
        </w:tc>
        <w:tc>
          <w:tcPr>
            <w:tcW w:w="5812" w:type="dxa"/>
          </w:tcPr>
          <w:p w14:paraId="05F27E87"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$3,000 per year maximum ($1,500 for each 6-month attachment)</w:t>
            </w:r>
          </w:p>
        </w:tc>
        <w:tc>
          <w:tcPr>
            <w:tcW w:w="5953" w:type="dxa"/>
          </w:tcPr>
          <w:p w14:paraId="42ECC41B"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$2,742 to $3,375 (increment on urban base salaries)</w:t>
            </w:r>
          </w:p>
        </w:tc>
      </w:tr>
      <w:tr w:rsidR="003E21C5" w:rsidRPr="002B0CCF" w14:paraId="29B3D7A5"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04658390"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Education-related expenses</w:t>
            </w:r>
          </w:p>
        </w:tc>
        <w:tc>
          <w:tcPr>
            <w:tcW w:w="5812" w:type="dxa"/>
          </w:tcPr>
          <w:p w14:paraId="4574D460"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$2,600 per year for current practising certificate, medical indemnity insurance and required textbooks and/or equipment</w:t>
            </w:r>
          </w:p>
          <w:p w14:paraId="2E042F08"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RNZCGP Associate Membership fees</w:t>
            </w:r>
          </w:p>
          <w:p w14:paraId="718D1CAC"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GPEP Year 1 written and clinical exam fees</w:t>
            </w:r>
          </w:p>
          <w:p w14:paraId="4D91D95C"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 xml:space="preserve">Annual membership of Te </w:t>
            </w:r>
            <w:proofErr w:type="spellStart"/>
            <w:r w:rsidRPr="002B0CCF">
              <w:rPr>
                <w:rFonts w:cs="Calibri"/>
                <w:sz w:val="20"/>
                <w:szCs w:val="20"/>
              </w:rPr>
              <w:t>Ohu</w:t>
            </w:r>
            <w:proofErr w:type="spellEnd"/>
            <w:r w:rsidRPr="002B0CCF">
              <w:rPr>
                <w:rFonts w:cs="Calibri"/>
                <w:sz w:val="20"/>
                <w:szCs w:val="20"/>
              </w:rPr>
              <w:t xml:space="preserve"> Rata o Aotearoa</w:t>
            </w:r>
          </w:p>
          <w:p w14:paraId="6F4C8765"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ACLS renewal fees to minimum m level 5</w:t>
            </w:r>
          </w:p>
          <w:p w14:paraId="65F319E3"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Either APLS or EMST, if relevant to the employee’s attachment</w:t>
            </w:r>
          </w:p>
          <w:p w14:paraId="3A34FE65"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lastRenderedPageBreak/>
              <w:t>ACC PRIME courses for Rural Registrars attached to PRIME certified practices</w:t>
            </w:r>
          </w:p>
          <w:p w14:paraId="1E1035DF"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$600 for the College’s Annual Conference for General Practice</w:t>
            </w:r>
          </w:p>
          <w:p w14:paraId="6EEF62EE"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 xml:space="preserve">$590 for the annual Te </w:t>
            </w:r>
            <w:proofErr w:type="spellStart"/>
            <w:r w:rsidRPr="002B0CCF">
              <w:rPr>
                <w:rFonts w:cs="Calibri"/>
                <w:sz w:val="20"/>
                <w:szCs w:val="20"/>
              </w:rPr>
              <w:t>Ohu</w:t>
            </w:r>
            <w:proofErr w:type="spellEnd"/>
            <w:r w:rsidRPr="002B0CCF">
              <w:rPr>
                <w:rFonts w:cs="Calibri"/>
                <w:sz w:val="20"/>
                <w:szCs w:val="20"/>
              </w:rPr>
              <w:t xml:space="preserve"> Rata o Aotearoa Hui-</w:t>
            </w:r>
            <w:r w:rsidRPr="002B0CCF">
              <w:rPr>
                <w:rFonts w:cs="Calibri"/>
                <w:sz w:val="20"/>
                <w:szCs w:val="20"/>
                <w:lang w:val="mi-NZ"/>
              </w:rPr>
              <w:t>ā</w:t>
            </w:r>
            <w:r w:rsidRPr="002B0CCF">
              <w:rPr>
                <w:rFonts w:cs="Calibri"/>
                <w:sz w:val="20"/>
                <w:szCs w:val="20"/>
              </w:rPr>
              <w:t>-Tau and Scientific Conference and/or an approved alternate relevant conference</w:t>
            </w:r>
          </w:p>
        </w:tc>
        <w:tc>
          <w:tcPr>
            <w:tcW w:w="5953" w:type="dxa"/>
          </w:tcPr>
          <w:p w14:paraId="70B34A21"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lastRenderedPageBreak/>
              <w:t>Cost of annual practicing certificate</w:t>
            </w:r>
          </w:p>
          <w:p w14:paraId="292FD5FE" w14:textId="37D63D4C"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Cost of membership of relevant post</w:t>
            </w:r>
            <w:r w:rsidR="0098010D">
              <w:rPr>
                <w:rFonts w:cs="Calibri"/>
                <w:sz w:val="20"/>
                <w:szCs w:val="20"/>
              </w:rPr>
              <w:t>-</w:t>
            </w:r>
            <w:r w:rsidRPr="002B0CCF">
              <w:rPr>
                <w:rFonts w:cs="Calibri"/>
                <w:sz w:val="20"/>
                <w:szCs w:val="20"/>
              </w:rPr>
              <w:t>graduate colleges</w:t>
            </w:r>
          </w:p>
          <w:p w14:paraId="2B312A72"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 xml:space="preserve">$300 per year maximum for membership of Te </w:t>
            </w:r>
            <w:proofErr w:type="spellStart"/>
            <w:r w:rsidRPr="002B0CCF">
              <w:rPr>
                <w:rFonts w:cs="Calibri"/>
                <w:sz w:val="20"/>
                <w:szCs w:val="20"/>
              </w:rPr>
              <w:t>Ohu</w:t>
            </w:r>
            <w:proofErr w:type="spellEnd"/>
            <w:r w:rsidRPr="002B0CCF">
              <w:rPr>
                <w:rFonts w:cs="Calibri"/>
                <w:sz w:val="20"/>
                <w:szCs w:val="20"/>
              </w:rPr>
              <w:t xml:space="preserve"> Rata o Aotearoa</w:t>
            </w:r>
          </w:p>
          <w:p w14:paraId="18362199"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Cost of initial application for provisional general registration</w:t>
            </w:r>
          </w:p>
          <w:p w14:paraId="6FB39750"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Actual and reasonable costs of the training undertaken to obtain a New Zealand or Australasian vocational scope of practice (include course, examination, modules and clinical assessments, other fees, required texts, travel, meals, accommodation)</w:t>
            </w:r>
          </w:p>
          <w:p w14:paraId="18FC7F7F" w14:textId="606B56A5"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lastRenderedPageBreak/>
              <w:t>DHB shall provide professional indemnity insurance on a basis agreeable between the parties</w:t>
            </w:r>
          </w:p>
        </w:tc>
      </w:tr>
      <w:tr w:rsidR="003E21C5" w:rsidRPr="002B0CCF" w14:paraId="58ED108B"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7364AABB"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Relocation expenses</w:t>
            </w:r>
          </w:p>
        </w:tc>
        <w:tc>
          <w:tcPr>
            <w:tcW w:w="5812" w:type="dxa"/>
          </w:tcPr>
          <w:p w14:paraId="77F6C74F"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$3,000 per relocation to the Rural Practice area</w:t>
            </w:r>
          </w:p>
        </w:tc>
        <w:tc>
          <w:tcPr>
            <w:tcW w:w="5953" w:type="dxa"/>
          </w:tcPr>
          <w:p w14:paraId="514919CF"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$750 transfer grant</w:t>
            </w:r>
          </w:p>
          <w:p w14:paraId="7C6FFAA1"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$270 grant per child for school uniform</w:t>
            </w:r>
          </w:p>
          <w:p w14:paraId="6EEEE9EC"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$2,332 refund for penalty mortgage repayment charges</w:t>
            </w:r>
          </w:p>
          <w:p w14:paraId="5E90F141"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Expenses arising from buying or selling land (up to $3,633)</w:t>
            </w:r>
          </w:p>
          <w:p w14:paraId="79842174"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 xml:space="preserve">Expenses arising from selling the house within 2 </w:t>
            </w:r>
            <w:proofErr w:type="spellStart"/>
            <w:r w:rsidRPr="002B0CCF">
              <w:rPr>
                <w:rFonts w:cs="Calibri"/>
                <w:sz w:val="20"/>
                <w:szCs w:val="20"/>
              </w:rPr>
              <w:t>yours</w:t>
            </w:r>
            <w:proofErr w:type="spellEnd"/>
            <w:r w:rsidRPr="002B0CCF">
              <w:rPr>
                <w:rFonts w:cs="Calibri"/>
                <w:sz w:val="20"/>
                <w:szCs w:val="20"/>
              </w:rPr>
              <w:t xml:space="preserve"> of the date of relocation (up to $10,816 for aggregated legal and land </w:t>
            </w:r>
            <w:proofErr w:type="gramStart"/>
            <w:r w:rsidRPr="002B0CCF">
              <w:rPr>
                <w:rFonts w:cs="Calibri"/>
                <w:sz w:val="20"/>
                <w:szCs w:val="20"/>
              </w:rPr>
              <w:t>agents</w:t>
            </w:r>
            <w:proofErr w:type="gramEnd"/>
            <w:r w:rsidRPr="002B0CCF">
              <w:rPr>
                <w:rFonts w:cs="Calibri"/>
                <w:sz w:val="20"/>
                <w:szCs w:val="20"/>
              </w:rPr>
              <w:t xml:space="preserve"> expenses)</w:t>
            </w:r>
          </w:p>
          <w:p w14:paraId="5D044CFC"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Reasonable cost of the removal of furniture and essential effects to the new location</w:t>
            </w:r>
          </w:p>
          <w:p w14:paraId="090A447B"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Refund of up to one week’s accommodation expenses for the employee and the family</w:t>
            </w:r>
          </w:p>
          <w:p w14:paraId="69F1C97F"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 xml:space="preserve">One week’s accommodation </w:t>
            </w:r>
            <w:proofErr w:type="gramStart"/>
            <w:r w:rsidRPr="002B0CCF">
              <w:rPr>
                <w:rFonts w:cs="Calibri"/>
                <w:sz w:val="20"/>
                <w:szCs w:val="20"/>
              </w:rPr>
              <w:t>expenses</w:t>
            </w:r>
            <w:proofErr w:type="gramEnd"/>
            <w:r w:rsidRPr="002B0CCF">
              <w:rPr>
                <w:rFonts w:cs="Calibri"/>
                <w:sz w:val="20"/>
                <w:szCs w:val="20"/>
              </w:rPr>
              <w:t>, followed by boarding allowance of $45 per week, where an employee is required to maintain their family at the former location</w:t>
            </w:r>
          </w:p>
          <w:p w14:paraId="7BCBEA6B"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Employees without a family are offered accommodation in the DHB’s staff quarters at the normal rates</w:t>
            </w:r>
          </w:p>
        </w:tc>
      </w:tr>
      <w:tr w:rsidR="003E21C5" w:rsidRPr="002B0CCF" w14:paraId="758F4AB0" w14:textId="77777777" w:rsidTr="007D73A6">
        <w:trPr>
          <w:cantSplit w:val="0"/>
          <w:trHeight w:val="20"/>
        </w:trPr>
        <w:tc>
          <w:tcPr>
            <w:cnfStyle w:val="001000000000" w:firstRow="0" w:lastRow="0" w:firstColumn="1" w:lastColumn="0" w:oddVBand="0" w:evenVBand="0" w:oddHBand="0" w:evenHBand="0" w:firstRowFirstColumn="0" w:firstRowLastColumn="0" w:lastRowFirstColumn="0" w:lastRowLastColumn="0"/>
            <w:tcW w:w="2410" w:type="dxa"/>
          </w:tcPr>
          <w:p w14:paraId="19A08023" w14:textId="77777777" w:rsidR="003E21C5" w:rsidRPr="002B0CCF" w:rsidRDefault="003E21C5" w:rsidP="002B0CCF">
            <w:pPr>
              <w:keepNext w:val="0"/>
              <w:spacing w:before="0" w:after="0" w:line="240" w:lineRule="auto"/>
              <w:rPr>
                <w:rFonts w:cs="Calibri"/>
                <w:sz w:val="20"/>
                <w:szCs w:val="20"/>
              </w:rPr>
            </w:pPr>
            <w:r w:rsidRPr="002B0CCF">
              <w:rPr>
                <w:rFonts w:cs="Calibri"/>
                <w:sz w:val="20"/>
                <w:szCs w:val="20"/>
              </w:rPr>
              <w:t>Travel expenses</w:t>
            </w:r>
          </w:p>
        </w:tc>
        <w:tc>
          <w:tcPr>
            <w:tcW w:w="5812" w:type="dxa"/>
          </w:tcPr>
          <w:p w14:paraId="3D6077D0"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Motor vehicle mileage allowance, related to practice duties and/or travel to seminars and other training</w:t>
            </w:r>
          </w:p>
          <w:p w14:paraId="38E129C6"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Travel expenses related to GPEP Year 1 examinations</w:t>
            </w:r>
          </w:p>
        </w:tc>
        <w:tc>
          <w:tcPr>
            <w:tcW w:w="5953" w:type="dxa"/>
          </w:tcPr>
          <w:p w14:paraId="310C6826"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Motor vehicle mileage allowance, where required to use own car for the purposes of work</w:t>
            </w:r>
          </w:p>
          <w:p w14:paraId="44043DC4"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Cost of actual and reasonable fares for travelling to the new location at the beginning of the attachment, and return at the end of it (include the employee’s family travel costs where the attachment is to be for more than 3 months)</w:t>
            </w:r>
          </w:p>
          <w:p w14:paraId="71C25860"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Cost of actual and reasonable fares for travelling to return to the base location for approved training courses, not more than once a month</w:t>
            </w:r>
          </w:p>
          <w:p w14:paraId="47C5425A" w14:textId="77777777" w:rsidR="003E21C5" w:rsidRPr="002B0CCF" w:rsidRDefault="003E21C5" w:rsidP="002B0CCF">
            <w:pPr>
              <w:keepNext w:val="0"/>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2B0CCF">
              <w:rPr>
                <w:rFonts w:cs="Calibri"/>
                <w:sz w:val="20"/>
                <w:szCs w:val="20"/>
              </w:rPr>
              <w:t>Meals and incidentals at $65 per day</w:t>
            </w:r>
          </w:p>
        </w:tc>
      </w:tr>
    </w:tbl>
    <w:p w14:paraId="08D8B20F" w14:textId="7C33A65D" w:rsidR="003E21C5" w:rsidRDefault="003E21C5" w:rsidP="003E21C5">
      <w:pPr>
        <w:rPr>
          <w:rFonts w:eastAsiaTheme="minorHAnsi"/>
        </w:rPr>
      </w:pPr>
    </w:p>
    <w:p w14:paraId="5EBC53CB" w14:textId="77777777" w:rsidR="007D73A6" w:rsidRDefault="007D73A6" w:rsidP="003E21C5">
      <w:pPr>
        <w:rPr>
          <w:rFonts w:eastAsiaTheme="minorHAnsi"/>
        </w:rPr>
        <w:sectPr w:rsidR="007D73A6" w:rsidSect="00CA3C1C">
          <w:pgSz w:w="16838" w:h="11906" w:orient="landscape" w:code="9"/>
          <w:pgMar w:top="1843" w:right="1985" w:bottom="1418" w:left="1985" w:header="284" w:footer="567" w:gutter="0"/>
          <w:cols w:space="708"/>
          <w:docGrid w:linePitch="360"/>
        </w:sectPr>
      </w:pPr>
    </w:p>
    <w:p w14:paraId="2D514DBA" w14:textId="77777777" w:rsidR="00CB52C7" w:rsidRDefault="00CB52C7" w:rsidP="007D73A6">
      <w:pPr>
        <w:pStyle w:val="MalaHeading1"/>
      </w:pPr>
      <w:bookmarkStart w:id="47" w:name="_Toc105853902"/>
      <w:r w:rsidRPr="00CB5526">
        <w:lastRenderedPageBreak/>
        <w:t>Employment models</w:t>
      </w:r>
      <w:bookmarkEnd w:id="47"/>
    </w:p>
    <w:tbl>
      <w:tblPr>
        <w:tblStyle w:val="MITableClassic"/>
        <w:tblW w:w="7797" w:type="dxa"/>
        <w:tblLook w:val="04A0" w:firstRow="1" w:lastRow="0" w:firstColumn="1" w:lastColumn="0" w:noHBand="0" w:noVBand="1"/>
      </w:tblPr>
      <w:tblGrid>
        <w:gridCol w:w="7797"/>
      </w:tblGrid>
      <w:tr w:rsidR="00115EFD" w14:paraId="4EC3CF10" w14:textId="77777777" w:rsidTr="00681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7" w:type="dxa"/>
          </w:tcPr>
          <w:p w14:paraId="45F4789C" w14:textId="77777777" w:rsidR="00115EFD" w:rsidRDefault="00115EFD" w:rsidP="00681758">
            <w:pPr>
              <w:spacing w:before="0" w:after="0"/>
              <w:rPr>
                <w:lang w:eastAsia="en-GB"/>
              </w:rPr>
            </w:pPr>
            <w:r>
              <w:rPr>
                <w:lang w:eastAsia="en-GB"/>
              </w:rPr>
              <w:t>Key messages</w:t>
            </w:r>
          </w:p>
        </w:tc>
      </w:tr>
      <w:tr w:rsidR="00115EFD" w14:paraId="60DF2DAC"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4FBB49EE" w14:textId="2484746C" w:rsidR="00115EFD" w:rsidRDefault="001A7FF2" w:rsidP="00681758">
            <w:pPr>
              <w:rPr>
                <w:lang w:eastAsia="en-GB"/>
              </w:rPr>
            </w:pPr>
            <w:r w:rsidRPr="00E96736">
              <w:rPr>
                <w:lang w:eastAsia="en-GB"/>
              </w:rPr>
              <w:t>Three-quarters</w:t>
            </w:r>
            <w:r w:rsidR="00F3598F" w:rsidRPr="00E96736">
              <w:rPr>
                <w:lang w:eastAsia="en-GB"/>
              </w:rPr>
              <w:t xml:space="preserve"> </w:t>
            </w:r>
            <w:r w:rsidR="00761995" w:rsidRPr="00E96736">
              <w:rPr>
                <w:lang w:eastAsia="en-GB"/>
              </w:rPr>
              <w:t xml:space="preserve">(74%) </w:t>
            </w:r>
            <w:r w:rsidRPr="00E96736">
              <w:rPr>
                <w:lang w:eastAsia="en-GB"/>
              </w:rPr>
              <w:t xml:space="preserve">of </w:t>
            </w:r>
            <w:r w:rsidR="00761995" w:rsidRPr="00E96736">
              <w:rPr>
                <w:lang w:eastAsia="en-GB"/>
              </w:rPr>
              <w:t xml:space="preserve">registrars </w:t>
            </w:r>
            <w:r w:rsidR="007C7087" w:rsidRPr="00E96736">
              <w:rPr>
                <w:lang w:eastAsia="en-GB"/>
              </w:rPr>
              <w:t xml:space="preserve">were </w:t>
            </w:r>
            <w:r w:rsidR="00761995" w:rsidRPr="00E96736">
              <w:rPr>
                <w:lang w:eastAsia="en-GB"/>
              </w:rPr>
              <w:t>employed by the College</w:t>
            </w:r>
            <w:r w:rsidR="00D17516" w:rsidRPr="00E96736">
              <w:rPr>
                <w:lang w:eastAsia="en-GB"/>
              </w:rPr>
              <w:t xml:space="preserve"> for GPEP 1</w:t>
            </w:r>
            <w:r w:rsidR="007C7087" w:rsidRPr="00E96736">
              <w:rPr>
                <w:lang w:eastAsia="en-GB"/>
              </w:rPr>
              <w:t xml:space="preserve"> in 2020</w:t>
            </w:r>
            <w:r w:rsidR="00D17516" w:rsidRPr="00E96736">
              <w:rPr>
                <w:lang w:eastAsia="en-GB"/>
              </w:rPr>
              <w:t>.</w:t>
            </w:r>
            <w:r w:rsidR="007C7087" w:rsidRPr="00E96736">
              <w:rPr>
                <w:lang w:eastAsia="en-GB"/>
              </w:rPr>
              <w:t xml:space="preserve"> The College has advised this is trending downwards.</w:t>
            </w:r>
            <w:r w:rsidR="00D17516" w:rsidRPr="00E96736">
              <w:rPr>
                <w:lang w:eastAsia="en-GB"/>
              </w:rPr>
              <w:t xml:space="preserve"> </w:t>
            </w:r>
            <w:r w:rsidR="00241950" w:rsidRPr="00E96736">
              <w:rPr>
                <w:lang w:eastAsia="en-GB"/>
              </w:rPr>
              <w:t>College employed</w:t>
            </w:r>
            <w:r w:rsidR="00241950">
              <w:rPr>
                <w:lang w:eastAsia="en-GB"/>
              </w:rPr>
              <w:t xml:space="preserve"> registrars</w:t>
            </w:r>
            <w:r w:rsidR="00D17516">
              <w:rPr>
                <w:lang w:eastAsia="en-GB"/>
              </w:rPr>
              <w:t xml:space="preserve"> are required to </w:t>
            </w:r>
            <w:r w:rsidR="0097685B">
              <w:rPr>
                <w:lang w:eastAsia="en-GB"/>
              </w:rPr>
              <w:t>complete two six-month placements in general practices</w:t>
            </w:r>
            <w:r w:rsidR="00DE29CA">
              <w:rPr>
                <w:lang w:eastAsia="en-GB"/>
              </w:rPr>
              <w:t>.</w:t>
            </w:r>
          </w:p>
          <w:p w14:paraId="00763F85" w14:textId="65BFADE7" w:rsidR="00241950" w:rsidRDefault="00241950" w:rsidP="00681758">
            <w:pPr>
              <w:rPr>
                <w:lang w:eastAsia="en-GB"/>
              </w:rPr>
            </w:pPr>
            <w:r>
              <w:rPr>
                <w:lang w:eastAsia="en-GB"/>
              </w:rPr>
              <w:t>Motivation for being practice employed include</w:t>
            </w:r>
            <w:r w:rsidR="004A2D78">
              <w:rPr>
                <w:lang w:eastAsia="en-GB"/>
              </w:rPr>
              <w:t>d</w:t>
            </w:r>
            <w:r>
              <w:rPr>
                <w:lang w:eastAsia="en-GB"/>
              </w:rPr>
              <w:t xml:space="preserve"> </w:t>
            </w:r>
            <w:r w:rsidR="00FF4575">
              <w:rPr>
                <w:lang w:eastAsia="en-GB"/>
              </w:rPr>
              <w:t xml:space="preserve">higher salaries, </w:t>
            </w:r>
            <w:r w:rsidR="00F62ED1">
              <w:rPr>
                <w:lang w:eastAsia="en-GB"/>
              </w:rPr>
              <w:t xml:space="preserve">and </w:t>
            </w:r>
            <w:r w:rsidR="00FF4575">
              <w:rPr>
                <w:lang w:eastAsia="en-GB"/>
              </w:rPr>
              <w:t>n</w:t>
            </w:r>
            <w:r>
              <w:rPr>
                <w:lang w:eastAsia="en-GB"/>
              </w:rPr>
              <w:t xml:space="preserve">ot being placed </w:t>
            </w:r>
            <w:r w:rsidR="00F62ED1">
              <w:rPr>
                <w:lang w:eastAsia="en-GB"/>
              </w:rPr>
              <w:t xml:space="preserve">in </w:t>
            </w:r>
            <w:r w:rsidR="004A2D78">
              <w:rPr>
                <w:lang w:eastAsia="en-GB"/>
              </w:rPr>
              <w:t>a</w:t>
            </w:r>
            <w:r w:rsidR="00F62ED1">
              <w:rPr>
                <w:lang w:eastAsia="en-GB"/>
              </w:rPr>
              <w:t xml:space="preserve"> location o</w:t>
            </w:r>
            <w:r w:rsidR="004A2D78">
              <w:rPr>
                <w:lang w:eastAsia="en-GB"/>
              </w:rPr>
              <w:t>r</w:t>
            </w:r>
            <w:r w:rsidR="00F62ED1">
              <w:rPr>
                <w:lang w:eastAsia="en-GB"/>
              </w:rPr>
              <w:t xml:space="preserve"> practice </w:t>
            </w:r>
            <w:r>
              <w:rPr>
                <w:lang w:eastAsia="en-GB"/>
              </w:rPr>
              <w:t xml:space="preserve">where registrars </w:t>
            </w:r>
            <w:r w:rsidR="004A2D78">
              <w:rPr>
                <w:lang w:eastAsia="en-GB"/>
              </w:rPr>
              <w:t>did not want</w:t>
            </w:r>
            <w:r>
              <w:rPr>
                <w:lang w:eastAsia="en-GB"/>
              </w:rPr>
              <w:t xml:space="preserve"> to go</w:t>
            </w:r>
            <w:r w:rsidR="00F62ED1">
              <w:rPr>
                <w:lang w:eastAsia="en-GB"/>
              </w:rPr>
              <w:t>.</w:t>
            </w:r>
            <w:r>
              <w:rPr>
                <w:lang w:eastAsia="en-GB"/>
              </w:rPr>
              <w:t xml:space="preserve"> </w:t>
            </w:r>
          </w:p>
          <w:p w14:paraId="35D82840" w14:textId="77777777" w:rsidR="00E0308A" w:rsidRDefault="00E0308A" w:rsidP="00681758">
            <w:pPr>
              <w:rPr>
                <w:lang w:eastAsia="en-GB"/>
              </w:rPr>
            </w:pPr>
            <w:r>
              <w:rPr>
                <w:lang w:eastAsia="en-GB"/>
              </w:rPr>
              <w:t>Practice employed registrars generally stay in one practice for 12-months and depending on the practice may have limited exposure to a breadth of patients and contexts.</w:t>
            </w:r>
          </w:p>
          <w:p w14:paraId="6AB946D4" w14:textId="2AB7AD96" w:rsidR="00C51FCB" w:rsidRDefault="00930BDF" w:rsidP="00681758">
            <w:pPr>
              <w:rPr>
                <w:lang w:eastAsia="en-GB"/>
              </w:rPr>
            </w:pPr>
            <w:r>
              <w:rPr>
                <w:lang w:eastAsia="en-GB"/>
              </w:rPr>
              <w:t>Many interviewed stakeholders and registrars felt there was a conflict of interest between the College roles of educator and employer.</w:t>
            </w:r>
          </w:p>
        </w:tc>
      </w:tr>
      <w:tr w:rsidR="00115EFD" w14:paraId="5CAD45FB"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6CE80695" w14:textId="77777777" w:rsidR="00115EFD" w:rsidRPr="0047079A" w:rsidRDefault="00115EFD" w:rsidP="00681758">
            <w:pPr>
              <w:rPr>
                <w:b/>
                <w:bCs/>
                <w:lang w:eastAsia="en-GB"/>
              </w:rPr>
            </w:pPr>
            <w:r w:rsidRPr="0047079A">
              <w:rPr>
                <w:b/>
                <w:bCs/>
                <w:lang w:eastAsia="en-GB"/>
              </w:rPr>
              <w:t>Opportunities:</w:t>
            </w:r>
          </w:p>
          <w:p w14:paraId="72F91100" w14:textId="77777777" w:rsidR="00115EFD" w:rsidRDefault="008E5E3B" w:rsidP="00681758">
            <w:pPr>
              <w:rPr>
                <w:lang w:eastAsia="en-GB"/>
              </w:rPr>
            </w:pPr>
            <w:r>
              <w:rPr>
                <w:lang w:eastAsia="en-GB"/>
              </w:rPr>
              <w:t>Separating registrar employment from the College’s role as the educator has the potential to make it easier to place GPEP registrars on the same footing as other registrars.</w:t>
            </w:r>
          </w:p>
          <w:p w14:paraId="0D8292C0" w14:textId="4F593450" w:rsidR="00541784" w:rsidRDefault="00000CD9" w:rsidP="00681758">
            <w:pPr>
              <w:rPr>
                <w:lang w:eastAsia="en-GB"/>
              </w:rPr>
            </w:pPr>
            <w:r>
              <w:rPr>
                <w:lang w:eastAsia="en-GB"/>
              </w:rPr>
              <w:t>Develop s</w:t>
            </w:r>
            <w:r w:rsidR="006E0E96">
              <w:rPr>
                <w:lang w:eastAsia="en-GB"/>
              </w:rPr>
              <w:t>trategies to enable registrars to have a breadth of experience</w:t>
            </w:r>
            <w:r w:rsidR="006F1BA0">
              <w:rPr>
                <w:lang w:eastAsia="en-GB"/>
              </w:rPr>
              <w:t xml:space="preserve"> of different communities and general practices.</w:t>
            </w:r>
          </w:p>
          <w:p w14:paraId="7DA5CCC3" w14:textId="68F34807" w:rsidR="00541784" w:rsidRDefault="00216BE7" w:rsidP="00681758">
            <w:pPr>
              <w:rPr>
                <w:lang w:eastAsia="en-GB"/>
              </w:rPr>
            </w:pPr>
            <w:r>
              <w:rPr>
                <w:lang w:eastAsia="en-GB"/>
              </w:rPr>
              <w:t>Standard</w:t>
            </w:r>
            <w:r w:rsidR="00541784">
              <w:rPr>
                <w:lang w:eastAsia="en-GB"/>
              </w:rPr>
              <w:t xml:space="preserve"> employment contracts </w:t>
            </w:r>
            <w:r>
              <w:rPr>
                <w:lang w:eastAsia="en-GB"/>
              </w:rPr>
              <w:t xml:space="preserve">between registrars and practices would remove stress for GPE2/3 </w:t>
            </w:r>
            <w:r w:rsidR="00BD751E">
              <w:rPr>
                <w:lang w:eastAsia="en-GB"/>
              </w:rPr>
              <w:t>registrars</w:t>
            </w:r>
            <w:r>
              <w:rPr>
                <w:lang w:eastAsia="en-GB"/>
              </w:rPr>
              <w:t xml:space="preserve"> and </w:t>
            </w:r>
            <w:r w:rsidR="00DE17A3">
              <w:rPr>
                <w:lang w:eastAsia="en-GB"/>
              </w:rPr>
              <w:t xml:space="preserve">contribute to </w:t>
            </w:r>
            <w:r w:rsidR="00BD751E">
              <w:rPr>
                <w:lang w:eastAsia="en-GB"/>
              </w:rPr>
              <w:t>standardised employment conditions.</w:t>
            </w:r>
          </w:p>
        </w:tc>
      </w:tr>
    </w:tbl>
    <w:p w14:paraId="65B15C84" w14:textId="77777777" w:rsidR="004A5CA7" w:rsidRDefault="004A5CA7" w:rsidP="00A16840">
      <w:pPr>
        <w:pStyle w:val="Heading2"/>
      </w:pPr>
      <w:bookmarkStart w:id="48" w:name="_Toc105853903"/>
      <w:r>
        <w:t>Employment in GPEP 1</w:t>
      </w:r>
      <w:bookmarkEnd w:id="48"/>
    </w:p>
    <w:p w14:paraId="231FA380" w14:textId="0AFEA29F" w:rsidR="00B82E25" w:rsidRDefault="00B82E25" w:rsidP="00B82E25">
      <w:pPr>
        <w:rPr>
          <w:rFonts w:eastAsiaTheme="minorHAnsi"/>
        </w:rPr>
      </w:pPr>
      <w:r>
        <w:rPr>
          <w:rFonts w:eastAsiaTheme="minorHAnsi"/>
        </w:rPr>
        <w:t>Registrars who enter GPEP</w:t>
      </w:r>
      <w:r w:rsidR="008210EC">
        <w:rPr>
          <w:rFonts w:eastAsiaTheme="minorHAnsi"/>
        </w:rPr>
        <w:t xml:space="preserve"> 1</w:t>
      </w:r>
      <w:r>
        <w:rPr>
          <w:rFonts w:eastAsiaTheme="minorHAnsi"/>
        </w:rPr>
        <w:t xml:space="preserve"> have the option of three employment models.</w:t>
      </w:r>
    </w:p>
    <w:p w14:paraId="0FD0318E" w14:textId="77777777" w:rsidR="00EA1425" w:rsidRDefault="00EA1425" w:rsidP="00BE792F">
      <w:pPr>
        <w:pStyle w:val="ListParagraph"/>
        <w:numPr>
          <w:ilvl w:val="0"/>
          <w:numId w:val="6"/>
        </w:numPr>
        <w:rPr>
          <w:rFonts w:eastAsiaTheme="minorHAnsi"/>
        </w:rPr>
      </w:pPr>
      <w:r>
        <w:rPr>
          <w:rFonts w:eastAsiaTheme="minorHAnsi"/>
        </w:rPr>
        <w:t xml:space="preserve">College employed </w:t>
      </w:r>
    </w:p>
    <w:p w14:paraId="4109D613" w14:textId="35129671" w:rsidR="00EA1425" w:rsidRDefault="00EA1425" w:rsidP="00BE792F">
      <w:pPr>
        <w:pStyle w:val="ListParagraph"/>
        <w:numPr>
          <w:ilvl w:val="0"/>
          <w:numId w:val="6"/>
        </w:numPr>
        <w:rPr>
          <w:rFonts w:eastAsiaTheme="minorHAnsi"/>
        </w:rPr>
      </w:pPr>
      <w:r>
        <w:rPr>
          <w:rFonts w:eastAsiaTheme="minorHAnsi"/>
        </w:rPr>
        <w:t>Practice employed</w:t>
      </w:r>
    </w:p>
    <w:p w14:paraId="3166674D" w14:textId="6CEAB8BD" w:rsidR="00EA1425" w:rsidRDefault="00EA1425" w:rsidP="00BE792F">
      <w:pPr>
        <w:pStyle w:val="ListParagraph"/>
        <w:numPr>
          <w:ilvl w:val="0"/>
          <w:numId w:val="6"/>
        </w:numPr>
        <w:rPr>
          <w:rFonts w:eastAsiaTheme="minorHAnsi"/>
        </w:rPr>
      </w:pPr>
      <w:r>
        <w:rPr>
          <w:rFonts w:eastAsiaTheme="minorHAnsi"/>
        </w:rPr>
        <w:t xml:space="preserve">Self-funded </w:t>
      </w:r>
    </w:p>
    <w:p w14:paraId="0CDAE130" w14:textId="77777777" w:rsidR="00923217" w:rsidRDefault="00923217" w:rsidP="00E96736">
      <w:pPr>
        <w:pStyle w:val="Mala3"/>
        <w:keepNext/>
        <w:ind w:hanging="992"/>
      </w:pPr>
      <w:r>
        <w:lastRenderedPageBreak/>
        <w:t>College employed</w:t>
      </w:r>
    </w:p>
    <w:p w14:paraId="0FCB0B7B" w14:textId="57F5FB90" w:rsidR="006F1BA0" w:rsidRDefault="00D61C4D" w:rsidP="00D61C4D">
      <w:r>
        <w:t>Information from the College</w:t>
      </w:r>
      <w:r w:rsidR="00EE509E">
        <w:t xml:space="preserve"> identified College employment in GPEP 1 as the main employment option with </w:t>
      </w:r>
      <w:r w:rsidR="005D08AE">
        <w:t>74% of registrars employed by the College</w:t>
      </w:r>
      <w:r w:rsidR="00FC712F">
        <w:t xml:space="preserve"> in 2020</w:t>
      </w:r>
      <w:r w:rsidR="00E96736">
        <w:rPr>
          <w:rStyle w:val="FootnoteReference"/>
        </w:rPr>
        <w:footnoteReference w:id="23"/>
      </w:r>
      <w:r w:rsidR="006933BD">
        <w:t xml:space="preserve"> (</w:t>
      </w:r>
      <w:r w:rsidR="006933BD">
        <w:fldChar w:fldCharType="begin"/>
      </w:r>
      <w:r w:rsidR="006933BD">
        <w:instrText xml:space="preserve"> REF _Ref104124663 \h </w:instrText>
      </w:r>
      <w:r w:rsidR="006933BD">
        <w:fldChar w:fldCharType="separate"/>
      </w:r>
      <w:r w:rsidR="005E0451" w:rsidRPr="009E049F">
        <w:t xml:space="preserve">Table </w:t>
      </w:r>
      <w:r w:rsidR="005E0451">
        <w:rPr>
          <w:noProof/>
        </w:rPr>
        <w:t>7</w:t>
      </w:r>
      <w:r w:rsidR="006933BD">
        <w:fldChar w:fldCharType="end"/>
      </w:r>
      <w:r w:rsidR="006933BD">
        <w:t>). More female than male registrars were employed by the College.</w:t>
      </w:r>
      <w:r w:rsidR="00EF4EB0">
        <w:t xml:space="preserve"> </w:t>
      </w:r>
    </w:p>
    <w:p w14:paraId="089A7FE7" w14:textId="42E938DC" w:rsidR="00557CB8" w:rsidRPr="009E049F" w:rsidRDefault="00557CB8" w:rsidP="0084002B">
      <w:pPr>
        <w:pStyle w:val="Caption"/>
      </w:pPr>
      <w:bookmarkStart w:id="49" w:name="_Ref104124663"/>
      <w:r w:rsidRPr="009E049F">
        <w:t xml:space="preserve">Table </w:t>
      </w:r>
      <w:r w:rsidRPr="009E049F">
        <w:fldChar w:fldCharType="begin"/>
      </w:r>
      <w:r>
        <w:instrText>SEQ Table \* ARABIC</w:instrText>
      </w:r>
      <w:r w:rsidRPr="009E049F">
        <w:fldChar w:fldCharType="separate"/>
      </w:r>
      <w:r w:rsidR="005E0451">
        <w:rPr>
          <w:noProof/>
        </w:rPr>
        <w:t>7</w:t>
      </w:r>
      <w:r w:rsidRPr="009E049F">
        <w:fldChar w:fldCharType="end"/>
      </w:r>
      <w:bookmarkEnd w:id="49"/>
      <w:r w:rsidRPr="009E049F">
        <w:t>.</w:t>
      </w:r>
      <w:r w:rsidR="008B3803">
        <w:t xml:space="preserve"> Current and past r</w:t>
      </w:r>
      <w:r w:rsidRPr="009E049F">
        <w:t xml:space="preserve">egistrar survey GPEP 1 employer </w:t>
      </w:r>
      <w:r w:rsidRPr="009E049F">
        <w:rPr>
          <w:noProof/>
        </w:rPr>
        <w:t>(n=389)</w:t>
      </w:r>
      <w:r w:rsidR="00FA0B7D">
        <w:rPr>
          <w:noProof/>
        </w:rPr>
        <w:t>. Survey responses were received from College and practice employed registrars.</w:t>
      </w:r>
    </w:p>
    <w:tbl>
      <w:tblPr>
        <w:tblStyle w:val="MITableClassic"/>
        <w:tblpPr w:leftFromText="180" w:rightFromText="180" w:vertAnchor="text" w:horzAnchor="margin" w:tblpY="92"/>
        <w:tblW w:w="0" w:type="auto"/>
        <w:jc w:val="left"/>
        <w:tblLayout w:type="fixed"/>
        <w:tblLook w:val="04A0" w:firstRow="1" w:lastRow="0" w:firstColumn="1" w:lastColumn="0" w:noHBand="0" w:noVBand="1"/>
      </w:tblPr>
      <w:tblGrid>
        <w:gridCol w:w="2127"/>
        <w:gridCol w:w="1096"/>
        <w:gridCol w:w="1096"/>
        <w:gridCol w:w="1096"/>
        <w:gridCol w:w="1248"/>
        <w:gridCol w:w="945"/>
      </w:tblGrid>
      <w:tr w:rsidR="00557CB8" w:rsidRPr="009E049F" w14:paraId="4F146AFD" w14:textId="77777777" w:rsidTr="007B79AB">
        <w:trPr>
          <w:cnfStyle w:val="100000000000" w:firstRow="1" w:lastRow="0" w:firstColumn="0" w:lastColumn="0" w:oddVBand="0" w:evenVBand="0" w:oddHBand="0" w:evenHBand="0" w:firstRowFirstColumn="0" w:firstRowLastColumn="0" w:lastRowFirstColumn="0" w:lastRowLastColumn="0"/>
          <w:jc w:val="left"/>
        </w:trPr>
        <w:tc>
          <w:tcPr>
            <w:cnfStyle w:val="001000000100" w:firstRow="0" w:lastRow="0" w:firstColumn="1" w:lastColumn="0" w:oddVBand="0" w:evenVBand="0" w:oddHBand="0" w:evenHBand="0" w:firstRowFirstColumn="1" w:firstRowLastColumn="0" w:lastRowFirstColumn="0" w:lastRowLastColumn="0"/>
            <w:tcW w:w="2127" w:type="dxa"/>
          </w:tcPr>
          <w:p w14:paraId="2A296F00" w14:textId="77777777" w:rsidR="00557CB8" w:rsidRPr="009E049F" w:rsidRDefault="00557CB8" w:rsidP="00A91F46">
            <w:pPr>
              <w:spacing w:before="0" w:after="0" w:line="240" w:lineRule="auto"/>
              <w:rPr>
                <w:rFonts w:eastAsiaTheme="minorHAnsi"/>
                <w:sz w:val="20"/>
                <w:szCs w:val="20"/>
              </w:rPr>
            </w:pPr>
            <w:r>
              <w:rPr>
                <w:rFonts w:eastAsiaTheme="minorHAnsi"/>
                <w:sz w:val="20"/>
                <w:szCs w:val="20"/>
              </w:rPr>
              <w:t>Proportion of GPEP 1 employed by the RNZCGP</w:t>
            </w:r>
          </w:p>
        </w:tc>
        <w:tc>
          <w:tcPr>
            <w:tcW w:w="1096" w:type="dxa"/>
          </w:tcPr>
          <w:p w14:paraId="129421AE" w14:textId="77777777" w:rsidR="00557CB8" w:rsidRPr="009E049F" w:rsidRDefault="00557CB8" w:rsidP="007B79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E049F">
              <w:rPr>
                <w:rFonts w:eastAsiaTheme="minorHAnsi"/>
                <w:sz w:val="20"/>
                <w:szCs w:val="20"/>
              </w:rPr>
              <w:t xml:space="preserve">n of </w:t>
            </w:r>
            <w:r w:rsidRPr="009E049F">
              <w:rPr>
                <w:rFonts w:eastAsiaTheme="minorHAnsi"/>
                <w:sz w:val="20"/>
                <w:szCs w:val="20"/>
              </w:rPr>
              <w:br/>
              <w:t>total</w:t>
            </w:r>
          </w:p>
        </w:tc>
        <w:tc>
          <w:tcPr>
            <w:tcW w:w="1096" w:type="dxa"/>
          </w:tcPr>
          <w:p w14:paraId="57DCB90C" w14:textId="2C0C3AB7" w:rsidR="00557CB8" w:rsidRPr="009E049F" w:rsidRDefault="00557CB8" w:rsidP="007B79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E049F">
              <w:rPr>
                <w:rFonts w:eastAsiaTheme="minorHAnsi"/>
                <w:sz w:val="20"/>
                <w:szCs w:val="20"/>
              </w:rPr>
              <w:t xml:space="preserve">% </w:t>
            </w:r>
            <w:proofErr w:type="gramStart"/>
            <w:r w:rsidRPr="009E049F">
              <w:rPr>
                <w:rFonts w:eastAsiaTheme="minorHAnsi"/>
                <w:sz w:val="20"/>
                <w:szCs w:val="20"/>
              </w:rPr>
              <w:t>of</w:t>
            </w:r>
            <w:proofErr w:type="gramEnd"/>
            <w:r w:rsidRPr="009E049F">
              <w:rPr>
                <w:rFonts w:eastAsiaTheme="minorHAnsi"/>
                <w:sz w:val="20"/>
                <w:szCs w:val="20"/>
              </w:rPr>
              <w:t xml:space="preserve"> total</w:t>
            </w:r>
          </w:p>
        </w:tc>
        <w:tc>
          <w:tcPr>
            <w:tcW w:w="1096" w:type="dxa"/>
          </w:tcPr>
          <w:p w14:paraId="49B3DAF9" w14:textId="77426F31" w:rsidR="00557CB8" w:rsidRPr="009E049F" w:rsidRDefault="00094392" w:rsidP="007B79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 </w:t>
            </w:r>
            <w:proofErr w:type="gramStart"/>
            <w:r>
              <w:rPr>
                <w:rFonts w:eastAsiaTheme="minorHAnsi"/>
                <w:sz w:val="20"/>
                <w:szCs w:val="20"/>
              </w:rPr>
              <w:t>of</w:t>
            </w:r>
            <w:proofErr w:type="gramEnd"/>
            <w:r>
              <w:rPr>
                <w:rFonts w:eastAsiaTheme="minorHAnsi"/>
                <w:sz w:val="20"/>
                <w:szCs w:val="20"/>
              </w:rPr>
              <w:t xml:space="preserve"> f</w:t>
            </w:r>
            <w:r w:rsidR="00557CB8" w:rsidRPr="009E049F">
              <w:rPr>
                <w:rFonts w:eastAsiaTheme="minorHAnsi"/>
                <w:sz w:val="20"/>
                <w:szCs w:val="20"/>
              </w:rPr>
              <w:t>emale</w:t>
            </w:r>
            <w:r>
              <w:rPr>
                <w:rFonts w:eastAsiaTheme="minorHAnsi"/>
                <w:sz w:val="20"/>
                <w:szCs w:val="20"/>
              </w:rPr>
              <w:t>s College employed</w:t>
            </w:r>
          </w:p>
        </w:tc>
        <w:tc>
          <w:tcPr>
            <w:tcW w:w="1248" w:type="dxa"/>
          </w:tcPr>
          <w:p w14:paraId="13E46597" w14:textId="1F7EC6C3" w:rsidR="00557CB8" w:rsidRPr="009E049F" w:rsidRDefault="00094392" w:rsidP="007B79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 </w:t>
            </w:r>
            <w:proofErr w:type="gramStart"/>
            <w:r>
              <w:rPr>
                <w:rFonts w:eastAsiaTheme="minorHAnsi"/>
                <w:sz w:val="20"/>
                <w:szCs w:val="20"/>
              </w:rPr>
              <w:t>of</w:t>
            </w:r>
            <w:proofErr w:type="gramEnd"/>
            <w:r>
              <w:rPr>
                <w:rFonts w:eastAsiaTheme="minorHAnsi"/>
                <w:sz w:val="20"/>
                <w:szCs w:val="20"/>
              </w:rPr>
              <w:t xml:space="preserve"> m</w:t>
            </w:r>
            <w:r w:rsidR="00557CB8" w:rsidRPr="009E049F">
              <w:rPr>
                <w:rFonts w:eastAsiaTheme="minorHAnsi"/>
                <w:sz w:val="20"/>
                <w:szCs w:val="20"/>
              </w:rPr>
              <w:t>al</w:t>
            </w:r>
            <w:r>
              <w:rPr>
                <w:rFonts w:eastAsiaTheme="minorHAnsi"/>
                <w:sz w:val="20"/>
                <w:szCs w:val="20"/>
              </w:rPr>
              <w:t>es College employed</w:t>
            </w:r>
          </w:p>
        </w:tc>
        <w:tc>
          <w:tcPr>
            <w:tcW w:w="945" w:type="dxa"/>
          </w:tcPr>
          <w:p w14:paraId="3C1A113F" w14:textId="0EB9DD9E" w:rsidR="00557CB8" w:rsidRPr="009E049F" w:rsidRDefault="00557CB8" w:rsidP="007B79A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E049F">
              <w:rPr>
                <w:rFonts w:eastAsiaTheme="minorHAnsi"/>
                <w:sz w:val="20"/>
                <w:szCs w:val="20"/>
              </w:rPr>
              <w:t>Another gender</w:t>
            </w:r>
          </w:p>
        </w:tc>
      </w:tr>
      <w:tr w:rsidR="00557CB8" w:rsidRPr="009E049F" w14:paraId="762790BC" w14:textId="77777777" w:rsidTr="00094392">
        <w:trPr>
          <w:jc w:val="left"/>
        </w:trPr>
        <w:tc>
          <w:tcPr>
            <w:cnfStyle w:val="001000000000" w:firstRow="0" w:lastRow="0" w:firstColumn="1" w:lastColumn="0" w:oddVBand="0" w:evenVBand="0" w:oddHBand="0" w:evenHBand="0" w:firstRowFirstColumn="0" w:firstRowLastColumn="0" w:lastRowFirstColumn="0" w:lastRowLastColumn="0"/>
            <w:tcW w:w="2127" w:type="dxa"/>
          </w:tcPr>
          <w:p w14:paraId="5D59423A" w14:textId="67DE4E17" w:rsidR="00557CB8" w:rsidRPr="009E049F" w:rsidRDefault="00557CB8" w:rsidP="00886A3F">
            <w:pPr>
              <w:spacing w:before="0" w:after="0"/>
              <w:jc w:val="right"/>
              <w:rPr>
                <w:rFonts w:eastAsiaTheme="minorHAnsi"/>
                <w:sz w:val="20"/>
                <w:szCs w:val="20"/>
              </w:rPr>
            </w:pPr>
            <w:r>
              <w:rPr>
                <w:rFonts w:eastAsiaTheme="minorHAnsi"/>
                <w:sz w:val="20"/>
                <w:szCs w:val="20"/>
              </w:rPr>
              <w:t>RNZCGP data</w:t>
            </w:r>
          </w:p>
        </w:tc>
        <w:tc>
          <w:tcPr>
            <w:tcW w:w="1096" w:type="dxa"/>
            <w:vAlign w:val="center"/>
          </w:tcPr>
          <w:p w14:paraId="444E8E80" w14:textId="466C1F3C" w:rsidR="00557CB8" w:rsidRPr="009E049F" w:rsidRDefault="001705E8"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159</w:t>
            </w:r>
          </w:p>
        </w:tc>
        <w:tc>
          <w:tcPr>
            <w:tcW w:w="1096" w:type="dxa"/>
            <w:vAlign w:val="center"/>
          </w:tcPr>
          <w:p w14:paraId="14BD9FC4" w14:textId="595FBC40" w:rsidR="00557CB8" w:rsidRPr="009E049F" w:rsidRDefault="00D91B66"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74%</w:t>
            </w:r>
          </w:p>
        </w:tc>
        <w:tc>
          <w:tcPr>
            <w:tcW w:w="1096" w:type="dxa"/>
            <w:vAlign w:val="center"/>
          </w:tcPr>
          <w:p w14:paraId="49A6DED2" w14:textId="421B345C" w:rsidR="00557CB8" w:rsidRPr="009E049F" w:rsidRDefault="00A439EA"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82%</w:t>
            </w:r>
          </w:p>
        </w:tc>
        <w:tc>
          <w:tcPr>
            <w:tcW w:w="1248" w:type="dxa"/>
            <w:vAlign w:val="center"/>
          </w:tcPr>
          <w:p w14:paraId="21BEF61B" w14:textId="6884B584" w:rsidR="00557CB8" w:rsidRPr="009E049F" w:rsidRDefault="00AE79EB"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62%</w:t>
            </w:r>
          </w:p>
        </w:tc>
        <w:tc>
          <w:tcPr>
            <w:tcW w:w="945" w:type="dxa"/>
            <w:vAlign w:val="center"/>
          </w:tcPr>
          <w:p w14:paraId="35F43F27" w14:textId="2B0574EF" w:rsidR="00557CB8" w:rsidRPr="009E049F" w:rsidRDefault="00DF638C"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N/A</w:t>
            </w:r>
          </w:p>
        </w:tc>
      </w:tr>
      <w:tr w:rsidR="00557CB8" w:rsidRPr="009E049F" w14:paraId="2713C6F0" w14:textId="77777777" w:rsidTr="00094392">
        <w:trPr>
          <w:jc w:val="left"/>
        </w:trPr>
        <w:tc>
          <w:tcPr>
            <w:cnfStyle w:val="001000000000" w:firstRow="0" w:lastRow="0" w:firstColumn="1" w:lastColumn="0" w:oddVBand="0" w:evenVBand="0" w:oddHBand="0" w:evenHBand="0" w:firstRowFirstColumn="0" w:firstRowLastColumn="0" w:lastRowFirstColumn="0" w:lastRowLastColumn="0"/>
            <w:tcW w:w="2127" w:type="dxa"/>
          </w:tcPr>
          <w:p w14:paraId="66E866C5" w14:textId="77777777" w:rsidR="00557CB8" w:rsidRPr="009E049F" w:rsidRDefault="00557CB8" w:rsidP="00886A3F">
            <w:pPr>
              <w:spacing w:before="0" w:after="0"/>
              <w:jc w:val="right"/>
              <w:rPr>
                <w:rFonts w:eastAsiaTheme="minorHAnsi"/>
                <w:sz w:val="20"/>
                <w:szCs w:val="20"/>
              </w:rPr>
            </w:pPr>
            <w:r>
              <w:rPr>
                <w:rFonts w:eastAsiaTheme="minorHAnsi"/>
                <w:sz w:val="20"/>
                <w:szCs w:val="20"/>
              </w:rPr>
              <w:t>Survey data</w:t>
            </w:r>
          </w:p>
        </w:tc>
        <w:tc>
          <w:tcPr>
            <w:tcW w:w="1096" w:type="dxa"/>
          </w:tcPr>
          <w:p w14:paraId="7CBB71BF" w14:textId="77777777" w:rsidR="00557CB8" w:rsidRPr="009E049F" w:rsidRDefault="00557CB8"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9E049F">
              <w:rPr>
                <w:rFonts w:eastAsiaTheme="minorHAnsi"/>
                <w:sz w:val="20"/>
                <w:szCs w:val="20"/>
              </w:rPr>
              <w:t>329</w:t>
            </w:r>
          </w:p>
        </w:tc>
        <w:tc>
          <w:tcPr>
            <w:tcW w:w="1096" w:type="dxa"/>
          </w:tcPr>
          <w:p w14:paraId="3E07B8F4" w14:textId="77777777" w:rsidR="00557CB8" w:rsidRPr="009E049F" w:rsidRDefault="00557CB8"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9E049F">
              <w:rPr>
                <w:rFonts w:eastAsiaTheme="minorHAnsi"/>
                <w:sz w:val="20"/>
                <w:szCs w:val="20"/>
              </w:rPr>
              <w:t>85%</w:t>
            </w:r>
          </w:p>
        </w:tc>
        <w:tc>
          <w:tcPr>
            <w:tcW w:w="1096" w:type="dxa"/>
            <w:vAlign w:val="center"/>
          </w:tcPr>
          <w:p w14:paraId="494F3930" w14:textId="5068854E" w:rsidR="00557CB8" w:rsidRPr="009E049F" w:rsidRDefault="00AE7B10"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86</w:t>
            </w:r>
            <w:r w:rsidR="00557CB8" w:rsidRPr="009E049F">
              <w:rPr>
                <w:rFonts w:eastAsiaTheme="minorHAnsi"/>
                <w:sz w:val="20"/>
                <w:szCs w:val="20"/>
              </w:rPr>
              <w:t>%</w:t>
            </w:r>
          </w:p>
        </w:tc>
        <w:tc>
          <w:tcPr>
            <w:tcW w:w="1248" w:type="dxa"/>
            <w:vAlign w:val="center"/>
          </w:tcPr>
          <w:p w14:paraId="7F51CA63" w14:textId="35E264D7" w:rsidR="00557CB8" w:rsidRPr="009E049F" w:rsidRDefault="005E164A"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82</w:t>
            </w:r>
            <w:r w:rsidR="00557CB8" w:rsidRPr="009E049F">
              <w:rPr>
                <w:rFonts w:eastAsiaTheme="minorHAnsi"/>
                <w:sz w:val="20"/>
                <w:szCs w:val="20"/>
              </w:rPr>
              <w:t>%</w:t>
            </w:r>
          </w:p>
        </w:tc>
        <w:tc>
          <w:tcPr>
            <w:tcW w:w="945" w:type="dxa"/>
            <w:vAlign w:val="center"/>
          </w:tcPr>
          <w:p w14:paraId="7FCE4401" w14:textId="5BE61695" w:rsidR="00557CB8" w:rsidRPr="009E049F" w:rsidRDefault="00D37A2D" w:rsidP="00E943AA">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100</w:t>
            </w:r>
            <w:r w:rsidR="00557CB8" w:rsidRPr="009E049F">
              <w:rPr>
                <w:rFonts w:eastAsiaTheme="minorHAnsi"/>
                <w:sz w:val="20"/>
                <w:szCs w:val="20"/>
              </w:rPr>
              <w:t>%</w:t>
            </w:r>
          </w:p>
        </w:tc>
      </w:tr>
    </w:tbl>
    <w:p w14:paraId="657BAD4C" w14:textId="56EDC708" w:rsidR="00AF7169" w:rsidRDefault="00A15D0E" w:rsidP="00923217">
      <w:pPr>
        <w:spacing w:before="240"/>
        <w:rPr>
          <w:rFonts w:eastAsiaTheme="minorHAnsi"/>
        </w:rPr>
      </w:pPr>
      <w:r>
        <w:rPr>
          <w:rFonts w:eastAsiaTheme="minorHAnsi"/>
        </w:rPr>
        <w:t xml:space="preserve">Some registrars </w:t>
      </w:r>
      <w:r w:rsidR="00305D45">
        <w:rPr>
          <w:rFonts w:eastAsiaTheme="minorHAnsi"/>
        </w:rPr>
        <w:t xml:space="preserve">perceived </w:t>
      </w:r>
      <w:r w:rsidR="003275DE">
        <w:rPr>
          <w:rFonts w:eastAsiaTheme="minorHAnsi"/>
        </w:rPr>
        <w:t xml:space="preserve">a </w:t>
      </w:r>
      <w:r w:rsidR="00305D45">
        <w:rPr>
          <w:rFonts w:eastAsiaTheme="minorHAnsi"/>
        </w:rPr>
        <w:t xml:space="preserve">difference in support </w:t>
      </w:r>
      <w:r w:rsidR="00AA7A00">
        <w:rPr>
          <w:rFonts w:eastAsiaTheme="minorHAnsi"/>
        </w:rPr>
        <w:t xml:space="preserve">and chose to be </w:t>
      </w:r>
      <w:r w:rsidR="003275DE">
        <w:rPr>
          <w:rFonts w:eastAsiaTheme="minorHAnsi"/>
        </w:rPr>
        <w:t>C</w:t>
      </w:r>
      <w:r w:rsidR="00AA7A00">
        <w:rPr>
          <w:rFonts w:eastAsiaTheme="minorHAnsi"/>
        </w:rPr>
        <w:t>ollege employed</w:t>
      </w:r>
      <w:r w:rsidR="00724058">
        <w:rPr>
          <w:rFonts w:eastAsiaTheme="minorHAnsi"/>
        </w:rPr>
        <w:t>. Others did not understand the differences.</w:t>
      </w:r>
    </w:p>
    <w:p w14:paraId="6424A49D" w14:textId="4E98EBF5" w:rsidR="002F7D8F" w:rsidRDefault="002F7D8F" w:rsidP="002F7D8F">
      <w:pPr>
        <w:pStyle w:val="Quotes"/>
        <w:rPr>
          <w:lang w:val="en-GB"/>
        </w:rPr>
      </w:pPr>
      <w:r>
        <w:rPr>
          <w:lang w:val="en-GB"/>
        </w:rPr>
        <w:t xml:space="preserve">I went </w:t>
      </w:r>
      <w:r w:rsidR="00E10A4D">
        <w:rPr>
          <w:lang w:val="en-GB"/>
        </w:rPr>
        <w:t>C</w:t>
      </w:r>
      <w:r>
        <w:rPr>
          <w:lang w:val="en-GB"/>
        </w:rPr>
        <w:t xml:space="preserve">ollege employed because I was told you get better support going </w:t>
      </w:r>
      <w:r w:rsidR="00E10A4D">
        <w:rPr>
          <w:lang w:val="en-GB"/>
        </w:rPr>
        <w:t>C</w:t>
      </w:r>
      <w:r>
        <w:rPr>
          <w:lang w:val="en-GB"/>
        </w:rPr>
        <w:t>ollege employed and there is a higher pass rate of the exams because of that better support. (</w:t>
      </w:r>
      <w:r w:rsidR="00E10A4D">
        <w:rPr>
          <w:lang w:val="en-GB"/>
        </w:rPr>
        <w:t>Registrar</w:t>
      </w:r>
      <w:r w:rsidR="005A0F8E">
        <w:rPr>
          <w:lang w:val="en-GB"/>
        </w:rPr>
        <w:t xml:space="preserve"> - interview</w:t>
      </w:r>
      <w:r>
        <w:rPr>
          <w:lang w:val="en-GB"/>
        </w:rPr>
        <w:t>)</w:t>
      </w:r>
    </w:p>
    <w:p w14:paraId="4095CAFE" w14:textId="0F098010" w:rsidR="00D269BC" w:rsidRDefault="00CA275A" w:rsidP="007950C3">
      <w:pPr>
        <w:rPr>
          <w:rFonts w:eastAsiaTheme="minorEastAsia"/>
        </w:rPr>
      </w:pPr>
      <w:r w:rsidRPr="00E96736">
        <w:rPr>
          <w:rFonts w:eastAsiaTheme="minorEastAsia"/>
        </w:rPr>
        <w:t>College employed registrars are paid a salary from the College and have release time to attend the weekly</w:t>
      </w:r>
      <w:r w:rsidR="008757A8" w:rsidRPr="00E96736">
        <w:rPr>
          <w:rFonts w:eastAsiaTheme="minorEastAsia"/>
        </w:rPr>
        <w:t xml:space="preserve"> medical educator </w:t>
      </w:r>
      <w:r w:rsidRPr="00E96736">
        <w:rPr>
          <w:rFonts w:eastAsiaTheme="minorEastAsia"/>
        </w:rPr>
        <w:t xml:space="preserve">workshops. </w:t>
      </w:r>
      <w:r w:rsidR="00D269BC" w:rsidRPr="00E96736">
        <w:rPr>
          <w:rFonts w:eastAsiaTheme="minorEastAsia"/>
        </w:rPr>
        <w:t>Registrars who are College employed are required to complete two six</w:t>
      </w:r>
      <w:r w:rsidRPr="00E96736">
        <w:rPr>
          <w:rFonts w:eastAsiaTheme="minorEastAsia"/>
        </w:rPr>
        <w:t>-</w:t>
      </w:r>
      <w:r w:rsidR="00D269BC" w:rsidRPr="00E96736">
        <w:rPr>
          <w:rFonts w:eastAsiaTheme="minorEastAsia"/>
        </w:rPr>
        <w:t>month runs</w:t>
      </w:r>
      <w:r w:rsidR="00FC712F" w:rsidRPr="008B0F2E">
        <w:rPr>
          <w:rFonts w:eastAsiaTheme="minorEastAsia"/>
        </w:rPr>
        <w:t xml:space="preserve"> with at least one of the runs in a</w:t>
      </w:r>
      <w:r w:rsidR="00D269BC" w:rsidRPr="00E96736">
        <w:rPr>
          <w:rFonts w:eastAsiaTheme="minorEastAsia"/>
        </w:rPr>
        <w:t xml:space="preserve"> </w:t>
      </w:r>
      <w:proofErr w:type="gramStart"/>
      <w:r w:rsidR="00D269BC" w:rsidRPr="00E96736">
        <w:rPr>
          <w:rFonts w:eastAsiaTheme="minorEastAsia"/>
        </w:rPr>
        <w:t>high needs</w:t>
      </w:r>
      <w:proofErr w:type="gramEnd"/>
      <w:r w:rsidR="00D269BC" w:rsidRPr="00E96736">
        <w:rPr>
          <w:rFonts w:eastAsiaTheme="minorEastAsia"/>
        </w:rPr>
        <w:t>, Māori, Pacific and/or rural practice</w:t>
      </w:r>
      <w:r w:rsidRPr="00E96736">
        <w:rPr>
          <w:rFonts w:eastAsiaTheme="minorEastAsia"/>
        </w:rPr>
        <w:t xml:space="preserve"> to ensure they are exp</w:t>
      </w:r>
      <w:r w:rsidR="00D269BC" w:rsidRPr="00E96736">
        <w:rPr>
          <w:rFonts w:eastAsiaTheme="minorEastAsia"/>
        </w:rPr>
        <w:t>os</w:t>
      </w:r>
      <w:r w:rsidRPr="00E96736">
        <w:rPr>
          <w:rFonts w:eastAsiaTheme="minorEastAsia"/>
        </w:rPr>
        <w:t>ed</w:t>
      </w:r>
      <w:r w:rsidR="00D269BC" w:rsidRPr="00E96736">
        <w:rPr>
          <w:rFonts w:eastAsiaTheme="minorEastAsia"/>
        </w:rPr>
        <w:t xml:space="preserve"> to different types of practices and communities. </w:t>
      </w:r>
      <w:r w:rsidRPr="00E96736">
        <w:rPr>
          <w:rFonts w:eastAsiaTheme="minorEastAsia"/>
        </w:rPr>
        <w:t xml:space="preserve">During the application process, registrars who choose College employment </w:t>
      </w:r>
      <w:r w:rsidR="00FC712F" w:rsidRPr="00E96736">
        <w:rPr>
          <w:rFonts w:eastAsiaTheme="minorEastAsia"/>
        </w:rPr>
        <w:t>indicate</w:t>
      </w:r>
      <w:r w:rsidRPr="00E96736">
        <w:rPr>
          <w:rFonts w:eastAsiaTheme="minorEastAsia"/>
        </w:rPr>
        <w:t xml:space="preserve"> three </w:t>
      </w:r>
      <w:r w:rsidR="00FC712F" w:rsidRPr="00E96736">
        <w:rPr>
          <w:rFonts w:eastAsiaTheme="minorEastAsia"/>
        </w:rPr>
        <w:t xml:space="preserve">preferred </w:t>
      </w:r>
      <w:r w:rsidRPr="00E96736">
        <w:rPr>
          <w:rFonts w:eastAsiaTheme="minorEastAsia"/>
        </w:rPr>
        <w:t xml:space="preserve">regions which will inform where the </w:t>
      </w:r>
      <w:r w:rsidR="00FC712F" w:rsidRPr="00E96736">
        <w:rPr>
          <w:rFonts w:eastAsiaTheme="minorEastAsia"/>
        </w:rPr>
        <w:t>College</w:t>
      </w:r>
      <w:r w:rsidRPr="00E96736">
        <w:rPr>
          <w:rFonts w:eastAsiaTheme="minorEastAsia"/>
        </w:rPr>
        <w:t xml:space="preserve"> place</w:t>
      </w:r>
      <w:r w:rsidR="00FC712F" w:rsidRPr="00E96736">
        <w:rPr>
          <w:rFonts w:eastAsiaTheme="minorEastAsia"/>
        </w:rPr>
        <w:t>s</w:t>
      </w:r>
      <w:r w:rsidRPr="00E96736">
        <w:rPr>
          <w:rFonts w:eastAsiaTheme="minorEastAsia"/>
        </w:rPr>
        <w:t xml:space="preserve"> them. </w:t>
      </w:r>
      <w:r w:rsidR="00FC712F" w:rsidRPr="00E96736">
        <w:rPr>
          <w:rFonts w:eastAsiaTheme="minorEastAsia"/>
        </w:rPr>
        <w:t xml:space="preserve">The College endeavours to place registrars in their top ranked regions. </w:t>
      </w:r>
      <w:r w:rsidRPr="00E96736">
        <w:rPr>
          <w:rFonts w:eastAsiaTheme="minorEastAsia"/>
        </w:rPr>
        <w:t>Some registrars</w:t>
      </w:r>
      <w:r w:rsidRPr="6D0A72C7">
        <w:rPr>
          <w:rFonts w:eastAsiaTheme="minorEastAsia"/>
        </w:rPr>
        <w:t xml:space="preserve"> noted negotiating with the College to complete College employed placements at one practice over 12 months.</w:t>
      </w:r>
    </w:p>
    <w:p w14:paraId="204FECD3" w14:textId="77777777" w:rsidR="007377BA" w:rsidRDefault="007377BA" w:rsidP="00FB2461">
      <w:pPr>
        <w:pStyle w:val="Mala3"/>
      </w:pPr>
      <w:r>
        <w:t>Practice employed</w:t>
      </w:r>
    </w:p>
    <w:p w14:paraId="4B4E9997" w14:textId="1541990A" w:rsidR="00923217" w:rsidRDefault="00923217" w:rsidP="008A08F4">
      <w:pPr>
        <w:rPr>
          <w:rFonts w:eastAsiaTheme="minorHAnsi"/>
        </w:rPr>
      </w:pPr>
      <w:r>
        <w:rPr>
          <w:rFonts w:eastAsiaTheme="minorHAnsi"/>
        </w:rPr>
        <w:t>Registrars employed by a practice were most likely to be employed by a GP owned and operated practice (</w:t>
      </w:r>
      <w:r>
        <w:rPr>
          <w:rFonts w:eastAsiaTheme="minorHAnsi"/>
        </w:rPr>
        <w:fldChar w:fldCharType="begin"/>
      </w:r>
      <w:r>
        <w:rPr>
          <w:rFonts w:eastAsiaTheme="minorHAnsi"/>
        </w:rPr>
        <w:instrText xml:space="preserve"> REF _Ref104124859 \h </w:instrText>
      </w:r>
      <w:r>
        <w:rPr>
          <w:rFonts w:eastAsiaTheme="minorHAnsi"/>
        </w:rPr>
      </w:r>
      <w:r>
        <w:rPr>
          <w:rFonts w:eastAsiaTheme="minorHAnsi"/>
        </w:rPr>
        <w:fldChar w:fldCharType="separate"/>
      </w:r>
      <w:r w:rsidR="005E0451">
        <w:t xml:space="preserve">Table </w:t>
      </w:r>
      <w:r w:rsidR="005E0451">
        <w:rPr>
          <w:noProof/>
        </w:rPr>
        <w:t>8</w:t>
      </w:r>
      <w:r>
        <w:rPr>
          <w:rFonts w:eastAsiaTheme="minorHAnsi"/>
        </w:rPr>
        <w:fldChar w:fldCharType="end"/>
      </w:r>
      <w:r>
        <w:rPr>
          <w:rFonts w:eastAsiaTheme="minorHAnsi"/>
        </w:rPr>
        <w:t>).</w:t>
      </w:r>
    </w:p>
    <w:p w14:paraId="216718FD" w14:textId="39A15C63" w:rsidR="00923217" w:rsidRDefault="00923217" w:rsidP="00DE4143">
      <w:pPr>
        <w:pStyle w:val="Caption"/>
        <w:keepNext/>
      </w:pPr>
      <w:bookmarkStart w:id="50" w:name="_Ref104124859"/>
      <w:r>
        <w:lastRenderedPageBreak/>
        <w:t xml:space="preserve">Table </w:t>
      </w:r>
      <w:r>
        <w:fldChar w:fldCharType="begin"/>
      </w:r>
      <w:r>
        <w:instrText>SEQ Table \* ARABIC</w:instrText>
      </w:r>
      <w:r>
        <w:fldChar w:fldCharType="separate"/>
      </w:r>
      <w:r w:rsidR="005E0451">
        <w:rPr>
          <w:noProof/>
        </w:rPr>
        <w:t>8</w:t>
      </w:r>
      <w:r>
        <w:fldChar w:fldCharType="end"/>
      </w:r>
      <w:bookmarkEnd w:id="50"/>
      <w:r>
        <w:t>.</w:t>
      </w:r>
      <w:r w:rsidR="008B3803">
        <w:t xml:space="preserve"> Current and past r</w:t>
      </w:r>
      <w:r>
        <w:t>egistrar survey GPEP 1 employer by practice type (n=407).</w:t>
      </w:r>
    </w:p>
    <w:tbl>
      <w:tblPr>
        <w:tblStyle w:val="MITableClassic"/>
        <w:tblW w:w="0" w:type="auto"/>
        <w:tblLook w:val="04A0" w:firstRow="1" w:lastRow="0" w:firstColumn="1" w:lastColumn="0" w:noHBand="0" w:noVBand="1"/>
      </w:tblPr>
      <w:tblGrid>
        <w:gridCol w:w="3305"/>
        <w:gridCol w:w="1075"/>
        <w:gridCol w:w="1076"/>
        <w:gridCol w:w="1076"/>
        <w:gridCol w:w="1076"/>
      </w:tblGrid>
      <w:tr w:rsidR="00923217" w:rsidRPr="00546E39" w14:paraId="11F10EC7" w14:textId="77777777" w:rsidTr="00681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5" w:type="dxa"/>
          </w:tcPr>
          <w:p w14:paraId="0B36614E" w14:textId="77777777" w:rsidR="00923217" w:rsidRPr="00546E39" w:rsidRDefault="00923217" w:rsidP="00DE4143">
            <w:pPr>
              <w:spacing w:before="0" w:after="0"/>
              <w:rPr>
                <w:sz w:val="20"/>
                <w:szCs w:val="20"/>
              </w:rPr>
            </w:pPr>
            <w:r w:rsidRPr="00546E39">
              <w:rPr>
                <w:sz w:val="20"/>
                <w:szCs w:val="20"/>
              </w:rPr>
              <w:t>Practice type</w:t>
            </w:r>
          </w:p>
        </w:tc>
        <w:tc>
          <w:tcPr>
            <w:tcW w:w="2151" w:type="dxa"/>
            <w:gridSpan w:val="2"/>
          </w:tcPr>
          <w:p w14:paraId="403F9413" w14:textId="77777777" w:rsidR="00923217" w:rsidRPr="00546E39" w:rsidRDefault="00923217" w:rsidP="00DE4143">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546E39">
              <w:rPr>
                <w:sz w:val="20"/>
                <w:szCs w:val="20"/>
              </w:rPr>
              <w:t>RNZCGP employed</w:t>
            </w:r>
          </w:p>
        </w:tc>
        <w:tc>
          <w:tcPr>
            <w:tcW w:w="2152" w:type="dxa"/>
            <w:gridSpan w:val="2"/>
          </w:tcPr>
          <w:p w14:paraId="62207338" w14:textId="77777777" w:rsidR="00923217" w:rsidRPr="00546E39" w:rsidRDefault="00923217" w:rsidP="00DE4143">
            <w:p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546E39">
              <w:rPr>
                <w:sz w:val="20"/>
                <w:szCs w:val="20"/>
              </w:rPr>
              <w:t>Practice employed</w:t>
            </w:r>
          </w:p>
        </w:tc>
      </w:tr>
      <w:tr w:rsidR="00923217" w:rsidRPr="00546E39" w14:paraId="705DCD9A" w14:textId="77777777" w:rsidTr="00681758">
        <w:tc>
          <w:tcPr>
            <w:cnfStyle w:val="001000000000" w:firstRow="0" w:lastRow="0" w:firstColumn="1" w:lastColumn="0" w:oddVBand="0" w:evenVBand="0" w:oddHBand="0" w:evenHBand="0" w:firstRowFirstColumn="0" w:firstRowLastColumn="0" w:lastRowFirstColumn="0" w:lastRowLastColumn="0"/>
            <w:tcW w:w="3305" w:type="dxa"/>
            <w:vAlign w:val="bottom"/>
          </w:tcPr>
          <w:p w14:paraId="67D09D31" w14:textId="77777777" w:rsidR="00923217" w:rsidRPr="00546E39" w:rsidRDefault="00923217" w:rsidP="00DE4143">
            <w:pPr>
              <w:spacing w:before="0" w:after="0" w:line="240" w:lineRule="auto"/>
              <w:jc w:val="right"/>
              <w:rPr>
                <w:sz w:val="20"/>
                <w:szCs w:val="20"/>
              </w:rPr>
            </w:pPr>
            <w:r w:rsidRPr="00546E39">
              <w:rPr>
                <w:sz w:val="20"/>
                <w:szCs w:val="20"/>
              </w:rPr>
              <w:t>GP owned and operated</w:t>
            </w:r>
          </w:p>
        </w:tc>
        <w:tc>
          <w:tcPr>
            <w:tcW w:w="1075" w:type="dxa"/>
            <w:vAlign w:val="center"/>
          </w:tcPr>
          <w:p w14:paraId="492B43C8"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244</w:t>
            </w:r>
          </w:p>
        </w:tc>
        <w:tc>
          <w:tcPr>
            <w:tcW w:w="1076" w:type="dxa"/>
            <w:vAlign w:val="center"/>
          </w:tcPr>
          <w:p w14:paraId="1BD4277A"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72%</w:t>
            </w:r>
          </w:p>
        </w:tc>
        <w:tc>
          <w:tcPr>
            <w:tcW w:w="1076" w:type="dxa"/>
            <w:vAlign w:val="center"/>
          </w:tcPr>
          <w:p w14:paraId="34FB224D"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39</w:t>
            </w:r>
          </w:p>
        </w:tc>
        <w:tc>
          <w:tcPr>
            <w:tcW w:w="1076" w:type="dxa"/>
            <w:vAlign w:val="center"/>
          </w:tcPr>
          <w:p w14:paraId="215FB98B"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58%</w:t>
            </w:r>
          </w:p>
        </w:tc>
      </w:tr>
      <w:tr w:rsidR="00923217" w:rsidRPr="00546E39" w14:paraId="23E06EDA" w14:textId="77777777" w:rsidTr="00681758">
        <w:tc>
          <w:tcPr>
            <w:cnfStyle w:val="001000000000" w:firstRow="0" w:lastRow="0" w:firstColumn="1" w:lastColumn="0" w:oddVBand="0" w:evenVBand="0" w:oddHBand="0" w:evenHBand="0" w:firstRowFirstColumn="0" w:firstRowLastColumn="0" w:lastRowFirstColumn="0" w:lastRowLastColumn="0"/>
            <w:tcW w:w="3305" w:type="dxa"/>
            <w:vAlign w:val="bottom"/>
          </w:tcPr>
          <w:p w14:paraId="59A5916B" w14:textId="77777777" w:rsidR="00923217" w:rsidRPr="00546E39" w:rsidRDefault="00923217" w:rsidP="00DE4143">
            <w:pPr>
              <w:spacing w:before="0" w:after="0" w:line="240" w:lineRule="auto"/>
              <w:jc w:val="right"/>
              <w:rPr>
                <w:sz w:val="20"/>
                <w:szCs w:val="20"/>
              </w:rPr>
            </w:pPr>
            <w:r w:rsidRPr="00546E39">
              <w:rPr>
                <w:sz w:val="20"/>
                <w:szCs w:val="20"/>
              </w:rPr>
              <w:t>Part or wholly corporate ownership</w:t>
            </w:r>
          </w:p>
        </w:tc>
        <w:tc>
          <w:tcPr>
            <w:tcW w:w="1075" w:type="dxa"/>
            <w:vAlign w:val="center"/>
          </w:tcPr>
          <w:p w14:paraId="3FC8951B"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56</w:t>
            </w:r>
          </w:p>
        </w:tc>
        <w:tc>
          <w:tcPr>
            <w:tcW w:w="1076" w:type="dxa"/>
            <w:vAlign w:val="center"/>
          </w:tcPr>
          <w:p w14:paraId="0D0D017B"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16%</w:t>
            </w:r>
          </w:p>
        </w:tc>
        <w:tc>
          <w:tcPr>
            <w:tcW w:w="1076" w:type="dxa"/>
            <w:vAlign w:val="center"/>
          </w:tcPr>
          <w:p w14:paraId="46FE88E6"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17</w:t>
            </w:r>
          </w:p>
        </w:tc>
        <w:tc>
          <w:tcPr>
            <w:tcW w:w="1076" w:type="dxa"/>
            <w:vAlign w:val="center"/>
          </w:tcPr>
          <w:p w14:paraId="2DD6C8C1"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25%</w:t>
            </w:r>
          </w:p>
        </w:tc>
      </w:tr>
      <w:tr w:rsidR="00923217" w:rsidRPr="00546E39" w14:paraId="5E1D5721" w14:textId="77777777" w:rsidTr="00681758">
        <w:tc>
          <w:tcPr>
            <w:cnfStyle w:val="001000000000" w:firstRow="0" w:lastRow="0" w:firstColumn="1" w:lastColumn="0" w:oddVBand="0" w:evenVBand="0" w:oddHBand="0" w:evenHBand="0" w:firstRowFirstColumn="0" w:firstRowLastColumn="0" w:lastRowFirstColumn="0" w:lastRowLastColumn="0"/>
            <w:tcW w:w="3305" w:type="dxa"/>
            <w:vAlign w:val="bottom"/>
          </w:tcPr>
          <w:p w14:paraId="740979C2" w14:textId="77777777" w:rsidR="00923217" w:rsidRPr="00546E39" w:rsidRDefault="00923217" w:rsidP="00DE4143">
            <w:pPr>
              <w:spacing w:before="0" w:after="0" w:line="240" w:lineRule="auto"/>
              <w:jc w:val="right"/>
              <w:rPr>
                <w:sz w:val="20"/>
                <w:szCs w:val="20"/>
              </w:rPr>
            </w:pPr>
            <w:r w:rsidRPr="00546E39">
              <w:rPr>
                <w:sz w:val="20"/>
                <w:szCs w:val="20"/>
              </w:rPr>
              <w:t>Other third sector, trust, or community ownership</w:t>
            </w:r>
          </w:p>
        </w:tc>
        <w:tc>
          <w:tcPr>
            <w:tcW w:w="1075" w:type="dxa"/>
            <w:vAlign w:val="center"/>
          </w:tcPr>
          <w:p w14:paraId="2A90FC24"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31</w:t>
            </w:r>
          </w:p>
        </w:tc>
        <w:tc>
          <w:tcPr>
            <w:tcW w:w="1076" w:type="dxa"/>
            <w:vAlign w:val="center"/>
          </w:tcPr>
          <w:p w14:paraId="1725C3E0"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9%</w:t>
            </w:r>
          </w:p>
        </w:tc>
        <w:tc>
          <w:tcPr>
            <w:tcW w:w="1076" w:type="dxa"/>
            <w:vAlign w:val="center"/>
          </w:tcPr>
          <w:p w14:paraId="1ED83734"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10</w:t>
            </w:r>
          </w:p>
        </w:tc>
        <w:tc>
          <w:tcPr>
            <w:tcW w:w="1076" w:type="dxa"/>
            <w:vAlign w:val="center"/>
          </w:tcPr>
          <w:p w14:paraId="67CA7CA9"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15%</w:t>
            </w:r>
          </w:p>
        </w:tc>
      </w:tr>
      <w:tr w:rsidR="00923217" w:rsidRPr="00546E39" w14:paraId="7CB1DCCE" w14:textId="77777777" w:rsidTr="00681758">
        <w:tc>
          <w:tcPr>
            <w:cnfStyle w:val="001000000000" w:firstRow="0" w:lastRow="0" w:firstColumn="1" w:lastColumn="0" w:oddVBand="0" w:evenVBand="0" w:oddHBand="0" w:evenHBand="0" w:firstRowFirstColumn="0" w:firstRowLastColumn="0" w:lastRowFirstColumn="0" w:lastRowLastColumn="0"/>
            <w:tcW w:w="3305" w:type="dxa"/>
            <w:vAlign w:val="bottom"/>
          </w:tcPr>
          <w:p w14:paraId="26A470DF" w14:textId="77777777" w:rsidR="00923217" w:rsidRPr="00546E39" w:rsidRDefault="00923217" w:rsidP="00DE4143">
            <w:pPr>
              <w:spacing w:before="0" w:after="0" w:line="240" w:lineRule="auto"/>
              <w:jc w:val="right"/>
              <w:rPr>
                <w:sz w:val="20"/>
                <w:szCs w:val="20"/>
              </w:rPr>
            </w:pPr>
            <w:r w:rsidRPr="00546E39">
              <w:rPr>
                <w:sz w:val="20"/>
                <w:szCs w:val="20"/>
              </w:rPr>
              <w:t>Iwi or kaupapa Māori general practice</w:t>
            </w:r>
          </w:p>
        </w:tc>
        <w:tc>
          <w:tcPr>
            <w:tcW w:w="1075" w:type="dxa"/>
            <w:vAlign w:val="center"/>
          </w:tcPr>
          <w:p w14:paraId="0D8AD35C"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18</w:t>
            </w:r>
          </w:p>
        </w:tc>
        <w:tc>
          <w:tcPr>
            <w:tcW w:w="1076" w:type="dxa"/>
            <w:vAlign w:val="center"/>
          </w:tcPr>
          <w:p w14:paraId="21DB3AAE"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5%</w:t>
            </w:r>
          </w:p>
        </w:tc>
        <w:tc>
          <w:tcPr>
            <w:tcW w:w="1076" w:type="dxa"/>
            <w:vAlign w:val="center"/>
          </w:tcPr>
          <w:p w14:paraId="7266D8E9"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3</w:t>
            </w:r>
          </w:p>
        </w:tc>
        <w:tc>
          <w:tcPr>
            <w:tcW w:w="1076" w:type="dxa"/>
            <w:vAlign w:val="center"/>
          </w:tcPr>
          <w:p w14:paraId="6E9C4938" w14:textId="77777777" w:rsidR="00923217" w:rsidRPr="00546E39" w:rsidRDefault="00923217" w:rsidP="00DE4143">
            <w:p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4%</w:t>
            </w:r>
          </w:p>
        </w:tc>
      </w:tr>
      <w:tr w:rsidR="00923217" w:rsidRPr="00546E39" w14:paraId="5FF016EF" w14:textId="77777777" w:rsidTr="00681758">
        <w:tc>
          <w:tcPr>
            <w:cnfStyle w:val="001000000000" w:firstRow="0" w:lastRow="0" w:firstColumn="1" w:lastColumn="0" w:oddVBand="0" w:evenVBand="0" w:oddHBand="0" w:evenHBand="0" w:firstRowFirstColumn="0" w:firstRowLastColumn="0" w:lastRowFirstColumn="0" w:lastRowLastColumn="0"/>
            <w:tcW w:w="3305" w:type="dxa"/>
            <w:vAlign w:val="bottom"/>
          </w:tcPr>
          <w:p w14:paraId="4E70C797" w14:textId="77777777" w:rsidR="00923217" w:rsidRPr="00546E39" w:rsidRDefault="00923217" w:rsidP="00000CD9">
            <w:pPr>
              <w:keepNext w:val="0"/>
              <w:spacing w:before="0" w:after="0" w:line="240" w:lineRule="auto"/>
              <w:jc w:val="right"/>
              <w:rPr>
                <w:sz w:val="20"/>
                <w:szCs w:val="20"/>
              </w:rPr>
            </w:pPr>
            <w:r w:rsidRPr="00546E39">
              <w:rPr>
                <w:sz w:val="20"/>
                <w:szCs w:val="20"/>
              </w:rPr>
              <w:t>Pacific organisation</w:t>
            </w:r>
          </w:p>
        </w:tc>
        <w:tc>
          <w:tcPr>
            <w:tcW w:w="1075" w:type="dxa"/>
            <w:vAlign w:val="center"/>
          </w:tcPr>
          <w:p w14:paraId="57A5D654" w14:textId="77777777" w:rsidR="00923217" w:rsidRPr="00546E39" w:rsidRDefault="00923217" w:rsidP="00000CD9">
            <w:pPr>
              <w:keepNext w:val="0"/>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6</w:t>
            </w:r>
          </w:p>
        </w:tc>
        <w:tc>
          <w:tcPr>
            <w:tcW w:w="1076" w:type="dxa"/>
            <w:vAlign w:val="center"/>
          </w:tcPr>
          <w:p w14:paraId="101C32A1" w14:textId="77777777" w:rsidR="00923217" w:rsidRPr="00546E39" w:rsidRDefault="00923217" w:rsidP="00000CD9">
            <w:pPr>
              <w:keepNext w:val="0"/>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2%</w:t>
            </w:r>
          </w:p>
        </w:tc>
        <w:tc>
          <w:tcPr>
            <w:tcW w:w="1076" w:type="dxa"/>
            <w:vAlign w:val="center"/>
          </w:tcPr>
          <w:p w14:paraId="24CF035C" w14:textId="77777777" w:rsidR="00923217" w:rsidRPr="00546E39" w:rsidRDefault="00923217" w:rsidP="00000CD9">
            <w:pPr>
              <w:keepNext w:val="0"/>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0</w:t>
            </w:r>
          </w:p>
        </w:tc>
        <w:tc>
          <w:tcPr>
            <w:tcW w:w="1076" w:type="dxa"/>
            <w:vAlign w:val="center"/>
          </w:tcPr>
          <w:p w14:paraId="34C0B518" w14:textId="77777777" w:rsidR="00923217" w:rsidRPr="00546E39" w:rsidRDefault="00923217" w:rsidP="00000CD9">
            <w:pPr>
              <w:keepNext w:val="0"/>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46E39">
              <w:rPr>
                <w:sz w:val="20"/>
                <w:szCs w:val="20"/>
              </w:rPr>
              <w:t>0%</w:t>
            </w:r>
          </w:p>
        </w:tc>
      </w:tr>
    </w:tbl>
    <w:p w14:paraId="24DFE2FF" w14:textId="77777777" w:rsidR="00685648" w:rsidRDefault="00B00120" w:rsidP="00685648">
      <w:pPr>
        <w:spacing w:before="240"/>
        <w:rPr>
          <w:rFonts w:eastAsiaTheme="minorHAnsi"/>
          <w:lang w:eastAsia="en-GB"/>
        </w:rPr>
      </w:pPr>
      <w:r>
        <w:rPr>
          <w:rFonts w:eastAsiaTheme="minorHAnsi"/>
          <w:lang w:eastAsia="en-GB"/>
        </w:rPr>
        <w:t xml:space="preserve">There were mixed reasons why registrars decided to be practice employed. The College has no power to direct practice employed registrars to go to a rural practice. </w:t>
      </w:r>
      <w:r w:rsidR="00685648">
        <w:rPr>
          <w:rFonts w:eastAsiaTheme="minorHAnsi"/>
        </w:rPr>
        <w:t xml:space="preserve">Practice employed registrars were employed over a 12-month period at the same practice. </w:t>
      </w:r>
      <w:r>
        <w:rPr>
          <w:rFonts w:eastAsiaTheme="minorHAnsi"/>
          <w:lang w:eastAsia="en-GB"/>
        </w:rPr>
        <w:t xml:space="preserve">Some registrars did not want to relocate due to personal circumstances and saw practice employment </w:t>
      </w:r>
      <w:proofErr w:type="gramStart"/>
      <w:r>
        <w:rPr>
          <w:rFonts w:eastAsiaTheme="minorHAnsi"/>
          <w:lang w:eastAsia="en-GB"/>
        </w:rPr>
        <w:t>as a way to</w:t>
      </w:r>
      <w:proofErr w:type="gramEnd"/>
      <w:r>
        <w:rPr>
          <w:rFonts w:eastAsiaTheme="minorHAnsi"/>
          <w:lang w:eastAsia="en-GB"/>
        </w:rPr>
        <w:t xml:space="preserve"> remain in one practice. </w:t>
      </w:r>
    </w:p>
    <w:p w14:paraId="64DFC969" w14:textId="7D9D7579" w:rsidR="00685648" w:rsidRDefault="00685648" w:rsidP="00685648">
      <w:pPr>
        <w:rPr>
          <w:rFonts w:eastAsiaTheme="minorHAnsi"/>
        </w:rPr>
      </w:pPr>
      <w:r>
        <w:rPr>
          <w:rFonts w:eastAsiaTheme="minorHAnsi"/>
        </w:rPr>
        <w:t xml:space="preserve">While a 12-month placement had the advantage of removing the need for relocation, participants described the limitations of </w:t>
      </w:r>
      <w:r w:rsidR="00FC712F">
        <w:rPr>
          <w:rFonts w:eastAsiaTheme="minorHAnsi"/>
        </w:rPr>
        <w:t xml:space="preserve">a twelve-month </w:t>
      </w:r>
      <w:r>
        <w:rPr>
          <w:rFonts w:eastAsiaTheme="minorHAnsi"/>
        </w:rPr>
        <w:t>placement</w:t>
      </w:r>
      <w:r w:rsidR="00FC712F">
        <w:rPr>
          <w:rFonts w:eastAsiaTheme="minorHAnsi"/>
        </w:rPr>
        <w:t xml:space="preserve"> in their GPEP 1 year </w:t>
      </w:r>
      <w:r>
        <w:rPr>
          <w:rFonts w:eastAsiaTheme="minorHAnsi"/>
        </w:rPr>
        <w:t xml:space="preserve">and lack of exposure and experience in different settings. </w:t>
      </w:r>
    </w:p>
    <w:p w14:paraId="783EB714" w14:textId="579D7E59" w:rsidR="00685648" w:rsidRPr="008743EC" w:rsidRDefault="00685648" w:rsidP="00685648">
      <w:pPr>
        <w:pStyle w:val="Quotes"/>
        <w:rPr>
          <w:rFonts w:eastAsiaTheme="minorHAnsi"/>
        </w:rPr>
      </w:pPr>
      <w:r w:rsidRPr="00F7212E">
        <w:t xml:space="preserve">I was fortunate enough to work in two high needs places in Auckland and that is where I was put for </w:t>
      </w:r>
      <w:r w:rsidR="005040DE">
        <w:t>C</w:t>
      </w:r>
      <w:r w:rsidRPr="00F7212E">
        <w:t xml:space="preserve">ollege employed. I have friends who have walked into jobs in </w:t>
      </w:r>
      <w:r>
        <w:t>[practice location]</w:t>
      </w:r>
      <w:r w:rsidRPr="00F7212E">
        <w:t xml:space="preserve"> and completed a year there and all they have had are the worried well</w:t>
      </w:r>
      <w:r>
        <w:t>. T</w:t>
      </w:r>
      <w:r w:rsidRPr="00F7212E">
        <w:t>hey haven’t seen a huge range of things and haven’t seen kids and it</w:t>
      </w:r>
      <w:r>
        <w:t>’</w:t>
      </w:r>
      <w:r w:rsidRPr="00F7212E">
        <w:t>s more old people renewing their scripts</w:t>
      </w:r>
      <w:r>
        <w:t>,</w:t>
      </w:r>
      <w:r w:rsidRPr="00F7212E">
        <w:t xml:space="preserve"> so they don’t get as good experience. At the end of the day you still have a GP trainee coming out but I don’t know if you necessarily have a well trained GP.</w:t>
      </w:r>
      <w:r>
        <w:t xml:space="preserve"> (Registrar - interview)</w:t>
      </w:r>
    </w:p>
    <w:p w14:paraId="6C40C768" w14:textId="35518EE9" w:rsidR="00670058" w:rsidRDefault="00B200A4" w:rsidP="00B00120">
      <w:pPr>
        <w:rPr>
          <w:rFonts w:eastAsiaTheme="minorHAnsi"/>
        </w:rPr>
      </w:pPr>
      <w:r>
        <w:rPr>
          <w:rFonts w:eastAsiaTheme="minorHAnsi"/>
        </w:rPr>
        <w:t xml:space="preserve">Other registrars </w:t>
      </w:r>
      <w:r w:rsidR="008D4A10">
        <w:rPr>
          <w:rFonts w:eastAsiaTheme="minorHAnsi"/>
        </w:rPr>
        <w:t xml:space="preserve">were attracted </w:t>
      </w:r>
      <w:r w:rsidR="00006B21">
        <w:rPr>
          <w:rFonts w:eastAsiaTheme="minorHAnsi"/>
        </w:rPr>
        <w:t xml:space="preserve">to practice employment </w:t>
      </w:r>
      <w:r w:rsidR="008D4A10">
        <w:rPr>
          <w:rFonts w:eastAsiaTheme="minorHAnsi"/>
        </w:rPr>
        <w:t xml:space="preserve">by a higher </w:t>
      </w:r>
      <w:r w:rsidR="00E45494">
        <w:rPr>
          <w:rFonts w:eastAsiaTheme="minorHAnsi"/>
        </w:rPr>
        <w:t xml:space="preserve">nominal base income, although if employed as a </w:t>
      </w:r>
      <w:proofErr w:type="gramStart"/>
      <w:r w:rsidR="00E45494">
        <w:rPr>
          <w:rFonts w:eastAsiaTheme="minorHAnsi"/>
        </w:rPr>
        <w:t>contractor allowances</w:t>
      </w:r>
      <w:proofErr w:type="gramEnd"/>
      <w:r w:rsidR="00E45494">
        <w:rPr>
          <w:rFonts w:eastAsiaTheme="minorHAnsi"/>
        </w:rPr>
        <w:t xml:space="preserve"> for annual, sick and study leave may not be provided.</w:t>
      </w:r>
      <w:r w:rsidR="00FE77F9">
        <w:rPr>
          <w:rFonts w:eastAsiaTheme="minorHAnsi"/>
        </w:rPr>
        <w:t xml:space="preserve"> </w:t>
      </w:r>
      <w:r w:rsidR="00E45494">
        <w:rPr>
          <w:rFonts w:eastAsiaTheme="minorHAnsi"/>
        </w:rPr>
        <w:t xml:space="preserve">If payment for a base salary of $120,000 excludes the one day a week of education, then this will reduce base income to </w:t>
      </w:r>
      <w:r w:rsidR="00670058">
        <w:rPr>
          <w:rFonts w:eastAsiaTheme="minorHAnsi"/>
        </w:rPr>
        <w:t>$96,000.</w:t>
      </w:r>
      <w:r w:rsidR="00FE77F9">
        <w:rPr>
          <w:rFonts w:eastAsiaTheme="minorHAnsi"/>
        </w:rPr>
        <w:t xml:space="preserve"> </w:t>
      </w:r>
      <w:r w:rsidR="00670058">
        <w:rPr>
          <w:rFonts w:eastAsiaTheme="minorHAnsi"/>
        </w:rPr>
        <w:t>Other allowances may not be included, such as support for annual practicing certificates or other professional requirements.</w:t>
      </w:r>
      <w:r w:rsidR="00FE77F9">
        <w:rPr>
          <w:rFonts w:eastAsiaTheme="minorHAnsi"/>
        </w:rPr>
        <w:t xml:space="preserve"> </w:t>
      </w:r>
      <w:r w:rsidR="00670058">
        <w:rPr>
          <w:rFonts w:eastAsiaTheme="minorHAnsi"/>
        </w:rPr>
        <w:t>The perceived income of a higher hourly rate may end up being little different to, or even lower than, the College salary in net terms.</w:t>
      </w:r>
    </w:p>
    <w:p w14:paraId="50E253F7" w14:textId="6683E04D" w:rsidR="002E2821" w:rsidRDefault="00E45494" w:rsidP="00B00120">
      <w:pPr>
        <w:rPr>
          <w:rFonts w:eastAsiaTheme="minorHAnsi"/>
        </w:rPr>
      </w:pPr>
      <w:r>
        <w:rPr>
          <w:rFonts w:eastAsiaTheme="minorHAnsi"/>
        </w:rPr>
        <w:t>P</w:t>
      </w:r>
      <w:r w:rsidR="00D269BC">
        <w:rPr>
          <w:rFonts w:eastAsiaTheme="minorHAnsi"/>
        </w:rPr>
        <w:t xml:space="preserve">ractice employed registrars must negotiate their own contracts. </w:t>
      </w:r>
      <w:r w:rsidR="005C246C">
        <w:rPr>
          <w:rFonts w:eastAsiaTheme="minorHAnsi"/>
        </w:rPr>
        <w:t>We noticed</w:t>
      </w:r>
      <w:r w:rsidR="005C246C" w:rsidRPr="00CB5526">
        <w:rPr>
          <w:rFonts w:eastAsiaTheme="minorHAnsi"/>
        </w:rPr>
        <w:t xml:space="preserve"> in interviews that registrars, especially GPEP 1 registrars were not well prepared to negotiate contracts. </w:t>
      </w:r>
      <w:r w:rsidR="00D269BC">
        <w:rPr>
          <w:rFonts w:eastAsiaTheme="minorHAnsi"/>
        </w:rPr>
        <w:t>They described the stress of negotiating contracts with little to no knowledge of what should be included. Registrars who accepted practice employed contracts generally carried the costs of traveling to the weekly medical education workshops</w:t>
      </w:r>
      <w:r w:rsidR="007B3776">
        <w:rPr>
          <w:rFonts w:eastAsiaTheme="minorHAnsi"/>
        </w:rPr>
        <w:t xml:space="preserve">, </w:t>
      </w:r>
      <w:r w:rsidR="00D269BC">
        <w:rPr>
          <w:rFonts w:eastAsiaTheme="minorHAnsi"/>
        </w:rPr>
        <w:t xml:space="preserve">were not paid for the education </w:t>
      </w:r>
      <w:proofErr w:type="gramStart"/>
      <w:r w:rsidR="00D269BC">
        <w:rPr>
          <w:rFonts w:eastAsiaTheme="minorHAnsi"/>
        </w:rPr>
        <w:t>days</w:t>
      </w:r>
      <w:proofErr w:type="gramEnd"/>
      <w:r w:rsidR="002E2821">
        <w:rPr>
          <w:rFonts w:eastAsiaTheme="minorHAnsi"/>
        </w:rPr>
        <w:t xml:space="preserve"> and may not be paid for holidays or sick leave</w:t>
      </w:r>
      <w:r w:rsidR="00D269BC">
        <w:rPr>
          <w:rFonts w:eastAsiaTheme="minorHAnsi"/>
        </w:rPr>
        <w:t xml:space="preserve">. </w:t>
      </w:r>
    </w:p>
    <w:p w14:paraId="5AF596C6" w14:textId="41C4B3DE" w:rsidR="0037444D" w:rsidRPr="00CB5526" w:rsidRDefault="0037444D" w:rsidP="0037444D">
      <w:pPr>
        <w:pStyle w:val="Quotes"/>
        <w:rPr>
          <w:rFonts w:eastAsiaTheme="minorHAnsi"/>
        </w:rPr>
      </w:pPr>
      <w:r>
        <w:lastRenderedPageBreak/>
        <w:t xml:space="preserve">Honestly, I don't think [practice employed] would suit most people. It was hard negotiating and there's so many things you have to take into account that people don't realize,. Your five grand exam fees </w:t>
      </w:r>
      <w:r w:rsidR="005F2BC0">
        <w:t xml:space="preserve">- </w:t>
      </w:r>
      <w:r>
        <w:t>all these things they haven't even thought about. (Registrar</w:t>
      </w:r>
      <w:r w:rsidR="005A0F8E">
        <w:t xml:space="preserve"> - interview</w:t>
      </w:r>
      <w:r>
        <w:t>)</w:t>
      </w:r>
    </w:p>
    <w:p w14:paraId="6BD6EFF1" w14:textId="77777777" w:rsidR="00F74159" w:rsidRDefault="00F74159" w:rsidP="00F74159">
      <w:pPr>
        <w:rPr>
          <w:rFonts w:eastAsiaTheme="minorHAnsi"/>
          <w:lang w:eastAsia="en-GB"/>
        </w:rPr>
      </w:pPr>
      <w:r>
        <w:rPr>
          <w:rFonts w:eastAsiaTheme="minorHAnsi"/>
          <w:lang w:eastAsia="en-GB"/>
        </w:rPr>
        <w:t xml:space="preserve">Some practices were committed to providing excellent teaching, learning and exposure to clinical work. Other practices took a hands-off approach and expected GPEP 1 registrars to integrate into the business model and generate profit. </w:t>
      </w:r>
    </w:p>
    <w:p w14:paraId="08BB2786" w14:textId="703057B5" w:rsidR="0015588B" w:rsidRDefault="006C2DDA" w:rsidP="0015588B">
      <w:r>
        <w:t>A few i</w:t>
      </w:r>
      <w:r w:rsidR="00124993">
        <w:t>nterviewed</w:t>
      </w:r>
      <w:r w:rsidR="0015588B">
        <w:t xml:space="preserve"> </w:t>
      </w:r>
      <w:r w:rsidR="00124993">
        <w:t>registrars</w:t>
      </w:r>
      <w:r w:rsidR="0015588B">
        <w:t xml:space="preserve"> described feeling pressured to reflect their pay scale </w:t>
      </w:r>
      <w:r w:rsidR="00617F1D">
        <w:t>in the numbers of patients they saw</w:t>
      </w:r>
      <w:r w:rsidR="00DD2C17">
        <w:t xml:space="preserve">. </w:t>
      </w:r>
      <w:r>
        <w:t>One</w:t>
      </w:r>
      <w:r w:rsidR="00DD2C17">
        <w:t xml:space="preserve"> registrar also noted the perception</w:t>
      </w:r>
      <w:r w:rsidR="0015588B">
        <w:t xml:space="preserve"> of </w:t>
      </w:r>
      <w:r w:rsidR="00DD2C17">
        <w:t>practice employment</w:t>
      </w:r>
      <w:r w:rsidR="0015588B">
        <w:t xml:space="preserve"> as </w:t>
      </w:r>
      <w:r w:rsidR="00DD2C17">
        <w:t>a</w:t>
      </w:r>
      <w:r w:rsidR="00AA163A">
        <w:t>n opportunity for practices to earn money from having a registrar</w:t>
      </w:r>
      <w:r w:rsidR="0015588B">
        <w:t xml:space="preserve">. </w:t>
      </w:r>
    </w:p>
    <w:p w14:paraId="66FE7982" w14:textId="40A442FD" w:rsidR="00124993" w:rsidRPr="007A6F93" w:rsidRDefault="00124993" w:rsidP="00124993">
      <w:pPr>
        <w:pStyle w:val="Quotes"/>
        <w:rPr>
          <w:rFonts w:eastAsiaTheme="minorHAnsi"/>
          <w:lang w:eastAsia="en-GB"/>
        </w:rPr>
      </w:pPr>
      <w:r>
        <w:t>Even throughout the year, I had three or four times that [the practice manager] said, you're only just breaking even you'd better start increasing your patient numbers. (Registrar - interview)</w:t>
      </w:r>
    </w:p>
    <w:p w14:paraId="70371A32" w14:textId="741CA89E" w:rsidR="00781A4B" w:rsidRDefault="00781A4B" w:rsidP="00781A4B">
      <w:pPr>
        <w:rPr>
          <w:rFonts w:eastAsiaTheme="minorHAnsi"/>
        </w:rPr>
      </w:pPr>
      <w:r>
        <w:rPr>
          <w:rFonts w:eastAsiaTheme="minorHAnsi"/>
        </w:rPr>
        <w:t>On average across all practice types, those employed by RNZCGP saw 18 patients per day alone on their GPEP 1 placement. Practice employed registrars saw 21 patients.</w:t>
      </w:r>
      <w:r w:rsidR="00FE77F9">
        <w:rPr>
          <w:rFonts w:eastAsiaTheme="minorHAnsi"/>
        </w:rPr>
        <w:t xml:space="preserve"> </w:t>
      </w:r>
      <w:r>
        <w:rPr>
          <w:rFonts w:eastAsiaTheme="minorHAnsi"/>
        </w:rPr>
        <w:t xml:space="preserve">The numbers of patients seen by the 20 current GPEP 1 </w:t>
      </w:r>
      <w:proofErr w:type="gramStart"/>
      <w:r>
        <w:rPr>
          <w:rFonts w:eastAsiaTheme="minorHAnsi"/>
        </w:rPr>
        <w:t>registrars</w:t>
      </w:r>
      <w:proofErr w:type="gramEnd"/>
      <w:r>
        <w:rPr>
          <w:rFonts w:eastAsiaTheme="minorHAnsi"/>
        </w:rPr>
        <w:t xml:space="preserve"> (who completed the survey during their first placement for the year) was 11 for College employed and 17 for practice employed registrars. </w:t>
      </w:r>
    </w:p>
    <w:p w14:paraId="68BA5EAF" w14:textId="7880419A" w:rsidR="00D35B86" w:rsidRDefault="00D35B86" w:rsidP="00D35B86">
      <w:pPr>
        <w:rPr>
          <w:rFonts w:eastAsiaTheme="minorHAnsi"/>
        </w:rPr>
      </w:pPr>
      <w:r>
        <w:rPr>
          <w:rFonts w:eastAsiaTheme="minorHAnsi"/>
        </w:rPr>
        <w:t xml:space="preserve">In response to the survey booked appointment times in GPEP 1 </w:t>
      </w:r>
      <w:r w:rsidR="00080DA6">
        <w:rPr>
          <w:rFonts w:eastAsiaTheme="minorHAnsi"/>
        </w:rPr>
        <w:t xml:space="preserve">were longer for </w:t>
      </w:r>
      <w:r w:rsidR="00894A7C">
        <w:rPr>
          <w:rFonts w:eastAsiaTheme="minorHAnsi"/>
        </w:rPr>
        <w:t xml:space="preserve">current GPEP 1 </w:t>
      </w:r>
      <w:proofErr w:type="gramStart"/>
      <w:r w:rsidR="00894A7C">
        <w:rPr>
          <w:rFonts w:eastAsiaTheme="minorHAnsi"/>
        </w:rPr>
        <w:t>registrars</w:t>
      </w:r>
      <w:proofErr w:type="gramEnd"/>
      <w:r w:rsidR="00894A7C">
        <w:rPr>
          <w:rFonts w:eastAsiaTheme="minorHAnsi"/>
        </w:rPr>
        <w:t xml:space="preserve"> who at the time of completing the survey would be in their first placement</w:t>
      </w:r>
      <w:r w:rsidR="00781A4B">
        <w:rPr>
          <w:rFonts w:eastAsiaTheme="minorHAnsi"/>
        </w:rPr>
        <w:t xml:space="preserve"> (</w:t>
      </w:r>
      <w:r w:rsidR="00662AE6">
        <w:rPr>
          <w:rFonts w:eastAsiaTheme="minorHAnsi"/>
        </w:rPr>
        <w:fldChar w:fldCharType="begin"/>
      </w:r>
      <w:r w:rsidR="00662AE6">
        <w:rPr>
          <w:rFonts w:eastAsiaTheme="minorHAnsi"/>
        </w:rPr>
        <w:instrText xml:space="preserve"> REF _Ref104386426 \h </w:instrText>
      </w:r>
      <w:r w:rsidR="00662AE6">
        <w:rPr>
          <w:rFonts w:eastAsiaTheme="minorHAnsi"/>
        </w:rPr>
      </w:r>
      <w:r w:rsidR="00662AE6">
        <w:rPr>
          <w:rFonts w:eastAsiaTheme="minorHAnsi"/>
        </w:rPr>
        <w:fldChar w:fldCharType="separate"/>
      </w:r>
      <w:r w:rsidR="005E0451" w:rsidRPr="0084002B">
        <w:t xml:space="preserve">Figure </w:t>
      </w:r>
      <w:r w:rsidR="005E0451">
        <w:rPr>
          <w:noProof/>
        </w:rPr>
        <w:t>6</w:t>
      </w:r>
      <w:r w:rsidR="00662AE6">
        <w:rPr>
          <w:rFonts w:eastAsiaTheme="minorHAnsi"/>
        </w:rPr>
        <w:fldChar w:fldCharType="end"/>
      </w:r>
      <w:r w:rsidR="00781A4B">
        <w:rPr>
          <w:rFonts w:eastAsiaTheme="minorHAnsi"/>
        </w:rPr>
        <w:t>)</w:t>
      </w:r>
      <w:r w:rsidR="00894A7C">
        <w:rPr>
          <w:rFonts w:eastAsiaTheme="minorHAnsi"/>
        </w:rPr>
        <w:t>.</w:t>
      </w:r>
    </w:p>
    <w:p w14:paraId="059F41C4" w14:textId="77777777" w:rsidR="00004E41" w:rsidRDefault="00004E41" w:rsidP="009E43D5">
      <w:r>
        <w:rPr>
          <w:noProof/>
        </w:rPr>
        <w:drawing>
          <wp:inline distT="0" distB="0" distL="0" distR="0" wp14:anchorId="1DCC9A08" wp14:editId="6E1EB849">
            <wp:extent cx="4787900" cy="1193784"/>
            <wp:effectExtent l="0" t="0" r="0" b="6985"/>
            <wp:docPr id="76" name="Picture 75" descr="Chart&#10;&#10;Description automatically generated with low confidence">
              <a:extLst xmlns:a="http://schemas.openxmlformats.org/drawingml/2006/main">
                <a:ext uri="{FF2B5EF4-FFF2-40B4-BE49-F238E27FC236}">
                  <a16:creationId xmlns:a16="http://schemas.microsoft.com/office/drawing/2014/main" id="{17258D4C-9DEB-8CFB-730A-3A37C9916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5" descr="Chart&#10;&#10;Description automatically generated with low confidence">
                      <a:extLst>
                        <a:ext uri="{FF2B5EF4-FFF2-40B4-BE49-F238E27FC236}">
                          <a16:creationId xmlns:a16="http://schemas.microsoft.com/office/drawing/2014/main" id="{17258D4C-9DEB-8CFB-730A-3A37C99162A8}"/>
                        </a:ext>
                      </a:extLst>
                    </pic:cNvPr>
                    <pic:cNvPicPr>
                      <a:picLocks noChangeAspect="1"/>
                    </pic:cNvPicPr>
                  </pic:nvPicPr>
                  <pic:blipFill>
                    <a:blip r:embed="rId24"/>
                    <a:stretch>
                      <a:fillRect/>
                    </a:stretch>
                  </pic:blipFill>
                  <pic:spPr>
                    <a:xfrm>
                      <a:off x="0" y="0"/>
                      <a:ext cx="4819031" cy="1201546"/>
                    </a:xfrm>
                    <a:prstGeom prst="rect">
                      <a:avLst/>
                    </a:prstGeom>
                  </pic:spPr>
                </pic:pic>
              </a:graphicData>
            </a:graphic>
          </wp:inline>
        </w:drawing>
      </w:r>
    </w:p>
    <w:p w14:paraId="0DA1B312" w14:textId="4CFA2FD0" w:rsidR="00004E41" w:rsidRPr="0084002B" w:rsidRDefault="00004E41" w:rsidP="0084002B">
      <w:pPr>
        <w:pStyle w:val="Caption"/>
        <w:rPr>
          <w:rFonts w:eastAsiaTheme="minorHAnsi"/>
        </w:rPr>
      </w:pPr>
      <w:bookmarkStart w:id="51" w:name="_Ref104386426"/>
      <w:r w:rsidRPr="0084002B">
        <w:t>Figure</w:t>
      </w:r>
      <w:r w:rsidR="00DB5B4E" w:rsidRPr="0084002B">
        <w:t xml:space="preserve"> </w:t>
      </w:r>
      <w:fldSimple w:instr=" SEQ Figure \* ARABIC ">
        <w:r w:rsidR="005E0451">
          <w:rPr>
            <w:noProof/>
          </w:rPr>
          <w:t>6</w:t>
        </w:r>
      </w:fldSimple>
      <w:bookmarkEnd w:id="51"/>
      <w:r w:rsidRPr="0084002B">
        <w:t xml:space="preserve">. </w:t>
      </w:r>
      <w:r w:rsidR="008B3803" w:rsidRPr="0084002B">
        <w:t>Current and past r</w:t>
      </w:r>
      <w:r w:rsidRPr="0084002B">
        <w:t>egistrar survey standard booked appointment length</w:t>
      </w:r>
      <w:r w:rsidR="00283962" w:rsidRPr="0084002B">
        <w:t xml:space="preserve"> in GPEP</w:t>
      </w:r>
      <w:r w:rsidR="0084002B" w:rsidRPr="0084002B">
        <w:t xml:space="preserve"> </w:t>
      </w:r>
      <w:r w:rsidR="00283962" w:rsidRPr="0084002B">
        <w:t>1</w:t>
      </w:r>
      <w:r w:rsidRPr="0084002B">
        <w:t xml:space="preserve"> by </w:t>
      </w:r>
      <w:r w:rsidR="00283962" w:rsidRPr="0084002B">
        <w:t xml:space="preserve">respondent </w:t>
      </w:r>
      <w:r w:rsidRPr="0084002B">
        <w:t>GPEP stage.</w:t>
      </w:r>
    </w:p>
    <w:p w14:paraId="44D5E651" w14:textId="05AA86DC" w:rsidR="00513665" w:rsidRPr="00513665" w:rsidRDefault="00DE4143" w:rsidP="00513665">
      <w:pPr>
        <w:rPr>
          <w:rFonts w:eastAsiaTheme="minorHAnsi"/>
        </w:rPr>
      </w:pPr>
      <w:r>
        <w:rPr>
          <w:rFonts w:eastAsiaTheme="minorHAnsi"/>
        </w:rPr>
        <w:br w:type="column"/>
      </w:r>
      <w:r w:rsidR="00513665">
        <w:rPr>
          <w:rFonts w:eastAsiaTheme="minorHAnsi"/>
        </w:rPr>
        <w:lastRenderedPageBreak/>
        <w:t xml:space="preserve">When all survey respondents recalled the number of </w:t>
      </w:r>
      <w:proofErr w:type="gramStart"/>
      <w:r w:rsidR="00513665">
        <w:rPr>
          <w:rFonts w:eastAsiaTheme="minorHAnsi"/>
        </w:rPr>
        <w:t>patients</w:t>
      </w:r>
      <w:proofErr w:type="gramEnd"/>
      <w:r w:rsidR="00513665">
        <w:rPr>
          <w:rFonts w:eastAsiaTheme="minorHAnsi"/>
        </w:rPr>
        <w:t xml:space="preserve"> they saw per day in GPEP 1, the </w:t>
      </w:r>
      <w:r w:rsidR="005E1AD6">
        <w:rPr>
          <w:rFonts w:eastAsiaTheme="minorHAnsi"/>
        </w:rPr>
        <w:t>numbers were higher for practice employed registrars</w:t>
      </w:r>
      <w:r w:rsidR="001650BD">
        <w:rPr>
          <w:rFonts w:eastAsiaTheme="minorHAnsi"/>
        </w:rPr>
        <w:t xml:space="preserve"> than College employed.</w:t>
      </w:r>
    </w:p>
    <w:p w14:paraId="65809299" w14:textId="414E8EFB" w:rsidR="001F7A12" w:rsidRDefault="0068145B" w:rsidP="00156272">
      <w:pPr>
        <w:keepNext/>
        <w:spacing w:after="0"/>
      </w:pPr>
      <w:r>
        <w:rPr>
          <w:noProof/>
        </w:rPr>
        <w:drawing>
          <wp:inline distT="0" distB="0" distL="0" distR="0" wp14:anchorId="5841AC08" wp14:editId="786B1FD5">
            <wp:extent cx="4886516" cy="3022600"/>
            <wp:effectExtent l="0" t="0" r="9525" b="6350"/>
            <wp:docPr id="51" name="Picture 50" descr="Chart, bar chart&#10;&#10;Description automatically generated">
              <a:extLst xmlns:a="http://schemas.openxmlformats.org/drawingml/2006/main">
                <a:ext uri="{FF2B5EF4-FFF2-40B4-BE49-F238E27FC236}">
                  <a16:creationId xmlns:a16="http://schemas.microsoft.com/office/drawing/2014/main" id="{0FE1CB75-2FA6-04B7-9B03-B22D5E5D3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Chart, bar chart&#10;&#10;Description automatically generated">
                      <a:extLst>
                        <a:ext uri="{FF2B5EF4-FFF2-40B4-BE49-F238E27FC236}">
                          <a16:creationId xmlns:a16="http://schemas.microsoft.com/office/drawing/2014/main" id="{0FE1CB75-2FA6-04B7-9B03-B22D5E5D3954}"/>
                        </a:ext>
                      </a:extLst>
                    </pic:cNvPr>
                    <pic:cNvPicPr>
                      <a:picLocks noChangeAspect="1"/>
                    </pic:cNvPicPr>
                  </pic:nvPicPr>
                  <pic:blipFill>
                    <a:blip r:embed="rId25"/>
                    <a:stretch>
                      <a:fillRect/>
                    </a:stretch>
                  </pic:blipFill>
                  <pic:spPr>
                    <a:xfrm>
                      <a:off x="0" y="0"/>
                      <a:ext cx="4933068" cy="3051395"/>
                    </a:xfrm>
                    <a:prstGeom prst="rect">
                      <a:avLst/>
                    </a:prstGeom>
                  </pic:spPr>
                </pic:pic>
              </a:graphicData>
            </a:graphic>
          </wp:inline>
        </w:drawing>
      </w:r>
    </w:p>
    <w:p w14:paraId="1084E248" w14:textId="6DFE8282" w:rsidR="00D269BC" w:rsidRDefault="001F7A12" w:rsidP="0084002B">
      <w:pPr>
        <w:pStyle w:val="Caption"/>
        <w:rPr>
          <w:rFonts w:eastAsiaTheme="minorHAnsi"/>
        </w:rPr>
      </w:pPr>
      <w:bookmarkStart w:id="52" w:name="_Ref104125817"/>
      <w:bookmarkStart w:id="53" w:name="_Ref104125794"/>
      <w:r>
        <w:t xml:space="preserve">Figure </w:t>
      </w:r>
      <w:r>
        <w:fldChar w:fldCharType="begin"/>
      </w:r>
      <w:r>
        <w:instrText>SEQ Figure \* ARABIC</w:instrText>
      </w:r>
      <w:r>
        <w:fldChar w:fldCharType="separate"/>
      </w:r>
      <w:r w:rsidR="005E0451">
        <w:rPr>
          <w:noProof/>
        </w:rPr>
        <w:t>7</w:t>
      </w:r>
      <w:r>
        <w:fldChar w:fldCharType="end"/>
      </w:r>
      <w:bookmarkEnd w:id="52"/>
      <w:r w:rsidR="00D269BC">
        <w:t xml:space="preserve">. Average registrar-alone consultations per day in </w:t>
      </w:r>
      <w:r w:rsidR="004A5CA7">
        <w:t>GPEP 1</w:t>
      </w:r>
      <w:r w:rsidR="00D269BC">
        <w:t xml:space="preserve"> placement by </w:t>
      </w:r>
      <w:r w:rsidR="004A5CA7">
        <w:t>GPEP 1</w:t>
      </w:r>
      <w:r w:rsidR="00D269BC">
        <w:t xml:space="preserve"> employer and practice type (n=169)</w:t>
      </w:r>
      <w:bookmarkEnd w:id="53"/>
      <w:r w:rsidR="00156272">
        <w:t xml:space="preserve"> </w:t>
      </w:r>
      <w:r w:rsidR="001D45B1">
        <w:t>(</w:t>
      </w:r>
      <w:r w:rsidR="00156272">
        <w:t>no survey respondents were</w:t>
      </w:r>
      <w:r w:rsidR="001D45B1">
        <w:t xml:space="preserve"> </w:t>
      </w:r>
      <w:r w:rsidR="00156272">
        <w:t xml:space="preserve">Pacific </w:t>
      </w:r>
      <w:r w:rsidR="001D45B1">
        <w:t>practice employed)</w:t>
      </w:r>
      <w:r w:rsidR="00156272">
        <w:t>.</w:t>
      </w:r>
    </w:p>
    <w:p w14:paraId="2E7791DC" w14:textId="35B88E0C" w:rsidR="0054654B" w:rsidRDefault="00F43B42" w:rsidP="00A16840">
      <w:pPr>
        <w:pStyle w:val="Heading2"/>
      </w:pPr>
      <w:bookmarkStart w:id="54" w:name="_Toc105853904"/>
      <w:r>
        <w:t>Employment in GPEP 2/3</w:t>
      </w:r>
      <w:bookmarkEnd w:id="54"/>
    </w:p>
    <w:p w14:paraId="62F069F9" w14:textId="55D61E7D" w:rsidR="00321AB3" w:rsidRDefault="00F43B42" w:rsidP="009939F6">
      <w:pPr>
        <w:spacing w:before="240"/>
        <w:rPr>
          <w:rFonts w:eastAsiaTheme="minorHAnsi"/>
          <w:lang w:eastAsia="en-GB"/>
        </w:rPr>
      </w:pPr>
      <w:r>
        <w:rPr>
          <w:rFonts w:eastAsiaTheme="minorHAnsi"/>
        </w:rPr>
        <w:t>In GPEP 2/3, registrars negotiate their own employment conditions, pay and benefits. Participants widely stressed the ‘</w:t>
      </w:r>
      <w:r w:rsidRPr="00541784">
        <w:rPr>
          <w:rFonts w:eastAsiaTheme="minorHAnsi"/>
          <w:i/>
          <w:color w:val="953735" w:themeColor="accent2"/>
          <w:sz w:val="20"/>
          <w:szCs w:val="20"/>
        </w:rPr>
        <w:t>sink or swim’</w:t>
      </w:r>
      <w:r>
        <w:rPr>
          <w:rFonts w:eastAsiaTheme="minorHAnsi"/>
        </w:rPr>
        <w:t xml:space="preserve"> approach in GPEP 2/3. Many registrars particularly those who were </w:t>
      </w:r>
      <w:r w:rsidR="00780FC3">
        <w:rPr>
          <w:rFonts w:eastAsiaTheme="minorHAnsi"/>
        </w:rPr>
        <w:t>C</w:t>
      </w:r>
      <w:r>
        <w:rPr>
          <w:rFonts w:eastAsiaTheme="minorHAnsi"/>
        </w:rPr>
        <w:t xml:space="preserve">ollege employed in their first year did not have </w:t>
      </w:r>
      <w:r w:rsidR="00E55913">
        <w:rPr>
          <w:rFonts w:eastAsiaTheme="minorHAnsi"/>
        </w:rPr>
        <w:t>experience of</w:t>
      </w:r>
      <w:r>
        <w:rPr>
          <w:rFonts w:eastAsiaTheme="minorHAnsi"/>
        </w:rPr>
        <w:t xml:space="preserve"> negotiations and business development</w:t>
      </w:r>
      <w:r w:rsidR="009939F6">
        <w:rPr>
          <w:rFonts w:eastAsiaTheme="minorHAnsi"/>
        </w:rPr>
        <w:t xml:space="preserve"> and desc</w:t>
      </w:r>
      <w:r w:rsidR="00321AB3">
        <w:rPr>
          <w:rFonts w:eastAsiaTheme="minorHAnsi"/>
          <w:lang w:eastAsia="en-GB"/>
        </w:rPr>
        <w:t xml:space="preserve">ribed feeling overwhelmed. </w:t>
      </w:r>
    </w:p>
    <w:p w14:paraId="3C1E7104" w14:textId="3FFE1F0B" w:rsidR="00321AB3" w:rsidRPr="00AD5ABE" w:rsidRDefault="00321AB3" w:rsidP="00321AB3">
      <w:pPr>
        <w:pStyle w:val="Quotes"/>
      </w:pPr>
      <w:r>
        <w:t>I do think there are challenges with the contracting model. I think it’s a bit exploitative of GPs because practices get a fantastic deal</w:t>
      </w:r>
      <w:r w:rsidR="009939F6">
        <w:t>. T</w:t>
      </w:r>
      <w:r>
        <w:t>hey pay us by the hour for the patients we see and they have no responsibility for us, no annual leave, no sick pay, no paying for teaching or medical learning. You are</w:t>
      </w:r>
      <w:r w:rsidR="009939F6">
        <w:t xml:space="preserve"> a</w:t>
      </w:r>
      <w:r>
        <w:t xml:space="preserve"> free-lancing doctor, so you pay for everything yourself. We are suddenly thrown into running our own business which is something we haven’t been trained in. (</w:t>
      </w:r>
      <w:r w:rsidR="005C32A3">
        <w:t>Registrar - interview</w:t>
      </w:r>
      <w:r>
        <w:t>)</w:t>
      </w:r>
    </w:p>
    <w:p w14:paraId="3F06347A" w14:textId="77777777" w:rsidR="009A3CFB" w:rsidRDefault="00625EA1" w:rsidP="00A16840">
      <w:pPr>
        <w:pStyle w:val="Heading2"/>
      </w:pPr>
      <w:bookmarkStart w:id="55" w:name="_Toc105853905"/>
      <w:r>
        <w:t xml:space="preserve">Registrars in other </w:t>
      </w:r>
      <w:r w:rsidR="009A3CFB">
        <w:t>programmes</w:t>
      </w:r>
      <w:bookmarkEnd w:id="55"/>
    </w:p>
    <w:p w14:paraId="1986D5B3" w14:textId="2EB39E70" w:rsidR="00670058" w:rsidRDefault="009A3CFB" w:rsidP="009A3CFB">
      <w:pPr>
        <w:rPr>
          <w:lang w:eastAsia="en-GB"/>
        </w:rPr>
      </w:pPr>
      <w:r>
        <w:rPr>
          <w:lang w:eastAsia="en-GB"/>
        </w:rPr>
        <w:t>Registrars in almost all other professional programmes are employed by the</w:t>
      </w:r>
      <w:r w:rsidR="00084348">
        <w:rPr>
          <w:lang w:eastAsia="en-GB"/>
        </w:rPr>
        <w:t xml:space="preserve">ir DHB. They are salaried employees and receive </w:t>
      </w:r>
      <w:r w:rsidR="00670058" w:rsidRPr="004113E1">
        <w:rPr>
          <w:lang w:eastAsia="en-GB"/>
        </w:rPr>
        <w:t>generous annual leave</w:t>
      </w:r>
      <w:r w:rsidR="00084348" w:rsidRPr="004113E1">
        <w:rPr>
          <w:lang w:eastAsia="en-GB"/>
        </w:rPr>
        <w:t xml:space="preserve">, </w:t>
      </w:r>
      <w:r w:rsidR="00670058" w:rsidRPr="004113E1">
        <w:rPr>
          <w:lang w:eastAsia="en-GB"/>
        </w:rPr>
        <w:t xml:space="preserve">and sick leave, and </w:t>
      </w:r>
      <w:r w:rsidR="00084348" w:rsidRPr="004113E1">
        <w:rPr>
          <w:lang w:eastAsia="en-GB"/>
        </w:rPr>
        <w:t xml:space="preserve">domestic violence leave required under New Zealand employment law. </w:t>
      </w:r>
      <w:r w:rsidR="00E55913">
        <w:rPr>
          <w:lang w:eastAsia="en-GB"/>
        </w:rPr>
        <w:t>They also</w:t>
      </w:r>
      <w:r w:rsidR="00E55913" w:rsidRPr="004113E1">
        <w:rPr>
          <w:lang w:eastAsia="en-GB"/>
        </w:rPr>
        <w:t xml:space="preserve"> </w:t>
      </w:r>
      <w:r w:rsidR="00E55913" w:rsidRPr="004113E1">
        <w:rPr>
          <w:lang w:eastAsia="en-GB"/>
        </w:rPr>
        <w:lastRenderedPageBreak/>
        <w:t>receive paid study time, continued medical education allowances</w:t>
      </w:r>
      <w:r w:rsidR="00E55913">
        <w:rPr>
          <w:lang w:eastAsia="en-GB"/>
        </w:rPr>
        <w:t>, and</w:t>
      </w:r>
      <w:r w:rsidR="00E55913" w:rsidRPr="004113E1">
        <w:rPr>
          <w:lang w:eastAsia="en-GB"/>
        </w:rPr>
        <w:t xml:space="preserve"> travel allowances. </w:t>
      </w:r>
      <w:r w:rsidR="00BA0779" w:rsidRPr="004113E1">
        <w:rPr>
          <w:lang w:eastAsia="en-GB"/>
        </w:rPr>
        <w:t>As salaried</w:t>
      </w:r>
      <w:r w:rsidR="00BA0779">
        <w:rPr>
          <w:lang w:eastAsia="en-GB"/>
        </w:rPr>
        <w:t xml:space="preserve"> employees they do not have to negotiate their employment agreements.</w:t>
      </w:r>
    </w:p>
    <w:p w14:paraId="3A32F822" w14:textId="3D4E61F0" w:rsidR="00084348" w:rsidRPr="00670058" w:rsidRDefault="00670058" w:rsidP="009A3CFB">
      <w:pPr>
        <w:rPr>
          <w:lang w:eastAsia="en-GB"/>
        </w:rPr>
      </w:pPr>
      <w:r w:rsidRPr="00670058">
        <w:rPr>
          <w:lang w:eastAsia="en-GB"/>
        </w:rPr>
        <w:t>There are a small number of exceptions to this broader comparison</w:t>
      </w:r>
      <w:r w:rsidR="00000CD9">
        <w:rPr>
          <w:lang w:eastAsia="en-GB"/>
        </w:rPr>
        <w:t>.</w:t>
      </w:r>
      <w:r w:rsidR="00280E5C" w:rsidRPr="00670058">
        <w:rPr>
          <w:lang w:eastAsia="en-GB"/>
        </w:rPr>
        <w:t xml:space="preserve"> </w:t>
      </w:r>
      <w:r w:rsidRPr="00670058">
        <w:rPr>
          <w:lang w:eastAsia="en-GB"/>
        </w:rPr>
        <w:t>One</w:t>
      </w:r>
      <w:r w:rsidR="00084348" w:rsidRPr="00670058">
        <w:rPr>
          <w:lang w:eastAsia="en-GB"/>
        </w:rPr>
        <w:t xml:space="preserve"> exception is </w:t>
      </w:r>
      <w:r w:rsidR="007B2A23" w:rsidRPr="00670058">
        <w:rPr>
          <w:lang w:eastAsia="en-GB"/>
        </w:rPr>
        <w:t>Urgent Care</w:t>
      </w:r>
      <w:r w:rsidR="00084348" w:rsidRPr="00670058">
        <w:rPr>
          <w:lang w:eastAsia="en-GB"/>
        </w:rPr>
        <w:t xml:space="preserve"> registrars who are </w:t>
      </w:r>
      <w:r w:rsidR="007B2A23" w:rsidRPr="00670058">
        <w:rPr>
          <w:lang w:eastAsia="en-GB"/>
        </w:rPr>
        <w:t xml:space="preserve">typically </w:t>
      </w:r>
      <w:r w:rsidR="00084348" w:rsidRPr="00670058">
        <w:rPr>
          <w:lang w:eastAsia="en-GB"/>
        </w:rPr>
        <w:t>self-employed</w:t>
      </w:r>
      <w:r w:rsidRPr="00670058">
        <w:rPr>
          <w:lang w:eastAsia="en-GB"/>
        </w:rPr>
        <w:t xml:space="preserve"> contractors in Urgent Care Clinics</w:t>
      </w:r>
      <w:r w:rsidR="00084348" w:rsidRPr="00670058">
        <w:rPr>
          <w:lang w:eastAsia="en-GB"/>
        </w:rPr>
        <w:t xml:space="preserve">. However, </w:t>
      </w:r>
      <w:r w:rsidRPr="00670058">
        <w:rPr>
          <w:lang w:eastAsia="en-GB"/>
        </w:rPr>
        <w:t>some</w:t>
      </w:r>
      <w:r w:rsidR="00084348" w:rsidRPr="00670058">
        <w:rPr>
          <w:lang w:eastAsia="en-GB"/>
        </w:rPr>
        <w:t xml:space="preserve"> of their placements </w:t>
      </w:r>
      <w:r w:rsidRPr="00670058">
        <w:rPr>
          <w:lang w:eastAsia="en-GB"/>
        </w:rPr>
        <w:t>may be</w:t>
      </w:r>
      <w:r w:rsidR="00084348" w:rsidRPr="00670058">
        <w:rPr>
          <w:lang w:eastAsia="en-GB"/>
        </w:rPr>
        <w:t xml:space="preserve"> in DHB settings</w:t>
      </w:r>
      <w:r w:rsidR="00BC6741" w:rsidRPr="00670058">
        <w:rPr>
          <w:lang w:eastAsia="en-GB"/>
        </w:rPr>
        <w:t>.</w:t>
      </w:r>
    </w:p>
    <w:p w14:paraId="129C17FD" w14:textId="4B69638F" w:rsidR="00BA0779" w:rsidRDefault="00BA0779" w:rsidP="009A3CFB">
      <w:pPr>
        <w:rPr>
          <w:lang w:eastAsia="en-GB"/>
        </w:rPr>
      </w:pPr>
      <w:r w:rsidRPr="00670058">
        <w:rPr>
          <w:lang w:eastAsia="en-GB"/>
        </w:rPr>
        <w:t>There are advantages in being self-employed</w:t>
      </w:r>
      <w:r w:rsidR="007001E2" w:rsidRPr="00670058">
        <w:rPr>
          <w:lang w:eastAsia="en-GB"/>
        </w:rPr>
        <w:t xml:space="preserve">. These usually relate to the potential to earn higher incomes, own a </w:t>
      </w:r>
      <w:proofErr w:type="gramStart"/>
      <w:r w:rsidR="007001E2" w:rsidRPr="00670058">
        <w:rPr>
          <w:lang w:eastAsia="en-GB"/>
        </w:rPr>
        <w:t>practice</w:t>
      </w:r>
      <w:proofErr w:type="gramEnd"/>
      <w:r w:rsidR="007001E2" w:rsidRPr="00670058">
        <w:rPr>
          <w:lang w:eastAsia="en-GB"/>
        </w:rPr>
        <w:t xml:space="preserve"> and practice buildings</w:t>
      </w:r>
      <w:r w:rsidR="00670058" w:rsidRPr="00670058">
        <w:rPr>
          <w:lang w:eastAsia="en-GB"/>
        </w:rPr>
        <w:t>,</w:t>
      </w:r>
      <w:r w:rsidR="007001E2" w:rsidRPr="00670058">
        <w:rPr>
          <w:lang w:eastAsia="en-GB"/>
        </w:rPr>
        <w:t xml:space="preserve"> and have autonomy over </w:t>
      </w:r>
      <w:r w:rsidR="00CC363A" w:rsidRPr="00670058">
        <w:rPr>
          <w:lang w:eastAsia="en-GB"/>
        </w:rPr>
        <w:t>working hours. Under the current model of general practice</w:t>
      </w:r>
      <w:r w:rsidR="00075E59" w:rsidRPr="00670058">
        <w:rPr>
          <w:lang w:eastAsia="en-GB"/>
        </w:rPr>
        <w:t xml:space="preserve"> many of these benefits are not realised</w:t>
      </w:r>
      <w:r w:rsidR="00670058" w:rsidRPr="00670058">
        <w:rPr>
          <w:lang w:eastAsia="en-GB"/>
        </w:rPr>
        <w:t>, if</w:t>
      </w:r>
      <w:r w:rsidR="00075E59" w:rsidRPr="00670058">
        <w:rPr>
          <w:lang w:eastAsia="en-GB"/>
        </w:rPr>
        <w:t xml:space="preserve"> </w:t>
      </w:r>
      <w:r w:rsidR="00CC363A" w:rsidRPr="00670058">
        <w:rPr>
          <w:lang w:eastAsia="en-GB"/>
        </w:rPr>
        <w:t xml:space="preserve">practices </w:t>
      </w:r>
      <w:r w:rsidR="00670058" w:rsidRPr="00670058">
        <w:rPr>
          <w:lang w:eastAsia="en-GB"/>
        </w:rPr>
        <w:t xml:space="preserve">do not </w:t>
      </w:r>
      <w:r w:rsidR="00075E59" w:rsidRPr="00670058">
        <w:rPr>
          <w:lang w:eastAsia="en-GB"/>
        </w:rPr>
        <w:t>generat</w:t>
      </w:r>
      <w:r w:rsidR="00670058" w:rsidRPr="00670058">
        <w:rPr>
          <w:lang w:eastAsia="en-GB"/>
        </w:rPr>
        <w:t>e substantial surplus</w:t>
      </w:r>
      <w:r w:rsidR="00E55913">
        <w:rPr>
          <w:lang w:eastAsia="en-GB"/>
        </w:rPr>
        <w:t>, or if a contracting GP is not a practice owner</w:t>
      </w:r>
      <w:r w:rsidR="00E55913" w:rsidRPr="00670058">
        <w:rPr>
          <w:lang w:eastAsia="en-GB"/>
        </w:rPr>
        <w:t>.</w:t>
      </w:r>
    </w:p>
    <w:p w14:paraId="6F533642" w14:textId="41262E95" w:rsidR="00386CE1" w:rsidRDefault="00386CE1" w:rsidP="009A3CFB">
      <w:pPr>
        <w:rPr>
          <w:lang w:eastAsia="en-GB"/>
        </w:rPr>
      </w:pPr>
    </w:p>
    <w:p w14:paraId="35A7E1FB" w14:textId="4A41ED4F" w:rsidR="004936E8" w:rsidRDefault="004936E8" w:rsidP="00DB5B4E">
      <w:pPr>
        <w:pStyle w:val="MalaHeading1"/>
      </w:pPr>
      <w:bookmarkStart w:id="56" w:name="_Toc105853906"/>
      <w:r w:rsidRPr="00CB5526">
        <w:lastRenderedPageBreak/>
        <w:t>Educational experiences</w:t>
      </w:r>
      <w:bookmarkEnd w:id="56"/>
      <w:r w:rsidRPr="00CB5526">
        <w:t xml:space="preserve"> </w:t>
      </w:r>
    </w:p>
    <w:tbl>
      <w:tblPr>
        <w:tblStyle w:val="MITableClassic"/>
        <w:tblW w:w="7797" w:type="dxa"/>
        <w:tblLook w:val="04A0" w:firstRow="1" w:lastRow="0" w:firstColumn="1" w:lastColumn="0" w:noHBand="0" w:noVBand="1"/>
      </w:tblPr>
      <w:tblGrid>
        <w:gridCol w:w="7797"/>
      </w:tblGrid>
      <w:tr w:rsidR="009F4D03" w14:paraId="25A607A9" w14:textId="77777777" w:rsidTr="00681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7" w:type="dxa"/>
          </w:tcPr>
          <w:p w14:paraId="5BE97122" w14:textId="77777777" w:rsidR="009F4D03" w:rsidRDefault="009F4D03" w:rsidP="00681758">
            <w:pPr>
              <w:spacing w:before="0" w:after="0"/>
              <w:rPr>
                <w:lang w:eastAsia="en-GB"/>
              </w:rPr>
            </w:pPr>
            <w:r>
              <w:rPr>
                <w:lang w:eastAsia="en-GB"/>
              </w:rPr>
              <w:t>Key messages</w:t>
            </w:r>
          </w:p>
        </w:tc>
      </w:tr>
      <w:tr w:rsidR="009F4D03" w14:paraId="2A2B2D37"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7B0FCC93" w14:textId="68001FDC" w:rsidR="003664B7" w:rsidRDefault="003664B7" w:rsidP="00681758">
            <w:pPr>
              <w:rPr>
                <w:rFonts w:eastAsiaTheme="minorHAnsi"/>
              </w:rPr>
            </w:pPr>
            <w:r w:rsidRPr="00721178">
              <w:rPr>
                <w:rFonts w:eastAsiaTheme="minorHAnsi"/>
              </w:rPr>
              <w:t xml:space="preserve">The </w:t>
            </w:r>
            <w:r w:rsidR="00CB68C9" w:rsidRPr="008B0F2E">
              <w:rPr>
                <w:rFonts w:eastAsiaTheme="minorHAnsi"/>
              </w:rPr>
              <w:t>current GPEP funding model focuses edu</w:t>
            </w:r>
            <w:r w:rsidR="00CB68C9" w:rsidRPr="00721178">
              <w:rPr>
                <w:rFonts w:eastAsiaTheme="minorHAnsi"/>
              </w:rPr>
              <w:t xml:space="preserve">cation on </w:t>
            </w:r>
            <w:r w:rsidRPr="00721178">
              <w:rPr>
                <w:rFonts w:eastAsiaTheme="minorHAnsi"/>
              </w:rPr>
              <w:t>the first year.</w:t>
            </w:r>
          </w:p>
          <w:p w14:paraId="60598415" w14:textId="6DB478CD" w:rsidR="009F4D03" w:rsidRDefault="005930C1" w:rsidP="00681758">
            <w:pPr>
              <w:rPr>
                <w:lang w:eastAsia="en-GB"/>
              </w:rPr>
            </w:pPr>
            <w:r>
              <w:rPr>
                <w:lang w:eastAsia="en-GB"/>
              </w:rPr>
              <w:t>Registrar feedback about their educational experiences in GPEP 1 was positive. They generally had good support from their</w:t>
            </w:r>
            <w:r w:rsidR="008757A8">
              <w:rPr>
                <w:lang w:eastAsia="en-GB"/>
              </w:rPr>
              <w:t xml:space="preserve"> medical educator </w:t>
            </w:r>
            <w:r>
              <w:rPr>
                <w:lang w:eastAsia="en-GB"/>
              </w:rPr>
              <w:t>and in-practice teacher</w:t>
            </w:r>
            <w:r w:rsidR="00E30EDB">
              <w:rPr>
                <w:lang w:eastAsia="en-GB"/>
              </w:rPr>
              <w:t>.</w:t>
            </w:r>
          </w:p>
          <w:p w14:paraId="7E32AFAC" w14:textId="5AADCC6C" w:rsidR="0051350F" w:rsidRDefault="00426E5F" w:rsidP="00681758">
            <w:pPr>
              <w:rPr>
                <w:lang w:eastAsia="en-GB"/>
              </w:rPr>
            </w:pPr>
            <w:r>
              <w:rPr>
                <w:lang w:eastAsia="en-GB"/>
              </w:rPr>
              <w:t xml:space="preserve">At the end of GPEP 1 most felt prepared for GPEP 2. However, </w:t>
            </w:r>
            <w:r w:rsidR="003664B7">
              <w:rPr>
                <w:lang w:eastAsia="en-GB"/>
              </w:rPr>
              <w:t>m</w:t>
            </w:r>
            <w:r w:rsidR="00474093">
              <w:rPr>
                <w:lang w:eastAsia="en-GB"/>
              </w:rPr>
              <w:t>ost interviewed r</w:t>
            </w:r>
            <w:r w:rsidR="0051350F">
              <w:rPr>
                <w:lang w:eastAsia="en-GB"/>
              </w:rPr>
              <w:t>egistrar</w:t>
            </w:r>
            <w:r w:rsidR="00474093">
              <w:rPr>
                <w:lang w:eastAsia="en-GB"/>
              </w:rPr>
              <w:t>s</w:t>
            </w:r>
            <w:r w:rsidR="0051350F">
              <w:rPr>
                <w:lang w:eastAsia="en-GB"/>
              </w:rPr>
              <w:t xml:space="preserve"> and other stakeholders </w:t>
            </w:r>
            <w:r w:rsidR="00E40DAE">
              <w:rPr>
                <w:lang w:eastAsia="en-GB"/>
              </w:rPr>
              <w:t>felt the</w:t>
            </w:r>
            <w:r w:rsidR="001C0C82">
              <w:rPr>
                <w:lang w:eastAsia="en-GB"/>
              </w:rPr>
              <w:t xml:space="preserve"> </w:t>
            </w:r>
            <w:r w:rsidR="00E40DAE">
              <w:rPr>
                <w:lang w:eastAsia="en-GB"/>
              </w:rPr>
              <w:t>educational</w:t>
            </w:r>
            <w:r w:rsidR="00CB68C9">
              <w:rPr>
                <w:lang w:eastAsia="en-GB"/>
              </w:rPr>
              <w:t>/teaching</w:t>
            </w:r>
            <w:r w:rsidR="00E40DAE">
              <w:rPr>
                <w:lang w:eastAsia="en-GB"/>
              </w:rPr>
              <w:t xml:space="preserve"> component of GPEP 2 was inadequate.</w:t>
            </w:r>
            <w:r w:rsidR="001C0C82">
              <w:rPr>
                <w:lang w:eastAsia="en-GB"/>
              </w:rPr>
              <w:t xml:space="preserve"> They wanted more frequent peer and mentor </w:t>
            </w:r>
            <w:r w:rsidR="006E2388">
              <w:rPr>
                <w:lang w:eastAsia="en-GB"/>
              </w:rPr>
              <w:t>sessions</w:t>
            </w:r>
            <w:r w:rsidR="001C0C82">
              <w:rPr>
                <w:lang w:eastAsia="en-GB"/>
              </w:rPr>
              <w:t xml:space="preserve"> focused on case reviews.</w:t>
            </w:r>
          </w:p>
          <w:p w14:paraId="57DBE69E" w14:textId="1E49EAD8" w:rsidR="001C0C82" w:rsidRDefault="001C0C82" w:rsidP="00681758">
            <w:pPr>
              <w:rPr>
                <w:lang w:eastAsia="en-GB"/>
              </w:rPr>
            </w:pPr>
            <w:r>
              <w:rPr>
                <w:lang w:eastAsia="en-GB"/>
              </w:rPr>
              <w:t>Many considered the clinical comp</w:t>
            </w:r>
            <w:r w:rsidR="00192F5B">
              <w:rPr>
                <w:lang w:eastAsia="en-GB"/>
              </w:rPr>
              <w:t xml:space="preserve">onent of the exam at the end of GPEP 1 should be </w:t>
            </w:r>
            <w:r w:rsidR="006E2388">
              <w:rPr>
                <w:lang w:eastAsia="en-GB"/>
              </w:rPr>
              <w:t>in the middle of GPEP 2.</w:t>
            </w:r>
          </w:p>
        </w:tc>
      </w:tr>
      <w:tr w:rsidR="009F4D03" w14:paraId="2A396694"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55726D72" w14:textId="77777777" w:rsidR="009F4D03" w:rsidRPr="0047079A" w:rsidRDefault="009F4D03" w:rsidP="00681758">
            <w:pPr>
              <w:rPr>
                <w:b/>
                <w:bCs/>
                <w:lang w:eastAsia="en-GB"/>
              </w:rPr>
            </w:pPr>
            <w:r w:rsidRPr="0047079A">
              <w:rPr>
                <w:b/>
                <w:bCs/>
                <w:lang w:eastAsia="en-GB"/>
              </w:rPr>
              <w:t>Opportunities:</w:t>
            </w:r>
          </w:p>
          <w:p w14:paraId="4E478EAD" w14:textId="37701166" w:rsidR="009F4D03" w:rsidRDefault="00DF40D1" w:rsidP="00681758">
            <w:pPr>
              <w:rPr>
                <w:lang w:eastAsia="en-GB"/>
              </w:rPr>
            </w:pPr>
            <w:r>
              <w:rPr>
                <w:lang w:eastAsia="en-GB"/>
              </w:rPr>
              <w:t>Expansion of teaching in GPEP 2 and moving the clinical exam to the middle of GPEP 2 would provide the additional education and support registrars and teachers identified as needed.</w:t>
            </w:r>
          </w:p>
        </w:tc>
      </w:tr>
    </w:tbl>
    <w:p w14:paraId="4A76DC7F" w14:textId="77777777" w:rsidR="004936E8" w:rsidRDefault="004936E8" w:rsidP="00A16840">
      <w:pPr>
        <w:pStyle w:val="Heading2"/>
      </w:pPr>
      <w:bookmarkStart w:id="57" w:name="_Toc105853907"/>
      <w:r>
        <w:t>GPEP 1</w:t>
      </w:r>
      <w:bookmarkEnd w:id="57"/>
    </w:p>
    <w:p w14:paraId="76B26AD8" w14:textId="04EE74BE" w:rsidR="00136CE7" w:rsidRDefault="00CB68C9" w:rsidP="00136CE7">
      <w:pPr>
        <w:rPr>
          <w:rFonts w:eastAsiaTheme="minorHAnsi"/>
        </w:rPr>
      </w:pPr>
      <w:r w:rsidRPr="00721178">
        <w:rPr>
          <w:rFonts w:eastAsiaTheme="minorHAnsi"/>
        </w:rPr>
        <w:t xml:space="preserve">The current GPEP funding model focuses education on the first year. </w:t>
      </w:r>
      <w:r w:rsidR="00136CE7" w:rsidRPr="00721178">
        <w:rPr>
          <w:rFonts w:eastAsiaTheme="minorHAnsi"/>
        </w:rPr>
        <w:t>During GPEP 1, registrars were supported by a teaching fellow in the</w:t>
      </w:r>
      <w:r w:rsidR="001F47AF" w:rsidRPr="00721178">
        <w:rPr>
          <w:rFonts w:eastAsiaTheme="minorHAnsi"/>
        </w:rPr>
        <w:t>ir placement</w:t>
      </w:r>
      <w:r w:rsidR="00136CE7" w:rsidRPr="00721178">
        <w:rPr>
          <w:rFonts w:eastAsiaTheme="minorHAnsi"/>
        </w:rPr>
        <w:t xml:space="preserve"> practice, a facilitator medical educator and a lead </w:t>
      </w:r>
      <w:r w:rsidR="00B43A4E" w:rsidRPr="00721178">
        <w:rPr>
          <w:rFonts w:eastAsiaTheme="minorHAnsi"/>
        </w:rPr>
        <w:t xml:space="preserve">medical </w:t>
      </w:r>
      <w:r w:rsidR="00136CE7" w:rsidRPr="00721178">
        <w:rPr>
          <w:rFonts w:eastAsiaTheme="minorHAnsi"/>
        </w:rPr>
        <w:t>educator.</w:t>
      </w:r>
      <w:r w:rsidR="00136CE7">
        <w:rPr>
          <w:rFonts w:eastAsiaTheme="minorHAnsi"/>
        </w:rPr>
        <w:t xml:space="preserve"> </w:t>
      </w:r>
    </w:p>
    <w:p w14:paraId="0F3C6A7A" w14:textId="77777777" w:rsidR="007170B7" w:rsidRPr="00CB5526" w:rsidRDefault="007170B7" w:rsidP="00A16840">
      <w:pPr>
        <w:pStyle w:val="Heading2"/>
      </w:pPr>
      <w:bookmarkStart w:id="58" w:name="_Toc105853908"/>
      <w:r w:rsidRPr="00CB5526">
        <w:t>Matching process</w:t>
      </w:r>
      <w:bookmarkEnd w:id="58"/>
    </w:p>
    <w:p w14:paraId="456D1380" w14:textId="1B9605E9" w:rsidR="00597439" w:rsidRDefault="007170B7" w:rsidP="007170B7">
      <w:r>
        <w:t xml:space="preserve">Matching with general practices for placements was </w:t>
      </w:r>
      <w:r w:rsidR="008C6B2C">
        <w:t xml:space="preserve">an important part of preparation for GPEP 1. The College reported </w:t>
      </w:r>
      <w:r w:rsidR="002F59F5">
        <w:t xml:space="preserve">trying to match registrars with </w:t>
      </w:r>
      <w:r w:rsidR="00CB68C9">
        <w:t xml:space="preserve">their top location preference </w:t>
      </w:r>
      <w:r w:rsidR="002F59F5">
        <w:t xml:space="preserve">on their application form. </w:t>
      </w:r>
      <w:r w:rsidR="00296CBD">
        <w:t xml:space="preserve">The College also reported prioritising placing Māori and Pacific registrars in Māori and Pacific practices. </w:t>
      </w:r>
    </w:p>
    <w:p w14:paraId="74E272D2" w14:textId="5E4545A2" w:rsidR="008C6B2C" w:rsidRDefault="002F59F5" w:rsidP="007170B7">
      <w:r>
        <w:t>However, m</w:t>
      </w:r>
      <w:r w:rsidR="008C6B2C">
        <w:t xml:space="preserve">atching was challenging for the College </w:t>
      </w:r>
      <w:r w:rsidR="00641CD1">
        <w:t>as the number of practices wanting registrars exceeded the number of registrars available</w:t>
      </w:r>
      <w:r w:rsidR="00296CBD">
        <w:t xml:space="preserve">, </w:t>
      </w:r>
      <w:r w:rsidR="008876E8">
        <w:t>Māori and Pacific practices were not available in all areas</w:t>
      </w:r>
      <w:r w:rsidR="00597439">
        <w:t>,</w:t>
      </w:r>
      <w:r w:rsidR="00641CD1">
        <w:t xml:space="preserve"> not all registrars accepted for GPEP entered the programme</w:t>
      </w:r>
      <w:r w:rsidR="00597439">
        <w:t xml:space="preserve"> and </w:t>
      </w:r>
      <w:r w:rsidR="00CB68C9">
        <w:t>the availability of accredited practices and teaching fellows</w:t>
      </w:r>
      <w:r w:rsidR="00721178">
        <w:t xml:space="preserve"> could be fluid</w:t>
      </w:r>
      <w:r w:rsidR="00CB68C9">
        <w:t>.</w:t>
      </w:r>
    </w:p>
    <w:p w14:paraId="129E97AE" w14:textId="5FAA02A0" w:rsidR="002B26C3" w:rsidRDefault="002B26C3" w:rsidP="002B26C3">
      <w:pPr>
        <w:pStyle w:val="Quotes"/>
      </w:pPr>
      <w:r>
        <w:t xml:space="preserve">Our job at the college is to find them a home. We try and match a practice with a registrar. We ask their preferred location as in region, within the contract with the </w:t>
      </w:r>
      <w:r>
        <w:lastRenderedPageBreak/>
        <w:t>Ministry they must do one high need or rural in their first year. That sounds simple but the complexity around placing registrars is enormous</w:t>
      </w:r>
      <w:r w:rsidR="007807FE">
        <w:t xml:space="preserve">…. It is a giant jigsaw puzzle and it takes months to jiggle everyone around. It is in an environment where there is </w:t>
      </w:r>
      <w:r w:rsidR="007807FE">
        <w:t xml:space="preserve">not enough supply of registrars. </w:t>
      </w:r>
      <w:r w:rsidR="00AA163A">
        <w:t>(RNZCGP</w:t>
      </w:r>
      <w:r>
        <w:t>)</w:t>
      </w:r>
    </w:p>
    <w:p w14:paraId="0BA4F378" w14:textId="6127E682" w:rsidR="009E5026" w:rsidRPr="00721178" w:rsidRDefault="009E5026" w:rsidP="009E5026">
      <w:r w:rsidRPr="00721178">
        <w:t xml:space="preserve">Registrars who remained in </w:t>
      </w:r>
      <w:proofErr w:type="gramStart"/>
      <w:r w:rsidRPr="00721178">
        <w:t>College</w:t>
      </w:r>
      <w:proofErr w:type="gramEnd"/>
      <w:r w:rsidRPr="00721178">
        <w:t xml:space="preserve"> employment were matched to districts and placed in practices by the </w:t>
      </w:r>
      <w:r w:rsidR="00CB68C9" w:rsidRPr="00721178">
        <w:t xml:space="preserve">College, in consultation with the regional </w:t>
      </w:r>
      <w:r w:rsidRPr="00721178">
        <w:t xml:space="preserve">medical educator. Registrars could indicate their </w:t>
      </w:r>
      <w:r w:rsidR="00E835FD" w:rsidRPr="00721178">
        <w:t>preferred</w:t>
      </w:r>
      <w:r w:rsidRPr="00721178">
        <w:t xml:space="preserve"> community and region but ultimately the decision was at the discretion of the </w:t>
      </w:r>
      <w:r w:rsidR="00CB68C9" w:rsidRPr="00721178">
        <w:t>College</w:t>
      </w:r>
      <w:r w:rsidRPr="00721178">
        <w:t>. Registrars shared examples of ‘match swapping’ with other peers to get the practice, location and</w:t>
      </w:r>
      <w:r w:rsidR="00FA5088">
        <w:t xml:space="preserve">/or </w:t>
      </w:r>
      <w:r w:rsidRPr="00721178">
        <w:t>community they wanted. In one case, there were more than four registrars who connected and swapped placements</w:t>
      </w:r>
      <w:r w:rsidR="00FA5088">
        <w:t>,</w:t>
      </w:r>
      <w:r w:rsidR="00CB68C9" w:rsidRPr="00721178">
        <w:t xml:space="preserve"> but this can only happen with </w:t>
      </w:r>
      <w:proofErr w:type="gramStart"/>
      <w:r w:rsidR="00CB68C9" w:rsidRPr="00721178">
        <w:t>College</w:t>
      </w:r>
      <w:proofErr w:type="gramEnd"/>
      <w:r w:rsidR="00CB68C9" w:rsidRPr="00721178">
        <w:t xml:space="preserve"> approval</w:t>
      </w:r>
      <w:r w:rsidRPr="00721178">
        <w:t>.</w:t>
      </w:r>
    </w:p>
    <w:p w14:paraId="521CF0C0" w14:textId="39D506CD" w:rsidR="009E5026" w:rsidRDefault="009E5026" w:rsidP="009E5026">
      <w:pPr>
        <w:pStyle w:val="Quotes"/>
      </w:pPr>
      <w:r w:rsidRPr="00721178">
        <w:t>Literally in our group, there was three people who nearly pulled out of the GP</w:t>
      </w:r>
      <w:r>
        <w:t xml:space="preserve"> training program</w:t>
      </w:r>
      <w:r w:rsidR="00E604B0">
        <w:t>me</w:t>
      </w:r>
      <w:r>
        <w:t xml:space="preserve"> because they were given placements that would not work for their family. (Registrar</w:t>
      </w:r>
      <w:r w:rsidR="00F237AF">
        <w:t xml:space="preserve"> </w:t>
      </w:r>
      <w:r w:rsidR="00D42CD9">
        <w:t>–</w:t>
      </w:r>
      <w:r w:rsidR="00F237AF">
        <w:t xml:space="preserve"> interview</w:t>
      </w:r>
      <w:r w:rsidR="00D42CD9">
        <w:t xml:space="preserve"> </w:t>
      </w:r>
      <w:r>
        <w:t>)</w:t>
      </w:r>
    </w:p>
    <w:p w14:paraId="2F0D1CEC" w14:textId="13D9ABDF" w:rsidR="007170B7" w:rsidRPr="00C744C5" w:rsidRDefault="007170B7" w:rsidP="007170B7">
      <w:pPr>
        <w:rPr>
          <w:rFonts w:eastAsiaTheme="minorHAnsi"/>
        </w:rPr>
      </w:pPr>
      <w:r>
        <w:t xml:space="preserve">Registrars suggested meeting regionally to discuss practice availability, desired </w:t>
      </w:r>
      <w:proofErr w:type="gramStart"/>
      <w:r>
        <w:t>location</w:t>
      </w:r>
      <w:proofErr w:type="gramEnd"/>
      <w:r>
        <w:t xml:space="preserve"> and expectation. T</w:t>
      </w:r>
      <w:r w:rsidR="005C6585">
        <w:t xml:space="preserve">hey suggested this approach </w:t>
      </w:r>
      <w:r>
        <w:t xml:space="preserve">would reduce the mismatching of registrars to practices and provide a balanced opportunity for medical educators and registrars to discuss and plan placements. </w:t>
      </w:r>
    </w:p>
    <w:p w14:paraId="24216B1F" w14:textId="75ACEECF" w:rsidR="009F4D03" w:rsidRDefault="009F4D03" w:rsidP="00A16840">
      <w:pPr>
        <w:pStyle w:val="Heading2"/>
      </w:pPr>
      <w:bookmarkStart w:id="59" w:name="_Toc105853909"/>
      <w:r>
        <w:t xml:space="preserve">Experiences working </w:t>
      </w:r>
      <w:r w:rsidR="001C4616">
        <w:t>in</w:t>
      </w:r>
      <w:r w:rsidR="008757A8">
        <w:t xml:space="preserve"> a</w:t>
      </w:r>
      <w:r w:rsidR="001C4616">
        <w:t xml:space="preserve"> general practice with a high proportion of Māori or Pacific patients</w:t>
      </w:r>
      <w:bookmarkEnd w:id="59"/>
    </w:p>
    <w:p w14:paraId="6E53A61A" w14:textId="31ED4969" w:rsidR="008757A8" w:rsidRDefault="008757A8" w:rsidP="001C4616">
      <w:r>
        <w:t xml:space="preserve">A placement in a general practice with a high proportion of Māori patients provided non-Māori and non-Pacific registrars with opportunities to learn about cultural safety, understand </w:t>
      </w:r>
      <w:proofErr w:type="spellStart"/>
      <w:r>
        <w:t>te</w:t>
      </w:r>
      <w:proofErr w:type="spellEnd"/>
      <w:r>
        <w:t xml:space="preserve"> </w:t>
      </w:r>
      <w:proofErr w:type="spellStart"/>
      <w:r>
        <w:t>ao</w:t>
      </w:r>
      <w:proofErr w:type="spellEnd"/>
      <w:r>
        <w:t xml:space="preserve"> Māori contexts and build confidence. </w:t>
      </w:r>
    </w:p>
    <w:p w14:paraId="74D1F69E" w14:textId="31E9EFB7" w:rsidR="00DF5DF8" w:rsidRDefault="00DF5DF8" w:rsidP="008757A8">
      <w:pPr>
        <w:pStyle w:val="Quotes"/>
        <w:rPr>
          <w:lang w:eastAsia="en-GB"/>
        </w:rPr>
      </w:pPr>
      <w:r w:rsidRPr="008757A8">
        <w:t>I think it is important that registrars are placed at Māori and Pacific health providers, I think that is the only way you are only going to get the experience. I did find the wānanga Te Ahunga orientation that we went on really useful and really enjoyable and we had a number of teaching sessions on Māori health which were useful. I think that should be absolutely part, but I think the only way registrars will have experience of Māori and Pacific health is if they work at those providers.</w:t>
      </w:r>
      <w:r w:rsidR="009B660E">
        <w:t xml:space="preserve"> (Registrar – interview)</w:t>
      </w:r>
    </w:p>
    <w:p w14:paraId="5ACF9CB8" w14:textId="264A26E5" w:rsidR="001C4616" w:rsidRDefault="001C4616" w:rsidP="00A16840">
      <w:pPr>
        <w:pStyle w:val="Heading2"/>
      </w:pPr>
      <w:bookmarkStart w:id="60" w:name="_Toc105853910"/>
      <w:r>
        <w:t>Experiences of working as a registrar in rural general practices</w:t>
      </w:r>
      <w:bookmarkEnd w:id="60"/>
    </w:p>
    <w:p w14:paraId="561AA236" w14:textId="4F7D7133" w:rsidR="000F265B" w:rsidRDefault="002B33E0" w:rsidP="00427938">
      <w:pPr>
        <w:rPr>
          <w:lang w:val="en-GB"/>
        </w:rPr>
      </w:pPr>
      <w:r>
        <w:rPr>
          <w:lang w:val="en-GB"/>
        </w:rPr>
        <w:t xml:space="preserve">Placements in practice in rural locations provided </w:t>
      </w:r>
      <w:r w:rsidR="000F265B">
        <w:rPr>
          <w:lang w:val="en-GB"/>
        </w:rPr>
        <w:t>registrars</w:t>
      </w:r>
      <w:r>
        <w:rPr>
          <w:lang w:val="en-GB"/>
        </w:rPr>
        <w:t xml:space="preserve"> with understandings of rural contexts a</w:t>
      </w:r>
      <w:r w:rsidR="000F265B">
        <w:rPr>
          <w:lang w:val="en-GB"/>
        </w:rPr>
        <w:t>n</w:t>
      </w:r>
      <w:r>
        <w:rPr>
          <w:lang w:val="en-GB"/>
        </w:rPr>
        <w:t xml:space="preserve">d contributed to them wanting to practice in those locations </w:t>
      </w:r>
      <w:r w:rsidR="000F265B">
        <w:rPr>
          <w:lang w:val="en-GB"/>
        </w:rPr>
        <w:t>in GPEP 2/3 or as a fellow of the college.</w:t>
      </w:r>
    </w:p>
    <w:p w14:paraId="25D06F2F" w14:textId="0A19A7D0" w:rsidR="00427938" w:rsidRDefault="00427938" w:rsidP="000F265B">
      <w:pPr>
        <w:pStyle w:val="Quotes"/>
        <w:rPr>
          <w:lang w:val="en-GB"/>
        </w:rPr>
      </w:pPr>
      <w:r>
        <w:rPr>
          <w:lang w:val="en-GB"/>
        </w:rPr>
        <w:lastRenderedPageBreak/>
        <w:t>Being immersed in the community you can</w:t>
      </w:r>
      <w:r w:rsidR="008757A8">
        <w:rPr>
          <w:lang w:val="en-GB"/>
        </w:rPr>
        <w:t>’</w:t>
      </w:r>
      <w:r>
        <w:rPr>
          <w:lang w:val="en-GB"/>
        </w:rPr>
        <w:t>t help but create a bond or sense of responsibility and loyalty to that community where actually I would like to work here and I may not spend my whole life here but I would like to spend time here giving back because I feel connected and I belong to this community.</w:t>
      </w:r>
      <w:r w:rsidR="008E2A5A">
        <w:rPr>
          <w:lang w:val="en-GB"/>
        </w:rPr>
        <w:t xml:space="preserve"> (Registrar – interview)</w:t>
      </w:r>
    </w:p>
    <w:p w14:paraId="7E875A8E" w14:textId="77777777" w:rsidR="00054300" w:rsidRDefault="00054300" w:rsidP="00A16840">
      <w:pPr>
        <w:pStyle w:val="Heading2"/>
      </w:pPr>
      <w:bookmarkStart w:id="61" w:name="_Toc105853911"/>
      <w:r>
        <w:t>Preparedness for GPEP 2</w:t>
      </w:r>
      <w:bookmarkEnd w:id="61"/>
    </w:p>
    <w:p w14:paraId="62C5E1E6" w14:textId="193CDE3D" w:rsidR="003211FA" w:rsidRDefault="004E05F1" w:rsidP="00765725">
      <w:pPr>
        <w:rPr>
          <w:rFonts w:eastAsiaTheme="minorHAnsi"/>
        </w:rPr>
      </w:pPr>
      <w:r>
        <w:rPr>
          <w:rFonts w:eastAsiaTheme="minorHAnsi"/>
        </w:rPr>
        <w:t>Surveyed registrars considered they were well prepared for patient-centred counselling and communication skills at the end of GPEP 1</w:t>
      </w:r>
      <w:r w:rsidR="006A3F5D">
        <w:rPr>
          <w:rFonts w:eastAsiaTheme="minorHAnsi"/>
        </w:rPr>
        <w:t xml:space="preserve"> (</w:t>
      </w:r>
      <w:r w:rsidR="00DB5B4E">
        <w:rPr>
          <w:rFonts w:eastAsiaTheme="minorHAnsi"/>
        </w:rPr>
        <w:fldChar w:fldCharType="begin"/>
      </w:r>
      <w:r w:rsidR="00DB5B4E">
        <w:rPr>
          <w:rFonts w:eastAsiaTheme="minorHAnsi"/>
        </w:rPr>
        <w:instrText xml:space="preserve"> REF _Ref104724112 \h </w:instrText>
      </w:r>
      <w:r w:rsidR="00DB5B4E">
        <w:rPr>
          <w:rFonts w:eastAsiaTheme="minorHAnsi"/>
        </w:rPr>
      </w:r>
      <w:r w:rsidR="00DB5B4E">
        <w:rPr>
          <w:rFonts w:eastAsiaTheme="minorHAnsi"/>
        </w:rPr>
        <w:fldChar w:fldCharType="separate"/>
      </w:r>
      <w:r w:rsidR="005E0451">
        <w:t xml:space="preserve">Table </w:t>
      </w:r>
      <w:r w:rsidR="005E0451">
        <w:rPr>
          <w:noProof/>
        </w:rPr>
        <w:t>9</w:t>
      </w:r>
      <w:r w:rsidR="00DB5B4E">
        <w:rPr>
          <w:rFonts w:eastAsiaTheme="minorHAnsi"/>
        </w:rPr>
        <w:fldChar w:fldCharType="end"/>
      </w:r>
      <w:r w:rsidR="006A3F5D">
        <w:rPr>
          <w:rFonts w:eastAsiaTheme="minorHAnsi"/>
        </w:rPr>
        <w:t>)</w:t>
      </w:r>
      <w:r>
        <w:rPr>
          <w:rFonts w:eastAsiaTheme="minorHAnsi"/>
        </w:rPr>
        <w:t>.</w:t>
      </w:r>
      <w:r w:rsidR="003211FA">
        <w:rPr>
          <w:rFonts w:eastAsiaTheme="minorHAnsi"/>
        </w:rPr>
        <w:t xml:space="preserve"> </w:t>
      </w:r>
    </w:p>
    <w:p w14:paraId="78695791" w14:textId="77777777" w:rsidR="003211FA" w:rsidRPr="00687397" w:rsidRDefault="003211FA" w:rsidP="003211FA">
      <w:pPr>
        <w:pStyle w:val="Quotes"/>
      </w:pPr>
      <w:r w:rsidRPr="00687397">
        <w:t>I don’t think we had any teaching sessions whatsoever on record keeping. No</w:t>
      </w:r>
      <w:r>
        <w:t xml:space="preserve"> </w:t>
      </w:r>
      <w:r w:rsidRPr="00687397">
        <w:t xml:space="preserve">one ever teaches you how to write notes that is a deficiency in medical school and specialty training. You are told you need to write notes and they need to be contemporaneous, but I don’t think I have ever, ever in my medical education had a lecture or teaching sessions on how to write a note. </w:t>
      </w:r>
      <w:r>
        <w:t>(Registrar – interview)</w:t>
      </w:r>
    </w:p>
    <w:p w14:paraId="33D4CBE9" w14:textId="13C68575" w:rsidR="00765725" w:rsidRDefault="0079392E" w:rsidP="00765725">
      <w:pPr>
        <w:rPr>
          <w:rFonts w:eastAsiaTheme="minorHAnsi"/>
        </w:rPr>
      </w:pPr>
      <w:r>
        <w:rPr>
          <w:rFonts w:eastAsiaTheme="minorHAnsi"/>
        </w:rPr>
        <w:t xml:space="preserve">They felt less prepared for consultation with </w:t>
      </w:r>
      <w:r w:rsidR="003F0C3A">
        <w:rPr>
          <w:rFonts w:eastAsiaTheme="minorHAnsi"/>
        </w:rPr>
        <w:t>M</w:t>
      </w:r>
      <w:r w:rsidR="0065112D">
        <w:rPr>
          <w:rFonts w:eastAsiaTheme="minorHAnsi"/>
        </w:rPr>
        <w:t>āo</w:t>
      </w:r>
      <w:r w:rsidR="003F0C3A">
        <w:rPr>
          <w:rFonts w:eastAsiaTheme="minorHAnsi"/>
        </w:rPr>
        <w:t xml:space="preserve">ri, Pacific </w:t>
      </w:r>
      <w:proofErr w:type="gramStart"/>
      <w:r w:rsidR="003F0C3A">
        <w:rPr>
          <w:rFonts w:eastAsiaTheme="minorHAnsi"/>
        </w:rPr>
        <w:t>patients</w:t>
      </w:r>
      <w:proofErr w:type="gramEnd"/>
      <w:r w:rsidR="003F0C3A">
        <w:rPr>
          <w:rFonts w:eastAsiaTheme="minorHAnsi"/>
        </w:rPr>
        <w:t xml:space="preserve"> and those in rural communities</w:t>
      </w:r>
      <w:r w:rsidR="003211FA">
        <w:rPr>
          <w:rFonts w:eastAsiaTheme="minorHAnsi"/>
        </w:rPr>
        <w:t xml:space="preserve">. </w:t>
      </w:r>
      <w:r w:rsidR="00765725">
        <w:rPr>
          <w:rFonts w:eastAsiaTheme="minorHAnsi"/>
        </w:rPr>
        <w:t>Registrars generally felt less prepared for GPEP 2 than their teachers considered them to be.</w:t>
      </w:r>
      <w:r w:rsidR="00FE77F9">
        <w:rPr>
          <w:rFonts w:eastAsiaTheme="minorHAnsi"/>
        </w:rPr>
        <w:t xml:space="preserve"> </w:t>
      </w:r>
    </w:p>
    <w:p w14:paraId="2F9B4F6F" w14:textId="0BD5103F" w:rsidR="00765725" w:rsidRDefault="00976F0B" w:rsidP="00DB5B4E">
      <w:pPr>
        <w:pStyle w:val="Quotes"/>
        <w:keepNext/>
        <w:ind w:left="0" w:firstLine="0"/>
        <w:jc w:val="center"/>
      </w:pPr>
      <w:r>
        <w:drawing>
          <wp:inline distT="0" distB="0" distL="0" distR="0" wp14:anchorId="07DCEBC0" wp14:editId="4F82D5B9">
            <wp:extent cx="4307531" cy="3727450"/>
            <wp:effectExtent l="0" t="0" r="0" b="6350"/>
            <wp:docPr id="36" name="Picture 26" descr="Chart, bar chart, funnel chart&#10;&#10;Description automatically generated">
              <a:extLst xmlns:a="http://schemas.openxmlformats.org/drawingml/2006/main">
                <a:ext uri="{FF2B5EF4-FFF2-40B4-BE49-F238E27FC236}">
                  <a16:creationId xmlns:a16="http://schemas.microsoft.com/office/drawing/2014/main" id="{BC5862E3-7FC7-2E8D-7AAF-98208538EE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6" descr="Chart, bar chart, funnel chart&#10;&#10;Description automatically generated">
                      <a:extLst>
                        <a:ext uri="{FF2B5EF4-FFF2-40B4-BE49-F238E27FC236}">
                          <a16:creationId xmlns:a16="http://schemas.microsoft.com/office/drawing/2014/main" id="{BC5862E3-7FC7-2E8D-7AAF-98208538EE95}"/>
                        </a:ext>
                      </a:extLst>
                    </pic:cNvPr>
                    <pic:cNvPicPr>
                      <a:picLocks noChangeAspect="1"/>
                    </pic:cNvPicPr>
                  </pic:nvPicPr>
                  <pic:blipFill>
                    <a:blip r:embed="rId26"/>
                    <a:stretch>
                      <a:fillRect/>
                    </a:stretch>
                  </pic:blipFill>
                  <pic:spPr>
                    <a:xfrm>
                      <a:off x="0" y="0"/>
                      <a:ext cx="4368217" cy="3779963"/>
                    </a:xfrm>
                    <a:prstGeom prst="rect">
                      <a:avLst/>
                    </a:prstGeom>
                  </pic:spPr>
                </pic:pic>
              </a:graphicData>
            </a:graphic>
          </wp:inline>
        </w:drawing>
      </w:r>
    </w:p>
    <w:p w14:paraId="74431A7B" w14:textId="3937E900" w:rsidR="00765725" w:rsidRDefault="00765725" w:rsidP="0084002B">
      <w:pPr>
        <w:pStyle w:val="Caption"/>
        <w:rPr>
          <w:noProof/>
        </w:rPr>
      </w:pPr>
      <w:bookmarkStart w:id="62" w:name="_Ref104130876"/>
      <w:r>
        <w:t xml:space="preserve">Figure </w:t>
      </w:r>
      <w:r>
        <w:fldChar w:fldCharType="begin"/>
      </w:r>
      <w:r>
        <w:instrText>SEQ Figure \* ARABIC</w:instrText>
      </w:r>
      <w:r>
        <w:fldChar w:fldCharType="separate"/>
      </w:r>
      <w:r w:rsidR="005E0451">
        <w:rPr>
          <w:noProof/>
        </w:rPr>
        <w:t>8</w:t>
      </w:r>
      <w:r>
        <w:fldChar w:fldCharType="end"/>
      </w:r>
      <w:bookmarkEnd w:id="62"/>
      <w:r>
        <w:t>. Teacher and registrar perceptions of registrar</w:t>
      </w:r>
      <w:r>
        <w:rPr>
          <w:noProof/>
        </w:rPr>
        <w:t xml:space="preserve"> preparedness for GPEP 2</w:t>
      </w:r>
      <w:r w:rsidR="009F0725">
        <w:rPr>
          <w:noProof/>
        </w:rPr>
        <w:t>, those who rated 3 and 4 on a scale from 1</w:t>
      </w:r>
      <w:r w:rsidR="00F73976">
        <w:rPr>
          <w:noProof/>
        </w:rPr>
        <w:t xml:space="preserve"> (not at all)</w:t>
      </w:r>
      <w:r w:rsidR="009F0725">
        <w:rPr>
          <w:noProof/>
        </w:rPr>
        <w:t xml:space="preserve"> to 4</w:t>
      </w:r>
      <w:r w:rsidR="00F73976">
        <w:rPr>
          <w:noProof/>
        </w:rPr>
        <w:t xml:space="preserve"> (very</w:t>
      </w:r>
      <w:r w:rsidR="00873F55">
        <w:rPr>
          <w:noProof/>
        </w:rPr>
        <w:t xml:space="preserve"> prepared</w:t>
      </w:r>
      <w:r w:rsidR="00F73976">
        <w:rPr>
          <w:noProof/>
        </w:rPr>
        <w:t>)</w:t>
      </w:r>
      <w:r w:rsidR="003A2E9B">
        <w:rPr>
          <w:noProof/>
        </w:rPr>
        <w:t>. (Survey responses for registrars and teachers).</w:t>
      </w:r>
    </w:p>
    <w:p w14:paraId="17178016" w14:textId="553D42F4" w:rsidR="00D8561D" w:rsidRPr="00CB5526" w:rsidRDefault="00D8561D" w:rsidP="00A16840">
      <w:pPr>
        <w:pStyle w:val="Heading2"/>
      </w:pPr>
      <w:bookmarkStart w:id="63" w:name="_Toc105853912"/>
      <w:r w:rsidRPr="00CB5526">
        <w:lastRenderedPageBreak/>
        <w:t>GPEP 2</w:t>
      </w:r>
      <w:r w:rsidR="001565EC">
        <w:t>/3</w:t>
      </w:r>
      <w:bookmarkEnd w:id="63"/>
      <w:r w:rsidRPr="00CB5526">
        <w:t xml:space="preserve"> </w:t>
      </w:r>
    </w:p>
    <w:p w14:paraId="6304DABB" w14:textId="2F43D8D3" w:rsidR="00E57F00" w:rsidRDefault="00C11252" w:rsidP="00032121">
      <w:pPr>
        <w:rPr>
          <w:rFonts w:eastAsiaTheme="minorHAnsi"/>
        </w:rPr>
      </w:pPr>
      <w:r w:rsidRPr="00FA5088">
        <w:rPr>
          <w:lang w:val="en-GB"/>
        </w:rPr>
        <w:t xml:space="preserve">The education programme for </w:t>
      </w:r>
      <w:r w:rsidR="00DA09FA" w:rsidRPr="00FA5088">
        <w:rPr>
          <w:lang w:val="en-GB"/>
        </w:rPr>
        <w:t>GPEP 2</w:t>
      </w:r>
      <w:r w:rsidR="0007373F" w:rsidRPr="00FA5088">
        <w:rPr>
          <w:lang w:val="en-GB"/>
        </w:rPr>
        <w:t xml:space="preserve"> and GPEP 3</w:t>
      </w:r>
      <w:r w:rsidR="00DA09FA" w:rsidRPr="00FA5088">
        <w:rPr>
          <w:lang w:val="en-GB"/>
        </w:rPr>
        <w:t xml:space="preserve"> registrars </w:t>
      </w:r>
      <w:r w:rsidRPr="00FA5088">
        <w:rPr>
          <w:lang w:val="en-GB"/>
        </w:rPr>
        <w:t>comprise</w:t>
      </w:r>
      <w:r w:rsidR="0007373F" w:rsidRPr="00FA5088">
        <w:rPr>
          <w:lang w:val="en-GB"/>
        </w:rPr>
        <w:t>s</w:t>
      </w:r>
      <w:r w:rsidRPr="00FA5088">
        <w:rPr>
          <w:lang w:val="en-GB"/>
        </w:rPr>
        <w:t xml:space="preserve"> in-practice mentoring and facilitated peer group </w:t>
      </w:r>
      <w:r w:rsidR="00DA09FA" w:rsidRPr="00FA5088">
        <w:rPr>
          <w:lang w:val="en-GB"/>
        </w:rPr>
        <w:t xml:space="preserve">meetings over </w:t>
      </w:r>
      <w:r w:rsidR="0007373F" w:rsidRPr="00FA5088">
        <w:rPr>
          <w:lang w:val="en-GB"/>
        </w:rPr>
        <w:t>the duration of the programme</w:t>
      </w:r>
      <w:r w:rsidR="00DA09FA" w:rsidRPr="00FA5088">
        <w:rPr>
          <w:lang w:val="en-GB"/>
        </w:rPr>
        <w:t xml:space="preserve">. </w:t>
      </w:r>
      <w:r w:rsidR="00FA5088">
        <w:rPr>
          <w:lang w:val="en-GB"/>
        </w:rPr>
        <w:t>A teaching fellow is not required to be in the practice when r</w:t>
      </w:r>
      <w:r w:rsidR="00FA5088" w:rsidRPr="00FA5088">
        <w:rPr>
          <w:lang w:val="en-GB"/>
        </w:rPr>
        <w:t xml:space="preserve">egistrars entering GPEP 2 </w:t>
      </w:r>
      <w:r w:rsidR="00FA5088">
        <w:rPr>
          <w:lang w:val="en-GB"/>
        </w:rPr>
        <w:t xml:space="preserve">who have successfully achieved the </w:t>
      </w:r>
      <w:r w:rsidR="0007373F" w:rsidRPr="00FA5088">
        <w:rPr>
          <w:lang w:val="en-GB"/>
        </w:rPr>
        <w:t>clinical examination</w:t>
      </w:r>
      <w:r w:rsidR="00FA5088">
        <w:rPr>
          <w:lang w:val="en-GB"/>
        </w:rPr>
        <w:t xml:space="preserve"> </w:t>
      </w:r>
      <w:r w:rsidR="0007373F" w:rsidRPr="00FA5088">
        <w:rPr>
          <w:rFonts w:eastAsiaTheme="minorHAnsi"/>
        </w:rPr>
        <w:t>are practicing.  There is no funding for practice</w:t>
      </w:r>
      <w:r w:rsidR="00FA5088">
        <w:rPr>
          <w:rFonts w:eastAsiaTheme="minorHAnsi"/>
        </w:rPr>
        <w:t>-</w:t>
      </w:r>
      <w:r w:rsidR="0007373F" w:rsidRPr="00FA5088">
        <w:rPr>
          <w:rFonts w:eastAsiaTheme="minorHAnsi"/>
        </w:rPr>
        <w:t>based teaching in GPEP 2/3.</w:t>
      </w:r>
    </w:p>
    <w:p w14:paraId="0575687F" w14:textId="5441AED4" w:rsidR="00102873" w:rsidRDefault="00102873" w:rsidP="00DA09FA">
      <w:pPr>
        <w:rPr>
          <w:lang w:val="en-GB"/>
        </w:rPr>
      </w:pPr>
      <w:r>
        <w:rPr>
          <w:rFonts w:eastAsiaTheme="minorHAnsi"/>
        </w:rPr>
        <w:t>When exploring the educational experience of GPEP2</w:t>
      </w:r>
      <w:r w:rsidR="00FA5088">
        <w:rPr>
          <w:rFonts w:eastAsiaTheme="minorHAnsi"/>
        </w:rPr>
        <w:t xml:space="preserve"> and </w:t>
      </w:r>
      <w:r>
        <w:rPr>
          <w:rFonts w:eastAsiaTheme="minorHAnsi"/>
        </w:rPr>
        <w:t>3, registrars noted there was no major difference aside from the scattered teaching sessions throughout the year in GPEP 2.</w:t>
      </w:r>
      <w:r w:rsidR="00EB79FB" w:rsidRPr="00EB79FB">
        <w:rPr>
          <w:lang w:val="en-GB"/>
        </w:rPr>
        <w:t xml:space="preserve"> </w:t>
      </w:r>
      <w:r w:rsidR="00EB79FB">
        <w:rPr>
          <w:lang w:val="en-GB"/>
        </w:rPr>
        <w:t>Many described GPEP as essentially a one-year programme.</w:t>
      </w:r>
    </w:p>
    <w:p w14:paraId="16F6E176" w14:textId="1D035CF6" w:rsidR="00721551" w:rsidRDefault="00721551" w:rsidP="00721551">
      <w:pPr>
        <w:pStyle w:val="Quotes"/>
        <w:rPr>
          <w:rFonts w:eastAsiaTheme="minorHAnsi"/>
        </w:rPr>
      </w:pPr>
      <w:r>
        <w:rPr>
          <w:rFonts w:eastAsiaTheme="minorHAnsi"/>
        </w:rPr>
        <w:t>…</w:t>
      </w:r>
      <w:r w:rsidRPr="00721551">
        <w:rPr>
          <w:rFonts w:eastAsiaTheme="minorHAnsi"/>
        </w:rPr>
        <w:t>turn GPEP</w:t>
      </w:r>
      <w:r w:rsidR="006C465B">
        <w:rPr>
          <w:rFonts w:eastAsiaTheme="minorHAnsi"/>
        </w:rPr>
        <w:t xml:space="preserve"> </w:t>
      </w:r>
      <w:r w:rsidRPr="00721551">
        <w:rPr>
          <w:rFonts w:eastAsiaTheme="minorHAnsi"/>
        </w:rPr>
        <w:t>2 and GPEP</w:t>
      </w:r>
      <w:r w:rsidR="006C465B">
        <w:rPr>
          <w:rFonts w:eastAsiaTheme="minorHAnsi"/>
        </w:rPr>
        <w:t xml:space="preserve"> </w:t>
      </w:r>
      <w:r w:rsidRPr="00721551">
        <w:rPr>
          <w:rFonts w:eastAsiaTheme="minorHAnsi"/>
        </w:rPr>
        <w:t>3 into proper training years - as they currently stand there is no practical difference between those years and fellow years. In practicality GP training is only one year and this is a disincentive</w:t>
      </w:r>
      <w:r w:rsidR="00FA5088">
        <w:rPr>
          <w:rFonts w:eastAsiaTheme="minorHAnsi"/>
        </w:rPr>
        <w:t xml:space="preserve"> - </w:t>
      </w:r>
      <w:r w:rsidRPr="00721551">
        <w:rPr>
          <w:rFonts w:eastAsiaTheme="minorHAnsi"/>
        </w:rPr>
        <w:t>at least it was for me</w:t>
      </w:r>
      <w:r w:rsidR="00C37371">
        <w:rPr>
          <w:rFonts w:eastAsiaTheme="minorHAnsi"/>
        </w:rPr>
        <w:t>. (Survey data – Registrar)</w:t>
      </w:r>
    </w:p>
    <w:p w14:paraId="0B4D58AD" w14:textId="65C1D25A" w:rsidR="00EB79FB" w:rsidRDefault="00542E20" w:rsidP="00032121">
      <w:pPr>
        <w:rPr>
          <w:rFonts w:eastAsiaTheme="minorHAnsi"/>
        </w:rPr>
      </w:pPr>
      <w:r>
        <w:rPr>
          <w:rFonts w:eastAsiaTheme="minorHAnsi"/>
        </w:rPr>
        <w:t xml:space="preserve">While most registrars and other stakeholders considered </w:t>
      </w:r>
      <w:r>
        <w:rPr>
          <w:lang w:val="en-GB"/>
        </w:rPr>
        <w:t xml:space="preserve">GPEP funding enabled a robust training programme for GPEP 1 it did not provide adequate support for GPEP 2/3. </w:t>
      </w:r>
      <w:r>
        <w:rPr>
          <w:rFonts w:eastAsiaTheme="minorHAnsi"/>
        </w:rPr>
        <w:t>They described the support as almost non-existent and particularly dangerous for registrars who needed additional learning and training to pass exams</w:t>
      </w:r>
      <w:r w:rsidR="00970E22">
        <w:rPr>
          <w:rFonts w:eastAsiaTheme="minorHAnsi"/>
        </w:rPr>
        <w:t>.</w:t>
      </w:r>
      <w:r w:rsidR="00102873">
        <w:rPr>
          <w:rFonts w:eastAsiaTheme="minorHAnsi"/>
        </w:rPr>
        <w:t xml:space="preserve"> </w:t>
      </w:r>
      <w:r>
        <w:rPr>
          <w:rFonts w:eastAsiaTheme="minorHAnsi"/>
        </w:rPr>
        <w:t xml:space="preserve">Registrars in hospital settings entering their second year of speciality training were described by stakeholders as being more closely monitored than GPEP 2 registrars. </w:t>
      </w:r>
    </w:p>
    <w:p w14:paraId="25C02A21" w14:textId="083D907A" w:rsidR="00785762" w:rsidRPr="004B2277" w:rsidRDefault="00785762" w:rsidP="00785762">
      <w:pPr>
        <w:rPr>
          <w:lang w:val="en-GB"/>
        </w:rPr>
      </w:pPr>
      <w:r w:rsidRPr="004B2277">
        <w:t>GPEP 1 registrars were required to sit the clinical and written exam</w:t>
      </w:r>
      <w:r w:rsidR="0007373F" w:rsidRPr="004B2277">
        <w:t>s (summative assessments)</w:t>
      </w:r>
      <w:r w:rsidRPr="004B2277">
        <w:t xml:space="preserve"> at the end of </w:t>
      </w:r>
      <w:r w:rsidR="0025012B" w:rsidRPr="004B2277">
        <w:t>their first year</w:t>
      </w:r>
      <w:r w:rsidRPr="004B2277">
        <w:t xml:space="preserve">. </w:t>
      </w:r>
      <w:r w:rsidR="0007373F" w:rsidRPr="004B2277">
        <w:t>A pass in their clinical examination is necessary for registrars to enter GPEP</w:t>
      </w:r>
      <w:r w:rsidR="004B2277">
        <w:t xml:space="preserve"> </w:t>
      </w:r>
      <w:r w:rsidR="0007373F" w:rsidRPr="004B2277">
        <w:t xml:space="preserve">2 without requiring a teaching fellow to be onsite. </w:t>
      </w:r>
      <w:r w:rsidR="00524154" w:rsidRPr="004B2277">
        <w:t>Many of the interviewed teachers and</w:t>
      </w:r>
      <w:r w:rsidR="008757A8" w:rsidRPr="004B2277">
        <w:t xml:space="preserve"> medical educator</w:t>
      </w:r>
      <w:r w:rsidR="0025012B" w:rsidRPr="004B2277">
        <w:t>s</w:t>
      </w:r>
      <w:r w:rsidR="008757A8" w:rsidRPr="004B2277">
        <w:t xml:space="preserve"> </w:t>
      </w:r>
      <w:r w:rsidR="009061E6" w:rsidRPr="004B2277">
        <w:t>ack</w:t>
      </w:r>
      <w:r w:rsidRPr="004B2277">
        <w:t xml:space="preserve">nowledged that there are a cohort of registrars who do not pass the exams and continue to progress towards GPEP 2. </w:t>
      </w:r>
    </w:p>
    <w:p w14:paraId="340BA510" w14:textId="7D23B94A" w:rsidR="00032121" w:rsidRPr="004B2277" w:rsidRDefault="007B37FD" w:rsidP="007B37FD">
      <w:pPr>
        <w:pStyle w:val="Quotes"/>
        <w:rPr>
          <w:rFonts w:eastAsiaTheme="minorHAnsi"/>
          <w:lang w:eastAsia="en-GB"/>
        </w:rPr>
      </w:pPr>
      <w:r w:rsidRPr="004B2277">
        <w:rPr>
          <w:lang w:val="en-GB"/>
        </w:rPr>
        <w:t>We set some people up to fail because we send them into the exam knowing that they are not ready yet, but we don’t have an opportunity to support them into their second year. (</w:t>
      </w:r>
      <w:r w:rsidR="00767282" w:rsidRPr="004B2277">
        <w:rPr>
          <w:lang w:val="en-GB"/>
        </w:rPr>
        <w:t>RNZCGP</w:t>
      </w:r>
      <w:r w:rsidRPr="004B2277">
        <w:rPr>
          <w:lang w:val="en-GB"/>
        </w:rPr>
        <w:t>)</w:t>
      </w:r>
    </w:p>
    <w:p w14:paraId="59E40D7A" w14:textId="6DAB2C79" w:rsidR="001A4BA3" w:rsidRDefault="0007373F" w:rsidP="00D33C57">
      <w:pPr>
        <w:tabs>
          <w:tab w:val="left" w:pos="6530"/>
        </w:tabs>
        <w:rPr>
          <w:rFonts w:eastAsiaTheme="minorHAnsi"/>
          <w:lang w:eastAsia="en-GB"/>
        </w:rPr>
      </w:pPr>
      <w:r w:rsidRPr="004B2277">
        <w:rPr>
          <w:rFonts w:eastAsiaTheme="minorHAnsi"/>
          <w:lang w:eastAsia="en-GB"/>
        </w:rPr>
        <w:t xml:space="preserve">The College described providing identified ‘at risk’ registrars in GPEP 2/3 with additional support that includes remote learning groups in addition to normal teaching sessions. This additional support </w:t>
      </w:r>
      <w:r w:rsidR="00786FD9" w:rsidRPr="004B2277">
        <w:rPr>
          <w:rFonts w:eastAsiaTheme="minorHAnsi"/>
          <w:lang w:eastAsia="en-GB"/>
        </w:rPr>
        <w:t xml:space="preserve">was </w:t>
      </w:r>
      <w:r w:rsidRPr="004B2277">
        <w:rPr>
          <w:rFonts w:eastAsiaTheme="minorHAnsi"/>
          <w:lang w:eastAsia="en-GB"/>
        </w:rPr>
        <w:t xml:space="preserve">not funded </w:t>
      </w:r>
      <w:r w:rsidR="00786FD9" w:rsidRPr="004B2277">
        <w:rPr>
          <w:rFonts w:eastAsiaTheme="minorHAnsi"/>
          <w:lang w:eastAsia="en-GB"/>
        </w:rPr>
        <w:t xml:space="preserve">in </w:t>
      </w:r>
      <w:r w:rsidR="004B2277">
        <w:rPr>
          <w:rFonts w:eastAsiaTheme="minorHAnsi"/>
          <w:lang w:eastAsia="en-GB"/>
        </w:rPr>
        <w:t xml:space="preserve">the </w:t>
      </w:r>
      <w:r w:rsidR="00786FD9" w:rsidRPr="004B2277">
        <w:rPr>
          <w:rFonts w:eastAsiaTheme="minorHAnsi"/>
          <w:lang w:eastAsia="en-GB"/>
        </w:rPr>
        <w:t>2020</w:t>
      </w:r>
      <w:r w:rsidRPr="004B2277">
        <w:rPr>
          <w:rFonts w:eastAsiaTheme="minorHAnsi"/>
          <w:lang w:eastAsia="en-GB"/>
        </w:rPr>
        <w:t xml:space="preserve"> </w:t>
      </w:r>
      <w:r w:rsidR="00D334C0" w:rsidRPr="004B2277">
        <w:t>Manat</w:t>
      </w:r>
      <w:r w:rsidR="00D334C0" w:rsidRPr="004B2277">
        <w:rPr>
          <w:rFonts w:cs="Calibri"/>
        </w:rPr>
        <w:t>ū</w:t>
      </w:r>
      <w:r w:rsidR="00D334C0" w:rsidRPr="004B2277">
        <w:t xml:space="preserve"> Hauora</w:t>
      </w:r>
      <w:r w:rsidRPr="004B2277">
        <w:rPr>
          <w:rFonts w:eastAsiaTheme="minorHAnsi"/>
          <w:lang w:eastAsia="en-GB"/>
        </w:rPr>
        <w:t xml:space="preserve"> contract, and so this College initiative runs </w:t>
      </w:r>
      <w:r w:rsidR="00387E0F" w:rsidRPr="004B2277">
        <w:rPr>
          <w:rFonts w:eastAsiaTheme="minorHAnsi"/>
          <w:lang w:eastAsia="en-GB"/>
        </w:rPr>
        <w:t>on a ‘</w:t>
      </w:r>
      <w:r w:rsidR="00387E0F" w:rsidRPr="004B2277">
        <w:rPr>
          <w:rStyle w:val="QuotesChar"/>
          <w:rFonts w:eastAsiaTheme="minorHAnsi"/>
        </w:rPr>
        <w:t>shoe string budget</w:t>
      </w:r>
      <w:r w:rsidR="00387E0F" w:rsidRPr="004B2277">
        <w:rPr>
          <w:rFonts w:eastAsiaTheme="minorHAnsi"/>
          <w:lang w:eastAsia="en-GB"/>
        </w:rPr>
        <w:t>’</w:t>
      </w:r>
      <w:r w:rsidR="006C500B" w:rsidRPr="004B2277">
        <w:rPr>
          <w:rFonts w:eastAsiaTheme="minorHAnsi"/>
          <w:lang w:eastAsia="en-GB"/>
        </w:rPr>
        <w:t xml:space="preserve"> and was not </w:t>
      </w:r>
      <w:r w:rsidR="009061E6" w:rsidRPr="004B2277">
        <w:rPr>
          <w:rFonts w:eastAsiaTheme="minorHAnsi"/>
          <w:lang w:eastAsia="en-GB"/>
        </w:rPr>
        <w:t xml:space="preserve">considered as </w:t>
      </w:r>
      <w:r w:rsidR="006C500B" w:rsidRPr="004B2277">
        <w:rPr>
          <w:rFonts w:eastAsiaTheme="minorHAnsi"/>
          <w:lang w:eastAsia="en-GB"/>
        </w:rPr>
        <w:t>adequate</w:t>
      </w:r>
      <w:r w:rsidR="009061E6" w:rsidRPr="004B2277">
        <w:rPr>
          <w:rFonts w:eastAsiaTheme="minorHAnsi"/>
          <w:lang w:eastAsia="en-GB"/>
        </w:rPr>
        <w:t xml:space="preserve"> by the interviewed stakeholders</w:t>
      </w:r>
      <w:r w:rsidR="006C500B" w:rsidRPr="004B2277">
        <w:rPr>
          <w:rFonts w:eastAsiaTheme="minorHAnsi"/>
          <w:lang w:eastAsia="en-GB"/>
        </w:rPr>
        <w:t>.</w:t>
      </w:r>
      <w:r w:rsidR="006C500B">
        <w:rPr>
          <w:rFonts w:eastAsiaTheme="minorHAnsi"/>
          <w:lang w:eastAsia="en-GB"/>
        </w:rPr>
        <w:t xml:space="preserve"> </w:t>
      </w:r>
      <w:r w:rsidR="004B2277">
        <w:t>The 2022 contract has provided additional funding to support these registrars.</w:t>
      </w:r>
    </w:p>
    <w:p w14:paraId="1CDA4914" w14:textId="6D595D8C" w:rsidR="00D16367" w:rsidRDefault="006D2649" w:rsidP="00D16367">
      <w:pPr>
        <w:pStyle w:val="Quotes"/>
        <w:rPr>
          <w:rFonts w:eastAsiaTheme="minorHAnsi"/>
          <w:lang w:eastAsia="en-GB"/>
        </w:rPr>
      </w:pPr>
      <w:r>
        <w:t>…</w:t>
      </w:r>
      <w:r w:rsidR="00A612F4">
        <w:t xml:space="preserve">GPEP 2 there is less </w:t>
      </w:r>
      <w:r>
        <w:t>[teaching].</w:t>
      </w:r>
      <w:r w:rsidR="00A612F4">
        <w:t xml:space="preserve"> Th</w:t>
      </w:r>
      <w:r>
        <w:t>e [teachers]</w:t>
      </w:r>
      <w:r w:rsidR="00A612F4">
        <w:t xml:space="preserve"> don’t get paid teaching time the contract pulls right back and the amount of money that goes to year 2-3 and beyond is next to nothing</w:t>
      </w:r>
      <w:r w:rsidR="00D16367" w:rsidRPr="00333155">
        <w:rPr>
          <w:lang w:val="en-GB"/>
        </w:rPr>
        <w:t>.</w:t>
      </w:r>
      <w:r w:rsidR="00333155">
        <w:rPr>
          <w:lang w:val="en-GB"/>
        </w:rPr>
        <w:t xml:space="preserve"> </w:t>
      </w:r>
      <w:r w:rsidR="00D16367" w:rsidRPr="00333155">
        <w:rPr>
          <w:lang w:val="en-GB"/>
        </w:rPr>
        <w:t>(</w:t>
      </w:r>
      <w:r w:rsidR="009D4671" w:rsidRPr="00333155">
        <w:rPr>
          <w:lang w:val="en-GB"/>
        </w:rPr>
        <w:t>RNZCGP</w:t>
      </w:r>
      <w:r w:rsidR="00D16367" w:rsidRPr="00333155">
        <w:rPr>
          <w:lang w:val="en-GB"/>
        </w:rPr>
        <w:t>)</w:t>
      </w:r>
    </w:p>
    <w:p w14:paraId="6DFCCA02" w14:textId="5B7FF630" w:rsidR="009061E6" w:rsidRPr="00785762" w:rsidRDefault="009061E6" w:rsidP="009061E6">
      <w:pPr>
        <w:rPr>
          <w:rFonts w:eastAsiaTheme="minorHAnsi"/>
        </w:rPr>
      </w:pPr>
      <w:r>
        <w:rPr>
          <w:rFonts w:eastAsiaTheme="minorHAnsi"/>
        </w:rPr>
        <w:lastRenderedPageBreak/>
        <w:t xml:space="preserve">GPEP 2 registrars did not feel the support they received adequately reflected the fee payments that were required. </w:t>
      </w:r>
      <w:r>
        <w:rPr>
          <w:lang w:val="en-GB"/>
        </w:rPr>
        <w:t xml:space="preserve">This often led to GPEP 2/3 </w:t>
      </w:r>
      <w:r w:rsidR="00720402">
        <w:rPr>
          <w:lang w:val="en-GB"/>
        </w:rPr>
        <w:t xml:space="preserve">registrars </w:t>
      </w:r>
      <w:r>
        <w:rPr>
          <w:lang w:val="en-GB"/>
        </w:rPr>
        <w:t>feeling resent</w:t>
      </w:r>
      <w:r w:rsidR="00E835FD">
        <w:rPr>
          <w:lang w:val="en-GB"/>
        </w:rPr>
        <w:t>ful</w:t>
      </w:r>
      <w:r>
        <w:rPr>
          <w:lang w:val="en-GB"/>
        </w:rPr>
        <w:t xml:space="preserve">, devalued, and let down by the college due to funding constraints. </w:t>
      </w:r>
    </w:p>
    <w:p w14:paraId="132A4543" w14:textId="241C35C6" w:rsidR="00C7748D" w:rsidRDefault="00AD5ABE" w:rsidP="00C7748D">
      <w:pPr>
        <w:tabs>
          <w:tab w:val="left" w:pos="6530"/>
        </w:tabs>
        <w:rPr>
          <w:rFonts w:eastAsiaTheme="minorHAnsi"/>
          <w:lang w:eastAsia="en-GB"/>
        </w:rPr>
      </w:pPr>
      <w:r>
        <w:rPr>
          <w:rFonts w:eastAsiaTheme="minorHAnsi"/>
          <w:lang w:eastAsia="en-GB"/>
        </w:rPr>
        <w:t xml:space="preserve">Participants were particularly passionate about repositioning the exam dates. Some felt the written exam could remain in GPEP 1 and the clinical exam </w:t>
      </w:r>
      <w:r w:rsidR="001A5A90">
        <w:rPr>
          <w:rFonts w:eastAsiaTheme="minorHAnsi"/>
          <w:lang w:eastAsia="en-GB"/>
        </w:rPr>
        <w:t xml:space="preserve">be moved to </w:t>
      </w:r>
      <w:r>
        <w:rPr>
          <w:rFonts w:eastAsiaTheme="minorHAnsi"/>
          <w:lang w:eastAsia="en-GB"/>
        </w:rPr>
        <w:t xml:space="preserve">an optional date between GPEP 1 and halfway through GPEP 2. This would allow extra clinical practice for registrars. </w:t>
      </w:r>
    </w:p>
    <w:p w14:paraId="38D7FDF9" w14:textId="6B861D98" w:rsidR="002D6302" w:rsidRDefault="002D6302" w:rsidP="00A16840">
      <w:pPr>
        <w:pStyle w:val="Heading2"/>
      </w:pPr>
      <w:bookmarkStart w:id="64" w:name="_Toc105853913"/>
      <w:r w:rsidRPr="00CB5526">
        <w:t>Clinical preparedness to practice</w:t>
      </w:r>
      <w:bookmarkEnd w:id="64"/>
    </w:p>
    <w:p w14:paraId="63A966DD" w14:textId="53A8E183" w:rsidR="0041200B" w:rsidRDefault="0063400A" w:rsidP="00970420">
      <w:pPr>
        <w:rPr>
          <w:lang w:val="en-GB"/>
        </w:rPr>
      </w:pPr>
      <w:r>
        <w:rPr>
          <w:lang w:val="en-GB"/>
        </w:rPr>
        <w:t xml:space="preserve">Surveyed registrars </w:t>
      </w:r>
      <w:r w:rsidR="00327E5D">
        <w:rPr>
          <w:lang w:val="en-GB"/>
        </w:rPr>
        <w:t xml:space="preserve">were asked </w:t>
      </w:r>
      <w:r w:rsidR="00B14EF7">
        <w:rPr>
          <w:lang w:val="en-GB"/>
        </w:rPr>
        <w:t xml:space="preserve">to rate </w:t>
      </w:r>
      <w:r w:rsidR="00970420">
        <w:rPr>
          <w:lang w:val="en-GB"/>
        </w:rPr>
        <w:t>on a four</w:t>
      </w:r>
      <w:r w:rsidR="00D20B58">
        <w:rPr>
          <w:lang w:val="en-GB"/>
        </w:rPr>
        <w:t>-</w:t>
      </w:r>
      <w:r w:rsidR="00970420">
        <w:rPr>
          <w:lang w:val="en-GB"/>
        </w:rPr>
        <w:t xml:space="preserve">point scale </w:t>
      </w:r>
      <w:r w:rsidR="00B14EF7">
        <w:rPr>
          <w:lang w:val="en-GB"/>
        </w:rPr>
        <w:t>the</w:t>
      </w:r>
      <w:r w:rsidR="00327E5D">
        <w:rPr>
          <w:lang w:val="en-GB"/>
        </w:rPr>
        <w:t xml:space="preserve"> confidence</w:t>
      </w:r>
      <w:r w:rsidR="0041200B">
        <w:rPr>
          <w:lang w:val="en-GB"/>
        </w:rPr>
        <w:t xml:space="preserve"> they </w:t>
      </w:r>
      <w:r w:rsidR="00E37DAD">
        <w:rPr>
          <w:lang w:val="en-GB"/>
        </w:rPr>
        <w:t>had</w:t>
      </w:r>
      <w:r w:rsidR="0041200B">
        <w:rPr>
          <w:lang w:val="en-GB"/>
        </w:rPr>
        <w:t xml:space="preserve"> gained</w:t>
      </w:r>
      <w:r w:rsidR="00B14EF7">
        <w:rPr>
          <w:lang w:val="en-GB"/>
        </w:rPr>
        <w:t xml:space="preserve"> for their current stage of training in </w:t>
      </w:r>
      <w:r w:rsidR="00483965">
        <w:rPr>
          <w:lang w:val="en-GB"/>
        </w:rPr>
        <w:t>clinical experience and cultural training</w:t>
      </w:r>
      <w:r w:rsidR="00970420">
        <w:rPr>
          <w:lang w:val="en-GB"/>
        </w:rPr>
        <w:t xml:space="preserve"> (</w:t>
      </w:r>
      <w:r w:rsidR="00970420">
        <w:rPr>
          <w:lang w:val="en-GB"/>
        </w:rPr>
        <w:fldChar w:fldCharType="begin"/>
      </w:r>
      <w:r w:rsidR="00970420">
        <w:rPr>
          <w:lang w:val="en-GB"/>
        </w:rPr>
        <w:instrText xml:space="preserve"> REF _Ref104133027 \h </w:instrText>
      </w:r>
      <w:r w:rsidR="00970420">
        <w:rPr>
          <w:lang w:val="en-GB"/>
        </w:rPr>
      </w:r>
      <w:r w:rsidR="00970420">
        <w:rPr>
          <w:lang w:val="en-GB"/>
        </w:rPr>
        <w:fldChar w:fldCharType="separate"/>
      </w:r>
      <w:r w:rsidR="005E0451">
        <w:t xml:space="preserve">Figure </w:t>
      </w:r>
      <w:r w:rsidR="005E0451">
        <w:rPr>
          <w:noProof/>
        </w:rPr>
        <w:t>9</w:t>
      </w:r>
      <w:r w:rsidR="00970420">
        <w:rPr>
          <w:lang w:val="en-GB"/>
        </w:rPr>
        <w:fldChar w:fldCharType="end"/>
      </w:r>
      <w:r w:rsidR="00970420">
        <w:rPr>
          <w:lang w:val="en-GB"/>
        </w:rPr>
        <w:t>)</w:t>
      </w:r>
      <w:r w:rsidR="00483965">
        <w:rPr>
          <w:lang w:val="en-GB"/>
        </w:rPr>
        <w:t xml:space="preserve">. </w:t>
      </w:r>
      <w:r w:rsidR="00D20B58">
        <w:rPr>
          <w:lang w:val="en-GB"/>
        </w:rPr>
        <w:t xml:space="preserve">Confidence in clinical experience was </w:t>
      </w:r>
      <w:r w:rsidR="00034E55">
        <w:rPr>
          <w:lang w:val="en-GB"/>
        </w:rPr>
        <w:t xml:space="preserve">generally </w:t>
      </w:r>
      <w:r w:rsidR="00D20B58">
        <w:rPr>
          <w:lang w:val="en-GB"/>
        </w:rPr>
        <w:t>higher than in cultural competence</w:t>
      </w:r>
      <w:r w:rsidR="00034E55">
        <w:rPr>
          <w:lang w:val="en-GB"/>
        </w:rPr>
        <w:t>.</w:t>
      </w:r>
    </w:p>
    <w:p w14:paraId="12C9190D" w14:textId="1FC7F3C6" w:rsidR="00CA434F" w:rsidRDefault="00CA434F" w:rsidP="00970420">
      <w:pPr>
        <w:rPr>
          <w:lang w:val="en-GB"/>
        </w:rPr>
      </w:pPr>
      <w:r w:rsidRPr="00CA434F">
        <w:rPr>
          <w:noProof/>
        </w:rPr>
        <w:drawing>
          <wp:inline distT="0" distB="0" distL="0" distR="0" wp14:anchorId="21A722D5" wp14:editId="7EFF3602">
            <wp:extent cx="4635500" cy="274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35500" cy="2749550"/>
                    </a:xfrm>
                    <a:prstGeom prst="rect">
                      <a:avLst/>
                    </a:prstGeom>
                    <a:noFill/>
                    <a:ln>
                      <a:noFill/>
                    </a:ln>
                  </pic:spPr>
                </pic:pic>
              </a:graphicData>
            </a:graphic>
          </wp:inline>
        </w:drawing>
      </w:r>
    </w:p>
    <w:p w14:paraId="66D698E8" w14:textId="67BBD650" w:rsidR="00C7748D" w:rsidRPr="00DD7640" w:rsidRDefault="00C7748D" w:rsidP="0084002B">
      <w:pPr>
        <w:pStyle w:val="Caption"/>
      </w:pPr>
      <w:bookmarkStart w:id="65" w:name="_Ref104133027"/>
      <w:r>
        <w:t xml:space="preserve">Figure </w:t>
      </w:r>
      <w:r>
        <w:fldChar w:fldCharType="begin"/>
      </w:r>
      <w:r>
        <w:instrText>SEQ Figure \* ARABIC</w:instrText>
      </w:r>
      <w:r>
        <w:fldChar w:fldCharType="separate"/>
      </w:r>
      <w:r w:rsidR="005E0451">
        <w:rPr>
          <w:noProof/>
        </w:rPr>
        <w:t>9</w:t>
      </w:r>
      <w:r>
        <w:fldChar w:fldCharType="end"/>
      </w:r>
      <w:bookmarkEnd w:id="65"/>
      <w:r>
        <w:t xml:space="preserve">. </w:t>
      </w:r>
      <w:r w:rsidR="00492890">
        <w:t>Current and past r</w:t>
      </w:r>
      <w:r>
        <w:t>egistrar survey confidence at current stage of training</w:t>
      </w:r>
      <w:r w:rsidR="00312A79">
        <w:t>, those who rated 4 on a scale from 1 (strongly disagree) to 4 (strongly agree)</w:t>
      </w:r>
      <w:r>
        <w:t xml:space="preserve"> (n=372).</w:t>
      </w:r>
    </w:p>
    <w:p w14:paraId="5F70FE14" w14:textId="123F027C" w:rsidR="00DB2DED" w:rsidRDefault="00204613" w:rsidP="00AF2BE9">
      <w:pPr>
        <w:pStyle w:val="Malanorm"/>
        <w:spacing w:before="240"/>
        <w:rPr>
          <w:lang w:val="en-GB"/>
        </w:rPr>
      </w:pPr>
      <w:r>
        <w:rPr>
          <w:lang w:val="en-GB"/>
        </w:rPr>
        <w:t xml:space="preserve">Some teachers and practices </w:t>
      </w:r>
      <w:r w:rsidR="00AF2BE9">
        <w:rPr>
          <w:lang w:val="en-GB"/>
        </w:rPr>
        <w:t>described providing additional</w:t>
      </w:r>
      <w:r w:rsidR="00AF0EF2">
        <w:rPr>
          <w:lang w:val="en-GB"/>
        </w:rPr>
        <w:t xml:space="preserve"> support for some GPEP 2 registrars who were not competent. </w:t>
      </w:r>
      <w:r w:rsidR="00AF2BE9">
        <w:rPr>
          <w:lang w:val="en-GB"/>
        </w:rPr>
        <w:t xml:space="preserve">Additional support included </w:t>
      </w:r>
      <w:r w:rsidR="00AF0EF2">
        <w:rPr>
          <w:lang w:val="en-GB"/>
        </w:rPr>
        <w:t xml:space="preserve">a weekly catch-up with GPEP 2 registrars to ensure they were </w:t>
      </w:r>
      <w:r w:rsidR="00AE5184">
        <w:rPr>
          <w:lang w:val="en-GB"/>
        </w:rPr>
        <w:t xml:space="preserve">confident and competent to practice alone. This additional time was paid through </w:t>
      </w:r>
      <w:r w:rsidR="001755CF">
        <w:rPr>
          <w:lang w:val="en-GB"/>
        </w:rPr>
        <w:t xml:space="preserve">the practice budget. </w:t>
      </w:r>
    </w:p>
    <w:p w14:paraId="57D347A9" w14:textId="164F1C3A" w:rsidR="00DB2DED" w:rsidRDefault="00DB2DED" w:rsidP="007373C1">
      <w:pPr>
        <w:pStyle w:val="Quotes"/>
        <w:rPr>
          <w:lang w:val="en-GB"/>
        </w:rPr>
      </w:pPr>
      <w:r>
        <w:rPr>
          <w:lang w:val="en-GB"/>
        </w:rPr>
        <w:t>I am still meeting weekly with the GPEP</w:t>
      </w:r>
      <w:r w:rsidR="00AF2BE9">
        <w:rPr>
          <w:lang w:val="en-GB"/>
        </w:rPr>
        <w:t xml:space="preserve"> </w:t>
      </w:r>
      <w:r>
        <w:rPr>
          <w:lang w:val="en-GB"/>
        </w:rPr>
        <w:t>2 and we are paying for that as a practice to try and make sure he gets off to a good start</w:t>
      </w:r>
      <w:r w:rsidR="007373C1">
        <w:rPr>
          <w:lang w:val="en-GB"/>
        </w:rPr>
        <w:t xml:space="preserve"> (</w:t>
      </w:r>
      <w:r w:rsidR="001755CF">
        <w:rPr>
          <w:lang w:val="en-GB"/>
        </w:rPr>
        <w:t>T</w:t>
      </w:r>
      <w:r w:rsidR="007373C1">
        <w:rPr>
          <w:lang w:val="en-GB"/>
        </w:rPr>
        <w:t>eacher)</w:t>
      </w:r>
    </w:p>
    <w:p w14:paraId="240C1C0B" w14:textId="19AE43F5" w:rsidR="00E02D8A" w:rsidRDefault="00E02D8A" w:rsidP="00E02D8A">
      <w:pPr>
        <w:rPr>
          <w:lang w:val="en-GB"/>
        </w:rPr>
      </w:pPr>
      <w:r>
        <w:rPr>
          <w:lang w:val="en-GB"/>
        </w:rPr>
        <w:t xml:space="preserve">Registrars </w:t>
      </w:r>
      <w:r w:rsidR="001C241E">
        <w:rPr>
          <w:lang w:val="en-GB"/>
        </w:rPr>
        <w:t xml:space="preserve">employed by DHBs in other professional programmes may have more options about changing to other programmes or returning to general DHB </w:t>
      </w:r>
      <w:r w:rsidR="001C241E">
        <w:rPr>
          <w:lang w:val="en-GB"/>
        </w:rPr>
        <w:lastRenderedPageBreak/>
        <w:t>employment. One stakeholder explained it could be difficult for GPEP registrars to return to DHB employment.</w:t>
      </w:r>
    </w:p>
    <w:p w14:paraId="0AC8321E" w14:textId="77777777" w:rsidR="008419A5" w:rsidRPr="00CB5526" w:rsidRDefault="008419A5" w:rsidP="00A16840">
      <w:pPr>
        <w:pStyle w:val="Heading2"/>
      </w:pPr>
      <w:bookmarkStart w:id="66" w:name="_Toc105853914"/>
      <w:r w:rsidRPr="00CB5526">
        <w:t>Health and safety</w:t>
      </w:r>
      <w:bookmarkEnd w:id="66"/>
    </w:p>
    <w:p w14:paraId="3D376B6F" w14:textId="5312CD5C" w:rsidR="008419A5" w:rsidRDefault="00E86243" w:rsidP="008419A5">
      <w:pPr>
        <w:rPr>
          <w:rFonts w:eastAsiaTheme="minorHAnsi"/>
          <w:lang w:eastAsia="en-GB"/>
        </w:rPr>
      </w:pPr>
      <w:r>
        <w:rPr>
          <w:rFonts w:eastAsiaTheme="minorHAnsi"/>
          <w:lang w:eastAsia="en-GB"/>
        </w:rPr>
        <w:t xml:space="preserve">Registrars were asked in the survey to rate their wellbeing across the four domains of Te Whare Tapa </w:t>
      </w:r>
      <w:proofErr w:type="spellStart"/>
      <w:r>
        <w:rPr>
          <w:rFonts w:eastAsiaTheme="minorHAnsi"/>
          <w:lang w:eastAsia="en-GB"/>
        </w:rPr>
        <w:t>Wh</w:t>
      </w:r>
      <w:r>
        <w:rPr>
          <w:rFonts w:eastAsiaTheme="minorHAnsi" w:cs="Calibri"/>
          <w:lang w:eastAsia="en-GB"/>
        </w:rPr>
        <w:t>ā</w:t>
      </w:r>
      <w:proofErr w:type="spellEnd"/>
      <w:r>
        <w:rPr>
          <w:rFonts w:eastAsiaTheme="minorHAnsi"/>
          <w:lang w:eastAsia="en-GB"/>
        </w:rPr>
        <w:t xml:space="preserve">. GPEP 1 registrars </w:t>
      </w:r>
      <w:r w:rsidR="008419A5">
        <w:rPr>
          <w:rFonts w:eastAsiaTheme="minorHAnsi"/>
          <w:lang w:eastAsia="en-GB"/>
        </w:rPr>
        <w:t xml:space="preserve">rated their taha </w:t>
      </w:r>
      <w:proofErr w:type="spellStart"/>
      <w:r w:rsidR="008419A5">
        <w:rPr>
          <w:rFonts w:eastAsiaTheme="minorHAnsi"/>
          <w:lang w:eastAsia="en-GB"/>
        </w:rPr>
        <w:t>w</w:t>
      </w:r>
      <w:r w:rsidR="00D0759E">
        <w:rPr>
          <w:rFonts w:eastAsiaTheme="minorHAnsi"/>
          <w:lang w:eastAsia="en-GB"/>
        </w:rPr>
        <w:t>ai</w:t>
      </w:r>
      <w:r w:rsidR="008419A5">
        <w:rPr>
          <w:rFonts w:eastAsiaTheme="minorHAnsi"/>
          <w:lang w:eastAsia="en-GB"/>
        </w:rPr>
        <w:t>rua</w:t>
      </w:r>
      <w:proofErr w:type="spellEnd"/>
      <w:r w:rsidR="008419A5">
        <w:rPr>
          <w:rFonts w:eastAsiaTheme="minorHAnsi"/>
          <w:lang w:eastAsia="en-GB"/>
        </w:rPr>
        <w:t xml:space="preserve"> and taha whānau more highly than their taha </w:t>
      </w:r>
      <w:proofErr w:type="spellStart"/>
      <w:r w:rsidR="008419A5">
        <w:rPr>
          <w:rFonts w:eastAsiaTheme="minorHAnsi"/>
          <w:lang w:eastAsia="en-GB"/>
        </w:rPr>
        <w:t>tinana</w:t>
      </w:r>
      <w:proofErr w:type="spellEnd"/>
      <w:r w:rsidR="008419A5">
        <w:rPr>
          <w:rFonts w:eastAsiaTheme="minorHAnsi"/>
          <w:lang w:eastAsia="en-GB"/>
        </w:rPr>
        <w:t xml:space="preserve"> or taha </w:t>
      </w:r>
      <w:proofErr w:type="spellStart"/>
      <w:r w:rsidR="008419A5">
        <w:rPr>
          <w:rFonts w:eastAsiaTheme="minorHAnsi"/>
          <w:lang w:eastAsia="en-GB"/>
        </w:rPr>
        <w:t>hinengaro</w:t>
      </w:r>
      <w:proofErr w:type="spellEnd"/>
      <w:r w:rsidR="008419A5">
        <w:rPr>
          <w:rFonts w:eastAsiaTheme="minorHAnsi"/>
          <w:lang w:eastAsia="en-GB"/>
        </w:rPr>
        <w:t xml:space="preserve"> (</w:t>
      </w:r>
      <w:r w:rsidR="008419A5">
        <w:rPr>
          <w:rFonts w:eastAsiaTheme="minorHAnsi"/>
          <w:lang w:eastAsia="en-GB"/>
        </w:rPr>
        <w:fldChar w:fldCharType="begin"/>
      </w:r>
      <w:r w:rsidR="008419A5">
        <w:rPr>
          <w:rFonts w:eastAsiaTheme="minorHAnsi"/>
          <w:lang w:eastAsia="en-GB"/>
        </w:rPr>
        <w:instrText xml:space="preserve"> REF _Ref104131173 \h </w:instrText>
      </w:r>
      <w:r w:rsidR="008419A5">
        <w:rPr>
          <w:rFonts w:eastAsiaTheme="minorHAnsi"/>
          <w:lang w:eastAsia="en-GB"/>
        </w:rPr>
      </w:r>
      <w:r w:rsidR="008419A5">
        <w:rPr>
          <w:rFonts w:eastAsiaTheme="minorHAnsi"/>
          <w:lang w:eastAsia="en-GB"/>
        </w:rPr>
        <w:fldChar w:fldCharType="separate"/>
      </w:r>
      <w:r w:rsidR="005E0451">
        <w:t xml:space="preserve">Figure </w:t>
      </w:r>
      <w:r w:rsidR="005E0451">
        <w:rPr>
          <w:noProof/>
        </w:rPr>
        <w:t>10</w:t>
      </w:r>
      <w:r w:rsidR="008419A5">
        <w:rPr>
          <w:rFonts w:eastAsiaTheme="minorHAnsi"/>
          <w:lang w:eastAsia="en-GB"/>
        </w:rPr>
        <w:fldChar w:fldCharType="end"/>
      </w:r>
      <w:r w:rsidR="008419A5">
        <w:rPr>
          <w:rFonts w:eastAsiaTheme="minorHAnsi"/>
          <w:lang w:eastAsia="en-GB"/>
        </w:rPr>
        <w:t xml:space="preserve">). Two current GPEP 1 </w:t>
      </w:r>
      <w:proofErr w:type="gramStart"/>
      <w:r w:rsidR="008419A5">
        <w:rPr>
          <w:rFonts w:eastAsiaTheme="minorHAnsi"/>
          <w:lang w:eastAsia="en-GB"/>
        </w:rPr>
        <w:t>registrars</w:t>
      </w:r>
      <w:proofErr w:type="gramEnd"/>
      <w:r w:rsidR="008419A5">
        <w:rPr>
          <w:rFonts w:eastAsiaTheme="minorHAnsi"/>
          <w:lang w:eastAsia="en-GB"/>
        </w:rPr>
        <w:t xml:space="preserve"> gave the lowest rating to their taha </w:t>
      </w:r>
      <w:proofErr w:type="spellStart"/>
      <w:r w:rsidR="008419A5">
        <w:rPr>
          <w:rFonts w:eastAsiaTheme="minorHAnsi"/>
          <w:lang w:eastAsia="en-GB"/>
        </w:rPr>
        <w:t>hinengaro</w:t>
      </w:r>
      <w:proofErr w:type="spellEnd"/>
      <w:r w:rsidR="008419A5">
        <w:rPr>
          <w:rFonts w:eastAsiaTheme="minorHAnsi"/>
          <w:lang w:eastAsia="en-GB"/>
        </w:rPr>
        <w:t xml:space="preserve">. </w:t>
      </w:r>
    </w:p>
    <w:p w14:paraId="32FD8214" w14:textId="4CD4DF1C" w:rsidR="008419A5" w:rsidRDefault="00EE029E" w:rsidP="008419A5">
      <w:pPr>
        <w:keepNext/>
        <w:jc w:val="center"/>
      </w:pPr>
      <w:r>
        <w:rPr>
          <w:noProof/>
        </w:rPr>
        <w:drawing>
          <wp:inline distT="0" distB="0" distL="0" distR="0" wp14:anchorId="236B944E" wp14:editId="71252EA1">
            <wp:extent cx="4572396" cy="2139881"/>
            <wp:effectExtent l="0" t="0" r="0" b="0"/>
            <wp:docPr id="32" name="Picture 22" descr="Chart, bar chart&#10;&#10;Description automatically generated">
              <a:extLst xmlns:a="http://schemas.openxmlformats.org/drawingml/2006/main">
                <a:ext uri="{FF2B5EF4-FFF2-40B4-BE49-F238E27FC236}">
                  <a16:creationId xmlns:a16="http://schemas.microsoft.com/office/drawing/2014/main" id="{4D85DAFE-8C3D-8972-3227-0C7F931FE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descr="Chart, bar chart&#10;&#10;Description automatically generated">
                      <a:extLst>
                        <a:ext uri="{FF2B5EF4-FFF2-40B4-BE49-F238E27FC236}">
                          <a16:creationId xmlns:a16="http://schemas.microsoft.com/office/drawing/2014/main" id="{4D85DAFE-8C3D-8972-3227-0C7F931FE87B}"/>
                        </a:ext>
                      </a:extLst>
                    </pic:cNvPr>
                    <pic:cNvPicPr>
                      <a:picLocks noChangeAspect="1"/>
                    </pic:cNvPicPr>
                  </pic:nvPicPr>
                  <pic:blipFill>
                    <a:blip r:embed="rId28"/>
                    <a:stretch>
                      <a:fillRect/>
                    </a:stretch>
                  </pic:blipFill>
                  <pic:spPr>
                    <a:xfrm>
                      <a:off x="0" y="0"/>
                      <a:ext cx="4572396" cy="2139881"/>
                    </a:xfrm>
                    <a:prstGeom prst="rect">
                      <a:avLst/>
                    </a:prstGeom>
                  </pic:spPr>
                </pic:pic>
              </a:graphicData>
            </a:graphic>
          </wp:inline>
        </w:drawing>
      </w:r>
    </w:p>
    <w:p w14:paraId="427403AB" w14:textId="274B270B" w:rsidR="008419A5" w:rsidRDefault="008419A5" w:rsidP="0084002B">
      <w:pPr>
        <w:pStyle w:val="Caption"/>
      </w:pPr>
      <w:bookmarkStart w:id="67" w:name="_Ref104131173"/>
      <w:r>
        <w:t xml:space="preserve">Figure </w:t>
      </w:r>
      <w:r>
        <w:fldChar w:fldCharType="begin"/>
      </w:r>
      <w:r>
        <w:instrText>SEQ Figure \* ARABIC</w:instrText>
      </w:r>
      <w:r>
        <w:fldChar w:fldCharType="separate"/>
      </w:r>
      <w:r w:rsidR="005E0451">
        <w:rPr>
          <w:noProof/>
        </w:rPr>
        <w:t>10</w:t>
      </w:r>
      <w:r>
        <w:fldChar w:fldCharType="end"/>
      </w:r>
      <w:bookmarkEnd w:id="67"/>
      <w:r>
        <w:t xml:space="preserve">. </w:t>
      </w:r>
      <w:r w:rsidR="00492890">
        <w:t>Current and past r</w:t>
      </w:r>
      <w:r>
        <w:t xml:space="preserve">egistrar survey current GPEP 1 registrar wellbeing rating on Te Whare Tapa </w:t>
      </w:r>
      <w:proofErr w:type="spellStart"/>
      <w:r>
        <w:t>Whā</w:t>
      </w:r>
      <w:proofErr w:type="spellEnd"/>
      <w:r>
        <w:t xml:space="preserve"> </w:t>
      </w:r>
      <w:r w:rsidR="00EE029E">
        <w:t>on a scale from 1 (not at all good) to 4 (excellent)</w:t>
      </w:r>
      <w:r>
        <w:t xml:space="preserve"> (n=19).</w:t>
      </w:r>
    </w:p>
    <w:p w14:paraId="5AE45287" w14:textId="77777777" w:rsidR="006542C1" w:rsidRPr="00CB5526" w:rsidRDefault="006542C1" w:rsidP="006542C1">
      <w:pPr>
        <w:spacing w:before="240"/>
        <w:rPr>
          <w:rFonts w:eastAsiaTheme="minorHAnsi"/>
          <w:lang w:eastAsia="en-GB"/>
        </w:rPr>
      </w:pPr>
      <w:r>
        <w:rPr>
          <w:rFonts w:eastAsiaTheme="minorHAnsi"/>
          <w:lang w:eastAsia="en-GB"/>
        </w:rPr>
        <w:t>GPEP 2 survey respondents rated all four domains of wellbeing more highly than GPEP 1 respondents.</w:t>
      </w:r>
    </w:p>
    <w:p w14:paraId="42089231" w14:textId="77777777" w:rsidR="006542C1" w:rsidRDefault="006542C1" w:rsidP="00E37DAD">
      <w:pPr>
        <w:keepNext/>
        <w:ind w:firstLine="142"/>
      </w:pPr>
      <w:r>
        <w:rPr>
          <w:noProof/>
        </w:rPr>
        <w:drawing>
          <wp:inline distT="0" distB="0" distL="0" distR="0" wp14:anchorId="09C78574" wp14:editId="4657712E">
            <wp:extent cx="4572396" cy="2444708"/>
            <wp:effectExtent l="0" t="0" r="0" b="0"/>
            <wp:docPr id="54" name="Picture 53" descr="Chart, bar chart&#10;&#10;Description automatically generated">
              <a:extLst xmlns:a="http://schemas.openxmlformats.org/drawingml/2006/main">
                <a:ext uri="{FF2B5EF4-FFF2-40B4-BE49-F238E27FC236}">
                  <a16:creationId xmlns:a16="http://schemas.microsoft.com/office/drawing/2014/main" id="{9E70F139-687F-51BD-A6F7-16FEDA842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Chart, bar chart&#10;&#10;Description automatically generated">
                      <a:extLst>
                        <a:ext uri="{FF2B5EF4-FFF2-40B4-BE49-F238E27FC236}">
                          <a16:creationId xmlns:a16="http://schemas.microsoft.com/office/drawing/2014/main" id="{9E70F139-687F-51BD-A6F7-16FEDA842E7E}"/>
                        </a:ext>
                      </a:extLst>
                    </pic:cNvPr>
                    <pic:cNvPicPr>
                      <a:picLocks noChangeAspect="1"/>
                    </pic:cNvPicPr>
                  </pic:nvPicPr>
                  <pic:blipFill>
                    <a:blip r:embed="rId29"/>
                    <a:stretch>
                      <a:fillRect/>
                    </a:stretch>
                  </pic:blipFill>
                  <pic:spPr>
                    <a:xfrm>
                      <a:off x="0" y="0"/>
                      <a:ext cx="4572396" cy="2444708"/>
                    </a:xfrm>
                    <a:prstGeom prst="rect">
                      <a:avLst/>
                    </a:prstGeom>
                  </pic:spPr>
                </pic:pic>
              </a:graphicData>
            </a:graphic>
          </wp:inline>
        </w:drawing>
      </w:r>
    </w:p>
    <w:p w14:paraId="5DDD31AC" w14:textId="36BFF621" w:rsidR="006542C1" w:rsidRPr="00CB5526" w:rsidRDefault="006542C1" w:rsidP="0084002B">
      <w:pPr>
        <w:pStyle w:val="Caption"/>
        <w:rPr>
          <w:rFonts w:eastAsiaTheme="minorHAnsi"/>
          <w:lang w:eastAsia="en-GB"/>
        </w:rPr>
      </w:pPr>
      <w:r>
        <w:t xml:space="preserve">Figure </w:t>
      </w:r>
      <w:r>
        <w:fldChar w:fldCharType="begin"/>
      </w:r>
      <w:r>
        <w:instrText>SEQ Figure \* ARABIC</w:instrText>
      </w:r>
      <w:r>
        <w:fldChar w:fldCharType="separate"/>
      </w:r>
      <w:r w:rsidR="005E0451">
        <w:rPr>
          <w:noProof/>
        </w:rPr>
        <w:t>11</w:t>
      </w:r>
      <w:r>
        <w:fldChar w:fldCharType="end"/>
      </w:r>
      <w:r>
        <w:t xml:space="preserve">. </w:t>
      </w:r>
      <w:r w:rsidR="00492890">
        <w:t>Current and past r</w:t>
      </w:r>
      <w:r w:rsidRPr="004706B3">
        <w:t>egistrar survey current GPEP</w:t>
      </w:r>
      <w:r>
        <w:t xml:space="preserve"> 2</w:t>
      </w:r>
      <w:r w:rsidRPr="004706B3">
        <w:t xml:space="preserve"> registrar wellbeing rating on Te Whare Tapa </w:t>
      </w:r>
      <w:proofErr w:type="spellStart"/>
      <w:r w:rsidRPr="004706B3">
        <w:t>Whā</w:t>
      </w:r>
      <w:proofErr w:type="spellEnd"/>
      <w:r w:rsidRPr="004706B3">
        <w:t xml:space="preserve"> (n=</w:t>
      </w:r>
      <w:r>
        <w:t>66-67</w:t>
      </w:r>
      <w:r w:rsidRPr="004706B3">
        <w:t>).</w:t>
      </w:r>
    </w:p>
    <w:p w14:paraId="7F763EAC" w14:textId="77777777" w:rsidR="00721C8A" w:rsidRDefault="00070E4E" w:rsidP="00070E4E">
      <w:pPr>
        <w:spacing w:before="240"/>
        <w:rPr>
          <w:rFonts w:eastAsiaTheme="minorHAnsi"/>
          <w:lang w:eastAsia="en-GB"/>
        </w:rPr>
      </w:pPr>
      <w:r>
        <w:rPr>
          <w:rFonts w:eastAsiaTheme="minorHAnsi"/>
          <w:lang w:eastAsia="en-GB"/>
        </w:rPr>
        <w:lastRenderedPageBreak/>
        <w:t xml:space="preserve">Health and safety and the employer’s responsibilities in GPEP 1 were discussed with registrars and other stakeholders. A frequent theme was of conflict between the health and safety responsibilities of the College as an employer and the College’s role of educator. </w:t>
      </w:r>
    </w:p>
    <w:p w14:paraId="2DED4B2A" w14:textId="394DEA07" w:rsidR="00721C8A" w:rsidRPr="006474B5" w:rsidRDefault="00721C8A" w:rsidP="00721C8A">
      <w:pPr>
        <w:pStyle w:val="Quotes"/>
        <w:rPr>
          <w:rFonts w:eastAsiaTheme="minorHAnsi"/>
        </w:rPr>
      </w:pPr>
      <w:bookmarkStart w:id="68" w:name="_Hlk101872436"/>
      <w:r>
        <w:t>The College is the core knowledge of the discipline so it’s appropriate they are the trainer but I don’t think the employer. Some potential conflict like quality assurance requirements. If you are the holder of the standard for cornerstone and you make that a requirement for teaching that would be considered a conflict of interest everywhere else because you are gatewaying your own systems</w:t>
      </w:r>
      <w:bookmarkEnd w:id="68"/>
      <w:r>
        <w:t xml:space="preserve">. </w:t>
      </w:r>
      <w:r w:rsidR="00774171">
        <w:t>(</w:t>
      </w:r>
      <w:r w:rsidR="008D133A">
        <w:t>Organisation s</w:t>
      </w:r>
      <w:r w:rsidR="00774171">
        <w:t>takeholder)</w:t>
      </w:r>
    </w:p>
    <w:p w14:paraId="58203BA3" w14:textId="77777777" w:rsidR="00D1113C" w:rsidRDefault="00D1113C" w:rsidP="00A16840">
      <w:pPr>
        <w:pStyle w:val="Heading2"/>
      </w:pPr>
      <w:bookmarkStart w:id="69" w:name="_Toc105853915"/>
      <w:r w:rsidRPr="0043488D">
        <w:t xml:space="preserve">Trends in </w:t>
      </w:r>
      <w:r>
        <w:t xml:space="preserve">GPEP </w:t>
      </w:r>
      <w:r w:rsidRPr="0043488D">
        <w:t>completion</w:t>
      </w:r>
      <w:bookmarkEnd w:id="69"/>
    </w:p>
    <w:p w14:paraId="64917581" w14:textId="0F5EEBD2" w:rsidR="00A05417" w:rsidRDefault="00D1113C" w:rsidP="00344232">
      <w:pPr>
        <w:rPr>
          <w:lang w:eastAsia="en-GB"/>
        </w:rPr>
      </w:pPr>
      <w:r>
        <w:rPr>
          <w:lang w:eastAsia="en-GB"/>
        </w:rPr>
        <w:t>Although GPEP is a three-year programme</w:t>
      </w:r>
      <w:r w:rsidR="00E835FD">
        <w:rPr>
          <w:lang w:eastAsia="en-GB"/>
        </w:rPr>
        <w:t>, t</w:t>
      </w:r>
      <w:r w:rsidR="00600930">
        <w:rPr>
          <w:lang w:eastAsia="en-GB"/>
        </w:rPr>
        <w:t xml:space="preserve">he minimum completion time to achieving fellowship of the College is </w:t>
      </w:r>
      <w:r w:rsidR="003315A5">
        <w:rPr>
          <w:lang w:eastAsia="en-GB"/>
        </w:rPr>
        <w:t xml:space="preserve">42 months and the </w:t>
      </w:r>
      <w:r w:rsidR="00BE0E45">
        <w:rPr>
          <w:lang w:eastAsia="en-GB"/>
        </w:rPr>
        <w:t xml:space="preserve">mean time </w:t>
      </w:r>
      <w:r w:rsidR="00174081">
        <w:rPr>
          <w:lang w:eastAsia="en-GB"/>
        </w:rPr>
        <w:t>is 48 months</w:t>
      </w:r>
      <w:r w:rsidR="003315A5">
        <w:rPr>
          <w:lang w:eastAsia="en-GB"/>
        </w:rPr>
        <w:t xml:space="preserve">. </w:t>
      </w:r>
      <w:r w:rsidR="008D133A">
        <w:rPr>
          <w:lang w:eastAsia="en-GB"/>
        </w:rPr>
        <w:t xml:space="preserve">The percentage completing in 2015 was 71%. In out years, many will still be completing. Covid related delays have pushed out completion times for some. </w:t>
      </w:r>
    </w:p>
    <w:p w14:paraId="6813B9D2" w14:textId="2D4905A0" w:rsidR="00217241" w:rsidRDefault="00217241" w:rsidP="0084002B">
      <w:pPr>
        <w:pStyle w:val="Caption"/>
        <w:rPr>
          <w:lang w:eastAsia="en-GB"/>
        </w:rPr>
      </w:pPr>
      <w:bookmarkStart w:id="70" w:name="_Ref104724112"/>
      <w:r>
        <w:t xml:space="preserve">Table </w:t>
      </w:r>
      <w:r>
        <w:fldChar w:fldCharType="begin"/>
      </w:r>
      <w:r>
        <w:instrText>SEQ Table \* ARABIC</w:instrText>
      </w:r>
      <w:r>
        <w:fldChar w:fldCharType="separate"/>
      </w:r>
      <w:r w:rsidR="005E0451">
        <w:rPr>
          <w:noProof/>
        </w:rPr>
        <w:t>9</w:t>
      </w:r>
      <w:r>
        <w:fldChar w:fldCharType="end"/>
      </w:r>
      <w:bookmarkEnd w:id="70"/>
      <w:r>
        <w:t>. Completion rates for the 2015 cohort (College and MCNZ data)</w:t>
      </w:r>
    </w:p>
    <w:tbl>
      <w:tblPr>
        <w:tblStyle w:val="MITableClassic1"/>
        <w:tblW w:w="8098" w:type="dxa"/>
        <w:tblLayout w:type="fixed"/>
        <w:tblLook w:val="04A0" w:firstRow="1" w:lastRow="0" w:firstColumn="1" w:lastColumn="0" w:noHBand="0" w:noVBand="1"/>
      </w:tblPr>
      <w:tblGrid>
        <w:gridCol w:w="2262"/>
        <w:gridCol w:w="969"/>
        <w:gridCol w:w="973"/>
        <w:gridCol w:w="970"/>
        <w:gridCol w:w="969"/>
        <w:gridCol w:w="970"/>
        <w:gridCol w:w="967"/>
        <w:gridCol w:w="18"/>
      </w:tblGrid>
      <w:tr w:rsidR="00A05417" w:rsidRPr="00E74D3F" w14:paraId="6A0696E4" w14:textId="77777777" w:rsidTr="003B5568">
        <w:trPr>
          <w:cnfStyle w:val="100000000000" w:firstRow="1" w:lastRow="0" w:firstColumn="0" w:lastColumn="0" w:oddVBand="0" w:evenVBand="0" w:oddHBand="0" w:evenHBand="0" w:firstRowFirstColumn="0" w:firstRowLastColumn="0" w:lastRowFirstColumn="0" w:lastRowLastColumn="0"/>
          <w:trHeight w:val="294"/>
        </w:trPr>
        <w:tc>
          <w:tcPr>
            <w:cnfStyle w:val="001000000100" w:firstRow="0" w:lastRow="0" w:firstColumn="1" w:lastColumn="0" w:oddVBand="0" w:evenVBand="0" w:oddHBand="0" w:evenHBand="0" w:firstRowFirstColumn="1" w:firstRowLastColumn="0" w:lastRowFirstColumn="0" w:lastRowLastColumn="0"/>
            <w:tcW w:w="2262" w:type="dxa"/>
            <w:noWrap/>
            <w:vAlign w:val="bottom"/>
            <w:hideMark/>
          </w:tcPr>
          <w:p w14:paraId="4E0C4A70" w14:textId="77777777" w:rsidR="00A05417" w:rsidRPr="00433CB0" w:rsidRDefault="00A05417" w:rsidP="003B5568">
            <w:pPr>
              <w:spacing w:before="0" w:after="0" w:line="240" w:lineRule="auto"/>
              <w:jc w:val="center"/>
              <w:rPr>
                <w:rFonts w:cs="Calibri"/>
                <w:bCs/>
                <w:sz w:val="20"/>
                <w:szCs w:val="20"/>
              </w:rPr>
            </w:pPr>
            <w:r w:rsidRPr="00433CB0">
              <w:rPr>
                <w:rFonts w:cs="Calibri"/>
                <w:bCs/>
                <w:sz w:val="20"/>
                <w:szCs w:val="20"/>
              </w:rPr>
              <w:t>GPEP Intake Year</w:t>
            </w:r>
          </w:p>
        </w:tc>
        <w:tc>
          <w:tcPr>
            <w:tcW w:w="969" w:type="dxa"/>
            <w:noWrap/>
            <w:vAlign w:val="bottom"/>
            <w:hideMark/>
          </w:tcPr>
          <w:p w14:paraId="48907B89"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2015</w:t>
            </w:r>
          </w:p>
        </w:tc>
        <w:tc>
          <w:tcPr>
            <w:tcW w:w="973" w:type="dxa"/>
            <w:noWrap/>
            <w:vAlign w:val="bottom"/>
            <w:hideMark/>
          </w:tcPr>
          <w:p w14:paraId="69E0103B"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2016</w:t>
            </w:r>
          </w:p>
        </w:tc>
        <w:tc>
          <w:tcPr>
            <w:tcW w:w="970" w:type="dxa"/>
            <w:noWrap/>
            <w:vAlign w:val="bottom"/>
            <w:hideMark/>
          </w:tcPr>
          <w:p w14:paraId="53DBA2FD"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2017</w:t>
            </w:r>
          </w:p>
        </w:tc>
        <w:tc>
          <w:tcPr>
            <w:tcW w:w="969" w:type="dxa"/>
            <w:noWrap/>
            <w:vAlign w:val="bottom"/>
            <w:hideMark/>
          </w:tcPr>
          <w:p w14:paraId="2C08B1E8"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2018</w:t>
            </w:r>
          </w:p>
        </w:tc>
        <w:tc>
          <w:tcPr>
            <w:tcW w:w="970" w:type="dxa"/>
            <w:noWrap/>
            <w:vAlign w:val="bottom"/>
            <w:hideMark/>
          </w:tcPr>
          <w:p w14:paraId="649DDDA2"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2019</w:t>
            </w:r>
          </w:p>
        </w:tc>
        <w:tc>
          <w:tcPr>
            <w:tcW w:w="985" w:type="dxa"/>
            <w:gridSpan w:val="2"/>
            <w:noWrap/>
            <w:vAlign w:val="bottom"/>
            <w:hideMark/>
          </w:tcPr>
          <w:p w14:paraId="174C6D37" w14:textId="77777777" w:rsidR="00A05417" w:rsidRPr="00433CB0" w:rsidRDefault="00A05417" w:rsidP="003B556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sz w:val="20"/>
                <w:szCs w:val="20"/>
              </w:rPr>
            </w:pPr>
            <w:r w:rsidRPr="00433CB0">
              <w:rPr>
                <w:rFonts w:cs="Calibri"/>
                <w:bCs/>
                <w:sz w:val="20"/>
                <w:szCs w:val="20"/>
              </w:rPr>
              <w:t>2020</w:t>
            </w:r>
          </w:p>
        </w:tc>
      </w:tr>
      <w:tr w:rsidR="00A05417" w:rsidRPr="00094896" w14:paraId="33808178" w14:textId="77777777" w:rsidTr="003B5568">
        <w:trPr>
          <w:trHeight w:val="288"/>
        </w:trPr>
        <w:tc>
          <w:tcPr>
            <w:cnfStyle w:val="001000000000" w:firstRow="0" w:lastRow="0" w:firstColumn="1" w:lastColumn="0" w:oddVBand="0" w:evenVBand="0" w:oddHBand="0" w:evenHBand="0" w:firstRowFirstColumn="0" w:firstRowLastColumn="0" w:lastRowFirstColumn="0" w:lastRowLastColumn="0"/>
            <w:tcW w:w="2262" w:type="dxa"/>
            <w:noWrap/>
            <w:hideMark/>
          </w:tcPr>
          <w:p w14:paraId="19D7A6B6" w14:textId="30196429" w:rsidR="00A05417" w:rsidRPr="00094896" w:rsidRDefault="00A05417" w:rsidP="003B5568">
            <w:pPr>
              <w:spacing w:before="0" w:after="0" w:line="240" w:lineRule="auto"/>
              <w:jc w:val="right"/>
              <w:rPr>
                <w:rFonts w:cs="Calibri"/>
                <w:color w:val="000000"/>
                <w:sz w:val="20"/>
                <w:szCs w:val="20"/>
              </w:rPr>
            </w:pPr>
            <w:r w:rsidRPr="00094896">
              <w:rPr>
                <w:rFonts w:cs="Calibri"/>
                <w:color w:val="000000"/>
                <w:sz w:val="20"/>
                <w:szCs w:val="20"/>
              </w:rPr>
              <w:t xml:space="preserve">Total </w:t>
            </w:r>
            <w:r>
              <w:rPr>
                <w:rFonts w:cs="Calibri"/>
                <w:color w:val="000000"/>
                <w:sz w:val="20"/>
                <w:szCs w:val="20"/>
              </w:rPr>
              <w:t>n</w:t>
            </w:r>
            <w:r w:rsidRPr="00094896">
              <w:rPr>
                <w:rFonts w:cs="Calibri"/>
                <w:color w:val="000000"/>
                <w:sz w:val="20"/>
                <w:szCs w:val="20"/>
              </w:rPr>
              <w:t xml:space="preserve">umber of </w:t>
            </w:r>
            <w:r w:rsidR="00E835FD">
              <w:rPr>
                <w:rFonts w:cs="Calibri"/>
                <w:color w:val="000000"/>
                <w:sz w:val="20"/>
                <w:szCs w:val="20"/>
              </w:rPr>
              <w:t xml:space="preserve">new </w:t>
            </w:r>
            <w:r>
              <w:rPr>
                <w:rFonts w:cs="Calibri"/>
                <w:color w:val="000000"/>
                <w:sz w:val="20"/>
                <w:szCs w:val="20"/>
              </w:rPr>
              <w:t>t</w:t>
            </w:r>
            <w:r w:rsidRPr="00094896">
              <w:rPr>
                <w:rFonts w:cs="Calibri"/>
                <w:color w:val="000000"/>
                <w:sz w:val="20"/>
                <w:szCs w:val="20"/>
              </w:rPr>
              <w:t>rainees</w:t>
            </w:r>
            <w:r>
              <w:rPr>
                <w:rFonts w:cs="Calibri"/>
                <w:color w:val="000000"/>
                <w:sz w:val="20"/>
                <w:szCs w:val="20"/>
              </w:rPr>
              <w:t xml:space="preserve"> in </w:t>
            </w:r>
            <w:proofErr w:type="gramStart"/>
            <w:r>
              <w:rPr>
                <w:rFonts w:cs="Calibri"/>
                <w:color w:val="000000"/>
                <w:sz w:val="20"/>
                <w:szCs w:val="20"/>
              </w:rPr>
              <w:t>College</w:t>
            </w:r>
            <w:proofErr w:type="gramEnd"/>
            <w:r>
              <w:rPr>
                <w:rFonts w:cs="Calibri"/>
                <w:color w:val="000000"/>
                <w:sz w:val="20"/>
                <w:szCs w:val="20"/>
              </w:rPr>
              <w:t xml:space="preserve"> data</w:t>
            </w:r>
          </w:p>
        </w:tc>
        <w:tc>
          <w:tcPr>
            <w:tcW w:w="969" w:type="dxa"/>
            <w:noWrap/>
            <w:vAlign w:val="center"/>
            <w:hideMark/>
          </w:tcPr>
          <w:p w14:paraId="01234D97"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184</w:t>
            </w:r>
          </w:p>
        </w:tc>
        <w:tc>
          <w:tcPr>
            <w:tcW w:w="973" w:type="dxa"/>
            <w:noWrap/>
            <w:vAlign w:val="center"/>
            <w:hideMark/>
          </w:tcPr>
          <w:p w14:paraId="4264598B"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241</w:t>
            </w:r>
          </w:p>
        </w:tc>
        <w:tc>
          <w:tcPr>
            <w:tcW w:w="970" w:type="dxa"/>
            <w:noWrap/>
            <w:vAlign w:val="center"/>
            <w:hideMark/>
          </w:tcPr>
          <w:p w14:paraId="1ECC1279"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234</w:t>
            </w:r>
          </w:p>
        </w:tc>
        <w:tc>
          <w:tcPr>
            <w:tcW w:w="969" w:type="dxa"/>
            <w:noWrap/>
            <w:vAlign w:val="center"/>
            <w:hideMark/>
          </w:tcPr>
          <w:p w14:paraId="15ED7D42"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186</w:t>
            </w:r>
          </w:p>
        </w:tc>
        <w:tc>
          <w:tcPr>
            <w:tcW w:w="970" w:type="dxa"/>
            <w:noWrap/>
            <w:vAlign w:val="center"/>
            <w:hideMark/>
          </w:tcPr>
          <w:p w14:paraId="52EB0386"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170</w:t>
            </w:r>
          </w:p>
        </w:tc>
        <w:tc>
          <w:tcPr>
            <w:tcW w:w="985" w:type="dxa"/>
            <w:gridSpan w:val="2"/>
            <w:noWrap/>
            <w:vAlign w:val="center"/>
            <w:hideMark/>
          </w:tcPr>
          <w:p w14:paraId="1CF30E83" w14:textId="77777777" w:rsidR="00A05417" w:rsidRPr="00433CB0"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433CB0">
              <w:rPr>
                <w:rFonts w:cs="Calibri"/>
                <w:color w:val="000000"/>
                <w:sz w:val="20"/>
                <w:szCs w:val="20"/>
              </w:rPr>
              <w:t>216</w:t>
            </w:r>
          </w:p>
        </w:tc>
      </w:tr>
      <w:tr w:rsidR="00A05417" w:rsidRPr="00094896" w14:paraId="688DD7BD" w14:textId="77777777" w:rsidTr="003B5568">
        <w:trPr>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63F3B62D" w14:textId="0BBF44BA" w:rsidR="00A05417" w:rsidRPr="00094896" w:rsidRDefault="00A05417" w:rsidP="003B5568">
            <w:pPr>
              <w:spacing w:before="0" w:after="0" w:line="240" w:lineRule="auto"/>
              <w:jc w:val="right"/>
              <w:rPr>
                <w:rFonts w:cs="Calibri"/>
                <w:color w:val="000000"/>
                <w:sz w:val="20"/>
                <w:szCs w:val="20"/>
              </w:rPr>
            </w:pPr>
            <w:r>
              <w:rPr>
                <w:rFonts w:cs="Calibri"/>
                <w:color w:val="000000"/>
                <w:sz w:val="20"/>
                <w:szCs w:val="20"/>
              </w:rPr>
              <w:t xml:space="preserve">Trainees </w:t>
            </w:r>
            <w:r w:rsidR="00CD0E8F">
              <w:rPr>
                <w:rFonts w:cs="Calibri"/>
                <w:color w:val="000000"/>
                <w:sz w:val="20"/>
                <w:szCs w:val="20"/>
              </w:rPr>
              <w:t>completed</w:t>
            </w:r>
            <w:r w:rsidR="001222AD">
              <w:rPr>
                <w:rStyle w:val="FootnoteReference"/>
                <w:rFonts w:cs="Calibri"/>
                <w:color w:val="000000"/>
                <w:sz w:val="20"/>
                <w:szCs w:val="20"/>
              </w:rPr>
              <w:footnoteReference w:id="24"/>
            </w:r>
            <w:r w:rsidR="00CD0E8F">
              <w:rPr>
                <w:rFonts w:cs="Calibri"/>
                <w:color w:val="000000"/>
                <w:sz w:val="20"/>
                <w:szCs w:val="20"/>
              </w:rPr>
              <w:t xml:space="preserve"> (Fellowship registered)</w:t>
            </w:r>
          </w:p>
        </w:tc>
        <w:tc>
          <w:tcPr>
            <w:tcW w:w="969" w:type="dxa"/>
            <w:noWrap/>
            <w:vAlign w:val="center"/>
          </w:tcPr>
          <w:p w14:paraId="17A0D788" w14:textId="62692B97"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130</w:t>
            </w:r>
          </w:p>
        </w:tc>
        <w:tc>
          <w:tcPr>
            <w:tcW w:w="973" w:type="dxa"/>
            <w:noWrap/>
            <w:vAlign w:val="center"/>
          </w:tcPr>
          <w:p w14:paraId="10794790" w14:textId="7092ECE5"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121</w:t>
            </w:r>
          </w:p>
        </w:tc>
        <w:tc>
          <w:tcPr>
            <w:tcW w:w="970" w:type="dxa"/>
            <w:noWrap/>
            <w:vAlign w:val="center"/>
          </w:tcPr>
          <w:p w14:paraId="17BB19E9" w14:textId="6E96A822"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48</w:t>
            </w:r>
          </w:p>
        </w:tc>
        <w:tc>
          <w:tcPr>
            <w:tcW w:w="969" w:type="dxa"/>
            <w:noWrap/>
            <w:vAlign w:val="center"/>
          </w:tcPr>
          <w:p w14:paraId="7FDDB4C4" w14:textId="24BD02CF"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1</w:t>
            </w:r>
          </w:p>
        </w:tc>
        <w:tc>
          <w:tcPr>
            <w:tcW w:w="970" w:type="dxa"/>
            <w:noWrap/>
            <w:vAlign w:val="center"/>
          </w:tcPr>
          <w:p w14:paraId="776CBB16" w14:textId="02218CC1"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w:t>
            </w:r>
          </w:p>
        </w:tc>
        <w:tc>
          <w:tcPr>
            <w:tcW w:w="985" w:type="dxa"/>
            <w:gridSpan w:val="2"/>
            <w:noWrap/>
            <w:vAlign w:val="center"/>
          </w:tcPr>
          <w:p w14:paraId="21522CCF" w14:textId="5C217B83" w:rsidR="00A05417" w:rsidRPr="00433CB0"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w:t>
            </w:r>
          </w:p>
        </w:tc>
      </w:tr>
      <w:tr w:rsidR="00A05417" w:rsidRPr="00094896" w14:paraId="0C94769D" w14:textId="77777777" w:rsidTr="003B5568">
        <w:trPr>
          <w:gridAfter w:val="1"/>
          <w:wAfter w:w="18" w:type="dxa"/>
          <w:trHeight w:val="288"/>
        </w:trPr>
        <w:tc>
          <w:tcPr>
            <w:cnfStyle w:val="001000000000" w:firstRow="0" w:lastRow="0" w:firstColumn="1" w:lastColumn="0" w:oddVBand="0" w:evenVBand="0" w:oddHBand="0" w:evenHBand="0" w:firstRowFirstColumn="0" w:firstRowLastColumn="0" w:lastRowFirstColumn="0" w:lastRowLastColumn="0"/>
            <w:tcW w:w="2262" w:type="dxa"/>
            <w:noWrap/>
          </w:tcPr>
          <w:p w14:paraId="249A65FF" w14:textId="73251A53" w:rsidR="00A05417" w:rsidRPr="00094896" w:rsidRDefault="008202C1" w:rsidP="003B5568">
            <w:pPr>
              <w:spacing w:before="0" w:after="0" w:line="240" w:lineRule="auto"/>
              <w:jc w:val="right"/>
              <w:rPr>
                <w:rFonts w:cs="Calibri"/>
                <w:color w:val="000000"/>
                <w:sz w:val="20"/>
                <w:szCs w:val="20"/>
              </w:rPr>
            </w:pPr>
            <w:r>
              <w:rPr>
                <w:rFonts w:cs="Calibri"/>
                <w:color w:val="000000"/>
                <w:sz w:val="20"/>
                <w:szCs w:val="20"/>
              </w:rPr>
              <w:t>Percentage completing</w:t>
            </w:r>
            <w:r w:rsidR="00B04695">
              <w:rPr>
                <w:rStyle w:val="FootnoteReference"/>
                <w:rFonts w:cs="Calibri"/>
                <w:color w:val="000000"/>
                <w:sz w:val="20"/>
                <w:szCs w:val="20"/>
              </w:rPr>
              <w:footnoteReference w:id="25"/>
            </w:r>
          </w:p>
        </w:tc>
        <w:tc>
          <w:tcPr>
            <w:tcW w:w="969" w:type="dxa"/>
            <w:noWrap/>
            <w:vAlign w:val="center"/>
          </w:tcPr>
          <w:p w14:paraId="5247B689" w14:textId="37128A59" w:rsidR="00A05417" w:rsidRPr="00E74D3F"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71%</w:t>
            </w:r>
          </w:p>
        </w:tc>
        <w:tc>
          <w:tcPr>
            <w:tcW w:w="973" w:type="dxa"/>
            <w:noWrap/>
            <w:vAlign w:val="center"/>
          </w:tcPr>
          <w:p w14:paraId="243289E0" w14:textId="20728FED" w:rsidR="00A05417" w:rsidRPr="00E74D3F" w:rsidRDefault="008202C1"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50%</w:t>
            </w:r>
          </w:p>
        </w:tc>
        <w:tc>
          <w:tcPr>
            <w:tcW w:w="970" w:type="dxa"/>
            <w:noWrap/>
            <w:vAlign w:val="center"/>
          </w:tcPr>
          <w:p w14:paraId="41E023A0" w14:textId="1172F2F6" w:rsidR="00A05417" w:rsidRPr="00E74D3F" w:rsidRDefault="00F712E0"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21%</w:t>
            </w:r>
          </w:p>
        </w:tc>
        <w:tc>
          <w:tcPr>
            <w:tcW w:w="969" w:type="dxa"/>
            <w:noWrap/>
            <w:vAlign w:val="center"/>
          </w:tcPr>
          <w:p w14:paraId="4EC39561" w14:textId="5BC982F3" w:rsidR="00A05417" w:rsidRPr="00E74D3F"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p>
        </w:tc>
        <w:tc>
          <w:tcPr>
            <w:tcW w:w="970" w:type="dxa"/>
            <w:noWrap/>
            <w:vAlign w:val="center"/>
          </w:tcPr>
          <w:p w14:paraId="4046856D" w14:textId="134511D3" w:rsidR="00A05417" w:rsidRPr="00E74D3F"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p>
        </w:tc>
        <w:tc>
          <w:tcPr>
            <w:tcW w:w="967" w:type="dxa"/>
            <w:noWrap/>
            <w:vAlign w:val="center"/>
          </w:tcPr>
          <w:p w14:paraId="6C79829B" w14:textId="24F2D794" w:rsidR="00A05417" w:rsidRPr="00E74D3F" w:rsidRDefault="00A05417" w:rsidP="003B556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p>
        </w:tc>
      </w:tr>
    </w:tbl>
    <w:p w14:paraId="679CCE8E" w14:textId="55BA52D6" w:rsidR="00D1113C" w:rsidRDefault="008D133A" w:rsidP="008D133A">
      <w:pPr>
        <w:spacing w:before="240"/>
        <w:rPr>
          <w:lang w:eastAsia="en-GB"/>
        </w:rPr>
      </w:pPr>
      <w:r>
        <w:rPr>
          <w:lang w:eastAsia="en-GB"/>
        </w:rPr>
        <w:t xml:space="preserve">Registrars can put their training on hold and can take up to seven years (including GPEP 1) to complete the programme. </w:t>
      </w:r>
      <w:r w:rsidR="00D1113C">
        <w:rPr>
          <w:lang w:eastAsia="en-GB"/>
        </w:rPr>
        <w:t>Common reasons for</w:t>
      </w:r>
      <w:r w:rsidR="00866FB1">
        <w:rPr>
          <w:lang w:eastAsia="en-GB"/>
        </w:rPr>
        <w:t xml:space="preserve"> putting GPEP on hold</w:t>
      </w:r>
      <w:r w:rsidR="00D1113C">
        <w:rPr>
          <w:lang w:eastAsia="en-GB"/>
        </w:rPr>
        <w:t xml:space="preserve"> include maternity leave, doing another fellowship such as Rural Hospital Medicine, and some who need time out for wellbeing issues.</w:t>
      </w:r>
    </w:p>
    <w:p w14:paraId="1A97B8F9" w14:textId="31244C07" w:rsidR="00D1113C" w:rsidRPr="00E875B7" w:rsidRDefault="00D1113C" w:rsidP="00D1113C">
      <w:pPr>
        <w:pStyle w:val="Quotes"/>
        <w:rPr>
          <w:rFonts w:eastAsiaTheme="minorHAnsi"/>
          <w:noProof w:val="0"/>
          <w:lang w:eastAsia="en-GB"/>
        </w:rPr>
      </w:pPr>
      <w:r w:rsidRPr="00E875B7">
        <w:rPr>
          <w:rFonts w:eastAsiaTheme="minorHAnsi"/>
          <w:noProof w:val="0"/>
          <w:lang w:eastAsia="en-GB"/>
        </w:rPr>
        <w:t>GPEP 2 is exhausting and demanding. (Registrar</w:t>
      </w:r>
      <w:r w:rsidR="00AE43EA">
        <w:rPr>
          <w:rFonts w:eastAsiaTheme="minorHAnsi"/>
          <w:lang w:eastAsia="en-GB"/>
        </w:rPr>
        <w:t xml:space="preserve"> -</w:t>
      </w:r>
      <w:r w:rsidR="00FE77F9">
        <w:rPr>
          <w:rFonts w:eastAsiaTheme="minorHAnsi"/>
          <w:lang w:eastAsia="en-GB"/>
        </w:rPr>
        <w:t xml:space="preserve"> </w:t>
      </w:r>
      <w:r w:rsidR="00AE43EA">
        <w:rPr>
          <w:rFonts w:eastAsiaTheme="minorHAnsi"/>
          <w:lang w:eastAsia="en-GB"/>
        </w:rPr>
        <w:t>survey</w:t>
      </w:r>
      <w:r w:rsidRPr="00E875B7">
        <w:rPr>
          <w:rFonts w:eastAsiaTheme="minorHAnsi"/>
          <w:noProof w:val="0"/>
          <w:lang w:eastAsia="en-GB"/>
        </w:rPr>
        <w:t>)</w:t>
      </w:r>
    </w:p>
    <w:p w14:paraId="499FF1A9" w14:textId="4FF9AFB7" w:rsidR="00D1113C" w:rsidRPr="00E875B7" w:rsidRDefault="00D1113C" w:rsidP="00D1113C">
      <w:pPr>
        <w:pStyle w:val="Quotes"/>
        <w:rPr>
          <w:rFonts w:eastAsiaTheme="minorHAnsi"/>
          <w:noProof w:val="0"/>
          <w:lang w:eastAsia="en-GB"/>
        </w:rPr>
      </w:pPr>
      <w:r w:rsidRPr="00E875B7">
        <w:rPr>
          <w:rFonts w:eastAsiaTheme="minorHAnsi"/>
          <w:noProof w:val="0"/>
          <w:lang w:eastAsia="en-GB"/>
        </w:rPr>
        <w:t>I want my work to be part of my life and not my whole life. (Registrar</w:t>
      </w:r>
      <w:r w:rsidR="00AE43EA">
        <w:rPr>
          <w:rFonts w:eastAsiaTheme="minorHAnsi"/>
          <w:lang w:eastAsia="en-GB"/>
        </w:rPr>
        <w:t xml:space="preserve"> - survey</w:t>
      </w:r>
      <w:r w:rsidRPr="00E875B7">
        <w:rPr>
          <w:rFonts w:eastAsiaTheme="minorHAnsi"/>
          <w:noProof w:val="0"/>
          <w:lang w:eastAsia="en-GB"/>
        </w:rPr>
        <w:t>)</w:t>
      </w:r>
    </w:p>
    <w:p w14:paraId="1806CBFF" w14:textId="13806B71" w:rsidR="00D1113C" w:rsidRPr="00E875B7" w:rsidRDefault="00D1113C" w:rsidP="00D1113C">
      <w:pPr>
        <w:pStyle w:val="Quotes"/>
      </w:pPr>
      <w:r w:rsidRPr="00E875B7">
        <w:t>I have two friends who have left GP in their second-year registrar and one of them has gone back to ED to be an ED doctor and one has gone to general medicine and one of the things that they both found was the lack of support and on-going education in second and third year.</w:t>
      </w:r>
      <w:r w:rsidR="00FE77F9">
        <w:t xml:space="preserve"> </w:t>
      </w:r>
      <w:r w:rsidRPr="00E875B7">
        <w:t>(Registrar</w:t>
      </w:r>
      <w:r w:rsidR="0053224F">
        <w:t xml:space="preserve"> - interview</w:t>
      </w:r>
      <w:r w:rsidRPr="00E875B7">
        <w:t>)</w:t>
      </w:r>
    </w:p>
    <w:p w14:paraId="57CCA2D1" w14:textId="4EB49948" w:rsidR="00D1113C" w:rsidRPr="00E875B7" w:rsidRDefault="00D1113C" w:rsidP="00D1113C">
      <w:pPr>
        <w:pStyle w:val="Quotes"/>
        <w:rPr>
          <w:lang w:val="en-GB"/>
        </w:rPr>
      </w:pPr>
      <w:r w:rsidRPr="00E875B7">
        <w:rPr>
          <w:lang w:val="en-GB"/>
        </w:rPr>
        <w:lastRenderedPageBreak/>
        <w:t xml:space="preserve">In terms of the college, I got 12 months off maternity leave and I got a letter from the college to say I can resume my training [12 months later]. I was hapū again with my third and so I applied for an extension of that leave. I would have had two toddlers and a new-born around the time where I was expected to study and sit exams and I wasn’t going to do that. That is when I was basically told [by the College] there is nothing they can do about it and I had to formally withdraw from the </w:t>
      </w:r>
      <w:r w:rsidR="00B64A31" w:rsidRPr="00E875B7">
        <w:rPr>
          <w:lang w:val="en-GB"/>
        </w:rPr>
        <w:t>C</w:t>
      </w:r>
      <w:r w:rsidRPr="00E875B7">
        <w:rPr>
          <w:lang w:val="en-GB"/>
        </w:rPr>
        <w:t xml:space="preserve">ollege. </w:t>
      </w:r>
      <w:r w:rsidR="00E875B7" w:rsidRPr="00E875B7">
        <w:rPr>
          <w:lang w:val="en-GB"/>
        </w:rPr>
        <w:t>…</w:t>
      </w:r>
      <w:r w:rsidRPr="00E875B7">
        <w:rPr>
          <w:lang w:val="en-GB"/>
        </w:rPr>
        <w:t xml:space="preserve"> (Registrar</w:t>
      </w:r>
      <w:r w:rsidR="0053224F">
        <w:rPr>
          <w:lang w:val="en-GB"/>
        </w:rPr>
        <w:t xml:space="preserve"> - interview</w:t>
      </w:r>
      <w:r w:rsidRPr="00E875B7">
        <w:rPr>
          <w:lang w:val="en-GB"/>
        </w:rPr>
        <w:t>)</w:t>
      </w:r>
    </w:p>
    <w:p w14:paraId="608F1A12" w14:textId="5CC306B4" w:rsidR="00D1113C" w:rsidRPr="007B2A17" w:rsidRDefault="00D1113C" w:rsidP="00D1113C">
      <w:pPr>
        <w:pStyle w:val="Quotes"/>
      </w:pPr>
      <w:r w:rsidRPr="00E875B7">
        <w:t>I was asked to resign my position by the RNZCGP the first time I was accepted as</w:t>
      </w:r>
      <w:r w:rsidR="00E875B7" w:rsidRPr="00E875B7">
        <w:t xml:space="preserve"> I</w:t>
      </w:r>
      <w:r w:rsidRPr="00E875B7">
        <w:t xml:space="preserve"> </w:t>
      </w:r>
      <w:r w:rsidRPr="007B2A17">
        <w:t>info</w:t>
      </w:r>
      <w:r w:rsidR="00AE43EA">
        <w:t>rm</w:t>
      </w:r>
      <w:r w:rsidRPr="007B2A17">
        <w:t>ed</w:t>
      </w:r>
      <w:r w:rsidRPr="00E875B7">
        <w:t xml:space="preserve"> them </w:t>
      </w:r>
      <w:r w:rsidR="00E37DAD">
        <w:t>I</w:t>
      </w:r>
      <w:r w:rsidRPr="00E875B7">
        <w:t xml:space="preserve"> was pregnant at my interview.</w:t>
      </w:r>
      <w:r w:rsidR="00FE77F9">
        <w:t xml:space="preserve"> </w:t>
      </w:r>
      <w:r w:rsidR="00E875B7" w:rsidRPr="00E875B7">
        <w:t>D</w:t>
      </w:r>
      <w:r w:rsidRPr="00E875B7">
        <w:t>ue to the funding structure the Ministry would have withdrawn funding for my placement due to my pregnancy</w:t>
      </w:r>
      <w:r w:rsidR="0053224F">
        <w:t xml:space="preserve">… </w:t>
      </w:r>
      <w:r w:rsidRPr="00E875B7">
        <w:t>(Survey data – Registrar)</w:t>
      </w:r>
    </w:p>
    <w:p w14:paraId="11438A16" w14:textId="3484019E" w:rsidR="00865821" w:rsidRDefault="00865821" w:rsidP="00DB5B4E">
      <w:pPr>
        <w:pStyle w:val="MalaHeading1"/>
      </w:pPr>
      <w:bookmarkStart w:id="71" w:name="_Toc105853916"/>
      <w:r w:rsidRPr="00CB5526">
        <w:lastRenderedPageBreak/>
        <w:t>Accredited practices</w:t>
      </w:r>
      <w:r w:rsidR="00B42507" w:rsidRPr="00CB5526">
        <w:t xml:space="preserve"> and GP teachers</w:t>
      </w:r>
      <w:bookmarkEnd w:id="71"/>
    </w:p>
    <w:tbl>
      <w:tblPr>
        <w:tblStyle w:val="MITableClassic"/>
        <w:tblW w:w="7797" w:type="dxa"/>
        <w:tblLook w:val="04A0" w:firstRow="1" w:lastRow="0" w:firstColumn="1" w:lastColumn="0" w:noHBand="0" w:noVBand="1"/>
      </w:tblPr>
      <w:tblGrid>
        <w:gridCol w:w="7797"/>
      </w:tblGrid>
      <w:tr w:rsidR="00C95333" w14:paraId="3B0C1141" w14:textId="77777777" w:rsidTr="00681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97" w:type="dxa"/>
          </w:tcPr>
          <w:p w14:paraId="4C06C6F9" w14:textId="77777777" w:rsidR="00C95333" w:rsidRDefault="00C95333" w:rsidP="00681758">
            <w:pPr>
              <w:spacing w:before="0" w:after="0"/>
              <w:rPr>
                <w:lang w:eastAsia="en-GB"/>
              </w:rPr>
            </w:pPr>
            <w:r>
              <w:rPr>
                <w:lang w:eastAsia="en-GB"/>
              </w:rPr>
              <w:t>Key messages</w:t>
            </w:r>
          </w:p>
        </w:tc>
      </w:tr>
      <w:tr w:rsidR="00C95333" w14:paraId="3F1CDAD3"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67A5D328" w14:textId="16C6BB02" w:rsidR="00C95333" w:rsidRDefault="00452725" w:rsidP="00681758">
            <w:r>
              <w:rPr>
                <w:lang w:eastAsia="en-GB"/>
              </w:rPr>
              <w:t>Lead medical educators have an important role in education and pastoral care.</w:t>
            </w:r>
            <w:r w:rsidR="001967A0">
              <w:rPr>
                <w:lang w:eastAsia="en-GB"/>
              </w:rPr>
              <w:t xml:space="preserve"> </w:t>
            </w:r>
            <w:r w:rsidR="001967A0">
              <w:t xml:space="preserve">Although </w:t>
            </w:r>
            <w:r w:rsidR="00EF4726">
              <w:t>they considered</w:t>
            </w:r>
            <w:r w:rsidR="001967A0">
              <w:t xml:space="preserve"> their workload exceeded the financial gain, medical educators said they generally undertook their roles because of their passion for general practice, primary </w:t>
            </w:r>
            <w:proofErr w:type="gramStart"/>
            <w:r w:rsidR="001967A0">
              <w:t>care</w:t>
            </w:r>
            <w:proofErr w:type="gramEnd"/>
            <w:r w:rsidR="001967A0">
              <w:t xml:space="preserve"> and community health.</w:t>
            </w:r>
          </w:p>
          <w:p w14:paraId="41EA6C6D" w14:textId="31512FCA" w:rsidR="00FD1472" w:rsidRDefault="00FD1472" w:rsidP="00681758">
            <w:pPr>
              <w:rPr>
                <w:lang w:eastAsia="en-GB"/>
              </w:rPr>
            </w:pPr>
            <w:r>
              <w:rPr>
                <w:lang w:val="en-GB"/>
              </w:rPr>
              <w:t>Registrars responding to the survey were generally positive about the support they received from their medical educators.</w:t>
            </w:r>
          </w:p>
          <w:p w14:paraId="5D23B548" w14:textId="77777777" w:rsidR="00452725" w:rsidRDefault="00D8473D" w:rsidP="00681758">
            <w:pPr>
              <w:rPr>
                <w:rFonts w:eastAsiaTheme="minorHAnsi"/>
                <w:lang w:eastAsia="en-GB"/>
              </w:rPr>
            </w:pPr>
            <w:r>
              <w:rPr>
                <w:rFonts w:eastAsiaTheme="minorHAnsi"/>
                <w:lang w:eastAsia="en-GB"/>
              </w:rPr>
              <w:t>Most GPEP 1 registrars felt well supported by their teaching fellows through mentorship, clinical supervision, corridor conversations and general support</w:t>
            </w:r>
            <w:r w:rsidR="00DF40D1">
              <w:rPr>
                <w:rFonts w:eastAsiaTheme="minorHAnsi"/>
                <w:lang w:eastAsia="en-GB"/>
              </w:rPr>
              <w:t>.</w:t>
            </w:r>
          </w:p>
          <w:p w14:paraId="6C526A20" w14:textId="77777777" w:rsidR="00C95333" w:rsidRDefault="003C3BC2" w:rsidP="008757A8">
            <w:pPr>
              <w:rPr>
                <w:rFonts w:eastAsiaTheme="minorHAnsi"/>
                <w:lang w:eastAsia="en-GB"/>
              </w:rPr>
            </w:pPr>
            <w:r>
              <w:rPr>
                <w:rFonts w:eastAsiaTheme="minorHAnsi"/>
                <w:lang w:eastAsia="en-GB"/>
              </w:rPr>
              <w:t>In response to the survey, teachers rated their main motivators to becoming a G</w:t>
            </w:r>
            <w:r w:rsidR="00071B5C">
              <w:rPr>
                <w:rFonts w:eastAsiaTheme="minorHAnsi"/>
                <w:lang w:eastAsia="en-GB"/>
              </w:rPr>
              <w:t>PE</w:t>
            </w:r>
            <w:r>
              <w:rPr>
                <w:rFonts w:eastAsiaTheme="minorHAnsi"/>
                <w:lang w:eastAsia="en-GB"/>
              </w:rPr>
              <w:t>P 1 teacher as contributing to a sustainable general practice workforce and providing training opportunities to support communities.</w:t>
            </w:r>
          </w:p>
          <w:p w14:paraId="03BDF13A" w14:textId="77777777" w:rsidR="00132648" w:rsidRDefault="00132648" w:rsidP="008757A8">
            <w:r>
              <w:t>Sustainability to general practice, providing training opportunities were the most important motivators for practices becoming accredited.</w:t>
            </w:r>
            <w:r w:rsidR="00745A54">
              <w:t xml:space="preserve"> The main barriers to being an accredited practice were meeting the requirements to become a placement provider, the cost of providing placements and capacity for supervision. </w:t>
            </w:r>
          </w:p>
          <w:p w14:paraId="58FEB970" w14:textId="1C55A1E1" w:rsidR="00DF40D1" w:rsidRDefault="002600E2" w:rsidP="00681758">
            <w:r>
              <w:t>Practices</w:t>
            </w:r>
            <w:r w:rsidR="00782035">
              <w:t xml:space="preserve"> with low co-payments are likely to </w:t>
            </w:r>
            <w:r w:rsidR="00A85969">
              <w:t>find a registrar financially costly in ma</w:t>
            </w:r>
            <w:r w:rsidR="004E0234">
              <w:t>n</w:t>
            </w:r>
            <w:r w:rsidR="00A85969">
              <w:t xml:space="preserve">y </w:t>
            </w:r>
            <w:r>
              <w:t>circumstances.</w:t>
            </w:r>
          </w:p>
        </w:tc>
      </w:tr>
      <w:tr w:rsidR="00C95333" w14:paraId="2381B229" w14:textId="77777777" w:rsidTr="00681758">
        <w:tc>
          <w:tcPr>
            <w:cnfStyle w:val="001000000000" w:firstRow="0" w:lastRow="0" w:firstColumn="1" w:lastColumn="0" w:oddVBand="0" w:evenVBand="0" w:oddHBand="0" w:evenHBand="0" w:firstRowFirstColumn="0" w:firstRowLastColumn="0" w:lastRowFirstColumn="0" w:lastRowLastColumn="0"/>
            <w:tcW w:w="7797" w:type="dxa"/>
          </w:tcPr>
          <w:p w14:paraId="5103A206" w14:textId="77777777" w:rsidR="00C95333" w:rsidRPr="0047079A" w:rsidRDefault="00C95333" w:rsidP="00681758">
            <w:pPr>
              <w:rPr>
                <w:b/>
                <w:bCs/>
                <w:lang w:eastAsia="en-GB"/>
              </w:rPr>
            </w:pPr>
            <w:r w:rsidRPr="0047079A">
              <w:rPr>
                <w:b/>
                <w:bCs/>
                <w:lang w:eastAsia="en-GB"/>
              </w:rPr>
              <w:t>Opportunities:</w:t>
            </w:r>
          </w:p>
          <w:p w14:paraId="136BA410" w14:textId="19FB1FF9" w:rsidR="00C95333" w:rsidRDefault="00071B5C" w:rsidP="00681758">
            <w:pPr>
              <w:rPr>
                <w:lang w:eastAsia="en-GB"/>
              </w:rPr>
            </w:pPr>
            <w:r>
              <w:rPr>
                <w:lang w:eastAsia="en-GB"/>
              </w:rPr>
              <w:t>Only</w:t>
            </w:r>
            <w:r w:rsidRPr="00EF4726">
              <w:rPr>
                <w:rFonts w:eastAsiaTheme="minorHAnsi"/>
                <w:lang w:eastAsia="en-GB"/>
              </w:rPr>
              <w:t xml:space="preserve"> 21% of Māori practices are accredited and in localities such as Northland, Tairāwhiti, Taranaki, </w:t>
            </w:r>
            <w:r w:rsidRPr="00EF4726">
              <w:rPr>
                <w:rFonts w:eastAsiaTheme="minorHAnsi" w:cs="Calibri"/>
                <w:lang w:eastAsia="en-GB"/>
              </w:rPr>
              <w:t xml:space="preserve">Bay of Plenty/Lakes </w:t>
            </w:r>
            <w:r w:rsidRPr="00EF4726">
              <w:rPr>
                <w:rFonts w:eastAsiaTheme="minorHAnsi"/>
                <w:lang w:eastAsia="en-GB"/>
              </w:rPr>
              <w:t>and</w:t>
            </w:r>
            <w:r w:rsidRPr="00EF4726">
              <w:rPr>
                <w:rFonts w:eastAsiaTheme="minorHAnsi" w:cs="Calibri"/>
                <w:lang w:eastAsia="en-GB"/>
              </w:rPr>
              <w:t xml:space="preserve"> Whanganui/</w:t>
            </w:r>
            <w:proofErr w:type="spellStart"/>
            <w:r w:rsidRPr="00EF4726">
              <w:rPr>
                <w:rFonts w:eastAsiaTheme="minorHAnsi" w:cs="Calibri"/>
                <w:lang w:eastAsia="en-GB"/>
              </w:rPr>
              <w:t>MidCentral</w:t>
            </w:r>
            <w:proofErr w:type="spellEnd"/>
            <w:r w:rsidRPr="00EF4726">
              <w:rPr>
                <w:rFonts w:eastAsiaTheme="minorHAnsi"/>
                <w:lang w:eastAsia="en-GB"/>
              </w:rPr>
              <w:t xml:space="preserve"> </w:t>
            </w:r>
            <w:r>
              <w:rPr>
                <w:rFonts w:eastAsiaTheme="minorHAnsi"/>
                <w:lang w:eastAsia="en-GB"/>
              </w:rPr>
              <w:t xml:space="preserve">there are no accredited Māori practices. Exploring ways </w:t>
            </w:r>
            <w:r w:rsidR="001838EA">
              <w:rPr>
                <w:rFonts w:eastAsiaTheme="minorHAnsi"/>
                <w:lang w:eastAsia="en-GB"/>
              </w:rPr>
              <w:t xml:space="preserve">to enable these practices to provide </w:t>
            </w:r>
            <w:r w:rsidR="00546E39">
              <w:rPr>
                <w:rFonts w:eastAsiaTheme="minorHAnsi"/>
                <w:lang w:eastAsia="en-GB"/>
              </w:rPr>
              <w:t>registrar</w:t>
            </w:r>
            <w:r w:rsidR="001838EA">
              <w:rPr>
                <w:rFonts w:eastAsiaTheme="minorHAnsi"/>
                <w:lang w:eastAsia="en-GB"/>
              </w:rPr>
              <w:t xml:space="preserve"> placements has the potential to improve equity.</w:t>
            </w:r>
          </w:p>
        </w:tc>
      </w:tr>
    </w:tbl>
    <w:p w14:paraId="6F286E39" w14:textId="77777777" w:rsidR="0073377D" w:rsidRDefault="0073377D" w:rsidP="00A16840">
      <w:pPr>
        <w:pStyle w:val="Heading2"/>
      </w:pPr>
      <w:bookmarkStart w:id="72" w:name="_Toc105853917"/>
      <w:r w:rsidRPr="00CB5526">
        <w:t>Medical educators</w:t>
      </w:r>
      <w:bookmarkEnd w:id="72"/>
    </w:p>
    <w:p w14:paraId="7D196316" w14:textId="67B96C9F" w:rsidR="0073377D" w:rsidRPr="00E37DAD" w:rsidRDefault="0073377D" w:rsidP="0073377D">
      <w:pPr>
        <w:rPr>
          <w:rFonts w:eastAsiaTheme="minorHAnsi"/>
          <w:lang w:eastAsia="en-GB"/>
        </w:rPr>
      </w:pPr>
      <w:r w:rsidRPr="00E37DAD">
        <w:rPr>
          <w:rFonts w:eastAsiaTheme="minorHAnsi"/>
          <w:lang w:eastAsia="en-GB"/>
        </w:rPr>
        <w:t xml:space="preserve">Medical educators are experienced </w:t>
      </w:r>
      <w:r w:rsidR="00E37DAD">
        <w:rPr>
          <w:rFonts w:eastAsiaTheme="minorHAnsi"/>
          <w:lang w:eastAsia="en-GB"/>
        </w:rPr>
        <w:t>GPs</w:t>
      </w:r>
      <w:r w:rsidRPr="00E37DAD">
        <w:rPr>
          <w:rFonts w:eastAsiaTheme="minorHAnsi"/>
          <w:lang w:eastAsia="en-GB"/>
        </w:rPr>
        <w:t xml:space="preserve"> who are fellows of the College. There are two types of medical educators - lead and facilitating medical educators. Facilitating medical educators provide input and delivery of educational workshops. </w:t>
      </w:r>
      <w:r w:rsidR="006A1253" w:rsidRPr="00E37DAD">
        <w:rPr>
          <w:rFonts w:eastAsiaTheme="minorHAnsi"/>
          <w:lang w:eastAsia="en-GB"/>
        </w:rPr>
        <w:t xml:space="preserve">There is one Māori lead medical educator and six Māori </w:t>
      </w:r>
      <w:r w:rsidR="00E37DAD">
        <w:rPr>
          <w:rFonts w:eastAsiaTheme="minorHAnsi"/>
          <w:lang w:eastAsia="en-GB"/>
        </w:rPr>
        <w:t xml:space="preserve">facilitating </w:t>
      </w:r>
      <w:r w:rsidR="006A1253" w:rsidRPr="00E37DAD">
        <w:rPr>
          <w:rFonts w:eastAsiaTheme="minorHAnsi"/>
          <w:lang w:eastAsia="en-GB"/>
        </w:rPr>
        <w:t>medical educators.  The GPEP Chief Examiner-Clinical is Māori, as is one of the two clinical leads employed by the College.</w:t>
      </w:r>
    </w:p>
    <w:p w14:paraId="51FB2FDD" w14:textId="0D24EB20" w:rsidR="0073377D" w:rsidRDefault="0073377D" w:rsidP="0073377D">
      <w:pPr>
        <w:rPr>
          <w:rFonts w:eastAsiaTheme="minorHAnsi"/>
          <w:lang w:eastAsia="en-GB"/>
        </w:rPr>
      </w:pPr>
      <w:r w:rsidRPr="00E37DAD">
        <w:rPr>
          <w:rFonts w:eastAsiaTheme="minorHAnsi"/>
          <w:lang w:eastAsia="en-GB"/>
        </w:rPr>
        <w:lastRenderedPageBreak/>
        <w:t xml:space="preserve">Lead medical educators provide educational support, pastoral care and address any associated issues and queries from registrars, teachers, and practices. Lead medical educators are required </w:t>
      </w:r>
      <w:r w:rsidR="00E37DAD">
        <w:rPr>
          <w:rFonts w:eastAsiaTheme="minorHAnsi"/>
          <w:lang w:eastAsia="en-GB"/>
        </w:rPr>
        <w:t xml:space="preserve">to </w:t>
      </w:r>
      <w:r w:rsidR="006A1253" w:rsidRPr="00E37DAD">
        <w:rPr>
          <w:rFonts w:eastAsiaTheme="minorHAnsi"/>
          <w:lang w:eastAsia="en-GB"/>
        </w:rPr>
        <w:t xml:space="preserve">provide some oversight for the delivery of the curriculum, work with </w:t>
      </w:r>
      <w:proofErr w:type="gramStart"/>
      <w:r w:rsidR="006A1253" w:rsidRPr="00E37DAD">
        <w:rPr>
          <w:rFonts w:eastAsiaTheme="minorHAnsi"/>
          <w:lang w:eastAsia="en-GB"/>
        </w:rPr>
        <w:t>College</w:t>
      </w:r>
      <w:proofErr w:type="gramEnd"/>
      <w:r w:rsidR="006A1253" w:rsidRPr="00E37DAD">
        <w:rPr>
          <w:rFonts w:eastAsiaTheme="minorHAnsi"/>
          <w:lang w:eastAsia="en-GB"/>
        </w:rPr>
        <w:t xml:space="preserve"> staff to facilitate guest speakers and presenters, and help facilitate the placement of registrars to practices. Medical educators are primarily responsible for running weekly seminar training </w:t>
      </w:r>
      <w:proofErr w:type="gramStart"/>
      <w:r w:rsidR="006A1253" w:rsidRPr="00E37DAD">
        <w:rPr>
          <w:rFonts w:eastAsiaTheme="minorHAnsi"/>
          <w:lang w:eastAsia="en-GB"/>
        </w:rPr>
        <w:t>days, and</w:t>
      </w:r>
      <w:proofErr w:type="gramEnd"/>
      <w:r w:rsidR="006A1253" w:rsidRPr="00E37DAD">
        <w:rPr>
          <w:rFonts w:eastAsiaTheme="minorHAnsi"/>
          <w:lang w:eastAsia="en-GB"/>
        </w:rPr>
        <w:t xml:space="preserve"> provide ongoing pastoral care to GPEP</w:t>
      </w:r>
      <w:r w:rsidR="0084002B" w:rsidRPr="00E37DAD">
        <w:rPr>
          <w:rFonts w:eastAsiaTheme="minorHAnsi"/>
          <w:lang w:eastAsia="en-GB"/>
        </w:rPr>
        <w:t xml:space="preserve"> </w:t>
      </w:r>
      <w:r w:rsidR="006A1253" w:rsidRPr="00E37DAD">
        <w:rPr>
          <w:rFonts w:eastAsiaTheme="minorHAnsi"/>
          <w:lang w:eastAsia="en-GB"/>
        </w:rPr>
        <w:t>1 registrars.  Medical educators receive additional funded time to complete practice visits to assess registrars’ progress and teaching quality.</w:t>
      </w:r>
    </w:p>
    <w:p w14:paraId="2C680847" w14:textId="77777777" w:rsidR="0073377D" w:rsidRDefault="0073377D" w:rsidP="0073377D">
      <w:pPr>
        <w:pStyle w:val="Quotes"/>
      </w:pPr>
      <w:r>
        <w:t>That is another big part of the role and people do that to various levels. We support the practices, the teachers and the practice managers to get new teachers on board, getting new practices to host a registrar. Needing to know what is going on in the whole region regarding workforce, practice struggles and difficultie. You are constantly connected in because you don't want to have your registrars struggling. (Medical Educator)</w:t>
      </w:r>
    </w:p>
    <w:p w14:paraId="2E126136" w14:textId="5018369D" w:rsidR="0073377D" w:rsidRDefault="0073377D" w:rsidP="0073377D">
      <w:r>
        <w:t>Medical educators commonly noted the financial penalties they experienced in accepting the role. They considered their workloads were not adequately reflected in their pay. Although the</w:t>
      </w:r>
      <w:r w:rsidR="001967A0">
        <w:t>ir</w:t>
      </w:r>
      <w:r>
        <w:t xml:space="preserve"> workload exceeded the financial gain, medical educators said they generally undertook their roles because of their passion for general practice, primary </w:t>
      </w:r>
      <w:proofErr w:type="gramStart"/>
      <w:r>
        <w:t>care</w:t>
      </w:r>
      <w:proofErr w:type="gramEnd"/>
      <w:r>
        <w:t xml:space="preserve"> and community health. Positive experiences, role models and robust support during general practice journeys also contributed to GPs being medical educators. </w:t>
      </w:r>
    </w:p>
    <w:p w14:paraId="12283128" w14:textId="77777777" w:rsidR="0073377D" w:rsidRDefault="0073377D" w:rsidP="0073377D">
      <w:pPr>
        <w:pStyle w:val="Quotes"/>
        <w:rPr>
          <w:lang w:val="en-GB"/>
        </w:rPr>
      </w:pPr>
      <w:r>
        <w:rPr>
          <w:lang w:val="en-GB"/>
        </w:rPr>
        <w:t>I wanted to be a teacher before I became a doctor, but I love medicine and general practice so I was wanting to do what I could to encourage others to do general practice. I wanted to give back, a lot of people supported me as I went through my journey. (Medical Educator)</w:t>
      </w:r>
    </w:p>
    <w:p w14:paraId="2AF28B86" w14:textId="7A7EFC3D" w:rsidR="0073377D" w:rsidRDefault="0073377D" w:rsidP="0073377D">
      <w:pPr>
        <w:rPr>
          <w:lang w:val="en-GB"/>
        </w:rPr>
      </w:pPr>
      <w:r>
        <w:rPr>
          <w:lang w:val="en-GB"/>
        </w:rPr>
        <w:t>Registrars responding to the survey were generally positive about the support they received from their medical educators (</w:t>
      </w:r>
      <w:r>
        <w:rPr>
          <w:lang w:val="en-GB"/>
        </w:rPr>
        <w:fldChar w:fldCharType="begin"/>
      </w:r>
      <w:r>
        <w:rPr>
          <w:lang w:val="en-GB"/>
        </w:rPr>
        <w:instrText xml:space="preserve"> REF _Ref104130417 \h </w:instrText>
      </w:r>
      <w:r>
        <w:rPr>
          <w:lang w:val="en-GB"/>
        </w:rPr>
      </w:r>
      <w:r>
        <w:rPr>
          <w:lang w:val="en-GB"/>
        </w:rPr>
        <w:fldChar w:fldCharType="separate"/>
      </w:r>
      <w:r w:rsidR="005E0451">
        <w:t xml:space="preserve">Figure </w:t>
      </w:r>
      <w:r w:rsidR="005E0451">
        <w:rPr>
          <w:noProof/>
        </w:rPr>
        <w:t>12</w:t>
      </w:r>
      <w:r>
        <w:rPr>
          <w:lang w:val="en-GB"/>
        </w:rPr>
        <w:fldChar w:fldCharType="end"/>
      </w:r>
      <w:r>
        <w:rPr>
          <w:lang w:val="en-GB"/>
        </w:rPr>
        <w:t>).</w:t>
      </w:r>
    </w:p>
    <w:p w14:paraId="35DF4BCD" w14:textId="77777777" w:rsidR="0073377D" w:rsidRDefault="0073377D" w:rsidP="0073377D">
      <w:pPr>
        <w:keepNext/>
      </w:pPr>
      <w:r>
        <w:rPr>
          <w:noProof/>
        </w:rPr>
        <w:lastRenderedPageBreak/>
        <w:drawing>
          <wp:inline distT="0" distB="0" distL="0" distR="0" wp14:anchorId="25781575" wp14:editId="3409F100">
            <wp:extent cx="4855295" cy="2139950"/>
            <wp:effectExtent l="0" t="0" r="2540" b="0"/>
            <wp:docPr id="22" name="Picture 21" descr="Chart&#10;&#10;Description automatically generated">
              <a:extLst xmlns:a="http://schemas.openxmlformats.org/drawingml/2006/main">
                <a:ext uri="{FF2B5EF4-FFF2-40B4-BE49-F238E27FC236}">
                  <a16:creationId xmlns:a16="http://schemas.microsoft.com/office/drawing/2014/main" id="{4954AB4E-2E85-D5D0-2FB4-8D5E1346E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Chart&#10;&#10;Description automatically generated">
                      <a:extLst>
                        <a:ext uri="{FF2B5EF4-FFF2-40B4-BE49-F238E27FC236}">
                          <a16:creationId xmlns:a16="http://schemas.microsoft.com/office/drawing/2014/main" id="{4954AB4E-2E85-D5D0-2FB4-8D5E1346EE5A}"/>
                        </a:ext>
                      </a:extLst>
                    </pic:cNvPr>
                    <pic:cNvPicPr>
                      <a:picLocks noChangeAspect="1"/>
                    </pic:cNvPicPr>
                  </pic:nvPicPr>
                  <pic:blipFill>
                    <a:blip r:embed="rId30"/>
                    <a:stretch>
                      <a:fillRect/>
                    </a:stretch>
                  </pic:blipFill>
                  <pic:spPr>
                    <a:xfrm>
                      <a:off x="0" y="0"/>
                      <a:ext cx="4861160" cy="2142535"/>
                    </a:xfrm>
                    <a:prstGeom prst="rect">
                      <a:avLst/>
                    </a:prstGeom>
                  </pic:spPr>
                </pic:pic>
              </a:graphicData>
            </a:graphic>
          </wp:inline>
        </w:drawing>
      </w:r>
    </w:p>
    <w:p w14:paraId="526BD32F" w14:textId="46CAB1EC" w:rsidR="0073377D" w:rsidRPr="00CB5526" w:rsidRDefault="0073377D" w:rsidP="0084002B">
      <w:pPr>
        <w:pStyle w:val="Caption"/>
        <w:rPr>
          <w:rFonts w:eastAsiaTheme="minorHAnsi"/>
          <w:lang w:eastAsia="en-GB"/>
        </w:rPr>
      </w:pPr>
      <w:bookmarkStart w:id="73" w:name="_Ref104130417"/>
      <w:r>
        <w:t xml:space="preserve">Figure </w:t>
      </w:r>
      <w:r>
        <w:fldChar w:fldCharType="begin"/>
      </w:r>
      <w:r>
        <w:instrText>SEQ Figure \* ARABIC</w:instrText>
      </w:r>
      <w:r>
        <w:fldChar w:fldCharType="separate"/>
      </w:r>
      <w:r w:rsidR="005E0451">
        <w:rPr>
          <w:noProof/>
        </w:rPr>
        <w:t>12</w:t>
      </w:r>
      <w:r>
        <w:fldChar w:fldCharType="end"/>
      </w:r>
      <w:bookmarkEnd w:id="73"/>
      <w:r>
        <w:t xml:space="preserve">. </w:t>
      </w:r>
      <w:r w:rsidR="00492890">
        <w:t>Current and past r</w:t>
      </w:r>
      <w:r>
        <w:t>egistrar perceptions of medical educator support in GPEP 1 by employer</w:t>
      </w:r>
      <w:r w:rsidR="00155632">
        <w:t>. T</w:t>
      </w:r>
      <w:r>
        <w:t>hose who rated 3 and 4 on a scale from 1 (strongly disagree) to 4 (strongly agree) (n=408-409).</w:t>
      </w:r>
    </w:p>
    <w:p w14:paraId="25944BF4" w14:textId="77777777" w:rsidR="0073377D" w:rsidRDefault="0073377D" w:rsidP="00DB5B4E">
      <w:pPr>
        <w:pStyle w:val="Mala3"/>
      </w:pPr>
      <w:r>
        <w:t>Medical education workshops</w:t>
      </w:r>
    </w:p>
    <w:p w14:paraId="4532A73B" w14:textId="77777777" w:rsidR="0073377D" w:rsidRPr="00CB5526" w:rsidRDefault="0073377D" w:rsidP="0073377D">
      <w:pPr>
        <w:pStyle w:val="Malanorm"/>
        <w:rPr>
          <w:rFonts w:eastAsiaTheme="minorHAnsi"/>
          <w:lang w:eastAsia="en-GB"/>
        </w:rPr>
      </w:pPr>
      <w:r>
        <w:rPr>
          <w:rFonts w:eastAsiaTheme="minorHAnsi"/>
          <w:lang w:eastAsia="en-GB"/>
        </w:rPr>
        <w:t xml:space="preserve">Participants were generally positive about the medical education workshops. </w:t>
      </w:r>
      <w:r>
        <w:rPr>
          <w:rFonts w:eastAsiaTheme="minorHAnsi"/>
        </w:rPr>
        <w:t xml:space="preserve">Some participants discussed the need to provide a local approach particularly for registrars in rural settings </w:t>
      </w:r>
      <w:r>
        <w:rPr>
          <w:rFonts w:eastAsiaTheme="minorHAnsi"/>
          <w:lang w:eastAsia="en-GB"/>
        </w:rPr>
        <w:t xml:space="preserve">and high needs practices. </w:t>
      </w:r>
    </w:p>
    <w:p w14:paraId="7F4004BA" w14:textId="74D93202" w:rsidR="0073377D" w:rsidRPr="00812F44" w:rsidRDefault="0073377D" w:rsidP="0073377D">
      <w:pPr>
        <w:rPr>
          <w:rFonts w:eastAsiaTheme="minorHAnsi"/>
          <w:lang w:val="en-GB"/>
        </w:rPr>
      </w:pPr>
      <w:r>
        <w:rPr>
          <w:rFonts w:eastAsiaTheme="minorHAnsi"/>
        </w:rPr>
        <w:t>The weekly medical educat</w:t>
      </w:r>
      <w:r w:rsidR="00CD74A8">
        <w:rPr>
          <w:rFonts w:eastAsiaTheme="minorHAnsi"/>
        </w:rPr>
        <w:t>ion</w:t>
      </w:r>
      <w:r>
        <w:rPr>
          <w:rFonts w:eastAsiaTheme="minorHAnsi"/>
        </w:rPr>
        <w:t xml:space="preserve"> workshops were time-consuming and required a lot of travel for registrars in rural and remote communities. Some medical educators travelled to provide sessions in regional localities. However, </w:t>
      </w:r>
      <w:r w:rsidR="00F31013">
        <w:rPr>
          <w:rFonts w:eastAsiaTheme="minorHAnsi"/>
        </w:rPr>
        <w:t xml:space="preserve">the challenges of </w:t>
      </w:r>
      <w:r w:rsidR="006A1253">
        <w:rPr>
          <w:rFonts w:eastAsiaTheme="minorHAnsi"/>
        </w:rPr>
        <w:t xml:space="preserve">registrar </w:t>
      </w:r>
      <w:r>
        <w:rPr>
          <w:rFonts w:eastAsiaTheme="minorHAnsi"/>
        </w:rPr>
        <w:t xml:space="preserve">travel had to be balanced against the advantages of opportunities to know their peers and to debrief with peers who understood their journey. Debriefing and reflective practice was particularly important for rurally isolated registrars. </w:t>
      </w:r>
    </w:p>
    <w:p w14:paraId="56023CEB" w14:textId="07BFA068" w:rsidR="0073377D" w:rsidRPr="000911AB" w:rsidRDefault="0073377D" w:rsidP="0073377D">
      <w:pPr>
        <w:pStyle w:val="Quotes"/>
        <w:rPr>
          <w:lang w:val="en-GB"/>
        </w:rPr>
      </w:pPr>
      <w:r>
        <w:rPr>
          <w:lang w:val="en-GB"/>
        </w:rPr>
        <w:t>GPEP 1 I think we have worked really hard to make that wrap around. We are aware that many of our new registrars are transitioning f</w:t>
      </w:r>
      <w:r w:rsidR="00C74B23">
        <w:rPr>
          <w:lang w:val="en-GB"/>
        </w:rPr>
        <w:t>ro</w:t>
      </w:r>
      <w:r>
        <w:rPr>
          <w:lang w:val="en-GB"/>
        </w:rPr>
        <w:t>m only ever working in a hospital. We worked hard to put a good wrap around service in the practices in their learning and their learning groups. (Medical Educat</w:t>
      </w:r>
      <w:r w:rsidR="00A33308">
        <w:rPr>
          <w:lang w:val="en-GB"/>
        </w:rPr>
        <w:t>or</w:t>
      </w:r>
      <w:r>
        <w:rPr>
          <w:lang w:val="en-GB"/>
        </w:rPr>
        <w:t>)</w:t>
      </w:r>
    </w:p>
    <w:p w14:paraId="4EA45ABE" w14:textId="2B4B7591" w:rsidR="0073377D" w:rsidRDefault="00CA311C" w:rsidP="00A16840">
      <w:pPr>
        <w:pStyle w:val="Heading2"/>
      </w:pPr>
      <w:bookmarkStart w:id="74" w:name="_Toc105853918"/>
      <w:r>
        <w:t>Teaching fellows</w:t>
      </w:r>
      <w:bookmarkEnd w:id="74"/>
    </w:p>
    <w:p w14:paraId="011861E2" w14:textId="77777777" w:rsidR="0068585D" w:rsidRDefault="0068585D" w:rsidP="0068585D">
      <w:r>
        <w:t>Requirements to be a GPEP teacher are to:</w:t>
      </w:r>
    </w:p>
    <w:p w14:paraId="1F6FD1CD" w14:textId="77777777" w:rsidR="0068585D" w:rsidRPr="00774B97" w:rsidRDefault="0068585D" w:rsidP="0068585D">
      <w:pPr>
        <w:pStyle w:val="Bulleted"/>
      </w:pPr>
      <w:r>
        <w:t>be a</w:t>
      </w:r>
      <w:r w:rsidRPr="00774B97">
        <w:t xml:space="preserve"> Fellow of the College</w:t>
      </w:r>
    </w:p>
    <w:p w14:paraId="1FD06FE1" w14:textId="77777777" w:rsidR="0068585D" w:rsidRPr="00774B97" w:rsidRDefault="0068585D" w:rsidP="0068585D">
      <w:pPr>
        <w:pStyle w:val="Bulleted"/>
      </w:pPr>
      <w:r w:rsidRPr="00774B97">
        <w:t>hold a current practicing certificate from MCNZ</w:t>
      </w:r>
    </w:p>
    <w:p w14:paraId="1A60D7E1" w14:textId="77777777" w:rsidR="0068585D" w:rsidRPr="00774B97" w:rsidRDefault="0068585D" w:rsidP="0068585D">
      <w:pPr>
        <w:pStyle w:val="Bulleted"/>
      </w:pPr>
      <w:r w:rsidRPr="00774B97">
        <w:t>practice for at least two tenths a week</w:t>
      </w:r>
    </w:p>
    <w:p w14:paraId="1046995D" w14:textId="77777777" w:rsidR="0068585D" w:rsidRPr="00774B97" w:rsidRDefault="0068585D" w:rsidP="0068585D">
      <w:pPr>
        <w:pStyle w:val="Bulleted"/>
      </w:pPr>
      <w:r w:rsidRPr="00774B97">
        <w:t>work within a teaching practice</w:t>
      </w:r>
    </w:p>
    <w:p w14:paraId="7F762C9B" w14:textId="4742D173" w:rsidR="0068585D" w:rsidRDefault="0068585D" w:rsidP="0068585D">
      <w:pPr>
        <w:pStyle w:val="Bulleted"/>
      </w:pPr>
      <w:r w:rsidRPr="00774B97">
        <w:t>participate in </w:t>
      </w:r>
      <w:r>
        <w:t>Continuing Professional Development</w:t>
      </w:r>
      <w:r w:rsidR="006B6A89">
        <w:t xml:space="preserve">. </w:t>
      </w:r>
    </w:p>
    <w:p w14:paraId="3498BE02" w14:textId="026165C6" w:rsidR="0068585D" w:rsidRDefault="0068585D" w:rsidP="0068585D">
      <w:pPr>
        <w:rPr>
          <w:lang w:val="en-GB"/>
        </w:rPr>
      </w:pPr>
      <w:r>
        <w:rPr>
          <w:lang w:val="en-GB"/>
        </w:rPr>
        <w:lastRenderedPageBreak/>
        <w:t xml:space="preserve">The teachers must </w:t>
      </w:r>
      <w:r w:rsidR="00D27CF2">
        <w:rPr>
          <w:lang w:val="en-GB"/>
        </w:rPr>
        <w:t>be always on-site</w:t>
      </w:r>
      <w:r>
        <w:rPr>
          <w:lang w:val="en-GB"/>
        </w:rPr>
        <w:t xml:space="preserve"> to provide support for registrars. Some teachers</w:t>
      </w:r>
      <w:r w:rsidR="003720F7">
        <w:rPr>
          <w:lang w:val="en-GB"/>
        </w:rPr>
        <w:t>,</w:t>
      </w:r>
      <w:r>
        <w:rPr>
          <w:lang w:val="en-GB"/>
        </w:rPr>
        <w:t xml:space="preserve"> </w:t>
      </w:r>
      <w:r w:rsidR="003720F7">
        <w:rPr>
          <w:lang w:val="en-GB"/>
        </w:rPr>
        <w:t xml:space="preserve">generally teachers who worked part-time, </w:t>
      </w:r>
      <w:r>
        <w:rPr>
          <w:lang w:val="en-GB"/>
        </w:rPr>
        <w:t>described a shared role with other fellows in the practice. Some teachers who split the role recognised the expertise within the practice and felt registrars would benefit from having exposure to different skill sets.</w:t>
      </w:r>
    </w:p>
    <w:p w14:paraId="73327351" w14:textId="77777777" w:rsidR="00762823" w:rsidRDefault="0068585D" w:rsidP="00762823">
      <w:pPr>
        <w:rPr>
          <w:lang w:val="en-GB"/>
        </w:rPr>
      </w:pPr>
      <w:r>
        <w:rPr>
          <w:lang w:val="en-GB"/>
        </w:rPr>
        <w:t xml:space="preserve">Teachers were expected to provide weekly supervision of 1.5 hours. Registrars and teachers generally agreed on a suitable model. Some registrars completed the supervision on one day, others caught up in smaller intervals across the week. </w:t>
      </w:r>
    </w:p>
    <w:p w14:paraId="270AF30D" w14:textId="37E00028" w:rsidR="00762823" w:rsidRDefault="00762823" w:rsidP="00762823">
      <w:pPr>
        <w:rPr>
          <w:lang w:val="en-GB"/>
        </w:rPr>
      </w:pPr>
      <w:r>
        <w:rPr>
          <w:lang w:val="en-GB"/>
        </w:rPr>
        <w:t>Teachers noted the registrars required intensive support on their first run and that there is considerable variation between individuals. Teachers described the type of support they provided as including (but not limited to):</w:t>
      </w:r>
    </w:p>
    <w:p w14:paraId="6A1B107D" w14:textId="6709665C" w:rsidR="00762823" w:rsidRDefault="006D0622" w:rsidP="00762823">
      <w:pPr>
        <w:pStyle w:val="Bulleted"/>
        <w:rPr>
          <w:lang w:val="en-GB"/>
        </w:rPr>
      </w:pPr>
      <w:r>
        <w:rPr>
          <w:lang w:val="en-GB"/>
        </w:rPr>
        <w:t>c</w:t>
      </w:r>
      <w:r w:rsidR="00762823">
        <w:rPr>
          <w:lang w:val="en-GB"/>
        </w:rPr>
        <w:t xml:space="preserve">hecking notes </w:t>
      </w:r>
    </w:p>
    <w:p w14:paraId="2B54724A" w14:textId="6EA8D047" w:rsidR="00762823" w:rsidRDefault="006D0622" w:rsidP="00762823">
      <w:pPr>
        <w:pStyle w:val="Bulleted"/>
        <w:rPr>
          <w:lang w:val="en-GB"/>
        </w:rPr>
      </w:pPr>
      <w:r>
        <w:rPr>
          <w:lang w:val="en-GB"/>
        </w:rPr>
        <w:t>o</w:t>
      </w:r>
      <w:r w:rsidR="00762823">
        <w:rPr>
          <w:lang w:val="en-GB"/>
        </w:rPr>
        <w:t xml:space="preserve">bserving consults </w:t>
      </w:r>
    </w:p>
    <w:p w14:paraId="61B1436B" w14:textId="5D4B3378" w:rsidR="00762823" w:rsidRDefault="006D0622" w:rsidP="00762823">
      <w:pPr>
        <w:pStyle w:val="Bulleted"/>
        <w:rPr>
          <w:lang w:val="en-GB"/>
        </w:rPr>
      </w:pPr>
      <w:r>
        <w:rPr>
          <w:lang w:val="en-GB"/>
        </w:rPr>
        <w:t>d</w:t>
      </w:r>
      <w:r w:rsidR="00762823">
        <w:rPr>
          <w:lang w:val="en-GB"/>
        </w:rPr>
        <w:t xml:space="preserve">ebrief sessions </w:t>
      </w:r>
    </w:p>
    <w:p w14:paraId="68744519" w14:textId="29027037" w:rsidR="00762823" w:rsidRDefault="006D0622" w:rsidP="00762823">
      <w:pPr>
        <w:pStyle w:val="Bulleted"/>
        <w:rPr>
          <w:lang w:val="en-GB"/>
        </w:rPr>
      </w:pPr>
      <w:r>
        <w:rPr>
          <w:lang w:val="en-GB"/>
        </w:rPr>
        <w:t>d</w:t>
      </w:r>
      <w:r w:rsidR="00762823">
        <w:rPr>
          <w:lang w:val="en-GB"/>
        </w:rPr>
        <w:t xml:space="preserve">ay-to-day pastoral care </w:t>
      </w:r>
    </w:p>
    <w:p w14:paraId="4F8BB922" w14:textId="0FE77F84" w:rsidR="00762823" w:rsidRPr="004C0E54" w:rsidRDefault="006D0622" w:rsidP="00762823">
      <w:pPr>
        <w:pStyle w:val="Bulleted"/>
        <w:rPr>
          <w:lang w:val="en-GB"/>
        </w:rPr>
      </w:pPr>
      <w:r>
        <w:rPr>
          <w:lang w:val="en-GB"/>
        </w:rPr>
        <w:t>i</w:t>
      </w:r>
      <w:r w:rsidR="00762823">
        <w:rPr>
          <w:lang w:val="en-GB"/>
        </w:rPr>
        <w:t>nformal corridor discussions and answering questions</w:t>
      </w:r>
      <w:r w:rsidR="005477FD">
        <w:rPr>
          <w:lang w:val="en-GB"/>
        </w:rPr>
        <w:t>.</w:t>
      </w:r>
      <w:r w:rsidR="00762823">
        <w:rPr>
          <w:lang w:val="en-GB"/>
        </w:rPr>
        <w:t xml:space="preserve"> </w:t>
      </w:r>
    </w:p>
    <w:p w14:paraId="3E4A1A27" w14:textId="77777777" w:rsidR="00762823" w:rsidRDefault="00762823" w:rsidP="00762823">
      <w:pPr>
        <w:pStyle w:val="Quotes"/>
      </w:pPr>
      <w:r>
        <w:t>So my in house support was case based discussions on a daily basis and an hour and a half of teaching a week. And we had sometimes discussed pastoral staff if I needed it. (Registrar)</w:t>
      </w:r>
    </w:p>
    <w:p w14:paraId="62BE3255" w14:textId="717EF08B" w:rsidR="0068585D" w:rsidRDefault="0068585D" w:rsidP="0068585D">
      <w:pPr>
        <w:rPr>
          <w:lang w:val="en-GB"/>
        </w:rPr>
      </w:pPr>
      <w:r>
        <w:rPr>
          <w:lang w:val="en-GB"/>
        </w:rPr>
        <w:t xml:space="preserve">Teachers commonly stressed the actual time spent supporting registrars on a weekly basis completely exceeded the funded FTE from the College. </w:t>
      </w:r>
      <w:r w:rsidR="003720F7">
        <w:rPr>
          <w:lang w:val="en-GB"/>
        </w:rPr>
        <w:t xml:space="preserve">Many teachers spent lunch breaks and </w:t>
      </w:r>
      <w:r w:rsidR="00A40887">
        <w:rPr>
          <w:lang w:val="en-GB"/>
        </w:rPr>
        <w:t xml:space="preserve">worked </w:t>
      </w:r>
      <w:r w:rsidR="003720F7">
        <w:rPr>
          <w:lang w:val="en-GB"/>
        </w:rPr>
        <w:t>after</w:t>
      </w:r>
      <w:r w:rsidR="00A40887">
        <w:rPr>
          <w:lang w:val="en-GB"/>
        </w:rPr>
        <w:t>-</w:t>
      </w:r>
      <w:r w:rsidR="003720F7">
        <w:rPr>
          <w:lang w:val="en-GB"/>
        </w:rPr>
        <w:t>hours supporting registrars in their practice.</w:t>
      </w:r>
    </w:p>
    <w:p w14:paraId="0328F8D1" w14:textId="77777777" w:rsidR="003720F7" w:rsidRDefault="003720F7" w:rsidP="003720F7">
      <w:pPr>
        <w:pStyle w:val="Quotes"/>
        <w:rPr>
          <w:lang w:val="en-GB"/>
        </w:rPr>
      </w:pPr>
      <w:r w:rsidRPr="004A2919">
        <w:rPr>
          <w:lang w:val="en-GB"/>
        </w:rPr>
        <w:t>We can only block 15 minutes out per session so I work through my lunch time. In the first three to six months I am spending an hour at lunch time and an hour at the end of the day plus the interruptions to pop out to see an ear or rash so you are doing two hours plus a day checking things and there is no way we could take me off the floor for two hours with what the college pays. They are essentially paying you for 15 to 30 minutes.</w:t>
      </w:r>
      <w:r>
        <w:rPr>
          <w:lang w:val="en-GB"/>
        </w:rPr>
        <w:t xml:space="preserve"> (Teacher)</w:t>
      </w:r>
    </w:p>
    <w:p w14:paraId="47F58297" w14:textId="5899DAE7" w:rsidR="002A11B9" w:rsidRDefault="002A11B9" w:rsidP="00E37DAD">
      <w:pPr>
        <w:pStyle w:val="Mala3"/>
        <w:keepNext/>
        <w:ind w:hanging="992"/>
      </w:pPr>
      <w:r>
        <w:t>Registrar satisfaction</w:t>
      </w:r>
    </w:p>
    <w:p w14:paraId="216FB380" w14:textId="0AB05566" w:rsidR="00E37DAD" w:rsidRDefault="00E37DAD" w:rsidP="00072E7D">
      <w:r>
        <w:rPr>
          <w:rFonts w:eastAsiaTheme="minorHAnsi"/>
        </w:rPr>
        <w:t>Most registrars felt well supported by their teaching fellows through mentorship, clinical supervision, corridor conversations and general support (</w:t>
      </w:r>
      <w:r>
        <w:rPr>
          <w:rFonts w:eastAsiaTheme="minorHAnsi"/>
        </w:rPr>
        <w:fldChar w:fldCharType="begin"/>
      </w:r>
      <w:r>
        <w:rPr>
          <w:rFonts w:eastAsiaTheme="minorHAnsi"/>
        </w:rPr>
        <w:instrText xml:space="preserve"> REF _Ref104130523 \h </w:instrText>
      </w:r>
      <w:r>
        <w:rPr>
          <w:rFonts w:eastAsiaTheme="minorHAnsi"/>
        </w:rPr>
      </w:r>
      <w:r>
        <w:rPr>
          <w:rFonts w:eastAsiaTheme="minorHAnsi"/>
        </w:rPr>
        <w:instrText xml:space="preserve"> \* MERGEFORMAT </w:instrText>
      </w:r>
      <w:r>
        <w:rPr>
          <w:rFonts w:eastAsiaTheme="minorHAnsi"/>
        </w:rPr>
        <w:fldChar w:fldCharType="separate"/>
      </w:r>
      <w:r w:rsidR="005E0451">
        <w:t xml:space="preserve">Figure </w:t>
      </w:r>
      <w:r w:rsidR="005E0451">
        <w:rPr>
          <w:noProof/>
        </w:rPr>
        <w:t>13</w:t>
      </w:r>
      <w:r>
        <w:rPr>
          <w:rFonts w:eastAsiaTheme="minorHAnsi"/>
        </w:rPr>
        <w:fldChar w:fldCharType="end"/>
      </w:r>
      <w:r>
        <w:rPr>
          <w:rFonts w:eastAsiaTheme="minorHAnsi"/>
        </w:rPr>
        <w:t>).</w:t>
      </w:r>
    </w:p>
    <w:p w14:paraId="2B12BD2C" w14:textId="77777777" w:rsidR="00072E7D" w:rsidRPr="00DB5B4E" w:rsidRDefault="00072E7D" w:rsidP="00072E7D">
      <w:pPr>
        <w:rPr>
          <w:rFonts w:eastAsiaTheme="minorHAnsi"/>
          <w:b/>
        </w:rPr>
      </w:pPr>
      <w:r w:rsidRPr="00DB5B4E">
        <w:rPr>
          <w:lang w:eastAsia="en-GB"/>
        </w:rPr>
        <w:t xml:space="preserve">Many interviewed registrars described a good relationship with their teacher and of feeling valued in the practice. </w:t>
      </w:r>
      <w:r w:rsidRPr="00DB5B4E">
        <w:t>Though the expectations of providing a placement were clearly stated, some registrars shared examples of covering GP teacher caseloads, and practicing while fellows were off site.</w:t>
      </w:r>
      <w:r w:rsidRPr="00DB5B4E">
        <w:rPr>
          <w:b/>
          <w:bCs/>
        </w:rPr>
        <w:t xml:space="preserve"> </w:t>
      </w:r>
    </w:p>
    <w:p w14:paraId="1EFC276E" w14:textId="6F285FA1" w:rsidR="002A11B9" w:rsidRPr="00DE60DB" w:rsidRDefault="002A11B9" w:rsidP="00E37DAD">
      <w:pPr>
        <w:pageBreakBefore/>
        <w:rPr>
          <w:rFonts w:eastAsiaTheme="minorHAnsi"/>
          <w:lang w:eastAsia="en-GB"/>
        </w:rPr>
      </w:pPr>
      <w:r>
        <w:rPr>
          <w:noProof/>
        </w:rPr>
        <w:lastRenderedPageBreak/>
        <w:drawing>
          <wp:inline distT="0" distB="0" distL="0" distR="0" wp14:anchorId="631D8254" wp14:editId="66C4DACE">
            <wp:extent cx="4788003" cy="3175000"/>
            <wp:effectExtent l="0" t="0" r="0" b="6350"/>
            <wp:docPr id="20" name="Picture 19" descr="Chart&#10;&#10;Description automatically generated">
              <a:extLst xmlns:a="http://schemas.openxmlformats.org/drawingml/2006/main">
                <a:ext uri="{FF2B5EF4-FFF2-40B4-BE49-F238E27FC236}">
                  <a16:creationId xmlns:a16="http://schemas.microsoft.com/office/drawing/2014/main" id="{B140DF25-A14F-B2BC-A3E8-B27C31AFF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Chart&#10;&#10;Description automatically generated">
                      <a:extLst>
                        <a:ext uri="{FF2B5EF4-FFF2-40B4-BE49-F238E27FC236}">
                          <a16:creationId xmlns:a16="http://schemas.microsoft.com/office/drawing/2014/main" id="{B140DF25-A14F-B2BC-A3E8-B27C31AFFC3C}"/>
                        </a:ext>
                      </a:extLst>
                    </pic:cNvPr>
                    <pic:cNvPicPr>
                      <a:picLocks noChangeAspect="1"/>
                    </pic:cNvPicPr>
                  </pic:nvPicPr>
                  <pic:blipFill>
                    <a:blip r:embed="rId31"/>
                    <a:stretch>
                      <a:fillRect/>
                    </a:stretch>
                  </pic:blipFill>
                  <pic:spPr>
                    <a:xfrm>
                      <a:off x="0" y="0"/>
                      <a:ext cx="4790218" cy="3176469"/>
                    </a:xfrm>
                    <a:prstGeom prst="rect">
                      <a:avLst/>
                    </a:prstGeom>
                  </pic:spPr>
                </pic:pic>
              </a:graphicData>
            </a:graphic>
          </wp:inline>
        </w:drawing>
      </w:r>
    </w:p>
    <w:p w14:paraId="4A8172CA" w14:textId="335F0DAF" w:rsidR="002A11B9" w:rsidRDefault="002A11B9" w:rsidP="0084002B">
      <w:pPr>
        <w:pStyle w:val="Caption"/>
        <w:rPr>
          <w:rFonts w:eastAsiaTheme="minorHAnsi"/>
        </w:rPr>
      </w:pPr>
      <w:bookmarkStart w:id="75" w:name="_Ref104130523"/>
      <w:r>
        <w:t xml:space="preserve">Figure </w:t>
      </w:r>
      <w:fldSimple w:instr=" SEQ Figure \* ARABIC ">
        <w:r w:rsidR="005E0451">
          <w:rPr>
            <w:noProof/>
          </w:rPr>
          <w:t>13</w:t>
        </w:r>
      </w:fldSimple>
      <w:bookmarkEnd w:id="75"/>
      <w:r>
        <w:t>.</w:t>
      </w:r>
      <w:r w:rsidR="00492890">
        <w:t xml:space="preserve"> Current and past r</w:t>
      </w:r>
      <w:r>
        <w:t xml:space="preserve">egistrar </w:t>
      </w:r>
      <w:r w:rsidR="00492890">
        <w:t xml:space="preserve">survey - </w:t>
      </w:r>
      <w:r>
        <w:t>perceptions of practice support in their last GPEP 1 placement by employer</w:t>
      </w:r>
      <w:r w:rsidR="00155632">
        <w:t>. T</w:t>
      </w:r>
      <w:r>
        <w:t>hose who rated 3 and 4 on a scale from 1 (strongly disagree) to 4 (strongly agree) (n=406-407).</w:t>
      </w:r>
    </w:p>
    <w:p w14:paraId="7B0662C7" w14:textId="607C4A6D" w:rsidR="00512A05" w:rsidRDefault="00512A05" w:rsidP="00DB5B4E">
      <w:pPr>
        <w:pStyle w:val="Mala3"/>
      </w:pPr>
      <w:r>
        <w:t>Profile of accredited teachers</w:t>
      </w:r>
    </w:p>
    <w:p w14:paraId="491FA5B3" w14:textId="0AE060DD" w:rsidR="00EF0D8A" w:rsidRDefault="00EF0D8A" w:rsidP="00F1141C">
      <w:pPr>
        <w:spacing w:before="240" w:after="60"/>
      </w:pPr>
      <w:r>
        <w:t xml:space="preserve">There were 557 teachers listed </w:t>
      </w:r>
      <w:r w:rsidR="009770D1">
        <w:t>i</w:t>
      </w:r>
      <w:r>
        <w:t xml:space="preserve">n the data provided by the College. </w:t>
      </w:r>
      <w:r w:rsidR="00F1141C">
        <w:t>Compared to the populations they support, t</w:t>
      </w:r>
      <w:r>
        <w:t>here were differences in the demographic profiles of GPEP teachers (</w:t>
      </w:r>
      <w:r>
        <w:fldChar w:fldCharType="begin"/>
      </w:r>
      <w:r>
        <w:instrText xml:space="preserve"> REF _Ref104133835 \h </w:instrText>
      </w:r>
      <w:r>
        <w:fldChar w:fldCharType="separate"/>
      </w:r>
      <w:r w:rsidR="005E0451">
        <w:t xml:space="preserve">Table </w:t>
      </w:r>
      <w:r w:rsidR="005E0451">
        <w:rPr>
          <w:noProof/>
        </w:rPr>
        <w:t>10</w:t>
      </w:r>
      <w:r>
        <w:fldChar w:fldCharType="end"/>
      </w:r>
      <w:r>
        <w:t>):</w:t>
      </w:r>
    </w:p>
    <w:p w14:paraId="1D5B014C" w14:textId="7D1750B0" w:rsidR="00EF0D8A" w:rsidRDefault="00EF0D8A" w:rsidP="00EF0D8A">
      <w:pPr>
        <w:pStyle w:val="Bulleted"/>
      </w:pPr>
      <w:r>
        <w:t>Higher proportions are male (58%)</w:t>
      </w:r>
    </w:p>
    <w:p w14:paraId="6FA753AF" w14:textId="7AA7FB9E" w:rsidR="00EF0D8A" w:rsidRDefault="00EF0D8A" w:rsidP="00EF0D8A">
      <w:pPr>
        <w:pStyle w:val="Bulleted"/>
      </w:pPr>
      <w:r>
        <w:t>Most teachers are European (75%) or Asian (16%) with very few Māori or Pacific teachers</w:t>
      </w:r>
    </w:p>
    <w:p w14:paraId="4C344D26" w14:textId="0A82D0AA" w:rsidR="00921E5E" w:rsidRDefault="001D55F5" w:rsidP="00EF0D8A">
      <w:pPr>
        <w:pStyle w:val="Bulleted"/>
      </w:pPr>
      <w:r>
        <w:t xml:space="preserve">Teachers tended to be in the older age groups with </w:t>
      </w:r>
      <w:r w:rsidR="00921E5E">
        <w:t>69% aged over 50 years</w:t>
      </w:r>
      <w:r w:rsidR="009770D1">
        <w:t>.</w:t>
      </w:r>
    </w:p>
    <w:p w14:paraId="47397F46" w14:textId="403EE4AF" w:rsidR="00A55BE9" w:rsidRDefault="00A55BE9" w:rsidP="00072E7D">
      <w:pPr>
        <w:pStyle w:val="Caption"/>
        <w:pageBreakBefore/>
      </w:pPr>
      <w:bookmarkStart w:id="76" w:name="_Ref104133835"/>
      <w:r>
        <w:lastRenderedPageBreak/>
        <w:t xml:space="preserve">Table </w:t>
      </w:r>
      <w:r>
        <w:fldChar w:fldCharType="begin"/>
      </w:r>
      <w:r>
        <w:instrText>SEQ Table \* ARABIC</w:instrText>
      </w:r>
      <w:r>
        <w:fldChar w:fldCharType="separate"/>
      </w:r>
      <w:r w:rsidR="005E0451">
        <w:rPr>
          <w:noProof/>
        </w:rPr>
        <w:t>10</w:t>
      </w:r>
      <w:r>
        <w:fldChar w:fldCharType="end"/>
      </w:r>
      <w:bookmarkEnd w:id="76"/>
      <w:r>
        <w:t xml:space="preserve">. RNZCGP data profile of accredited teachers </w:t>
      </w:r>
      <w:r>
        <w:rPr>
          <w:noProof/>
        </w:rPr>
        <w:t>(n=</w:t>
      </w:r>
      <w:r w:rsidR="00C75EB2">
        <w:rPr>
          <w:noProof/>
        </w:rPr>
        <w:t>38</w:t>
      </w:r>
      <w:r w:rsidR="00242EC2">
        <w:rPr>
          <w:noProof/>
        </w:rPr>
        <w:t>3</w:t>
      </w:r>
      <w:r w:rsidR="00C75EB2">
        <w:rPr>
          <w:noProof/>
        </w:rPr>
        <w:t>-</w:t>
      </w:r>
      <w:r>
        <w:rPr>
          <w:noProof/>
        </w:rPr>
        <w:t>5</w:t>
      </w:r>
      <w:r w:rsidR="002F6E39">
        <w:rPr>
          <w:noProof/>
        </w:rPr>
        <w:t>79</w:t>
      </w:r>
      <w:r>
        <w:rPr>
          <w:noProof/>
        </w:rPr>
        <w:t>).</w:t>
      </w:r>
    </w:p>
    <w:tbl>
      <w:tblPr>
        <w:tblStyle w:val="MITableClassic"/>
        <w:tblW w:w="0" w:type="auto"/>
        <w:tblLook w:val="04A0" w:firstRow="1" w:lastRow="0" w:firstColumn="1" w:lastColumn="0" w:noHBand="0" w:noVBand="1"/>
      </w:tblPr>
      <w:tblGrid>
        <w:gridCol w:w="1436"/>
        <w:gridCol w:w="3384"/>
        <w:gridCol w:w="1346"/>
        <w:gridCol w:w="1442"/>
      </w:tblGrid>
      <w:tr w:rsidR="006D3D69" w:rsidRPr="009770D1" w14:paraId="5324D00D" w14:textId="77777777" w:rsidTr="00937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6" w:type="dxa"/>
          </w:tcPr>
          <w:p w14:paraId="7ECDD18E" w14:textId="77777777" w:rsidR="00082FE7" w:rsidRPr="009770D1" w:rsidRDefault="00082FE7" w:rsidP="00406BC4">
            <w:pPr>
              <w:keepNext w:val="0"/>
              <w:keepLines/>
              <w:spacing w:before="0" w:after="0"/>
              <w:rPr>
                <w:rFonts w:cs="Calibri"/>
                <w:sz w:val="20"/>
                <w:szCs w:val="20"/>
                <w:lang w:eastAsia="en-GB"/>
              </w:rPr>
            </w:pPr>
          </w:p>
        </w:tc>
        <w:tc>
          <w:tcPr>
            <w:tcW w:w="3384" w:type="dxa"/>
          </w:tcPr>
          <w:p w14:paraId="38ED2FD8" w14:textId="77777777" w:rsidR="00082FE7" w:rsidRPr="009770D1" w:rsidRDefault="00082FE7" w:rsidP="00406BC4">
            <w:pPr>
              <w:keepNext w:val="0"/>
              <w:keepLines/>
              <w:spacing w:before="0" w:after="0"/>
              <w:cnfStyle w:val="100000000000" w:firstRow="1" w:lastRow="0" w:firstColumn="0" w:lastColumn="0" w:oddVBand="0" w:evenVBand="0" w:oddHBand="0" w:evenHBand="0" w:firstRowFirstColumn="0" w:firstRowLastColumn="0" w:lastRowFirstColumn="0" w:lastRowLastColumn="0"/>
              <w:rPr>
                <w:rFonts w:cs="Calibri"/>
                <w:i/>
                <w:iCs/>
                <w:sz w:val="20"/>
                <w:szCs w:val="20"/>
                <w:lang w:eastAsia="en-GB"/>
              </w:rPr>
            </w:pPr>
          </w:p>
        </w:tc>
        <w:tc>
          <w:tcPr>
            <w:tcW w:w="1346" w:type="dxa"/>
            <w:vAlign w:val="center"/>
          </w:tcPr>
          <w:p w14:paraId="7E5143A9" w14:textId="1E0629F1" w:rsidR="00082FE7" w:rsidRPr="009770D1" w:rsidRDefault="00E265C9" w:rsidP="00406BC4">
            <w:pPr>
              <w:keepNext w:val="0"/>
              <w:keepLines/>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n</w:t>
            </w:r>
          </w:p>
        </w:tc>
        <w:tc>
          <w:tcPr>
            <w:tcW w:w="1442" w:type="dxa"/>
            <w:vAlign w:val="center"/>
          </w:tcPr>
          <w:p w14:paraId="0E9DB491" w14:textId="380AECDE" w:rsidR="00082FE7" w:rsidRPr="009770D1" w:rsidRDefault="00422C1E" w:rsidP="00406BC4">
            <w:pPr>
              <w:keepNext w:val="0"/>
              <w:keepLines/>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w:t>
            </w:r>
          </w:p>
        </w:tc>
      </w:tr>
      <w:tr w:rsidR="000D587C" w:rsidRPr="009770D1" w14:paraId="426BA577" w14:textId="77777777" w:rsidTr="0093769F">
        <w:tc>
          <w:tcPr>
            <w:cnfStyle w:val="001000000000" w:firstRow="0" w:lastRow="0" w:firstColumn="1" w:lastColumn="0" w:oddVBand="0" w:evenVBand="0" w:oddHBand="0" w:evenHBand="0" w:firstRowFirstColumn="0" w:firstRowLastColumn="0" w:lastRowFirstColumn="0" w:lastRowLastColumn="0"/>
            <w:tcW w:w="1436" w:type="dxa"/>
          </w:tcPr>
          <w:p w14:paraId="4B014720" w14:textId="77777777" w:rsidR="000D587C" w:rsidRPr="009770D1" w:rsidRDefault="000D587C" w:rsidP="00406BC4">
            <w:pPr>
              <w:keepNext w:val="0"/>
              <w:keepLines/>
              <w:spacing w:before="0" w:after="0"/>
              <w:rPr>
                <w:rFonts w:cs="Calibri"/>
                <w:b/>
                <w:bCs/>
                <w:sz w:val="20"/>
                <w:szCs w:val="20"/>
                <w:lang w:eastAsia="en-GB"/>
              </w:rPr>
            </w:pPr>
            <w:r w:rsidRPr="009770D1">
              <w:rPr>
                <w:rFonts w:cs="Calibri"/>
                <w:b/>
                <w:bCs/>
                <w:sz w:val="20"/>
                <w:szCs w:val="20"/>
                <w:lang w:eastAsia="en-GB"/>
              </w:rPr>
              <w:t>Gender</w:t>
            </w:r>
          </w:p>
          <w:p w14:paraId="1F967ABD" w14:textId="1AB21AD9" w:rsidR="000D587C" w:rsidRPr="009770D1" w:rsidRDefault="00801D9D" w:rsidP="00406BC4">
            <w:pPr>
              <w:keepNext w:val="0"/>
              <w:keepLines/>
              <w:spacing w:before="0" w:after="0"/>
              <w:rPr>
                <w:rFonts w:cs="Calibri"/>
                <w:b/>
                <w:bCs/>
                <w:sz w:val="20"/>
                <w:szCs w:val="20"/>
                <w:lang w:eastAsia="en-GB"/>
              </w:rPr>
            </w:pPr>
            <w:r w:rsidRPr="009770D1">
              <w:rPr>
                <w:rFonts w:cs="Calibri"/>
                <w:b/>
                <w:bCs/>
                <w:sz w:val="20"/>
                <w:szCs w:val="20"/>
                <w:lang w:eastAsia="en-GB"/>
              </w:rPr>
              <w:t>(n=557)</w:t>
            </w:r>
          </w:p>
        </w:tc>
        <w:tc>
          <w:tcPr>
            <w:tcW w:w="3384" w:type="dxa"/>
          </w:tcPr>
          <w:p w14:paraId="6AEF5596" w14:textId="10C78D79" w:rsidR="000D587C" w:rsidRPr="009770D1" w:rsidRDefault="000D587C"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Male</w:t>
            </w:r>
            <w:r w:rsidRPr="009770D1">
              <w:rPr>
                <w:rFonts w:cs="Calibri"/>
                <w:sz w:val="20"/>
                <w:szCs w:val="20"/>
                <w:lang w:eastAsia="en-GB"/>
              </w:rPr>
              <w:br/>
              <w:t>Female</w:t>
            </w:r>
          </w:p>
        </w:tc>
        <w:tc>
          <w:tcPr>
            <w:tcW w:w="1346" w:type="dxa"/>
            <w:vAlign w:val="center"/>
          </w:tcPr>
          <w:p w14:paraId="5469013A" w14:textId="77777777" w:rsidR="000D587C" w:rsidRPr="009770D1" w:rsidRDefault="000D587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323</w:t>
            </w:r>
          </w:p>
          <w:p w14:paraId="7AB34CC8" w14:textId="49DD5D5F" w:rsidR="000D587C" w:rsidRPr="009770D1" w:rsidRDefault="000D587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234</w:t>
            </w:r>
          </w:p>
        </w:tc>
        <w:tc>
          <w:tcPr>
            <w:tcW w:w="1442" w:type="dxa"/>
            <w:vAlign w:val="center"/>
          </w:tcPr>
          <w:p w14:paraId="2A5C580E" w14:textId="77777777" w:rsidR="000D587C" w:rsidRPr="009770D1" w:rsidRDefault="000D587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58%</w:t>
            </w:r>
          </w:p>
          <w:p w14:paraId="4B958712" w14:textId="17FD77A5" w:rsidR="000D587C" w:rsidRPr="009770D1" w:rsidRDefault="000D587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42%</w:t>
            </w:r>
          </w:p>
        </w:tc>
      </w:tr>
      <w:tr w:rsidR="009D2519" w:rsidRPr="009770D1" w14:paraId="3319D5BB" w14:textId="77777777" w:rsidTr="0093769F">
        <w:trPr>
          <w:trHeight w:val="812"/>
        </w:trPr>
        <w:tc>
          <w:tcPr>
            <w:cnfStyle w:val="001000000000" w:firstRow="0" w:lastRow="0" w:firstColumn="1" w:lastColumn="0" w:oddVBand="0" w:evenVBand="0" w:oddHBand="0" w:evenHBand="0" w:firstRowFirstColumn="0" w:firstRowLastColumn="0" w:lastRowFirstColumn="0" w:lastRowLastColumn="0"/>
            <w:tcW w:w="1436" w:type="dxa"/>
          </w:tcPr>
          <w:p w14:paraId="0B205BE4" w14:textId="77777777" w:rsidR="00B04708" w:rsidRPr="009770D1" w:rsidRDefault="00B04708" w:rsidP="00406BC4">
            <w:pPr>
              <w:keepNext w:val="0"/>
              <w:keepLines/>
              <w:spacing w:before="0" w:after="0"/>
              <w:rPr>
                <w:rFonts w:cs="Calibri"/>
                <w:b/>
                <w:bCs/>
                <w:sz w:val="20"/>
                <w:szCs w:val="20"/>
                <w:lang w:eastAsia="en-GB"/>
              </w:rPr>
            </w:pPr>
            <w:r w:rsidRPr="009770D1">
              <w:rPr>
                <w:rFonts w:cs="Calibri"/>
                <w:b/>
                <w:bCs/>
                <w:sz w:val="20"/>
                <w:szCs w:val="20"/>
                <w:lang w:eastAsia="en-GB"/>
              </w:rPr>
              <w:t>Ethnicity</w:t>
            </w:r>
          </w:p>
          <w:p w14:paraId="464E7776" w14:textId="0D7EE884" w:rsidR="00B04708" w:rsidRPr="009770D1" w:rsidRDefault="00801D9D" w:rsidP="00406BC4">
            <w:pPr>
              <w:keepNext w:val="0"/>
              <w:keepLines/>
              <w:spacing w:before="0" w:after="0"/>
              <w:rPr>
                <w:rFonts w:cs="Calibri"/>
                <w:b/>
                <w:bCs/>
                <w:sz w:val="20"/>
                <w:szCs w:val="20"/>
                <w:lang w:eastAsia="en-GB"/>
              </w:rPr>
            </w:pPr>
            <w:r w:rsidRPr="009770D1">
              <w:rPr>
                <w:rFonts w:cs="Calibri"/>
                <w:b/>
                <w:bCs/>
                <w:sz w:val="20"/>
                <w:szCs w:val="20"/>
                <w:lang w:eastAsia="en-GB"/>
              </w:rPr>
              <w:t>(n=</w:t>
            </w:r>
            <w:r w:rsidR="002F6E39" w:rsidRPr="009770D1">
              <w:rPr>
                <w:rFonts w:cs="Calibri"/>
                <w:b/>
                <w:bCs/>
                <w:sz w:val="20"/>
                <w:szCs w:val="20"/>
                <w:lang w:eastAsia="en-GB"/>
              </w:rPr>
              <w:t>579)</w:t>
            </w:r>
          </w:p>
        </w:tc>
        <w:tc>
          <w:tcPr>
            <w:tcW w:w="3384" w:type="dxa"/>
          </w:tcPr>
          <w:p w14:paraId="1688B076"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European</w:t>
            </w:r>
          </w:p>
          <w:p w14:paraId="14E667A0"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Asian</w:t>
            </w:r>
          </w:p>
          <w:p w14:paraId="662226E9"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Pacific</w:t>
            </w:r>
          </w:p>
          <w:p w14:paraId="473BA4EA"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Māori</w:t>
            </w:r>
          </w:p>
          <w:p w14:paraId="4B49C38E" w14:textId="563290E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Other</w:t>
            </w:r>
          </w:p>
        </w:tc>
        <w:tc>
          <w:tcPr>
            <w:tcW w:w="1346" w:type="dxa"/>
            <w:vAlign w:val="center"/>
          </w:tcPr>
          <w:p w14:paraId="2053B024"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432</w:t>
            </w:r>
          </w:p>
          <w:p w14:paraId="45990E66"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91</w:t>
            </w:r>
          </w:p>
          <w:p w14:paraId="1BCA372C"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12</w:t>
            </w:r>
          </w:p>
          <w:p w14:paraId="37B35DD7"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26</w:t>
            </w:r>
          </w:p>
          <w:p w14:paraId="67E008AF" w14:textId="7723C630"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26</w:t>
            </w:r>
          </w:p>
        </w:tc>
        <w:tc>
          <w:tcPr>
            <w:tcW w:w="1442" w:type="dxa"/>
            <w:vAlign w:val="center"/>
          </w:tcPr>
          <w:p w14:paraId="0F332F95"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75%</w:t>
            </w:r>
          </w:p>
          <w:p w14:paraId="39B5173C"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16%</w:t>
            </w:r>
          </w:p>
          <w:p w14:paraId="734923CC"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w:t>
            </w:r>
          </w:p>
          <w:p w14:paraId="57EF427E"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p w14:paraId="18BA0335" w14:textId="10D6BF82"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tc>
      </w:tr>
      <w:tr w:rsidR="009D2519" w:rsidRPr="009770D1" w14:paraId="7D2BD590" w14:textId="77777777" w:rsidTr="0093769F">
        <w:trPr>
          <w:trHeight w:val="281"/>
        </w:trPr>
        <w:tc>
          <w:tcPr>
            <w:cnfStyle w:val="001000000000" w:firstRow="0" w:lastRow="0" w:firstColumn="1" w:lastColumn="0" w:oddVBand="0" w:evenVBand="0" w:oddHBand="0" w:evenHBand="0" w:firstRowFirstColumn="0" w:firstRowLastColumn="0" w:lastRowFirstColumn="0" w:lastRowLastColumn="0"/>
            <w:tcW w:w="1436" w:type="dxa"/>
          </w:tcPr>
          <w:p w14:paraId="7341F4E6" w14:textId="77777777" w:rsidR="00B04708" w:rsidRPr="009770D1" w:rsidRDefault="00B04708" w:rsidP="00406BC4">
            <w:pPr>
              <w:keepNext w:val="0"/>
              <w:keepLines/>
              <w:spacing w:before="0" w:after="0"/>
              <w:rPr>
                <w:rFonts w:cs="Calibri"/>
                <w:b/>
                <w:bCs/>
                <w:sz w:val="20"/>
                <w:szCs w:val="20"/>
                <w:lang w:eastAsia="en-GB"/>
              </w:rPr>
            </w:pPr>
            <w:r w:rsidRPr="009770D1">
              <w:rPr>
                <w:rFonts w:cs="Calibri"/>
                <w:b/>
                <w:bCs/>
                <w:sz w:val="20"/>
                <w:szCs w:val="20"/>
                <w:lang w:eastAsia="en-GB"/>
              </w:rPr>
              <w:t>Age</w:t>
            </w:r>
          </w:p>
          <w:p w14:paraId="7118CD5C" w14:textId="2E252207" w:rsidR="00B04708" w:rsidRPr="009770D1" w:rsidRDefault="00781CEE" w:rsidP="00406BC4">
            <w:pPr>
              <w:keepNext w:val="0"/>
              <w:keepLines/>
              <w:spacing w:before="0" w:after="0"/>
              <w:rPr>
                <w:rFonts w:cs="Calibri"/>
                <w:b/>
                <w:bCs/>
                <w:sz w:val="20"/>
                <w:szCs w:val="20"/>
                <w:lang w:eastAsia="en-GB"/>
              </w:rPr>
            </w:pPr>
            <w:r w:rsidRPr="009770D1">
              <w:rPr>
                <w:rFonts w:cs="Calibri"/>
                <w:b/>
                <w:bCs/>
                <w:sz w:val="20"/>
                <w:szCs w:val="20"/>
                <w:lang w:eastAsia="en-GB"/>
              </w:rPr>
              <w:t>(n=557)</w:t>
            </w:r>
          </w:p>
        </w:tc>
        <w:tc>
          <w:tcPr>
            <w:tcW w:w="3384" w:type="dxa"/>
          </w:tcPr>
          <w:p w14:paraId="4A798DEC"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20-34</w:t>
            </w:r>
          </w:p>
          <w:p w14:paraId="344668C8"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35-49</w:t>
            </w:r>
          </w:p>
          <w:p w14:paraId="0C2E9687" w14:textId="77777777"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50-64</w:t>
            </w:r>
          </w:p>
          <w:p w14:paraId="5F8B37D5" w14:textId="725172A9" w:rsidR="00B04708" w:rsidRPr="009770D1" w:rsidRDefault="00B04708"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65-79</w:t>
            </w:r>
          </w:p>
        </w:tc>
        <w:tc>
          <w:tcPr>
            <w:tcW w:w="1346" w:type="dxa"/>
            <w:vAlign w:val="center"/>
          </w:tcPr>
          <w:p w14:paraId="404C8ED6"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6</w:t>
            </w:r>
          </w:p>
          <w:p w14:paraId="54107BE3"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169</w:t>
            </w:r>
          </w:p>
          <w:p w14:paraId="176D8CA2"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298</w:t>
            </w:r>
          </w:p>
          <w:p w14:paraId="7AE9D87E" w14:textId="60B8DC2C"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84</w:t>
            </w:r>
          </w:p>
        </w:tc>
        <w:tc>
          <w:tcPr>
            <w:tcW w:w="1442" w:type="dxa"/>
            <w:vAlign w:val="center"/>
          </w:tcPr>
          <w:p w14:paraId="29DFB884"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w:t>
            </w:r>
          </w:p>
          <w:p w14:paraId="06B67274"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30%</w:t>
            </w:r>
          </w:p>
          <w:p w14:paraId="20517F18" w14:textId="77777777"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54%</w:t>
            </w:r>
          </w:p>
          <w:p w14:paraId="78234C1C" w14:textId="718582F9" w:rsidR="00B04708" w:rsidRPr="009770D1" w:rsidRDefault="00B0470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15%</w:t>
            </w:r>
          </w:p>
        </w:tc>
      </w:tr>
      <w:tr w:rsidR="009D2519" w:rsidRPr="009770D1" w14:paraId="47090D5F" w14:textId="77777777" w:rsidTr="0093769F">
        <w:trPr>
          <w:trHeight w:val="281"/>
        </w:trPr>
        <w:tc>
          <w:tcPr>
            <w:cnfStyle w:val="001000000000" w:firstRow="0" w:lastRow="0" w:firstColumn="1" w:lastColumn="0" w:oddVBand="0" w:evenVBand="0" w:oddHBand="0" w:evenHBand="0" w:firstRowFirstColumn="0" w:firstRowLastColumn="0" w:lastRowFirstColumn="0" w:lastRowLastColumn="0"/>
            <w:tcW w:w="1436" w:type="dxa"/>
          </w:tcPr>
          <w:p w14:paraId="461706CE" w14:textId="77777777" w:rsidR="008D63AF" w:rsidRPr="009770D1" w:rsidRDefault="008D63AF" w:rsidP="00406BC4">
            <w:pPr>
              <w:keepNext w:val="0"/>
              <w:keepLines/>
              <w:spacing w:before="0" w:after="0"/>
              <w:rPr>
                <w:rFonts w:cs="Calibri"/>
                <w:b/>
                <w:bCs/>
                <w:sz w:val="20"/>
                <w:szCs w:val="20"/>
                <w:lang w:eastAsia="en-GB"/>
              </w:rPr>
            </w:pPr>
            <w:r w:rsidRPr="009770D1">
              <w:rPr>
                <w:rFonts w:cs="Calibri"/>
                <w:b/>
                <w:bCs/>
                <w:sz w:val="20"/>
                <w:szCs w:val="20"/>
                <w:lang w:eastAsia="en-GB"/>
              </w:rPr>
              <w:t>Demographic</w:t>
            </w:r>
          </w:p>
          <w:p w14:paraId="766F8990" w14:textId="3A55F4AF" w:rsidR="008D63AF" w:rsidRPr="009770D1" w:rsidRDefault="008A19D3" w:rsidP="00406BC4">
            <w:pPr>
              <w:keepNext w:val="0"/>
              <w:keepLines/>
              <w:spacing w:before="0" w:after="0"/>
              <w:rPr>
                <w:rFonts w:cs="Calibri"/>
                <w:b/>
                <w:bCs/>
                <w:sz w:val="20"/>
                <w:szCs w:val="20"/>
                <w:lang w:eastAsia="en-GB"/>
              </w:rPr>
            </w:pPr>
            <w:r w:rsidRPr="009770D1">
              <w:rPr>
                <w:rFonts w:cs="Calibri"/>
                <w:b/>
                <w:bCs/>
                <w:sz w:val="20"/>
                <w:szCs w:val="20"/>
                <w:lang w:eastAsia="en-GB"/>
              </w:rPr>
              <w:t>(n=383)</w:t>
            </w:r>
          </w:p>
        </w:tc>
        <w:tc>
          <w:tcPr>
            <w:tcW w:w="3384" w:type="dxa"/>
          </w:tcPr>
          <w:p w14:paraId="404A5720" w14:textId="77777777" w:rsidR="008D63AF" w:rsidRPr="009770D1" w:rsidRDefault="008D63AF"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Rural</w:t>
            </w:r>
          </w:p>
          <w:p w14:paraId="5B8F75B3" w14:textId="77777777" w:rsidR="008D63AF" w:rsidRPr="009770D1" w:rsidRDefault="008D63AF"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Urban</w:t>
            </w:r>
          </w:p>
          <w:p w14:paraId="2FFD4E80" w14:textId="5BEF6EDB" w:rsidR="008D63AF" w:rsidRPr="009770D1" w:rsidRDefault="008D63AF"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Regional</w:t>
            </w:r>
          </w:p>
        </w:tc>
        <w:tc>
          <w:tcPr>
            <w:tcW w:w="1346" w:type="dxa"/>
            <w:vAlign w:val="center"/>
          </w:tcPr>
          <w:p w14:paraId="23B961A3" w14:textId="0B50B870" w:rsidR="008D63AF" w:rsidRPr="009770D1" w:rsidRDefault="008D63AF"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90</w:t>
            </w:r>
            <w:r w:rsidRPr="009770D1">
              <w:rPr>
                <w:rFonts w:cs="Calibri"/>
                <w:sz w:val="20"/>
                <w:szCs w:val="20"/>
                <w:lang w:eastAsia="en-GB"/>
              </w:rPr>
              <w:br/>
            </w:r>
            <w:r w:rsidR="001268B0" w:rsidRPr="009770D1">
              <w:rPr>
                <w:rFonts w:cs="Calibri"/>
                <w:sz w:val="20"/>
                <w:szCs w:val="20"/>
                <w:lang w:eastAsia="en-GB"/>
              </w:rPr>
              <w:t>262</w:t>
            </w:r>
            <w:r w:rsidR="001268B0" w:rsidRPr="009770D1">
              <w:rPr>
                <w:rFonts w:cs="Calibri"/>
                <w:sz w:val="20"/>
                <w:szCs w:val="20"/>
                <w:lang w:eastAsia="en-GB"/>
              </w:rPr>
              <w:br/>
              <w:t>31</w:t>
            </w:r>
          </w:p>
        </w:tc>
        <w:tc>
          <w:tcPr>
            <w:tcW w:w="1442" w:type="dxa"/>
            <w:vAlign w:val="center"/>
          </w:tcPr>
          <w:p w14:paraId="225CBA4B" w14:textId="77777777" w:rsidR="008D63AF" w:rsidRPr="009770D1" w:rsidRDefault="00786F73"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23%</w:t>
            </w:r>
            <w:r w:rsidRPr="009770D1">
              <w:rPr>
                <w:rFonts w:cs="Calibri"/>
                <w:sz w:val="20"/>
                <w:szCs w:val="20"/>
                <w:lang w:eastAsia="en-GB"/>
              </w:rPr>
              <w:br/>
              <w:t>68%</w:t>
            </w:r>
          </w:p>
          <w:p w14:paraId="19E37B97" w14:textId="37FF34D8" w:rsidR="00786F73" w:rsidRPr="009770D1" w:rsidRDefault="00786F73"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8%</w:t>
            </w:r>
          </w:p>
        </w:tc>
      </w:tr>
      <w:tr w:rsidR="009D2519" w:rsidRPr="009770D1" w14:paraId="7C39DEC6" w14:textId="77777777" w:rsidTr="0093769F">
        <w:trPr>
          <w:trHeight w:val="281"/>
        </w:trPr>
        <w:tc>
          <w:tcPr>
            <w:cnfStyle w:val="001000000000" w:firstRow="0" w:lastRow="0" w:firstColumn="1" w:lastColumn="0" w:oddVBand="0" w:evenVBand="0" w:oddHBand="0" w:evenHBand="0" w:firstRowFirstColumn="0" w:firstRowLastColumn="0" w:lastRowFirstColumn="0" w:lastRowLastColumn="0"/>
            <w:tcW w:w="1436" w:type="dxa"/>
          </w:tcPr>
          <w:p w14:paraId="7F33C7FA" w14:textId="77777777" w:rsidR="008D63AF" w:rsidRPr="009770D1" w:rsidRDefault="00CB4A7D" w:rsidP="00406BC4">
            <w:pPr>
              <w:keepNext w:val="0"/>
              <w:keepLines/>
              <w:spacing w:before="0" w:after="0"/>
              <w:rPr>
                <w:rFonts w:cs="Calibri"/>
                <w:b/>
                <w:bCs/>
                <w:sz w:val="20"/>
                <w:szCs w:val="20"/>
                <w:lang w:eastAsia="en-GB"/>
              </w:rPr>
            </w:pPr>
            <w:r w:rsidRPr="009770D1">
              <w:rPr>
                <w:rFonts w:cs="Calibri"/>
                <w:b/>
                <w:bCs/>
                <w:sz w:val="20"/>
                <w:szCs w:val="20"/>
                <w:lang w:eastAsia="en-GB"/>
              </w:rPr>
              <w:t>Location</w:t>
            </w:r>
          </w:p>
          <w:p w14:paraId="7D737C28" w14:textId="008087D5" w:rsidR="008D63AF" w:rsidRPr="009770D1" w:rsidRDefault="004749CB" w:rsidP="00406BC4">
            <w:pPr>
              <w:keepNext w:val="0"/>
              <w:keepLines/>
              <w:spacing w:before="0" w:after="0"/>
              <w:rPr>
                <w:rFonts w:cs="Calibri"/>
                <w:b/>
                <w:bCs/>
                <w:sz w:val="20"/>
                <w:szCs w:val="20"/>
                <w:lang w:eastAsia="en-GB"/>
              </w:rPr>
            </w:pPr>
            <w:r w:rsidRPr="009770D1">
              <w:rPr>
                <w:rFonts w:cs="Calibri"/>
                <w:b/>
                <w:bCs/>
                <w:sz w:val="20"/>
                <w:szCs w:val="20"/>
                <w:lang w:eastAsia="en-GB"/>
              </w:rPr>
              <w:t>(n=385)</w:t>
            </w:r>
          </w:p>
        </w:tc>
        <w:tc>
          <w:tcPr>
            <w:tcW w:w="3384" w:type="dxa"/>
          </w:tcPr>
          <w:p w14:paraId="7FE0C570" w14:textId="3F885247" w:rsidR="00F43F50" w:rsidRPr="009770D1" w:rsidRDefault="00F43F5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Northland</w:t>
            </w:r>
          </w:p>
          <w:p w14:paraId="6705AA88" w14:textId="021B4976" w:rsidR="00F43F50" w:rsidRPr="009770D1" w:rsidRDefault="00F43F5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Waitematā</w:t>
            </w:r>
          </w:p>
          <w:p w14:paraId="17A90AD9" w14:textId="1A85837C" w:rsidR="008D63AF" w:rsidRPr="009770D1" w:rsidRDefault="003E02F5"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Central Auckland</w:t>
            </w:r>
          </w:p>
          <w:p w14:paraId="7A07A454" w14:textId="079B59D9" w:rsidR="008311B0" w:rsidRPr="009770D1" w:rsidRDefault="008311B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South Auckland</w:t>
            </w:r>
          </w:p>
          <w:p w14:paraId="2B2DA97C" w14:textId="5E5F343C" w:rsidR="00F43F50" w:rsidRPr="009770D1" w:rsidRDefault="00F43F5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Bay of Plenty</w:t>
            </w:r>
            <w:r w:rsidR="006D3D69" w:rsidRPr="009770D1">
              <w:rPr>
                <w:rFonts w:cs="Calibri"/>
                <w:sz w:val="20"/>
                <w:szCs w:val="20"/>
                <w:lang w:eastAsia="en-GB"/>
              </w:rPr>
              <w:t>/Lakes</w:t>
            </w:r>
          </w:p>
          <w:p w14:paraId="3FD4FA05" w14:textId="25613698" w:rsidR="006D3D69" w:rsidRPr="009770D1" w:rsidRDefault="006D3D69"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Tairāwhiti</w:t>
            </w:r>
          </w:p>
          <w:p w14:paraId="4D8C732C" w14:textId="4BDEB971" w:rsidR="009B5715" w:rsidRPr="009770D1" w:rsidRDefault="009B5715"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Hawke’s Bay</w:t>
            </w:r>
          </w:p>
          <w:p w14:paraId="154EDCAA" w14:textId="2BC8B4CC" w:rsidR="009F0594" w:rsidRPr="009770D1" w:rsidRDefault="009F0594"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Waikato</w:t>
            </w:r>
          </w:p>
          <w:p w14:paraId="22E03A27" w14:textId="04F88793" w:rsidR="009F0594" w:rsidRPr="009770D1" w:rsidRDefault="009F0594"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Taranaki</w:t>
            </w:r>
          </w:p>
          <w:p w14:paraId="3810131D" w14:textId="1087665D" w:rsidR="009F0594" w:rsidRPr="009770D1" w:rsidRDefault="009D2519"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Whanganui/</w:t>
            </w:r>
            <w:proofErr w:type="spellStart"/>
            <w:r w:rsidRPr="009770D1">
              <w:rPr>
                <w:rFonts w:cs="Calibri"/>
                <w:sz w:val="20"/>
                <w:szCs w:val="20"/>
                <w:lang w:eastAsia="en-GB"/>
              </w:rPr>
              <w:t>MidCentral</w:t>
            </w:r>
            <w:proofErr w:type="spellEnd"/>
          </w:p>
          <w:p w14:paraId="3A2C3637" w14:textId="7EC75197" w:rsidR="00F43F50" w:rsidRPr="009770D1" w:rsidRDefault="008E67D9"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 xml:space="preserve">Capital </w:t>
            </w:r>
            <w:r w:rsidR="0093769F" w:rsidRPr="009770D1">
              <w:rPr>
                <w:rFonts w:cs="Calibri"/>
                <w:sz w:val="20"/>
                <w:szCs w:val="20"/>
                <w:lang w:eastAsia="en-GB"/>
              </w:rPr>
              <w:t>&amp;</w:t>
            </w:r>
            <w:r w:rsidRPr="009770D1">
              <w:rPr>
                <w:rFonts w:cs="Calibri"/>
                <w:sz w:val="20"/>
                <w:szCs w:val="20"/>
                <w:lang w:eastAsia="en-GB"/>
              </w:rPr>
              <w:t xml:space="preserve"> Coast/Hutt </w:t>
            </w:r>
            <w:r w:rsidR="0093769F" w:rsidRPr="009770D1">
              <w:rPr>
                <w:rFonts w:cs="Calibri"/>
                <w:sz w:val="20"/>
                <w:szCs w:val="20"/>
                <w:lang w:eastAsia="en-GB"/>
              </w:rPr>
              <w:t>&amp; Wairarapa</w:t>
            </w:r>
          </w:p>
          <w:p w14:paraId="79E7B8C6" w14:textId="32E21033" w:rsidR="00414AF0" w:rsidRPr="009770D1" w:rsidRDefault="00414AF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Nelson</w:t>
            </w:r>
            <w:r w:rsidR="009B5715" w:rsidRPr="009770D1">
              <w:rPr>
                <w:rFonts w:cs="Calibri"/>
                <w:sz w:val="20"/>
                <w:szCs w:val="20"/>
                <w:lang w:eastAsia="en-GB"/>
              </w:rPr>
              <w:t xml:space="preserve"> </w:t>
            </w:r>
            <w:r w:rsidRPr="009770D1">
              <w:rPr>
                <w:rFonts w:cs="Calibri"/>
                <w:sz w:val="20"/>
                <w:szCs w:val="20"/>
                <w:lang w:eastAsia="en-GB"/>
              </w:rPr>
              <w:t>Marlborough</w:t>
            </w:r>
          </w:p>
          <w:p w14:paraId="7F1896BA" w14:textId="2467CAF8" w:rsidR="00F43F50" w:rsidRPr="009770D1" w:rsidRDefault="00F43F50"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Canterbury</w:t>
            </w:r>
            <w:r w:rsidR="00FF7EA3" w:rsidRPr="009770D1">
              <w:rPr>
                <w:rFonts w:cs="Calibri"/>
                <w:sz w:val="20"/>
                <w:szCs w:val="20"/>
                <w:lang w:eastAsia="en-GB"/>
              </w:rPr>
              <w:t>/South Canterbury</w:t>
            </w:r>
          </w:p>
          <w:p w14:paraId="526F003E" w14:textId="0CD62DCD" w:rsidR="008311B0" w:rsidRPr="009770D1" w:rsidRDefault="009B5715" w:rsidP="00406BC4">
            <w:pPr>
              <w:keepNext w:val="0"/>
              <w:keepLines/>
              <w:spacing w:before="0" w:after="0"/>
              <w:jc w:val="right"/>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Southern</w:t>
            </w:r>
          </w:p>
        </w:tc>
        <w:tc>
          <w:tcPr>
            <w:tcW w:w="1346" w:type="dxa"/>
            <w:vAlign w:val="center"/>
          </w:tcPr>
          <w:p w14:paraId="58E18F63" w14:textId="77777777" w:rsidR="008D63AF" w:rsidRPr="009770D1" w:rsidRDefault="00FF7EA3"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16</w:t>
            </w:r>
          </w:p>
          <w:p w14:paraId="1853AC55" w14:textId="77777777" w:rsidR="00375218" w:rsidRPr="009770D1" w:rsidRDefault="0037521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38</w:t>
            </w:r>
          </w:p>
          <w:p w14:paraId="2F7E3F0A" w14:textId="77777777" w:rsidR="00BB43CC" w:rsidRPr="009770D1" w:rsidRDefault="00BB43C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50</w:t>
            </w:r>
          </w:p>
          <w:p w14:paraId="560895DD" w14:textId="77777777" w:rsidR="00A20FB7" w:rsidRPr="009770D1" w:rsidRDefault="00A20FB7"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27</w:t>
            </w:r>
          </w:p>
          <w:p w14:paraId="64D533B4" w14:textId="77777777" w:rsidR="006320D9" w:rsidRPr="009770D1" w:rsidRDefault="006320D9"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39</w:t>
            </w:r>
          </w:p>
          <w:p w14:paraId="56F0D4E9" w14:textId="77777777" w:rsidR="00970620" w:rsidRPr="009770D1" w:rsidRDefault="00970620"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8</w:t>
            </w:r>
          </w:p>
          <w:p w14:paraId="17F2C79D" w14:textId="77777777" w:rsidR="00603A3D" w:rsidRPr="009770D1" w:rsidRDefault="00603A3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14</w:t>
            </w:r>
          </w:p>
          <w:p w14:paraId="6A5D07FF"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35</w:t>
            </w:r>
          </w:p>
          <w:p w14:paraId="1C7168F1"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12</w:t>
            </w:r>
          </w:p>
          <w:p w14:paraId="4C611E52"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15</w:t>
            </w:r>
          </w:p>
          <w:p w14:paraId="53E18A89"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40</w:t>
            </w:r>
          </w:p>
          <w:p w14:paraId="4E13241B" w14:textId="77777777" w:rsidR="0076145D" w:rsidRPr="009770D1" w:rsidRDefault="0076145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17</w:t>
            </w:r>
          </w:p>
          <w:p w14:paraId="00B96167" w14:textId="77777777" w:rsidR="005B0B28" w:rsidRPr="009770D1" w:rsidRDefault="005B0B2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43</w:t>
            </w:r>
          </w:p>
          <w:p w14:paraId="07693227" w14:textId="287855CA" w:rsidR="00EE5584" w:rsidRPr="009770D1" w:rsidRDefault="00EE5584"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31</w:t>
            </w:r>
          </w:p>
        </w:tc>
        <w:tc>
          <w:tcPr>
            <w:tcW w:w="1442" w:type="dxa"/>
            <w:vAlign w:val="center"/>
          </w:tcPr>
          <w:p w14:paraId="6D2ABBB4" w14:textId="77777777" w:rsidR="008D63AF" w:rsidRPr="009770D1" w:rsidRDefault="00FF7EA3"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p w14:paraId="77213594" w14:textId="77777777" w:rsidR="00375218" w:rsidRPr="009770D1" w:rsidRDefault="0037521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10%</w:t>
            </w:r>
          </w:p>
          <w:p w14:paraId="704C6288" w14:textId="77777777" w:rsidR="00BB43CC" w:rsidRPr="009770D1" w:rsidRDefault="00BB43CC"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13%</w:t>
            </w:r>
          </w:p>
          <w:p w14:paraId="569E5CE0" w14:textId="77777777" w:rsidR="00A20FB7" w:rsidRPr="009770D1" w:rsidRDefault="00A20FB7"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7%</w:t>
            </w:r>
          </w:p>
          <w:p w14:paraId="1E269950" w14:textId="77777777" w:rsidR="006320D9" w:rsidRPr="009770D1" w:rsidRDefault="006320D9"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10%</w:t>
            </w:r>
          </w:p>
          <w:p w14:paraId="18DD4202" w14:textId="77777777" w:rsidR="00970620" w:rsidRPr="009770D1" w:rsidRDefault="00970620"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2%</w:t>
            </w:r>
          </w:p>
          <w:p w14:paraId="56F01A1B" w14:textId="77777777" w:rsidR="00603A3D" w:rsidRPr="009770D1" w:rsidRDefault="00603A3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p w14:paraId="72514F6A"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9%</w:t>
            </w:r>
          </w:p>
          <w:p w14:paraId="683956E0"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3%</w:t>
            </w:r>
          </w:p>
          <w:p w14:paraId="6635D8FA"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p w14:paraId="1177A329" w14:textId="77777777" w:rsidR="00FF22CD" w:rsidRPr="009770D1" w:rsidRDefault="00FF22C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10%</w:t>
            </w:r>
          </w:p>
          <w:p w14:paraId="1C8A2D06" w14:textId="77777777" w:rsidR="0076145D" w:rsidRPr="009770D1" w:rsidRDefault="0076145D"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4%</w:t>
            </w:r>
          </w:p>
          <w:p w14:paraId="4F15464B" w14:textId="77777777" w:rsidR="005B0B28" w:rsidRPr="009770D1" w:rsidRDefault="005B0B28"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11%</w:t>
            </w:r>
          </w:p>
          <w:p w14:paraId="69B5BDA9" w14:textId="2B862029" w:rsidR="00EE5584" w:rsidRPr="009770D1" w:rsidRDefault="00EE5584" w:rsidP="00406BC4">
            <w:pPr>
              <w:keepNext w:val="0"/>
              <w:keepLines/>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lang w:eastAsia="en-GB"/>
              </w:rPr>
            </w:pPr>
            <w:r w:rsidRPr="009770D1">
              <w:rPr>
                <w:rFonts w:cs="Calibri"/>
                <w:sz w:val="20"/>
                <w:szCs w:val="20"/>
                <w:lang w:eastAsia="en-GB"/>
              </w:rPr>
              <w:t>8%</w:t>
            </w:r>
          </w:p>
        </w:tc>
      </w:tr>
    </w:tbl>
    <w:p w14:paraId="5DD0AF25" w14:textId="77777777" w:rsidR="0029375C" w:rsidRDefault="0029375C" w:rsidP="0029375C"/>
    <w:p w14:paraId="0CC980DF" w14:textId="29DC0219" w:rsidR="004C0E54" w:rsidRPr="004C0E54" w:rsidRDefault="0029375C" w:rsidP="00DB5B4E">
      <w:pPr>
        <w:pStyle w:val="Mala3"/>
      </w:pPr>
      <w:r>
        <w:br w:type="column"/>
      </w:r>
      <w:r w:rsidR="008942B2" w:rsidRPr="00CB5526">
        <w:lastRenderedPageBreak/>
        <w:t>Reasons for becoming a teacher</w:t>
      </w:r>
    </w:p>
    <w:p w14:paraId="3B29F1B6" w14:textId="3D899E01" w:rsidR="009D5F7A" w:rsidRDefault="009D5F7A" w:rsidP="00D27982">
      <w:pPr>
        <w:rPr>
          <w:rFonts w:eastAsiaTheme="minorHAnsi"/>
          <w:lang w:eastAsia="en-GB"/>
        </w:rPr>
      </w:pPr>
      <w:r>
        <w:rPr>
          <w:rFonts w:eastAsiaTheme="minorHAnsi"/>
          <w:lang w:eastAsia="en-GB"/>
        </w:rPr>
        <w:t xml:space="preserve">In response to the survey, teachers </w:t>
      </w:r>
      <w:r w:rsidR="002255CD">
        <w:rPr>
          <w:rFonts w:eastAsiaTheme="minorHAnsi"/>
          <w:lang w:eastAsia="en-GB"/>
        </w:rPr>
        <w:t xml:space="preserve">rated </w:t>
      </w:r>
      <w:r w:rsidR="00155632">
        <w:rPr>
          <w:rFonts w:eastAsiaTheme="minorHAnsi"/>
          <w:lang w:eastAsia="en-GB"/>
        </w:rPr>
        <w:t xml:space="preserve">statements about </w:t>
      </w:r>
      <w:r w:rsidR="00F5795C">
        <w:rPr>
          <w:rFonts w:eastAsiaTheme="minorHAnsi"/>
          <w:lang w:eastAsia="en-GB"/>
        </w:rPr>
        <w:t>reasons for</w:t>
      </w:r>
      <w:r w:rsidR="002255CD">
        <w:rPr>
          <w:rFonts w:eastAsiaTheme="minorHAnsi"/>
          <w:lang w:eastAsia="en-GB"/>
        </w:rPr>
        <w:t xml:space="preserve"> becoming a GEPP 1 teacher</w:t>
      </w:r>
      <w:r w:rsidR="00F5795C">
        <w:rPr>
          <w:rFonts w:eastAsiaTheme="minorHAnsi"/>
          <w:lang w:eastAsia="en-GB"/>
        </w:rPr>
        <w:t>. The highest proportion of positive ratings were to contribute</w:t>
      </w:r>
      <w:r w:rsidR="002255CD">
        <w:rPr>
          <w:rFonts w:eastAsiaTheme="minorHAnsi"/>
          <w:lang w:eastAsia="en-GB"/>
        </w:rPr>
        <w:t xml:space="preserve"> to a sustainable general practice workforce and </w:t>
      </w:r>
      <w:r w:rsidR="001A6197">
        <w:rPr>
          <w:rFonts w:eastAsiaTheme="minorHAnsi"/>
          <w:lang w:eastAsia="en-GB"/>
        </w:rPr>
        <w:t>provid</w:t>
      </w:r>
      <w:r w:rsidR="00F5795C">
        <w:rPr>
          <w:rFonts w:eastAsiaTheme="minorHAnsi"/>
          <w:lang w:eastAsia="en-GB"/>
        </w:rPr>
        <w:t>e</w:t>
      </w:r>
      <w:r w:rsidR="001A6197">
        <w:rPr>
          <w:rFonts w:eastAsiaTheme="minorHAnsi"/>
          <w:lang w:eastAsia="en-GB"/>
        </w:rPr>
        <w:t xml:space="preserve"> training opportunities to support communities (</w:t>
      </w:r>
      <w:r w:rsidR="001A6197">
        <w:rPr>
          <w:rFonts w:eastAsiaTheme="minorHAnsi"/>
          <w:lang w:eastAsia="en-GB"/>
        </w:rPr>
        <w:fldChar w:fldCharType="begin"/>
      </w:r>
      <w:r w:rsidR="001A6197">
        <w:rPr>
          <w:rFonts w:eastAsiaTheme="minorHAnsi"/>
          <w:lang w:eastAsia="en-GB"/>
        </w:rPr>
        <w:instrText xml:space="preserve"> REF _Ref104134531 \h </w:instrText>
      </w:r>
      <w:r w:rsidR="001A6197">
        <w:rPr>
          <w:rFonts w:eastAsiaTheme="minorHAnsi"/>
          <w:lang w:eastAsia="en-GB"/>
        </w:rPr>
      </w:r>
      <w:r w:rsidR="001A6197">
        <w:rPr>
          <w:rFonts w:eastAsiaTheme="minorHAnsi"/>
          <w:lang w:eastAsia="en-GB"/>
        </w:rPr>
        <w:fldChar w:fldCharType="separate"/>
      </w:r>
      <w:r w:rsidR="005E0451">
        <w:t xml:space="preserve">Figure </w:t>
      </w:r>
      <w:r w:rsidR="005E0451">
        <w:rPr>
          <w:noProof/>
        </w:rPr>
        <w:t>14</w:t>
      </w:r>
      <w:r w:rsidR="001A6197">
        <w:rPr>
          <w:rFonts w:eastAsiaTheme="minorHAnsi"/>
          <w:lang w:eastAsia="en-GB"/>
        </w:rPr>
        <w:fldChar w:fldCharType="end"/>
      </w:r>
      <w:r w:rsidR="001A6197">
        <w:rPr>
          <w:rFonts w:eastAsiaTheme="minorHAnsi"/>
          <w:lang w:eastAsia="en-GB"/>
        </w:rPr>
        <w:t>).</w:t>
      </w:r>
    </w:p>
    <w:p w14:paraId="69EF6756" w14:textId="7373A7B8" w:rsidR="009D4761" w:rsidRDefault="00AB2EF0" w:rsidP="0084002B">
      <w:pPr>
        <w:pStyle w:val="Caption"/>
      </w:pPr>
      <w:r>
        <w:rPr>
          <w:noProof/>
        </w:rPr>
        <w:drawing>
          <wp:inline distT="0" distB="0" distL="0" distR="0" wp14:anchorId="4C373E1D" wp14:editId="077B6E24">
            <wp:extent cx="5003987" cy="2774950"/>
            <wp:effectExtent l="0" t="0" r="6350" b="6350"/>
            <wp:docPr id="46" name="Picture 44" descr="Chart, bar chart&#10;&#10;Description automatically generated">
              <a:extLst xmlns:a="http://schemas.openxmlformats.org/drawingml/2006/main">
                <a:ext uri="{FF2B5EF4-FFF2-40B4-BE49-F238E27FC236}">
                  <a16:creationId xmlns:a16="http://schemas.microsoft.com/office/drawing/2014/main" id="{D5822F39-CC14-E5BE-BE13-8291D86A0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4" descr="Chart, bar chart&#10;&#10;Description automatically generated">
                      <a:extLst>
                        <a:ext uri="{FF2B5EF4-FFF2-40B4-BE49-F238E27FC236}">
                          <a16:creationId xmlns:a16="http://schemas.microsoft.com/office/drawing/2014/main" id="{D5822F39-CC14-E5BE-BE13-8291D86A0FB4}"/>
                        </a:ext>
                      </a:extLst>
                    </pic:cNvPr>
                    <pic:cNvPicPr>
                      <a:picLocks noChangeAspect="1"/>
                    </pic:cNvPicPr>
                  </pic:nvPicPr>
                  <pic:blipFill>
                    <a:blip r:embed="rId32"/>
                    <a:stretch>
                      <a:fillRect/>
                    </a:stretch>
                  </pic:blipFill>
                  <pic:spPr>
                    <a:xfrm>
                      <a:off x="0" y="0"/>
                      <a:ext cx="5006712" cy="2776461"/>
                    </a:xfrm>
                    <a:prstGeom prst="rect">
                      <a:avLst/>
                    </a:prstGeom>
                  </pic:spPr>
                </pic:pic>
              </a:graphicData>
            </a:graphic>
          </wp:inline>
        </w:drawing>
      </w:r>
    </w:p>
    <w:p w14:paraId="205C2CBB" w14:textId="58E430F5" w:rsidR="009D4761" w:rsidRDefault="00BA06DB" w:rsidP="0084002B">
      <w:pPr>
        <w:pStyle w:val="Caption"/>
      </w:pPr>
      <w:bookmarkStart w:id="77" w:name="_Ref104134531"/>
      <w:r>
        <w:t xml:space="preserve">Figure </w:t>
      </w:r>
      <w:r>
        <w:fldChar w:fldCharType="begin"/>
      </w:r>
      <w:r>
        <w:instrText>SEQ Figure \* ARABIC</w:instrText>
      </w:r>
      <w:r>
        <w:fldChar w:fldCharType="separate"/>
      </w:r>
      <w:r w:rsidR="005E0451">
        <w:rPr>
          <w:noProof/>
        </w:rPr>
        <w:t>14</w:t>
      </w:r>
      <w:r>
        <w:fldChar w:fldCharType="end"/>
      </w:r>
      <w:bookmarkEnd w:id="77"/>
      <w:r>
        <w:t xml:space="preserve">. Teacher survey </w:t>
      </w:r>
      <w:r w:rsidR="00F5795C">
        <w:t>- reasons</w:t>
      </w:r>
      <w:r>
        <w:t xml:space="preserve"> to </w:t>
      </w:r>
      <w:r>
        <w:rPr>
          <w:noProof/>
        </w:rPr>
        <w:t xml:space="preserve">being a </w:t>
      </w:r>
      <w:r w:rsidR="004A5CA7">
        <w:t>GPEP 1</w:t>
      </w:r>
      <w:r w:rsidR="009D4761" w:rsidRPr="00E82BE9">
        <w:t xml:space="preserve"> teacher</w:t>
      </w:r>
      <w:r w:rsidR="00F5795C">
        <w:t>. Each statement was rated</w:t>
      </w:r>
      <w:r w:rsidR="009D4761" w:rsidRPr="00E82BE9">
        <w:t xml:space="preserve"> </w:t>
      </w:r>
      <w:r w:rsidR="004E4112">
        <w:t xml:space="preserve">on a scale from 1 (not at all important) to 4 (very important) </w:t>
      </w:r>
      <w:r w:rsidR="009D4761" w:rsidRPr="00E82BE9">
        <w:t>(n=157).</w:t>
      </w:r>
    </w:p>
    <w:p w14:paraId="15341AB9" w14:textId="3A5BC535" w:rsidR="00930118" w:rsidRDefault="002E02E2" w:rsidP="00653D7C">
      <w:pPr>
        <w:spacing w:before="240"/>
      </w:pPr>
      <w:r w:rsidRPr="00AD0D11">
        <w:rPr>
          <w:rFonts w:eastAsiaTheme="minorHAnsi"/>
        </w:rPr>
        <w:t xml:space="preserve">GPEP teachers were often passionate about teaching, the workforce and sustainability of general practice. </w:t>
      </w:r>
      <w:r w:rsidR="00AD0D11" w:rsidRPr="00AD0D11">
        <w:rPr>
          <w:rFonts w:eastAsiaTheme="minorHAnsi"/>
        </w:rPr>
        <w:t xml:space="preserve">They </w:t>
      </w:r>
      <w:r w:rsidR="00CF21F0" w:rsidRPr="00AD0D11">
        <w:t>described</w:t>
      </w:r>
      <w:r w:rsidR="00DB05E1" w:rsidRPr="00AD0D11">
        <w:t xml:space="preserve"> a sense of responsibility to give back to general practice</w:t>
      </w:r>
      <w:r w:rsidR="00CF21F0" w:rsidRPr="00AD0D11">
        <w:t xml:space="preserve"> </w:t>
      </w:r>
      <w:r w:rsidR="00F83300" w:rsidRPr="00AD0D11">
        <w:t xml:space="preserve">by providing registrars with positive experiences of general practice and teaching. </w:t>
      </w:r>
    </w:p>
    <w:p w14:paraId="6DA94A68" w14:textId="54A94508" w:rsidR="00C66FDC" w:rsidRDefault="00C66FDC" w:rsidP="00C66FDC">
      <w:pPr>
        <w:pStyle w:val="Quotes"/>
      </w:pPr>
      <w:r w:rsidRPr="00C66FDC">
        <w:t>We must provide pathways for training for the future workforce and we all need to contribute.</w:t>
      </w:r>
      <w:r>
        <w:t xml:space="preserve"> (Māori Teacher - survey)</w:t>
      </w:r>
    </w:p>
    <w:p w14:paraId="4E98B5D9" w14:textId="4BFE3B9E" w:rsidR="00D45E6A" w:rsidRDefault="00483512" w:rsidP="00F5795C">
      <w:pPr>
        <w:spacing w:before="120"/>
      </w:pPr>
      <w:r w:rsidRPr="00AD0D11">
        <w:t xml:space="preserve">Some teachers were particularly interested </w:t>
      </w:r>
      <w:r w:rsidR="00D031CA" w:rsidRPr="00AD0D11">
        <w:t xml:space="preserve">in </w:t>
      </w:r>
      <w:r w:rsidRPr="00AD0D11">
        <w:t xml:space="preserve">the survival of their practice and sustainability of workforce. </w:t>
      </w:r>
      <w:r w:rsidR="00536C6C">
        <w:t>The desire to have additional capacity in the practice was an important motivator for 30%. It was significantly more of a motivator for male GPEP teachers compared to females</w:t>
      </w:r>
      <w:r w:rsidR="00536C6C">
        <w:rPr>
          <w:rStyle w:val="FootnoteReference"/>
          <w:bCs/>
        </w:rPr>
        <w:footnoteReference w:id="26"/>
      </w:r>
      <w:r w:rsidR="00536C6C">
        <w:t>, with the mean response for males 2.89, compared to 2.52 for females. Males (44%) are more likely to be practice owners than females (26%)</w:t>
      </w:r>
      <w:r w:rsidR="00536C6C">
        <w:rPr>
          <w:rStyle w:val="FootnoteReference"/>
        </w:rPr>
        <w:footnoteReference w:id="27"/>
      </w:r>
      <w:r w:rsidR="00536C6C">
        <w:t>.</w:t>
      </w:r>
    </w:p>
    <w:p w14:paraId="6FE01EEE" w14:textId="6D6B5917" w:rsidR="00F652B1" w:rsidRDefault="00F652B1" w:rsidP="00F652B1">
      <w:pPr>
        <w:pStyle w:val="Quotes"/>
      </w:pPr>
      <w:r>
        <w:lastRenderedPageBreak/>
        <w:t>It is solely succession planning</w:t>
      </w:r>
      <w:r w:rsidR="0086528B">
        <w:t>. I</w:t>
      </w:r>
      <w:r>
        <w:t>t is really difficult to get doctors so I started teaching as a marketing exercise because I wanted someone to sell my practice to. (Teacher)</w:t>
      </w:r>
    </w:p>
    <w:p w14:paraId="57113863" w14:textId="77777777" w:rsidR="00CB3BB5" w:rsidRDefault="004676D8" w:rsidP="00CB3BB5">
      <w:r>
        <w:t xml:space="preserve">Many teachers spoke about </w:t>
      </w:r>
      <w:r w:rsidR="00247E17">
        <w:t>the joy in having young</w:t>
      </w:r>
      <w:r w:rsidR="007C3445">
        <w:t xml:space="preserve"> and</w:t>
      </w:r>
      <w:r w:rsidR="00247E17">
        <w:t xml:space="preserve"> fresh registrars in the practice. </w:t>
      </w:r>
      <w:r w:rsidR="007C3445">
        <w:t xml:space="preserve">This energy was welcomed by practices and </w:t>
      </w:r>
      <w:r w:rsidR="00E135EE">
        <w:t xml:space="preserve">often offered an opportunity for mutual learning between registrars and teachers. </w:t>
      </w:r>
      <w:r w:rsidR="00CB3BB5">
        <w:t xml:space="preserve">Teaching also provided a chance for isolated GPs to network with other GPs. </w:t>
      </w:r>
    </w:p>
    <w:p w14:paraId="3268121A" w14:textId="4DE75707" w:rsidR="002044EA" w:rsidRPr="002044EA" w:rsidRDefault="002044EA" w:rsidP="002044EA">
      <w:pPr>
        <w:pStyle w:val="Quotes"/>
      </w:pPr>
      <w:r w:rsidRPr="00483078">
        <w:t>That dedicated teaching time is really good for the teachers</w:t>
      </w:r>
      <w:r w:rsidR="006F5CF5">
        <w:t>’</w:t>
      </w:r>
      <w:r w:rsidRPr="00483078">
        <w:t xml:space="preserve"> personal skill development because they are doing role plays and going over the latest techniques</w:t>
      </w:r>
      <w:r w:rsidR="006F5CF5">
        <w:t>. B</w:t>
      </w:r>
      <w:r w:rsidRPr="00483078">
        <w:t>ecause the younger doctors are much more recently trained</w:t>
      </w:r>
      <w:r w:rsidR="003B3009">
        <w:t xml:space="preserve">… </w:t>
      </w:r>
      <w:r w:rsidRPr="00483078">
        <w:t>they have access to all of the new teaching so its really beneficial both ways. I can't recommend it enough, the dual [benefit]. </w:t>
      </w:r>
      <w:r>
        <w:t>(Practice Manager)</w:t>
      </w:r>
    </w:p>
    <w:p w14:paraId="78F95C24" w14:textId="67BC02B6" w:rsidR="00E135EE" w:rsidRDefault="00E135EE" w:rsidP="00122B2C">
      <w:r>
        <w:t xml:space="preserve">Some teachers described </w:t>
      </w:r>
      <w:r w:rsidR="00FA5E0D">
        <w:t>the impact of</w:t>
      </w:r>
      <w:r w:rsidR="00933E91">
        <w:t xml:space="preserve"> a good role </w:t>
      </w:r>
      <w:r w:rsidR="00AB092E">
        <w:t xml:space="preserve">model </w:t>
      </w:r>
      <w:r w:rsidR="00933E91">
        <w:t xml:space="preserve">which </w:t>
      </w:r>
      <w:r w:rsidR="00A35305">
        <w:t xml:space="preserve">had </w:t>
      </w:r>
      <w:r w:rsidR="00933E91">
        <w:t xml:space="preserve">influenced them to become teachers and contribute to strengthening the workforce. </w:t>
      </w:r>
    </w:p>
    <w:p w14:paraId="1647F67C" w14:textId="597A2CE7" w:rsidR="000339F9" w:rsidRPr="00CB5526" w:rsidRDefault="000339F9" w:rsidP="00DB5B4E">
      <w:pPr>
        <w:pStyle w:val="Mala3"/>
      </w:pPr>
      <w:r w:rsidRPr="00CB5526">
        <w:t>Barriers to teaching</w:t>
      </w:r>
    </w:p>
    <w:p w14:paraId="2016D7F4" w14:textId="0F1F88A9" w:rsidR="00A4658B" w:rsidRPr="00092B31" w:rsidRDefault="00A4658B" w:rsidP="00A4658B">
      <w:pPr>
        <w:rPr>
          <w:lang w:val="en-GB"/>
        </w:rPr>
      </w:pPr>
      <w:r w:rsidRPr="00092B31">
        <w:rPr>
          <w:lang w:val="en-GB"/>
        </w:rPr>
        <w:t xml:space="preserve">Inadequate payment to be a teacher was </w:t>
      </w:r>
      <w:r>
        <w:rPr>
          <w:lang w:val="en-GB"/>
        </w:rPr>
        <w:t>often cited</w:t>
      </w:r>
      <w:r w:rsidRPr="00092B31">
        <w:rPr>
          <w:lang w:val="en-GB"/>
        </w:rPr>
        <w:t xml:space="preserve"> as a barrier</w:t>
      </w:r>
      <w:r>
        <w:rPr>
          <w:lang w:val="en-GB"/>
        </w:rPr>
        <w:t xml:space="preserve"> </w:t>
      </w:r>
      <w:r w:rsidR="00F5795C">
        <w:rPr>
          <w:lang w:val="en-GB"/>
        </w:rPr>
        <w:t xml:space="preserve">to becoming a teacher </w:t>
      </w:r>
      <w:r>
        <w:rPr>
          <w:lang w:val="en-GB"/>
        </w:rPr>
        <w:t>(</w:t>
      </w:r>
      <w:r>
        <w:rPr>
          <w:lang w:val="en-GB"/>
        </w:rPr>
        <w:fldChar w:fldCharType="begin"/>
      </w:r>
      <w:r>
        <w:rPr>
          <w:lang w:val="en-GB"/>
        </w:rPr>
        <w:instrText xml:space="preserve"> REF _Ref104135126 \h </w:instrText>
      </w:r>
      <w:r>
        <w:rPr>
          <w:lang w:val="en-GB"/>
        </w:rPr>
      </w:r>
      <w:r>
        <w:rPr>
          <w:lang w:val="en-GB"/>
        </w:rPr>
        <w:fldChar w:fldCharType="separate"/>
      </w:r>
      <w:r w:rsidR="005E0451">
        <w:t xml:space="preserve">Figure </w:t>
      </w:r>
      <w:r w:rsidR="005E0451">
        <w:rPr>
          <w:noProof/>
        </w:rPr>
        <w:t>15</w:t>
      </w:r>
      <w:r>
        <w:rPr>
          <w:lang w:val="en-GB"/>
        </w:rPr>
        <w:fldChar w:fldCharType="end"/>
      </w:r>
      <w:r>
        <w:rPr>
          <w:lang w:val="en-GB"/>
        </w:rPr>
        <w:t>)</w:t>
      </w:r>
      <w:r w:rsidRPr="00092B31">
        <w:rPr>
          <w:lang w:val="en-GB"/>
        </w:rPr>
        <w:t xml:space="preserve">. </w:t>
      </w:r>
      <w:r w:rsidR="001E476E">
        <w:rPr>
          <w:lang w:val="en-GB"/>
        </w:rPr>
        <w:t>Generally</w:t>
      </w:r>
      <w:r w:rsidR="00F5795C">
        <w:rPr>
          <w:lang w:val="en-GB"/>
        </w:rPr>
        <w:t>,</w:t>
      </w:r>
      <w:r w:rsidR="001E476E">
        <w:rPr>
          <w:lang w:val="en-GB"/>
        </w:rPr>
        <w:t xml:space="preserve"> teachers did not feel the </w:t>
      </w:r>
      <w:r w:rsidR="00383D53">
        <w:rPr>
          <w:lang w:val="en-GB"/>
        </w:rPr>
        <w:t xml:space="preserve">teaching </w:t>
      </w:r>
      <w:r w:rsidR="001E476E">
        <w:rPr>
          <w:lang w:val="en-GB"/>
        </w:rPr>
        <w:t xml:space="preserve">payments reflected the time, </w:t>
      </w:r>
      <w:proofErr w:type="gramStart"/>
      <w:r w:rsidR="001E476E">
        <w:rPr>
          <w:lang w:val="en-GB"/>
        </w:rPr>
        <w:t>energy</w:t>
      </w:r>
      <w:proofErr w:type="gramEnd"/>
      <w:r w:rsidR="001E476E">
        <w:rPr>
          <w:lang w:val="en-GB"/>
        </w:rPr>
        <w:t xml:space="preserve"> and effort they put in to supporting registrars. </w:t>
      </w:r>
      <w:r>
        <w:rPr>
          <w:lang w:val="en-GB"/>
        </w:rPr>
        <w:t>Some teachers reported not being paid at all</w:t>
      </w:r>
      <w:r w:rsidR="001E476E">
        <w:rPr>
          <w:lang w:val="en-GB"/>
        </w:rPr>
        <w:t xml:space="preserve"> and </w:t>
      </w:r>
      <w:r>
        <w:rPr>
          <w:lang w:val="en-GB"/>
        </w:rPr>
        <w:t>shared frustration around the practice receiving their teaching payments</w:t>
      </w:r>
      <w:r w:rsidR="00383D53">
        <w:rPr>
          <w:lang w:val="en-GB"/>
        </w:rPr>
        <w:t>.</w:t>
      </w:r>
    </w:p>
    <w:p w14:paraId="276777C5" w14:textId="2B69CA2A" w:rsidR="00A4658B" w:rsidRDefault="00A4658B" w:rsidP="00A4658B">
      <w:pPr>
        <w:pStyle w:val="Quotes"/>
        <w:rPr>
          <w:lang w:val="en-GB"/>
        </w:rPr>
      </w:pPr>
      <w:r w:rsidRPr="004E1104">
        <w:rPr>
          <w:lang w:val="en-GB"/>
        </w:rPr>
        <w:t>No</w:t>
      </w:r>
      <w:r w:rsidR="00BD25ED">
        <w:rPr>
          <w:lang w:val="en-GB"/>
        </w:rPr>
        <w:t>,</w:t>
      </w:r>
      <w:r w:rsidRPr="004E1104">
        <w:rPr>
          <w:lang w:val="en-GB"/>
        </w:rPr>
        <w:t xml:space="preserve"> I don’t think so. Because we haven’t been paid for this year</w:t>
      </w:r>
      <w:r w:rsidR="00FA6D62">
        <w:rPr>
          <w:lang w:val="en-GB"/>
        </w:rPr>
        <w:t>’</w:t>
      </w:r>
      <w:r w:rsidRPr="004E1104">
        <w:rPr>
          <w:lang w:val="en-GB"/>
        </w:rPr>
        <w:t xml:space="preserve">s GPEP I can’t say how we are getting this year. My understanding for previous ones it was about $700 a month </w:t>
      </w:r>
      <w:r w:rsidR="00FA6D62">
        <w:rPr>
          <w:lang w:val="en-GB"/>
        </w:rPr>
        <w:t xml:space="preserve">for </w:t>
      </w:r>
      <w:r w:rsidRPr="004E1104">
        <w:rPr>
          <w:lang w:val="en-GB"/>
        </w:rPr>
        <w:t>which I’m blocking out six appointments a day and each of those appointments we would cost at about $70 then there is no way we are making ends meet.</w:t>
      </w:r>
      <w:r>
        <w:rPr>
          <w:lang w:val="en-GB"/>
        </w:rPr>
        <w:t xml:space="preserve"> </w:t>
      </w:r>
      <w:r w:rsidR="00FA6D62">
        <w:rPr>
          <w:lang w:val="en-GB"/>
        </w:rPr>
        <w:t>(Teacher)</w:t>
      </w:r>
    </w:p>
    <w:p w14:paraId="07F16CD7" w14:textId="6ADE0052" w:rsidR="00177625" w:rsidRDefault="004D6CC7" w:rsidP="00E01683">
      <w:r>
        <w:t xml:space="preserve">Teachers commonly noted the increase in </w:t>
      </w:r>
      <w:r w:rsidR="006B1A1E">
        <w:t>their</w:t>
      </w:r>
      <w:r>
        <w:t xml:space="preserve"> workloads and </w:t>
      </w:r>
      <w:r w:rsidR="00092B31">
        <w:t>limited</w:t>
      </w:r>
      <w:r>
        <w:t xml:space="preserve"> capacity to provide a teaching experience for registrars</w:t>
      </w:r>
      <w:r w:rsidR="00E01683">
        <w:t xml:space="preserve"> as barriers to teaching</w:t>
      </w:r>
      <w:r>
        <w:t xml:space="preserve">. Some </w:t>
      </w:r>
      <w:r w:rsidR="00514304">
        <w:t xml:space="preserve">who had been </w:t>
      </w:r>
      <w:r>
        <w:t xml:space="preserve">teachers also noted they did not have the physical space within the practice to host a </w:t>
      </w:r>
      <w:r w:rsidR="00092B31">
        <w:t>registrar</w:t>
      </w:r>
      <w:r>
        <w:t xml:space="preserve"> therefore they did not gain the required </w:t>
      </w:r>
      <w:r w:rsidR="00E01683">
        <w:t xml:space="preserve">practice </w:t>
      </w:r>
      <w:r>
        <w:t xml:space="preserve">accreditation. </w:t>
      </w:r>
    </w:p>
    <w:p w14:paraId="5F227EFC" w14:textId="77777777" w:rsidR="0029375C" w:rsidRDefault="0029375C" w:rsidP="0029375C">
      <w:pPr>
        <w:rPr>
          <w:rFonts w:eastAsiaTheme="minorHAnsi"/>
          <w:lang w:eastAsia="en-GB"/>
        </w:rPr>
      </w:pPr>
      <w:r>
        <w:t>Lack of confidence in teaching clinical skills was significantly more of a barrier for female GPEP teachers compared to males</w:t>
      </w:r>
      <w:r>
        <w:rPr>
          <w:rStyle w:val="FootnoteReference"/>
          <w:bCs/>
        </w:rPr>
        <w:footnoteReference w:id="28"/>
      </w:r>
      <w:r>
        <w:t xml:space="preserve">, with the mean response for females 1.96, compared to 1.71 for males. Some asked for more induction, </w:t>
      </w:r>
      <w:proofErr w:type="gramStart"/>
      <w:r>
        <w:t>support</w:t>
      </w:r>
      <w:proofErr w:type="gramEnd"/>
      <w:r>
        <w:t xml:space="preserve"> and guidance from the College</w:t>
      </w:r>
      <w:r w:rsidRPr="00FA52E9">
        <w:t>. Some t</w:t>
      </w:r>
      <w:r w:rsidRPr="00FA52E9">
        <w:rPr>
          <w:rFonts w:eastAsiaTheme="minorHAnsi"/>
          <w:lang w:eastAsia="en-GB"/>
        </w:rPr>
        <w:t xml:space="preserve">eachers and accredited practices noted disjointed communication with </w:t>
      </w:r>
      <w:proofErr w:type="gramStart"/>
      <w:r w:rsidRPr="00FA52E9">
        <w:rPr>
          <w:rFonts w:eastAsiaTheme="minorHAnsi"/>
          <w:lang w:eastAsia="en-GB"/>
        </w:rPr>
        <w:t>College</w:t>
      </w:r>
      <w:proofErr w:type="gramEnd"/>
      <w:r w:rsidRPr="00FA52E9">
        <w:rPr>
          <w:rFonts w:eastAsiaTheme="minorHAnsi"/>
          <w:lang w:eastAsia="en-GB"/>
        </w:rPr>
        <w:t xml:space="preserve"> administrative staff. Many participants highlighted the need to have staff who understood the primary care setting.</w:t>
      </w:r>
      <w:r>
        <w:rPr>
          <w:rFonts w:eastAsiaTheme="minorHAnsi"/>
          <w:lang w:eastAsia="en-GB"/>
        </w:rPr>
        <w:t xml:space="preserve"> </w:t>
      </w:r>
    </w:p>
    <w:p w14:paraId="496E79CA" w14:textId="77777777" w:rsidR="0029375C" w:rsidRPr="00836B02" w:rsidRDefault="0029375C" w:rsidP="0029375C">
      <w:pPr>
        <w:pStyle w:val="Quotes"/>
        <w:rPr>
          <w:lang w:val="en-GB"/>
        </w:rPr>
      </w:pPr>
      <w:r>
        <w:rPr>
          <w:lang w:val="en-GB"/>
        </w:rPr>
        <w:lastRenderedPageBreak/>
        <w:t>I don’t really know anyone at the College at all. The titles are all non-clinical roles and they keep changing. I don’t even know who is technically in charge of me. (Teacher)</w:t>
      </w:r>
    </w:p>
    <w:p w14:paraId="2E4317F8" w14:textId="0362F66E" w:rsidR="0029375C" w:rsidRDefault="0029375C" w:rsidP="0029375C">
      <w:pPr>
        <w:pStyle w:val="Malanorm"/>
      </w:pPr>
      <w:r>
        <w:t xml:space="preserve">Other barriers to teaching included lack of a guarantee of a registrar placement and </w:t>
      </w:r>
      <w:proofErr w:type="gramStart"/>
      <w:r>
        <w:t>that six-month rotations</w:t>
      </w:r>
      <w:proofErr w:type="gramEnd"/>
      <w:r>
        <w:t xml:space="preserve"> limited continuity of care for patients.</w:t>
      </w:r>
      <w:r w:rsidR="00FE77F9">
        <w:t xml:space="preserve"> </w:t>
      </w:r>
    </w:p>
    <w:p w14:paraId="4D284B34" w14:textId="44496D92" w:rsidR="00875C51" w:rsidRDefault="00FB61CF" w:rsidP="00875C51">
      <w:pPr>
        <w:pStyle w:val="Quotes"/>
        <w:keepNext/>
        <w:ind w:left="0" w:firstLine="0"/>
      </w:pPr>
      <w:r>
        <w:drawing>
          <wp:inline distT="0" distB="0" distL="0" distR="0" wp14:anchorId="1DD45519" wp14:editId="461BD0AB">
            <wp:extent cx="4831080" cy="2239010"/>
            <wp:effectExtent l="0" t="0" r="7620" b="8890"/>
            <wp:docPr id="11" name="Picture 41" descr="Chart, bar chart&#10;&#10;Description automatically generated">
              <a:extLst xmlns:a="http://schemas.openxmlformats.org/drawingml/2006/main">
                <a:ext uri="{FF2B5EF4-FFF2-40B4-BE49-F238E27FC236}">
                  <a16:creationId xmlns:a16="http://schemas.microsoft.com/office/drawing/2014/main" id="{B7BD395B-E52E-E02B-7C5B-83FC70D627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1" descr="Chart, bar chart&#10;&#10;Description automatically generated">
                      <a:extLst>
                        <a:ext uri="{FF2B5EF4-FFF2-40B4-BE49-F238E27FC236}">
                          <a16:creationId xmlns:a16="http://schemas.microsoft.com/office/drawing/2014/main" id="{B7BD395B-E52E-E02B-7C5B-83FC70D6272F}"/>
                        </a:ext>
                      </a:extLst>
                    </pic:cNvPr>
                    <pic:cNvPicPr>
                      <a:picLocks noChangeAspect="1"/>
                    </pic:cNvPicPr>
                  </pic:nvPicPr>
                  <pic:blipFill>
                    <a:blip r:embed="rId33"/>
                    <a:stretch>
                      <a:fillRect/>
                    </a:stretch>
                  </pic:blipFill>
                  <pic:spPr>
                    <a:xfrm>
                      <a:off x="0" y="0"/>
                      <a:ext cx="4831080" cy="2239010"/>
                    </a:xfrm>
                    <a:prstGeom prst="rect">
                      <a:avLst/>
                    </a:prstGeom>
                  </pic:spPr>
                </pic:pic>
              </a:graphicData>
            </a:graphic>
          </wp:inline>
        </w:drawing>
      </w:r>
    </w:p>
    <w:p w14:paraId="1DD9E4A2" w14:textId="7F3E9D80" w:rsidR="00875C51" w:rsidRDefault="00875C51" w:rsidP="0084002B">
      <w:pPr>
        <w:pStyle w:val="Caption"/>
      </w:pPr>
      <w:bookmarkStart w:id="78" w:name="_Ref104135126"/>
      <w:r>
        <w:t xml:space="preserve">Figure </w:t>
      </w:r>
      <w:r>
        <w:fldChar w:fldCharType="begin"/>
      </w:r>
      <w:r>
        <w:instrText>SEQ Figure \* ARABIC</w:instrText>
      </w:r>
      <w:r>
        <w:fldChar w:fldCharType="separate"/>
      </w:r>
      <w:r w:rsidR="005E0451">
        <w:rPr>
          <w:noProof/>
        </w:rPr>
        <w:t>15</w:t>
      </w:r>
      <w:r>
        <w:fldChar w:fldCharType="end"/>
      </w:r>
      <w:bookmarkEnd w:id="78"/>
      <w:r>
        <w:t xml:space="preserve">. Teacher survey </w:t>
      </w:r>
      <w:r w:rsidR="00F5795C">
        <w:t xml:space="preserve">- </w:t>
      </w:r>
      <w:r>
        <w:t>barriers to becoming a teacher</w:t>
      </w:r>
      <w:r w:rsidR="00F5795C">
        <w:t>. Each statement was rated</w:t>
      </w:r>
      <w:r>
        <w:t xml:space="preserve"> </w:t>
      </w:r>
      <w:r w:rsidR="00D47329">
        <w:t xml:space="preserve">on a scale from 1 (not at all </w:t>
      </w:r>
      <w:r w:rsidR="00FB61CF">
        <w:t>a barrier</w:t>
      </w:r>
      <w:r w:rsidR="00D47329">
        <w:t xml:space="preserve">) to 4 (very </w:t>
      </w:r>
      <w:r w:rsidR="00FB61CF">
        <w:t>much a barrier</w:t>
      </w:r>
      <w:r w:rsidR="00D47329">
        <w:t xml:space="preserve">) </w:t>
      </w:r>
      <w:r>
        <w:t>(n=157).</w:t>
      </w:r>
    </w:p>
    <w:p w14:paraId="28A4A641" w14:textId="70A3FF44" w:rsidR="00AB7898" w:rsidRDefault="00CE01F5" w:rsidP="005477FD">
      <w:pPr>
        <w:pStyle w:val="Mala3"/>
      </w:pPr>
      <w:r>
        <w:t>Teacher wellbeing</w:t>
      </w:r>
    </w:p>
    <w:p w14:paraId="034B4498" w14:textId="3C6528CC" w:rsidR="001D6602" w:rsidRPr="001D6602" w:rsidRDefault="001D6602" w:rsidP="00BC1680">
      <w:pPr>
        <w:rPr>
          <w:lang w:eastAsia="en-GB"/>
        </w:rPr>
      </w:pPr>
      <w:r>
        <w:rPr>
          <w:lang w:eastAsia="en-GB"/>
        </w:rPr>
        <w:t>Teacher wellbeing was generally positive</w:t>
      </w:r>
      <w:r w:rsidR="00D92DD1" w:rsidRPr="00D92DD1">
        <w:rPr>
          <w:lang w:eastAsia="en-GB"/>
        </w:rPr>
        <w:t xml:space="preserve"> </w:t>
      </w:r>
      <w:r w:rsidR="00D92DD1">
        <w:rPr>
          <w:lang w:eastAsia="en-GB"/>
        </w:rPr>
        <w:t>(</w:t>
      </w:r>
      <w:r w:rsidR="00D92DD1">
        <w:rPr>
          <w:lang w:eastAsia="en-GB"/>
        </w:rPr>
        <w:fldChar w:fldCharType="begin"/>
      </w:r>
      <w:r w:rsidR="00D92DD1">
        <w:rPr>
          <w:lang w:eastAsia="en-GB"/>
        </w:rPr>
        <w:instrText xml:space="preserve"> REF _Ref104135372 \h </w:instrText>
      </w:r>
      <w:r w:rsidR="00D92DD1">
        <w:rPr>
          <w:lang w:eastAsia="en-GB"/>
        </w:rPr>
      </w:r>
      <w:r w:rsidR="00D92DD1">
        <w:rPr>
          <w:lang w:eastAsia="en-GB"/>
        </w:rPr>
        <w:fldChar w:fldCharType="separate"/>
      </w:r>
      <w:r w:rsidR="005E0451">
        <w:t xml:space="preserve">Figure </w:t>
      </w:r>
      <w:r w:rsidR="005E0451">
        <w:rPr>
          <w:noProof/>
        </w:rPr>
        <w:t>16</w:t>
      </w:r>
      <w:r w:rsidR="00D92DD1">
        <w:rPr>
          <w:lang w:eastAsia="en-GB"/>
        </w:rPr>
        <w:fldChar w:fldCharType="end"/>
      </w:r>
      <w:r w:rsidR="00D92DD1">
        <w:rPr>
          <w:lang w:eastAsia="en-GB"/>
        </w:rPr>
        <w:t>).</w:t>
      </w:r>
      <w:r w:rsidR="00FE77F9">
        <w:rPr>
          <w:lang w:eastAsia="en-GB"/>
        </w:rPr>
        <w:t xml:space="preserve"> </w:t>
      </w:r>
      <w:r>
        <w:rPr>
          <w:lang w:eastAsia="en-GB"/>
        </w:rPr>
        <w:t xml:space="preserve">However, taha </w:t>
      </w:r>
      <w:proofErr w:type="spellStart"/>
      <w:r>
        <w:rPr>
          <w:lang w:eastAsia="en-GB"/>
        </w:rPr>
        <w:t>hinengaro</w:t>
      </w:r>
      <w:proofErr w:type="spellEnd"/>
      <w:r>
        <w:rPr>
          <w:lang w:eastAsia="en-GB"/>
        </w:rPr>
        <w:t xml:space="preserve"> was rated less positively than other domains of wellbeing</w:t>
      </w:r>
      <w:r w:rsidR="00D92DD1">
        <w:rPr>
          <w:lang w:eastAsia="en-GB"/>
        </w:rPr>
        <w:t>.</w:t>
      </w:r>
      <w:r>
        <w:rPr>
          <w:lang w:eastAsia="en-GB"/>
        </w:rPr>
        <w:t xml:space="preserve"> </w:t>
      </w:r>
    </w:p>
    <w:p w14:paraId="0CA1468C" w14:textId="01529389" w:rsidR="00CE01F5" w:rsidRDefault="008E3E5D" w:rsidP="00EE13B1">
      <w:pPr>
        <w:keepNext/>
        <w:ind w:firstLine="142"/>
      </w:pPr>
      <w:r>
        <w:rPr>
          <w:noProof/>
        </w:rPr>
        <w:drawing>
          <wp:inline distT="0" distB="0" distL="0" distR="0" wp14:anchorId="0CCF9F07" wp14:editId="17D324AC">
            <wp:extent cx="4773533" cy="2413000"/>
            <wp:effectExtent l="0" t="0" r="8255" b="6350"/>
            <wp:docPr id="56" name="Picture 55" descr="Chart, bar chart&#10;&#10;Description automatically generated">
              <a:extLst xmlns:a="http://schemas.openxmlformats.org/drawingml/2006/main">
                <a:ext uri="{FF2B5EF4-FFF2-40B4-BE49-F238E27FC236}">
                  <a16:creationId xmlns:a16="http://schemas.microsoft.com/office/drawing/2014/main" id="{175975A1-54E1-C5EB-56C3-1CEEA626A7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descr="Chart, bar chart&#10;&#10;Description automatically generated">
                      <a:extLst>
                        <a:ext uri="{FF2B5EF4-FFF2-40B4-BE49-F238E27FC236}">
                          <a16:creationId xmlns:a16="http://schemas.microsoft.com/office/drawing/2014/main" id="{175975A1-54E1-C5EB-56C3-1CEEA626A753}"/>
                        </a:ext>
                      </a:extLst>
                    </pic:cNvPr>
                    <pic:cNvPicPr>
                      <a:picLocks noChangeAspect="1"/>
                    </pic:cNvPicPr>
                  </pic:nvPicPr>
                  <pic:blipFill rotWithShape="1">
                    <a:blip r:embed="rId34"/>
                    <a:srcRect t="5456"/>
                    <a:stretch/>
                  </pic:blipFill>
                  <pic:spPr bwMode="auto">
                    <a:xfrm>
                      <a:off x="0" y="0"/>
                      <a:ext cx="4779915" cy="2416226"/>
                    </a:xfrm>
                    <a:prstGeom prst="rect">
                      <a:avLst/>
                    </a:prstGeom>
                    <a:ln>
                      <a:noFill/>
                    </a:ln>
                    <a:extLst>
                      <a:ext uri="{53640926-AAD7-44D8-BBD7-CCE9431645EC}">
                        <a14:shadowObscured xmlns:a14="http://schemas.microsoft.com/office/drawing/2010/main"/>
                      </a:ext>
                    </a:extLst>
                  </pic:spPr>
                </pic:pic>
              </a:graphicData>
            </a:graphic>
          </wp:inline>
        </w:drawing>
      </w:r>
    </w:p>
    <w:p w14:paraId="221C166B" w14:textId="568D89F9" w:rsidR="00CE01F5" w:rsidRPr="00A11FCE" w:rsidRDefault="00CE01F5" w:rsidP="0084002B">
      <w:pPr>
        <w:pStyle w:val="Caption"/>
        <w:rPr>
          <w:rFonts w:eastAsiaTheme="minorHAnsi"/>
          <w:lang w:eastAsia="en-GB"/>
        </w:rPr>
      </w:pPr>
      <w:bookmarkStart w:id="79" w:name="_Ref104135372"/>
      <w:r>
        <w:t xml:space="preserve">Figure </w:t>
      </w:r>
      <w:r>
        <w:fldChar w:fldCharType="begin"/>
      </w:r>
      <w:r>
        <w:instrText>SEQ Figure \* ARABIC</w:instrText>
      </w:r>
      <w:r>
        <w:fldChar w:fldCharType="separate"/>
      </w:r>
      <w:r w:rsidR="005E0451">
        <w:rPr>
          <w:noProof/>
        </w:rPr>
        <w:t>16</w:t>
      </w:r>
      <w:r>
        <w:fldChar w:fldCharType="end"/>
      </w:r>
      <w:bookmarkEnd w:id="79"/>
      <w:r>
        <w:t xml:space="preserve">. Teacher survey current GPEP teacher wellbeing on Te Whare Tapa </w:t>
      </w:r>
      <w:proofErr w:type="spellStart"/>
      <w:r>
        <w:t>Whā</w:t>
      </w:r>
      <w:proofErr w:type="spellEnd"/>
      <w:r>
        <w:t xml:space="preserve"> </w:t>
      </w:r>
      <w:r w:rsidR="00F8195D">
        <w:t xml:space="preserve">on a scale from 1 (not at all good) to 4 (excellent) </w:t>
      </w:r>
      <w:r>
        <w:t>(n=94).</w:t>
      </w:r>
    </w:p>
    <w:p w14:paraId="16A678A8" w14:textId="23252835" w:rsidR="006A423C" w:rsidRDefault="00FB0BC5" w:rsidP="00A16840">
      <w:pPr>
        <w:pStyle w:val="Heading2"/>
      </w:pPr>
      <w:r>
        <w:br w:type="column"/>
      </w:r>
      <w:bookmarkStart w:id="80" w:name="_Toc105853919"/>
      <w:r w:rsidR="006A423C">
        <w:lastRenderedPageBreak/>
        <w:t>Accredited practices</w:t>
      </w:r>
      <w:bookmarkEnd w:id="80"/>
    </w:p>
    <w:p w14:paraId="7229D667" w14:textId="35D83495" w:rsidR="001505FE" w:rsidRDefault="001505FE" w:rsidP="001505FE">
      <w:r>
        <w:t xml:space="preserve">Practices who provide </w:t>
      </w:r>
      <w:r w:rsidR="006A1253">
        <w:t>GPEP 1</w:t>
      </w:r>
      <w:r w:rsidR="00072E7D">
        <w:t xml:space="preserve"> </w:t>
      </w:r>
      <w:r>
        <w:t xml:space="preserve">registrar placements are required to always have an accredited teacher on site. This structure ensured the registrar had adequate support and resource from an allocated teacher. </w:t>
      </w:r>
    </w:p>
    <w:p w14:paraId="02085327" w14:textId="67820433" w:rsidR="005D47BB" w:rsidRDefault="00AA708B" w:rsidP="002D6BA7">
      <w:pPr>
        <w:rPr>
          <w:lang w:val="en-GB"/>
        </w:rPr>
      </w:pPr>
      <w:r>
        <w:rPr>
          <w:lang w:val="en-GB"/>
        </w:rPr>
        <w:t>Practices are also required to meet quality standards</w:t>
      </w:r>
      <w:r w:rsidR="00191EBF">
        <w:rPr>
          <w:lang w:val="en-GB"/>
        </w:rPr>
        <w:t xml:space="preserve">. </w:t>
      </w:r>
      <w:r w:rsidR="0044482D">
        <w:rPr>
          <w:lang w:val="en-GB"/>
        </w:rPr>
        <w:t>C</w:t>
      </w:r>
      <w:r w:rsidR="003F4CBD">
        <w:rPr>
          <w:lang w:val="en-GB"/>
        </w:rPr>
        <w:t xml:space="preserve">ornerstone accreditation </w:t>
      </w:r>
      <w:r w:rsidR="00191EBF">
        <w:rPr>
          <w:lang w:val="en-GB"/>
        </w:rPr>
        <w:t>was used</w:t>
      </w:r>
      <w:r w:rsidR="003F4CBD">
        <w:rPr>
          <w:lang w:val="en-GB"/>
        </w:rPr>
        <w:t xml:space="preserve"> as a mechanism to ensure </w:t>
      </w:r>
      <w:r w:rsidR="009A5531">
        <w:rPr>
          <w:lang w:val="en-GB"/>
        </w:rPr>
        <w:t xml:space="preserve">quality. </w:t>
      </w:r>
      <w:r w:rsidR="00F50E98">
        <w:rPr>
          <w:lang w:val="en-GB"/>
        </w:rPr>
        <w:t xml:space="preserve">Cornerstone requirements are set at </w:t>
      </w:r>
      <w:r w:rsidR="00770CA8">
        <w:rPr>
          <w:lang w:val="en-GB"/>
        </w:rPr>
        <w:t xml:space="preserve">the minimum level </w:t>
      </w:r>
      <w:r w:rsidR="00F50E98">
        <w:rPr>
          <w:lang w:val="en-GB"/>
        </w:rPr>
        <w:t xml:space="preserve">and align with </w:t>
      </w:r>
      <w:r w:rsidR="005D47BB">
        <w:rPr>
          <w:lang w:val="en-GB"/>
        </w:rPr>
        <w:t>requirements to receive capitation funding.</w:t>
      </w:r>
    </w:p>
    <w:p w14:paraId="0FB28CCC" w14:textId="75AB6E70" w:rsidR="00E941A3" w:rsidRPr="00E941A3" w:rsidRDefault="00380FC1" w:rsidP="00BC1680">
      <w:pPr>
        <w:pStyle w:val="Quotes"/>
      </w:pPr>
      <w:r>
        <w:rPr>
          <w:lang w:val="en-GB"/>
        </w:rPr>
        <w:tab/>
      </w:r>
      <w:r>
        <w:t xml:space="preserve">The </w:t>
      </w:r>
      <w:r w:rsidR="00A267C6">
        <w:t>C</w:t>
      </w:r>
      <w:r>
        <w:t>ollege is not only the educator but we set the quality standard for general practice. You have to have this standard to be a teaching practice. It’s about making sure any registrar going in there is taught best practice and is not going to be put at harm. (</w:t>
      </w:r>
      <w:r w:rsidR="00E01D40">
        <w:t>RNZCGP</w:t>
      </w:r>
      <w:r>
        <w:t>)</w:t>
      </w:r>
    </w:p>
    <w:p w14:paraId="6A8ADA9C" w14:textId="5C68F75E" w:rsidR="00865821" w:rsidRPr="00CB5526" w:rsidRDefault="00C95333" w:rsidP="00DB5B4E">
      <w:pPr>
        <w:pStyle w:val="Mala3"/>
      </w:pPr>
      <w:r>
        <w:t>Profile of a</w:t>
      </w:r>
      <w:r w:rsidR="00865821" w:rsidRPr="00CB5526">
        <w:t>ccredited practices</w:t>
      </w:r>
    </w:p>
    <w:p w14:paraId="6BF1883B" w14:textId="200247B5" w:rsidR="00865821" w:rsidRPr="008478D6" w:rsidRDefault="00356D5B" w:rsidP="00BC1680">
      <w:pPr>
        <w:rPr>
          <w:rFonts w:eastAsiaTheme="minorHAnsi"/>
          <w:lang w:eastAsia="en-GB"/>
        </w:rPr>
      </w:pPr>
      <w:r w:rsidRPr="008478D6">
        <w:rPr>
          <w:rFonts w:eastAsiaTheme="minorHAnsi"/>
          <w:lang w:eastAsia="en-GB"/>
        </w:rPr>
        <w:t xml:space="preserve">There are accredited teaching practices in all </w:t>
      </w:r>
      <w:r w:rsidR="00887936" w:rsidRPr="008478D6">
        <w:rPr>
          <w:rFonts w:eastAsiaTheme="minorHAnsi"/>
          <w:lang w:eastAsia="en-GB"/>
        </w:rPr>
        <w:t>DHB districts. However, the proportion of practices in districts that are accredited varie</w:t>
      </w:r>
      <w:r w:rsidR="008478D6" w:rsidRPr="008478D6">
        <w:rPr>
          <w:rFonts w:eastAsiaTheme="minorHAnsi"/>
          <w:lang w:eastAsia="en-GB"/>
        </w:rPr>
        <w:t>s (</w:t>
      </w:r>
      <w:r w:rsidR="0037044D">
        <w:rPr>
          <w:rFonts w:eastAsiaTheme="minorHAnsi"/>
          <w:lang w:eastAsia="en-GB"/>
        </w:rPr>
        <w:fldChar w:fldCharType="begin"/>
      </w:r>
      <w:r w:rsidR="0037044D">
        <w:rPr>
          <w:rFonts w:eastAsiaTheme="minorHAnsi"/>
          <w:lang w:eastAsia="en-GB"/>
        </w:rPr>
        <w:instrText xml:space="preserve"> REF _Ref104471333 \h </w:instrText>
      </w:r>
      <w:r w:rsidR="00C22B8E">
        <w:rPr>
          <w:rFonts w:eastAsiaTheme="minorHAnsi"/>
          <w:lang w:eastAsia="en-GB"/>
        </w:rPr>
        <w:instrText xml:space="preserve"> \* MERGEFORMAT </w:instrText>
      </w:r>
      <w:r w:rsidR="0037044D">
        <w:rPr>
          <w:rFonts w:eastAsiaTheme="minorHAnsi"/>
          <w:lang w:eastAsia="en-GB"/>
        </w:rPr>
      </w:r>
      <w:r w:rsidR="0037044D">
        <w:rPr>
          <w:rFonts w:eastAsiaTheme="minorHAnsi"/>
          <w:lang w:eastAsia="en-GB"/>
        </w:rPr>
        <w:fldChar w:fldCharType="separate"/>
      </w:r>
      <w:r w:rsidR="005E0451">
        <w:t xml:space="preserve">Table </w:t>
      </w:r>
      <w:r w:rsidR="005E0451">
        <w:rPr>
          <w:noProof/>
        </w:rPr>
        <w:t>11</w:t>
      </w:r>
      <w:r w:rsidR="0037044D">
        <w:rPr>
          <w:rFonts w:eastAsiaTheme="minorHAnsi"/>
          <w:lang w:eastAsia="en-GB"/>
        </w:rPr>
        <w:fldChar w:fldCharType="end"/>
      </w:r>
      <w:r w:rsidR="008478D6" w:rsidRPr="008478D6">
        <w:rPr>
          <w:rFonts w:eastAsiaTheme="minorHAnsi"/>
          <w:lang w:eastAsia="en-GB"/>
        </w:rPr>
        <w:t>).</w:t>
      </w:r>
    </w:p>
    <w:p w14:paraId="05611D25" w14:textId="77777777" w:rsidR="002F7B6B" w:rsidRDefault="00E07121" w:rsidP="00C22B8E">
      <w:pPr>
        <w:rPr>
          <w:rFonts w:eastAsiaTheme="minorHAnsi"/>
          <w:lang w:eastAsia="en-GB"/>
        </w:rPr>
      </w:pPr>
      <w:r>
        <w:rPr>
          <w:rFonts w:eastAsiaTheme="minorHAnsi"/>
          <w:lang w:eastAsia="en-GB"/>
        </w:rPr>
        <w:t xml:space="preserve">The lowest proportions of general practices with accreditation to be placement providers were in </w:t>
      </w:r>
      <w:proofErr w:type="spellStart"/>
      <w:r w:rsidR="001C60CC">
        <w:rPr>
          <w:rFonts w:eastAsiaTheme="minorHAnsi"/>
          <w:lang w:eastAsia="en-GB"/>
        </w:rPr>
        <w:t>MidCentral</w:t>
      </w:r>
      <w:proofErr w:type="spellEnd"/>
      <w:r w:rsidR="001C60CC">
        <w:rPr>
          <w:rFonts w:eastAsiaTheme="minorHAnsi"/>
          <w:lang w:eastAsia="en-GB"/>
        </w:rPr>
        <w:t xml:space="preserve">/Whanganui, the West Coast, </w:t>
      </w:r>
      <w:proofErr w:type="gramStart"/>
      <w:r w:rsidR="001C60CC">
        <w:rPr>
          <w:rFonts w:eastAsiaTheme="minorHAnsi"/>
          <w:lang w:eastAsia="en-GB"/>
        </w:rPr>
        <w:t>Taranaki</w:t>
      </w:r>
      <w:proofErr w:type="gramEnd"/>
      <w:r w:rsidR="001C60CC">
        <w:rPr>
          <w:rFonts w:eastAsiaTheme="minorHAnsi"/>
          <w:lang w:eastAsia="en-GB"/>
        </w:rPr>
        <w:t xml:space="preserve"> and Auckland/Counties Manukau.</w:t>
      </w:r>
    </w:p>
    <w:p w14:paraId="31A26651" w14:textId="3A65243B" w:rsidR="00C22B8E" w:rsidRDefault="00DE38D8" w:rsidP="00EF4726">
      <w:pPr>
        <w:rPr>
          <w:rFonts w:eastAsiaTheme="minorHAnsi"/>
          <w:lang w:eastAsia="en-GB"/>
        </w:rPr>
      </w:pPr>
      <w:r w:rsidRPr="00EF4726">
        <w:rPr>
          <w:rFonts w:eastAsiaTheme="minorHAnsi"/>
          <w:lang w:eastAsia="en-GB"/>
        </w:rPr>
        <w:t xml:space="preserve">Across the country, </w:t>
      </w:r>
      <w:r w:rsidR="00F478F5" w:rsidRPr="00EF4726">
        <w:rPr>
          <w:rFonts w:eastAsiaTheme="minorHAnsi"/>
          <w:lang w:eastAsia="en-GB"/>
        </w:rPr>
        <w:t>sixty-seven</w:t>
      </w:r>
      <w:r w:rsidRPr="00EF4726">
        <w:rPr>
          <w:rFonts w:eastAsiaTheme="minorHAnsi"/>
          <w:lang w:eastAsia="en-GB"/>
        </w:rPr>
        <w:t xml:space="preserve"> general practices </w:t>
      </w:r>
      <w:r w:rsidR="00F478F5" w:rsidRPr="00EF4726">
        <w:rPr>
          <w:rFonts w:eastAsiaTheme="minorHAnsi"/>
          <w:lang w:eastAsia="en-GB"/>
        </w:rPr>
        <w:t>(</w:t>
      </w:r>
      <w:r w:rsidR="005F1329" w:rsidRPr="00EF4726">
        <w:rPr>
          <w:rFonts w:eastAsiaTheme="minorHAnsi"/>
          <w:lang w:eastAsia="en-GB"/>
        </w:rPr>
        <w:t>7%</w:t>
      </w:r>
      <w:r w:rsidR="00F478F5" w:rsidRPr="00EF4726">
        <w:rPr>
          <w:rFonts w:eastAsiaTheme="minorHAnsi"/>
          <w:lang w:eastAsia="en-GB"/>
        </w:rPr>
        <w:t xml:space="preserve">) </w:t>
      </w:r>
      <w:r w:rsidRPr="00EF4726">
        <w:rPr>
          <w:rFonts w:eastAsiaTheme="minorHAnsi"/>
          <w:lang w:eastAsia="en-GB"/>
        </w:rPr>
        <w:t xml:space="preserve">can be defined as Māori based on </w:t>
      </w:r>
      <w:r w:rsidR="00F478F5" w:rsidRPr="00EF4726">
        <w:rPr>
          <w:rFonts w:eastAsiaTheme="minorHAnsi"/>
          <w:lang w:eastAsia="en-GB"/>
        </w:rPr>
        <w:t xml:space="preserve">a </w:t>
      </w:r>
      <w:proofErr w:type="spellStart"/>
      <w:r w:rsidR="00F478F5" w:rsidRPr="00EF4726">
        <w:rPr>
          <w:rFonts w:eastAsiaTheme="minorHAnsi"/>
          <w:lang w:eastAsia="en-GB"/>
        </w:rPr>
        <w:t>te</w:t>
      </w:r>
      <w:proofErr w:type="spellEnd"/>
      <w:r w:rsidR="00F478F5" w:rsidRPr="00EF4726">
        <w:rPr>
          <w:rFonts w:eastAsiaTheme="minorHAnsi"/>
          <w:lang w:eastAsia="en-GB"/>
        </w:rPr>
        <w:t xml:space="preserve"> </w:t>
      </w:r>
      <w:proofErr w:type="spellStart"/>
      <w:r w:rsidR="00F478F5" w:rsidRPr="00EF4726">
        <w:rPr>
          <w:rFonts w:eastAsiaTheme="minorHAnsi"/>
          <w:lang w:eastAsia="en-GB"/>
        </w:rPr>
        <w:t>ao</w:t>
      </w:r>
      <w:proofErr w:type="spellEnd"/>
      <w:r w:rsidR="00F478F5" w:rsidRPr="00EF4726">
        <w:rPr>
          <w:rFonts w:eastAsiaTheme="minorHAnsi"/>
          <w:lang w:eastAsia="en-GB"/>
        </w:rPr>
        <w:t xml:space="preserve"> Māori kaupapa and Māori governance.</w:t>
      </w:r>
      <w:r w:rsidR="00681D78" w:rsidRPr="00EF4726">
        <w:rPr>
          <w:rFonts w:eastAsiaTheme="minorHAnsi"/>
          <w:lang w:eastAsia="en-GB"/>
        </w:rPr>
        <w:t xml:space="preserve"> The same proportion of all accredited practices are Māori (7%). However, only 2</w:t>
      </w:r>
      <w:r w:rsidR="00EB12E9" w:rsidRPr="00EF4726">
        <w:rPr>
          <w:rFonts w:eastAsiaTheme="minorHAnsi"/>
          <w:lang w:eastAsia="en-GB"/>
        </w:rPr>
        <w:t>1% of Māori practices are accredited</w:t>
      </w:r>
      <w:r w:rsidR="00853559" w:rsidRPr="00EF4726">
        <w:rPr>
          <w:rFonts w:eastAsiaTheme="minorHAnsi"/>
          <w:lang w:eastAsia="en-GB"/>
        </w:rPr>
        <w:t xml:space="preserve"> and in localities such as Northland, Tairāwhiti, Taranaki</w:t>
      </w:r>
      <w:r w:rsidR="005B1417" w:rsidRPr="00EF4726">
        <w:rPr>
          <w:rFonts w:eastAsiaTheme="minorHAnsi"/>
          <w:lang w:eastAsia="en-GB"/>
        </w:rPr>
        <w:t xml:space="preserve">, </w:t>
      </w:r>
      <w:r w:rsidR="005B1417" w:rsidRPr="00EF4726">
        <w:rPr>
          <w:rFonts w:eastAsiaTheme="minorHAnsi" w:cs="Calibri"/>
          <w:lang w:eastAsia="en-GB"/>
        </w:rPr>
        <w:t xml:space="preserve">Bay of Plenty/Lakes </w:t>
      </w:r>
      <w:r w:rsidR="00EF4726" w:rsidRPr="00EF4726">
        <w:rPr>
          <w:rFonts w:eastAsiaTheme="minorHAnsi"/>
          <w:lang w:eastAsia="en-GB"/>
        </w:rPr>
        <w:t>and</w:t>
      </w:r>
      <w:r w:rsidR="00EF4726" w:rsidRPr="00EF4726">
        <w:rPr>
          <w:rFonts w:eastAsiaTheme="minorHAnsi" w:cs="Calibri"/>
          <w:lang w:eastAsia="en-GB"/>
        </w:rPr>
        <w:t xml:space="preserve"> </w:t>
      </w:r>
      <w:r w:rsidR="005B1417" w:rsidRPr="00EF4726">
        <w:rPr>
          <w:rFonts w:eastAsiaTheme="minorHAnsi" w:cs="Calibri"/>
          <w:lang w:eastAsia="en-GB"/>
        </w:rPr>
        <w:t>Whanganui/</w:t>
      </w:r>
      <w:proofErr w:type="spellStart"/>
      <w:r w:rsidR="005B1417" w:rsidRPr="00EF4726">
        <w:rPr>
          <w:rFonts w:eastAsiaTheme="minorHAnsi" w:cs="Calibri"/>
          <w:lang w:eastAsia="en-GB"/>
        </w:rPr>
        <w:t>MidCentral</w:t>
      </w:r>
      <w:proofErr w:type="spellEnd"/>
      <w:r w:rsidR="00853559" w:rsidRPr="00EF4726">
        <w:rPr>
          <w:rFonts w:eastAsiaTheme="minorHAnsi"/>
          <w:lang w:eastAsia="en-GB"/>
        </w:rPr>
        <w:t xml:space="preserve"> </w:t>
      </w:r>
      <w:r w:rsidR="00EF4726">
        <w:rPr>
          <w:rFonts w:eastAsiaTheme="minorHAnsi"/>
          <w:lang w:eastAsia="en-GB"/>
        </w:rPr>
        <w:t>there are no accredited Māori practices</w:t>
      </w:r>
      <w:r w:rsidR="00880999">
        <w:rPr>
          <w:rStyle w:val="FootnoteReference"/>
          <w:rFonts w:eastAsiaTheme="minorHAnsi"/>
          <w:lang w:eastAsia="en-GB"/>
        </w:rPr>
        <w:footnoteReference w:id="29"/>
      </w:r>
      <w:r w:rsidR="00EF4726">
        <w:rPr>
          <w:rFonts w:eastAsiaTheme="minorHAnsi"/>
          <w:lang w:eastAsia="en-GB"/>
        </w:rPr>
        <w:t>.</w:t>
      </w:r>
    </w:p>
    <w:p w14:paraId="70367B1C" w14:textId="663BEF05" w:rsidR="00492890" w:rsidRDefault="00492890" w:rsidP="00EF4726">
      <w:pPr>
        <w:rPr>
          <w:rFonts w:eastAsiaTheme="minorHAnsi"/>
          <w:lang w:eastAsia="en-GB"/>
        </w:rPr>
      </w:pPr>
      <w:r>
        <w:rPr>
          <w:rFonts w:eastAsiaTheme="minorHAnsi"/>
          <w:lang w:eastAsia="en-GB"/>
        </w:rPr>
        <w:t>In response to the survey one Māori doctor noted a lack of opportunities for placements with Māori and Pacific providers and another noted that those opportunities that were available were not well advertised.</w:t>
      </w:r>
    </w:p>
    <w:p w14:paraId="244D720D" w14:textId="1FA5652E" w:rsidR="00492890" w:rsidRDefault="00492890" w:rsidP="00492890">
      <w:pPr>
        <w:pStyle w:val="Quotes"/>
        <w:rPr>
          <w:rFonts w:eastAsiaTheme="minorHAnsi"/>
          <w:lang w:eastAsia="en-GB"/>
        </w:rPr>
      </w:pPr>
      <w:r w:rsidRPr="00492890">
        <w:rPr>
          <w:rFonts w:eastAsiaTheme="minorHAnsi"/>
          <w:lang w:eastAsia="en-GB"/>
        </w:rPr>
        <w:t>There is already a demand</w:t>
      </w:r>
      <w:r>
        <w:rPr>
          <w:rFonts w:eastAsiaTheme="minorHAnsi"/>
          <w:lang w:eastAsia="en-GB"/>
        </w:rPr>
        <w:t xml:space="preserve"> [to go to a Māori pr Pacific provider]</w:t>
      </w:r>
      <w:r w:rsidRPr="00492890">
        <w:rPr>
          <w:rFonts w:eastAsiaTheme="minorHAnsi"/>
          <w:lang w:eastAsia="en-GB"/>
        </w:rPr>
        <w:t>. Not all registrars with a desire to work with Māori and pacific organisations are afforded that opportunity now.</w:t>
      </w:r>
      <w:r>
        <w:rPr>
          <w:rFonts w:eastAsiaTheme="minorHAnsi"/>
          <w:lang w:eastAsia="en-GB"/>
        </w:rPr>
        <w:t xml:space="preserve"> (Registrar - survey)</w:t>
      </w:r>
    </w:p>
    <w:p w14:paraId="27274811" w14:textId="016FC42D" w:rsidR="00492890" w:rsidRPr="00EF4726" w:rsidRDefault="00492890" w:rsidP="00492890">
      <w:pPr>
        <w:pStyle w:val="Quotes"/>
        <w:rPr>
          <w:rFonts w:eastAsiaTheme="minorHAnsi"/>
          <w:lang w:eastAsia="en-GB"/>
        </w:rPr>
      </w:pPr>
      <w:r>
        <w:rPr>
          <w:rFonts w:eastAsiaTheme="minorHAnsi"/>
          <w:lang w:eastAsia="en-GB"/>
        </w:rPr>
        <w:t>A</w:t>
      </w:r>
      <w:r w:rsidRPr="00492890">
        <w:rPr>
          <w:rFonts w:eastAsiaTheme="minorHAnsi"/>
          <w:lang w:eastAsia="en-GB"/>
        </w:rPr>
        <w:t>dvertise Māori and PI role</w:t>
      </w:r>
      <w:r>
        <w:rPr>
          <w:rFonts w:eastAsiaTheme="minorHAnsi"/>
          <w:lang w:eastAsia="en-GB"/>
        </w:rPr>
        <w:t>s</w:t>
      </w:r>
      <w:r w:rsidRPr="00492890">
        <w:rPr>
          <w:rFonts w:eastAsiaTheme="minorHAnsi"/>
          <w:lang w:eastAsia="en-GB"/>
        </w:rPr>
        <w:t xml:space="preserve"> better. </w:t>
      </w:r>
      <w:r>
        <w:rPr>
          <w:rFonts w:eastAsiaTheme="minorHAnsi"/>
          <w:lang w:eastAsia="en-GB"/>
        </w:rPr>
        <w:t>T</w:t>
      </w:r>
      <w:r w:rsidRPr="00492890">
        <w:rPr>
          <w:rFonts w:eastAsiaTheme="minorHAnsi"/>
          <w:lang w:eastAsia="en-GB"/>
        </w:rPr>
        <w:t>here currently is minimal. I didn't understand what a Māori health provider actually does until I experienced it myself but would be nice to have experiences shared. I would highly recommend Māori NGO for Māori docs.</w:t>
      </w:r>
      <w:r>
        <w:rPr>
          <w:rFonts w:eastAsiaTheme="minorHAnsi"/>
          <w:lang w:eastAsia="en-GB"/>
        </w:rPr>
        <w:t xml:space="preserve"> (Registrar – survey)</w:t>
      </w:r>
    </w:p>
    <w:p w14:paraId="0B490D91" w14:textId="77777777" w:rsidR="00C22B8E" w:rsidRDefault="00C22B8E" w:rsidP="00C22B8E">
      <w:pPr>
        <w:rPr>
          <w:rFonts w:eastAsiaTheme="minorHAnsi"/>
          <w:lang w:eastAsia="en-GB"/>
        </w:rPr>
      </w:pPr>
    </w:p>
    <w:p w14:paraId="0FD5B29C" w14:textId="5B4543DB" w:rsidR="00C22B8E" w:rsidRDefault="00C22B8E" w:rsidP="00C22B8E">
      <w:pPr>
        <w:rPr>
          <w:rFonts w:eastAsiaTheme="minorHAnsi"/>
          <w:lang w:eastAsia="en-GB"/>
        </w:rPr>
        <w:sectPr w:rsidR="00C22B8E" w:rsidSect="00CA3C1C">
          <w:pgSz w:w="11906" w:h="16838" w:code="9"/>
          <w:pgMar w:top="1985" w:right="1418" w:bottom="1985" w:left="2880" w:header="284" w:footer="567" w:gutter="0"/>
          <w:cols w:space="708"/>
          <w:docGrid w:linePitch="360"/>
        </w:sectPr>
      </w:pPr>
    </w:p>
    <w:p w14:paraId="7D8C6E04" w14:textId="1D358A3A" w:rsidR="002F7B6B" w:rsidRDefault="008F476E" w:rsidP="0084002B">
      <w:pPr>
        <w:pStyle w:val="Caption"/>
      </w:pPr>
      <w:bookmarkStart w:id="81" w:name="_Ref104471333"/>
      <w:r>
        <w:lastRenderedPageBreak/>
        <w:t xml:space="preserve">Table </w:t>
      </w:r>
      <w:r>
        <w:fldChar w:fldCharType="begin"/>
      </w:r>
      <w:r>
        <w:instrText>SEQ Table \* ARABIC</w:instrText>
      </w:r>
      <w:r>
        <w:fldChar w:fldCharType="separate"/>
      </w:r>
      <w:r w:rsidR="005E0451">
        <w:rPr>
          <w:noProof/>
        </w:rPr>
        <w:t>11</w:t>
      </w:r>
      <w:r>
        <w:fldChar w:fldCharType="end"/>
      </w:r>
      <w:bookmarkEnd w:id="81"/>
      <w:r w:rsidR="002F7B6B">
        <w:t xml:space="preserve">. Breakdown of RNZCGP data accredited practices </w:t>
      </w:r>
      <w:r w:rsidR="00AC288E">
        <w:t xml:space="preserve">from </w:t>
      </w:r>
      <w:r w:rsidR="00D334C0">
        <w:t>Manat</w:t>
      </w:r>
      <w:r w:rsidR="00D334C0">
        <w:rPr>
          <w:rFonts w:cs="Calibri"/>
        </w:rPr>
        <w:t>ū</w:t>
      </w:r>
      <w:r w:rsidR="00D334C0">
        <w:t xml:space="preserve"> Hauora</w:t>
      </w:r>
      <w:r w:rsidR="00AC288E">
        <w:t xml:space="preserve"> data and College data</w:t>
      </w:r>
      <w:r w:rsidR="006247BC">
        <w:t xml:space="preserve">. Note different definitions of Māori practice may be used </w:t>
      </w:r>
      <w:r w:rsidR="004D312D">
        <w:t>in identifying Māori practices (</w:t>
      </w:r>
      <w:r w:rsidR="00D334C0">
        <w:t>Manat</w:t>
      </w:r>
      <w:r w:rsidR="00D334C0">
        <w:rPr>
          <w:rFonts w:cs="Calibri"/>
        </w:rPr>
        <w:t>ū</w:t>
      </w:r>
      <w:r w:rsidR="00D334C0">
        <w:t xml:space="preserve"> Hauora</w:t>
      </w:r>
      <w:r w:rsidR="004D312D">
        <w:t xml:space="preserve"> data – defined as </w:t>
      </w:r>
      <w:r w:rsidR="006621E5">
        <w:t xml:space="preserve">a </w:t>
      </w:r>
      <w:proofErr w:type="spellStart"/>
      <w:r w:rsidR="006621E5">
        <w:t>te</w:t>
      </w:r>
      <w:proofErr w:type="spellEnd"/>
      <w:r w:rsidR="006621E5">
        <w:t xml:space="preserve"> </w:t>
      </w:r>
      <w:proofErr w:type="spellStart"/>
      <w:r w:rsidR="006621E5">
        <w:t>ao</w:t>
      </w:r>
      <w:proofErr w:type="spellEnd"/>
      <w:r w:rsidR="006621E5">
        <w:t xml:space="preserve"> Māori kaupapa and Māori governance</w:t>
      </w:r>
      <w:r w:rsidR="004D312D">
        <w:t>) and the number of Māori accredited practice (College data).</w:t>
      </w:r>
      <w:r w:rsidR="00AC288E">
        <w:t xml:space="preserve"> </w:t>
      </w:r>
    </w:p>
    <w:tbl>
      <w:tblPr>
        <w:tblStyle w:val="MITableClassic"/>
        <w:tblW w:w="14034" w:type="dxa"/>
        <w:tblLayout w:type="fixed"/>
        <w:tblLook w:val="04A0" w:firstRow="1" w:lastRow="0" w:firstColumn="1" w:lastColumn="0" w:noHBand="0" w:noVBand="1"/>
      </w:tblPr>
      <w:tblGrid>
        <w:gridCol w:w="2410"/>
        <w:gridCol w:w="1453"/>
        <w:gridCol w:w="1453"/>
        <w:gridCol w:w="1453"/>
        <w:gridCol w:w="1595"/>
        <w:gridCol w:w="1311"/>
        <w:gridCol w:w="1453"/>
        <w:gridCol w:w="1453"/>
        <w:gridCol w:w="1453"/>
      </w:tblGrid>
      <w:tr w:rsidR="00774AC9" w:rsidRPr="00A90A85" w14:paraId="06F71762" w14:textId="77777777" w:rsidTr="00D334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0F657DAD" w14:textId="77777777" w:rsidR="00774AC9" w:rsidRPr="00A90A85" w:rsidRDefault="00774AC9" w:rsidP="00774AC9">
            <w:pPr>
              <w:spacing w:before="0" w:after="0" w:line="240" w:lineRule="auto"/>
              <w:rPr>
                <w:rFonts w:eastAsiaTheme="minorHAnsi" w:cs="Calibri"/>
                <w:sz w:val="20"/>
                <w:szCs w:val="20"/>
                <w:lang w:eastAsia="en-GB"/>
              </w:rPr>
            </w:pPr>
            <w:r w:rsidRPr="00A90A85">
              <w:rPr>
                <w:rFonts w:eastAsiaTheme="minorHAnsi" w:cs="Calibri"/>
                <w:sz w:val="20"/>
                <w:szCs w:val="20"/>
                <w:lang w:eastAsia="en-GB"/>
              </w:rPr>
              <w:t>DHB</w:t>
            </w:r>
          </w:p>
        </w:tc>
        <w:tc>
          <w:tcPr>
            <w:tcW w:w="1453" w:type="dxa"/>
          </w:tcPr>
          <w:p w14:paraId="4152407C" w14:textId="2513836E" w:rsidR="00774AC9" w:rsidRPr="00D334C0" w:rsidRDefault="00774AC9"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D334C0">
              <w:rPr>
                <w:rFonts w:eastAsiaTheme="minorHAnsi" w:cs="Calibri"/>
                <w:sz w:val="20"/>
                <w:szCs w:val="20"/>
                <w:lang w:eastAsia="en-GB"/>
              </w:rPr>
              <w:t>Total # general practices (</w:t>
            </w:r>
            <w:r w:rsidR="00D334C0" w:rsidRPr="00D334C0">
              <w:rPr>
                <w:sz w:val="20"/>
                <w:szCs w:val="20"/>
              </w:rPr>
              <w:t>Manat</w:t>
            </w:r>
            <w:r w:rsidR="00D334C0" w:rsidRPr="00D334C0">
              <w:rPr>
                <w:rFonts w:cs="Calibri"/>
                <w:sz w:val="20"/>
                <w:szCs w:val="20"/>
              </w:rPr>
              <w:t>ū</w:t>
            </w:r>
            <w:r w:rsidR="00D334C0" w:rsidRPr="00D334C0">
              <w:rPr>
                <w:sz w:val="20"/>
                <w:szCs w:val="20"/>
              </w:rPr>
              <w:t xml:space="preserve"> Hauora</w:t>
            </w:r>
            <w:r w:rsidRPr="00D334C0">
              <w:rPr>
                <w:rFonts w:eastAsiaTheme="minorHAnsi" w:cs="Calibri"/>
                <w:sz w:val="20"/>
                <w:szCs w:val="20"/>
                <w:lang w:eastAsia="en-GB"/>
              </w:rPr>
              <w:t xml:space="preserve"> data)</w:t>
            </w:r>
          </w:p>
        </w:tc>
        <w:tc>
          <w:tcPr>
            <w:tcW w:w="1453" w:type="dxa"/>
          </w:tcPr>
          <w:p w14:paraId="439310D1" w14:textId="30982154" w:rsidR="00774AC9" w:rsidRPr="00A90A85" w:rsidRDefault="00475D20"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sidR="00774AC9">
              <w:rPr>
                <w:rFonts w:eastAsiaTheme="minorHAnsi" w:cs="Calibri"/>
                <w:sz w:val="20"/>
                <w:szCs w:val="20"/>
                <w:lang w:eastAsia="en-GB"/>
              </w:rPr>
              <w:t>of</w:t>
            </w:r>
            <w:proofErr w:type="gramEnd"/>
            <w:r w:rsidR="00774AC9">
              <w:rPr>
                <w:rFonts w:eastAsiaTheme="minorHAnsi" w:cs="Calibri"/>
                <w:sz w:val="20"/>
                <w:szCs w:val="20"/>
                <w:lang w:eastAsia="en-GB"/>
              </w:rPr>
              <w:t xml:space="preserve"> accredited practices </w:t>
            </w:r>
            <w:r w:rsidR="00557E39">
              <w:rPr>
                <w:rFonts w:eastAsiaTheme="minorHAnsi" w:cs="Calibri"/>
                <w:sz w:val="20"/>
                <w:szCs w:val="20"/>
                <w:lang w:eastAsia="en-GB"/>
              </w:rPr>
              <w:t xml:space="preserve">in 2022 </w:t>
            </w:r>
            <w:r w:rsidR="00774AC9">
              <w:rPr>
                <w:rFonts w:eastAsiaTheme="minorHAnsi" w:cs="Calibri"/>
                <w:sz w:val="20"/>
                <w:szCs w:val="20"/>
                <w:lang w:eastAsia="en-GB"/>
              </w:rPr>
              <w:t>(College data)</w:t>
            </w:r>
          </w:p>
        </w:tc>
        <w:tc>
          <w:tcPr>
            <w:tcW w:w="1453" w:type="dxa"/>
          </w:tcPr>
          <w:p w14:paraId="38F6B2D6" w14:textId="2F3578DF" w:rsidR="00774AC9" w:rsidRDefault="00774AC9"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sidR="00DB77B6">
              <w:rPr>
                <w:rFonts w:eastAsiaTheme="minorHAnsi" w:cs="Calibri"/>
                <w:sz w:val="20"/>
                <w:szCs w:val="20"/>
                <w:lang w:eastAsia="en-GB"/>
              </w:rPr>
              <w:t>of</w:t>
            </w:r>
            <w:proofErr w:type="gramEnd"/>
            <w:r w:rsidR="00DB77B6">
              <w:rPr>
                <w:rFonts w:eastAsiaTheme="minorHAnsi" w:cs="Calibri"/>
                <w:sz w:val="20"/>
                <w:szCs w:val="20"/>
                <w:lang w:eastAsia="en-GB"/>
              </w:rPr>
              <w:t xml:space="preserve"> all practices that are </w:t>
            </w:r>
            <w:r>
              <w:rPr>
                <w:rFonts w:eastAsiaTheme="minorHAnsi" w:cs="Calibri"/>
                <w:sz w:val="20"/>
                <w:szCs w:val="20"/>
                <w:lang w:eastAsia="en-GB"/>
              </w:rPr>
              <w:t>accredite</w:t>
            </w:r>
            <w:r w:rsidR="00DB77B6">
              <w:rPr>
                <w:rFonts w:eastAsiaTheme="minorHAnsi" w:cs="Calibri"/>
                <w:sz w:val="20"/>
                <w:szCs w:val="20"/>
                <w:lang w:eastAsia="en-GB"/>
              </w:rPr>
              <w:t>d</w:t>
            </w:r>
          </w:p>
        </w:tc>
        <w:tc>
          <w:tcPr>
            <w:tcW w:w="1595" w:type="dxa"/>
          </w:tcPr>
          <w:p w14:paraId="2C820B86" w14:textId="3CE6BE1F" w:rsidR="00774AC9" w:rsidRPr="00D334C0" w:rsidRDefault="00774AC9"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D334C0">
              <w:rPr>
                <w:rFonts w:eastAsiaTheme="minorHAnsi" w:cs="Calibri"/>
                <w:sz w:val="20"/>
                <w:szCs w:val="20"/>
                <w:lang w:eastAsia="en-GB"/>
              </w:rPr>
              <w:t xml:space="preserve"># </w:t>
            </w:r>
            <w:proofErr w:type="gramStart"/>
            <w:r w:rsidR="004D312D" w:rsidRPr="00D334C0">
              <w:rPr>
                <w:rFonts w:eastAsiaTheme="minorHAnsi" w:cs="Calibri"/>
                <w:sz w:val="20"/>
                <w:szCs w:val="20"/>
                <w:lang w:eastAsia="en-GB"/>
              </w:rPr>
              <w:t>of</w:t>
            </w:r>
            <w:proofErr w:type="gramEnd"/>
            <w:r w:rsidR="004D312D" w:rsidRPr="00D334C0">
              <w:rPr>
                <w:rFonts w:eastAsiaTheme="minorHAnsi" w:cs="Calibri"/>
                <w:sz w:val="20"/>
                <w:szCs w:val="20"/>
                <w:lang w:eastAsia="en-GB"/>
              </w:rPr>
              <w:t xml:space="preserve"> </w:t>
            </w:r>
            <w:r w:rsidR="009912DF" w:rsidRPr="00D334C0">
              <w:rPr>
                <w:rFonts w:eastAsiaTheme="minorHAnsi" w:cs="Calibri"/>
                <w:sz w:val="20"/>
                <w:szCs w:val="20"/>
                <w:lang w:eastAsia="en-GB"/>
              </w:rPr>
              <w:t xml:space="preserve">all </w:t>
            </w:r>
            <w:r w:rsidRPr="00D334C0">
              <w:rPr>
                <w:rFonts w:eastAsiaTheme="minorHAnsi" w:cs="Calibri"/>
                <w:sz w:val="20"/>
                <w:szCs w:val="20"/>
                <w:lang w:eastAsia="en-GB"/>
              </w:rPr>
              <w:t xml:space="preserve">practices </w:t>
            </w:r>
            <w:r w:rsidR="009912DF" w:rsidRPr="00D334C0">
              <w:rPr>
                <w:rFonts w:eastAsiaTheme="minorHAnsi" w:cs="Calibri"/>
                <w:sz w:val="20"/>
                <w:szCs w:val="20"/>
                <w:lang w:eastAsia="en-GB"/>
              </w:rPr>
              <w:t xml:space="preserve">defined as Māori </w:t>
            </w:r>
            <w:r w:rsidRPr="00D334C0">
              <w:rPr>
                <w:rFonts w:eastAsiaTheme="minorHAnsi" w:cs="Calibri"/>
                <w:sz w:val="20"/>
                <w:szCs w:val="20"/>
                <w:lang w:eastAsia="en-GB"/>
              </w:rPr>
              <w:t>(</w:t>
            </w:r>
            <w:r w:rsidR="00D334C0" w:rsidRPr="00D334C0">
              <w:rPr>
                <w:sz w:val="20"/>
                <w:szCs w:val="20"/>
              </w:rPr>
              <w:t>Manat</w:t>
            </w:r>
            <w:r w:rsidR="00D334C0" w:rsidRPr="00D334C0">
              <w:rPr>
                <w:rFonts w:cs="Calibri"/>
                <w:sz w:val="20"/>
                <w:szCs w:val="20"/>
              </w:rPr>
              <w:t>ū</w:t>
            </w:r>
            <w:r w:rsidR="00D334C0" w:rsidRPr="00D334C0">
              <w:rPr>
                <w:sz w:val="20"/>
                <w:szCs w:val="20"/>
              </w:rPr>
              <w:t xml:space="preserve"> Hauora</w:t>
            </w:r>
            <w:r w:rsidRPr="00D334C0">
              <w:rPr>
                <w:rFonts w:eastAsiaTheme="minorHAnsi" w:cs="Calibri"/>
                <w:sz w:val="20"/>
                <w:szCs w:val="20"/>
                <w:lang w:eastAsia="en-GB"/>
              </w:rPr>
              <w:t xml:space="preserve"> data)</w:t>
            </w:r>
          </w:p>
        </w:tc>
        <w:tc>
          <w:tcPr>
            <w:tcW w:w="1311" w:type="dxa"/>
          </w:tcPr>
          <w:p w14:paraId="1997831C" w14:textId="40D54B17" w:rsidR="00774AC9" w:rsidRPr="00A90A85" w:rsidRDefault="00365320"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Pr>
                <w:rFonts w:eastAsiaTheme="minorHAnsi" w:cs="Calibri"/>
                <w:sz w:val="20"/>
                <w:szCs w:val="20"/>
                <w:lang w:eastAsia="en-GB"/>
              </w:rPr>
              <w:t>of</w:t>
            </w:r>
            <w:proofErr w:type="gramEnd"/>
            <w:r>
              <w:rPr>
                <w:rFonts w:eastAsiaTheme="minorHAnsi" w:cs="Calibri"/>
                <w:sz w:val="20"/>
                <w:szCs w:val="20"/>
                <w:lang w:eastAsia="en-GB"/>
              </w:rPr>
              <w:t xml:space="preserve"> </w:t>
            </w:r>
            <w:r w:rsidR="00774AC9" w:rsidRPr="00A90A85">
              <w:rPr>
                <w:rFonts w:eastAsiaTheme="minorHAnsi" w:cs="Calibri"/>
                <w:sz w:val="20"/>
                <w:szCs w:val="20"/>
                <w:lang w:eastAsia="en-GB"/>
              </w:rPr>
              <w:t xml:space="preserve">Māori </w:t>
            </w:r>
            <w:r>
              <w:rPr>
                <w:rFonts w:eastAsiaTheme="minorHAnsi" w:cs="Calibri"/>
                <w:sz w:val="20"/>
                <w:szCs w:val="20"/>
                <w:lang w:eastAsia="en-GB"/>
              </w:rPr>
              <w:t>accredited practices</w:t>
            </w:r>
            <w:r w:rsidR="00774AC9">
              <w:rPr>
                <w:rFonts w:eastAsiaTheme="minorHAnsi" w:cs="Calibri"/>
                <w:sz w:val="20"/>
                <w:szCs w:val="20"/>
                <w:lang w:eastAsia="en-GB"/>
              </w:rPr>
              <w:t xml:space="preserve"> (college definition)</w:t>
            </w:r>
          </w:p>
        </w:tc>
        <w:tc>
          <w:tcPr>
            <w:tcW w:w="1453" w:type="dxa"/>
          </w:tcPr>
          <w:p w14:paraId="208963BD" w14:textId="716D09E8" w:rsidR="00774AC9" w:rsidRPr="00A90A85" w:rsidRDefault="00774AC9"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sidR="001202CE">
              <w:rPr>
                <w:rFonts w:eastAsiaTheme="minorHAnsi" w:cs="Calibri"/>
                <w:sz w:val="20"/>
                <w:szCs w:val="20"/>
                <w:lang w:eastAsia="en-GB"/>
              </w:rPr>
              <w:t>of</w:t>
            </w:r>
            <w:proofErr w:type="gramEnd"/>
            <w:r w:rsidR="001202CE">
              <w:rPr>
                <w:rFonts w:eastAsiaTheme="minorHAnsi" w:cs="Calibri"/>
                <w:sz w:val="20"/>
                <w:szCs w:val="20"/>
                <w:lang w:eastAsia="en-GB"/>
              </w:rPr>
              <w:t xml:space="preserve"> all </w:t>
            </w:r>
            <w:r>
              <w:rPr>
                <w:rFonts w:eastAsiaTheme="minorHAnsi" w:cs="Calibri"/>
                <w:sz w:val="20"/>
                <w:szCs w:val="20"/>
                <w:lang w:eastAsia="en-GB"/>
              </w:rPr>
              <w:t>accredited</w:t>
            </w:r>
            <w:r w:rsidR="00882BFE">
              <w:rPr>
                <w:rFonts w:eastAsiaTheme="minorHAnsi" w:cs="Calibri"/>
                <w:sz w:val="20"/>
                <w:szCs w:val="20"/>
                <w:lang w:eastAsia="en-GB"/>
              </w:rPr>
              <w:t xml:space="preserve"> </w:t>
            </w:r>
            <w:r w:rsidR="001202CE">
              <w:rPr>
                <w:rFonts w:eastAsiaTheme="minorHAnsi" w:cs="Calibri"/>
                <w:sz w:val="20"/>
                <w:szCs w:val="20"/>
                <w:lang w:eastAsia="en-GB"/>
              </w:rPr>
              <w:t xml:space="preserve">practices that are Māori </w:t>
            </w:r>
          </w:p>
        </w:tc>
        <w:tc>
          <w:tcPr>
            <w:tcW w:w="1453" w:type="dxa"/>
          </w:tcPr>
          <w:p w14:paraId="67ABD4E5" w14:textId="601C5719" w:rsidR="00774AC9" w:rsidRPr="00A90A85" w:rsidRDefault="00A04A66"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sidR="001202CE">
              <w:rPr>
                <w:rFonts w:eastAsiaTheme="minorHAnsi" w:cs="Calibri"/>
                <w:sz w:val="20"/>
                <w:szCs w:val="20"/>
                <w:lang w:eastAsia="en-GB"/>
              </w:rPr>
              <w:t>of</w:t>
            </w:r>
            <w:proofErr w:type="gramEnd"/>
            <w:r w:rsidR="001202CE">
              <w:rPr>
                <w:rFonts w:eastAsiaTheme="minorHAnsi" w:cs="Calibri"/>
                <w:sz w:val="20"/>
                <w:szCs w:val="20"/>
                <w:lang w:eastAsia="en-GB"/>
              </w:rPr>
              <w:t xml:space="preserve"> all</w:t>
            </w:r>
            <w:r w:rsidR="00FE77F9">
              <w:rPr>
                <w:rFonts w:eastAsiaTheme="minorHAnsi" w:cs="Calibri"/>
                <w:sz w:val="20"/>
                <w:szCs w:val="20"/>
                <w:lang w:eastAsia="en-GB"/>
              </w:rPr>
              <w:t xml:space="preserve"> </w:t>
            </w:r>
            <w:r>
              <w:rPr>
                <w:rFonts w:eastAsiaTheme="minorHAnsi" w:cs="Calibri"/>
                <w:sz w:val="20"/>
                <w:szCs w:val="20"/>
                <w:lang w:eastAsia="en-GB"/>
              </w:rPr>
              <w:t>accredited practices</w:t>
            </w:r>
            <w:r w:rsidR="001202CE">
              <w:rPr>
                <w:rFonts w:eastAsiaTheme="minorHAnsi" w:cs="Calibri"/>
                <w:sz w:val="20"/>
                <w:szCs w:val="20"/>
                <w:lang w:eastAsia="en-GB"/>
              </w:rPr>
              <w:t xml:space="preserve"> defined as rural</w:t>
            </w:r>
          </w:p>
        </w:tc>
        <w:tc>
          <w:tcPr>
            <w:tcW w:w="1453" w:type="dxa"/>
          </w:tcPr>
          <w:p w14:paraId="26D6513B" w14:textId="183C6D2B" w:rsidR="00774AC9" w:rsidRPr="00A90A85" w:rsidRDefault="00A04A66" w:rsidP="00774AC9">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 xml:space="preserve">% </w:t>
            </w:r>
            <w:proofErr w:type="gramStart"/>
            <w:r>
              <w:rPr>
                <w:rFonts w:eastAsiaTheme="minorHAnsi" w:cs="Calibri"/>
                <w:sz w:val="20"/>
                <w:szCs w:val="20"/>
                <w:lang w:eastAsia="en-GB"/>
              </w:rPr>
              <w:t>of</w:t>
            </w:r>
            <w:proofErr w:type="gramEnd"/>
            <w:r>
              <w:rPr>
                <w:rFonts w:eastAsiaTheme="minorHAnsi" w:cs="Calibri"/>
                <w:sz w:val="20"/>
                <w:szCs w:val="20"/>
                <w:lang w:eastAsia="en-GB"/>
              </w:rPr>
              <w:t xml:space="preserve"> </w:t>
            </w:r>
            <w:r w:rsidR="001202CE">
              <w:rPr>
                <w:rFonts w:eastAsiaTheme="minorHAnsi" w:cs="Calibri"/>
                <w:sz w:val="20"/>
                <w:szCs w:val="20"/>
                <w:lang w:eastAsia="en-GB"/>
              </w:rPr>
              <w:t>all</w:t>
            </w:r>
            <w:r w:rsidR="00D80A34">
              <w:rPr>
                <w:rFonts w:eastAsiaTheme="minorHAnsi" w:cs="Calibri"/>
                <w:sz w:val="20"/>
                <w:szCs w:val="20"/>
                <w:lang w:eastAsia="en-GB"/>
              </w:rPr>
              <w:t xml:space="preserve"> accredited </w:t>
            </w:r>
            <w:r>
              <w:rPr>
                <w:rFonts w:eastAsiaTheme="minorHAnsi" w:cs="Calibri"/>
                <w:sz w:val="20"/>
                <w:szCs w:val="20"/>
                <w:lang w:eastAsia="en-GB"/>
              </w:rPr>
              <w:t>practices</w:t>
            </w:r>
            <w:r w:rsidR="001202CE">
              <w:rPr>
                <w:rFonts w:eastAsiaTheme="minorHAnsi" w:cs="Calibri"/>
                <w:sz w:val="20"/>
                <w:szCs w:val="20"/>
                <w:lang w:eastAsia="en-GB"/>
              </w:rPr>
              <w:t xml:space="preserve"> defined as high needs </w:t>
            </w:r>
          </w:p>
        </w:tc>
      </w:tr>
      <w:tr w:rsidR="00774AC9" w:rsidRPr="00A90A85" w14:paraId="0DEB1E3A"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5048C100" w14:textId="77777777"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 xml:space="preserve">Northland </w:t>
            </w:r>
          </w:p>
        </w:tc>
        <w:tc>
          <w:tcPr>
            <w:tcW w:w="1453" w:type="dxa"/>
            <w:vAlign w:val="center"/>
          </w:tcPr>
          <w:p w14:paraId="354A7B95" w14:textId="18210DDB"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36</w:t>
            </w:r>
          </w:p>
        </w:tc>
        <w:tc>
          <w:tcPr>
            <w:tcW w:w="1453" w:type="dxa"/>
            <w:vAlign w:val="center"/>
          </w:tcPr>
          <w:p w14:paraId="1220F1E6" w14:textId="1650D00F"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8</w:t>
            </w:r>
          </w:p>
        </w:tc>
        <w:tc>
          <w:tcPr>
            <w:tcW w:w="1453" w:type="dxa"/>
            <w:vAlign w:val="center"/>
          </w:tcPr>
          <w:p w14:paraId="36241935" w14:textId="74248822"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22%</w:t>
            </w:r>
          </w:p>
        </w:tc>
        <w:tc>
          <w:tcPr>
            <w:tcW w:w="1595" w:type="dxa"/>
            <w:shd w:val="clear" w:color="auto" w:fill="D0D9EA" w:themeFill="accent1" w:themeFillTint="33"/>
            <w:vAlign w:val="center"/>
          </w:tcPr>
          <w:p w14:paraId="4AEC5D0B" w14:textId="46EF8F51"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rPr>
            </w:pPr>
            <w:r w:rsidRPr="008800C1">
              <w:rPr>
                <w:rFonts w:cs="Calibri"/>
                <w:sz w:val="20"/>
                <w:szCs w:val="20"/>
              </w:rPr>
              <w:t>6</w:t>
            </w:r>
          </w:p>
        </w:tc>
        <w:tc>
          <w:tcPr>
            <w:tcW w:w="1311" w:type="dxa"/>
            <w:vAlign w:val="center"/>
          </w:tcPr>
          <w:p w14:paraId="5734C9E6" w14:textId="159401E5" w:rsidR="00774AC9" w:rsidRPr="00A90A85" w:rsidRDefault="0085355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rPr>
              <w:t>0</w:t>
            </w:r>
          </w:p>
        </w:tc>
        <w:tc>
          <w:tcPr>
            <w:tcW w:w="1453" w:type="dxa"/>
            <w:vAlign w:val="center"/>
          </w:tcPr>
          <w:p w14:paraId="2EBF31EA" w14:textId="0E713AF6" w:rsidR="00774AC9" w:rsidRPr="00A90A85" w:rsidRDefault="008F6423"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0450396A" w14:textId="12F3D1AA"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63%</w:t>
            </w:r>
          </w:p>
        </w:tc>
        <w:tc>
          <w:tcPr>
            <w:tcW w:w="1453" w:type="dxa"/>
            <w:vAlign w:val="center"/>
          </w:tcPr>
          <w:p w14:paraId="6976CEDF" w14:textId="14E29A32"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88%</w:t>
            </w:r>
          </w:p>
        </w:tc>
      </w:tr>
      <w:tr w:rsidR="00774AC9" w:rsidRPr="00A90A85" w14:paraId="52BAC901"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0FF3490D" w14:textId="77777777"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Waitematā</w:t>
            </w:r>
          </w:p>
        </w:tc>
        <w:tc>
          <w:tcPr>
            <w:tcW w:w="1453" w:type="dxa"/>
            <w:vAlign w:val="center"/>
          </w:tcPr>
          <w:p w14:paraId="1F641B07" w14:textId="471D5B42"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52</w:t>
            </w:r>
          </w:p>
        </w:tc>
        <w:tc>
          <w:tcPr>
            <w:tcW w:w="1453" w:type="dxa"/>
            <w:vAlign w:val="center"/>
          </w:tcPr>
          <w:p w14:paraId="0346311F" w14:textId="590B3E5B"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16</w:t>
            </w:r>
          </w:p>
        </w:tc>
        <w:tc>
          <w:tcPr>
            <w:tcW w:w="1453" w:type="dxa"/>
            <w:vAlign w:val="center"/>
          </w:tcPr>
          <w:p w14:paraId="336C2017" w14:textId="38876907"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31%</w:t>
            </w:r>
          </w:p>
        </w:tc>
        <w:tc>
          <w:tcPr>
            <w:tcW w:w="1595" w:type="dxa"/>
            <w:shd w:val="clear" w:color="auto" w:fill="D0D9EA" w:themeFill="accent1" w:themeFillTint="33"/>
            <w:vAlign w:val="center"/>
          </w:tcPr>
          <w:p w14:paraId="031E20AB" w14:textId="6F59E672"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rPr>
            </w:pPr>
            <w:r w:rsidRPr="008800C1">
              <w:rPr>
                <w:rFonts w:cs="Calibri"/>
                <w:sz w:val="20"/>
                <w:szCs w:val="20"/>
              </w:rPr>
              <w:t>0</w:t>
            </w:r>
          </w:p>
        </w:tc>
        <w:tc>
          <w:tcPr>
            <w:tcW w:w="1311" w:type="dxa"/>
            <w:vAlign w:val="center"/>
          </w:tcPr>
          <w:p w14:paraId="7798CC47" w14:textId="6CE9B617" w:rsidR="00774AC9" w:rsidRPr="00A90A85" w:rsidRDefault="0085355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rPr>
              <w:t>0</w:t>
            </w:r>
          </w:p>
        </w:tc>
        <w:tc>
          <w:tcPr>
            <w:tcW w:w="1453" w:type="dxa"/>
            <w:vAlign w:val="center"/>
          </w:tcPr>
          <w:p w14:paraId="61F3963B" w14:textId="334933C7"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4AA8A5FD" w14:textId="0E0E9EE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13%</w:t>
            </w:r>
          </w:p>
        </w:tc>
        <w:tc>
          <w:tcPr>
            <w:tcW w:w="1453" w:type="dxa"/>
            <w:vAlign w:val="center"/>
          </w:tcPr>
          <w:p w14:paraId="5EF406EE" w14:textId="7831E20A"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38%</w:t>
            </w:r>
          </w:p>
        </w:tc>
      </w:tr>
      <w:tr w:rsidR="00774AC9" w:rsidRPr="00A90A85" w14:paraId="13543C6D"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62BDFE75" w14:textId="52461C2C"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Auckland</w:t>
            </w:r>
            <w:r>
              <w:rPr>
                <w:rFonts w:eastAsiaTheme="minorHAnsi" w:cs="Calibri"/>
                <w:sz w:val="20"/>
                <w:szCs w:val="20"/>
                <w:lang w:eastAsia="en-GB"/>
              </w:rPr>
              <w:t>/ Counties Manukau</w:t>
            </w:r>
            <w:r w:rsidRPr="00A90A85">
              <w:rPr>
                <w:rFonts w:eastAsiaTheme="minorHAnsi" w:cs="Calibri"/>
                <w:sz w:val="20"/>
                <w:szCs w:val="20"/>
                <w:lang w:eastAsia="en-GB"/>
              </w:rPr>
              <w:t xml:space="preserve"> </w:t>
            </w:r>
          </w:p>
        </w:tc>
        <w:tc>
          <w:tcPr>
            <w:tcW w:w="1453" w:type="dxa"/>
            <w:vAlign w:val="center"/>
          </w:tcPr>
          <w:p w14:paraId="34341B4A" w14:textId="4C42BE81"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291</w:t>
            </w:r>
          </w:p>
        </w:tc>
        <w:tc>
          <w:tcPr>
            <w:tcW w:w="1453" w:type="dxa"/>
            <w:vAlign w:val="center"/>
          </w:tcPr>
          <w:p w14:paraId="2DD7B934" w14:textId="1495F7C3"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44</w:t>
            </w:r>
          </w:p>
        </w:tc>
        <w:tc>
          <w:tcPr>
            <w:tcW w:w="1453" w:type="dxa"/>
            <w:vAlign w:val="center"/>
          </w:tcPr>
          <w:p w14:paraId="1DA9C010" w14:textId="3DD501F1"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15%</w:t>
            </w:r>
          </w:p>
        </w:tc>
        <w:tc>
          <w:tcPr>
            <w:tcW w:w="1595" w:type="dxa"/>
            <w:shd w:val="clear" w:color="auto" w:fill="D0D9EA" w:themeFill="accent1" w:themeFillTint="33"/>
            <w:vAlign w:val="center"/>
          </w:tcPr>
          <w:p w14:paraId="69433B90" w14:textId="66EAA351"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14</w:t>
            </w:r>
          </w:p>
        </w:tc>
        <w:tc>
          <w:tcPr>
            <w:tcW w:w="1311" w:type="dxa"/>
            <w:vAlign w:val="center"/>
          </w:tcPr>
          <w:p w14:paraId="48FBC35E" w14:textId="5494BDD3"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7</w:t>
            </w:r>
          </w:p>
        </w:tc>
        <w:tc>
          <w:tcPr>
            <w:tcW w:w="1453" w:type="dxa"/>
            <w:vAlign w:val="center"/>
          </w:tcPr>
          <w:p w14:paraId="56EBA68C" w14:textId="1A0464F2"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16</w:t>
            </w:r>
            <w:r w:rsidR="00774AC9" w:rsidRPr="008800C1">
              <w:rPr>
                <w:rFonts w:cs="Calibri"/>
                <w:sz w:val="20"/>
                <w:szCs w:val="20"/>
              </w:rPr>
              <w:t>%</w:t>
            </w:r>
          </w:p>
        </w:tc>
        <w:tc>
          <w:tcPr>
            <w:tcW w:w="1453" w:type="dxa"/>
            <w:vAlign w:val="center"/>
          </w:tcPr>
          <w:p w14:paraId="1CFDF0B3" w14:textId="73DAA0A1" w:rsidR="00774AC9" w:rsidRPr="00A90A85" w:rsidRDefault="00FE7AE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2%</w:t>
            </w:r>
          </w:p>
        </w:tc>
        <w:tc>
          <w:tcPr>
            <w:tcW w:w="1453" w:type="dxa"/>
            <w:vAlign w:val="center"/>
          </w:tcPr>
          <w:p w14:paraId="1C7D7091" w14:textId="376E0C05"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6</w:t>
            </w:r>
            <w:r w:rsidR="00FE7AE9">
              <w:rPr>
                <w:rFonts w:eastAsiaTheme="minorHAnsi" w:cs="Calibri"/>
                <w:sz w:val="20"/>
                <w:szCs w:val="20"/>
                <w:lang w:eastAsia="en-GB"/>
              </w:rPr>
              <w:t>6</w:t>
            </w:r>
            <w:r w:rsidRPr="00A90A85">
              <w:rPr>
                <w:rFonts w:eastAsiaTheme="minorHAnsi" w:cs="Calibri"/>
                <w:sz w:val="20"/>
                <w:szCs w:val="20"/>
                <w:lang w:eastAsia="en-GB"/>
              </w:rPr>
              <w:t>%</w:t>
            </w:r>
          </w:p>
        </w:tc>
      </w:tr>
      <w:tr w:rsidR="00774AC9" w:rsidRPr="00A90A85" w14:paraId="2C61948A"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219EDB98" w14:textId="616FBB71"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Bay of Plenty/Lakes</w:t>
            </w:r>
          </w:p>
        </w:tc>
        <w:tc>
          <w:tcPr>
            <w:tcW w:w="1453" w:type="dxa"/>
            <w:vAlign w:val="center"/>
          </w:tcPr>
          <w:p w14:paraId="0F31B1FA" w14:textId="3793384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60</w:t>
            </w:r>
          </w:p>
        </w:tc>
        <w:tc>
          <w:tcPr>
            <w:tcW w:w="1453" w:type="dxa"/>
            <w:vAlign w:val="center"/>
          </w:tcPr>
          <w:p w14:paraId="665B2052" w14:textId="7CC45C86"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10</w:t>
            </w:r>
          </w:p>
        </w:tc>
        <w:tc>
          <w:tcPr>
            <w:tcW w:w="1453" w:type="dxa"/>
            <w:vAlign w:val="center"/>
          </w:tcPr>
          <w:p w14:paraId="757F0067" w14:textId="2FB85092"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17%</w:t>
            </w:r>
          </w:p>
        </w:tc>
        <w:tc>
          <w:tcPr>
            <w:tcW w:w="1595" w:type="dxa"/>
            <w:shd w:val="clear" w:color="auto" w:fill="D0D9EA" w:themeFill="accent1" w:themeFillTint="33"/>
            <w:vAlign w:val="center"/>
          </w:tcPr>
          <w:p w14:paraId="54011CF9" w14:textId="528836A9"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10</w:t>
            </w:r>
          </w:p>
        </w:tc>
        <w:tc>
          <w:tcPr>
            <w:tcW w:w="1311" w:type="dxa"/>
            <w:vAlign w:val="center"/>
          </w:tcPr>
          <w:p w14:paraId="36567E9D" w14:textId="553E599F"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0</w:t>
            </w:r>
          </w:p>
        </w:tc>
        <w:tc>
          <w:tcPr>
            <w:tcW w:w="1453" w:type="dxa"/>
            <w:vAlign w:val="center"/>
          </w:tcPr>
          <w:p w14:paraId="56BFEDAF" w14:textId="0B42C58F"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02281C3C" w14:textId="290C4501"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10%</w:t>
            </w:r>
          </w:p>
        </w:tc>
        <w:tc>
          <w:tcPr>
            <w:tcW w:w="1453" w:type="dxa"/>
            <w:vAlign w:val="center"/>
          </w:tcPr>
          <w:p w14:paraId="628BE874" w14:textId="287A525F" w:rsidR="00774AC9" w:rsidRPr="00A90A85" w:rsidRDefault="00FE7AE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80</w:t>
            </w:r>
            <w:r w:rsidR="00774AC9" w:rsidRPr="00A90A85">
              <w:rPr>
                <w:rFonts w:eastAsiaTheme="minorHAnsi" w:cs="Calibri"/>
                <w:sz w:val="20"/>
                <w:szCs w:val="20"/>
                <w:lang w:eastAsia="en-GB"/>
              </w:rPr>
              <w:t>%</w:t>
            </w:r>
          </w:p>
        </w:tc>
      </w:tr>
      <w:tr w:rsidR="00774AC9" w:rsidRPr="00A90A85" w14:paraId="12B2BE01"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368C4946" w14:textId="30D22C5B"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Tairāwhiti</w:t>
            </w:r>
          </w:p>
        </w:tc>
        <w:tc>
          <w:tcPr>
            <w:tcW w:w="1453" w:type="dxa"/>
            <w:vAlign w:val="center"/>
          </w:tcPr>
          <w:p w14:paraId="06CCF384" w14:textId="25E3A8DB"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11</w:t>
            </w:r>
          </w:p>
        </w:tc>
        <w:tc>
          <w:tcPr>
            <w:tcW w:w="1453" w:type="dxa"/>
            <w:vAlign w:val="center"/>
          </w:tcPr>
          <w:p w14:paraId="3EE3E5C9" w14:textId="283451B8"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w:t>
            </w:r>
          </w:p>
        </w:tc>
        <w:tc>
          <w:tcPr>
            <w:tcW w:w="1453" w:type="dxa"/>
            <w:vAlign w:val="center"/>
          </w:tcPr>
          <w:p w14:paraId="0B8EF4E4" w14:textId="4CF7B898"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27%</w:t>
            </w:r>
          </w:p>
        </w:tc>
        <w:tc>
          <w:tcPr>
            <w:tcW w:w="1595" w:type="dxa"/>
            <w:shd w:val="clear" w:color="auto" w:fill="D0D9EA" w:themeFill="accent1" w:themeFillTint="33"/>
            <w:vAlign w:val="center"/>
          </w:tcPr>
          <w:p w14:paraId="4A9B864F" w14:textId="4EA5E23C"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rPr>
            </w:pPr>
            <w:r w:rsidRPr="008800C1">
              <w:rPr>
                <w:rFonts w:cs="Calibri"/>
                <w:sz w:val="20"/>
                <w:szCs w:val="20"/>
              </w:rPr>
              <w:t>7</w:t>
            </w:r>
          </w:p>
        </w:tc>
        <w:tc>
          <w:tcPr>
            <w:tcW w:w="1311" w:type="dxa"/>
            <w:vAlign w:val="center"/>
          </w:tcPr>
          <w:p w14:paraId="55C4F82A" w14:textId="2A16DFFC"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eastAsiaTheme="minorHAnsi" w:cs="Calibri"/>
                <w:sz w:val="20"/>
                <w:szCs w:val="20"/>
              </w:rPr>
              <w:t>0</w:t>
            </w:r>
          </w:p>
        </w:tc>
        <w:tc>
          <w:tcPr>
            <w:tcW w:w="1453" w:type="dxa"/>
            <w:vAlign w:val="center"/>
          </w:tcPr>
          <w:p w14:paraId="14BF8140" w14:textId="26916266"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5C497235" w14:textId="52E37230" w:rsidR="00774AC9" w:rsidRPr="00A90A85" w:rsidRDefault="008E30C3"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w:t>
            </w:r>
          </w:p>
        </w:tc>
        <w:tc>
          <w:tcPr>
            <w:tcW w:w="1453" w:type="dxa"/>
            <w:vAlign w:val="center"/>
          </w:tcPr>
          <w:p w14:paraId="12E5BDE5" w14:textId="0260284C" w:rsidR="00774AC9" w:rsidRPr="00A90A85" w:rsidRDefault="008E30C3"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100</w:t>
            </w:r>
            <w:r w:rsidR="00774AC9" w:rsidRPr="00A90A85">
              <w:rPr>
                <w:rFonts w:eastAsiaTheme="minorHAnsi" w:cs="Calibri"/>
                <w:sz w:val="20"/>
                <w:szCs w:val="20"/>
                <w:lang w:eastAsia="en-GB"/>
              </w:rPr>
              <w:t>%</w:t>
            </w:r>
          </w:p>
        </w:tc>
      </w:tr>
      <w:tr w:rsidR="00774AC9" w:rsidRPr="00A90A85" w14:paraId="00EBED70"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6E2FFA19" w14:textId="09021FC8" w:rsidR="00774AC9" w:rsidRPr="00A90A85" w:rsidRDefault="00774AC9" w:rsidP="00774AC9">
            <w:pPr>
              <w:spacing w:before="0" w:after="0"/>
              <w:jc w:val="right"/>
              <w:rPr>
                <w:rFonts w:eastAsiaTheme="minorHAnsi" w:cs="Calibri"/>
                <w:sz w:val="20"/>
                <w:szCs w:val="20"/>
                <w:lang w:val="mi-NZ" w:eastAsia="en-GB"/>
              </w:rPr>
            </w:pPr>
            <w:r w:rsidRPr="00A90A85">
              <w:rPr>
                <w:rFonts w:eastAsiaTheme="minorHAnsi" w:cs="Calibri"/>
                <w:sz w:val="20"/>
                <w:szCs w:val="20"/>
                <w:lang w:eastAsia="en-GB"/>
              </w:rPr>
              <w:t>Hawke’s Bay</w:t>
            </w:r>
          </w:p>
        </w:tc>
        <w:tc>
          <w:tcPr>
            <w:tcW w:w="1453" w:type="dxa"/>
            <w:vAlign w:val="center"/>
          </w:tcPr>
          <w:p w14:paraId="795FB2A4" w14:textId="29D1ACF5"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25</w:t>
            </w:r>
          </w:p>
        </w:tc>
        <w:tc>
          <w:tcPr>
            <w:tcW w:w="1453" w:type="dxa"/>
            <w:vAlign w:val="center"/>
          </w:tcPr>
          <w:p w14:paraId="419A8F73" w14:textId="164F1C50"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7</w:t>
            </w:r>
          </w:p>
        </w:tc>
        <w:tc>
          <w:tcPr>
            <w:tcW w:w="1453" w:type="dxa"/>
            <w:vAlign w:val="center"/>
          </w:tcPr>
          <w:p w14:paraId="514F7F37" w14:textId="56718AF7"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28%</w:t>
            </w:r>
          </w:p>
        </w:tc>
        <w:tc>
          <w:tcPr>
            <w:tcW w:w="1595" w:type="dxa"/>
            <w:shd w:val="clear" w:color="auto" w:fill="D0D9EA" w:themeFill="accent1" w:themeFillTint="33"/>
            <w:vAlign w:val="center"/>
          </w:tcPr>
          <w:p w14:paraId="2A25501D" w14:textId="4CE506C4"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1</w:t>
            </w:r>
          </w:p>
        </w:tc>
        <w:tc>
          <w:tcPr>
            <w:tcW w:w="1311" w:type="dxa"/>
            <w:vAlign w:val="center"/>
          </w:tcPr>
          <w:p w14:paraId="3A31B1AD" w14:textId="3A60AEF9"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w:t>
            </w:r>
          </w:p>
        </w:tc>
        <w:tc>
          <w:tcPr>
            <w:tcW w:w="1453" w:type="dxa"/>
            <w:vAlign w:val="center"/>
          </w:tcPr>
          <w:p w14:paraId="3BF9CF20" w14:textId="7481941E" w:rsidR="00774AC9"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14</w:t>
            </w:r>
            <w:r w:rsidR="00774AC9" w:rsidRPr="008800C1">
              <w:rPr>
                <w:rFonts w:cs="Calibri"/>
                <w:sz w:val="20"/>
                <w:szCs w:val="20"/>
              </w:rPr>
              <w:t>%</w:t>
            </w:r>
          </w:p>
        </w:tc>
        <w:tc>
          <w:tcPr>
            <w:tcW w:w="1453" w:type="dxa"/>
            <w:vAlign w:val="center"/>
          </w:tcPr>
          <w:p w14:paraId="01AEA7F8" w14:textId="1B3817EC" w:rsidR="00774AC9" w:rsidRPr="00A90A85" w:rsidRDefault="00EE6F0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14%</w:t>
            </w:r>
          </w:p>
        </w:tc>
        <w:tc>
          <w:tcPr>
            <w:tcW w:w="1453" w:type="dxa"/>
            <w:vAlign w:val="center"/>
          </w:tcPr>
          <w:p w14:paraId="28272610" w14:textId="102903DE" w:rsidR="00774AC9" w:rsidRPr="00A90A85" w:rsidRDefault="00EE6F0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86</w:t>
            </w:r>
            <w:r w:rsidR="00774AC9" w:rsidRPr="00A90A85">
              <w:rPr>
                <w:rFonts w:eastAsiaTheme="minorHAnsi" w:cs="Calibri"/>
                <w:sz w:val="20"/>
                <w:szCs w:val="20"/>
                <w:lang w:eastAsia="en-GB"/>
              </w:rPr>
              <w:t>%</w:t>
            </w:r>
          </w:p>
        </w:tc>
      </w:tr>
      <w:tr w:rsidR="00774AC9" w:rsidRPr="00A90A85" w14:paraId="4711C65D"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760088F2" w14:textId="176FEFBA"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Waikato</w:t>
            </w:r>
          </w:p>
        </w:tc>
        <w:tc>
          <w:tcPr>
            <w:tcW w:w="1453" w:type="dxa"/>
            <w:vAlign w:val="center"/>
          </w:tcPr>
          <w:p w14:paraId="5A514615" w14:textId="6BE4ECD9"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74</w:t>
            </w:r>
          </w:p>
        </w:tc>
        <w:tc>
          <w:tcPr>
            <w:tcW w:w="1453" w:type="dxa"/>
            <w:vAlign w:val="center"/>
          </w:tcPr>
          <w:p w14:paraId="0D92B304" w14:textId="6EBD17E3"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17</w:t>
            </w:r>
          </w:p>
        </w:tc>
        <w:tc>
          <w:tcPr>
            <w:tcW w:w="1453" w:type="dxa"/>
            <w:vAlign w:val="center"/>
          </w:tcPr>
          <w:p w14:paraId="77C977AC" w14:textId="5CED0736"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23%</w:t>
            </w:r>
          </w:p>
        </w:tc>
        <w:tc>
          <w:tcPr>
            <w:tcW w:w="1595" w:type="dxa"/>
            <w:shd w:val="clear" w:color="auto" w:fill="D0D9EA" w:themeFill="accent1" w:themeFillTint="33"/>
            <w:vAlign w:val="center"/>
          </w:tcPr>
          <w:p w14:paraId="430277CE" w14:textId="0941676C"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9</w:t>
            </w:r>
          </w:p>
        </w:tc>
        <w:tc>
          <w:tcPr>
            <w:tcW w:w="1311" w:type="dxa"/>
            <w:vAlign w:val="center"/>
          </w:tcPr>
          <w:p w14:paraId="6A7D7052" w14:textId="6A791AB5"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w:t>
            </w:r>
          </w:p>
        </w:tc>
        <w:tc>
          <w:tcPr>
            <w:tcW w:w="1453" w:type="dxa"/>
            <w:vAlign w:val="center"/>
          </w:tcPr>
          <w:p w14:paraId="4B0B8B9A" w14:textId="67D1015F"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12</w:t>
            </w:r>
            <w:r w:rsidR="00774AC9" w:rsidRPr="008800C1">
              <w:rPr>
                <w:rFonts w:cs="Calibri"/>
                <w:sz w:val="20"/>
                <w:szCs w:val="20"/>
              </w:rPr>
              <w:t>%</w:t>
            </w:r>
          </w:p>
        </w:tc>
        <w:tc>
          <w:tcPr>
            <w:tcW w:w="1453" w:type="dxa"/>
            <w:vAlign w:val="center"/>
          </w:tcPr>
          <w:p w14:paraId="2182F45F" w14:textId="39C0F562" w:rsidR="00774AC9" w:rsidRPr="00A90A85" w:rsidRDefault="00EE6F0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18</w:t>
            </w:r>
            <w:r w:rsidR="00774AC9" w:rsidRPr="00A90A85">
              <w:rPr>
                <w:rFonts w:eastAsiaTheme="minorHAnsi" w:cs="Calibri"/>
                <w:sz w:val="20"/>
                <w:szCs w:val="20"/>
                <w:lang w:eastAsia="en-GB"/>
              </w:rPr>
              <w:t>%</w:t>
            </w:r>
          </w:p>
        </w:tc>
        <w:tc>
          <w:tcPr>
            <w:tcW w:w="1453" w:type="dxa"/>
            <w:vAlign w:val="center"/>
          </w:tcPr>
          <w:p w14:paraId="7C14DA90" w14:textId="3EC22126" w:rsidR="00774AC9" w:rsidRPr="00A90A85" w:rsidRDefault="00EE6F0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65</w:t>
            </w:r>
            <w:r w:rsidR="00774AC9" w:rsidRPr="00A90A85">
              <w:rPr>
                <w:rFonts w:eastAsiaTheme="minorHAnsi" w:cs="Calibri"/>
                <w:sz w:val="20"/>
                <w:szCs w:val="20"/>
                <w:lang w:eastAsia="en-GB"/>
              </w:rPr>
              <w:t>%</w:t>
            </w:r>
          </w:p>
        </w:tc>
      </w:tr>
      <w:tr w:rsidR="00774AC9" w:rsidRPr="00A90A85" w14:paraId="759D988A"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0FF3C7F6" w14:textId="469ABC82"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Taranaki</w:t>
            </w:r>
          </w:p>
        </w:tc>
        <w:tc>
          <w:tcPr>
            <w:tcW w:w="1453" w:type="dxa"/>
            <w:vAlign w:val="center"/>
          </w:tcPr>
          <w:p w14:paraId="634A50C0" w14:textId="485F235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29</w:t>
            </w:r>
          </w:p>
        </w:tc>
        <w:tc>
          <w:tcPr>
            <w:tcW w:w="1453" w:type="dxa"/>
            <w:vAlign w:val="center"/>
          </w:tcPr>
          <w:p w14:paraId="164AEA9B" w14:textId="28149999"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4</w:t>
            </w:r>
          </w:p>
        </w:tc>
        <w:tc>
          <w:tcPr>
            <w:tcW w:w="1453" w:type="dxa"/>
            <w:vAlign w:val="center"/>
          </w:tcPr>
          <w:p w14:paraId="29851C0D" w14:textId="0C3A8886"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14%</w:t>
            </w:r>
          </w:p>
        </w:tc>
        <w:tc>
          <w:tcPr>
            <w:tcW w:w="1595" w:type="dxa"/>
            <w:shd w:val="clear" w:color="auto" w:fill="D0D9EA" w:themeFill="accent1" w:themeFillTint="33"/>
            <w:vAlign w:val="center"/>
          </w:tcPr>
          <w:p w14:paraId="06016EF1" w14:textId="2D294206"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3</w:t>
            </w:r>
          </w:p>
        </w:tc>
        <w:tc>
          <w:tcPr>
            <w:tcW w:w="1311" w:type="dxa"/>
            <w:vAlign w:val="center"/>
          </w:tcPr>
          <w:p w14:paraId="35411DEE" w14:textId="7127269E"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0</w:t>
            </w:r>
          </w:p>
        </w:tc>
        <w:tc>
          <w:tcPr>
            <w:tcW w:w="1453" w:type="dxa"/>
            <w:vAlign w:val="center"/>
          </w:tcPr>
          <w:p w14:paraId="0B09316E" w14:textId="0E7B56C7"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28FC7EBC" w14:textId="135EB68F" w:rsidR="00774AC9" w:rsidRPr="00A90A85" w:rsidRDefault="00164747"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25</w:t>
            </w:r>
            <w:r w:rsidR="00774AC9" w:rsidRPr="00A90A85">
              <w:rPr>
                <w:rFonts w:eastAsiaTheme="minorHAnsi" w:cs="Calibri"/>
                <w:sz w:val="20"/>
                <w:szCs w:val="20"/>
                <w:lang w:eastAsia="en-GB"/>
              </w:rPr>
              <w:t>%</w:t>
            </w:r>
          </w:p>
        </w:tc>
        <w:tc>
          <w:tcPr>
            <w:tcW w:w="1453" w:type="dxa"/>
            <w:vAlign w:val="center"/>
          </w:tcPr>
          <w:p w14:paraId="32AB6DBC" w14:textId="0DB6FEC0" w:rsidR="00774AC9" w:rsidRPr="00A90A85" w:rsidRDefault="00164747"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50</w:t>
            </w:r>
            <w:r w:rsidR="00774AC9" w:rsidRPr="00A90A85">
              <w:rPr>
                <w:rFonts w:eastAsiaTheme="minorHAnsi" w:cs="Calibri"/>
                <w:sz w:val="20"/>
                <w:szCs w:val="20"/>
                <w:lang w:eastAsia="en-GB"/>
              </w:rPr>
              <w:t>%</w:t>
            </w:r>
          </w:p>
        </w:tc>
      </w:tr>
      <w:tr w:rsidR="00774AC9" w:rsidRPr="00A90A85" w14:paraId="022986C0"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39F1DEC5" w14:textId="37A6863D"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Whanganui/</w:t>
            </w:r>
            <w:proofErr w:type="spellStart"/>
            <w:r w:rsidRPr="00A90A85">
              <w:rPr>
                <w:rFonts w:eastAsiaTheme="minorHAnsi" w:cs="Calibri"/>
                <w:sz w:val="20"/>
                <w:szCs w:val="20"/>
                <w:lang w:eastAsia="en-GB"/>
              </w:rPr>
              <w:t>MidCentral</w:t>
            </w:r>
            <w:proofErr w:type="spellEnd"/>
          </w:p>
        </w:tc>
        <w:tc>
          <w:tcPr>
            <w:tcW w:w="1453" w:type="dxa"/>
            <w:vAlign w:val="center"/>
          </w:tcPr>
          <w:p w14:paraId="728418AE" w14:textId="04DC7B3C"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45</w:t>
            </w:r>
          </w:p>
        </w:tc>
        <w:tc>
          <w:tcPr>
            <w:tcW w:w="1453" w:type="dxa"/>
            <w:vAlign w:val="center"/>
          </w:tcPr>
          <w:p w14:paraId="0EFBF021" w14:textId="7B07BA54"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4</w:t>
            </w:r>
          </w:p>
        </w:tc>
        <w:tc>
          <w:tcPr>
            <w:tcW w:w="1453" w:type="dxa"/>
            <w:vAlign w:val="center"/>
          </w:tcPr>
          <w:p w14:paraId="1E9215CA" w14:textId="3C94315B"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9%</w:t>
            </w:r>
          </w:p>
        </w:tc>
        <w:tc>
          <w:tcPr>
            <w:tcW w:w="1595" w:type="dxa"/>
            <w:shd w:val="clear" w:color="auto" w:fill="D0D9EA" w:themeFill="accent1" w:themeFillTint="33"/>
            <w:vAlign w:val="center"/>
          </w:tcPr>
          <w:p w14:paraId="76EFAE1F" w14:textId="22D6A4F7"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rPr>
            </w:pPr>
            <w:r w:rsidRPr="008800C1">
              <w:rPr>
                <w:rFonts w:cs="Calibri"/>
                <w:sz w:val="20"/>
                <w:szCs w:val="20"/>
              </w:rPr>
              <w:t>4</w:t>
            </w:r>
          </w:p>
        </w:tc>
        <w:tc>
          <w:tcPr>
            <w:tcW w:w="1311" w:type="dxa"/>
            <w:vAlign w:val="center"/>
          </w:tcPr>
          <w:p w14:paraId="642D1A94" w14:textId="63DED71F"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eastAsiaTheme="minorHAnsi" w:cs="Calibri"/>
                <w:sz w:val="20"/>
                <w:szCs w:val="20"/>
              </w:rPr>
              <w:t>0</w:t>
            </w:r>
          </w:p>
        </w:tc>
        <w:tc>
          <w:tcPr>
            <w:tcW w:w="1453" w:type="dxa"/>
            <w:vAlign w:val="center"/>
          </w:tcPr>
          <w:p w14:paraId="4CC880C1" w14:textId="60A96E7F"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54CBE737" w14:textId="0567E0D3" w:rsidR="00774AC9" w:rsidRPr="00A90A85" w:rsidRDefault="00164747"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w:t>
            </w:r>
          </w:p>
        </w:tc>
        <w:tc>
          <w:tcPr>
            <w:tcW w:w="1453" w:type="dxa"/>
            <w:vAlign w:val="center"/>
          </w:tcPr>
          <w:p w14:paraId="08D583AF" w14:textId="527E53A0" w:rsidR="00774AC9" w:rsidRPr="00A90A85" w:rsidRDefault="00164747"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75</w:t>
            </w:r>
            <w:r w:rsidR="00774AC9" w:rsidRPr="00A90A85">
              <w:rPr>
                <w:rFonts w:eastAsiaTheme="minorHAnsi" w:cs="Calibri"/>
                <w:sz w:val="20"/>
                <w:szCs w:val="20"/>
                <w:lang w:eastAsia="en-GB"/>
              </w:rPr>
              <w:t>%</w:t>
            </w:r>
          </w:p>
        </w:tc>
      </w:tr>
      <w:tr w:rsidR="00774AC9" w:rsidRPr="00A90A85" w14:paraId="76FAED2F"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0E2333BE" w14:textId="6BE45604"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Capital and Coast/Hutt &amp; Wairarapa</w:t>
            </w:r>
          </w:p>
        </w:tc>
        <w:tc>
          <w:tcPr>
            <w:tcW w:w="1453" w:type="dxa"/>
            <w:vAlign w:val="center"/>
          </w:tcPr>
          <w:p w14:paraId="64BA460B" w14:textId="1970551C"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87</w:t>
            </w:r>
          </w:p>
        </w:tc>
        <w:tc>
          <w:tcPr>
            <w:tcW w:w="1453" w:type="dxa"/>
            <w:vAlign w:val="center"/>
          </w:tcPr>
          <w:p w14:paraId="7784B825" w14:textId="41E0B841"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20</w:t>
            </w:r>
          </w:p>
        </w:tc>
        <w:tc>
          <w:tcPr>
            <w:tcW w:w="1453" w:type="dxa"/>
            <w:vAlign w:val="center"/>
          </w:tcPr>
          <w:p w14:paraId="04B519A8" w14:textId="1C363E23"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23%</w:t>
            </w:r>
          </w:p>
        </w:tc>
        <w:tc>
          <w:tcPr>
            <w:tcW w:w="1595" w:type="dxa"/>
            <w:shd w:val="clear" w:color="auto" w:fill="D0D9EA" w:themeFill="accent1" w:themeFillTint="33"/>
            <w:vAlign w:val="center"/>
          </w:tcPr>
          <w:p w14:paraId="6BC7553C" w14:textId="1F8367D5"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9</w:t>
            </w:r>
          </w:p>
        </w:tc>
        <w:tc>
          <w:tcPr>
            <w:tcW w:w="1311" w:type="dxa"/>
            <w:vAlign w:val="center"/>
          </w:tcPr>
          <w:p w14:paraId="4A8B19F7" w14:textId="0A86ADD4"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w:t>
            </w:r>
          </w:p>
        </w:tc>
        <w:tc>
          <w:tcPr>
            <w:tcW w:w="1453" w:type="dxa"/>
            <w:vAlign w:val="center"/>
          </w:tcPr>
          <w:p w14:paraId="03A359E3" w14:textId="6BFB5891" w:rsidR="00774AC9"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15%</w:t>
            </w:r>
          </w:p>
        </w:tc>
        <w:tc>
          <w:tcPr>
            <w:tcW w:w="1453" w:type="dxa"/>
            <w:vAlign w:val="center"/>
          </w:tcPr>
          <w:p w14:paraId="40ABE6A4" w14:textId="1023B312"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w:t>
            </w:r>
          </w:p>
        </w:tc>
        <w:tc>
          <w:tcPr>
            <w:tcW w:w="1453" w:type="dxa"/>
            <w:vAlign w:val="center"/>
          </w:tcPr>
          <w:p w14:paraId="45A21B37" w14:textId="14784405"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50</w:t>
            </w:r>
            <w:r w:rsidR="00774AC9" w:rsidRPr="00A90A85">
              <w:rPr>
                <w:rFonts w:eastAsiaTheme="minorHAnsi" w:cs="Calibri"/>
                <w:sz w:val="20"/>
                <w:szCs w:val="20"/>
                <w:lang w:eastAsia="en-GB"/>
              </w:rPr>
              <w:t>%</w:t>
            </w:r>
          </w:p>
        </w:tc>
      </w:tr>
      <w:tr w:rsidR="00774AC9" w:rsidRPr="00A90A85" w14:paraId="4FF33868"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136A2CF9" w14:textId="2F157FD5"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Nelson Marlborough</w:t>
            </w:r>
          </w:p>
        </w:tc>
        <w:tc>
          <w:tcPr>
            <w:tcW w:w="1453" w:type="dxa"/>
            <w:vAlign w:val="center"/>
          </w:tcPr>
          <w:p w14:paraId="4DF7F47C" w14:textId="057DE260"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30</w:t>
            </w:r>
          </w:p>
        </w:tc>
        <w:tc>
          <w:tcPr>
            <w:tcW w:w="1453" w:type="dxa"/>
            <w:vAlign w:val="center"/>
          </w:tcPr>
          <w:p w14:paraId="6B4BFA89" w14:textId="34C0B56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10</w:t>
            </w:r>
          </w:p>
        </w:tc>
        <w:tc>
          <w:tcPr>
            <w:tcW w:w="1453" w:type="dxa"/>
            <w:vAlign w:val="center"/>
          </w:tcPr>
          <w:p w14:paraId="3900EAD8" w14:textId="67FA8287"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33%</w:t>
            </w:r>
          </w:p>
        </w:tc>
        <w:tc>
          <w:tcPr>
            <w:tcW w:w="1595" w:type="dxa"/>
            <w:shd w:val="clear" w:color="auto" w:fill="D0D9EA" w:themeFill="accent1" w:themeFillTint="33"/>
            <w:vAlign w:val="center"/>
          </w:tcPr>
          <w:p w14:paraId="5A019903" w14:textId="0F331087"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0</w:t>
            </w:r>
          </w:p>
        </w:tc>
        <w:tc>
          <w:tcPr>
            <w:tcW w:w="1311" w:type="dxa"/>
            <w:vAlign w:val="center"/>
          </w:tcPr>
          <w:p w14:paraId="4AF72A8C" w14:textId="36DA92AB" w:rsidR="00774AC9" w:rsidRPr="00A90A85" w:rsidRDefault="0085355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0</w:t>
            </w:r>
          </w:p>
        </w:tc>
        <w:tc>
          <w:tcPr>
            <w:tcW w:w="1453" w:type="dxa"/>
            <w:vAlign w:val="center"/>
          </w:tcPr>
          <w:p w14:paraId="6CF9217C" w14:textId="64B6CEB2"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w:t>
            </w:r>
          </w:p>
        </w:tc>
        <w:tc>
          <w:tcPr>
            <w:tcW w:w="1453" w:type="dxa"/>
            <w:vAlign w:val="center"/>
          </w:tcPr>
          <w:p w14:paraId="3E67B7DC" w14:textId="61A40638"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30%</w:t>
            </w:r>
          </w:p>
        </w:tc>
        <w:tc>
          <w:tcPr>
            <w:tcW w:w="1453" w:type="dxa"/>
            <w:vAlign w:val="center"/>
          </w:tcPr>
          <w:p w14:paraId="2A09AB09" w14:textId="10C3DA12"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50%</w:t>
            </w:r>
          </w:p>
        </w:tc>
      </w:tr>
      <w:tr w:rsidR="00774AC9" w:rsidRPr="00A90A85" w14:paraId="773BDD3A"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40C7DA34" w14:textId="6AE70F44"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Canterbury/South Canterbury</w:t>
            </w:r>
          </w:p>
        </w:tc>
        <w:tc>
          <w:tcPr>
            <w:tcW w:w="1453" w:type="dxa"/>
            <w:vAlign w:val="center"/>
          </w:tcPr>
          <w:p w14:paraId="5B66F95A" w14:textId="49623020"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137</w:t>
            </w:r>
          </w:p>
        </w:tc>
        <w:tc>
          <w:tcPr>
            <w:tcW w:w="1453" w:type="dxa"/>
            <w:vAlign w:val="center"/>
          </w:tcPr>
          <w:p w14:paraId="4E0AD05C" w14:textId="065BA1F5"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28</w:t>
            </w:r>
          </w:p>
        </w:tc>
        <w:tc>
          <w:tcPr>
            <w:tcW w:w="1453" w:type="dxa"/>
            <w:vAlign w:val="center"/>
          </w:tcPr>
          <w:p w14:paraId="501E6C7D" w14:textId="106E6FA1"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20%</w:t>
            </w:r>
          </w:p>
        </w:tc>
        <w:tc>
          <w:tcPr>
            <w:tcW w:w="1595" w:type="dxa"/>
            <w:shd w:val="clear" w:color="auto" w:fill="D0D9EA" w:themeFill="accent1" w:themeFillTint="33"/>
            <w:vAlign w:val="center"/>
          </w:tcPr>
          <w:p w14:paraId="3C1A36B5" w14:textId="350DBCB9"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1</w:t>
            </w:r>
          </w:p>
        </w:tc>
        <w:tc>
          <w:tcPr>
            <w:tcW w:w="1311" w:type="dxa"/>
            <w:vAlign w:val="center"/>
          </w:tcPr>
          <w:p w14:paraId="5C030BFE" w14:textId="497F84E6"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0</w:t>
            </w:r>
          </w:p>
        </w:tc>
        <w:tc>
          <w:tcPr>
            <w:tcW w:w="1453" w:type="dxa"/>
            <w:vAlign w:val="center"/>
          </w:tcPr>
          <w:p w14:paraId="2DD6842E" w14:textId="1F36ADCC" w:rsidR="00774AC9" w:rsidRPr="00A90A85"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w:t>
            </w:r>
          </w:p>
        </w:tc>
        <w:tc>
          <w:tcPr>
            <w:tcW w:w="1453" w:type="dxa"/>
            <w:vAlign w:val="center"/>
          </w:tcPr>
          <w:p w14:paraId="6FA655E0" w14:textId="6DACF415"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21</w:t>
            </w:r>
            <w:r w:rsidR="00774AC9" w:rsidRPr="00A90A85">
              <w:rPr>
                <w:rFonts w:eastAsiaTheme="minorHAnsi" w:cs="Calibri"/>
                <w:sz w:val="20"/>
                <w:szCs w:val="20"/>
                <w:lang w:eastAsia="en-GB"/>
              </w:rPr>
              <w:t>%</w:t>
            </w:r>
          </w:p>
        </w:tc>
        <w:tc>
          <w:tcPr>
            <w:tcW w:w="1453" w:type="dxa"/>
            <w:vAlign w:val="center"/>
          </w:tcPr>
          <w:p w14:paraId="3D0B5800" w14:textId="1230A579"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A90A85">
              <w:rPr>
                <w:rFonts w:eastAsiaTheme="minorHAnsi" w:cs="Calibri"/>
                <w:sz w:val="20"/>
                <w:szCs w:val="20"/>
                <w:lang w:eastAsia="en-GB"/>
              </w:rPr>
              <w:t>32</w:t>
            </w:r>
            <w:r w:rsidR="00774AC9" w:rsidRPr="00A90A85">
              <w:rPr>
                <w:rFonts w:eastAsiaTheme="minorHAnsi" w:cs="Calibri"/>
                <w:sz w:val="20"/>
                <w:szCs w:val="20"/>
                <w:lang w:eastAsia="en-GB"/>
              </w:rPr>
              <w:t>%</w:t>
            </w:r>
          </w:p>
        </w:tc>
      </w:tr>
      <w:tr w:rsidR="00774AC9" w:rsidRPr="00A90A85" w14:paraId="1434EF2C"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4EA2E31F" w14:textId="6997E91C"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West Coast</w:t>
            </w:r>
          </w:p>
        </w:tc>
        <w:tc>
          <w:tcPr>
            <w:tcW w:w="1453" w:type="dxa"/>
            <w:vAlign w:val="center"/>
          </w:tcPr>
          <w:p w14:paraId="5E17752F" w14:textId="56DD1EC1"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7</w:t>
            </w:r>
          </w:p>
        </w:tc>
        <w:tc>
          <w:tcPr>
            <w:tcW w:w="1453" w:type="dxa"/>
            <w:vAlign w:val="center"/>
          </w:tcPr>
          <w:p w14:paraId="59EFE936" w14:textId="14A5CAF8"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w:t>
            </w:r>
          </w:p>
        </w:tc>
        <w:tc>
          <w:tcPr>
            <w:tcW w:w="1453" w:type="dxa"/>
            <w:vAlign w:val="center"/>
          </w:tcPr>
          <w:p w14:paraId="0396D6B8" w14:textId="77BD2D41"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14%</w:t>
            </w:r>
          </w:p>
        </w:tc>
        <w:tc>
          <w:tcPr>
            <w:tcW w:w="1595" w:type="dxa"/>
            <w:shd w:val="clear" w:color="auto" w:fill="D0D9EA" w:themeFill="accent1" w:themeFillTint="33"/>
            <w:vAlign w:val="center"/>
          </w:tcPr>
          <w:p w14:paraId="07ADB4D6" w14:textId="6B0DC917"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0</w:t>
            </w:r>
          </w:p>
        </w:tc>
        <w:tc>
          <w:tcPr>
            <w:tcW w:w="1311" w:type="dxa"/>
            <w:vAlign w:val="center"/>
          </w:tcPr>
          <w:p w14:paraId="2404D419" w14:textId="0C1ADF72" w:rsidR="00774AC9" w:rsidRPr="00A90A85" w:rsidRDefault="0085355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0</w:t>
            </w:r>
          </w:p>
        </w:tc>
        <w:tc>
          <w:tcPr>
            <w:tcW w:w="1453" w:type="dxa"/>
            <w:vAlign w:val="center"/>
          </w:tcPr>
          <w:p w14:paraId="44A36ACE" w14:textId="4E1F82D2"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w:t>
            </w:r>
          </w:p>
        </w:tc>
        <w:tc>
          <w:tcPr>
            <w:tcW w:w="1453" w:type="dxa"/>
            <w:vAlign w:val="center"/>
          </w:tcPr>
          <w:p w14:paraId="7C3EE538" w14:textId="6F48DABC"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w:t>
            </w:r>
          </w:p>
        </w:tc>
        <w:tc>
          <w:tcPr>
            <w:tcW w:w="1453" w:type="dxa"/>
            <w:vAlign w:val="center"/>
          </w:tcPr>
          <w:p w14:paraId="656FFC75" w14:textId="227F5F36"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100</w:t>
            </w:r>
            <w:r w:rsidR="00774AC9" w:rsidRPr="00A90A85">
              <w:rPr>
                <w:rFonts w:eastAsiaTheme="minorHAnsi" w:cs="Calibri"/>
                <w:sz w:val="20"/>
                <w:szCs w:val="20"/>
                <w:lang w:eastAsia="en-GB"/>
              </w:rPr>
              <w:t>%</w:t>
            </w:r>
          </w:p>
        </w:tc>
      </w:tr>
      <w:tr w:rsidR="00774AC9" w:rsidRPr="00A90A85" w14:paraId="558430A6"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4DC81638" w14:textId="50DD778D" w:rsidR="00774AC9" w:rsidRPr="00A90A85" w:rsidRDefault="00774AC9" w:rsidP="00774AC9">
            <w:pPr>
              <w:spacing w:before="0" w:after="0"/>
              <w:jc w:val="right"/>
              <w:rPr>
                <w:rFonts w:eastAsiaTheme="minorHAnsi" w:cs="Calibri"/>
                <w:sz w:val="20"/>
                <w:szCs w:val="20"/>
                <w:lang w:eastAsia="en-GB"/>
              </w:rPr>
            </w:pPr>
            <w:r w:rsidRPr="00A90A85">
              <w:rPr>
                <w:rFonts w:eastAsiaTheme="minorHAnsi" w:cs="Calibri"/>
                <w:sz w:val="20"/>
                <w:szCs w:val="20"/>
                <w:lang w:eastAsia="en-GB"/>
              </w:rPr>
              <w:t>Southern</w:t>
            </w:r>
          </w:p>
        </w:tc>
        <w:tc>
          <w:tcPr>
            <w:tcW w:w="1453" w:type="dxa"/>
            <w:vAlign w:val="center"/>
          </w:tcPr>
          <w:p w14:paraId="478B7EA5" w14:textId="7BF1B7D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81</w:t>
            </w:r>
          </w:p>
        </w:tc>
        <w:tc>
          <w:tcPr>
            <w:tcW w:w="1453" w:type="dxa"/>
            <w:vAlign w:val="center"/>
          </w:tcPr>
          <w:p w14:paraId="100934C5" w14:textId="392FC99D"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15</w:t>
            </w:r>
          </w:p>
        </w:tc>
        <w:tc>
          <w:tcPr>
            <w:tcW w:w="1453" w:type="dxa"/>
            <w:vAlign w:val="center"/>
          </w:tcPr>
          <w:p w14:paraId="56504DCF" w14:textId="2F7E188A" w:rsidR="00774AC9"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19%</w:t>
            </w:r>
          </w:p>
        </w:tc>
        <w:tc>
          <w:tcPr>
            <w:tcW w:w="1595" w:type="dxa"/>
            <w:shd w:val="clear" w:color="auto" w:fill="D0D9EA" w:themeFill="accent1" w:themeFillTint="33"/>
            <w:vAlign w:val="center"/>
          </w:tcPr>
          <w:p w14:paraId="1C6700C6" w14:textId="0AE866ED"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8800C1">
              <w:rPr>
                <w:rFonts w:cs="Calibri"/>
                <w:sz w:val="20"/>
                <w:szCs w:val="20"/>
              </w:rPr>
              <w:t>3</w:t>
            </w:r>
          </w:p>
        </w:tc>
        <w:tc>
          <w:tcPr>
            <w:tcW w:w="1311" w:type="dxa"/>
            <w:vAlign w:val="center"/>
          </w:tcPr>
          <w:p w14:paraId="6B598D99" w14:textId="39480EA7" w:rsidR="00774AC9" w:rsidRPr="00A90A85"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sidRPr="008800C1">
              <w:rPr>
                <w:rFonts w:cs="Calibri"/>
                <w:sz w:val="20"/>
                <w:szCs w:val="20"/>
              </w:rPr>
              <w:t>1</w:t>
            </w:r>
          </w:p>
        </w:tc>
        <w:tc>
          <w:tcPr>
            <w:tcW w:w="1453" w:type="dxa"/>
            <w:vAlign w:val="center"/>
          </w:tcPr>
          <w:p w14:paraId="2B24A559" w14:textId="5B4CB4CE" w:rsidR="00774AC9"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cs="Calibri"/>
                <w:sz w:val="20"/>
                <w:szCs w:val="20"/>
              </w:rPr>
              <w:t>7</w:t>
            </w:r>
            <w:r w:rsidR="00774AC9" w:rsidRPr="008800C1">
              <w:rPr>
                <w:rFonts w:cs="Calibri"/>
                <w:sz w:val="20"/>
                <w:szCs w:val="20"/>
              </w:rPr>
              <w:t>%</w:t>
            </w:r>
          </w:p>
        </w:tc>
        <w:tc>
          <w:tcPr>
            <w:tcW w:w="1453" w:type="dxa"/>
            <w:vAlign w:val="center"/>
          </w:tcPr>
          <w:p w14:paraId="007F488F" w14:textId="05403B9A"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47%</w:t>
            </w:r>
          </w:p>
        </w:tc>
        <w:tc>
          <w:tcPr>
            <w:tcW w:w="1453" w:type="dxa"/>
            <w:vAlign w:val="center"/>
          </w:tcPr>
          <w:p w14:paraId="6442109D" w14:textId="5A74BCC2" w:rsidR="00774AC9" w:rsidRPr="00A90A85"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lang w:eastAsia="en-GB"/>
              </w:rPr>
            </w:pPr>
            <w:r>
              <w:rPr>
                <w:rFonts w:eastAsiaTheme="minorHAnsi" w:cs="Calibri"/>
                <w:sz w:val="20"/>
                <w:szCs w:val="20"/>
                <w:lang w:eastAsia="en-GB"/>
              </w:rPr>
              <w:t>27</w:t>
            </w:r>
            <w:r w:rsidR="00774AC9" w:rsidRPr="00A90A85">
              <w:rPr>
                <w:rFonts w:eastAsiaTheme="minorHAnsi" w:cs="Calibri"/>
                <w:sz w:val="20"/>
                <w:szCs w:val="20"/>
                <w:lang w:eastAsia="en-GB"/>
              </w:rPr>
              <w:t>%</w:t>
            </w:r>
          </w:p>
        </w:tc>
      </w:tr>
      <w:tr w:rsidR="00774AC9" w:rsidRPr="0093589B" w14:paraId="17AE4904" w14:textId="77777777" w:rsidTr="00D334C0">
        <w:tc>
          <w:tcPr>
            <w:cnfStyle w:val="001000000000" w:firstRow="0" w:lastRow="0" w:firstColumn="1" w:lastColumn="0" w:oddVBand="0" w:evenVBand="0" w:oddHBand="0" w:evenHBand="0" w:firstRowFirstColumn="0" w:firstRowLastColumn="0" w:lastRowFirstColumn="0" w:lastRowLastColumn="0"/>
            <w:tcW w:w="2410" w:type="dxa"/>
          </w:tcPr>
          <w:p w14:paraId="4B4B336F" w14:textId="241BED7C" w:rsidR="00774AC9" w:rsidRPr="0093589B" w:rsidRDefault="00774AC9" w:rsidP="00774AC9">
            <w:pPr>
              <w:spacing w:before="0" w:after="0"/>
              <w:jc w:val="right"/>
              <w:rPr>
                <w:rFonts w:eastAsiaTheme="minorHAnsi" w:cs="Calibri"/>
                <w:b/>
                <w:bCs/>
                <w:sz w:val="20"/>
                <w:szCs w:val="20"/>
                <w:lang w:eastAsia="en-GB"/>
              </w:rPr>
            </w:pPr>
            <w:r w:rsidRPr="0093589B">
              <w:rPr>
                <w:rFonts w:eastAsiaTheme="minorHAnsi" w:cs="Calibri"/>
                <w:b/>
                <w:bCs/>
                <w:sz w:val="20"/>
                <w:szCs w:val="20"/>
                <w:lang w:eastAsia="en-GB"/>
              </w:rPr>
              <w:t>Total</w:t>
            </w:r>
          </w:p>
        </w:tc>
        <w:tc>
          <w:tcPr>
            <w:tcW w:w="1453" w:type="dxa"/>
            <w:vAlign w:val="center"/>
          </w:tcPr>
          <w:p w14:paraId="3455FC87" w14:textId="03278CC1" w:rsidR="00774AC9" w:rsidRPr="0093589B"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sidRPr="008800C1">
              <w:rPr>
                <w:rFonts w:cs="Calibri"/>
                <w:b/>
                <w:bCs/>
                <w:sz w:val="20"/>
                <w:szCs w:val="20"/>
              </w:rPr>
              <w:t>965</w:t>
            </w:r>
          </w:p>
        </w:tc>
        <w:tc>
          <w:tcPr>
            <w:tcW w:w="1453" w:type="dxa"/>
            <w:vAlign w:val="center"/>
          </w:tcPr>
          <w:p w14:paraId="1F010F14" w14:textId="7EDD5E97" w:rsidR="00774AC9" w:rsidRPr="0093589B"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sidRPr="008800C1">
              <w:rPr>
                <w:rFonts w:cs="Calibri"/>
                <w:b/>
                <w:bCs/>
                <w:sz w:val="20"/>
                <w:szCs w:val="20"/>
              </w:rPr>
              <w:t>187</w:t>
            </w:r>
          </w:p>
        </w:tc>
        <w:tc>
          <w:tcPr>
            <w:tcW w:w="1453" w:type="dxa"/>
            <w:vAlign w:val="center"/>
          </w:tcPr>
          <w:p w14:paraId="3AD67138" w14:textId="13803EC7" w:rsidR="00774AC9" w:rsidRPr="0093589B"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sidRPr="008800C1">
              <w:rPr>
                <w:rFonts w:cs="Calibri"/>
                <w:b/>
                <w:bCs/>
                <w:sz w:val="20"/>
                <w:szCs w:val="20"/>
              </w:rPr>
              <w:t>19%</w:t>
            </w:r>
          </w:p>
        </w:tc>
        <w:tc>
          <w:tcPr>
            <w:tcW w:w="1595" w:type="dxa"/>
            <w:shd w:val="clear" w:color="auto" w:fill="D0D9EA" w:themeFill="accent1" w:themeFillTint="33"/>
            <w:vAlign w:val="center"/>
          </w:tcPr>
          <w:p w14:paraId="07220AAD" w14:textId="10C15769" w:rsidR="00774AC9" w:rsidRPr="008800C1"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cs="Calibri"/>
                <w:b/>
                <w:bCs/>
                <w:sz w:val="20"/>
                <w:szCs w:val="20"/>
              </w:rPr>
            </w:pPr>
            <w:r w:rsidRPr="008800C1">
              <w:rPr>
                <w:rFonts w:cs="Calibri"/>
                <w:b/>
                <w:bCs/>
                <w:sz w:val="20"/>
                <w:szCs w:val="20"/>
              </w:rPr>
              <w:t>67</w:t>
            </w:r>
          </w:p>
        </w:tc>
        <w:tc>
          <w:tcPr>
            <w:tcW w:w="1311" w:type="dxa"/>
            <w:vAlign w:val="center"/>
          </w:tcPr>
          <w:p w14:paraId="1907CF78" w14:textId="52D66D0A" w:rsidR="00774AC9" w:rsidRPr="0093589B" w:rsidRDefault="00774AC9"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sidRPr="008800C1">
              <w:rPr>
                <w:rFonts w:cs="Calibri"/>
                <w:b/>
                <w:bCs/>
                <w:sz w:val="20"/>
                <w:szCs w:val="20"/>
              </w:rPr>
              <w:t>14</w:t>
            </w:r>
          </w:p>
        </w:tc>
        <w:tc>
          <w:tcPr>
            <w:tcW w:w="1453" w:type="dxa"/>
            <w:vAlign w:val="center"/>
          </w:tcPr>
          <w:p w14:paraId="66F594E8" w14:textId="16EE2290" w:rsidR="00774AC9" w:rsidRPr="0093589B" w:rsidRDefault="00475D20"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Pr>
                <w:rFonts w:cs="Calibri"/>
                <w:b/>
                <w:bCs/>
                <w:sz w:val="20"/>
                <w:szCs w:val="20"/>
              </w:rPr>
              <w:t>7</w:t>
            </w:r>
            <w:r w:rsidR="00774AC9" w:rsidRPr="008800C1">
              <w:rPr>
                <w:rFonts w:cs="Calibri"/>
                <w:b/>
                <w:bCs/>
                <w:sz w:val="20"/>
                <w:szCs w:val="20"/>
              </w:rPr>
              <w:t>%</w:t>
            </w:r>
          </w:p>
        </w:tc>
        <w:tc>
          <w:tcPr>
            <w:tcW w:w="1453" w:type="dxa"/>
            <w:vAlign w:val="center"/>
          </w:tcPr>
          <w:p w14:paraId="3E7DD563" w14:textId="6D9212BB" w:rsidR="00774AC9" w:rsidRPr="0093589B"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Pr>
                <w:rFonts w:eastAsiaTheme="minorHAnsi" w:cs="Calibri"/>
                <w:b/>
                <w:bCs/>
                <w:sz w:val="20"/>
                <w:szCs w:val="20"/>
                <w:lang w:eastAsia="en-GB"/>
              </w:rPr>
              <w:t>16</w:t>
            </w:r>
            <w:r w:rsidR="00774AC9" w:rsidRPr="0093589B">
              <w:rPr>
                <w:rFonts w:eastAsiaTheme="minorHAnsi" w:cs="Calibri"/>
                <w:b/>
                <w:bCs/>
                <w:sz w:val="20"/>
                <w:szCs w:val="20"/>
                <w:lang w:eastAsia="en-GB"/>
              </w:rPr>
              <w:t>%</w:t>
            </w:r>
          </w:p>
        </w:tc>
        <w:tc>
          <w:tcPr>
            <w:tcW w:w="1453" w:type="dxa"/>
            <w:vAlign w:val="center"/>
          </w:tcPr>
          <w:p w14:paraId="60938DA8" w14:textId="52654F75" w:rsidR="00774AC9" w:rsidRPr="0093589B" w:rsidRDefault="005F0124" w:rsidP="00774AC9">
            <w:pPr>
              <w:spacing w:before="0" w:after="0"/>
              <w:jc w:val="center"/>
              <w:cnfStyle w:val="000000000000" w:firstRow="0" w:lastRow="0" w:firstColumn="0" w:lastColumn="0" w:oddVBand="0" w:evenVBand="0" w:oddHBand="0" w:evenHBand="0" w:firstRowFirstColumn="0" w:firstRowLastColumn="0" w:lastRowFirstColumn="0" w:lastRowLastColumn="0"/>
              <w:rPr>
                <w:rFonts w:eastAsiaTheme="minorHAnsi" w:cs="Calibri"/>
                <w:b/>
                <w:bCs/>
                <w:sz w:val="20"/>
                <w:szCs w:val="20"/>
                <w:lang w:eastAsia="en-GB"/>
              </w:rPr>
            </w:pPr>
            <w:r>
              <w:rPr>
                <w:rFonts w:eastAsiaTheme="minorHAnsi" w:cs="Calibri"/>
                <w:b/>
                <w:bCs/>
                <w:sz w:val="20"/>
                <w:szCs w:val="20"/>
                <w:lang w:eastAsia="en-GB"/>
              </w:rPr>
              <w:t>56</w:t>
            </w:r>
            <w:r w:rsidR="00774AC9" w:rsidRPr="0093589B">
              <w:rPr>
                <w:rFonts w:eastAsiaTheme="minorHAnsi" w:cs="Calibri"/>
                <w:b/>
                <w:bCs/>
                <w:sz w:val="20"/>
                <w:szCs w:val="20"/>
                <w:lang w:eastAsia="en-GB"/>
              </w:rPr>
              <w:t>%</w:t>
            </w:r>
          </w:p>
        </w:tc>
      </w:tr>
    </w:tbl>
    <w:p w14:paraId="4B5F5C25" w14:textId="77777777" w:rsidR="002F7B6B" w:rsidRDefault="002F7B6B" w:rsidP="00865821">
      <w:pPr>
        <w:rPr>
          <w:rFonts w:eastAsiaTheme="minorHAnsi"/>
          <w:lang w:eastAsia="en-GB"/>
        </w:rPr>
        <w:sectPr w:rsidR="002F7B6B" w:rsidSect="00CA3C1C">
          <w:pgSz w:w="16838" w:h="11906" w:orient="landscape" w:code="9"/>
          <w:pgMar w:top="1276" w:right="1985" w:bottom="1418" w:left="1985" w:header="284" w:footer="567" w:gutter="0"/>
          <w:cols w:space="708"/>
          <w:docGrid w:linePitch="360"/>
        </w:sectPr>
      </w:pPr>
    </w:p>
    <w:p w14:paraId="68A80930" w14:textId="561B5453" w:rsidR="00865821" w:rsidRDefault="00865821" w:rsidP="00DB5B4E">
      <w:pPr>
        <w:pStyle w:val="Mala3"/>
      </w:pPr>
      <w:r w:rsidRPr="00CB5526">
        <w:lastRenderedPageBreak/>
        <w:t>Reasons for becoming an accredited practice</w:t>
      </w:r>
    </w:p>
    <w:p w14:paraId="68E2ADBB" w14:textId="7E50F492" w:rsidR="008B078E" w:rsidRDefault="008B078E" w:rsidP="00BC1680">
      <w:pPr>
        <w:pStyle w:val="Malanorm"/>
      </w:pPr>
      <w:r>
        <w:t xml:space="preserve">Sustainability </w:t>
      </w:r>
      <w:r w:rsidR="00DF63C9">
        <w:t>to</w:t>
      </w:r>
      <w:r>
        <w:t xml:space="preserve"> general practice, </w:t>
      </w:r>
      <w:r w:rsidR="00DF63C9">
        <w:t>providing training opportunities were the most important motivators</w:t>
      </w:r>
      <w:r w:rsidR="00132648">
        <w:t xml:space="preserve"> for practices becoming accredited</w:t>
      </w:r>
      <w:r w:rsidR="00DF63C9">
        <w:t xml:space="preserve">. Accredited practices also noted </w:t>
      </w:r>
      <w:r w:rsidR="0000518D">
        <w:t xml:space="preserve">the importance of </w:t>
      </w:r>
      <w:r w:rsidR="006A35ED">
        <w:t xml:space="preserve">attracting </w:t>
      </w:r>
      <w:r w:rsidR="0000518D">
        <w:t>registrars</w:t>
      </w:r>
      <w:r w:rsidR="006A35ED">
        <w:t xml:space="preserve"> back and providing additional capacity in the practice</w:t>
      </w:r>
      <w:r w:rsidR="009C2002">
        <w:t xml:space="preserve"> (</w:t>
      </w:r>
      <w:r w:rsidR="00906A72">
        <w:fldChar w:fldCharType="begin"/>
      </w:r>
      <w:r w:rsidR="00906A72">
        <w:instrText xml:space="preserve"> REF _Ref104136017 \h </w:instrText>
      </w:r>
      <w:r w:rsidR="00906A72">
        <w:fldChar w:fldCharType="separate"/>
      </w:r>
      <w:r w:rsidR="005E0451">
        <w:t xml:space="preserve">Figure </w:t>
      </w:r>
      <w:r w:rsidR="005E0451">
        <w:rPr>
          <w:noProof/>
        </w:rPr>
        <w:t>17</w:t>
      </w:r>
      <w:r w:rsidR="00906A72">
        <w:fldChar w:fldCharType="end"/>
      </w:r>
      <w:r w:rsidR="009C2002">
        <w:t>)</w:t>
      </w:r>
      <w:r w:rsidR="006A35ED">
        <w:t xml:space="preserve">. </w:t>
      </w:r>
      <w:r w:rsidR="00D40289" w:rsidRPr="00AD0D11">
        <w:t xml:space="preserve">Some </w:t>
      </w:r>
      <w:r w:rsidR="00D40289">
        <w:t xml:space="preserve">had become </w:t>
      </w:r>
      <w:r w:rsidR="00D40289" w:rsidRPr="00AD0D11">
        <w:t>accredit</w:t>
      </w:r>
      <w:r w:rsidR="00D40289">
        <w:t xml:space="preserve">ed </w:t>
      </w:r>
      <w:r w:rsidR="00D40289" w:rsidRPr="00AD0D11">
        <w:t>to ensure they could</w:t>
      </w:r>
      <w:r w:rsidR="00D40289">
        <w:t xml:space="preserve"> replace exiting GPs with new registrars.</w:t>
      </w:r>
    </w:p>
    <w:p w14:paraId="0EA4D788" w14:textId="77777777" w:rsidR="009C2002" w:rsidRPr="006D61D6" w:rsidRDefault="009C2002" w:rsidP="00BC1680">
      <w:pPr>
        <w:pStyle w:val="Quotes"/>
        <w:rPr>
          <w:lang w:val="en-GB"/>
        </w:rPr>
      </w:pPr>
      <w:r>
        <w:rPr>
          <w:lang w:val="en-GB"/>
        </w:rPr>
        <w:t xml:space="preserve">One of the motivating things is we have had three of our current GPs who have done their training with us who we have gone on to employ. That is a big motivator. (Accredited practice) </w:t>
      </w:r>
    </w:p>
    <w:p w14:paraId="61B910E5" w14:textId="3ACD3EE8" w:rsidR="008B078E" w:rsidRDefault="00DE1C97" w:rsidP="00BC1680">
      <w:pPr>
        <w:pStyle w:val="Bulleted"/>
        <w:keepNext/>
        <w:numPr>
          <w:ilvl w:val="0"/>
          <w:numId w:val="0"/>
        </w:numPr>
      </w:pPr>
      <w:r>
        <w:rPr>
          <w:noProof/>
        </w:rPr>
        <w:drawing>
          <wp:inline distT="0" distB="0" distL="0" distR="0" wp14:anchorId="055C9391" wp14:editId="17326A36">
            <wp:extent cx="4989312" cy="2222500"/>
            <wp:effectExtent l="0" t="0" r="1905" b="6350"/>
            <wp:docPr id="4" name="Picture 16" descr="Chart, bar chart&#10;&#10;Description automatically generated">
              <a:extLst xmlns:a="http://schemas.openxmlformats.org/drawingml/2006/main">
                <a:ext uri="{FF2B5EF4-FFF2-40B4-BE49-F238E27FC236}">
                  <a16:creationId xmlns:a16="http://schemas.microsoft.com/office/drawing/2014/main" id="{F5CF0C5C-B0E5-9A70-831C-BB5DE39D37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Chart, bar chart&#10;&#10;Description automatically generated">
                      <a:extLst>
                        <a:ext uri="{FF2B5EF4-FFF2-40B4-BE49-F238E27FC236}">
                          <a16:creationId xmlns:a16="http://schemas.microsoft.com/office/drawing/2014/main" id="{F5CF0C5C-B0E5-9A70-831C-BB5DE39D377D}"/>
                        </a:ext>
                      </a:extLst>
                    </pic:cNvPr>
                    <pic:cNvPicPr>
                      <a:picLocks noChangeAspect="1"/>
                    </pic:cNvPicPr>
                  </pic:nvPicPr>
                  <pic:blipFill>
                    <a:blip r:embed="rId35"/>
                    <a:stretch>
                      <a:fillRect/>
                    </a:stretch>
                  </pic:blipFill>
                  <pic:spPr>
                    <a:xfrm>
                      <a:off x="0" y="0"/>
                      <a:ext cx="4990397" cy="2222983"/>
                    </a:xfrm>
                    <a:prstGeom prst="rect">
                      <a:avLst/>
                    </a:prstGeom>
                  </pic:spPr>
                </pic:pic>
              </a:graphicData>
            </a:graphic>
          </wp:inline>
        </w:drawing>
      </w:r>
    </w:p>
    <w:p w14:paraId="13CA0E24" w14:textId="6C5C069E" w:rsidR="008B078E" w:rsidRDefault="008B078E" w:rsidP="0084002B">
      <w:pPr>
        <w:pStyle w:val="Caption"/>
      </w:pPr>
      <w:bookmarkStart w:id="82" w:name="_Ref104136017"/>
      <w:r>
        <w:t xml:space="preserve">Figure </w:t>
      </w:r>
      <w:r>
        <w:fldChar w:fldCharType="begin"/>
      </w:r>
      <w:r>
        <w:instrText>SEQ Figure \* ARABIC</w:instrText>
      </w:r>
      <w:r>
        <w:fldChar w:fldCharType="separate"/>
      </w:r>
      <w:r w:rsidR="005E0451">
        <w:rPr>
          <w:noProof/>
        </w:rPr>
        <w:t>17</w:t>
      </w:r>
      <w:r>
        <w:fldChar w:fldCharType="end"/>
      </w:r>
      <w:bookmarkEnd w:id="82"/>
      <w:r>
        <w:t xml:space="preserve">. </w:t>
      </w:r>
      <w:r w:rsidRPr="00DC1F07">
        <w:t xml:space="preserve">Accredited practice survey motivators to becoming an accredited practice </w:t>
      </w:r>
      <w:r w:rsidR="005F34C0">
        <w:t xml:space="preserve">on a scale from 1 (not at all important) to 4 (very important) </w:t>
      </w:r>
      <w:r w:rsidRPr="00DC1F07">
        <w:t>(n=44).</w:t>
      </w:r>
    </w:p>
    <w:p w14:paraId="6501DBD3" w14:textId="3BA1D795" w:rsidR="00D869A4" w:rsidRDefault="00475D20" w:rsidP="00BC1680">
      <w:pPr>
        <w:pStyle w:val="Malanorm"/>
        <w:spacing w:before="240"/>
      </w:pPr>
      <w:r>
        <w:t>A</w:t>
      </w:r>
      <w:r w:rsidR="006A35ED">
        <w:t xml:space="preserve">ccredited practice spokespeople </w:t>
      </w:r>
      <w:r w:rsidR="00745A54">
        <w:t xml:space="preserve">also </w:t>
      </w:r>
      <w:r w:rsidR="006A35ED">
        <w:t xml:space="preserve">described </w:t>
      </w:r>
      <w:r w:rsidR="00745A54">
        <w:t>the advantages of</w:t>
      </w:r>
      <w:r w:rsidR="009C2002">
        <w:t xml:space="preserve"> registrars as exposing</w:t>
      </w:r>
      <w:r w:rsidR="00822652">
        <w:t xml:space="preserve"> </w:t>
      </w:r>
      <w:r w:rsidR="005F769D">
        <w:t xml:space="preserve">practice staff to </w:t>
      </w:r>
      <w:r w:rsidR="0050148E">
        <w:t>fresh ideas.</w:t>
      </w:r>
      <w:r w:rsidR="00A07F30">
        <w:t xml:space="preserve"> Registrars who were recent graduates held relevant </w:t>
      </w:r>
      <w:r w:rsidR="00B74588">
        <w:t xml:space="preserve">knowledge and often provided learning opportunities for older experienced doctors. </w:t>
      </w:r>
    </w:p>
    <w:p w14:paraId="7A453FAA" w14:textId="0ED0268F" w:rsidR="00532E42" w:rsidRDefault="00532E42" w:rsidP="00BC1680">
      <w:pPr>
        <w:pStyle w:val="Malanorm"/>
      </w:pPr>
      <w:r>
        <w:t>Other reasons for becoming an accredited practice included</w:t>
      </w:r>
      <w:r w:rsidR="00906A72">
        <w:t xml:space="preserve"> p</w:t>
      </w:r>
      <w:r w:rsidR="00E5624F">
        <w:t xml:space="preserve">roviding an opportunity for </w:t>
      </w:r>
      <w:r w:rsidR="00906A72">
        <w:t>registrars to experience working in a Māori provider</w:t>
      </w:r>
      <w:r w:rsidR="00982021">
        <w:t xml:space="preserve"> or supporting communities with high needs.</w:t>
      </w:r>
    </w:p>
    <w:p w14:paraId="20A63733" w14:textId="1A2CBAAD" w:rsidR="00822652" w:rsidRPr="00CB5526" w:rsidRDefault="00906A72" w:rsidP="00BC1680">
      <w:pPr>
        <w:pStyle w:val="Quotes"/>
      </w:pPr>
      <w:r>
        <w:t>S</w:t>
      </w:r>
      <w:r w:rsidR="00822652" w:rsidRPr="00CB5526">
        <w:t xml:space="preserve">upporting our future </w:t>
      </w:r>
      <w:r>
        <w:t>GP</w:t>
      </w:r>
      <w:r w:rsidR="00822652" w:rsidRPr="00CB5526">
        <w:t xml:space="preserve">s to experience te ao </w:t>
      </w:r>
      <w:r>
        <w:t>M</w:t>
      </w:r>
      <w:r w:rsidR="00822652" w:rsidRPr="00CB5526">
        <w:t xml:space="preserve">āori and mō </w:t>
      </w:r>
      <w:r>
        <w:t>M</w:t>
      </w:r>
      <w:r w:rsidR="00822652" w:rsidRPr="00CB5526">
        <w:t xml:space="preserve">āori mā </w:t>
      </w:r>
      <w:r>
        <w:t>M</w:t>
      </w:r>
      <w:r w:rsidR="00822652" w:rsidRPr="00CB5526">
        <w:t xml:space="preserve">āori Kia </w:t>
      </w:r>
      <w:r>
        <w:t>M</w:t>
      </w:r>
      <w:r w:rsidR="00822652" w:rsidRPr="00CB5526">
        <w:t>āori approach</w:t>
      </w:r>
      <w:r>
        <w:t>.</w:t>
      </w:r>
      <w:r w:rsidR="000D074D">
        <w:t xml:space="preserve"> (Accredited practice survey data)</w:t>
      </w:r>
    </w:p>
    <w:p w14:paraId="009A75C7" w14:textId="5A7D6054" w:rsidR="00264AD1" w:rsidRDefault="00264AD1" w:rsidP="00DB5B4E">
      <w:pPr>
        <w:pStyle w:val="Mala3"/>
      </w:pPr>
      <w:r w:rsidRPr="00CB5526">
        <w:t xml:space="preserve">Barriers to </w:t>
      </w:r>
      <w:r w:rsidR="00982021">
        <w:t xml:space="preserve">practice </w:t>
      </w:r>
      <w:r w:rsidRPr="00CB5526">
        <w:t>accreditation</w:t>
      </w:r>
    </w:p>
    <w:p w14:paraId="3340311F" w14:textId="79F9F5D6" w:rsidR="00417C98" w:rsidRDefault="00B237B9" w:rsidP="00BC1680">
      <w:r>
        <w:t xml:space="preserve">The main barriers </w:t>
      </w:r>
      <w:r w:rsidR="00745A54">
        <w:t xml:space="preserve">to being an accredited practice </w:t>
      </w:r>
      <w:r>
        <w:t xml:space="preserve">were meeting the requirements to become a placement provider, the cost of providing </w:t>
      </w:r>
      <w:r w:rsidR="00C15FD8">
        <w:t xml:space="preserve">placements and capacity for supervision. </w:t>
      </w:r>
    </w:p>
    <w:p w14:paraId="2AA03038" w14:textId="08B8ECFD" w:rsidR="00417C98" w:rsidRDefault="00FE4271" w:rsidP="00BC1680">
      <w:pPr>
        <w:keepNext/>
      </w:pPr>
      <w:r>
        <w:rPr>
          <w:noProof/>
        </w:rPr>
        <w:lastRenderedPageBreak/>
        <w:drawing>
          <wp:inline distT="0" distB="0" distL="0" distR="0" wp14:anchorId="5BF3E1A6" wp14:editId="180888DA">
            <wp:extent cx="4987275" cy="2311400"/>
            <wp:effectExtent l="0" t="0" r="4445" b="0"/>
            <wp:docPr id="29" name="Picture 28" descr="Chart&#10;&#10;Description automatically generated">
              <a:extLst xmlns:a="http://schemas.openxmlformats.org/drawingml/2006/main">
                <a:ext uri="{FF2B5EF4-FFF2-40B4-BE49-F238E27FC236}">
                  <a16:creationId xmlns:a16="http://schemas.microsoft.com/office/drawing/2014/main" id="{79D8F22F-82CB-CC93-C473-C27F33B46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Chart&#10;&#10;Description automatically generated">
                      <a:extLst>
                        <a:ext uri="{FF2B5EF4-FFF2-40B4-BE49-F238E27FC236}">
                          <a16:creationId xmlns:a16="http://schemas.microsoft.com/office/drawing/2014/main" id="{79D8F22F-82CB-CC93-C473-C27F33B46F46}"/>
                        </a:ext>
                      </a:extLst>
                    </pic:cNvPr>
                    <pic:cNvPicPr>
                      <a:picLocks noChangeAspect="1"/>
                    </pic:cNvPicPr>
                  </pic:nvPicPr>
                  <pic:blipFill>
                    <a:blip r:embed="rId36"/>
                    <a:stretch>
                      <a:fillRect/>
                    </a:stretch>
                  </pic:blipFill>
                  <pic:spPr>
                    <a:xfrm>
                      <a:off x="0" y="0"/>
                      <a:ext cx="4988698" cy="2312060"/>
                    </a:xfrm>
                    <a:prstGeom prst="rect">
                      <a:avLst/>
                    </a:prstGeom>
                  </pic:spPr>
                </pic:pic>
              </a:graphicData>
            </a:graphic>
          </wp:inline>
        </w:drawing>
      </w:r>
    </w:p>
    <w:p w14:paraId="3749F09B" w14:textId="2FA29170" w:rsidR="00417C98" w:rsidRDefault="00417C98" w:rsidP="0084002B">
      <w:pPr>
        <w:pStyle w:val="Caption"/>
      </w:pPr>
      <w:r>
        <w:t xml:space="preserve">Figure </w:t>
      </w:r>
      <w:fldSimple w:instr=" SEQ Figure \* ARABIC ">
        <w:r w:rsidR="005E0451">
          <w:rPr>
            <w:noProof/>
          </w:rPr>
          <w:t>18</w:t>
        </w:r>
      </w:fldSimple>
      <w:r>
        <w:t xml:space="preserve">. </w:t>
      </w:r>
      <w:r w:rsidRPr="00C15C64">
        <w:t xml:space="preserve">Accredited practice survey barriers to accreditation </w:t>
      </w:r>
      <w:r w:rsidR="005F34C0">
        <w:t xml:space="preserve">on a scale from 1 (not at all </w:t>
      </w:r>
      <w:r w:rsidR="00FE4271">
        <w:t>a barrier</w:t>
      </w:r>
      <w:r w:rsidR="005F34C0">
        <w:t xml:space="preserve">) to 4 (very </w:t>
      </w:r>
      <w:r w:rsidR="00FE4271">
        <w:t>much a barrier</w:t>
      </w:r>
      <w:r w:rsidR="005F34C0">
        <w:t xml:space="preserve">) </w:t>
      </w:r>
      <w:r w:rsidRPr="00C15C64">
        <w:t>(n=44).</w:t>
      </w:r>
    </w:p>
    <w:p w14:paraId="1F7AE465" w14:textId="46A05614" w:rsidR="00417C98" w:rsidRDefault="00417C98" w:rsidP="00BC1680">
      <w:pPr>
        <w:spacing w:before="240"/>
      </w:pPr>
      <w:r>
        <w:t xml:space="preserve">Cornerstone requirements were a barrier for some practices and teachers. The volume of work required was </w:t>
      </w:r>
      <w:r w:rsidR="00C15FD8">
        <w:t xml:space="preserve">described by </w:t>
      </w:r>
      <w:r w:rsidR="00D93CCD">
        <w:t>some</w:t>
      </w:r>
      <w:r w:rsidR="00C15FD8">
        <w:t xml:space="preserve"> interviewed stakeholders as </w:t>
      </w:r>
      <w:r>
        <w:t xml:space="preserve">not achievable for small practices. The payment and paperwork associated to accreditation deterred some </w:t>
      </w:r>
      <w:r w:rsidR="004F6BED">
        <w:t>practice who wanted to provide teaching opportunities</w:t>
      </w:r>
      <w:r>
        <w:t xml:space="preserve"> from gaining accreditation. </w:t>
      </w:r>
    </w:p>
    <w:p w14:paraId="4898B5DB" w14:textId="77777777" w:rsidR="00417C98" w:rsidRPr="003A1B96" w:rsidRDefault="00417C98" w:rsidP="00BC1680">
      <w:pPr>
        <w:pStyle w:val="Quotes"/>
        <w:rPr>
          <w:lang w:val="en-GB"/>
        </w:rPr>
      </w:pPr>
      <w:r w:rsidRPr="003A1B96">
        <w:rPr>
          <w:lang w:val="en-GB"/>
        </w:rPr>
        <w:t>There have been small practices</w:t>
      </w:r>
      <w:r>
        <w:rPr>
          <w:lang w:val="en-GB"/>
        </w:rPr>
        <w:t xml:space="preserve">, </w:t>
      </w:r>
      <w:r w:rsidRPr="003A1B96">
        <w:rPr>
          <w:lang w:val="en-GB"/>
        </w:rPr>
        <w:t>very small rural practices who have found they do not have the capacity to put the hundreds of hours to get the accreditation to be able to keep the GP registrars and they are run by senior GPs who have a lot of experience teaching and were seen to be providing a good service but the requirement for suddenly all of this paper work.</w:t>
      </w:r>
      <w:r>
        <w:rPr>
          <w:lang w:val="en-GB"/>
        </w:rPr>
        <w:t xml:space="preserve"> (Teacher)</w:t>
      </w:r>
    </w:p>
    <w:p w14:paraId="1C6C5731" w14:textId="4A6DB575" w:rsidR="006F362D" w:rsidRPr="006376F9" w:rsidRDefault="006F362D" w:rsidP="00BC1680">
      <w:pPr>
        <w:pStyle w:val="Malanorm"/>
        <w:rPr>
          <w:rStyle w:val="QuotesChar"/>
          <w:noProof w:val="0"/>
        </w:rPr>
      </w:pPr>
      <w:r>
        <w:t xml:space="preserve">Teachers also noted the lack of support from the College to complete the accreditation documents. </w:t>
      </w:r>
      <w:r>
        <w:rPr>
          <w:lang w:val="en-GB"/>
        </w:rPr>
        <w:t xml:space="preserve">The cost of accreditation and the expectation that practices would need to </w:t>
      </w:r>
      <w:r w:rsidRPr="006376F9">
        <w:rPr>
          <w:rStyle w:val="QuotesChar"/>
        </w:rPr>
        <w:t>renew it every two, three years is a huge barrier to having a registrar in practice.</w:t>
      </w:r>
      <w:r>
        <w:rPr>
          <w:rStyle w:val="QuotesChar"/>
        </w:rPr>
        <w:t xml:space="preserve"> </w:t>
      </w:r>
      <w:r>
        <w:t>Participants did not feel Cornerstone accreditation added to their ability to teach and support registrars.</w:t>
      </w:r>
      <w:r w:rsidR="00C812BF">
        <w:t xml:space="preserve"> S</w:t>
      </w:r>
      <w:proofErr w:type="spellStart"/>
      <w:r>
        <w:rPr>
          <w:lang w:val="en-GB"/>
        </w:rPr>
        <w:t>ome</w:t>
      </w:r>
      <w:proofErr w:type="spellEnd"/>
      <w:r>
        <w:rPr>
          <w:lang w:val="en-GB"/>
        </w:rPr>
        <w:t xml:space="preserve"> practices opted out of completing the process. </w:t>
      </w:r>
    </w:p>
    <w:p w14:paraId="0359B916" w14:textId="56AF2F81" w:rsidR="006F362D" w:rsidRDefault="006F362D" w:rsidP="00BC1680">
      <w:pPr>
        <w:pStyle w:val="Quotes"/>
        <w:ind w:left="709" w:firstLine="0"/>
        <w:rPr>
          <w:lang w:val="en-GB"/>
        </w:rPr>
      </w:pPr>
      <w:r>
        <w:rPr>
          <w:lang w:val="en-GB"/>
        </w:rPr>
        <w:t xml:space="preserve">At the moment it’s something like 30-40% of patients in </w:t>
      </w:r>
      <w:r w:rsidR="00C812BF">
        <w:rPr>
          <w:lang w:val="en-GB"/>
        </w:rPr>
        <w:t xml:space="preserve">[district] </w:t>
      </w:r>
      <w:r>
        <w:rPr>
          <w:lang w:val="en-GB"/>
        </w:rPr>
        <w:t>do not have a registered general practitioner and a lot of practices have decided that they don’t have the time, energy, skills or capacity to do the foundation accreditation which means they can</w:t>
      </w:r>
      <w:r w:rsidR="00C812BF">
        <w:rPr>
          <w:lang w:val="en-GB"/>
        </w:rPr>
        <w:t>’</w:t>
      </w:r>
      <w:r>
        <w:rPr>
          <w:lang w:val="en-GB"/>
        </w:rPr>
        <w:t>t have the registrars and the workforce isn’t being renewed. I would love to see a consideration of what is actually appropriate in terms of requirements. (Teacher)</w:t>
      </w:r>
    </w:p>
    <w:p w14:paraId="2ABE47E1" w14:textId="56E6C7C5" w:rsidR="006F362D" w:rsidRDefault="006F362D" w:rsidP="00BC1680">
      <w:pPr>
        <w:pStyle w:val="Malanorm"/>
        <w:rPr>
          <w:lang w:val="en-GB"/>
        </w:rPr>
      </w:pPr>
      <w:r>
        <w:rPr>
          <w:lang w:val="en-GB"/>
        </w:rPr>
        <w:t xml:space="preserve">Participants discussed the missed opportunities for Māori, Pacific and rural providers who could not sustain the costs of providing placements. </w:t>
      </w:r>
    </w:p>
    <w:p w14:paraId="60D84E1D" w14:textId="668CA07A" w:rsidR="006F362D" w:rsidRDefault="006F362D" w:rsidP="00BC1680">
      <w:pPr>
        <w:pStyle w:val="Quotes"/>
        <w:rPr>
          <w:lang w:val="en-GB"/>
        </w:rPr>
      </w:pPr>
      <w:r>
        <w:rPr>
          <w:lang w:val="en-GB"/>
        </w:rPr>
        <w:t>A lot of the practices that [registrars] should be going to can’t afford to make [registrars] practice employed. (M</w:t>
      </w:r>
      <w:r>
        <w:rPr>
          <w:rFonts w:cs="Calibri"/>
          <w:lang w:val="en-GB"/>
        </w:rPr>
        <w:t>ā</w:t>
      </w:r>
      <w:r>
        <w:rPr>
          <w:lang w:val="en-GB"/>
        </w:rPr>
        <w:t xml:space="preserve">ori </w:t>
      </w:r>
      <w:r w:rsidR="00D94652">
        <w:rPr>
          <w:lang w:val="en-GB"/>
        </w:rPr>
        <w:t>GP</w:t>
      </w:r>
      <w:r>
        <w:rPr>
          <w:lang w:val="en-GB"/>
        </w:rPr>
        <w:t>)</w:t>
      </w:r>
    </w:p>
    <w:p w14:paraId="399D1A9D" w14:textId="77777777" w:rsidR="00514343" w:rsidRDefault="00264AD1" w:rsidP="00BC1680">
      <w:pPr>
        <w:pStyle w:val="Malanorm"/>
        <w:rPr>
          <w:lang w:val="en-GB"/>
        </w:rPr>
      </w:pPr>
      <w:r>
        <w:rPr>
          <w:lang w:val="en-GB"/>
        </w:rPr>
        <w:lastRenderedPageBreak/>
        <w:t xml:space="preserve">An increase in support, resource and financial investment into Māori, Pacific and rural practices was highlighted as necessary. Participants noted the need to provide consistent registrar placements </w:t>
      </w:r>
      <w:r w:rsidR="004F6BED">
        <w:rPr>
          <w:lang w:val="en-GB"/>
        </w:rPr>
        <w:t>so</w:t>
      </w:r>
      <w:r>
        <w:rPr>
          <w:lang w:val="en-GB"/>
        </w:rPr>
        <w:t xml:space="preserve"> practices </w:t>
      </w:r>
      <w:r w:rsidR="004F6BED">
        <w:rPr>
          <w:lang w:val="en-GB"/>
        </w:rPr>
        <w:t>could</w:t>
      </w:r>
      <w:r>
        <w:rPr>
          <w:lang w:val="en-GB"/>
        </w:rPr>
        <w:t xml:space="preserve"> plan their service delivery. </w:t>
      </w:r>
    </w:p>
    <w:p w14:paraId="40A51215" w14:textId="4363462F" w:rsidR="00264AD1" w:rsidRDefault="00514343" w:rsidP="00BC1680">
      <w:pPr>
        <w:pStyle w:val="Malanorm"/>
        <w:rPr>
          <w:lang w:val="en-GB"/>
        </w:rPr>
      </w:pPr>
      <w:r>
        <w:rPr>
          <w:lang w:val="en-GB"/>
        </w:rPr>
        <w:t>R</w:t>
      </w:r>
      <w:r w:rsidR="00264AD1">
        <w:rPr>
          <w:lang w:val="en-GB"/>
        </w:rPr>
        <w:t xml:space="preserve">egistrar </w:t>
      </w:r>
      <w:r>
        <w:rPr>
          <w:lang w:val="en-GB"/>
        </w:rPr>
        <w:t xml:space="preserve">training </w:t>
      </w:r>
      <w:r w:rsidR="00264AD1">
        <w:rPr>
          <w:lang w:val="en-GB"/>
        </w:rPr>
        <w:t>relied on accredit</w:t>
      </w:r>
      <w:r>
        <w:rPr>
          <w:lang w:val="en-GB"/>
        </w:rPr>
        <w:t xml:space="preserve">ed practices and </w:t>
      </w:r>
      <w:r w:rsidR="00264AD1">
        <w:rPr>
          <w:lang w:val="en-GB"/>
        </w:rPr>
        <w:t xml:space="preserve">GPs who were able to provide teaching. Suggestions were made to support practices to have an anchored GP who would split their time between general practice and administration such as funding applications, accreditation process, and the support and safety of registrars. </w:t>
      </w:r>
    </w:p>
    <w:p w14:paraId="17B391B7" w14:textId="78B1C2BA" w:rsidR="00264AD1" w:rsidRDefault="00264AD1" w:rsidP="00BC1680">
      <w:pPr>
        <w:pStyle w:val="Quotes"/>
        <w:rPr>
          <w:lang w:val="en-GB"/>
        </w:rPr>
      </w:pPr>
      <w:r>
        <w:rPr>
          <w:lang w:val="en-GB"/>
        </w:rPr>
        <w:t xml:space="preserve">The practices like the Māori, Pacific, Iwi owned and ko wai atu need consistency in the placement of their registrars so they can plan their service and those practices should be prioritised and the funding and resource in those practices needs to be upped. </w:t>
      </w:r>
      <w:r w:rsidR="00A54F3E">
        <w:rPr>
          <w:lang w:val="en-GB"/>
        </w:rPr>
        <w:t>(M</w:t>
      </w:r>
      <w:r w:rsidR="000C1B16">
        <w:rPr>
          <w:rFonts w:cs="Calibri"/>
          <w:lang w:val="en-GB"/>
        </w:rPr>
        <w:t>ā</w:t>
      </w:r>
      <w:r w:rsidR="00A54F3E">
        <w:rPr>
          <w:lang w:val="en-GB"/>
        </w:rPr>
        <w:t xml:space="preserve">ori </w:t>
      </w:r>
      <w:r w:rsidR="00D94652">
        <w:rPr>
          <w:lang w:val="en-GB"/>
        </w:rPr>
        <w:t>GP</w:t>
      </w:r>
      <w:r w:rsidR="008A1D14">
        <w:rPr>
          <w:lang w:val="en-GB"/>
        </w:rPr>
        <w:t>)</w:t>
      </w:r>
    </w:p>
    <w:p w14:paraId="759E2594" w14:textId="4668FAEA" w:rsidR="00183DD0" w:rsidRDefault="00CC3835" w:rsidP="00183DD0">
      <w:pPr>
        <w:keepNext/>
      </w:pPr>
      <w:r>
        <w:rPr>
          <w:noProof/>
        </w:rPr>
        <w:drawing>
          <wp:inline distT="0" distB="0" distL="0" distR="0" wp14:anchorId="19F75277" wp14:editId="25288522">
            <wp:extent cx="4786195" cy="1282700"/>
            <wp:effectExtent l="0" t="0" r="0" b="0"/>
            <wp:docPr id="15" name="Picture 14" descr="A screenshot of a computer&#10;&#10;Description automatically generated with medium confidence">
              <a:extLst xmlns:a="http://schemas.openxmlformats.org/drawingml/2006/main">
                <a:ext uri="{FF2B5EF4-FFF2-40B4-BE49-F238E27FC236}">
                  <a16:creationId xmlns:a16="http://schemas.microsoft.com/office/drawing/2014/main" id="{6DB1FDF2-B9FC-8843-5A47-374E9263C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screenshot of a computer&#10;&#10;Description automatically generated with medium confidence">
                      <a:extLst>
                        <a:ext uri="{FF2B5EF4-FFF2-40B4-BE49-F238E27FC236}">
                          <a16:creationId xmlns:a16="http://schemas.microsoft.com/office/drawing/2014/main" id="{6DB1FDF2-B9FC-8843-5A47-374E9263C00E}"/>
                        </a:ext>
                      </a:extLst>
                    </pic:cNvPr>
                    <pic:cNvPicPr>
                      <a:picLocks noChangeAspect="1"/>
                    </pic:cNvPicPr>
                  </pic:nvPicPr>
                  <pic:blipFill>
                    <a:blip r:embed="rId37"/>
                    <a:stretch>
                      <a:fillRect/>
                    </a:stretch>
                  </pic:blipFill>
                  <pic:spPr>
                    <a:xfrm>
                      <a:off x="0" y="0"/>
                      <a:ext cx="4790001" cy="1283720"/>
                    </a:xfrm>
                    <a:prstGeom prst="rect">
                      <a:avLst/>
                    </a:prstGeom>
                  </pic:spPr>
                </pic:pic>
              </a:graphicData>
            </a:graphic>
          </wp:inline>
        </w:drawing>
      </w:r>
    </w:p>
    <w:p w14:paraId="4F148558" w14:textId="25A5281D" w:rsidR="00183DD0" w:rsidRDefault="00183DD0" w:rsidP="0084002B">
      <w:pPr>
        <w:pStyle w:val="Caption"/>
      </w:pPr>
      <w:r>
        <w:t xml:space="preserve">Figure </w:t>
      </w:r>
      <w:fldSimple w:instr=" SEQ Figure \* ARABIC ">
        <w:r w:rsidR="005E0451">
          <w:rPr>
            <w:noProof/>
          </w:rPr>
          <w:t>19</w:t>
        </w:r>
      </w:fldSimple>
      <w:r>
        <w:t xml:space="preserve">. Accredited practice survey </w:t>
      </w:r>
      <w:r w:rsidR="006404F7">
        <w:t>-</w:t>
      </w:r>
      <w:r>
        <w:t xml:space="preserve"> ratings of support and funding f</w:t>
      </w:r>
      <w:r w:rsidR="006404F7">
        <w:t>ro</w:t>
      </w:r>
      <w:r>
        <w:t>m the College</w:t>
      </w:r>
      <w:r w:rsidR="006404F7">
        <w:t>. Statements were rated</w:t>
      </w:r>
      <w:r>
        <w:t xml:space="preserve"> on a scale from 1 (strongly disagree) to 4 (strongly agree) (n=43-44).</w:t>
      </w:r>
    </w:p>
    <w:p w14:paraId="619C4B92" w14:textId="1390C573" w:rsidR="005108A7" w:rsidRDefault="00F333C4" w:rsidP="00DB5B4E">
      <w:pPr>
        <w:pStyle w:val="Mala3"/>
      </w:pPr>
      <w:r>
        <w:t xml:space="preserve">Financial consequences </w:t>
      </w:r>
      <w:r w:rsidR="005108A7" w:rsidRPr="00CB5526">
        <w:t>of being an accredited practice</w:t>
      </w:r>
    </w:p>
    <w:p w14:paraId="33F37970" w14:textId="3741DCDB" w:rsidR="00670058" w:rsidRDefault="004113E1" w:rsidP="00670058">
      <w:pPr>
        <w:rPr>
          <w:lang w:eastAsia="en-GB"/>
        </w:rPr>
      </w:pPr>
      <w:r>
        <w:rPr>
          <w:lang w:eastAsia="en-GB"/>
        </w:rPr>
        <w:t>Practices</w:t>
      </w:r>
      <w:r w:rsidR="004219E9">
        <w:rPr>
          <w:lang w:eastAsia="en-GB"/>
        </w:rPr>
        <w:t xml:space="preserve"> and teachers</w:t>
      </w:r>
      <w:r>
        <w:rPr>
          <w:lang w:eastAsia="en-GB"/>
        </w:rPr>
        <w:t xml:space="preserve"> reported that having a registrar was often a financial burden.</w:t>
      </w:r>
      <w:r w:rsidR="00FE77F9">
        <w:rPr>
          <w:lang w:eastAsia="en-GB"/>
        </w:rPr>
        <w:t xml:space="preserve"> </w:t>
      </w:r>
      <w:r>
        <w:rPr>
          <w:lang w:eastAsia="en-GB"/>
        </w:rPr>
        <w:t>We developed a simplified model of practice financial cost and revenue to explore the circumstances in which a registrar might represent a net cost or a contribution to general practice finances.</w:t>
      </w:r>
    </w:p>
    <w:p w14:paraId="546D810C" w14:textId="6E173FA3" w:rsidR="004113E1" w:rsidRDefault="004113E1" w:rsidP="00670058">
      <w:pPr>
        <w:rPr>
          <w:lang w:eastAsia="en-GB"/>
        </w:rPr>
      </w:pPr>
      <w:r>
        <w:rPr>
          <w:lang w:eastAsia="en-GB"/>
        </w:rPr>
        <w:t xml:space="preserve">The key assumption we make is that there are no additional enrolled patients in the practice </w:t>
      </w:r>
      <w:proofErr w:type="gramStart"/>
      <w:r>
        <w:rPr>
          <w:lang w:eastAsia="en-GB"/>
        </w:rPr>
        <w:t>as a consequence of</w:t>
      </w:r>
      <w:proofErr w:type="gramEnd"/>
      <w:r>
        <w:rPr>
          <w:lang w:eastAsia="en-GB"/>
        </w:rPr>
        <w:t xml:space="preserve"> having a registrar.</w:t>
      </w:r>
      <w:r w:rsidR="00FE77F9">
        <w:rPr>
          <w:lang w:eastAsia="en-GB"/>
        </w:rPr>
        <w:t xml:space="preserve"> </w:t>
      </w:r>
      <w:r w:rsidR="00CC45BC">
        <w:rPr>
          <w:lang w:eastAsia="en-GB"/>
        </w:rPr>
        <w:t>This means that the registrar can only generate revenue from consultation co-payments.</w:t>
      </w:r>
      <w:r w:rsidR="00FE77F9">
        <w:rPr>
          <w:lang w:eastAsia="en-GB"/>
        </w:rPr>
        <w:t xml:space="preserve"> </w:t>
      </w:r>
      <w:r w:rsidR="00CC45BC">
        <w:rPr>
          <w:lang w:eastAsia="en-GB"/>
        </w:rPr>
        <w:t xml:space="preserve">In some circumstances this can provide significant revenue, where a practice has a high level of co-payment and a </w:t>
      </w:r>
      <w:r w:rsidR="00F1141C">
        <w:rPr>
          <w:lang w:eastAsia="en-GB"/>
        </w:rPr>
        <w:t>substantial</w:t>
      </w:r>
      <w:r w:rsidR="00CC45BC">
        <w:rPr>
          <w:lang w:eastAsia="en-GB"/>
        </w:rPr>
        <w:t xml:space="preserve"> adult population.</w:t>
      </w:r>
      <w:r w:rsidR="00FE77F9">
        <w:rPr>
          <w:lang w:eastAsia="en-GB"/>
        </w:rPr>
        <w:t xml:space="preserve"> </w:t>
      </w:r>
      <w:r w:rsidR="00CC45BC">
        <w:rPr>
          <w:lang w:eastAsia="en-GB"/>
        </w:rPr>
        <w:t>But there can be several factors that limit co-payment revenue.</w:t>
      </w:r>
      <w:r w:rsidR="00FE77F9">
        <w:rPr>
          <w:lang w:eastAsia="en-GB"/>
        </w:rPr>
        <w:t xml:space="preserve"> </w:t>
      </w:r>
      <w:r w:rsidR="00CC45BC">
        <w:rPr>
          <w:lang w:eastAsia="en-GB"/>
        </w:rPr>
        <w:t xml:space="preserve">Where a practice has a low level of co-payment, particularly if they are a Very </w:t>
      </w:r>
      <w:proofErr w:type="gramStart"/>
      <w:r w:rsidR="00CC45BC">
        <w:rPr>
          <w:lang w:eastAsia="en-GB"/>
        </w:rPr>
        <w:t>Low Cost</w:t>
      </w:r>
      <w:proofErr w:type="gramEnd"/>
      <w:r w:rsidR="00CC45BC">
        <w:rPr>
          <w:lang w:eastAsia="en-GB"/>
        </w:rPr>
        <w:t xml:space="preserve"> Access (VLCA) practice, then a very high level of productivity in terms of consultations is needed to generate significant revenue.</w:t>
      </w:r>
      <w:r w:rsidR="00FE77F9">
        <w:rPr>
          <w:lang w:eastAsia="en-GB"/>
        </w:rPr>
        <w:t xml:space="preserve"> </w:t>
      </w:r>
      <w:r w:rsidR="00CC45BC">
        <w:rPr>
          <w:lang w:eastAsia="en-GB"/>
        </w:rPr>
        <w:t>Where a large proportion of the enrolled population are children (who generate no co-payment revenue) or hold a Community Services Card (where co-payments are reduced), then the potential to generate co-payment revenue is also reduced.</w:t>
      </w:r>
    </w:p>
    <w:p w14:paraId="11FB9E6F" w14:textId="3AE84A48" w:rsidR="00CC45BC" w:rsidRDefault="00CC45BC" w:rsidP="00670058">
      <w:pPr>
        <w:rPr>
          <w:lang w:eastAsia="en-GB"/>
        </w:rPr>
      </w:pPr>
      <w:r>
        <w:rPr>
          <w:lang w:eastAsia="en-GB"/>
        </w:rPr>
        <w:t>We have modelled the net financial impact for VLCA practices, and for a typical practice with co-payments at $40.</w:t>
      </w:r>
      <w:r w:rsidR="00FE77F9">
        <w:rPr>
          <w:lang w:eastAsia="en-GB"/>
        </w:rPr>
        <w:t xml:space="preserve"> </w:t>
      </w:r>
      <w:r>
        <w:rPr>
          <w:lang w:eastAsia="en-GB"/>
        </w:rPr>
        <w:t xml:space="preserve">We have produced results for the case in which the practice is paying a salary or equivalent of $120,000 to the registrar, and for the </w:t>
      </w:r>
      <w:r>
        <w:rPr>
          <w:lang w:eastAsia="en-GB"/>
        </w:rPr>
        <w:lastRenderedPageBreak/>
        <w:t xml:space="preserve">case when a practice is paying nothing for registrar income (as applies to the majority of GPEP </w:t>
      </w:r>
      <w:r w:rsidR="00D3461F">
        <w:rPr>
          <w:lang w:eastAsia="en-GB"/>
        </w:rPr>
        <w:t>1</w:t>
      </w:r>
      <w:r>
        <w:rPr>
          <w:lang w:eastAsia="en-GB"/>
        </w:rPr>
        <w:t xml:space="preserve"> trainees).</w:t>
      </w:r>
      <w:r w:rsidR="00FE77F9">
        <w:rPr>
          <w:lang w:eastAsia="en-GB"/>
        </w:rPr>
        <w:t xml:space="preserve"> </w:t>
      </w:r>
      <w:r>
        <w:rPr>
          <w:lang w:eastAsia="en-GB"/>
        </w:rPr>
        <w:t xml:space="preserve">We have assumed </w:t>
      </w:r>
      <w:r w:rsidR="004219E9">
        <w:rPr>
          <w:lang w:eastAsia="en-GB"/>
        </w:rPr>
        <w:t xml:space="preserve">based on interviews with teachers </w:t>
      </w:r>
      <w:r>
        <w:rPr>
          <w:lang w:eastAsia="en-GB"/>
        </w:rPr>
        <w:t>that the practice provides one hour per day of supervision, and calculated results for a range of registrar consultation times.</w:t>
      </w:r>
    </w:p>
    <w:p w14:paraId="282B98DC" w14:textId="1675B2D4" w:rsidR="00670058" w:rsidRDefault="00CC45BC" w:rsidP="00670058">
      <w:pPr>
        <w:rPr>
          <w:lang w:eastAsia="en-GB"/>
        </w:rPr>
      </w:pPr>
      <w:r>
        <w:rPr>
          <w:noProof/>
        </w:rPr>
        <w:drawing>
          <wp:inline distT="0" distB="0" distL="0" distR="0" wp14:anchorId="3C5A367F" wp14:editId="0FA6C869">
            <wp:extent cx="5226050" cy="2889250"/>
            <wp:effectExtent l="0" t="0" r="12700" b="6350"/>
            <wp:docPr id="16" name="Chart 16">
              <a:extLst xmlns:a="http://schemas.openxmlformats.org/drawingml/2006/main">
                <a:ext uri="{FF2B5EF4-FFF2-40B4-BE49-F238E27FC236}">
                  <a16:creationId xmlns:a16="http://schemas.microsoft.com/office/drawing/2014/main" id="{A88834E8-E5D3-40FB-BD1E-026B1FBADB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434108A" w14:textId="034EE1D1" w:rsidR="00670058" w:rsidRDefault="00670058" w:rsidP="00670058">
      <w:pPr>
        <w:rPr>
          <w:lang w:eastAsia="en-GB"/>
        </w:rPr>
      </w:pPr>
    </w:p>
    <w:p w14:paraId="7C97F4EF" w14:textId="715472E5" w:rsidR="00670058" w:rsidRDefault="00CC45BC" w:rsidP="00670058">
      <w:pPr>
        <w:rPr>
          <w:lang w:eastAsia="en-GB"/>
        </w:rPr>
      </w:pPr>
      <w:r>
        <w:rPr>
          <w:noProof/>
        </w:rPr>
        <w:drawing>
          <wp:inline distT="0" distB="0" distL="0" distR="0" wp14:anchorId="1DDCF571" wp14:editId="0C632A22">
            <wp:extent cx="5226050" cy="2959100"/>
            <wp:effectExtent l="0" t="0" r="12700" b="12700"/>
            <wp:docPr id="17" name="Chart 17">
              <a:extLst xmlns:a="http://schemas.openxmlformats.org/drawingml/2006/main">
                <a:ext uri="{FF2B5EF4-FFF2-40B4-BE49-F238E27FC236}">
                  <a16:creationId xmlns:a16="http://schemas.microsoft.com/office/drawing/2014/main" id="{0A672834-88EC-4AB0-B267-9918217DF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CAB9143" w14:textId="75264724" w:rsidR="00905C2C" w:rsidRDefault="00905C2C" w:rsidP="0084002B">
      <w:pPr>
        <w:pStyle w:val="Caption"/>
        <w:rPr>
          <w:lang w:eastAsia="en-GB"/>
        </w:rPr>
      </w:pPr>
      <w:r>
        <w:t xml:space="preserve">Figure </w:t>
      </w:r>
      <w:fldSimple w:instr=" SEQ Figure \* ARABIC ">
        <w:r w:rsidR="005E0451">
          <w:rPr>
            <w:noProof/>
          </w:rPr>
          <w:t>20</w:t>
        </w:r>
      </w:fldSimple>
      <w:r>
        <w:t>. Financial consequences of providing a registrar placement</w:t>
      </w:r>
    </w:p>
    <w:p w14:paraId="4FC8B181" w14:textId="697A42CE" w:rsidR="00CC45BC" w:rsidRDefault="00CC45BC" w:rsidP="00670058">
      <w:pPr>
        <w:rPr>
          <w:lang w:eastAsia="en-GB"/>
        </w:rPr>
      </w:pPr>
      <w:r>
        <w:rPr>
          <w:lang w:eastAsia="en-GB"/>
        </w:rPr>
        <w:t>As might be expected, the results for the VLCA practice with capped co-payment levels are much more likely to be negative.</w:t>
      </w:r>
      <w:r w:rsidR="00FE77F9">
        <w:rPr>
          <w:lang w:eastAsia="en-GB"/>
        </w:rPr>
        <w:t xml:space="preserve"> </w:t>
      </w:r>
      <w:r>
        <w:rPr>
          <w:lang w:eastAsia="en-GB"/>
        </w:rPr>
        <w:t xml:space="preserve">But when paying a registrar income even </w:t>
      </w:r>
      <w:r>
        <w:rPr>
          <w:lang w:eastAsia="en-GB"/>
        </w:rPr>
        <w:lastRenderedPageBreak/>
        <w:t>the typical practice can make a loss if consultation time is longer than about 20 minutes on average.</w:t>
      </w:r>
    </w:p>
    <w:p w14:paraId="4A60731B" w14:textId="374C0D92" w:rsidR="00F51A05" w:rsidRDefault="00F51A05" w:rsidP="00670058">
      <w:pPr>
        <w:rPr>
          <w:lang w:eastAsia="en-GB"/>
        </w:rPr>
      </w:pPr>
      <w:r>
        <w:rPr>
          <w:lang w:eastAsia="en-GB"/>
        </w:rPr>
        <w:t>The specifics of individual practice financial performance will vary substantially, and the context in which practices operate will be affected by many complex factors.</w:t>
      </w:r>
      <w:r w:rsidR="00FE77F9">
        <w:rPr>
          <w:lang w:eastAsia="en-GB"/>
        </w:rPr>
        <w:t xml:space="preserve"> </w:t>
      </w:r>
      <w:r>
        <w:rPr>
          <w:lang w:eastAsia="en-GB"/>
        </w:rPr>
        <w:t xml:space="preserve">The way that our assumptions apply to any one practice or trainee will </w:t>
      </w:r>
      <w:proofErr w:type="gramStart"/>
      <w:r>
        <w:rPr>
          <w:lang w:eastAsia="en-GB"/>
        </w:rPr>
        <w:t>vary, and</w:t>
      </w:r>
      <w:proofErr w:type="gramEnd"/>
      <w:r>
        <w:rPr>
          <w:lang w:eastAsia="en-GB"/>
        </w:rPr>
        <w:t xml:space="preserve"> will also vary as trainees develop their skills and experience.</w:t>
      </w:r>
      <w:r w:rsidR="00FE77F9">
        <w:rPr>
          <w:lang w:eastAsia="en-GB"/>
        </w:rPr>
        <w:t xml:space="preserve"> </w:t>
      </w:r>
      <w:r>
        <w:rPr>
          <w:lang w:eastAsia="en-GB"/>
        </w:rPr>
        <w:t xml:space="preserve">But our view from considering the model scenarios is that there are many circumstances in which practices will find that a trainee is a financial cost, and that this will apply particularly in practices serving high need populations with lower co-payment levels. </w:t>
      </w:r>
    </w:p>
    <w:p w14:paraId="458D71E5" w14:textId="27915C48" w:rsidR="00865821" w:rsidRPr="00CB5526" w:rsidRDefault="00865821" w:rsidP="00905C2C">
      <w:pPr>
        <w:pStyle w:val="MalaHeading1"/>
      </w:pPr>
      <w:bookmarkStart w:id="83" w:name="_Toc105853920"/>
      <w:r w:rsidRPr="00CB5526">
        <w:lastRenderedPageBreak/>
        <w:t xml:space="preserve">Equity and </w:t>
      </w:r>
      <w:proofErr w:type="spellStart"/>
      <w:r w:rsidRPr="00CB5526">
        <w:t>te</w:t>
      </w:r>
      <w:proofErr w:type="spellEnd"/>
      <w:r w:rsidRPr="00CB5526">
        <w:t xml:space="preserve"> Tiriti o Waitangi</w:t>
      </w:r>
      <w:bookmarkEnd w:id="83"/>
    </w:p>
    <w:tbl>
      <w:tblPr>
        <w:tblStyle w:val="MITableClassic"/>
        <w:tblW w:w="7797" w:type="dxa"/>
        <w:tblLook w:val="04A0" w:firstRow="1" w:lastRow="0" w:firstColumn="1" w:lastColumn="0" w:noHBand="0" w:noVBand="1"/>
      </w:tblPr>
      <w:tblGrid>
        <w:gridCol w:w="7797"/>
      </w:tblGrid>
      <w:tr w:rsidR="00B13692" w14:paraId="5714C75C" w14:textId="77777777" w:rsidTr="004F14C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797" w:type="dxa"/>
          </w:tcPr>
          <w:p w14:paraId="741EA7B5" w14:textId="77777777" w:rsidR="00B13692" w:rsidRDefault="00B13692" w:rsidP="004F14C2">
            <w:pPr>
              <w:keepNext w:val="0"/>
              <w:spacing w:before="0" w:after="0"/>
              <w:rPr>
                <w:lang w:eastAsia="en-GB"/>
              </w:rPr>
            </w:pPr>
            <w:r>
              <w:rPr>
                <w:lang w:eastAsia="en-GB"/>
              </w:rPr>
              <w:t>Key messages</w:t>
            </w:r>
          </w:p>
        </w:tc>
      </w:tr>
      <w:tr w:rsidR="00B13692" w14:paraId="1798CD5C" w14:textId="77777777" w:rsidTr="004F14C2">
        <w:trPr>
          <w:cantSplit w:val="0"/>
        </w:trPr>
        <w:tc>
          <w:tcPr>
            <w:cnfStyle w:val="001000000000" w:firstRow="0" w:lastRow="0" w:firstColumn="1" w:lastColumn="0" w:oddVBand="0" w:evenVBand="0" w:oddHBand="0" w:evenHBand="0" w:firstRowFirstColumn="0" w:firstRowLastColumn="0" w:lastRowFirstColumn="0" w:lastRowLastColumn="0"/>
            <w:tcW w:w="7797" w:type="dxa"/>
          </w:tcPr>
          <w:p w14:paraId="6758EDED" w14:textId="4E033E40" w:rsidR="00B13692" w:rsidRDefault="004F14C2" w:rsidP="004F14C2">
            <w:pPr>
              <w:keepNext w:val="0"/>
              <w:rPr>
                <w:lang w:eastAsia="en-GB"/>
              </w:rPr>
            </w:pPr>
            <w:r>
              <w:t>There are inequitable outcomes for Māori and Pacific people</w:t>
            </w:r>
            <w:r w:rsidR="00072E7D">
              <w:t>s</w:t>
            </w:r>
            <w:r>
              <w:t xml:space="preserve"> in the current health system. </w:t>
            </w:r>
            <w:r w:rsidR="00293109">
              <w:rPr>
                <w:lang w:eastAsia="en-GB"/>
              </w:rPr>
              <w:t>Inequity</w:t>
            </w:r>
            <w:r>
              <w:rPr>
                <w:lang w:eastAsia="en-GB"/>
              </w:rPr>
              <w:t xml:space="preserve"> of access to GPEP</w:t>
            </w:r>
            <w:r w:rsidR="00293109">
              <w:rPr>
                <w:lang w:eastAsia="en-GB"/>
              </w:rPr>
              <w:t xml:space="preserve"> </w:t>
            </w:r>
            <w:r w:rsidR="00043B15">
              <w:rPr>
                <w:lang w:eastAsia="en-GB"/>
              </w:rPr>
              <w:t>starts</w:t>
            </w:r>
            <w:r w:rsidR="00AB1F71">
              <w:rPr>
                <w:lang w:eastAsia="en-GB"/>
              </w:rPr>
              <w:t xml:space="preserve"> much earlier in education</w:t>
            </w:r>
            <w:r w:rsidR="003B5BC7">
              <w:rPr>
                <w:lang w:eastAsia="en-GB"/>
              </w:rPr>
              <w:t>. R</w:t>
            </w:r>
            <w:r w:rsidR="00F572CE">
              <w:rPr>
                <w:lang w:eastAsia="en-GB"/>
              </w:rPr>
              <w:t>angatahi Māori and Pacific young people are not supported to achieve the same rate of NCEA 3 passes as young people from other ethnic groups.</w:t>
            </w:r>
          </w:p>
          <w:p w14:paraId="0EE4808F" w14:textId="77777777" w:rsidR="00952850" w:rsidRDefault="00D138BF" w:rsidP="004F14C2">
            <w:pPr>
              <w:keepNext w:val="0"/>
              <w:rPr>
                <w:lang w:eastAsia="en-GB"/>
              </w:rPr>
            </w:pPr>
            <w:r>
              <w:rPr>
                <w:lang w:eastAsia="en-GB"/>
              </w:rPr>
              <w:t>Shortage of Māori and Pacific GPEP registrars highlights the need to provide the best possible support for those who do enter GPEP.</w:t>
            </w:r>
          </w:p>
          <w:p w14:paraId="2A6761A9" w14:textId="7D3FC7EC" w:rsidR="006C516C" w:rsidRDefault="004F14C2" w:rsidP="004F14C2">
            <w:pPr>
              <w:keepNext w:val="0"/>
            </w:pPr>
            <w:r>
              <w:t xml:space="preserve">A culturally competent GP workforce that includes more Māori and Pacific GPs will contribute to breaking down barriers for Māori and Pacific to access general practice and receive culturally safe healthcare. </w:t>
            </w:r>
            <w:r w:rsidR="006C516C">
              <w:rPr>
                <w:lang w:eastAsia="en-GB"/>
              </w:rPr>
              <w:t>While there is a cultural component to GPEP 1, there is no cultural safety education in GPEP 2.</w:t>
            </w:r>
          </w:p>
          <w:p w14:paraId="19F709E6" w14:textId="181B4E60" w:rsidR="00F00D63" w:rsidRDefault="00F00D63" w:rsidP="004F14C2">
            <w:pPr>
              <w:keepNext w:val="0"/>
              <w:rPr>
                <w:lang w:eastAsia="en-GB"/>
              </w:rPr>
            </w:pPr>
            <w:r>
              <w:rPr>
                <w:lang w:eastAsia="en-GB"/>
              </w:rPr>
              <w:t xml:space="preserve">Cultural safety for non-Māori </w:t>
            </w:r>
            <w:r w:rsidR="00001D46">
              <w:rPr>
                <w:lang w:eastAsia="en-GB"/>
              </w:rPr>
              <w:t xml:space="preserve">and non-Pacific </w:t>
            </w:r>
            <w:r>
              <w:rPr>
                <w:lang w:eastAsia="en-GB"/>
              </w:rPr>
              <w:t xml:space="preserve">registrars </w:t>
            </w:r>
            <w:r w:rsidR="003D78D9">
              <w:rPr>
                <w:lang w:eastAsia="en-GB"/>
              </w:rPr>
              <w:t xml:space="preserve">is enhanced by </w:t>
            </w:r>
            <w:r w:rsidR="00001D46">
              <w:rPr>
                <w:lang w:eastAsia="en-GB"/>
              </w:rPr>
              <w:t>training placements in practices with high proportions of Māori or Pacific patients</w:t>
            </w:r>
            <w:r w:rsidR="00E039C3">
              <w:rPr>
                <w:lang w:eastAsia="en-GB"/>
              </w:rPr>
              <w:t xml:space="preserve"> and by growing their understandings of Māori and Pacific models of care.</w:t>
            </w:r>
          </w:p>
          <w:p w14:paraId="45C03807" w14:textId="77777777" w:rsidR="00072E7D" w:rsidRDefault="006C516C" w:rsidP="004F14C2">
            <w:pPr>
              <w:keepNext w:val="0"/>
              <w:rPr>
                <w:lang w:eastAsia="en-GB"/>
              </w:rPr>
            </w:pPr>
            <w:r>
              <w:rPr>
                <w:lang w:eastAsia="en-GB"/>
              </w:rPr>
              <w:t xml:space="preserve">Māori and Pacific doctors are under-represented amongst in-practice GPEP 1 </w:t>
            </w:r>
            <w:proofErr w:type="gramStart"/>
            <w:r>
              <w:rPr>
                <w:lang w:eastAsia="en-GB"/>
              </w:rPr>
              <w:t>teachers</w:t>
            </w:r>
            <w:proofErr w:type="gramEnd"/>
            <w:r>
              <w:rPr>
                <w:lang w:eastAsia="en-GB"/>
              </w:rPr>
              <w:t xml:space="preserve">. In many districts, including those with a high proportion of Māori in the population, there are no Māori practices accredited as training practices. </w:t>
            </w:r>
          </w:p>
          <w:p w14:paraId="5330F0F5" w14:textId="17BCEC41" w:rsidR="00F00D63" w:rsidRDefault="006C516C" w:rsidP="004F14C2">
            <w:pPr>
              <w:keepNext w:val="0"/>
              <w:rPr>
                <w:lang w:eastAsia="en-GB"/>
              </w:rPr>
            </w:pPr>
            <w:r>
              <w:rPr>
                <w:lang w:eastAsia="en-GB"/>
              </w:rPr>
              <w:t xml:space="preserve">There are more likely to be financial barriers to being an accredited training practice for VCLA practices. </w:t>
            </w:r>
          </w:p>
        </w:tc>
      </w:tr>
      <w:tr w:rsidR="00B13692" w14:paraId="5BA211AE" w14:textId="77777777" w:rsidTr="004F14C2">
        <w:trPr>
          <w:cantSplit w:val="0"/>
        </w:trPr>
        <w:tc>
          <w:tcPr>
            <w:cnfStyle w:val="001000000000" w:firstRow="0" w:lastRow="0" w:firstColumn="1" w:lastColumn="0" w:oddVBand="0" w:evenVBand="0" w:oddHBand="0" w:evenHBand="0" w:firstRowFirstColumn="0" w:firstRowLastColumn="0" w:lastRowFirstColumn="0" w:lastRowLastColumn="0"/>
            <w:tcW w:w="7797" w:type="dxa"/>
          </w:tcPr>
          <w:p w14:paraId="5C0AFA8B" w14:textId="77777777" w:rsidR="00B13692" w:rsidRPr="0047079A" w:rsidRDefault="00B13692" w:rsidP="004F14C2">
            <w:pPr>
              <w:keepNext w:val="0"/>
              <w:rPr>
                <w:b/>
                <w:bCs/>
                <w:lang w:eastAsia="en-GB"/>
              </w:rPr>
            </w:pPr>
            <w:r w:rsidRPr="0047079A">
              <w:rPr>
                <w:b/>
                <w:bCs/>
                <w:lang w:eastAsia="en-GB"/>
              </w:rPr>
              <w:t>Opportunities:</w:t>
            </w:r>
          </w:p>
          <w:p w14:paraId="1DAE89A2" w14:textId="56517020" w:rsidR="00B13692" w:rsidRDefault="004F14C2" w:rsidP="004F14C2">
            <w:pPr>
              <w:keepNext w:val="0"/>
              <w:rPr>
                <w:lang w:eastAsia="en-GB"/>
              </w:rPr>
            </w:pPr>
            <w:r>
              <w:t xml:space="preserve">Mana </w:t>
            </w:r>
            <w:proofErr w:type="spellStart"/>
            <w:r>
              <w:t>Taurite</w:t>
            </w:r>
            <w:proofErr w:type="spellEnd"/>
            <w:r>
              <w:t xml:space="preserve"> (</w:t>
            </w:r>
            <w:r>
              <w:rPr>
                <w:lang w:eastAsia="en-NZ"/>
              </w:rPr>
              <w:t>Equity</w:t>
            </w:r>
            <w:r>
              <w:t>)</w:t>
            </w:r>
            <w:r>
              <w:rPr>
                <w:lang w:eastAsia="en-NZ"/>
              </w:rPr>
              <w:t xml:space="preserve"> must be reflected in the GPEP funding model, the employment model, support for registrars and in enabling opportunities for placements with kaupapa Māori providers</w:t>
            </w:r>
            <w:r w:rsidRPr="00D33949">
              <w:rPr>
                <w:vertAlign w:val="superscript"/>
                <w:lang w:eastAsia="en-NZ"/>
              </w:rPr>
              <w:footnoteReference w:id="30"/>
            </w:r>
            <w:r>
              <w:rPr>
                <w:lang w:eastAsia="en-NZ"/>
              </w:rPr>
              <w:t xml:space="preserve"> for all registrars.</w:t>
            </w:r>
            <w:r w:rsidRPr="00D33949">
              <w:t xml:space="preserve"> </w:t>
            </w:r>
          </w:p>
          <w:p w14:paraId="1B182058" w14:textId="77777777" w:rsidR="00124133" w:rsidRDefault="00124133" w:rsidP="00124133">
            <w:r w:rsidRPr="009A009B">
              <w:t>Tino Rangatiratanga</w:t>
            </w:r>
            <w:r>
              <w:t xml:space="preserve"> and </w:t>
            </w:r>
            <w:proofErr w:type="spellStart"/>
            <w:r>
              <w:t>P</w:t>
            </w:r>
            <w:r w:rsidRPr="00D33949">
              <w:t>ā</w:t>
            </w:r>
            <w:r>
              <w:t>tuitanga</w:t>
            </w:r>
            <w:proofErr w:type="spellEnd"/>
            <w:r>
              <w:t xml:space="preserve"> (Partnerships) between health sector organisations and Māori are a Te Tiriti obligation and change will not be achieved without partnerships at national and regional levels.</w:t>
            </w:r>
            <w:r w:rsidRPr="00CC1E62">
              <w:rPr>
                <w:rFonts w:cs="Calibri"/>
                <w:lang w:eastAsia="en-GB"/>
              </w:rPr>
              <w:t xml:space="preserve"> Partnerships with mana whenua </w:t>
            </w:r>
            <w:r>
              <w:rPr>
                <w:rFonts w:cs="Calibri"/>
                <w:lang w:eastAsia="en-GB"/>
              </w:rPr>
              <w:t>can</w:t>
            </w:r>
            <w:r w:rsidRPr="00CC1E62">
              <w:rPr>
                <w:rFonts w:cs="Calibri"/>
                <w:lang w:eastAsia="en-GB"/>
              </w:rPr>
              <w:t xml:space="preserve"> strengthen registrar and teachers’ cultural understandings and experiences. A </w:t>
            </w:r>
            <w:r w:rsidRPr="00CC1E62">
              <w:rPr>
                <w:rStyle w:val="cf01"/>
                <w:rFonts w:ascii="Calibri" w:hAnsi="Calibri" w:cs="Calibri"/>
                <w:sz w:val="22"/>
                <w:szCs w:val="22"/>
              </w:rPr>
              <w:t xml:space="preserve">mana whenua approach will enable a localised response or enable registrars to care for patients in a way that considers the community and context </w:t>
            </w:r>
            <w:r w:rsidRPr="00CC1E62">
              <w:rPr>
                <w:rStyle w:val="cf01"/>
                <w:rFonts w:ascii="Calibri" w:hAnsi="Calibri" w:cs="Calibri"/>
                <w:sz w:val="22"/>
                <w:szCs w:val="22"/>
              </w:rPr>
              <w:lastRenderedPageBreak/>
              <w:t>wh</w:t>
            </w:r>
            <w:r>
              <w:rPr>
                <w:rStyle w:val="cf01"/>
                <w:rFonts w:ascii="Calibri" w:hAnsi="Calibri" w:cs="Calibri"/>
                <w:sz w:val="22"/>
                <w:szCs w:val="22"/>
              </w:rPr>
              <w:t>ā</w:t>
            </w:r>
            <w:r w:rsidRPr="00CC1E62">
              <w:rPr>
                <w:rStyle w:val="cf01"/>
                <w:rFonts w:ascii="Calibri" w:hAnsi="Calibri" w:cs="Calibri"/>
                <w:sz w:val="22"/>
                <w:szCs w:val="22"/>
              </w:rPr>
              <w:t>nau live in</w:t>
            </w:r>
            <w:r>
              <w:rPr>
                <w:rStyle w:val="cf01"/>
                <w:rFonts w:ascii="Calibri" w:hAnsi="Calibri" w:cs="Calibri"/>
                <w:sz w:val="22"/>
                <w:szCs w:val="22"/>
              </w:rPr>
              <w:t xml:space="preserve">. </w:t>
            </w:r>
            <w:r w:rsidRPr="00CC1E62">
              <w:rPr>
                <w:rFonts w:cs="Calibri"/>
                <w:lang w:eastAsia="en-GB"/>
              </w:rPr>
              <w:t>The cultural component of GPEP training can sit alongside the clinical training.</w:t>
            </w:r>
          </w:p>
          <w:p w14:paraId="2B540C5F" w14:textId="35447A53" w:rsidR="002038B3" w:rsidRPr="00CC1E62" w:rsidRDefault="006C516C" w:rsidP="004F14C2">
            <w:pPr>
              <w:keepNext w:val="0"/>
              <w:rPr>
                <w:rFonts w:cs="Calibri"/>
                <w:lang w:eastAsia="en-GB"/>
              </w:rPr>
            </w:pPr>
            <w:proofErr w:type="spellStart"/>
            <w:r>
              <w:t>K</w:t>
            </w:r>
            <w:r w:rsidRPr="00835C5B">
              <w:rPr>
                <w:rFonts w:cs="Calibri"/>
              </w:rPr>
              <w:t>ō</w:t>
            </w:r>
            <w:r>
              <w:t>whiringa</w:t>
            </w:r>
            <w:proofErr w:type="spellEnd"/>
            <w:r>
              <w:t xml:space="preserve"> includes resourcing Māori and Pacific general practices to become accredited teaching practices and supporting more Māori and Pacific GPs to be involved in teaching e</w:t>
            </w:r>
            <w:r w:rsidR="004718AF" w:rsidRPr="00CC1E62">
              <w:rPr>
                <w:rFonts w:cs="Calibri"/>
                <w:lang w:eastAsia="en-GB"/>
              </w:rPr>
              <w:t>ven if they have not achieved College fellowship.</w:t>
            </w:r>
            <w:r>
              <w:rPr>
                <w:lang w:eastAsia="en-GB"/>
              </w:rPr>
              <w:t xml:space="preserve"> </w:t>
            </w:r>
            <w:proofErr w:type="spellStart"/>
            <w:r>
              <w:rPr>
                <w:lang w:eastAsia="en-GB"/>
              </w:rPr>
              <w:t>K</w:t>
            </w:r>
            <w:r w:rsidR="00124133">
              <w:rPr>
                <w:rFonts w:cs="Calibri"/>
                <w:lang w:eastAsia="en-GB"/>
              </w:rPr>
              <w:t>ō</w:t>
            </w:r>
            <w:r>
              <w:rPr>
                <w:lang w:eastAsia="en-GB"/>
              </w:rPr>
              <w:t>whiringa</w:t>
            </w:r>
            <w:proofErr w:type="spellEnd"/>
            <w:r>
              <w:rPr>
                <w:lang w:eastAsia="en-GB"/>
              </w:rPr>
              <w:t xml:space="preserve"> requires examining the criteria for practice accreditation and consulting with Māori practices to understand the barriers to becoming accredited practices and developing strategies to remove barriers.</w:t>
            </w:r>
          </w:p>
          <w:p w14:paraId="2C3A8236" w14:textId="6E64405E" w:rsidR="004718AF" w:rsidRDefault="006C516C" w:rsidP="006C516C">
            <w:proofErr w:type="spellStart"/>
            <w:r>
              <w:t>Whakamarumarutia</w:t>
            </w:r>
            <w:proofErr w:type="spellEnd"/>
            <w:r>
              <w:t xml:space="preserve"> (</w:t>
            </w:r>
            <w:r w:rsidR="00072E7D">
              <w:t>A</w:t>
            </w:r>
            <w:r>
              <w:t xml:space="preserve">ctive </w:t>
            </w:r>
            <w:r w:rsidR="00072E7D">
              <w:t>P</w:t>
            </w:r>
            <w:r>
              <w:t>rotection) requires ongoing monitoring and evaluation of strategies put in place to respond to the review.</w:t>
            </w:r>
          </w:p>
        </w:tc>
      </w:tr>
    </w:tbl>
    <w:p w14:paraId="550F5B5E" w14:textId="20A22ABE" w:rsidR="009665B8" w:rsidRDefault="00BD43A0" w:rsidP="00A16840">
      <w:pPr>
        <w:pStyle w:val="Heading2"/>
      </w:pPr>
      <w:bookmarkStart w:id="84" w:name="_Toc105853921"/>
      <w:r>
        <w:t>Increasing the number of Māori and Pacific registrars</w:t>
      </w:r>
      <w:bookmarkEnd w:id="84"/>
    </w:p>
    <w:p w14:paraId="6A7A72BF" w14:textId="1C6FCC03" w:rsidR="00EA5D7B" w:rsidRDefault="0065243A" w:rsidP="00836CD4">
      <w:r>
        <w:t>Although the pipeline to G</w:t>
      </w:r>
      <w:r w:rsidR="00AF3AA2">
        <w:t xml:space="preserve">PEP entry is out of scope for the review, it provides important context </w:t>
      </w:r>
      <w:r w:rsidR="00780455">
        <w:t xml:space="preserve">when considering the extent </w:t>
      </w:r>
      <w:r w:rsidR="00D334C0">
        <w:t>Manat</w:t>
      </w:r>
      <w:r w:rsidR="00D334C0">
        <w:rPr>
          <w:rFonts w:cs="Calibri"/>
        </w:rPr>
        <w:t>ū</w:t>
      </w:r>
      <w:r w:rsidR="00D334C0">
        <w:t xml:space="preserve"> Hauora</w:t>
      </w:r>
      <w:r w:rsidR="00EB37ED">
        <w:t xml:space="preserve"> is meeting their </w:t>
      </w:r>
      <w:r w:rsidR="0058219E">
        <w:t>Te Tiri</w:t>
      </w:r>
      <w:r w:rsidR="00EA5D7B">
        <w:t>ti obligations.</w:t>
      </w:r>
    </w:p>
    <w:p w14:paraId="25145A90" w14:textId="14E89F0C" w:rsidR="00836CD4" w:rsidRDefault="00EA5D7B" w:rsidP="00836CD4">
      <w:r>
        <w:t>Rangatahi Māori and Pacific young people are dis</w:t>
      </w:r>
      <w:r w:rsidR="00647C8E">
        <w:t xml:space="preserve">advantaged </w:t>
      </w:r>
      <w:r w:rsidR="00DC4F09">
        <w:t>within</w:t>
      </w:r>
      <w:r w:rsidR="00647C8E">
        <w:t xml:space="preserve"> Aotearoa New Zealand’s education system</w:t>
      </w:r>
      <w:r w:rsidR="00DC4F09">
        <w:t xml:space="preserve">. </w:t>
      </w:r>
      <w:r w:rsidR="00054D39">
        <w:t xml:space="preserve">The National Certificate of Educational Achievement Level 3 (NCEA Level 3) is the final stage of senior secondary education and serves as a foundation for further study and/or employment. </w:t>
      </w:r>
      <w:r w:rsidR="00A0214A">
        <w:rPr>
          <w:lang w:eastAsia="en-GB"/>
        </w:rPr>
        <w:t>R</w:t>
      </w:r>
      <w:r w:rsidR="005F12A5">
        <w:rPr>
          <w:lang w:eastAsia="en-GB"/>
        </w:rPr>
        <w:t xml:space="preserve">angatahi Māori </w:t>
      </w:r>
      <w:r w:rsidR="001C63F1">
        <w:rPr>
          <w:lang w:eastAsia="en-GB"/>
        </w:rPr>
        <w:t>and Pacific young people</w:t>
      </w:r>
      <w:r w:rsidR="00A0214A">
        <w:rPr>
          <w:lang w:eastAsia="en-GB"/>
        </w:rPr>
        <w:t xml:space="preserve"> are not supported</w:t>
      </w:r>
      <w:r w:rsidR="001C63F1">
        <w:rPr>
          <w:lang w:eastAsia="en-GB"/>
        </w:rPr>
        <w:t xml:space="preserve"> to achieve the same rate of NCEA 3 passes as young people from other ethnic groups. </w:t>
      </w:r>
      <w:r w:rsidR="00836CD4">
        <w:t xml:space="preserve">In 2020, </w:t>
      </w:r>
      <w:r w:rsidR="005C50D7">
        <w:t xml:space="preserve">40.3% of Māori school leavers and 55.8% of Pacific school leavers attained NCEA Level 3 or UE standard compared to </w:t>
      </w:r>
      <w:r w:rsidR="00863237">
        <w:t>81.3% of</w:t>
      </w:r>
      <w:r w:rsidR="005C50D7">
        <w:t xml:space="preserve"> Asian school leavers </w:t>
      </w:r>
      <w:r w:rsidR="00863237">
        <w:t>and 60.4%</w:t>
      </w:r>
      <w:r w:rsidR="005C50D7">
        <w:t xml:space="preserve"> </w:t>
      </w:r>
      <w:r w:rsidR="003212A9">
        <w:t xml:space="preserve">of </w:t>
      </w:r>
      <w:r w:rsidR="005C50D7">
        <w:t>European/</w:t>
      </w:r>
      <w:proofErr w:type="spellStart"/>
      <w:r w:rsidR="005C50D7">
        <w:t>Pākehā</w:t>
      </w:r>
      <w:proofErr w:type="spellEnd"/>
      <w:r w:rsidR="003212A9">
        <w:t xml:space="preserve"> school leavers</w:t>
      </w:r>
      <w:r w:rsidR="00BC6A87">
        <w:rPr>
          <w:rStyle w:val="FootnoteReference"/>
        </w:rPr>
        <w:footnoteReference w:id="31"/>
      </w:r>
      <w:r w:rsidR="003212A9">
        <w:t>.</w:t>
      </w:r>
      <w:r w:rsidR="00C127E6">
        <w:t xml:space="preserve"> In 2012 data, Māori achievement rates in sciences were substantially lower than non-</w:t>
      </w:r>
      <w:r w:rsidR="004F68F5">
        <w:t>Māori</w:t>
      </w:r>
      <w:r w:rsidR="004F68F5">
        <w:rPr>
          <w:rStyle w:val="FootnoteReference"/>
        </w:rPr>
        <w:footnoteReference w:id="32"/>
      </w:r>
      <w:r w:rsidR="004F68F5">
        <w:t>.</w:t>
      </w:r>
    </w:p>
    <w:p w14:paraId="4AA68ECA" w14:textId="671A7758" w:rsidR="007A0853" w:rsidRPr="00CB5526" w:rsidRDefault="007A0853" w:rsidP="00DA28FE">
      <w:pPr>
        <w:rPr>
          <w:lang w:eastAsia="en-GB"/>
        </w:rPr>
      </w:pPr>
      <w:r w:rsidRPr="00CB5526">
        <w:rPr>
          <w:lang w:eastAsia="en-GB"/>
        </w:rPr>
        <w:t xml:space="preserve">Medical School entry </w:t>
      </w:r>
      <w:r>
        <w:rPr>
          <w:lang w:eastAsia="en-GB"/>
        </w:rPr>
        <w:t xml:space="preserve">has </w:t>
      </w:r>
      <w:r w:rsidR="001F4C64">
        <w:rPr>
          <w:lang w:eastAsia="en-GB"/>
        </w:rPr>
        <w:t>been addressing</w:t>
      </w:r>
      <w:r w:rsidRPr="00CB5526">
        <w:rPr>
          <w:lang w:eastAsia="en-GB"/>
        </w:rPr>
        <w:t xml:space="preserve"> equity through intakes of Māori and Pacific applicants and those from rural areas who may be more inclined to return to the localities they whakapapa to.</w:t>
      </w:r>
      <w:r w:rsidR="001F4C64">
        <w:rPr>
          <w:lang w:eastAsia="en-GB"/>
        </w:rPr>
        <w:t xml:space="preserve"> </w:t>
      </w:r>
    </w:p>
    <w:p w14:paraId="0B25DEC5" w14:textId="5FB54F95" w:rsidR="00865821" w:rsidRDefault="004502B4" w:rsidP="00AA2B74">
      <w:pPr>
        <w:pStyle w:val="Quotes"/>
        <w:rPr>
          <w:lang w:eastAsia="en-GB"/>
        </w:rPr>
      </w:pPr>
      <w:r w:rsidRPr="00CB5526">
        <w:rPr>
          <w:lang w:eastAsia="en-GB"/>
        </w:rPr>
        <w:t>I think the focus of this should be on recruiting more Māori or Pacific doctors. A N</w:t>
      </w:r>
      <w:r w:rsidR="00DC2979">
        <w:rPr>
          <w:lang w:eastAsia="en-GB"/>
        </w:rPr>
        <w:t xml:space="preserve">ew </w:t>
      </w:r>
      <w:r w:rsidRPr="00CB5526">
        <w:rPr>
          <w:lang w:eastAsia="en-GB"/>
        </w:rPr>
        <w:t>Z</w:t>
      </w:r>
      <w:r w:rsidR="00930716">
        <w:rPr>
          <w:lang w:eastAsia="en-GB"/>
        </w:rPr>
        <w:t>ealand</w:t>
      </w:r>
      <w:r w:rsidR="00A03673">
        <w:rPr>
          <w:lang w:eastAsia="en-GB"/>
        </w:rPr>
        <w:t xml:space="preserve"> </w:t>
      </w:r>
      <w:r w:rsidRPr="00CB5526">
        <w:rPr>
          <w:lang w:eastAsia="en-GB"/>
        </w:rPr>
        <w:t>E</w:t>
      </w:r>
      <w:r w:rsidR="00A03673">
        <w:rPr>
          <w:lang w:eastAsia="en-GB"/>
        </w:rPr>
        <w:t xml:space="preserve">uropean </w:t>
      </w:r>
      <w:r w:rsidRPr="00CB5526">
        <w:rPr>
          <w:lang w:eastAsia="en-GB"/>
        </w:rPr>
        <w:t>doctor with good cultural competence still seems to be less effective for Māori patients than a Māori doctor regardless of their degree of cultural competence. (Registrar, survey data)</w:t>
      </w:r>
    </w:p>
    <w:p w14:paraId="18A596CC" w14:textId="5E21F5F6" w:rsidR="001F4C64" w:rsidRPr="00CB5526" w:rsidRDefault="001F4C64" w:rsidP="001F4C64">
      <w:pPr>
        <w:rPr>
          <w:lang w:eastAsia="en-GB"/>
        </w:rPr>
      </w:pPr>
      <w:r>
        <w:rPr>
          <w:lang w:eastAsia="en-GB"/>
        </w:rPr>
        <w:lastRenderedPageBreak/>
        <w:t xml:space="preserve">It is important to </w:t>
      </w:r>
      <w:r w:rsidR="008867F6">
        <w:rPr>
          <w:lang w:eastAsia="en-GB"/>
        </w:rPr>
        <w:t xml:space="preserve">develop strategies that focus on attracting the Māori and Pacific doctors leaving Medical School to </w:t>
      </w:r>
      <w:r w:rsidR="00E156FC">
        <w:rPr>
          <w:lang w:eastAsia="en-GB"/>
        </w:rPr>
        <w:t>GPEP training.</w:t>
      </w:r>
      <w:r w:rsidR="00A706A3">
        <w:rPr>
          <w:lang w:eastAsia="en-GB"/>
        </w:rPr>
        <w:t xml:space="preserve"> Development of these strategies </w:t>
      </w:r>
      <w:r w:rsidR="006A2C84">
        <w:rPr>
          <w:lang w:eastAsia="en-GB"/>
        </w:rPr>
        <w:t>is</w:t>
      </w:r>
      <w:r w:rsidR="00A706A3">
        <w:rPr>
          <w:lang w:eastAsia="en-GB"/>
        </w:rPr>
        <w:t xml:space="preserve"> an opportunity </w:t>
      </w:r>
      <w:r w:rsidR="00DC4196">
        <w:rPr>
          <w:lang w:eastAsia="en-GB"/>
        </w:rPr>
        <w:t>as part of GPEP funding.</w:t>
      </w:r>
    </w:p>
    <w:p w14:paraId="7C5D7EE5" w14:textId="4E63C09C" w:rsidR="00825265" w:rsidRPr="00AD26F4" w:rsidRDefault="002456A3" w:rsidP="00A16840">
      <w:pPr>
        <w:pStyle w:val="Heading2"/>
      </w:pPr>
      <w:bookmarkStart w:id="85" w:name="_Toc105853922"/>
      <w:r w:rsidRPr="00CB5526">
        <w:t>Support</w:t>
      </w:r>
      <w:r w:rsidR="00BD43A0">
        <w:t xml:space="preserve">ing </w:t>
      </w:r>
      <w:r w:rsidRPr="00CB5526">
        <w:t>M</w:t>
      </w:r>
      <w:r w:rsidR="003047C8" w:rsidRPr="00A16840">
        <w:rPr>
          <w:rFonts w:cs="Calibri"/>
        </w:rPr>
        <w:t>ā</w:t>
      </w:r>
      <w:r w:rsidRPr="00CB5526">
        <w:t>ori and Pacific registrars</w:t>
      </w:r>
      <w:bookmarkEnd w:id="85"/>
    </w:p>
    <w:p w14:paraId="3FD16E80" w14:textId="085013D7" w:rsidR="00BD43A0" w:rsidRPr="00C73BB6" w:rsidRDefault="00BD43A0" w:rsidP="002456A3">
      <w:pPr>
        <w:rPr>
          <w:rFonts w:cs="Calibri"/>
          <w:lang w:eastAsia="en-GB"/>
        </w:rPr>
      </w:pPr>
      <w:r w:rsidRPr="00C73BB6">
        <w:rPr>
          <w:rFonts w:cs="Calibri"/>
          <w:lang w:eastAsia="en-GB"/>
        </w:rPr>
        <w:t xml:space="preserve">Interview participants discussed the importance of providing wrap around support for Māori registrars as they are often isolated in practices. Māori participants discussed the importance of wānanga, networks and communication to provide added layers of support. </w:t>
      </w:r>
      <w:r w:rsidR="00FE77F9">
        <w:rPr>
          <w:rFonts w:cs="Calibri"/>
          <w:lang w:eastAsia="en-GB"/>
        </w:rPr>
        <w:t xml:space="preserve">Excluding Māori in-practice </w:t>
      </w:r>
      <w:proofErr w:type="gramStart"/>
      <w:r w:rsidR="00FE77F9">
        <w:rPr>
          <w:rFonts w:cs="Calibri"/>
          <w:lang w:eastAsia="en-GB"/>
        </w:rPr>
        <w:t xml:space="preserve">teachers, </w:t>
      </w:r>
      <w:r w:rsidR="00654CD9" w:rsidRPr="00C73BB6">
        <w:rPr>
          <w:rStyle w:val="cf01"/>
          <w:rFonts w:ascii="Calibri" w:hAnsi="Calibri" w:cs="Calibri"/>
          <w:sz w:val="22"/>
          <w:szCs w:val="22"/>
        </w:rPr>
        <w:t xml:space="preserve"> paid</w:t>
      </w:r>
      <w:proofErr w:type="gramEnd"/>
      <w:r w:rsidR="00654CD9" w:rsidRPr="00C73BB6">
        <w:rPr>
          <w:rStyle w:val="cf01"/>
          <w:rFonts w:ascii="Calibri" w:hAnsi="Calibri" w:cs="Calibri"/>
          <w:sz w:val="22"/>
          <w:szCs w:val="22"/>
        </w:rPr>
        <w:t xml:space="preserve"> Māori positions comp</w:t>
      </w:r>
      <w:r w:rsidR="00DB0BD1" w:rsidRPr="00C73BB6">
        <w:rPr>
          <w:rStyle w:val="cf01"/>
          <w:rFonts w:ascii="Calibri" w:hAnsi="Calibri" w:cs="Calibri"/>
          <w:sz w:val="22"/>
          <w:szCs w:val="22"/>
        </w:rPr>
        <w:t>ris</w:t>
      </w:r>
      <w:r w:rsidR="007F2C5B">
        <w:rPr>
          <w:rStyle w:val="cf01"/>
          <w:rFonts w:ascii="Calibri" w:hAnsi="Calibri" w:cs="Calibri"/>
          <w:sz w:val="22"/>
          <w:szCs w:val="22"/>
        </w:rPr>
        <w:t xml:space="preserve">e one lead </w:t>
      </w:r>
      <w:r w:rsidR="004452BC">
        <w:rPr>
          <w:rStyle w:val="cf01"/>
          <w:rFonts w:ascii="Calibri" w:hAnsi="Calibri" w:cs="Calibri"/>
          <w:sz w:val="22"/>
          <w:szCs w:val="22"/>
        </w:rPr>
        <w:t>medical educator</w:t>
      </w:r>
      <w:r w:rsidR="00654CD9" w:rsidRPr="00C73BB6">
        <w:rPr>
          <w:rStyle w:val="cf01"/>
          <w:rFonts w:ascii="Calibri" w:hAnsi="Calibri" w:cs="Calibri"/>
          <w:sz w:val="22"/>
          <w:szCs w:val="22"/>
        </w:rPr>
        <w:t xml:space="preserve">, </w:t>
      </w:r>
      <w:r w:rsidR="007904B6">
        <w:rPr>
          <w:rStyle w:val="cf01"/>
          <w:rFonts w:ascii="Calibri" w:hAnsi="Calibri" w:cs="Calibri"/>
          <w:sz w:val="22"/>
          <w:szCs w:val="22"/>
        </w:rPr>
        <w:t xml:space="preserve">six facilitating medical educators, </w:t>
      </w:r>
      <w:r w:rsidR="00C73BB6" w:rsidRPr="00C73BB6">
        <w:rPr>
          <w:rStyle w:val="cf01"/>
          <w:rFonts w:ascii="Calibri" w:hAnsi="Calibri" w:cs="Calibri"/>
          <w:sz w:val="22"/>
          <w:szCs w:val="22"/>
        </w:rPr>
        <w:t>one</w:t>
      </w:r>
      <w:r w:rsidR="00654CD9" w:rsidRPr="00C73BB6">
        <w:rPr>
          <w:rStyle w:val="cf01"/>
          <w:rFonts w:ascii="Calibri" w:hAnsi="Calibri" w:cs="Calibri"/>
          <w:sz w:val="22"/>
          <w:szCs w:val="22"/>
        </w:rPr>
        <w:t xml:space="preserve"> </w:t>
      </w:r>
      <w:r w:rsidR="00C73BB6" w:rsidRPr="00C73BB6">
        <w:rPr>
          <w:rStyle w:val="cf01"/>
          <w:rFonts w:ascii="Calibri" w:hAnsi="Calibri" w:cs="Calibri"/>
          <w:sz w:val="22"/>
          <w:szCs w:val="22"/>
        </w:rPr>
        <w:t>clinical</w:t>
      </w:r>
      <w:r w:rsidR="00654CD9" w:rsidRPr="00C73BB6">
        <w:rPr>
          <w:rStyle w:val="cf01"/>
          <w:rFonts w:ascii="Calibri" w:hAnsi="Calibri" w:cs="Calibri"/>
          <w:sz w:val="22"/>
          <w:szCs w:val="22"/>
        </w:rPr>
        <w:t xml:space="preserve"> lead and </w:t>
      </w:r>
      <w:r w:rsidR="00C73BB6" w:rsidRPr="00C73BB6">
        <w:rPr>
          <w:rStyle w:val="cf01"/>
          <w:rFonts w:ascii="Calibri" w:hAnsi="Calibri" w:cs="Calibri"/>
          <w:sz w:val="22"/>
          <w:szCs w:val="22"/>
        </w:rPr>
        <w:t>one</w:t>
      </w:r>
      <w:r w:rsidR="00C73BB6">
        <w:rPr>
          <w:rStyle w:val="cf01"/>
          <w:rFonts w:ascii="Calibri" w:hAnsi="Calibri" w:cs="Calibri"/>
          <w:sz w:val="22"/>
          <w:szCs w:val="22"/>
        </w:rPr>
        <w:t xml:space="preserve"> </w:t>
      </w:r>
      <w:proofErr w:type="spellStart"/>
      <w:r w:rsidR="00654CD9" w:rsidRPr="00C73BB6">
        <w:rPr>
          <w:rStyle w:val="cf01"/>
          <w:rFonts w:ascii="Calibri" w:hAnsi="Calibri" w:cs="Calibri"/>
          <w:sz w:val="22"/>
          <w:szCs w:val="22"/>
        </w:rPr>
        <w:t>pou</w:t>
      </w:r>
      <w:proofErr w:type="spellEnd"/>
      <w:r w:rsidR="00654CD9" w:rsidRPr="00C73BB6">
        <w:rPr>
          <w:rStyle w:val="cf01"/>
          <w:rFonts w:ascii="Calibri" w:hAnsi="Calibri" w:cs="Calibri"/>
          <w:sz w:val="22"/>
          <w:szCs w:val="22"/>
        </w:rPr>
        <w:t xml:space="preserve"> </w:t>
      </w:r>
      <w:proofErr w:type="spellStart"/>
      <w:r w:rsidR="00654CD9" w:rsidRPr="00C73BB6">
        <w:rPr>
          <w:rStyle w:val="cf01"/>
          <w:rFonts w:ascii="Calibri" w:hAnsi="Calibri" w:cs="Calibri"/>
          <w:sz w:val="22"/>
          <w:szCs w:val="22"/>
        </w:rPr>
        <w:t>whirinaki</w:t>
      </w:r>
      <w:proofErr w:type="spellEnd"/>
      <w:r w:rsidR="00654CD9" w:rsidRPr="00C73BB6">
        <w:rPr>
          <w:rStyle w:val="cf01"/>
          <w:rFonts w:ascii="Calibri" w:hAnsi="Calibri" w:cs="Calibri"/>
          <w:sz w:val="22"/>
          <w:szCs w:val="22"/>
        </w:rPr>
        <w:t xml:space="preserve"> to support registrars. </w:t>
      </w:r>
      <w:r w:rsidR="00C73BB6" w:rsidRPr="00C73BB6">
        <w:rPr>
          <w:rStyle w:val="cf01"/>
          <w:rFonts w:ascii="Calibri" w:hAnsi="Calibri" w:cs="Calibri"/>
          <w:sz w:val="22"/>
          <w:szCs w:val="22"/>
        </w:rPr>
        <w:t xml:space="preserve">The </w:t>
      </w:r>
      <w:r w:rsidR="00654CD9" w:rsidRPr="00C73BB6">
        <w:rPr>
          <w:rStyle w:val="cf01"/>
          <w:rFonts w:ascii="Calibri" w:hAnsi="Calibri" w:cs="Calibri"/>
          <w:sz w:val="22"/>
          <w:szCs w:val="22"/>
        </w:rPr>
        <w:t xml:space="preserve">medical educators </w:t>
      </w:r>
      <w:r w:rsidR="00C73BB6" w:rsidRPr="00C73BB6">
        <w:rPr>
          <w:rStyle w:val="cf01"/>
          <w:rFonts w:ascii="Calibri" w:hAnsi="Calibri" w:cs="Calibri"/>
          <w:sz w:val="22"/>
          <w:szCs w:val="22"/>
        </w:rPr>
        <w:t>have responsibilities to all registrars in their re</w:t>
      </w:r>
      <w:r w:rsidR="00654CD9" w:rsidRPr="00C73BB6">
        <w:rPr>
          <w:rStyle w:val="cf01"/>
          <w:rFonts w:ascii="Calibri" w:hAnsi="Calibri" w:cs="Calibri"/>
          <w:sz w:val="22"/>
          <w:szCs w:val="22"/>
        </w:rPr>
        <w:t>gions</w:t>
      </w:r>
      <w:r w:rsidR="00C73BB6" w:rsidRPr="00C73BB6">
        <w:rPr>
          <w:rStyle w:val="cf01"/>
          <w:rFonts w:ascii="Calibri" w:hAnsi="Calibri" w:cs="Calibri"/>
          <w:sz w:val="22"/>
          <w:szCs w:val="22"/>
        </w:rPr>
        <w:t>.</w:t>
      </w:r>
    </w:p>
    <w:p w14:paraId="056A4198" w14:textId="1D87EDF1" w:rsidR="00916DFE" w:rsidRDefault="007904B6" w:rsidP="002456A3">
      <w:pPr>
        <w:rPr>
          <w:lang w:eastAsia="en-GB"/>
        </w:rPr>
      </w:pPr>
      <w:r>
        <w:rPr>
          <w:lang w:eastAsia="en-GB"/>
        </w:rPr>
        <w:t>Support is</w:t>
      </w:r>
      <w:r w:rsidR="007E77E6">
        <w:rPr>
          <w:lang w:eastAsia="en-GB"/>
        </w:rPr>
        <w:t xml:space="preserve"> provided to Māori registrars </w:t>
      </w:r>
      <w:r w:rsidR="008D1F8B">
        <w:rPr>
          <w:lang w:eastAsia="en-GB"/>
        </w:rPr>
        <w:t>through</w:t>
      </w:r>
      <w:r w:rsidR="00640A92">
        <w:rPr>
          <w:lang w:eastAsia="en-GB"/>
        </w:rPr>
        <w:t>:</w:t>
      </w:r>
    </w:p>
    <w:p w14:paraId="4171A1EA" w14:textId="77777777" w:rsidR="004452BC" w:rsidRDefault="004452BC" w:rsidP="004452BC">
      <w:pPr>
        <w:numPr>
          <w:ilvl w:val="0"/>
          <w:numId w:val="15"/>
        </w:numPr>
        <w:rPr>
          <w:lang w:eastAsia="en-GB"/>
        </w:rPr>
      </w:pPr>
      <w:r>
        <w:rPr>
          <w:lang w:eastAsia="en-GB"/>
        </w:rPr>
        <w:t xml:space="preserve">The </w:t>
      </w:r>
      <w:proofErr w:type="spellStart"/>
      <w:r>
        <w:rPr>
          <w:lang w:eastAsia="en-GB"/>
        </w:rPr>
        <w:t>Pou</w:t>
      </w:r>
      <w:proofErr w:type="spellEnd"/>
      <w:r>
        <w:rPr>
          <w:lang w:eastAsia="en-GB"/>
        </w:rPr>
        <w:t xml:space="preserve"> </w:t>
      </w:r>
      <w:proofErr w:type="spellStart"/>
      <w:r>
        <w:rPr>
          <w:lang w:eastAsia="en-GB"/>
        </w:rPr>
        <w:t>Whirinaki</w:t>
      </w:r>
      <w:proofErr w:type="spellEnd"/>
      <w:r>
        <w:rPr>
          <w:lang w:eastAsia="en-GB"/>
        </w:rPr>
        <w:t xml:space="preserve"> role, who provides pastoral care and support to all Māori registrars</w:t>
      </w:r>
    </w:p>
    <w:p w14:paraId="515F6301" w14:textId="76A9D665" w:rsidR="00A147F5" w:rsidRPr="00A147F5" w:rsidRDefault="00A147F5" w:rsidP="00A147F5">
      <w:pPr>
        <w:numPr>
          <w:ilvl w:val="0"/>
          <w:numId w:val="15"/>
        </w:numPr>
        <w:rPr>
          <w:lang w:eastAsia="en-GB"/>
        </w:rPr>
      </w:pPr>
      <w:r w:rsidRPr="00A147F5">
        <w:rPr>
          <w:lang w:eastAsia="en-GB"/>
        </w:rPr>
        <w:t xml:space="preserve">Te </w:t>
      </w:r>
      <w:proofErr w:type="spellStart"/>
      <w:r w:rsidRPr="00A147F5">
        <w:rPr>
          <w:lang w:eastAsia="en-GB"/>
        </w:rPr>
        <w:t>Akoranga</w:t>
      </w:r>
      <w:proofErr w:type="spellEnd"/>
      <w:r w:rsidRPr="00A147F5">
        <w:rPr>
          <w:lang w:eastAsia="en-GB"/>
        </w:rPr>
        <w:t xml:space="preserve"> a </w:t>
      </w:r>
      <w:proofErr w:type="spellStart"/>
      <w:r w:rsidRPr="00A147F5">
        <w:rPr>
          <w:lang w:eastAsia="en-GB"/>
        </w:rPr>
        <w:t>Māui</w:t>
      </w:r>
      <w:proofErr w:type="spellEnd"/>
      <w:r w:rsidRPr="00A147F5">
        <w:rPr>
          <w:lang w:eastAsia="en-GB"/>
        </w:rPr>
        <w:t xml:space="preserve"> – </w:t>
      </w:r>
      <w:r w:rsidR="004452BC">
        <w:rPr>
          <w:lang w:eastAsia="en-GB"/>
        </w:rPr>
        <w:t xml:space="preserve">the College’s </w:t>
      </w:r>
      <w:r w:rsidRPr="00A147F5">
        <w:rPr>
          <w:lang w:eastAsia="en-GB"/>
        </w:rPr>
        <w:t xml:space="preserve">Māori </w:t>
      </w:r>
      <w:r w:rsidR="004452BC">
        <w:rPr>
          <w:lang w:eastAsia="en-GB"/>
        </w:rPr>
        <w:t>representative group</w:t>
      </w:r>
      <w:r w:rsidR="004452BC" w:rsidRPr="00A147F5">
        <w:rPr>
          <w:lang w:eastAsia="en-GB"/>
        </w:rPr>
        <w:t xml:space="preserve"> </w:t>
      </w:r>
      <w:r w:rsidRPr="00A147F5">
        <w:rPr>
          <w:lang w:eastAsia="en-GB"/>
        </w:rPr>
        <w:t>who provide support and guidance to each other and particularly for Māori registrars</w:t>
      </w:r>
    </w:p>
    <w:p w14:paraId="5365EC69" w14:textId="68B301DD" w:rsidR="00A147F5" w:rsidRPr="00A147F5" w:rsidRDefault="00A147F5" w:rsidP="00A147F5">
      <w:pPr>
        <w:numPr>
          <w:ilvl w:val="0"/>
          <w:numId w:val="15"/>
        </w:numPr>
        <w:rPr>
          <w:lang w:eastAsia="en-GB"/>
        </w:rPr>
      </w:pPr>
      <w:r w:rsidRPr="00A147F5">
        <w:rPr>
          <w:lang w:eastAsia="en-GB"/>
        </w:rPr>
        <w:t>Attempt</w:t>
      </w:r>
      <w:r w:rsidR="00CC6848">
        <w:rPr>
          <w:lang w:eastAsia="en-GB"/>
        </w:rPr>
        <w:t>s</w:t>
      </w:r>
      <w:r w:rsidRPr="00A147F5">
        <w:rPr>
          <w:lang w:eastAsia="en-GB"/>
        </w:rPr>
        <w:t xml:space="preserve"> to match/place Māori registrars with Māori practices</w:t>
      </w:r>
      <w:r w:rsidR="007904B6">
        <w:rPr>
          <w:lang w:eastAsia="en-GB"/>
        </w:rPr>
        <w:t>.</w:t>
      </w:r>
      <w:r w:rsidRPr="00A147F5">
        <w:rPr>
          <w:lang w:eastAsia="en-GB"/>
        </w:rPr>
        <w:t xml:space="preserve"> </w:t>
      </w:r>
    </w:p>
    <w:p w14:paraId="082B6A30" w14:textId="77777777" w:rsidR="00A147F5" w:rsidRPr="00A147F5" w:rsidRDefault="00A147F5" w:rsidP="00830FAC">
      <w:pPr>
        <w:pStyle w:val="Quotes"/>
      </w:pPr>
      <w:r w:rsidRPr="00A147F5">
        <w:t>We try and match our Māori and Pacific registrars to Māori and Pacific practices first and foremost. There is a matching process that we go through and that is starting to be strengthened. Previously we had Māori registrars with non-Māori supervisors… (Māori GP)</w:t>
      </w:r>
    </w:p>
    <w:p w14:paraId="6F24CEF5" w14:textId="5220E946" w:rsidR="00900CAC" w:rsidRPr="001575A2" w:rsidRDefault="00900CAC" w:rsidP="001575A2">
      <w:pPr>
        <w:spacing w:before="0" w:after="0"/>
        <w:rPr>
          <w:b/>
          <w:color w:val="FFFFFF" w:themeColor="background1"/>
          <w:sz w:val="20"/>
          <w:szCs w:val="20"/>
          <w:lang w:eastAsia="en-GB"/>
        </w:rPr>
      </w:pPr>
      <w:r>
        <w:rPr>
          <w:lang w:eastAsia="en-GB"/>
        </w:rPr>
        <w:t>Participant</w:t>
      </w:r>
      <w:r w:rsidR="00BD43A0">
        <w:rPr>
          <w:lang w:eastAsia="en-GB"/>
        </w:rPr>
        <w:t>s</w:t>
      </w:r>
      <w:r w:rsidR="00A912D3">
        <w:rPr>
          <w:b/>
          <w:color w:val="FFFFFF" w:themeColor="background1"/>
          <w:sz w:val="20"/>
          <w:szCs w:val="20"/>
          <w:lang w:eastAsia="en-GB"/>
        </w:rPr>
        <w:t xml:space="preserve"> </w:t>
      </w:r>
      <w:r w:rsidR="00A912D3">
        <w:rPr>
          <w:lang w:eastAsia="en-GB"/>
        </w:rPr>
        <w:t xml:space="preserve">commonly noted the lack of funding for any hui, wānanga or opportunity to gather as Māori doctors. </w:t>
      </w:r>
      <w:r w:rsidR="00926E30">
        <w:rPr>
          <w:lang w:eastAsia="en-GB"/>
        </w:rPr>
        <w:t xml:space="preserve">Much of the support provided to Māori registrars was </w:t>
      </w:r>
      <w:r w:rsidR="003F7AEF">
        <w:rPr>
          <w:lang w:eastAsia="en-GB"/>
        </w:rPr>
        <w:t>unpaid</w:t>
      </w:r>
      <w:r w:rsidR="00AF091B">
        <w:rPr>
          <w:lang w:eastAsia="en-GB"/>
        </w:rPr>
        <w:t xml:space="preserve"> </w:t>
      </w:r>
      <w:r w:rsidR="006A5400">
        <w:rPr>
          <w:lang w:eastAsia="en-GB"/>
        </w:rPr>
        <w:t xml:space="preserve">and often relied on Māori doctors calling in favours to different </w:t>
      </w:r>
      <w:proofErr w:type="spellStart"/>
      <w:r w:rsidR="006A5400">
        <w:rPr>
          <w:lang w:eastAsia="en-GB"/>
        </w:rPr>
        <w:t>whanaunga</w:t>
      </w:r>
      <w:proofErr w:type="spellEnd"/>
      <w:r w:rsidR="006A5400">
        <w:rPr>
          <w:lang w:eastAsia="en-GB"/>
        </w:rPr>
        <w:t xml:space="preserve"> in the profession. </w:t>
      </w:r>
    </w:p>
    <w:p w14:paraId="05F4650F" w14:textId="425431E5" w:rsidR="004624B6" w:rsidRPr="00834103" w:rsidRDefault="004624B6" w:rsidP="004624B6">
      <w:pPr>
        <w:pStyle w:val="Quotes"/>
        <w:rPr>
          <w:lang w:val="en-GB" w:eastAsia="en-GB"/>
        </w:rPr>
      </w:pPr>
      <w:r>
        <w:t>I think about M</w:t>
      </w:r>
      <w:r>
        <w:rPr>
          <w:rFonts w:cs="Calibri"/>
        </w:rPr>
        <w:t>ā</w:t>
      </w:r>
      <w:r>
        <w:t xml:space="preserve">ori practitioners </w:t>
      </w:r>
      <w:r w:rsidR="00CC6848">
        <w:t>a</w:t>
      </w:r>
      <w:r>
        <w:t xml:space="preserve">s duly competent. They have to be competent </w:t>
      </w:r>
      <w:r w:rsidR="00DC4FC5">
        <w:t>a</w:t>
      </w:r>
      <w:r>
        <w:t xml:space="preserve">s a doctor but they also have to be competent in tikanga, te reo, Kawa their own identity </w:t>
      </w:r>
      <w:r>
        <w:t>and their ability to use it in the practice.</w:t>
      </w:r>
      <w:r w:rsidR="008E2689">
        <w:t xml:space="preserve"> (</w:t>
      </w:r>
      <w:r w:rsidR="006D6AF2">
        <w:t>Māori stakeholder)</w:t>
      </w:r>
    </w:p>
    <w:p w14:paraId="578DC569" w14:textId="1114A814" w:rsidR="00AD26F4" w:rsidRDefault="004452BC" w:rsidP="007F6916">
      <w:r>
        <w:rPr>
          <w:lang w:eastAsia="en-GB"/>
        </w:rPr>
        <w:t>The College has</w:t>
      </w:r>
      <w:r w:rsidR="0095166B">
        <w:rPr>
          <w:lang w:eastAsia="en-GB"/>
        </w:rPr>
        <w:t xml:space="preserve"> a Pacific chapter </w:t>
      </w:r>
      <w:r>
        <w:rPr>
          <w:lang w:eastAsia="en-GB"/>
        </w:rPr>
        <w:t>comprising</w:t>
      </w:r>
      <w:r w:rsidR="0095166B">
        <w:rPr>
          <w:lang w:eastAsia="en-GB"/>
        </w:rPr>
        <w:t xml:space="preserve"> </w:t>
      </w:r>
      <w:r w:rsidR="00D214C2">
        <w:rPr>
          <w:lang w:eastAsia="en-GB"/>
        </w:rPr>
        <w:t xml:space="preserve">Pacific doctors. This chapter was an opportunity for Pacific registrars to meet and network with senior doctors. It was particularly important when registrars were placed in </w:t>
      </w:r>
      <w:r w:rsidR="00FC64F0">
        <w:rPr>
          <w:lang w:eastAsia="en-GB"/>
        </w:rPr>
        <w:t>non-Pacific</w:t>
      </w:r>
      <w:r w:rsidR="00D214C2">
        <w:rPr>
          <w:lang w:eastAsia="en-GB"/>
        </w:rPr>
        <w:t xml:space="preserve"> practices.</w:t>
      </w:r>
      <w:r w:rsidR="00E02998">
        <w:rPr>
          <w:lang w:eastAsia="en-GB"/>
        </w:rPr>
        <w:t xml:space="preserve"> Interview </w:t>
      </w:r>
      <w:r w:rsidR="00E02998">
        <w:rPr>
          <w:lang w:eastAsia="en-GB"/>
        </w:rPr>
        <w:t>p</w:t>
      </w:r>
      <w:r w:rsidR="00D214C2">
        <w:rPr>
          <w:lang w:eastAsia="en-GB"/>
        </w:rPr>
        <w:t>articipants noted the mi</w:t>
      </w:r>
      <w:r w:rsidR="007F6736">
        <w:rPr>
          <w:lang w:eastAsia="en-GB"/>
        </w:rPr>
        <w:t>smatching of registrars into non</w:t>
      </w:r>
      <w:r w:rsidR="004B57D6">
        <w:rPr>
          <w:lang w:eastAsia="en-GB"/>
        </w:rPr>
        <w:t>-</w:t>
      </w:r>
      <w:r w:rsidR="007F6736">
        <w:rPr>
          <w:lang w:eastAsia="en-GB"/>
        </w:rPr>
        <w:t xml:space="preserve">Pacific practices. Frustration was shared around the lack of support Pacific registrars had in practices where there were no </w:t>
      </w:r>
      <w:r w:rsidR="006513AF">
        <w:rPr>
          <w:lang w:eastAsia="en-GB"/>
        </w:rPr>
        <w:t xml:space="preserve">doctors who could provide a cultural lens of support. </w:t>
      </w:r>
    </w:p>
    <w:p w14:paraId="342FA37B" w14:textId="2B61E6D0" w:rsidR="007F6916" w:rsidRDefault="00AD26F4" w:rsidP="00DE4AE4">
      <w:pPr>
        <w:pStyle w:val="Quotes"/>
      </w:pPr>
      <w:r w:rsidRPr="00AD26F4">
        <w:t xml:space="preserve">When they do their training, and they tell us that they ask for Pacific practices they don’t get matched. We have Pacific GPs being sent to Tauranga and Taumarunui and </w:t>
      </w:r>
      <w:r w:rsidRPr="00AD26F4">
        <w:lastRenderedPageBreak/>
        <w:t>they asked for a Pacific practice so there is mismatch</w:t>
      </w:r>
      <w:r w:rsidR="00835F7B">
        <w:t>. A</w:t>
      </w:r>
      <w:r w:rsidRPr="00AD26F4">
        <w:t xml:space="preserve">nd I don’t think the </w:t>
      </w:r>
      <w:r w:rsidR="00835F7B">
        <w:t>C</w:t>
      </w:r>
      <w:r w:rsidRPr="00AD26F4">
        <w:t>ollege understands that need to work with likeminded people who look like you, sound like you who can support you in this journey.</w:t>
      </w:r>
      <w:r>
        <w:t xml:space="preserve"> </w:t>
      </w:r>
      <w:r w:rsidR="006513AF">
        <w:t>(</w:t>
      </w:r>
      <w:r w:rsidR="00DC1505">
        <w:t>Pacific s</w:t>
      </w:r>
      <w:r w:rsidR="006513AF">
        <w:t xml:space="preserve">takeholder) </w:t>
      </w:r>
    </w:p>
    <w:p w14:paraId="03E76799" w14:textId="77777777" w:rsidR="00CF43F2" w:rsidRDefault="00CF43F2" w:rsidP="00A16840">
      <w:pPr>
        <w:pStyle w:val="Heading2"/>
      </w:pPr>
      <w:bookmarkStart w:id="86" w:name="_Toc105853923"/>
      <w:r>
        <w:t>Exposure to cultural learning and training</w:t>
      </w:r>
      <w:bookmarkEnd w:id="86"/>
    </w:p>
    <w:p w14:paraId="5B1C3BF9" w14:textId="26C59162" w:rsidR="00720DB8" w:rsidRDefault="00B83E16" w:rsidP="00E33EF1">
      <w:pPr>
        <w:pStyle w:val="Malanorm"/>
      </w:pPr>
      <w:r>
        <w:rPr>
          <w:lang w:val="en-GB"/>
        </w:rPr>
        <w:t xml:space="preserve">Cultural </w:t>
      </w:r>
      <w:r w:rsidR="002F0CBB">
        <w:rPr>
          <w:lang w:val="en-GB"/>
        </w:rPr>
        <w:t xml:space="preserve">learning and training </w:t>
      </w:r>
      <w:r w:rsidR="00FC303B">
        <w:rPr>
          <w:lang w:val="en-GB"/>
        </w:rPr>
        <w:t>are</w:t>
      </w:r>
      <w:r w:rsidR="002F0CBB">
        <w:rPr>
          <w:lang w:val="en-GB"/>
        </w:rPr>
        <w:t xml:space="preserve"> essential for non-Māori and non-Pacific </w:t>
      </w:r>
      <w:r w:rsidR="004208D3">
        <w:rPr>
          <w:lang w:val="en-GB"/>
        </w:rPr>
        <w:t>registrars</w:t>
      </w:r>
      <w:r w:rsidR="002F0CBB">
        <w:rPr>
          <w:lang w:val="en-GB"/>
        </w:rPr>
        <w:t xml:space="preserve"> to ensure </w:t>
      </w:r>
      <w:r w:rsidR="004208D3">
        <w:rPr>
          <w:lang w:val="en-GB"/>
        </w:rPr>
        <w:t>they understand a</w:t>
      </w:r>
      <w:r w:rsidR="00375596">
        <w:rPr>
          <w:lang w:val="en-GB"/>
        </w:rPr>
        <w:t>nd can support Māori and Pacific patients</w:t>
      </w:r>
      <w:r w:rsidR="00E039C3">
        <w:rPr>
          <w:lang w:val="en-GB"/>
        </w:rPr>
        <w:t xml:space="preserve"> and understand Māori and Pacific models of care.</w:t>
      </w:r>
    </w:p>
    <w:p w14:paraId="72D953C8" w14:textId="7F971C4C" w:rsidR="00D978B3" w:rsidRDefault="00D978B3" w:rsidP="00D978B3">
      <w:pPr>
        <w:rPr>
          <w:lang w:eastAsia="en-GB"/>
        </w:rPr>
      </w:pPr>
      <w:r>
        <w:rPr>
          <w:lang w:eastAsia="en-GB"/>
        </w:rPr>
        <w:t xml:space="preserve">Registrars in GPEP 1 attend a programme called Te </w:t>
      </w:r>
      <w:proofErr w:type="spellStart"/>
      <w:r>
        <w:rPr>
          <w:lang w:eastAsia="en-GB"/>
        </w:rPr>
        <w:t>Ahunga</w:t>
      </w:r>
      <w:proofErr w:type="spellEnd"/>
      <w:r>
        <w:rPr>
          <w:lang w:eastAsia="en-GB"/>
        </w:rPr>
        <w:t xml:space="preserve"> which is focused on </w:t>
      </w:r>
      <w:proofErr w:type="spellStart"/>
      <w:r>
        <w:rPr>
          <w:lang w:eastAsia="en-GB"/>
        </w:rPr>
        <w:t>hauora</w:t>
      </w:r>
      <w:proofErr w:type="spellEnd"/>
      <w:r>
        <w:rPr>
          <w:lang w:eastAsia="en-GB"/>
        </w:rPr>
        <w:t xml:space="preserve"> Māori, Te </w:t>
      </w:r>
      <w:proofErr w:type="gramStart"/>
      <w:r>
        <w:rPr>
          <w:lang w:eastAsia="en-GB"/>
        </w:rPr>
        <w:t>Tiriti</w:t>
      </w:r>
      <w:proofErr w:type="gramEnd"/>
      <w:r>
        <w:rPr>
          <w:lang w:eastAsia="en-GB"/>
        </w:rPr>
        <w:t xml:space="preserve"> and equitable health outcomes for Māori. Te </w:t>
      </w:r>
      <w:proofErr w:type="spellStart"/>
      <w:r>
        <w:rPr>
          <w:lang w:eastAsia="en-GB"/>
        </w:rPr>
        <w:t>Ahunga</w:t>
      </w:r>
      <w:proofErr w:type="spellEnd"/>
      <w:r>
        <w:rPr>
          <w:lang w:eastAsia="en-GB"/>
        </w:rPr>
        <w:t xml:space="preserve"> is hosted on </w:t>
      </w:r>
      <w:r w:rsidR="004452BC">
        <w:rPr>
          <w:lang w:eastAsia="en-GB"/>
        </w:rPr>
        <w:t>regional</w:t>
      </w:r>
      <w:r>
        <w:rPr>
          <w:lang w:eastAsia="en-GB"/>
        </w:rPr>
        <w:t xml:space="preserve"> marae over two days. This gives registrars an opportunity to learn, connect and network</w:t>
      </w:r>
      <w:r w:rsidR="004452BC">
        <w:rPr>
          <w:lang w:eastAsia="en-GB"/>
        </w:rPr>
        <w:t xml:space="preserve"> in their local communities</w:t>
      </w:r>
      <w:r>
        <w:rPr>
          <w:lang w:eastAsia="en-GB"/>
        </w:rPr>
        <w:t xml:space="preserve">. </w:t>
      </w:r>
      <w:r>
        <w:rPr>
          <w:lang w:eastAsia="en-GB"/>
        </w:rPr>
        <w:t xml:space="preserve">During Covid, Te </w:t>
      </w:r>
      <w:proofErr w:type="spellStart"/>
      <w:r>
        <w:rPr>
          <w:lang w:eastAsia="en-GB"/>
        </w:rPr>
        <w:t>Ahunga</w:t>
      </w:r>
      <w:proofErr w:type="spellEnd"/>
      <w:r>
        <w:rPr>
          <w:lang w:eastAsia="en-GB"/>
        </w:rPr>
        <w:t xml:space="preserve"> has been provided online.</w:t>
      </w:r>
      <w:r w:rsidR="00EF73EF">
        <w:rPr>
          <w:lang w:eastAsia="en-GB"/>
        </w:rPr>
        <w:t xml:space="preserve"> </w:t>
      </w:r>
      <w:r>
        <w:rPr>
          <w:lang w:eastAsia="en-GB"/>
        </w:rPr>
        <w:t xml:space="preserve">Formal cultural training was not available in GPEP 2/3. Suggestions were made by registrars to develop a cultural framework for GPEP 2/3. </w:t>
      </w:r>
    </w:p>
    <w:p w14:paraId="53FB519B" w14:textId="5DF89C7C" w:rsidR="00EF73EF" w:rsidRDefault="00EF73EF" w:rsidP="00EF73EF">
      <w:pPr>
        <w:pStyle w:val="Malanorm"/>
      </w:pPr>
      <w:r>
        <w:rPr>
          <w:lang w:val="en-GB"/>
        </w:rPr>
        <w:t>While some cultural knowledge can be gained through courses, r</w:t>
      </w:r>
      <w:proofErr w:type="spellStart"/>
      <w:r w:rsidR="00053060">
        <w:t>egistrars</w:t>
      </w:r>
      <w:proofErr w:type="spellEnd"/>
      <w:r>
        <w:t xml:space="preserve"> highlighted the importance of kaupapa Māori</w:t>
      </w:r>
      <w:r w:rsidR="00AE713F">
        <w:t>, Iwi based</w:t>
      </w:r>
      <w:r>
        <w:t xml:space="preserve"> and Pacific health providers who could enable exposure to cultural experiences and build their confidence through placements. </w:t>
      </w:r>
    </w:p>
    <w:p w14:paraId="6B767A2D" w14:textId="03E8A2B1" w:rsidR="00EF73EF" w:rsidRDefault="00EF73EF" w:rsidP="00EF73EF">
      <w:pPr>
        <w:pStyle w:val="Quotes"/>
      </w:pPr>
      <w:r>
        <w:t>I think it is important that registrars are placed at Māori and Pacific health providers, I think that is the only way you are going to get the experience. (Registrar</w:t>
      </w:r>
      <w:r w:rsidR="00E412E1">
        <w:t xml:space="preserve"> - interview</w:t>
      </w:r>
      <w:r>
        <w:t>)</w:t>
      </w:r>
    </w:p>
    <w:p w14:paraId="3DFB8C66" w14:textId="66EAE75E" w:rsidR="009207C5" w:rsidRDefault="00D978B3" w:rsidP="009207C5">
      <w:pPr>
        <w:pStyle w:val="Malanorm"/>
      </w:pPr>
      <w:r>
        <w:rPr>
          <w:lang w:eastAsia="en-GB"/>
        </w:rPr>
        <w:t xml:space="preserve">Stakeholders described different levels of cultural competence across the GPEP registrars. </w:t>
      </w:r>
      <w:r w:rsidR="00F705DF">
        <w:rPr>
          <w:lang w:eastAsia="en-GB"/>
        </w:rPr>
        <w:t xml:space="preserve">Some stakeholders felt registrars would not practice with an equity lens and reach equitable outcomes unless they entered GPEP with an equitable approach. </w:t>
      </w:r>
      <w:r>
        <w:rPr>
          <w:lang w:eastAsia="en-GB"/>
        </w:rPr>
        <w:t xml:space="preserve">Some registrars described feeling confident on cultural knowledge and ways of interacting through the MIHI 501 Institute at Christchurch School of Medicine. </w:t>
      </w:r>
      <w:r w:rsidR="009207C5">
        <w:t xml:space="preserve">Participants noted, the current contract did not prove an opportunity to tailor the cultural learning programme and develop cultural standards and measure of assessment to ensure registrars through GPEP 1 to fellowship met appropriate cultural standards. </w:t>
      </w:r>
    </w:p>
    <w:p w14:paraId="65947753" w14:textId="09E61483" w:rsidR="00D978B3" w:rsidRDefault="00D978B3" w:rsidP="00D978B3">
      <w:pPr>
        <w:pStyle w:val="Quotes"/>
        <w:rPr>
          <w:bdr w:val="none" w:sz="0" w:space="0" w:color="auto" w:frame="1"/>
          <w:shd w:val="clear" w:color="auto" w:fill="FFFFFF"/>
        </w:rPr>
      </w:pPr>
      <w:r w:rsidRPr="00E16E61">
        <w:rPr>
          <w:bdr w:val="none" w:sz="0" w:space="0" w:color="auto" w:frame="1"/>
          <w:shd w:val="clear" w:color="auto" w:fill="FFFFFF"/>
        </w:rPr>
        <w:t>There isn’t enough funding [for cultural training]. Really all they get is the two days and we are not ever going to come out with someone who is equitable at the end unless they were before they went in.</w:t>
      </w:r>
      <w:r>
        <w:rPr>
          <w:bdr w:val="none" w:sz="0" w:space="0" w:color="auto" w:frame="1"/>
          <w:shd w:val="clear" w:color="auto" w:fill="FFFFFF"/>
        </w:rPr>
        <w:t xml:space="preserve"> (Māori </w:t>
      </w:r>
      <w:r w:rsidR="00BA135D">
        <w:rPr>
          <w:bdr w:val="none" w:sz="0" w:space="0" w:color="auto" w:frame="1"/>
          <w:shd w:val="clear" w:color="auto" w:fill="FFFFFF"/>
        </w:rPr>
        <w:t>GP</w:t>
      </w:r>
      <w:r>
        <w:rPr>
          <w:bdr w:val="none" w:sz="0" w:space="0" w:color="auto" w:frame="1"/>
          <w:shd w:val="clear" w:color="auto" w:fill="FFFFFF"/>
        </w:rPr>
        <w:t>)</w:t>
      </w:r>
    </w:p>
    <w:p w14:paraId="0BB2A7B0" w14:textId="4FF85DC3" w:rsidR="00D978B3" w:rsidRDefault="00D978B3" w:rsidP="00D978B3">
      <w:pPr>
        <w:pStyle w:val="Malanorm"/>
        <w:rPr>
          <w:bdr w:val="none" w:sz="0" w:space="0" w:color="auto" w:frame="1"/>
          <w:shd w:val="clear" w:color="auto" w:fill="FFFFFF"/>
        </w:rPr>
      </w:pPr>
      <w:r>
        <w:rPr>
          <w:bdr w:val="none" w:sz="0" w:space="0" w:color="auto" w:frame="1"/>
          <w:shd w:val="clear" w:color="auto" w:fill="FFFFFF"/>
        </w:rPr>
        <w:t>Similarly, registrars who had an interest in Pacific health did not have many opportunities to experience Pacific culture and participate in cultural learning.</w:t>
      </w:r>
      <w:r w:rsidR="00FE77F9">
        <w:rPr>
          <w:bdr w:val="none" w:sz="0" w:space="0" w:color="auto" w:frame="1"/>
          <w:shd w:val="clear" w:color="auto" w:fill="FFFFFF"/>
        </w:rPr>
        <w:t xml:space="preserve"> </w:t>
      </w:r>
    </w:p>
    <w:p w14:paraId="5FD7BA11" w14:textId="77777777" w:rsidR="00D978B3" w:rsidRDefault="00D978B3" w:rsidP="00D978B3">
      <w:pPr>
        <w:pStyle w:val="Quotes"/>
      </w:pPr>
      <w:r>
        <w:t>What I worry about, the Palagi, Asian doctors that in my view if they are interested [in Pacific culture] we need to help them understand Pacific cultures, way of life, belief systems and I don’t think that happens enough. (Pacific Stakeholder)</w:t>
      </w:r>
    </w:p>
    <w:p w14:paraId="620E0C7D" w14:textId="18014639" w:rsidR="004452BC" w:rsidRDefault="00D334C0" w:rsidP="00474127">
      <w:pPr>
        <w:pStyle w:val="Malanorm"/>
        <w:rPr>
          <w:lang w:val="en-GB"/>
        </w:rPr>
      </w:pPr>
      <w:r w:rsidRPr="007904B6">
        <w:lastRenderedPageBreak/>
        <w:t>Manat</w:t>
      </w:r>
      <w:r w:rsidRPr="007904B6">
        <w:rPr>
          <w:rFonts w:cs="Calibri"/>
        </w:rPr>
        <w:t>ū</w:t>
      </w:r>
      <w:r w:rsidRPr="007904B6">
        <w:t xml:space="preserve"> Hauora</w:t>
      </w:r>
      <w:r w:rsidR="0060075B" w:rsidRPr="007904B6">
        <w:rPr>
          <w:lang w:val="en-GB"/>
        </w:rPr>
        <w:t xml:space="preserve"> and the College</w:t>
      </w:r>
      <w:r w:rsidR="009207C5" w:rsidRPr="007904B6">
        <w:rPr>
          <w:lang w:val="en-GB"/>
        </w:rPr>
        <w:t xml:space="preserve"> also</w:t>
      </w:r>
      <w:r w:rsidR="0060075B" w:rsidRPr="007904B6">
        <w:rPr>
          <w:lang w:val="en-GB"/>
        </w:rPr>
        <w:t xml:space="preserve"> recognise the need for</w:t>
      </w:r>
      <w:r w:rsidR="00003338" w:rsidRPr="007904B6">
        <w:rPr>
          <w:lang w:val="en-GB"/>
        </w:rPr>
        <w:t xml:space="preserve"> cultural training </w:t>
      </w:r>
      <w:r w:rsidR="0060075B" w:rsidRPr="007904B6">
        <w:rPr>
          <w:lang w:val="en-GB"/>
        </w:rPr>
        <w:t xml:space="preserve">for </w:t>
      </w:r>
      <w:r w:rsidR="00003338" w:rsidRPr="007904B6">
        <w:rPr>
          <w:lang w:val="en-GB"/>
        </w:rPr>
        <w:t xml:space="preserve">teachers and medical educators. </w:t>
      </w:r>
      <w:r w:rsidR="0060075B" w:rsidRPr="007904B6">
        <w:rPr>
          <w:lang w:val="en-GB"/>
        </w:rPr>
        <w:t xml:space="preserve">Registrars complete the </w:t>
      </w:r>
      <w:proofErr w:type="spellStart"/>
      <w:r w:rsidR="0060075B" w:rsidRPr="007904B6">
        <w:rPr>
          <w:lang w:val="en-GB"/>
        </w:rPr>
        <w:t>Meihana</w:t>
      </w:r>
      <w:proofErr w:type="spellEnd"/>
      <w:r w:rsidR="0060075B" w:rsidRPr="007904B6">
        <w:rPr>
          <w:lang w:val="en-GB"/>
        </w:rPr>
        <w:t xml:space="preserve"> programme at </w:t>
      </w:r>
      <w:r w:rsidR="00166619" w:rsidRPr="007904B6">
        <w:rPr>
          <w:lang w:val="en-GB"/>
        </w:rPr>
        <w:t>Medical</w:t>
      </w:r>
      <w:r w:rsidR="0060075B" w:rsidRPr="007904B6">
        <w:rPr>
          <w:lang w:val="en-GB"/>
        </w:rPr>
        <w:t xml:space="preserve"> </w:t>
      </w:r>
      <w:proofErr w:type="gramStart"/>
      <w:r w:rsidR="0060075B" w:rsidRPr="007904B6">
        <w:rPr>
          <w:lang w:val="en-GB"/>
        </w:rPr>
        <w:t>School</w:t>
      </w:r>
      <w:proofErr w:type="gramEnd"/>
      <w:r w:rsidR="0060075B" w:rsidRPr="007904B6">
        <w:rPr>
          <w:lang w:val="en-GB"/>
        </w:rPr>
        <w:t xml:space="preserve"> </w:t>
      </w:r>
      <w:r w:rsidR="00166619" w:rsidRPr="007904B6">
        <w:rPr>
          <w:lang w:val="en-GB"/>
        </w:rPr>
        <w:t xml:space="preserve">but teachers completed their training prior to a robust cultural component at Medical School. </w:t>
      </w:r>
      <w:r w:rsidR="004452BC" w:rsidRPr="007904B6">
        <w:rPr>
          <w:lang w:val="en-GB"/>
        </w:rPr>
        <w:t>Each registrar intake also includes internationally trained registrars who may not have experienced meaningful cultural training in a New Zealand context prior to commencing GPEP.</w:t>
      </w:r>
      <w:r w:rsidR="004452BC">
        <w:rPr>
          <w:lang w:val="en-GB"/>
        </w:rPr>
        <w:t xml:space="preserve"> </w:t>
      </w:r>
    </w:p>
    <w:p w14:paraId="20E53D32" w14:textId="1E3E9605" w:rsidR="00474127" w:rsidRDefault="00474127" w:rsidP="00474127">
      <w:pPr>
        <w:pStyle w:val="Malanorm"/>
        <w:rPr>
          <w:lang w:val="en-GB"/>
        </w:rPr>
      </w:pPr>
      <w:r>
        <w:rPr>
          <w:lang w:val="en-GB"/>
        </w:rPr>
        <w:t xml:space="preserve">Some interviewed stakeholders also expressed their concerns around cultural capability of non-Māori teachers particularly those who were supervising Māori registrars and the need to provide cultural safety training to staff. </w:t>
      </w:r>
    </w:p>
    <w:p w14:paraId="15695D44" w14:textId="3A974883" w:rsidR="00474127" w:rsidRPr="00DB6A2F" w:rsidRDefault="00474127" w:rsidP="00474127">
      <w:pPr>
        <w:pStyle w:val="Quotes"/>
        <w:rPr>
          <w:lang w:val="en-GB"/>
        </w:rPr>
      </w:pPr>
      <w:r>
        <w:rPr>
          <w:lang w:val="en-GB"/>
        </w:rPr>
        <w:t>We also need to upskill the staff members within the college who are lead MEs who can undo and do some real damage both in a clinic and in their teaching. The reality within the college it is not BAU. The College staff also need to have anti-racism training and the equivalent of cultural competency [training]. (</w:t>
      </w:r>
      <w:r w:rsidR="00D774C2">
        <w:rPr>
          <w:lang w:val="en-GB"/>
        </w:rPr>
        <w:t>M</w:t>
      </w:r>
      <w:r w:rsidR="00D774C2">
        <w:rPr>
          <w:bdr w:val="none" w:sz="0" w:space="0" w:color="auto" w:frame="1"/>
          <w:shd w:val="clear" w:color="auto" w:fill="FFFFFF"/>
        </w:rPr>
        <w:t>ā</w:t>
      </w:r>
      <w:r w:rsidR="00D774C2">
        <w:rPr>
          <w:lang w:val="en-GB"/>
        </w:rPr>
        <w:t>ori GP</w:t>
      </w:r>
      <w:r>
        <w:rPr>
          <w:lang w:val="en-GB"/>
        </w:rPr>
        <w:t>)</w:t>
      </w:r>
    </w:p>
    <w:p w14:paraId="7B97C017" w14:textId="085DA08C" w:rsidR="00003338" w:rsidRPr="00DB6A2F" w:rsidRDefault="00D334C0" w:rsidP="00474127">
      <w:pPr>
        <w:pStyle w:val="Malanorm"/>
        <w:rPr>
          <w:lang w:val="en-GB"/>
        </w:rPr>
      </w:pPr>
      <w:r>
        <w:t>Manat</w:t>
      </w:r>
      <w:r>
        <w:rPr>
          <w:rFonts w:cs="Calibri"/>
        </w:rPr>
        <w:t>ū</w:t>
      </w:r>
      <w:r>
        <w:t xml:space="preserve"> Hauora</w:t>
      </w:r>
      <w:r>
        <w:rPr>
          <w:lang w:val="en-GB"/>
        </w:rPr>
        <w:t xml:space="preserve"> </w:t>
      </w:r>
      <w:r w:rsidR="00984299">
        <w:rPr>
          <w:lang w:val="en-GB"/>
        </w:rPr>
        <w:t>has recently provided</w:t>
      </w:r>
      <w:r w:rsidR="00A51D1F">
        <w:rPr>
          <w:lang w:val="en-GB"/>
        </w:rPr>
        <w:t xml:space="preserve"> additional funding </w:t>
      </w:r>
      <w:r w:rsidR="00984299">
        <w:rPr>
          <w:lang w:val="en-GB"/>
        </w:rPr>
        <w:t xml:space="preserve">to the College </w:t>
      </w:r>
      <w:r w:rsidR="00E94BD1">
        <w:rPr>
          <w:lang w:val="en-GB"/>
        </w:rPr>
        <w:t xml:space="preserve">to </w:t>
      </w:r>
      <w:r w:rsidR="00366989">
        <w:rPr>
          <w:lang w:val="en-GB"/>
        </w:rPr>
        <w:t xml:space="preserve">progressively </w:t>
      </w:r>
      <w:r w:rsidR="006A1E44">
        <w:rPr>
          <w:lang w:val="en-GB"/>
        </w:rPr>
        <w:t xml:space="preserve">support </w:t>
      </w:r>
      <w:r w:rsidR="007F4113">
        <w:rPr>
          <w:lang w:val="en-GB"/>
        </w:rPr>
        <w:t xml:space="preserve">GPEP </w:t>
      </w:r>
      <w:r w:rsidR="00003338">
        <w:rPr>
          <w:lang w:val="en-GB"/>
        </w:rPr>
        <w:t>teacher participat</w:t>
      </w:r>
      <w:r w:rsidR="007F4113">
        <w:rPr>
          <w:lang w:val="en-GB"/>
        </w:rPr>
        <w:t>ion</w:t>
      </w:r>
      <w:r w:rsidR="00003338">
        <w:rPr>
          <w:lang w:val="en-GB"/>
        </w:rPr>
        <w:t xml:space="preserve"> in the MIHI 501 programm</w:t>
      </w:r>
      <w:r w:rsidR="00366989">
        <w:rPr>
          <w:lang w:val="en-GB"/>
        </w:rPr>
        <w:t>e</w:t>
      </w:r>
      <w:r w:rsidR="00003338">
        <w:rPr>
          <w:lang w:val="en-GB"/>
        </w:rPr>
        <w:t xml:space="preserve">. </w:t>
      </w:r>
    </w:p>
    <w:p w14:paraId="2235D7D0" w14:textId="10A0BB9A" w:rsidR="00865821" w:rsidRPr="00CB5526" w:rsidRDefault="00865821" w:rsidP="00A16840">
      <w:pPr>
        <w:pStyle w:val="Heading2"/>
      </w:pPr>
      <w:bookmarkStart w:id="87" w:name="_Toc105853924"/>
      <w:r w:rsidRPr="00CB5526">
        <w:t>Expectations under Te Tiriti</w:t>
      </w:r>
      <w:bookmarkEnd w:id="87"/>
    </w:p>
    <w:p w14:paraId="36D18BE9" w14:textId="148614E7" w:rsidR="00971B1E" w:rsidRDefault="008822AE" w:rsidP="00D5674E">
      <w:pPr>
        <w:pStyle w:val="Malanorm"/>
        <w:rPr>
          <w:lang w:eastAsia="en-GB"/>
        </w:rPr>
      </w:pPr>
      <w:r>
        <w:rPr>
          <w:lang w:eastAsia="en-GB"/>
        </w:rPr>
        <w:t>Participants commonly noted the absence of</w:t>
      </w:r>
      <w:r w:rsidR="004B5B67">
        <w:rPr>
          <w:lang w:eastAsia="en-GB"/>
        </w:rPr>
        <w:t xml:space="preserve"> consultation with</w:t>
      </w:r>
      <w:r>
        <w:rPr>
          <w:lang w:eastAsia="en-GB"/>
        </w:rPr>
        <w:t xml:space="preserve"> Iwi and any Māori in the development and negotiation of the GPEP contract</w:t>
      </w:r>
      <w:r w:rsidR="002E70AA">
        <w:rPr>
          <w:lang w:eastAsia="en-GB"/>
        </w:rPr>
        <w:t xml:space="preserve"> and training programme. </w:t>
      </w:r>
      <w:r w:rsidR="00490789">
        <w:rPr>
          <w:lang w:eastAsia="en-GB"/>
        </w:rPr>
        <w:t>S</w:t>
      </w:r>
      <w:r w:rsidR="00B80733">
        <w:rPr>
          <w:lang w:eastAsia="en-GB"/>
        </w:rPr>
        <w:t xml:space="preserve">ome participants </w:t>
      </w:r>
      <w:r w:rsidR="00ED37F4">
        <w:rPr>
          <w:lang w:eastAsia="en-GB"/>
        </w:rPr>
        <w:t>said</w:t>
      </w:r>
      <w:r w:rsidR="00B80733">
        <w:rPr>
          <w:lang w:eastAsia="en-GB"/>
        </w:rPr>
        <w:t xml:space="preserve"> the </w:t>
      </w:r>
      <w:r w:rsidR="00ED37F4">
        <w:rPr>
          <w:lang w:eastAsia="en-GB"/>
        </w:rPr>
        <w:t>GPEP</w:t>
      </w:r>
      <w:r w:rsidR="00B80733">
        <w:rPr>
          <w:lang w:eastAsia="en-GB"/>
        </w:rPr>
        <w:t xml:space="preserve"> contract was not </w:t>
      </w:r>
      <w:r w:rsidR="00BC293E">
        <w:rPr>
          <w:lang w:eastAsia="en-GB"/>
        </w:rPr>
        <w:t>Te Tiriti</w:t>
      </w:r>
      <w:r w:rsidR="00B80733">
        <w:rPr>
          <w:lang w:eastAsia="en-GB"/>
        </w:rPr>
        <w:t xml:space="preserve"> compliant</w:t>
      </w:r>
      <w:r w:rsidR="002E70AA">
        <w:rPr>
          <w:lang w:eastAsia="en-GB"/>
        </w:rPr>
        <w:t xml:space="preserve"> as it did not enable Iwi to contribute </w:t>
      </w:r>
      <w:r w:rsidR="00F1141C">
        <w:rPr>
          <w:lang w:eastAsia="en-GB"/>
        </w:rPr>
        <w:t xml:space="preserve">to </w:t>
      </w:r>
      <w:r w:rsidR="002E70AA">
        <w:rPr>
          <w:lang w:eastAsia="en-GB"/>
        </w:rPr>
        <w:t xml:space="preserve">or influence the learning that happened in their respective regions. </w:t>
      </w:r>
    </w:p>
    <w:p w14:paraId="30F1F26D" w14:textId="455A6AA1" w:rsidR="001F125F" w:rsidRDefault="001F125F" w:rsidP="001F125F">
      <w:pPr>
        <w:pStyle w:val="Quotes"/>
      </w:pPr>
      <w:r w:rsidRPr="001F125F">
        <w:t>I mean, if we're going to be thinking about is the program</w:t>
      </w:r>
      <w:r w:rsidR="00ED37F4">
        <w:t>me</w:t>
      </w:r>
      <w:r w:rsidRPr="001F125F">
        <w:t xml:space="preserve"> Te Tiriti compliant</w:t>
      </w:r>
      <w:r w:rsidR="00B129D6">
        <w:t>? Yo</w:t>
      </w:r>
      <w:r w:rsidRPr="001F125F">
        <w:t>u'd have to say, no, it's not. So essentially, if we're thinking of</w:t>
      </w:r>
      <w:r w:rsidR="00FE77F9">
        <w:t xml:space="preserve"> </w:t>
      </w:r>
      <w:r w:rsidRPr="001F125F">
        <w:t>Rangatiratanga as one of the concepts of Te Tiriti</w:t>
      </w:r>
      <w:r w:rsidR="00291489">
        <w:t>,</w:t>
      </w:r>
      <w:r w:rsidRPr="001F125F">
        <w:t xml:space="preserve"> I would doubt that there's local development by hapū and Iwi </w:t>
      </w:r>
      <w:r w:rsidR="00B129D6">
        <w:t>in</w:t>
      </w:r>
      <w:r w:rsidRPr="001F125F">
        <w:t xml:space="preserve"> the teaching program</w:t>
      </w:r>
      <w:r w:rsidR="00B129D6">
        <w:t xml:space="preserve">me </w:t>
      </w:r>
      <w:r w:rsidR="00607014">
        <w:t>…</w:t>
      </w:r>
      <w:r w:rsidR="00556B4B">
        <w:t xml:space="preserve"> </w:t>
      </w:r>
      <w:r>
        <w:t xml:space="preserve">(Stakeholder) </w:t>
      </w:r>
    </w:p>
    <w:p w14:paraId="49AF9047" w14:textId="3D4866AE" w:rsidR="00865821" w:rsidRPr="00CB5526" w:rsidRDefault="002E70AA" w:rsidP="00865821">
      <w:pPr>
        <w:rPr>
          <w:lang w:eastAsia="en-GB"/>
        </w:rPr>
      </w:pPr>
      <w:r>
        <w:rPr>
          <w:lang w:eastAsia="en-GB"/>
        </w:rPr>
        <w:t xml:space="preserve">The </w:t>
      </w:r>
      <w:r w:rsidR="00556B4B">
        <w:rPr>
          <w:lang w:eastAsia="en-GB"/>
        </w:rPr>
        <w:t>limited availability</w:t>
      </w:r>
      <w:r>
        <w:rPr>
          <w:lang w:eastAsia="en-GB"/>
        </w:rPr>
        <w:t xml:space="preserve"> of placements </w:t>
      </w:r>
      <w:r w:rsidR="00447E9C">
        <w:rPr>
          <w:lang w:eastAsia="en-GB"/>
        </w:rPr>
        <w:t>with</w:t>
      </w:r>
      <w:r>
        <w:rPr>
          <w:lang w:eastAsia="en-GB"/>
        </w:rPr>
        <w:t xml:space="preserve"> Māori </w:t>
      </w:r>
      <w:r w:rsidR="00447E9C">
        <w:rPr>
          <w:lang w:eastAsia="en-GB"/>
        </w:rPr>
        <w:t>general</w:t>
      </w:r>
      <w:r w:rsidR="00167C40">
        <w:rPr>
          <w:lang w:eastAsia="en-GB"/>
        </w:rPr>
        <w:t xml:space="preserve"> </w:t>
      </w:r>
      <w:r w:rsidR="00447E9C">
        <w:rPr>
          <w:lang w:eastAsia="en-GB"/>
        </w:rPr>
        <w:t>practices</w:t>
      </w:r>
      <w:r>
        <w:rPr>
          <w:lang w:eastAsia="en-GB"/>
        </w:rPr>
        <w:t xml:space="preserve"> </w:t>
      </w:r>
      <w:r w:rsidR="00C201AA">
        <w:rPr>
          <w:lang w:eastAsia="en-GB"/>
        </w:rPr>
        <w:t xml:space="preserve">and the small number of Māori in-practice teachers </w:t>
      </w:r>
      <w:r w:rsidR="002A0498">
        <w:rPr>
          <w:lang w:eastAsia="en-GB"/>
        </w:rPr>
        <w:t>did not enable non</w:t>
      </w:r>
      <w:r w:rsidR="00337E55">
        <w:rPr>
          <w:lang w:eastAsia="en-GB"/>
        </w:rPr>
        <w:t>-</w:t>
      </w:r>
      <w:r w:rsidR="0095710E">
        <w:rPr>
          <w:lang w:eastAsia="en-GB"/>
        </w:rPr>
        <w:t>Māori</w:t>
      </w:r>
      <w:r w:rsidR="002A0498">
        <w:rPr>
          <w:lang w:eastAsia="en-GB"/>
        </w:rPr>
        <w:t xml:space="preserve"> </w:t>
      </w:r>
      <w:r>
        <w:rPr>
          <w:lang w:eastAsia="en-GB"/>
        </w:rPr>
        <w:t xml:space="preserve">registrars to </w:t>
      </w:r>
      <w:r w:rsidR="002A0498">
        <w:rPr>
          <w:lang w:eastAsia="en-GB"/>
        </w:rPr>
        <w:t xml:space="preserve">experience </w:t>
      </w:r>
      <w:r w:rsidR="007B05F5">
        <w:rPr>
          <w:lang w:eastAsia="en-GB"/>
        </w:rPr>
        <w:t xml:space="preserve">general </w:t>
      </w:r>
      <w:r>
        <w:rPr>
          <w:lang w:eastAsia="en-GB"/>
        </w:rPr>
        <w:t xml:space="preserve">practice </w:t>
      </w:r>
      <w:r w:rsidR="00337E55">
        <w:rPr>
          <w:lang w:eastAsia="en-GB"/>
        </w:rPr>
        <w:t xml:space="preserve">through a </w:t>
      </w:r>
      <w:proofErr w:type="spellStart"/>
      <w:r w:rsidR="00337E55">
        <w:rPr>
          <w:lang w:eastAsia="en-GB"/>
        </w:rPr>
        <w:t>te</w:t>
      </w:r>
      <w:proofErr w:type="spellEnd"/>
      <w:r w:rsidR="00337E55">
        <w:rPr>
          <w:lang w:eastAsia="en-GB"/>
        </w:rPr>
        <w:t xml:space="preserve"> </w:t>
      </w:r>
      <w:proofErr w:type="spellStart"/>
      <w:r w:rsidR="00337E55">
        <w:rPr>
          <w:lang w:eastAsia="en-GB"/>
        </w:rPr>
        <w:t>ao</w:t>
      </w:r>
      <w:proofErr w:type="spellEnd"/>
      <w:r>
        <w:rPr>
          <w:lang w:eastAsia="en-GB"/>
        </w:rPr>
        <w:t xml:space="preserve"> Māori </w:t>
      </w:r>
      <w:r w:rsidR="00337E55">
        <w:rPr>
          <w:lang w:eastAsia="en-GB"/>
        </w:rPr>
        <w:t>approach.</w:t>
      </w:r>
      <w:r w:rsidR="00F75D3F">
        <w:rPr>
          <w:lang w:eastAsia="en-GB"/>
        </w:rPr>
        <w:t xml:space="preserve"> </w:t>
      </w:r>
      <w:r w:rsidR="008C146C">
        <w:rPr>
          <w:lang w:eastAsia="en-GB"/>
        </w:rPr>
        <w:t>I</w:t>
      </w:r>
      <w:r w:rsidR="00F75D3F">
        <w:rPr>
          <w:lang w:eastAsia="en-GB"/>
        </w:rPr>
        <w:t>nvestment into kaupapa Māori providers and cultural training</w:t>
      </w:r>
      <w:r w:rsidR="00F60489">
        <w:rPr>
          <w:lang w:eastAsia="en-GB"/>
        </w:rPr>
        <w:t xml:space="preserve"> </w:t>
      </w:r>
      <w:r w:rsidR="008C146C">
        <w:rPr>
          <w:lang w:eastAsia="en-GB"/>
        </w:rPr>
        <w:t xml:space="preserve">was considered by stakeholders </w:t>
      </w:r>
      <w:r w:rsidR="00A22BF7">
        <w:rPr>
          <w:lang w:eastAsia="en-GB"/>
        </w:rPr>
        <w:t xml:space="preserve">as essential </w:t>
      </w:r>
      <w:r w:rsidR="002423B8">
        <w:rPr>
          <w:lang w:eastAsia="en-GB"/>
        </w:rPr>
        <w:t>for</w:t>
      </w:r>
      <w:r w:rsidR="001269C4">
        <w:rPr>
          <w:lang w:eastAsia="en-GB"/>
        </w:rPr>
        <w:t xml:space="preserve"> registrars to be equitable in their practice.</w:t>
      </w:r>
      <w:r w:rsidR="00FE77F9">
        <w:rPr>
          <w:lang w:eastAsia="en-GB"/>
        </w:rPr>
        <w:t xml:space="preserve"> </w:t>
      </w:r>
    </w:p>
    <w:p w14:paraId="582C4E4F" w14:textId="48178FDE" w:rsidR="008B4DBB" w:rsidRPr="00CB5526" w:rsidRDefault="008B4DBB" w:rsidP="00A93737">
      <w:pPr>
        <w:pStyle w:val="Quotes"/>
        <w:rPr>
          <w:noProof w:val="0"/>
          <w:lang w:eastAsia="en-GB"/>
        </w:rPr>
      </w:pPr>
      <w:r w:rsidRPr="00CB5526">
        <w:rPr>
          <w:noProof w:val="0"/>
          <w:lang w:eastAsia="en-GB"/>
        </w:rPr>
        <w:t>Seriously allowing these providers to provide kaupapa M</w:t>
      </w:r>
      <w:r w:rsidR="00A93737" w:rsidRPr="00CB5526">
        <w:rPr>
          <w:noProof w:val="0"/>
          <w:lang w:eastAsia="en-GB"/>
        </w:rPr>
        <w:t>ā</w:t>
      </w:r>
      <w:r w:rsidRPr="00CB5526">
        <w:rPr>
          <w:noProof w:val="0"/>
          <w:lang w:eastAsia="en-GB"/>
        </w:rPr>
        <w:t>ori/Pacific solutions for their communities and trusting them with the resources to carry out their mah</w:t>
      </w:r>
      <w:r w:rsidR="00A93737" w:rsidRPr="00CB5526">
        <w:rPr>
          <w:noProof w:val="0"/>
          <w:lang w:eastAsia="en-GB"/>
        </w:rPr>
        <w:t>i</w:t>
      </w:r>
      <w:r w:rsidR="002423B8">
        <w:rPr>
          <w:noProof w:val="0"/>
          <w:lang w:eastAsia="en-GB"/>
        </w:rPr>
        <w:t>.</w:t>
      </w:r>
      <w:r w:rsidR="00A93737" w:rsidRPr="00CB5526">
        <w:rPr>
          <w:noProof w:val="0"/>
          <w:lang w:eastAsia="en-GB"/>
        </w:rPr>
        <w:t xml:space="preserve"> (Registrar, survey data)</w:t>
      </w:r>
    </w:p>
    <w:p w14:paraId="014323D6" w14:textId="0C8D8602" w:rsidR="007F6B25" w:rsidRPr="00CB5526" w:rsidRDefault="00334589" w:rsidP="00865821">
      <w:pPr>
        <w:rPr>
          <w:lang w:eastAsia="en-GB"/>
        </w:rPr>
      </w:pPr>
      <w:r>
        <w:rPr>
          <w:lang w:eastAsia="en-GB"/>
        </w:rPr>
        <w:t xml:space="preserve">A review </w:t>
      </w:r>
      <w:r w:rsidR="008A77BE">
        <w:rPr>
          <w:lang w:eastAsia="en-GB"/>
        </w:rPr>
        <w:t xml:space="preserve">was suggested to </w:t>
      </w:r>
      <w:r w:rsidR="00F1141C">
        <w:rPr>
          <w:lang w:eastAsia="en-GB"/>
        </w:rPr>
        <w:t xml:space="preserve">increase remuneration to </w:t>
      </w:r>
      <w:r w:rsidR="008A77BE">
        <w:rPr>
          <w:lang w:eastAsia="en-GB"/>
        </w:rPr>
        <w:t>better reflect th</w:t>
      </w:r>
      <w:r w:rsidR="004F06A3">
        <w:rPr>
          <w:lang w:eastAsia="en-GB"/>
        </w:rPr>
        <w:t xml:space="preserve">e realities of working in Māori and Pacific communities. Survey respondents </w:t>
      </w:r>
      <w:r w:rsidR="00B223C9">
        <w:rPr>
          <w:lang w:eastAsia="en-GB"/>
        </w:rPr>
        <w:t>also noted th</w:t>
      </w:r>
      <w:r w:rsidR="0030559F">
        <w:rPr>
          <w:lang w:eastAsia="en-GB"/>
        </w:rPr>
        <w:t xml:space="preserve">e models of </w:t>
      </w:r>
      <w:proofErr w:type="gramStart"/>
      <w:r w:rsidR="0030559F">
        <w:rPr>
          <w:lang w:eastAsia="en-GB"/>
        </w:rPr>
        <w:t>care</w:t>
      </w:r>
      <w:proofErr w:type="gramEnd"/>
      <w:r w:rsidR="0030559F">
        <w:rPr>
          <w:lang w:eastAsia="en-GB"/>
        </w:rPr>
        <w:t xml:space="preserve"> and 15</w:t>
      </w:r>
      <w:r w:rsidR="00733645">
        <w:rPr>
          <w:lang w:eastAsia="en-GB"/>
        </w:rPr>
        <w:t>-</w:t>
      </w:r>
      <w:r w:rsidR="0030559F">
        <w:rPr>
          <w:lang w:eastAsia="en-GB"/>
        </w:rPr>
        <w:t>minute appointments</w:t>
      </w:r>
      <w:r w:rsidR="00733645">
        <w:rPr>
          <w:lang w:eastAsia="en-GB"/>
        </w:rPr>
        <w:t xml:space="preserve"> were barriers </w:t>
      </w:r>
      <w:r w:rsidR="00017033">
        <w:rPr>
          <w:lang w:eastAsia="en-GB"/>
        </w:rPr>
        <w:t xml:space="preserve">to </w:t>
      </w:r>
      <w:r w:rsidR="007A54FC">
        <w:rPr>
          <w:lang w:eastAsia="en-GB"/>
        </w:rPr>
        <w:t xml:space="preserve">supporting </w:t>
      </w:r>
      <w:r w:rsidR="003312A8">
        <w:rPr>
          <w:lang w:eastAsia="en-GB"/>
        </w:rPr>
        <w:t xml:space="preserve">the </w:t>
      </w:r>
      <w:r w:rsidR="003312A8">
        <w:rPr>
          <w:lang w:eastAsia="en-GB"/>
        </w:rPr>
        <w:lastRenderedPageBreak/>
        <w:t>complex</w:t>
      </w:r>
      <w:r w:rsidR="0030559F">
        <w:rPr>
          <w:lang w:eastAsia="en-GB"/>
        </w:rPr>
        <w:t xml:space="preserve"> presentations that registrars and doctors were seeing</w:t>
      </w:r>
      <w:r w:rsidR="009F57C4">
        <w:rPr>
          <w:lang w:eastAsia="en-GB"/>
        </w:rPr>
        <w:t xml:space="preserve"> in Māori, Pacific and rural settings</w:t>
      </w:r>
      <w:r w:rsidR="0030559F">
        <w:rPr>
          <w:lang w:eastAsia="en-GB"/>
        </w:rPr>
        <w:t xml:space="preserve">. </w:t>
      </w:r>
    </w:p>
    <w:p w14:paraId="43E36C3F" w14:textId="6C897C3E" w:rsidR="00865821" w:rsidRPr="00CB5526" w:rsidRDefault="008008F0" w:rsidP="008008F0">
      <w:pPr>
        <w:pStyle w:val="Quotes"/>
        <w:rPr>
          <w:noProof w:val="0"/>
          <w:lang w:eastAsia="en-GB"/>
        </w:rPr>
      </w:pPr>
      <w:proofErr w:type="gramStart"/>
      <w:r w:rsidRPr="00CB5526">
        <w:rPr>
          <w:noProof w:val="0"/>
          <w:lang w:eastAsia="en-GB"/>
        </w:rPr>
        <w:t>At the moment</w:t>
      </w:r>
      <w:proofErr w:type="gramEnd"/>
      <w:r w:rsidRPr="00CB5526">
        <w:rPr>
          <w:noProof w:val="0"/>
          <w:lang w:eastAsia="en-GB"/>
        </w:rPr>
        <w:t>, the funding system (capitation), favours those working in wealthy NZ European urban settings.</w:t>
      </w:r>
      <w:r w:rsidR="00FE77F9">
        <w:rPr>
          <w:noProof w:val="0"/>
          <w:lang w:eastAsia="en-GB"/>
        </w:rPr>
        <w:t xml:space="preserve"> </w:t>
      </w:r>
      <w:r w:rsidRPr="00CB5526">
        <w:rPr>
          <w:noProof w:val="0"/>
          <w:lang w:eastAsia="en-GB"/>
        </w:rPr>
        <w:t>Change the funding model so that doctors working with Māori and Pasifika communities are the best remunerated</w:t>
      </w:r>
      <w:r w:rsidR="00C532A3">
        <w:rPr>
          <w:noProof w:val="0"/>
          <w:lang w:eastAsia="en-GB"/>
        </w:rPr>
        <w:t>.</w:t>
      </w:r>
      <w:r w:rsidRPr="00CB5526">
        <w:rPr>
          <w:noProof w:val="0"/>
          <w:lang w:eastAsia="en-GB"/>
        </w:rPr>
        <w:t xml:space="preserve"> (Registrar, survey data)</w:t>
      </w:r>
    </w:p>
    <w:p w14:paraId="47738ECD" w14:textId="739C12E3" w:rsidR="009A07B8" w:rsidRDefault="009A07B8" w:rsidP="00905C2C">
      <w:pPr>
        <w:pStyle w:val="MalaHeading1"/>
      </w:pPr>
      <w:bookmarkStart w:id="88" w:name="_Toc105853925"/>
      <w:r w:rsidRPr="00CB5526">
        <w:lastRenderedPageBreak/>
        <w:t>Summary and recommendations</w:t>
      </w:r>
      <w:bookmarkEnd w:id="88"/>
    </w:p>
    <w:p w14:paraId="390AA597" w14:textId="69119BBA" w:rsidR="005079C4" w:rsidRDefault="00D169A0" w:rsidP="00296CD8">
      <w:pPr>
        <w:rPr>
          <w:lang w:eastAsia="en-GB"/>
        </w:rPr>
      </w:pPr>
      <w:r w:rsidRPr="005477FD">
        <w:rPr>
          <w:rFonts w:cs="Calibri"/>
          <w:lang w:eastAsia="en-GB"/>
        </w:rPr>
        <w:t xml:space="preserve">There is no doubt that </w:t>
      </w:r>
      <w:r w:rsidR="005079C4" w:rsidRPr="005477FD">
        <w:rPr>
          <w:rFonts w:cs="Calibri"/>
          <w:lang w:eastAsia="en-GB"/>
        </w:rPr>
        <w:t>primary care offers value for money within the health sector.</w:t>
      </w:r>
      <w:r w:rsidR="005477FD">
        <w:rPr>
          <w:lang w:eastAsia="en-GB"/>
        </w:rPr>
        <w:t xml:space="preserve"> </w:t>
      </w:r>
      <w:r w:rsidR="00C02AAD">
        <w:rPr>
          <w:lang w:eastAsia="en-GB"/>
        </w:rPr>
        <w:t>There is considerable evidence that</w:t>
      </w:r>
      <w:r w:rsidR="00A94863">
        <w:rPr>
          <w:lang w:eastAsia="en-GB"/>
        </w:rPr>
        <w:t xml:space="preserve"> prevention, early </w:t>
      </w:r>
      <w:proofErr w:type="gramStart"/>
      <w:r w:rsidR="00A94863">
        <w:rPr>
          <w:lang w:eastAsia="en-GB"/>
        </w:rPr>
        <w:t>intervention</w:t>
      </w:r>
      <w:proofErr w:type="gramEnd"/>
      <w:r w:rsidR="00A94863">
        <w:rPr>
          <w:lang w:eastAsia="en-GB"/>
        </w:rPr>
        <w:t xml:space="preserve"> and treatment in</w:t>
      </w:r>
      <w:r w:rsidR="00C02AAD">
        <w:rPr>
          <w:lang w:eastAsia="en-GB"/>
        </w:rPr>
        <w:t xml:space="preserve"> primary care </w:t>
      </w:r>
      <w:r w:rsidR="00B32823">
        <w:rPr>
          <w:lang w:eastAsia="en-GB"/>
        </w:rPr>
        <w:t>reduce the costs associated with other parts of the health sector</w:t>
      </w:r>
      <w:r w:rsidR="001534F9">
        <w:rPr>
          <w:rStyle w:val="FootnoteReference"/>
          <w:lang w:eastAsia="en-GB"/>
        </w:rPr>
        <w:footnoteReference w:id="33"/>
      </w:r>
      <w:r w:rsidR="00B32823">
        <w:rPr>
          <w:lang w:eastAsia="en-GB"/>
        </w:rPr>
        <w:t>.</w:t>
      </w:r>
    </w:p>
    <w:p w14:paraId="3181441C" w14:textId="6B5F07B3" w:rsidR="005477FD" w:rsidRDefault="00334D98" w:rsidP="00334D98">
      <w:pPr>
        <w:rPr>
          <w:lang w:eastAsia="en-GB"/>
        </w:rPr>
      </w:pPr>
      <w:r>
        <w:rPr>
          <w:lang w:eastAsia="en-GB"/>
        </w:rPr>
        <w:t xml:space="preserve">Often cited work by Starfield found that </w:t>
      </w:r>
      <w:r>
        <w:rPr>
          <w:shd w:val="clear" w:color="auto" w:fill="FFFFFF"/>
        </w:rPr>
        <w:t>that primary care (in contrast to specialty care) is associated with a more equitable distribution of health in populations</w:t>
      </w:r>
      <w:r>
        <w:rPr>
          <w:rStyle w:val="FootnoteReference"/>
          <w:shd w:val="clear" w:color="auto" w:fill="FFFFFF"/>
        </w:rPr>
        <w:footnoteReference w:id="34"/>
      </w:r>
      <w:r>
        <w:rPr>
          <w:shd w:val="clear" w:color="auto" w:fill="FFFFFF"/>
        </w:rPr>
        <w:t>.</w:t>
      </w:r>
      <w:r>
        <w:rPr>
          <w:lang w:eastAsia="en-GB"/>
        </w:rPr>
        <w:t xml:space="preserve"> </w:t>
      </w:r>
      <w:r w:rsidR="005477FD">
        <w:rPr>
          <w:lang w:eastAsia="en-GB"/>
        </w:rPr>
        <w:t>A 2012</w:t>
      </w:r>
      <w:r>
        <w:rPr>
          <w:lang w:eastAsia="en-GB"/>
        </w:rPr>
        <w:t>,</w:t>
      </w:r>
      <w:r w:rsidR="005477FD">
        <w:rPr>
          <w:lang w:eastAsia="en-GB"/>
        </w:rPr>
        <w:t xml:space="preserve"> literature review concluded</w:t>
      </w:r>
      <w:r>
        <w:rPr>
          <w:lang w:eastAsia="en-GB"/>
        </w:rPr>
        <w:t>:</w:t>
      </w:r>
    </w:p>
    <w:p w14:paraId="2B0975D2" w14:textId="327E0D2B" w:rsidR="005477FD" w:rsidRDefault="005477FD" w:rsidP="005477FD">
      <w:pPr>
        <w:pStyle w:val="Quotes"/>
        <w:rPr>
          <w:lang w:eastAsia="en-GB"/>
        </w:rPr>
      </w:pPr>
      <w:r>
        <w:rPr>
          <w:shd w:val="clear" w:color="auto" w:fill="FFFFFF"/>
        </w:rPr>
        <w:t>In both developed and developing countries, primary care has been demonstrated to be associated with enhanced access to healthcare services, better health outcomes, and a decrease in hospitalisation and use of emergency department visits. Primary care can also help counteract the negative impact of poor economic conditions on health</w:t>
      </w:r>
      <w:r>
        <w:rPr>
          <w:rStyle w:val="FootnoteReference"/>
          <w:shd w:val="clear" w:color="auto" w:fill="FFFFFF"/>
        </w:rPr>
        <w:footnoteReference w:id="35"/>
      </w:r>
      <w:r>
        <w:rPr>
          <w:shd w:val="clear" w:color="auto" w:fill="FFFFFF"/>
        </w:rPr>
        <w:t>.</w:t>
      </w:r>
    </w:p>
    <w:p w14:paraId="5787AAA8" w14:textId="60F7F528" w:rsidR="00B32823" w:rsidRPr="00CB5526" w:rsidRDefault="00B32823" w:rsidP="00B32823">
      <w:r w:rsidRPr="00CB5526">
        <w:t xml:space="preserve">A GP Future Workforce Requirements report commissioned by </w:t>
      </w:r>
      <w:r>
        <w:t>the College</w:t>
      </w:r>
      <w:r w:rsidRPr="00CB5526">
        <w:rPr>
          <w:rStyle w:val="FootnoteReference"/>
        </w:rPr>
        <w:footnoteReference w:id="36"/>
      </w:r>
      <w:r w:rsidRPr="00CB5526">
        <w:t xml:space="preserve"> </w:t>
      </w:r>
      <w:r w:rsidR="00334D98">
        <w:t>provided examples of cost savings through general practice</w:t>
      </w:r>
      <w:r w:rsidRPr="00CB5526">
        <w:t>:</w:t>
      </w:r>
    </w:p>
    <w:p w14:paraId="0AAAD8FC" w14:textId="5176C250" w:rsidR="00B32823" w:rsidRPr="00CB5526" w:rsidRDefault="00B32823" w:rsidP="00B32823">
      <w:pPr>
        <w:pStyle w:val="Bulleted"/>
      </w:pPr>
      <w:r w:rsidRPr="00CB5526">
        <w:t>10 extra GPs per 100,000 people means about 30 people a year would</w:t>
      </w:r>
      <w:r w:rsidR="00B81B68">
        <w:t xml:space="preserve"> not</w:t>
      </w:r>
      <w:r w:rsidRPr="00CB5526">
        <w:t xml:space="preserve"> die from cancer, respiratory, and cardiovascular issues.</w:t>
      </w:r>
    </w:p>
    <w:p w14:paraId="5752E8E1" w14:textId="77777777" w:rsidR="00B32823" w:rsidRPr="00CB5526" w:rsidRDefault="00B32823" w:rsidP="00B32823">
      <w:pPr>
        <w:pStyle w:val="Bulleted"/>
      </w:pPr>
      <w:r w:rsidRPr="00CB5526">
        <w:t>More GPs would save the economy $139.6 million in health savings a year ($150m per year in savings minus the cost of $10.4m to train more GPs).</w:t>
      </w:r>
    </w:p>
    <w:p w14:paraId="65560518" w14:textId="76064E7B" w:rsidR="0047373D" w:rsidRDefault="0047373D" w:rsidP="0047373D">
      <w:r>
        <w:t xml:space="preserve">The GPEP funding review is focused on the GPEP funding model and the extent it is an effective vehicle to attract registrars to GPEP and to enable a clinically and culturally competent GP workforce across Aotearoa New Zealand. </w:t>
      </w:r>
    </w:p>
    <w:p w14:paraId="65C5F67C" w14:textId="23F426B8" w:rsidR="0047373D" w:rsidRDefault="00334D98" w:rsidP="0047373D">
      <w:pPr>
        <w:rPr>
          <w:rFonts w:eastAsiaTheme="minorHAnsi"/>
          <w:lang w:eastAsia="en-GB"/>
        </w:rPr>
      </w:pPr>
      <w:r w:rsidRPr="00334D98">
        <w:t>A health workforce funding review in 2020</w:t>
      </w:r>
      <w:r>
        <w:rPr>
          <w:rStyle w:val="FootnoteReference"/>
        </w:rPr>
        <w:footnoteReference w:id="37"/>
      </w:r>
      <w:r w:rsidRPr="00334D98">
        <w:t xml:space="preserve">, </w:t>
      </w:r>
      <w:r w:rsidR="007C2510" w:rsidRPr="007C2510">
        <w:rPr>
          <w:rFonts w:eastAsiaTheme="minorHAnsi"/>
          <w:lang w:eastAsia="en-GB"/>
        </w:rPr>
        <w:t xml:space="preserve">identified </w:t>
      </w:r>
      <w:r w:rsidR="00EF3640" w:rsidRPr="007C2510">
        <w:rPr>
          <w:rFonts w:eastAsiaTheme="minorHAnsi"/>
          <w:lang w:eastAsia="en-GB"/>
        </w:rPr>
        <w:t>several</w:t>
      </w:r>
      <w:r w:rsidR="007C2510" w:rsidRPr="007C2510">
        <w:rPr>
          <w:rFonts w:eastAsiaTheme="minorHAnsi"/>
          <w:lang w:eastAsia="en-GB"/>
        </w:rPr>
        <w:t xml:space="preserve"> issues related to the development of the workforce, including: </w:t>
      </w:r>
    </w:p>
    <w:p w14:paraId="4DDDD721" w14:textId="1DF63275" w:rsidR="0047373D" w:rsidRDefault="007C2510" w:rsidP="0047373D">
      <w:pPr>
        <w:pStyle w:val="Bulleted"/>
        <w:rPr>
          <w:rFonts w:eastAsiaTheme="minorHAnsi"/>
          <w:lang w:eastAsia="en-GB"/>
        </w:rPr>
      </w:pPr>
      <w:r w:rsidRPr="007C2510">
        <w:rPr>
          <w:rFonts w:eastAsiaTheme="minorHAnsi"/>
          <w:lang w:eastAsia="en-GB"/>
        </w:rPr>
        <w:t xml:space="preserve">The workforce not reflecting the population it serves, with low participation from Māori and </w:t>
      </w:r>
      <w:r w:rsidR="00880999">
        <w:rPr>
          <w:rFonts w:eastAsiaTheme="minorHAnsi"/>
          <w:lang w:eastAsia="en-GB"/>
        </w:rPr>
        <w:t>Pacific</w:t>
      </w:r>
      <w:r w:rsidR="007904B6">
        <w:rPr>
          <w:rFonts w:eastAsiaTheme="minorHAnsi"/>
          <w:lang w:eastAsia="en-GB"/>
        </w:rPr>
        <w:t xml:space="preserve"> </w:t>
      </w:r>
    </w:p>
    <w:p w14:paraId="0B3FD43A" w14:textId="77777777" w:rsidR="0047373D" w:rsidRDefault="007C2510" w:rsidP="0047373D">
      <w:pPr>
        <w:pStyle w:val="Bulleted"/>
        <w:rPr>
          <w:rFonts w:eastAsiaTheme="minorHAnsi"/>
          <w:lang w:eastAsia="en-GB"/>
        </w:rPr>
      </w:pPr>
      <w:r w:rsidRPr="007C2510">
        <w:rPr>
          <w:rFonts w:eastAsiaTheme="minorHAnsi"/>
          <w:lang w:eastAsia="en-GB"/>
        </w:rPr>
        <w:lastRenderedPageBreak/>
        <w:t>A need for stronger leadership</w:t>
      </w:r>
    </w:p>
    <w:p w14:paraId="3E6D2E8B" w14:textId="77777777" w:rsidR="0047373D" w:rsidRDefault="007C2510" w:rsidP="0047373D">
      <w:pPr>
        <w:pStyle w:val="Bulleted"/>
        <w:rPr>
          <w:rFonts w:eastAsiaTheme="minorHAnsi"/>
          <w:lang w:eastAsia="en-GB"/>
        </w:rPr>
      </w:pPr>
      <w:r w:rsidRPr="007C2510">
        <w:rPr>
          <w:rFonts w:eastAsiaTheme="minorHAnsi"/>
          <w:lang w:eastAsia="en-GB"/>
        </w:rPr>
        <w:t>A need to respond to changing work types and demand for different skills</w:t>
      </w:r>
    </w:p>
    <w:p w14:paraId="75D7535D" w14:textId="668262FE" w:rsidR="0047373D" w:rsidRDefault="0047373D" w:rsidP="0047373D">
      <w:pPr>
        <w:pStyle w:val="Bulleted"/>
        <w:rPr>
          <w:rFonts w:eastAsiaTheme="minorHAnsi"/>
          <w:lang w:eastAsia="en-GB"/>
        </w:rPr>
      </w:pPr>
      <w:r>
        <w:rPr>
          <w:rFonts w:eastAsiaTheme="minorHAnsi"/>
          <w:lang w:eastAsia="en-GB"/>
        </w:rPr>
        <w:t>A</w:t>
      </w:r>
      <w:r w:rsidR="007C2510" w:rsidRPr="007C2510">
        <w:rPr>
          <w:rFonts w:eastAsiaTheme="minorHAnsi"/>
          <w:lang w:eastAsia="en-GB"/>
        </w:rPr>
        <w:t xml:space="preserve"> greater focus on acting in a more multidisciplinary way</w:t>
      </w:r>
    </w:p>
    <w:p w14:paraId="28BCF8EB" w14:textId="5206B6AE" w:rsidR="007C2510" w:rsidRDefault="0047373D" w:rsidP="0047373D">
      <w:pPr>
        <w:pStyle w:val="Bulleted"/>
        <w:rPr>
          <w:rFonts w:eastAsiaTheme="minorHAnsi"/>
          <w:lang w:eastAsia="en-GB"/>
        </w:rPr>
      </w:pPr>
      <w:r>
        <w:rPr>
          <w:rFonts w:eastAsiaTheme="minorHAnsi"/>
          <w:lang w:eastAsia="en-GB"/>
        </w:rPr>
        <w:t>T</w:t>
      </w:r>
      <w:r w:rsidR="007C2510" w:rsidRPr="007C2510">
        <w:rPr>
          <w:rFonts w:eastAsiaTheme="minorHAnsi"/>
          <w:lang w:eastAsia="en-GB"/>
        </w:rPr>
        <w:t xml:space="preserve">raining methods that have changed little in the past twenty years, which include a high reliance on supervision which may constrain system capacity.  </w:t>
      </w:r>
    </w:p>
    <w:p w14:paraId="3FB1F54C" w14:textId="06DE4DA1" w:rsidR="00EF3640" w:rsidRDefault="009F2B51" w:rsidP="00EF3640">
      <w:pPr>
        <w:spacing w:before="120"/>
      </w:pPr>
      <w:r>
        <w:t>There</w:t>
      </w:r>
      <w:r w:rsidR="001534F9">
        <w:t xml:space="preserve"> are </w:t>
      </w:r>
      <w:r>
        <w:t xml:space="preserve">also </w:t>
      </w:r>
      <w:r w:rsidR="00EF3640">
        <w:t>systemic challenges to strengthening the GP workforce that need to be highlighted to encourage sector wide responses includ</w:t>
      </w:r>
      <w:r>
        <w:t>ing</w:t>
      </w:r>
      <w:r w:rsidR="00EF3640">
        <w:t>:</w:t>
      </w:r>
    </w:p>
    <w:p w14:paraId="291C4605" w14:textId="77777777" w:rsidR="00EF3640" w:rsidRDefault="00EF3640" w:rsidP="00EF3640">
      <w:pPr>
        <w:pStyle w:val="Bulleted"/>
      </w:pPr>
      <w:r>
        <w:t>Lower NCEA 3 completion rates by rangatahi Māori and Pacific young people</w:t>
      </w:r>
    </w:p>
    <w:p w14:paraId="3CB6E663" w14:textId="1954BF7B" w:rsidR="00EF3640" w:rsidRDefault="00EF3640" w:rsidP="00EF3640">
      <w:pPr>
        <w:pStyle w:val="Bulleted"/>
      </w:pPr>
      <w:r>
        <w:t>The profile of general practice within medical schools and DHBs where those we interviewed described post-graduate doctors being discouraged from considering general practice and lack of exposure to general practice during the post-graduate years</w:t>
      </w:r>
    </w:p>
    <w:p w14:paraId="4FB14320" w14:textId="4DAD65EA" w:rsidR="00EF3640" w:rsidRDefault="00EF3640" w:rsidP="00EF3640">
      <w:pPr>
        <w:pStyle w:val="Bulleted"/>
      </w:pPr>
      <w:r>
        <w:t xml:space="preserve">The ability to practice as a GP without being a fellow of the </w:t>
      </w:r>
      <w:r w:rsidR="009F2B51">
        <w:t>C</w:t>
      </w:r>
      <w:r>
        <w:t xml:space="preserve">ollege, less intensive vocational training than other disciplines and salary </w:t>
      </w:r>
      <w:r w:rsidR="009F2B51">
        <w:t xml:space="preserve">differences between GPEP and other vocational programmes </w:t>
      </w:r>
      <w:r>
        <w:t>that all contribute to perceptions of general practice as a lesser speciality.</w:t>
      </w:r>
    </w:p>
    <w:p w14:paraId="669B0487" w14:textId="7EF16F14" w:rsidR="0047373D" w:rsidRPr="00CB5526" w:rsidRDefault="00EF3640" w:rsidP="0047373D">
      <w:pPr>
        <w:rPr>
          <w:rFonts w:eastAsiaTheme="minorHAnsi"/>
          <w:lang w:eastAsia="en-GB"/>
        </w:rPr>
      </w:pPr>
      <w:r>
        <w:t xml:space="preserve">Meeting these challenges to the GP workforce </w:t>
      </w:r>
      <w:r w:rsidR="0047373D">
        <w:t xml:space="preserve">require responses that extend the scope of the current </w:t>
      </w:r>
      <w:r>
        <w:t xml:space="preserve">GPEP </w:t>
      </w:r>
      <w:r w:rsidR="0047373D">
        <w:t>funding model</w:t>
      </w:r>
      <w:r>
        <w:t>.</w:t>
      </w:r>
      <w:r w:rsidR="00742D09">
        <w:t xml:space="preserve"> </w:t>
      </w:r>
    </w:p>
    <w:p w14:paraId="3996B360" w14:textId="3E9B770F" w:rsidR="00F4675F" w:rsidRDefault="00F4675F" w:rsidP="00A16840">
      <w:pPr>
        <w:pStyle w:val="Heading2"/>
      </w:pPr>
      <w:bookmarkStart w:id="89" w:name="_Toc104816949"/>
      <w:bookmarkStart w:id="90" w:name="_Toc105853926"/>
      <w:r>
        <w:t>Equity</w:t>
      </w:r>
      <w:bookmarkEnd w:id="89"/>
      <w:bookmarkEnd w:id="90"/>
    </w:p>
    <w:p w14:paraId="2DFB7EF1" w14:textId="25AEAFB0" w:rsidR="000542A8" w:rsidRDefault="000542A8" w:rsidP="000542A8">
      <w:r>
        <w:t>An equity lens has been used in developing t</w:t>
      </w:r>
      <w:r w:rsidR="00DD778F">
        <w:t>he</w:t>
      </w:r>
      <w:r>
        <w:t xml:space="preserve"> review c</w:t>
      </w:r>
      <w:r w:rsidR="00DD778F">
        <w:t>onclusions and</w:t>
      </w:r>
      <w:r w:rsidR="006928DA">
        <w:t xml:space="preserve"> </w:t>
      </w:r>
      <w:r>
        <w:t xml:space="preserve">associated </w:t>
      </w:r>
      <w:r w:rsidR="006928DA">
        <w:t>recommendations</w:t>
      </w:r>
      <w:r>
        <w:t xml:space="preserve">. The </w:t>
      </w:r>
      <w:r w:rsidR="00342B7D">
        <w:t>key messages from an equity perspective are:</w:t>
      </w:r>
    </w:p>
    <w:p w14:paraId="29B4B66B" w14:textId="77777777" w:rsidR="007E399F" w:rsidRDefault="007E399F" w:rsidP="007E399F">
      <w:pPr>
        <w:pStyle w:val="Bulleted"/>
        <w:rPr>
          <w:lang w:eastAsia="en-GB"/>
        </w:rPr>
      </w:pPr>
      <w:r>
        <w:rPr>
          <w:lang w:eastAsia="en-GB"/>
        </w:rPr>
        <w:t xml:space="preserve">The equity components of training and support for Māori and Pacific registrars are 2% of the current GPEP contract. </w:t>
      </w:r>
    </w:p>
    <w:p w14:paraId="1F020C91" w14:textId="2B1F89A5" w:rsidR="0078112D" w:rsidRDefault="00DD778F" w:rsidP="0078112D">
      <w:pPr>
        <w:pStyle w:val="Bulleted"/>
        <w:rPr>
          <w:lang w:eastAsia="en-GB"/>
        </w:rPr>
      </w:pPr>
      <w:r>
        <w:rPr>
          <w:lang w:eastAsia="en-GB"/>
        </w:rPr>
        <w:t>Māori voice and representation from Iwi</w:t>
      </w:r>
      <w:r w:rsidR="00E70479">
        <w:rPr>
          <w:lang w:eastAsia="en-GB"/>
        </w:rPr>
        <w:t xml:space="preserve"> is </w:t>
      </w:r>
      <w:r w:rsidR="00F057D9">
        <w:rPr>
          <w:lang w:eastAsia="en-GB"/>
        </w:rPr>
        <w:t>not evident in developing the contract content</w:t>
      </w:r>
      <w:r w:rsidR="00A02B4C">
        <w:rPr>
          <w:lang w:eastAsia="en-GB"/>
        </w:rPr>
        <w:t xml:space="preserve"> or in partnerships </w:t>
      </w:r>
      <w:r w:rsidR="00995E9E">
        <w:rPr>
          <w:lang w:eastAsia="en-GB"/>
        </w:rPr>
        <w:t>to deliver education to GPEP registrars</w:t>
      </w:r>
      <w:r w:rsidR="00706F8B">
        <w:rPr>
          <w:lang w:eastAsia="en-GB"/>
        </w:rPr>
        <w:t>.</w:t>
      </w:r>
      <w:r>
        <w:rPr>
          <w:lang w:eastAsia="en-GB"/>
        </w:rPr>
        <w:t xml:space="preserve"> </w:t>
      </w:r>
    </w:p>
    <w:p w14:paraId="0418EBD4" w14:textId="4C6389F3" w:rsidR="00DD778F" w:rsidRPr="00CB5526" w:rsidRDefault="0078112D" w:rsidP="0078112D">
      <w:pPr>
        <w:pStyle w:val="Bulleted"/>
        <w:rPr>
          <w:lang w:eastAsia="en-GB"/>
        </w:rPr>
      </w:pPr>
      <w:r>
        <w:rPr>
          <w:lang w:eastAsia="en-GB"/>
        </w:rPr>
        <w:t>The funding model must enable</w:t>
      </w:r>
      <w:r w:rsidR="00DD778F">
        <w:rPr>
          <w:lang w:eastAsia="en-GB"/>
        </w:rPr>
        <w:t xml:space="preserve"> stronger cultural </w:t>
      </w:r>
      <w:r w:rsidR="007006C1">
        <w:rPr>
          <w:lang w:eastAsia="en-GB"/>
        </w:rPr>
        <w:t>safety education</w:t>
      </w:r>
      <w:r w:rsidR="00DD778F">
        <w:rPr>
          <w:lang w:eastAsia="en-GB"/>
        </w:rPr>
        <w:t xml:space="preserve"> and ensure it is available and accessible throughout the entire </w:t>
      </w:r>
      <w:r>
        <w:rPr>
          <w:lang w:eastAsia="en-GB"/>
        </w:rPr>
        <w:t>three</w:t>
      </w:r>
      <w:r w:rsidR="008F3E6B">
        <w:rPr>
          <w:lang w:eastAsia="en-GB"/>
        </w:rPr>
        <w:t>-</w:t>
      </w:r>
      <w:r w:rsidR="00DD778F">
        <w:rPr>
          <w:lang w:eastAsia="en-GB"/>
        </w:rPr>
        <w:t xml:space="preserve">year programme. </w:t>
      </w:r>
      <w:r w:rsidR="007006C1">
        <w:rPr>
          <w:lang w:eastAsia="en-GB"/>
        </w:rPr>
        <w:t>Practi</w:t>
      </w:r>
      <w:r w:rsidR="008F3E6B">
        <w:rPr>
          <w:lang w:eastAsia="en-GB"/>
        </w:rPr>
        <w:t xml:space="preserve">sing in a culturally safe way requires experience working with Māori patients and understanding of </w:t>
      </w:r>
      <w:proofErr w:type="spellStart"/>
      <w:r w:rsidR="00A7522C">
        <w:rPr>
          <w:lang w:eastAsia="en-GB"/>
        </w:rPr>
        <w:t>Mātauranga</w:t>
      </w:r>
      <w:proofErr w:type="spellEnd"/>
      <w:r w:rsidR="008F3E6B">
        <w:rPr>
          <w:lang w:eastAsia="en-GB"/>
        </w:rPr>
        <w:t xml:space="preserve"> Māori. </w:t>
      </w:r>
      <w:r w:rsidR="00610146">
        <w:rPr>
          <w:lang w:eastAsia="en-GB"/>
        </w:rPr>
        <w:t xml:space="preserve">Marae days and </w:t>
      </w:r>
      <w:r w:rsidR="00F4675F">
        <w:rPr>
          <w:lang w:eastAsia="en-GB"/>
        </w:rPr>
        <w:t>cultural safety education session</w:t>
      </w:r>
      <w:r w:rsidR="00DD24F2">
        <w:rPr>
          <w:lang w:eastAsia="en-GB"/>
        </w:rPr>
        <w:t>s</w:t>
      </w:r>
      <w:r w:rsidR="00F4675F">
        <w:rPr>
          <w:lang w:eastAsia="en-GB"/>
        </w:rPr>
        <w:t xml:space="preserve">, while valuable </w:t>
      </w:r>
      <w:proofErr w:type="gramStart"/>
      <w:r w:rsidR="00F4675F">
        <w:rPr>
          <w:lang w:eastAsia="en-GB"/>
        </w:rPr>
        <w:t>are</w:t>
      </w:r>
      <w:proofErr w:type="gramEnd"/>
      <w:r w:rsidR="00F4675F">
        <w:rPr>
          <w:lang w:eastAsia="en-GB"/>
        </w:rPr>
        <w:t xml:space="preserve"> not sufficient.</w:t>
      </w:r>
    </w:p>
    <w:p w14:paraId="4B1BD40B" w14:textId="72602187" w:rsidR="00DD778F" w:rsidRPr="00CB5526" w:rsidRDefault="00DD778F" w:rsidP="00DD778F">
      <w:pPr>
        <w:pStyle w:val="Bulleted"/>
        <w:rPr>
          <w:lang w:eastAsia="en-GB"/>
        </w:rPr>
      </w:pPr>
      <w:r w:rsidRPr="00CB5526">
        <w:rPr>
          <w:lang w:eastAsia="en-GB"/>
        </w:rPr>
        <w:t xml:space="preserve">The </w:t>
      </w:r>
      <w:r w:rsidR="00E8112D">
        <w:rPr>
          <w:lang w:eastAsia="en-GB"/>
        </w:rPr>
        <w:t xml:space="preserve">registrar </w:t>
      </w:r>
      <w:r w:rsidRPr="00CB5526">
        <w:rPr>
          <w:lang w:eastAsia="en-GB"/>
        </w:rPr>
        <w:t>employment models</w:t>
      </w:r>
      <w:r>
        <w:rPr>
          <w:lang w:eastAsia="en-GB"/>
        </w:rPr>
        <w:t xml:space="preserve"> need to </w:t>
      </w:r>
      <w:r w:rsidR="00E8112D">
        <w:rPr>
          <w:lang w:eastAsia="en-GB"/>
        </w:rPr>
        <w:t>enable</w:t>
      </w:r>
      <w:r>
        <w:rPr>
          <w:lang w:eastAsia="en-GB"/>
        </w:rPr>
        <w:t xml:space="preserve"> registrars to practice </w:t>
      </w:r>
      <w:r w:rsidR="00EF3640">
        <w:rPr>
          <w:lang w:eastAsia="en-GB"/>
        </w:rPr>
        <w:t xml:space="preserve">in rural locations and </w:t>
      </w:r>
      <w:r>
        <w:rPr>
          <w:lang w:eastAsia="en-GB"/>
        </w:rPr>
        <w:t xml:space="preserve">at kaupapa Māori </w:t>
      </w:r>
      <w:r w:rsidR="00547105">
        <w:rPr>
          <w:lang w:eastAsia="en-GB"/>
        </w:rPr>
        <w:t>and Pacific practices</w:t>
      </w:r>
      <w:r>
        <w:rPr>
          <w:lang w:eastAsia="en-GB"/>
        </w:rPr>
        <w:t xml:space="preserve">. </w:t>
      </w:r>
      <w:r w:rsidR="00D526BE">
        <w:rPr>
          <w:lang w:eastAsia="en-GB"/>
        </w:rPr>
        <w:t xml:space="preserve">More understanding is needed about the barriers for kaupapa Māori and Pacific </w:t>
      </w:r>
      <w:r w:rsidR="00547105">
        <w:rPr>
          <w:lang w:eastAsia="en-GB"/>
        </w:rPr>
        <w:t xml:space="preserve">practices </w:t>
      </w:r>
      <w:r w:rsidR="005449DE">
        <w:rPr>
          <w:lang w:eastAsia="en-GB"/>
        </w:rPr>
        <w:t>to offer placements</w:t>
      </w:r>
      <w:r w:rsidR="00137A32">
        <w:rPr>
          <w:lang w:eastAsia="en-GB"/>
        </w:rPr>
        <w:t xml:space="preserve"> for registrars</w:t>
      </w:r>
      <w:r w:rsidR="005449DE">
        <w:rPr>
          <w:lang w:eastAsia="en-GB"/>
        </w:rPr>
        <w:t>. Strategies must be developed to respond to the barriers</w:t>
      </w:r>
      <w:r>
        <w:rPr>
          <w:lang w:eastAsia="en-GB"/>
        </w:rPr>
        <w:t xml:space="preserve">. </w:t>
      </w:r>
    </w:p>
    <w:p w14:paraId="30CAC2EF" w14:textId="1D3CE03E" w:rsidR="009B6DCA" w:rsidRPr="009B6DCA" w:rsidRDefault="005449DE" w:rsidP="005449DE">
      <w:pPr>
        <w:pStyle w:val="Bulleted"/>
        <w:rPr>
          <w:rStyle w:val="cf01"/>
          <w:rFonts w:ascii="Calibri" w:hAnsi="Calibri" w:cs="Times New Roman"/>
          <w:sz w:val="22"/>
          <w:szCs w:val="22"/>
        </w:rPr>
      </w:pPr>
      <w:r w:rsidRPr="00CC1E62">
        <w:rPr>
          <w:lang w:eastAsia="en-GB"/>
        </w:rPr>
        <w:lastRenderedPageBreak/>
        <w:t xml:space="preserve">Partnerships with mana whenua </w:t>
      </w:r>
      <w:r>
        <w:rPr>
          <w:lang w:eastAsia="en-GB"/>
        </w:rPr>
        <w:t>provide opportunities to</w:t>
      </w:r>
      <w:r w:rsidRPr="00CC1E62">
        <w:rPr>
          <w:lang w:eastAsia="en-GB"/>
        </w:rPr>
        <w:t xml:space="preserve"> strengthen registrar and teachers’ cultural understandings and experiences. A </w:t>
      </w:r>
      <w:r w:rsidRPr="00CC1E62">
        <w:rPr>
          <w:rStyle w:val="cf01"/>
          <w:rFonts w:ascii="Calibri" w:hAnsi="Calibri" w:cs="Calibri"/>
          <w:sz w:val="22"/>
          <w:szCs w:val="22"/>
        </w:rPr>
        <w:t>mana whenua approach will enable a localised response or enable registrars to care for patients in a way that considers the community and context wh</w:t>
      </w:r>
      <w:r w:rsidR="00B410D8" w:rsidRPr="00CC1E62">
        <w:rPr>
          <w:rStyle w:val="cf01"/>
          <w:rFonts w:ascii="Calibri" w:hAnsi="Calibri" w:cs="Calibri"/>
          <w:sz w:val="22"/>
          <w:szCs w:val="22"/>
        </w:rPr>
        <w:t>ā</w:t>
      </w:r>
      <w:r w:rsidRPr="00CC1E62">
        <w:rPr>
          <w:rStyle w:val="cf01"/>
          <w:rFonts w:ascii="Calibri" w:hAnsi="Calibri" w:cs="Calibri"/>
          <w:sz w:val="22"/>
          <w:szCs w:val="22"/>
        </w:rPr>
        <w:t xml:space="preserve">nau live in (as Māori, </w:t>
      </w:r>
      <w:r w:rsidR="00B410D8" w:rsidRPr="00CC1E62">
        <w:rPr>
          <w:rStyle w:val="cf01"/>
          <w:rFonts w:ascii="Calibri" w:hAnsi="Calibri" w:cs="Calibri"/>
          <w:sz w:val="22"/>
          <w:szCs w:val="22"/>
        </w:rPr>
        <w:t>hapū</w:t>
      </w:r>
      <w:r w:rsidRPr="00CC1E62">
        <w:rPr>
          <w:rStyle w:val="cf01"/>
          <w:rFonts w:ascii="Calibri" w:hAnsi="Calibri" w:cs="Calibri"/>
          <w:sz w:val="22"/>
          <w:szCs w:val="22"/>
        </w:rPr>
        <w:t xml:space="preserve"> and </w:t>
      </w:r>
      <w:r w:rsidR="00547105">
        <w:rPr>
          <w:rStyle w:val="cf01"/>
          <w:rFonts w:ascii="Calibri" w:hAnsi="Calibri" w:cs="Calibri"/>
          <w:sz w:val="22"/>
          <w:szCs w:val="22"/>
        </w:rPr>
        <w:t>I</w:t>
      </w:r>
      <w:r w:rsidRPr="00CC1E62">
        <w:rPr>
          <w:rStyle w:val="cf01"/>
          <w:rFonts w:ascii="Calibri" w:hAnsi="Calibri" w:cs="Calibri"/>
          <w:sz w:val="22"/>
          <w:szCs w:val="22"/>
        </w:rPr>
        <w:t>wi are different in their contexts)</w:t>
      </w:r>
      <w:r>
        <w:rPr>
          <w:rStyle w:val="cf01"/>
          <w:rFonts w:ascii="Calibri" w:hAnsi="Calibri" w:cs="Calibri"/>
          <w:sz w:val="22"/>
          <w:szCs w:val="22"/>
        </w:rPr>
        <w:t>.</w:t>
      </w:r>
      <w:r w:rsidR="00AB221F">
        <w:rPr>
          <w:rStyle w:val="cf01"/>
          <w:rFonts w:ascii="Calibri" w:hAnsi="Calibri" w:cs="Calibri"/>
          <w:sz w:val="22"/>
          <w:szCs w:val="22"/>
        </w:rPr>
        <w:t xml:space="preserve"> </w:t>
      </w:r>
    </w:p>
    <w:p w14:paraId="24EAFA40" w14:textId="1CC44654" w:rsidR="005449DE" w:rsidRPr="00CC1E62" w:rsidRDefault="00AB221F" w:rsidP="005449DE">
      <w:pPr>
        <w:pStyle w:val="Bulleted"/>
      </w:pPr>
      <w:r>
        <w:rPr>
          <w:rStyle w:val="cf01"/>
          <w:rFonts w:ascii="Calibri" w:hAnsi="Calibri" w:cs="Calibri"/>
          <w:sz w:val="22"/>
          <w:szCs w:val="22"/>
        </w:rPr>
        <w:t xml:space="preserve">The cultural components of GPEP training do not need to be </w:t>
      </w:r>
      <w:r w:rsidR="00B62184">
        <w:rPr>
          <w:rStyle w:val="cf01"/>
          <w:rFonts w:ascii="Calibri" w:hAnsi="Calibri" w:cs="Calibri"/>
          <w:sz w:val="22"/>
          <w:szCs w:val="22"/>
        </w:rPr>
        <w:t xml:space="preserve">delivered </w:t>
      </w:r>
      <w:r>
        <w:rPr>
          <w:rStyle w:val="cf01"/>
          <w:rFonts w:ascii="Calibri" w:hAnsi="Calibri" w:cs="Calibri"/>
          <w:sz w:val="22"/>
          <w:szCs w:val="22"/>
        </w:rPr>
        <w:t xml:space="preserve">by </w:t>
      </w:r>
      <w:r w:rsidR="00B62184">
        <w:rPr>
          <w:rStyle w:val="cf01"/>
          <w:rFonts w:ascii="Calibri" w:hAnsi="Calibri" w:cs="Calibri"/>
          <w:sz w:val="22"/>
          <w:szCs w:val="22"/>
        </w:rPr>
        <w:t xml:space="preserve">clinicians. </w:t>
      </w:r>
    </w:p>
    <w:p w14:paraId="085346DF" w14:textId="6351E6FF" w:rsidR="00B62184" w:rsidRDefault="00ED014A" w:rsidP="00A16840">
      <w:pPr>
        <w:pStyle w:val="Heading2"/>
      </w:pPr>
      <w:bookmarkStart w:id="91" w:name="_Toc104816950"/>
      <w:bookmarkStart w:id="92" w:name="_Toc105853927"/>
      <w:r>
        <w:t xml:space="preserve">While </w:t>
      </w:r>
      <w:r w:rsidR="00DE1A0C">
        <w:t xml:space="preserve">GPEP </w:t>
      </w:r>
      <w:r w:rsidR="00E74103">
        <w:t>1</w:t>
      </w:r>
      <w:r w:rsidR="00DE1A0C">
        <w:t xml:space="preserve"> </w:t>
      </w:r>
      <w:r>
        <w:t>provides</w:t>
      </w:r>
      <w:r w:rsidR="00E74103">
        <w:t xml:space="preserve"> a</w:t>
      </w:r>
      <w:r w:rsidR="00B62184">
        <w:t xml:space="preserve"> solid educational foundation</w:t>
      </w:r>
      <w:r>
        <w:t>, GPEP 2 support needs strengthening</w:t>
      </w:r>
      <w:bookmarkEnd w:id="91"/>
      <w:bookmarkEnd w:id="92"/>
    </w:p>
    <w:p w14:paraId="21915446" w14:textId="7279EE8E" w:rsidR="00B62184" w:rsidRPr="007904B6" w:rsidRDefault="00AC339B" w:rsidP="00B62184">
      <w:pPr>
        <w:rPr>
          <w:lang w:eastAsia="en-GB"/>
        </w:rPr>
      </w:pPr>
      <w:r w:rsidRPr="007904B6">
        <w:rPr>
          <w:lang w:eastAsia="en-GB"/>
        </w:rPr>
        <w:t xml:space="preserve">The College provides professional leadership and develops and maintains the educational content of GPEP. </w:t>
      </w:r>
      <w:r w:rsidR="00D716F3" w:rsidRPr="007904B6">
        <w:rPr>
          <w:lang w:eastAsia="en-GB"/>
        </w:rPr>
        <w:t>R</w:t>
      </w:r>
      <w:r w:rsidR="00B62184" w:rsidRPr="007904B6">
        <w:rPr>
          <w:lang w:eastAsia="en-GB"/>
        </w:rPr>
        <w:t>eg</w:t>
      </w:r>
      <w:r w:rsidR="006407E5" w:rsidRPr="007904B6">
        <w:rPr>
          <w:lang w:eastAsia="en-GB"/>
        </w:rPr>
        <w:t xml:space="preserve">istrars, medical </w:t>
      </w:r>
      <w:proofErr w:type="gramStart"/>
      <w:r w:rsidR="006407E5" w:rsidRPr="007904B6">
        <w:rPr>
          <w:lang w:eastAsia="en-GB"/>
        </w:rPr>
        <w:t>educators</w:t>
      </w:r>
      <w:proofErr w:type="gramEnd"/>
      <w:r w:rsidR="006407E5" w:rsidRPr="007904B6">
        <w:rPr>
          <w:lang w:eastAsia="en-GB"/>
        </w:rPr>
        <w:t xml:space="preserve"> and teachers provide</w:t>
      </w:r>
      <w:r w:rsidR="00D716F3" w:rsidRPr="007904B6">
        <w:rPr>
          <w:lang w:eastAsia="en-GB"/>
        </w:rPr>
        <w:t>d</w:t>
      </w:r>
      <w:r w:rsidR="006407E5" w:rsidRPr="007904B6">
        <w:rPr>
          <w:lang w:eastAsia="en-GB"/>
        </w:rPr>
        <w:t xml:space="preserve"> positive feedback about the </w:t>
      </w:r>
      <w:r w:rsidR="00FA4049" w:rsidRPr="007904B6">
        <w:rPr>
          <w:lang w:eastAsia="en-GB"/>
        </w:rPr>
        <w:t>GPEP 1 educational experience</w:t>
      </w:r>
      <w:r w:rsidR="00347D33" w:rsidRPr="007904B6">
        <w:rPr>
          <w:lang w:eastAsia="en-GB"/>
        </w:rPr>
        <w:t xml:space="preserve">. </w:t>
      </w:r>
      <w:r w:rsidR="00134B38" w:rsidRPr="007904B6">
        <w:rPr>
          <w:lang w:eastAsia="en-GB"/>
        </w:rPr>
        <w:t>Registrar</w:t>
      </w:r>
      <w:r w:rsidR="00CF6B3E" w:rsidRPr="007904B6">
        <w:rPr>
          <w:lang w:eastAsia="en-GB"/>
        </w:rPr>
        <w:t xml:space="preserve">s’ </w:t>
      </w:r>
      <w:r w:rsidR="00347D33" w:rsidRPr="007904B6">
        <w:rPr>
          <w:lang w:eastAsia="en-GB"/>
        </w:rPr>
        <w:t xml:space="preserve">reasons for </w:t>
      </w:r>
      <w:r w:rsidR="00134B38" w:rsidRPr="007904B6">
        <w:rPr>
          <w:lang w:eastAsia="en-GB"/>
        </w:rPr>
        <w:t xml:space="preserve">wanting to become GPs and </w:t>
      </w:r>
      <w:r w:rsidR="00CF6B3E" w:rsidRPr="007904B6">
        <w:rPr>
          <w:lang w:eastAsia="en-GB"/>
        </w:rPr>
        <w:t xml:space="preserve">teachers’ reasons </w:t>
      </w:r>
      <w:r w:rsidR="00134B38" w:rsidRPr="007904B6">
        <w:rPr>
          <w:lang w:eastAsia="en-GB"/>
        </w:rPr>
        <w:t xml:space="preserve">for providing training for </w:t>
      </w:r>
      <w:r w:rsidR="00CF6B3E" w:rsidRPr="007904B6">
        <w:rPr>
          <w:lang w:eastAsia="en-GB"/>
        </w:rPr>
        <w:t>registrars</w:t>
      </w:r>
      <w:r w:rsidR="00134B38" w:rsidRPr="007904B6">
        <w:rPr>
          <w:lang w:eastAsia="en-GB"/>
        </w:rPr>
        <w:t xml:space="preserve"> </w:t>
      </w:r>
      <w:r w:rsidR="00CF6B3E" w:rsidRPr="007904B6">
        <w:rPr>
          <w:lang w:eastAsia="en-GB"/>
        </w:rPr>
        <w:t>demonstrated a commitment to general practice, appreciation of the variation within the role and the importance of primary care.</w:t>
      </w:r>
    </w:p>
    <w:p w14:paraId="17FB662D" w14:textId="184A3D48" w:rsidR="00ED014A" w:rsidRPr="007904B6" w:rsidRDefault="00FA19F7" w:rsidP="00B62184">
      <w:pPr>
        <w:rPr>
          <w:lang w:eastAsia="en-GB"/>
        </w:rPr>
      </w:pPr>
      <w:r w:rsidRPr="007904B6">
        <w:rPr>
          <w:lang w:eastAsia="en-GB"/>
        </w:rPr>
        <w:t xml:space="preserve">However, </w:t>
      </w:r>
      <w:r w:rsidR="00161C40" w:rsidRPr="007904B6">
        <w:rPr>
          <w:lang w:eastAsia="en-GB"/>
        </w:rPr>
        <w:t xml:space="preserve">those we interviewed </w:t>
      </w:r>
      <w:r w:rsidR="000D1100" w:rsidRPr="007904B6">
        <w:rPr>
          <w:lang w:eastAsia="en-GB"/>
        </w:rPr>
        <w:t xml:space="preserve">commonly </w:t>
      </w:r>
      <w:r w:rsidR="00161C40" w:rsidRPr="007904B6">
        <w:rPr>
          <w:lang w:eastAsia="en-GB"/>
        </w:rPr>
        <w:t xml:space="preserve">did not consider </w:t>
      </w:r>
      <w:r w:rsidRPr="007904B6">
        <w:rPr>
          <w:lang w:eastAsia="en-GB"/>
        </w:rPr>
        <w:t xml:space="preserve">GPEP 2 </w:t>
      </w:r>
      <w:r w:rsidR="00161C40" w:rsidRPr="007904B6">
        <w:rPr>
          <w:lang w:eastAsia="en-GB"/>
        </w:rPr>
        <w:t>provided enough support</w:t>
      </w:r>
      <w:r w:rsidR="005D63D9" w:rsidRPr="007904B6">
        <w:rPr>
          <w:lang w:eastAsia="en-GB"/>
        </w:rPr>
        <w:t xml:space="preserve"> for registrars</w:t>
      </w:r>
      <w:r w:rsidR="00ED014A" w:rsidRPr="007904B6">
        <w:rPr>
          <w:lang w:eastAsia="en-GB"/>
        </w:rPr>
        <w:t xml:space="preserve">. </w:t>
      </w:r>
      <w:r w:rsidR="000D1100" w:rsidRPr="007904B6">
        <w:rPr>
          <w:lang w:eastAsia="en-GB"/>
        </w:rPr>
        <w:t>Many suggested</w:t>
      </w:r>
      <w:r w:rsidR="00ED014A" w:rsidRPr="007904B6">
        <w:rPr>
          <w:lang w:eastAsia="en-GB"/>
        </w:rPr>
        <w:t xml:space="preserve"> extension of case review opportunities through more frequent peer review sessions and one-to-one mentor sessions.</w:t>
      </w:r>
    </w:p>
    <w:p w14:paraId="78B3846D" w14:textId="18CC65B3" w:rsidR="00FA19F7" w:rsidRPr="00B62184" w:rsidRDefault="00ED014A" w:rsidP="00B62184">
      <w:pPr>
        <w:rPr>
          <w:lang w:eastAsia="en-GB"/>
        </w:rPr>
      </w:pPr>
      <w:r w:rsidRPr="007904B6">
        <w:rPr>
          <w:lang w:eastAsia="en-GB"/>
        </w:rPr>
        <w:t>S</w:t>
      </w:r>
      <w:r w:rsidR="005D63D9" w:rsidRPr="007904B6">
        <w:rPr>
          <w:lang w:eastAsia="en-GB"/>
        </w:rPr>
        <w:t>ome suggested the clinical exam should be pushed out from the end of GPEP 1</w:t>
      </w:r>
      <w:r w:rsidRPr="007904B6">
        <w:rPr>
          <w:lang w:eastAsia="en-GB"/>
        </w:rPr>
        <w:t xml:space="preserve"> to the mid-point of GPEP 2</w:t>
      </w:r>
      <w:r w:rsidR="005D63D9" w:rsidRPr="007904B6">
        <w:rPr>
          <w:lang w:eastAsia="en-GB"/>
        </w:rPr>
        <w:t>.</w:t>
      </w:r>
      <w:r w:rsidRPr="007904B6">
        <w:rPr>
          <w:lang w:eastAsia="en-GB"/>
        </w:rPr>
        <w:t xml:space="preserve"> Pushing the exam out </w:t>
      </w:r>
      <w:r w:rsidR="00C32BC5" w:rsidRPr="007904B6">
        <w:rPr>
          <w:lang w:eastAsia="en-GB"/>
        </w:rPr>
        <w:t xml:space="preserve">will </w:t>
      </w:r>
      <w:r w:rsidRPr="007904B6">
        <w:rPr>
          <w:lang w:eastAsia="en-GB"/>
        </w:rPr>
        <w:t>have salary and employment implications in the current employment model but these could be addressed through different approaches.</w:t>
      </w:r>
    </w:p>
    <w:p w14:paraId="3BF17A5E" w14:textId="77777777" w:rsidR="00ED014A" w:rsidRDefault="00ED014A" w:rsidP="00A16840">
      <w:pPr>
        <w:pStyle w:val="Heading2"/>
      </w:pPr>
      <w:bookmarkStart w:id="93" w:name="_Toc104816951"/>
      <w:bookmarkStart w:id="94" w:name="_Toc105853928"/>
      <w:r>
        <w:t>Opportunities identified by the review</w:t>
      </w:r>
      <w:bookmarkEnd w:id="93"/>
      <w:bookmarkEnd w:id="94"/>
    </w:p>
    <w:p w14:paraId="475A74BD" w14:textId="6494CFB7" w:rsidR="009C5449" w:rsidRDefault="00B91CF7" w:rsidP="00296CD8">
      <w:r>
        <w:t xml:space="preserve">The key themes from the review </w:t>
      </w:r>
      <w:r w:rsidR="00EE3687">
        <w:t xml:space="preserve">identify </w:t>
      </w:r>
      <w:r w:rsidR="00C45838">
        <w:t xml:space="preserve">opportunities within the </w:t>
      </w:r>
      <w:r w:rsidR="007628A0">
        <w:t xml:space="preserve">GPEP </w:t>
      </w:r>
      <w:r w:rsidR="00C45838">
        <w:t xml:space="preserve">funding model to </w:t>
      </w:r>
      <w:r w:rsidR="001449E4">
        <w:t xml:space="preserve">improve equity and the </w:t>
      </w:r>
      <w:r w:rsidR="001449E4" w:rsidRPr="00CB5526">
        <w:t>distribution of GP training and supply</w:t>
      </w:r>
      <w:r w:rsidR="001449E4">
        <w:t>.</w:t>
      </w:r>
    </w:p>
    <w:p w14:paraId="34F1C9E0" w14:textId="30BE6F2E" w:rsidR="007E399F" w:rsidRDefault="007E399F" w:rsidP="007E399F">
      <w:pPr>
        <w:pStyle w:val="Bulleted"/>
        <w:rPr>
          <w:lang w:eastAsia="en-GB"/>
        </w:rPr>
      </w:pPr>
      <w:r>
        <w:rPr>
          <w:lang w:eastAsia="en-GB"/>
        </w:rPr>
        <w:t>The contract structure and inability to move money from one component to another limit responsiveness and flexibility.</w:t>
      </w:r>
      <w:r w:rsidR="001F6CD9">
        <w:rPr>
          <w:lang w:eastAsia="en-GB"/>
        </w:rPr>
        <w:t xml:space="preserve"> There is no or limited input into contract content from policy teams, </w:t>
      </w:r>
      <w:proofErr w:type="gramStart"/>
      <w:r w:rsidR="001F6CD9">
        <w:rPr>
          <w:lang w:eastAsia="en-GB"/>
        </w:rPr>
        <w:t>Māori</w:t>
      </w:r>
      <w:proofErr w:type="gramEnd"/>
      <w:r w:rsidR="001F6CD9">
        <w:rPr>
          <w:lang w:eastAsia="en-GB"/>
        </w:rPr>
        <w:t xml:space="preserve"> and Pacific.</w:t>
      </w:r>
    </w:p>
    <w:p w14:paraId="34209CCE" w14:textId="43BF64A5" w:rsidR="001F6CD9" w:rsidRDefault="001F6CD9" w:rsidP="001F6CD9">
      <w:pPr>
        <w:pStyle w:val="Bulleted"/>
        <w:rPr>
          <w:lang w:eastAsia="en-GB"/>
        </w:rPr>
      </w:pPr>
      <w:r>
        <w:rPr>
          <w:lang w:eastAsia="en-GB"/>
        </w:rPr>
        <w:t xml:space="preserve">The salary </w:t>
      </w:r>
      <w:r w:rsidR="00D02727">
        <w:rPr>
          <w:lang w:eastAsia="en-GB"/>
        </w:rPr>
        <w:t>changes</w:t>
      </w:r>
      <w:r>
        <w:rPr>
          <w:lang w:eastAsia="en-GB"/>
        </w:rPr>
        <w:t xml:space="preserve"> compared to DHB contract conditions is a key barrier to entering GPEP. Although base salaries are similar the terms and conditions and the employment category result in lower incomes for </w:t>
      </w:r>
      <w:proofErr w:type="gramStart"/>
      <w:r>
        <w:rPr>
          <w:lang w:eastAsia="en-GB"/>
        </w:rPr>
        <w:t>College</w:t>
      </w:r>
      <w:proofErr w:type="gramEnd"/>
      <w:r>
        <w:rPr>
          <w:lang w:eastAsia="en-GB"/>
        </w:rPr>
        <w:t xml:space="preserve"> employed GPEP 1 registrars. Additionally, in DHB settings registrars have opportunities to bolster their incomes through overtime payments.</w:t>
      </w:r>
      <w:r w:rsidR="0004224F">
        <w:rPr>
          <w:lang w:eastAsia="en-GB"/>
        </w:rPr>
        <w:t xml:space="preserve"> </w:t>
      </w:r>
    </w:p>
    <w:p w14:paraId="4D308B90" w14:textId="0798DACA" w:rsidR="00993312" w:rsidRDefault="00AC4CC9" w:rsidP="001F6CD9">
      <w:pPr>
        <w:pStyle w:val="Bulleted"/>
        <w:rPr>
          <w:lang w:eastAsia="en-GB"/>
        </w:rPr>
      </w:pPr>
      <w:r>
        <w:rPr>
          <w:lang w:eastAsia="en-GB"/>
        </w:rPr>
        <w:t xml:space="preserve">Most GPEP 1 registrars are employed by the College. </w:t>
      </w:r>
      <w:r w:rsidR="00460AB1">
        <w:rPr>
          <w:lang w:eastAsia="en-GB"/>
        </w:rPr>
        <w:t xml:space="preserve">College employed registrars do two six-month placements. </w:t>
      </w:r>
      <w:r w:rsidR="00607411">
        <w:rPr>
          <w:lang w:eastAsia="en-GB"/>
        </w:rPr>
        <w:t xml:space="preserve"> In 2020,</w:t>
      </w:r>
      <w:r w:rsidR="007904B6">
        <w:rPr>
          <w:lang w:eastAsia="en-GB"/>
        </w:rPr>
        <w:t xml:space="preserve"> </w:t>
      </w:r>
      <w:r w:rsidR="00DA3F86">
        <w:rPr>
          <w:lang w:eastAsia="en-GB"/>
        </w:rPr>
        <w:t xml:space="preserve">one-quarter </w:t>
      </w:r>
      <w:r w:rsidR="00607411">
        <w:rPr>
          <w:lang w:eastAsia="en-GB"/>
        </w:rPr>
        <w:t xml:space="preserve">were </w:t>
      </w:r>
      <w:r w:rsidR="00DA3F86">
        <w:rPr>
          <w:lang w:eastAsia="en-GB"/>
        </w:rPr>
        <w:t xml:space="preserve">practice </w:t>
      </w:r>
      <w:r w:rsidR="00DA3F86">
        <w:rPr>
          <w:lang w:eastAsia="en-GB"/>
        </w:rPr>
        <w:lastRenderedPageBreak/>
        <w:t>employed</w:t>
      </w:r>
      <w:r w:rsidR="00492966">
        <w:rPr>
          <w:lang w:eastAsia="en-GB"/>
        </w:rPr>
        <w:t xml:space="preserve">. </w:t>
      </w:r>
      <w:r w:rsidR="00036F09">
        <w:rPr>
          <w:lang w:eastAsia="en-GB"/>
        </w:rPr>
        <w:t>Registrars’ described i</w:t>
      </w:r>
      <w:r w:rsidR="00492966">
        <w:rPr>
          <w:lang w:eastAsia="en-GB"/>
        </w:rPr>
        <w:t xml:space="preserve">ncentives for practice employment </w:t>
      </w:r>
      <w:r w:rsidR="00036F09">
        <w:rPr>
          <w:lang w:eastAsia="en-GB"/>
        </w:rPr>
        <w:t xml:space="preserve">as </w:t>
      </w:r>
      <w:r w:rsidR="0042268B">
        <w:rPr>
          <w:lang w:eastAsia="en-GB"/>
        </w:rPr>
        <w:t xml:space="preserve">higher salaries, </w:t>
      </w:r>
      <w:r w:rsidR="000E13F4">
        <w:rPr>
          <w:lang w:eastAsia="en-GB"/>
        </w:rPr>
        <w:t xml:space="preserve">choice of practice and </w:t>
      </w:r>
      <w:r w:rsidR="00C84833">
        <w:rPr>
          <w:lang w:eastAsia="en-GB"/>
        </w:rPr>
        <w:t xml:space="preserve">12-month placements. </w:t>
      </w:r>
      <w:r w:rsidR="00460AB1">
        <w:rPr>
          <w:lang w:eastAsia="en-GB"/>
        </w:rPr>
        <w:t xml:space="preserve">One 12-month placement limits exposure of GPEP registrars to different general practice models, different </w:t>
      </w:r>
      <w:proofErr w:type="gramStart"/>
      <w:r w:rsidR="00460AB1">
        <w:rPr>
          <w:lang w:eastAsia="en-GB"/>
        </w:rPr>
        <w:t>communities</w:t>
      </w:r>
      <w:proofErr w:type="gramEnd"/>
      <w:r w:rsidR="00460AB1">
        <w:rPr>
          <w:lang w:eastAsia="en-GB"/>
        </w:rPr>
        <w:t xml:space="preserve"> and their needs.</w:t>
      </w:r>
    </w:p>
    <w:p w14:paraId="50967620" w14:textId="27D5B940" w:rsidR="00A1612C" w:rsidRPr="00006AB3" w:rsidRDefault="00993312" w:rsidP="001F6CD9">
      <w:pPr>
        <w:pStyle w:val="Bulleted"/>
        <w:rPr>
          <w:lang w:eastAsia="en-GB"/>
        </w:rPr>
      </w:pPr>
      <w:r w:rsidRPr="00006AB3">
        <w:rPr>
          <w:lang w:eastAsia="en-GB"/>
        </w:rPr>
        <w:t>Some registrars will complete GPEP with only limited exposure to different communities and types of general practices.</w:t>
      </w:r>
    </w:p>
    <w:p w14:paraId="34C70F0C" w14:textId="5523A16A" w:rsidR="00CA15C1" w:rsidRPr="00006AB3" w:rsidRDefault="00CA15C1" w:rsidP="001F6CD9">
      <w:pPr>
        <w:pStyle w:val="Bulleted"/>
        <w:rPr>
          <w:lang w:eastAsia="en-GB"/>
        </w:rPr>
      </w:pPr>
      <w:r w:rsidRPr="00006AB3">
        <w:rPr>
          <w:lang w:eastAsia="en-GB"/>
        </w:rPr>
        <w:t xml:space="preserve">Practice employment is challenging for some GPEP 1 </w:t>
      </w:r>
      <w:r w:rsidR="00460AB1" w:rsidRPr="00006AB3">
        <w:rPr>
          <w:lang w:eastAsia="en-GB"/>
        </w:rPr>
        <w:t xml:space="preserve">registrars </w:t>
      </w:r>
      <w:r w:rsidRPr="00006AB3">
        <w:rPr>
          <w:lang w:eastAsia="en-GB"/>
        </w:rPr>
        <w:t xml:space="preserve">because of </w:t>
      </w:r>
      <w:r w:rsidR="00B262F8" w:rsidRPr="00006AB3">
        <w:rPr>
          <w:lang w:eastAsia="en-GB"/>
        </w:rPr>
        <w:t xml:space="preserve">lack of understanding of their contracts and pressure </w:t>
      </w:r>
      <w:r w:rsidR="00D02727" w:rsidRPr="00006AB3">
        <w:rPr>
          <w:lang w:eastAsia="en-GB"/>
        </w:rPr>
        <w:t xml:space="preserve">for some </w:t>
      </w:r>
      <w:r w:rsidR="00B262F8" w:rsidRPr="00006AB3">
        <w:rPr>
          <w:lang w:eastAsia="en-GB"/>
        </w:rPr>
        <w:t xml:space="preserve">to </w:t>
      </w:r>
      <w:r w:rsidR="000F7A6B" w:rsidRPr="00006AB3">
        <w:rPr>
          <w:lang w:eastAsia="en-GB"/>
        </w:rPr>
        <w:t xml:space="preserve">see more patients </w:t>
      </w:r>
      <w:r w:rsidR="00CC1766" w:rsidRPr="00006AB3">
        <w:rPr>
          <w:lang w:eastAsia="en-GB"/>
        </w:rPr>
        <w:t>through shorter consultation times</w:t>
      </w:r>
      <w:r w:rsidR="000F7A6B" w:rsidRPr="00006AB3">
        <w:rPr>
          <w:lang w:eastAsia="en-GB"/>
        </w:rPr>
        <w:t>.</w:t>
      </w:r>
    </w:p>
    <w:p w14:paraId="0854AF86" w14:textId="7E83FC37" w:rsidR="001D7A0A" w:rsidRPr="00006AB3" w:rsidRDefault="00036F09" w:rsidP="001F6CD9">
      <w:pPr>
        <w:pStyle w:val="Bulleted"/>
        <w:rPr>
          <w:lang w:eastAsia="en-GB"/>
        </w:rPr>
      </w:pPr>
      <w:r w:rsidRPr="00006AB3">
        <w:rPr>
          <w:lang w:eastAsia="en-GB"/>
        </w:rPr>
        <w:t xml:space="preserve">Interviewed registrars described a </w:t>
      </w:r>
      <w:r w:rsidR="001D7A0A" w:rsidRPr="00006AB3">
        <w:rPr>
          <w:lang w:eastAsia="en-GB"/>
        </w:rPr>
        <w:t xml:space="preserve">conflict of interest in the College’s roles of </w:t>
      </w:r>
      <w:r w:rsidR="001A79F7" w:rsidRPr="00006AB3">
        <w:rPr>
          <w:lang w:eastAsia="en-GB"/>
        </w:rPr>
        <w:t>educator and employer</w:t>
      </w:r>
      <w:r w:rsidR="00462C30" w:rsidRPr="00006AB3">
        <w:rPr>
          <w:lang w:eastAsia="en-GB"/>
        </w:rPr>
        <w:t>.</w:t>
      </w:r>
    </w:p>
    <w:p w14:paraId="221D7BF4" w14:textId="01007DB6" w:rsidR="00462C30" w:rsidRPr="00006AB3" w:rsidRDefault="00062EE7" w:rsidP="001F6CD9">
      <w:pPr>
        <w:pStyle w:val="Bulleted"/>
        <w:rPr>
          <w:lang w:eastAsia="en-GB"/>
        </w:rPr>
      </w:pPr>
      <w:r w:rsidRPr="00006AB3">
        <w:rPr>
          <w:lang w:eastAsia="en-GB"/>
        </w:rPr>
        <w:t xml:space="preserve">While GPEP 1 received positive feedback from registrars, </w:t>
      </w:r>
      <w:r w:rsidR="00A24CAD" w:rsidRPr="00006AB3">
        <w:rPr>
          <w:lang w:eastAsia="en-GB"/>
        </w:rPr>
        <w:t xml:space="preserve">registrars and teachers considered the support in GPEP 2 was inadequate. Registrars are not well prepared to </w:t>
      </w:r>
      <w:r w:rsidR="00100AA0" w:rsidRPr="00006AB3">
        <w:rPr>
          <w:lang w:eastAsia="en-GB"/>
        </w:rPr>
        <w:t>negotiate their contracts with practices for GPEP 2/3.</w:t>
      </w:r>
    </w:p>
    <w:p w14:paraId="2803263A" w14:textId="55CFFF95" w:rsidR="007E6733" w:rsidRPr="00006AB3" w:rsidRDefault="007E6733" w:rsidP="001F6CD9">
      <w:pPr>
        <w:pStyle w:val="Bulleted"/>
        <w:rPr>
          <w:lang w:eastAsia="en-GB"/>
        </w:rPr>
      </w:pPr>
      <w:r w:rsidRPr="00006AB3">
        <w:rPr>
          <w:lang w:eastAsia="en-GB"/>
        </w:rPr>
        <w:t xml:space="preserve">GPEP teachers are </w:t>
      </w:r>
      <w:r w:rsidR="00B871C4" w:rsidRPr="00006AB3">
        <w:rPr>
          <w:lang w:eastAsia="en-GB"/>
        </w:rPr>
        <w:t xml:space="preserve">committed to their roles and </w:t>
      </w:r>
      <w:r w:rsidR="00DC3E7D" w:rsidRPr="00006AB3">
        <w:rPr>
          <w:lang w:eastAsia="en-GB"/>
        </w:rPr>
        <w:t xml:space="preserve">registrars provided positive feedback about the teachers. </w:t>
      </w:r>
      <w:r w:rsidR="00EE6121" w:rsidRPr="00006AB3">
        <w:rPr>
          <w:lang w:eastAsia="en-GB"/>
        </w:rPr>
        <w:t>However, t</w:t>
      </w:r>
      <w:r w:rsidR="0087229E" w:rsidRPr="00006AB3">
        <w:rPr>
          <w:lang w:eastAsia="en-GB"/>
        </w:rPr>
        <w:t>eachers are predominantly male, older</w:t>
      </w:r>
      <w:r w:rsidR="00C32BC5" w:rsidRPr="00006AB3">
        <w:rPr>
          <w:lang w:eastAsia="en-GB"/>
        </w:rPr>
        <w:t>,</w:t>
      </w:r>
      <w:r w:rsidR="0087229E" w:rsidRPr="00006AB3">
        <w:rPr>
          <w:lang w:eastAsia="en-GB"/>
        </w:rPr>
        <w:t xml:space="preserve"> Pakeha and Asian</w:t>
      </w:r>
      <w:r w:rsidR="00EE6121" w:rsidRPr="00006AB3">
        <w:rPr>
          <w:lang w:eastAsia="en-GB"/>
        </w:rPr>
        <w:t xml:space="preserve"> providing fewer role models for younger</w:t>
      </w:r>
      <w:r w:rsidR="00366213" w:rsidRPr="00006AB3">
        <w:rPr>
          <w:lang w:eastAsia="en-GB"/>
        </w:rPr>
        <w:t xml:space="preserve"> female registrars and Māori and Pacific registrars.</w:t>
      </w:r>
    </w:p>
    <w:p w14:paraId="278CDBFC" w14:textId="0DB5355E" w:rsidR="00607411" w:rsidRPr="00006AB3" w:rsidRDefault="00607411" w:rsidP="001F6CD9">
      <w:pPr>
        <w:pStyle w:val="Bulleted"/>
        <w:rPr>
          <w:lang w:eastAsia="en-GB"/>
        </w:rPr>
      </w:pPr>
      <w:r w:rsidRPr="00006AB3">
        <w:rPr>
          <w:lang w:eastAsia="en-GB"/>
        </w:rPr>
        <w:t>Interviewed GPEP teachers felt that they were inadequately renumerated for the time they spend on supporting GPEP 1 registrars.</w:t>
      </w:r>
    </w:p>
    <w:p w14:paraId="428E24D6" w14:textId="7CEAAC37" w:rsidR="00E90D92" w:rsidRPr="00006AB3" w:rsidRDefault="00D02727" w:rsidP="004E0234">
      <w:pPr>
        <w:pStyle w:val="Bulleted"/>
        <w:rPr>
          <w:lang w:eastAsia="en-GB"/>
        </w:rPr>
      </w:pPr>
      <w:r w:rsidRPr="00006AB3">
        <w:t>In many circumstances pr</w:t>
      </w:r>
      <w:r w:rsidR="004E0234" w:rsidRPr="00006AB3">
        <w:t>actices with low co-payments are likely to find a registrar financially costly</w:t>
      </w:r>
      <w:r w:rsidR="001A3D32" w:rsidRPr="00006AB3">
        <w:t xml:space="preserve">, further limiting </w:t>
      </w:r>
      <w:r w:rsidR="00104B17" w:rsidRPr="00006AB3">
        <w:t xml:space="preserve">diverse training </w:t>
      </w:r>
      <w:r w:rsidR="001A3D32" w:rsidRPr="00006AB3">
        <w:t>opportunities for registrars</w:t>
      </w:r>
      <w:r w:rsidR="00104B17" w:rsidRPr="00006AB3">
        <w:t xml:space="preserve">. </w:t>
      </w:r>
    </w:p>
    <w:p w14:paraId="15DFB52A" w14:textId="669DA92C" w:rsidR="00953751" w:rsidRDefault="00865F78" w:rsidP="00A16840">
      <w:pPr>
        <w:pStyle w:val="Heading2"/>
      </w:pPr>
      <w:bookmarkStart w:id="95" w:name="_Toc104138108"/>
      <w:bookmarkStart w:id="96" w:name="_Toc104816952"/>
      <w:bookmarkStart w:id="97" w:name="_Toc105853929"/>
      <w:r>
        <w:t>Strategies to improve</w:t>
      </w:r>
      <w:r w:rsidR="00953751" w:rsidRPr="00CB5526">
        <w:t xml:space="preserve"> the </w:t>
      </w:r>
      <w:r w:rsidR="005C517A">
        <w:t>GPEP funding model</w:t>
      </w:r>
      <w:bookmarkEnd w:id="95"/>
      <w:bookmarkEnd w:id="96"/>
      <w:bookmarkEnd w:id="97"/>
      <w:r w:rsidR="00953751" w:rsidRPr="00CB5526">
        <w:t xml:space="preserve"> </w:t>
      </w:r>
    </w:p>
    <w:tbl>
      <w:tblPr>
        <w:tblStyle w:val="MITableClassic"/>
        <w:tblW w:w="7797" w:type="dxa"/>
        <w:tblLook w:val="0480" w:firstRow="0" w:lastRow="0" w:firstColumn="1" w:lastColumn="0" w:noHBand="0" w:noVBand="1"/>
      </w:tblPr>
      <w:tblGrid>
        <w:gridCol w:w="1590"/>
        <w:gridCol w:w="6207"/>
      </w:tblGrid>
      <w:tr w:rsidR="0004224F" w14:paraId="1FE49095"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20DEDA24" w14:textId="260A4215" w:rsidR="0004224F" w:rsidRPr="002C2037" w:rsidRDefault="0004224F" w:rsidP="00865F78">
            <w:pPr>
              <w:keepNext w:val="0"/>
              <w:rPr>
                <w:b/>
                <w:bCs/>
                <w:lang w:eastAsia="en-GB"/>
              </w:rPr>
            </w:pPr>
            <w:r>
              <w:rPr>
                <w:b/>
                <w:bCs/>
                <w:lang w:eastAsia="en-GB"/>
              </w:rPr>
              <w:t>Promotion of general practice</w:t>
            </w:r>
          </w:p>
        </w:tc>
        <w:tc>
          <w:tcPr>
            <w:tcW w:w="6207" w:type="dxa"/>
          </w:tcPr>
          <w:p w14:paraId="20781C54" w14:textId="5BB595F3" w:rsidR="00C32BC5" w:rsidRDefault="00CF6525" w:rsidP="00865F78">
            <w:pPr>
              <w:keepNext w:val="0"/>
              <w:cnfStyle w:val="000000000000" w:firstRow="0" w:lastRow="0" w:firstColumn="0" w:lastColumn="0" w:oddVBand="0" w:evenVBand="0" w:oddHBand="0" w:evenHBand="0" w:firstRowFirstColumn="0" w:firstRowLastColumn="0" w:lastRowFirstColumn="0" w:lastRowLastColumn="0"/>
              <w:rPr>
                <w:rFonts w:eastAsiaTheme="minorHAnsi"/>
                <w:lang w:eastAsia="en-GB"/>
              </w:rPr>
            </w:pPr>
            <w:r>
              <w:rPr>
                <w:rFonts w:eastAsiaTheme="minorHAnsi"/>
                <w:lang w:eastAsia="en-GB"/>
              </w:rPr>
              <w:t>The College</w:t>
            </w:r>
            <w:r w:rsidR="00006AB3">
              <w:rPr>
                <w:rFonts w:eastAsiaTheme="minorHAnsi"/>
                <w:lang w:eastAsia="en-GB"/>
              </w:rPr>
              <w:t>, Manatū Hauora,</w:t>
            </w:r>
            <w:r w:rsidR="00D81E64">
              <w:rPr>
                <w:rFonts w:eastAsiaTheme="minorHAnsi"/>
                <w:lang w:eastAsia="en-GB"/>
              </w:rPr>
              <w:t xml:space="preserve"> </w:t>
            </w:r>
            <w:r w:rsidR="00D81E64">
              <w:rPr>
                <w:lang w:eastAsia="en-GB"/>
              </w:rPr>
              <w:t xml:space="preserve">Te </w:t>
            </w:r>
            <w:proofErr w:type="spellStart"/>
            <w:r w:rsidR="00D81E64">
              <w:rPr>
                <w:lang w:eastAsia="en-GB"/>
              </w:rPr>
              <w:t>Whatu</w:t>
            </w:r>
            <w:proofErr w:type="spellEnd"/>
            <w:r w:rsidR="00D81E64">
              <w:rPr>
                <w:lang w:eastAsia="en-GB"/>
              </w:rPr>
              <w:t xml:space="preserve"> Ora/HNZ and</w:t>
            </w:r>
            <w:r w:rsidR="00D81E64" w:rsidDel="00D81E64">
              <w:rPr>
                <w:rFonts w:eastAsiaTheme="minorHAnsi"/>
                <w:lang w:eastAsia="en-GB"/>
              </w:rPr>
              <w:t xml:space="preserve"> </w:t>
            </w:r>
            <w:r w:rsidR="00D81E64">
              <w:rPr>
                <w:rFonts w:eastAsiaTheme="minorHAnsi"/>
                <w:lang w:eastAsia="en-GB"/>
              </w:rPr>
              <w:t xml:space="preserve">Te Aka </w:t>
            </w:r>
            <w:proofErr w:type="spellStart"/>
            <w:r w:rsidR="00D81E64">
              <w:rPr>
                <w:rFonts w:eastAsiaTheme="minorHAnsi"/>
                <w:lang w:eastAsia="en-GB"/>
              </w:rPr>
              <w:t>Whai</w:t>
            </w:r>
            <w:proofErr w:type="spellEnd"/>
            <w:r w:rsidR="00D81E64">
              <w:rPr>
                <w:rFonts w:eastAsiaTheme="minorHAnsi"/>
                <w:lang w:eastAsia="en-GB"/>
              </w:rPr>
              <w:t xml:space="preserve"> Ora/</w:t>
            </w:r>
            <w:r w:rsidR="001718A9">
              <w:rPr>
                <w:rFonts w:eastAsiaTheme="minorHAnsi"/>
                <w:lang w:eastAsia="en-GB"/>
              </w:rPr>
              <w:t xml:space="preserve">Māori Health </w:t>
            </w:r>
            <w:r w:rsidR="00EA30C9">
              <w:rPr>
                <w:rFonts w:eastAsiaTheme="minorHAnsi"/>
                <w:lang w:eastAsia="en-GB"/>
              </w:rPr>
              <w:t>Authority</w:t>
            </w:r>
            <w:r w:rsidR="001718A9">
              <w:rPr>
                <w:rFonts w:eastAsiaTheme="minorHAnsi"/>
                <w:lang w:eastAsia="en-GB"/>
              </w:rPr>
              <w:t xml:space="preserve"> </w:t>
            </w:r>
            <w:r w:rsidR="00EA30C9">
              <w:rPr>
                <w:rFonts w:eastAsiaTheme="minorHAnsi"/>
                <w:lang w:eastAsia="en-GB"/>
              </w:rPr>
              <w:t>develop</w:t>
            </w:r>
            <w:r>
              <w:rPr>
                <w:rFonts w:eastAsiaTheme="minorHAnsi"/>
                <w:lang w:eastAsia="en-GB"/>
              </w:rPr>
              <w:t xml:space="preserve"> </w:t>
            </w:r>
            <w:r w:rsidR="0004224F">
              <w:rPr>
                <w:rFonts w:eastAsiaTheme="minorHAnsi"/>
                <w:lang w:eastAsia="en-GB"/>
              </w:rPr>
              <w:t xml:space="preserve">a communication </w:t>
            </w:r>
            <w:r w:rsidR="0000344D">
              <w:rPr>
                <w:rFonts w:eastAsiaTheme="minorHAnsi"/>
                <w:lang w:eastAsia="en-GB"/>
              </w:rPr>
              <w:t xml:space="preserve">strategy </w:t>
            </w:r>
            <w:r w:rsidR="00294F09">
              <w:rPr>
                <w:rFonts w:eastAsiaTheme="minorHAnsi"/>
                <w:lang w:eastAsia="en-GB"/>
              </w:rPr>
              <w:t xml:space="preserve">with the aim </w:t>
            </w:r>
            <w:r w:rsidR="00BA36D5">
              <w:rPr>
                <w:rFonts w:eastAsiaTheme="minorHAnsi"/>
                <w:lang w:eastAsia="en-GB"/>
              </w:rPr>
              <w:t>of</w:t>
            </w:r>
            <w:r w:rsidR="0004224F">
              <w:rPr>
                <w:rFonts w:eastAsiaTheme="minorHAnsi"/>
                <w:lang w:eastAsia="en-GB"/>
              </w:rPr>
              <w:t xml:space="preserve"> positive marketing of general practice and diverse stories of high needs, rural, Māori, </w:t>
            </w:r>
            <w:proofErr w:type="gramStart"/>
            <w:r w:rsidR="0004224F">
              <w:rPr>
                <w:rFonts w:eastAsiaTheme="minorHAnsi"/>
                <w:lang w:eastAsia="en-GB"/>
              </w:rPr>
              <w:t>Pacific</w:t>
            </w:r>
            <w:proofErr w:type="gramEnd"/>
            <w:r w:rsidR="0004224F">
              <w:rPr>
                <w:rFonts w:eastAsiaTheme="minorHAnsi"/>
                <w:lang w:eastAsia="en-GB"/>
              </w:rPr>
              <w:t xml:space="preserve"> and urban practices. </w:t>
            </w:r>
          </w:p>
          <w:p w14:paraId="20636348" w14:textId="10E188B8" w:rsidR="00C32BC5" w:rsidRPr="0004224F" w:rsidRDefault="00CF6525" w:rsidP="00C32BC5">
            <w:pPr>
              <w:keepNext w:val="0"/>
              <w:cnfStyle w:val="000000000000" w:firstRow="0" w:lastRow="0" w:firstColumn="0" w:lastColumn="0" w:oddVBand="0" w:evenVBand="0" w:oddHBand="0" w:evenHBand="0" w:firstRowFirstColumn="0" w:firstRowLastColumn="0" w:lastRowFirstColumn="0" w:lastRowLastColumn="0"/>
              <w:rPr>
                <w:rFonts w:eastAsiaTheme="minorHAnsi"/>
                <w:lang w:eastAsia="en-GB"/>
              </w:rPr>
            </w:pPr>
            <w:r>
              <w:rPr>
                <w:rFonts w:eastAsiaTheme="minorHAnsi"/>
                <w:lang w:eastAsia="en-GB"/>
              </w:rPr>
              <w:t>P</w:t>
            </w:r>
            <w:r w:rsidR="0004224F">
              <w:rPr>
                <w:rFonts w:eastAsiaTheme="minorHAnsi"/>
                <w:lang w:eastAsia="en-GB"/>
              </w:rPr>
              <w:t xml:space="preserve">romotion was identified </w:t>
            </w:r>
            <w:proofErr w:type="gramStart"/>
            <w:r w:rsidR="0004224F">
              <w:rPr>
                <w:rFonts w:eastAsiaTheme="minorHAnsi"/>
                <w:lang w:eastAsia="en-GB"/>
              </w:rPr>
              <w:t>as a way to</w:t>
            </w:r>
            <w:proofErr w:type="gramEnd"/>
            <w:r w:rsidR="0004224F">
              <w:rPr>
                <w:rFonts w:eastAsiaTheme="minorHAnsi"/>
                <w:lang w:eastAsia="en-GB"/>
              </w:rPr>
              <w:t xml:space="preserve"> showcase the diversity and range of work in general practice which was generally unknown </w:t>
            </w:r>
            <w:r w:rsidR="00865F78">
              <w:rPr>
                <w:rFonts w:eastAsiaTheme="minorHAnsi"/>
                <w:lang w:eastAsia="en-GB"/>
              </w:rPr>
              <w:t xml:space="preserve">by registrars </w:t>
            </w:r>
            <w:r w:rsidR="0004224F">
              <w:rPr>
                <w:rFonts w:eastAsiaTheme="minorHAnsi"/>
                <w:lang w:eastAsia="en-GB"/>
              </w:rPr>
              <w:t xml:space="preserve">in the hospital system. </w:t>
            </w:r>
            <w:r w:rsidR="00C32BC5">
              <w:rPr>
                <w:rFonts w:eastAsiaTheme="minorHAnsi"/>
                <w:lang w:eastAsia="en-GB"/>
              </w:rPr>
              <w:t>Promotion is necessary in under-graduate and post-graduate settings. Strengthening of community</w:t>
            </w:r>
            <w:r w:rsidR="00006AB3">
              <w:rPr>
                <w:rFonts w:eastAsiaTheme="minorHAnsi"/>
                <w:lang w:eastAsia="en-GB"/>
              </w:rPr>
              <w:t>-</w:t>
            </w:r>
            <w:r w:rsidR="00C32BC5">
              <w:rPr>
                <w:rFonts w:eastAsiaTheme="minorHAnsi"/>
                <w:lang w:eastAsia="en-GB"/>
              </w:rPr>
              <w:t xml:space="preserve"> based </w:t>
            </w:r>
            <w:r w:rsidR="00006AB3">
              <w:rPr>
                <w:rFonts w:eastAsiaTheme="minorHAnsi"/>
                <w:lang w:eastAsia="en-GB"/>
              </w:rPr>
              <w:t>attachments</w:t>
            </w:r>
            <w:r w:rsidR="00C32BC5">
              <w:rPr>
                <w:rFonts w:eastAsiaTheme="minorHAnsi"/>
                <w:lang w:eastAsia="en-GB"/>
              </w:rPr>
              <w:t xml:space="preserve"> for post-graduate doctors will help to promote general practice.</w:t>
            </w:r>
          </w:p>
        </w:tc>
      </w:tr>
      <w:tr w:rsidR="0077599F" w14:paraId="07190397"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22B8AA22" w14:textId="482BDD99" w:rsidR="0077599F" w:rsidRDefault="0077599F" w:rsidP="00865F78">
            <w:pPr>
              <w:keepNext w:val="0"/>
              <w:rPr>
                <w:b/>
                <w:bCs/>
                <w:lang w:eastAsia="en-GB"/>
              </w:rPr>
            </w:pPr>
            <w:r>
              <w:rPr>
                <w:b/>
                <w:bCs/>
                <w:lang w:eastAsia="en-GB"/>
              </w:rPr>
              <w:lastRenderedPageBreak/>
              <w:t>The funder</w:t>
            </w:r>
            <w:r w:rsidR="00032325">
              <w:rPr>
                <w:b/>
                <w:bCs/>
                <w:lang w:eastAsia="en-GB"/>
              </w:rPr>
              <w:t xml:space="preserve"> and employer</w:t>
            </w:r>
          </w:p>
        </w:tc>
        <w:tc>
          <w:tcPr>
            <w:tcW w:w="6207" w:type="dxa"/>
          </w:tcPr>
          <w:p w14:paraId="3B061AE4" w14:textId="56BADF55" w:rsidR="008331D0" w:rsidRDefault="008331D0" w:rsidP="00865F78">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Funding for general practice training is from the ‘public purse’ as for </w:t>
            </w:r>
            <w:r w:rsidR="00D74AF3">
              <w:rPr>
                <w:lang w:eastAsia="en-GB"/>
              </w:rPr>
              <w:t xml:space="preserve">other </w:t>
            </w:r>
            <w:r w:rsidR="00A1440B">
              <w:rPr>
                <w:lang w:eastAsia="en-GB"/>
              </w:rPr>
              <w:t xml:space="preserve">specialist vocational programmes. </w:t>
            </w:r>
            <w:r w:rsidR="00C000FA">
              <w:rPr>
                <w:lang w:eastAsia="en-GB"/>
              </w:rPr>
              <w:t xml:space="preserve">Training for health professionals across many groups is </w:t>
            </w:r>
            <w:proofErr w:type="gramStart"/>
            <w:r w:rsidR="00897148">
              <w:rPr>
                <w:lang w:eastAsia="en-GB"/>
              </w:rPr>
              <w:t>publicly-</w:t>
            </w:r>
            <w:r w:rsidR="00C000FA">
              <w:rPr>
                <w:lang w:eastAsia="en-GB"/>
              </w:rPr>
              <w:t>funded</w:t>
            </w:r>
            <w:proofErr w:type="gramEnd"/>
            <w:r w:rsidR="00C000FA">
              <w:rPr>
                <w:lang w:eastAsia="en-GB"/>
              </w:rPr>
              <w:t xml:space="preserve"> despite </w:t>
            </w:r>
            <w:r w:rsidR="00897148">
              <w:rPr>
                <w:lang w:eastAsia="en-GB"/>
              </w:rPr>
              <w:t xml:space="preserve">varying proportions of income coming from </w:t>
            </w:r>
            <w:r w:rsidR="000632DB">
              <w:rPr>
                <w:lang w:eastAsia="en-GB"/>
              </w:rPr>
              <w:t>providing private sector services.</w:t>
            </w:r>
          </w:p>
          <w:p w14:paraId="612ACF56" w14:textId="7954CD55" w:rsidR="003A2B1F" w:rsidRDefault="003A2B1F" w:rsidP="00EF3640">
            <w:pPr>
              <w:keepNext w:val="0"/>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Separating registrar employment from the College’s role as the educator has the potential to make it easier to place GPEP registrars on the same footing as other registrars</w:t>
            </w:r>
            <w:r w:rsidR="00036F09" w:rsidRPr="00006AB3">
              <w:rPr>
                <w:lang w:eastAsia="en-GB"/>
              </w:rPr>
              <w:t xml:space="preserve"> and to avoid differences in experiences between </w:t>
            </w:r>
            <w:proofErr w:type="gramStart"/>
            <w:r w:rsidR="00036F09" w:rsidRPr="00006AB3">
              <w:rPr>
                <w:lang w:eastAsia="en-GB"/>
              </w:rPr>
              <w:t>College</w:t>
            </w:r>
            <w:proofErr w:type="gramEnd"/>
            <w:r w:rsidR="00036F09" w:rsidRPr="00006AB3">
              <w:rPr>
                <w:lang w:eastAsia="en-GB"/>
              </w:rPr>
              <w:t xml:space="preserve"> and practice employed registrars</w:t>
            </w:r>
            <w:r w:rsidRPr="00006AB3">
              <w:rPr>
                <w:lang w:eastAsia="en-GB"/>
              </w:rPr>
              <w:t>.</w:t>
            </w:r>
            <w:r w:rsidR="00567D17" w:rsidRPr="00006AB3">
              <w:rPr>
                <w:lang w:eastAsia="en-GB"/>
              </w:rPr>
              <w:t xml:space="preserve"> </w:t>
            </w:r>
            <w:r w:rsidR="00036F09" w:rsidRPr="00006AB3">
              <w:rPr>
                <w:lang w:eastAsia="en-GB"/>
              </w:rPr>
              <w:t>The College, as the professional body, would retain professional leadership of GP training, responsibility for the educational content and quality assurance. T</w:t>
            </w:r>
            <w:r w:rsidR="00567D17" w:rsidRPr="00006AB3">
              <w:rPr>
                <w:lang w:eastAsia="en-GB"/>
              </w:rPr>
              <w:t xml:space="preserve">he </w:t>
            </w:r>
            <w:r w:rsidR="004844AD" w:rsidRPr="00006AB3">
              <w:rPr>
                <w:lang w:eastAsia="en-GB"/>
              </w:rPr>
              <w:t xml:space="preserve">College would continue to require funding </w:t>
            </w:r>
            <w:r w:rsidR="002F78A1" w:rsidRPr="00006AB3">
              <w:rPr>
                <w:lang w:eastAsia="en-GB"/>
              </w:rPr>
              <w:t xml:space="preserve">for </w:t>
            </w:r>
            <w:r w:rsidR="00CC4177" w:rsidRPr="00006AB3">
              <w:rPr>
                <w:lang w:eastAsia="en-GB"/>
              </w:rPr>
              <w:t xml:space="preserve">pastoral care provided by </w:t>
            </w:r>
            <w:r w:rsidR="00567D17" w:rsidRPr="00006AB3">
              <w:rPr>
                <w:lang w:eastAsia="en-GB"/>
              </w:rPr>
              <w:t>medical educators</w:t>
            </w:r>
            <w:r w:rsidR="00607411" w:rsidRPr="00006AB3">
              <w:rPr>
                <w:lang w:eastAsia="en-GB"/>
              </w:rPr>
              <w:t xml:space="preserve"> in addition to the delivery of the training and education component of the programme</w:t>
            </w:r>
          </w:p>
          <w:p w14:paraId="7CDF9E3D" w14:textId="5BADB1C8" w:rsidR="00576723" w:rsidRDefault="00FD64C8" w:rsidP="00865F78">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Aligning e</w:t>
            </w:r>
            <w:r w:rsidR="00576723">
              <w:rPr>
                <w:lang w:eastAsia="en-GB"/>
              </w:rPr>
              <w:t xml:space="preserve">mployment </w:t>
            </w:r>
            <w:r>
              <w:rPr>
                <w:lang w:eastAsia="en-GB"/>
              </w:rPr>
              <w:t>terms and conditions for</w:t>
            </w:r>
            <w:r w:rsidR="00576723">
              <w:rPr>
                <w:lang w:eastAsia="en-GB"/>
              </w:rPr>
              <w:t xml:space="preserve"> GPEP registrars </w:t>
            </w:r>
            <w:r>
              <w:rPr>
                <w:lang w:eastAsia="en-GB"/>
              </w:rPr>
              <w:t>with</w:t>
            </w:r>
            <w:r w:rsidR="00576723">
              <w:rPr>
                <w:lang w:eastAsia="en-GB"/>
              </w:rPr>
              <w:t xml:space="preserve"> registrars </w:t>
            </w:r>
            <w:r>
              <w:rPr>
                <w:lang w:eastAsia="en-GB"/>
              </w:rPr>
              <w:t xml:space="preserve">in other vocational programmes </w:t>
            </w:r>
            <w:r w:rsidR="00576723">
              <w:rPr>
                <w:lang w:eastAsia="en-GB"/>
              </w:rPr>
              <w:t>would remove the main barrier to entering GPEP.</w:t>
            </w:r>
            <w:r w:rsidR="00296E2D">
              <w:rPr>
                <w:lang w:eastAsia="en-GB"/>
              </w:rPr>
              <w:t xml:space="preserve">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006AB3">
              <w:rPr>
                <w:lang w:eastAsia="en-GB"/>
              </w:rPr>
              <w:t xml:space="preserve"> </w:t>
            </w:r>
            <w:r w:rsidR="00775C36">
              <w:rPr>
                <w:lang w:eastAsia="en-GB"/>
              </w:rPr>
              <w:t xml:space="preserve">as the employer of </w:t>
            </w:r>
            <w:r w:rsidR="00CD063C">
              <w:rPr>
                <w:lang w:eastAsia="en-GB"/>
              </w:rPr>
              <w:t xml:space="preserve">registrars in DHB vocations </w:t>
            </w:r>
            <w:r w:rsidR="00460AB1">
              <w:rPr>
                <w:lang w:eastAsia="en-GB"/>
              </w:rPr>
              <w:t>seems best placed to al</w:t>
            </w:r>
            <w:r w:rsidR="00CD063C">
              <w:rPr>
                <w:lang w:eastAsia="en-GB"/>
              </w:rPr>
              <w:t xml:space="preserve">so </w:t>
            </w:r>
            <w:r w:rsidR="00460AB1">
              <w:rPr>
                <w:lang w:eastAsia="en-GB"/>
              </w:rPr>
              <w:t>employ</w:t>
            </w:r>
            <w:r w:rsidR="00CD063C">
              <w:rPr>
                <w:lang w:eastAsia="en-GB"/>
              </w:rPr>
              <w:t xml:space="preserve"> GPEP 1 </w:t>
            </w:r>
            <w:r w:rsidR="008207CB">
              <w:rPr>
                <w:lang w:eastAsia="en-GB"/>
              </w:rPr>
              <w:t>registrars</w:t>
            </w:r>
            <w:r w:rsidR="00CD063C">
              <w:rPr>
                <w:lang w:eastAsia="en-GB"/>
              </w:rPr>
              <w:t>.</w:t>
            </w:r>
          </w:p>
          <w:p w14:paraId="4EC371A4" w14:textId="56005093" w:rsidR="00FD64C8" w:rsidRDefault="006A296E" w:rsidP="00865F78">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In other vocational programmes registrars remain in DHB employment. </w:t>
            </w:r>
            <w:r w:rsidR="00365E6C">
              <w:rPr>
                <w:lang w:eastAsia="en-GB"/>
              </w:rPr>
              <w:t xml:space="preserve">There are advantages in </w:t>
            </w:r>
            <w:r w:rsidR="00FD64C8">
              <w:rPr>
                <w:lang w:eastAsia="en-GB"/>
              </w:rPr>
              <w:t xml:space="preserve">further funding an educational component of GPEP 2 which </w:t>
            </w:r>
            <w:r w:rsidR="00C32BC5">
              <w:rPr>
                <w:lang w:eastAsia="en-GB"/>
              </w:rPr>
              <w:t xml:space="preserve">will </w:t>
            </w:r>
            <w:r w:rsidR="00FD64C8">
              <w:rPr>
                <w:lang w:eastAsia="en-GB"/>
              </w:rPr>
              <w:t xml:space="preserve">require payment for educational </w:t>
            </w:r>
            <w:r w:rsidR="00607411">
              <w:rPr>
                <w:lang w:eastAsia="en-GB"/>
              </w:rPr>
              <w:t xml:space="preserve">and supervision </w:t>
            </w:r>
            <w:r w:rsidR="00FD64C8">
              <w:rPr>
                <w:lang w:eastAsia="en-GB"/>
              </w:rPr>
              <w:t>time either to registrars or practices. Th</w:t>
            </w:r>
            <w:r w:rsidR="00365E6C">
              <w:rPr>
                <w:lang w:eastAsia="en-GB"/>
              </w:rPr>
              <w:t>e clinical exam could be pushed into GPEP 2</w:t>
            </w:r>
            <w:r w:rsidR="00FD64C8">
              <w:rPr>
                <w:lang w:eastAsia="en-GB"/>
              </w:rPr>
              <w:t>.</w:t>
            </w:r>
          </w:p>
          <w:p w14:paraId="2163A761" w14:textId="55728A91" w:rsidR="00574489" w:rsidRPr="00FD64C8" w:rsidRDefault="001534F9" w:rsidP="00EF364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In general practice, the GPEP 2 registrars are likely to be generating practice income in some, but not necessarily all, practices. </w:t>
            </w:r>
            <w:r w:rsidR="006A296E">
              <w:rPr>
                <w:lang w:eastAsia="en-GB"/>
              </w:rPr>
              <w:t>A s</w:t>
            </w:r>
            <w:r w:rsidR="00F86B37">
              <w:rPr>
                <w:lang w:eastAsia="en-GB"/>
              </w:rPr>
              <w:t>tandard</w:t>
            </w:r>
            <w:r w:rsidR="006A296E">
              <w:rPr>
                <w:lang w:eastAsia="en-GB"/>
              </w:rPr>
              <w:t xml:space="preserve"> contract for GPEP 2 would </w:t>
            </w:r>
            <w:r w:rsidR="00351952">
              <w:rPr>
                <w:lang w:eastAsia="en-GB"/>
              </w:rPr>
              <w:t>be a benefit for registrars but would require consultation with practices.</w:t>
            </w:r>
            <w:r w:rsidR="00574489">
              <w:rPr>
                <w:lang w:eastAsia="en-GB"/>
              </w:rPr>
              <w:t xml:space="preserve"> </w:t>
            </w:r>
            <w:r w:rsidR="00D81E64">
              <w:rPr>
                <w:lang w:eastAsia="en-GB"/>
              </w:rPr>
              <w:t xml:space="preserve">Te </w:t>
            </w:r>
            <w:proofErr w:type="spellStart"/>
            <w:r w:rsidR="00D81E64">
              <w:rPr>
                <w:lang w:eastAsia="en-GB"/>
              </w:rPr>
              <w:t>Whatu</w:t>
            </w:r>
            <w:proofErr w:type="spellEnd"/>
            <w:r w:rsidR="00D81E64">
              <w:rPr>
                <w:lang w:eastAsia="en-GB"/>
              </w:rPr>
              <w:t xml:space="preserve"> Ora/HNZ</w:t>
            </w:r>
            <w:r w:rsidR="00006AB3">
              <w:rPr>
                <w:lang w:eastAsia="en-GB"/>
              </w:rPr>
              <w:t xml:space="preserve"> </w:t>
            </w:r>
            <w:r w:rsidR="00AD7002">
              <w:rPr>
                <w:lang w:eastAsia="en-GB"/>
              </w:rPr>
              <w:t xml:space="preserve">contribution to </w:t>
            </w:r>
            <w:r w:rsidR="007F0F20">
              <w:rPr>
                <w:lang w:eastAsia="en-GB"/>
              </w:rPr>
              <w:t>registrar salaries in V</w:t>
            </w:r>
            <w:r w:rsidR="007972DA">
              <w:rPr>
                <w:lang w:eastAsia="en-GB"/>
              </w:rPr>
              <w:t>LC</w:t>
            </w:r>
            <w:r w:rsidR="007F0F20">
              <w:rPr>
                <w:lang w:eastAsia="en-GB"/>
              </w:rPr>
              <w:t xml:space="preserve">A practices </w:t>
            </w:r>
            <w:r w:rsidR="007972DA">
              <w:rPr>
                <w:lang w:eastAsia="en-GB"/>
              </w:rPr>
              <w:t xml:space="preserve">would </w:t>
            </w:r>
            <w:r w:rsidR="00F70003">
              <w:rPr>
                <w:lang w:eastAsia="en-GB"/>
              </w:rPr>
              <w:t>contribute to building diversity of placements.</w:t>
            </w:r>
          </w:p>
        </w:tc>
      </w:tr>
      <w:tr w:rsidR="002C2037" w14:paraId="75937259"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0947314D" w14:textId="02A520D0" w:rsidR="002C2037" w:rsidRPr="002C2037" w:rsidRDefault="00E23E4D" w:rsidP="00865F78">
            <w:pPr>
              <w:keepNext w:val="0"/>
              <w:rPr>
                <w:b/>
                <w:bCs/>
                <w:lang w:eastAsia="en-GB"/>
              </w:rPr>
            </w:pPr>
            <w:r>
              <w:rPr>
                <w:b/>
                <w:bCs/>
                <w:lang w:eastAsia="en-GB"/>
              </w:rPr>
              <w:t xml:space="preserve">GPEP Funding </w:t>
            </w:r>
            <w:r w:rsidR="0017177B">
              <w:rPr>
                <w:b/>
                <w:bCs/>
                <w:lang w:eastAsia="en-GB"/>
              </w:rPr>
              <w:t>c</w:t>
            </w:r>
            <w:r w:rsidR="002C2037" w:rsidRPr="002C2037">
              <w:rPr>
                <w:b/>
                <w:bCs/>
                <w:lang w:eastAsia="en-GB"/>
              </w:rPr>
              <w:t xml:space="preserve">ontract </w:t>
            </w:r>
          </w:p>
        </w:tc>
        <w:tc>
          <w:tcPr>
            <w:tcW w:w="6207" w:type="dxa"/>
          </w:tcPr>
          <w:p w14:paraId="586A1F4C" w14:textId="5E1A6784" w:rsidR="002C2037" w:rsidRDefault="00FD64C8" w:rsidP="00865F78">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The GPEP contract will need to be revised based on the review recommendations</w:t>
            </w:r>
            <w:r w:rsidR="00A630B7">
              <w:rPr>
                <w:lang w:eastAsia="en-GB"/>
              </w:rPr>
              <w:t xml:space="preserve">. </w:t>
            </w:r>
            <w:r w:rsidR="0017177B">
              <w:rPr>
                <w:lang w:eastAsia="en-GB"/>
              </w:rPr>
              <w:t>The contract content would be strengthened by input from policy teams</w:t>
            </w:r>
            <w:r w:rsidR="0023240E">
              <w:rPr>
                <w:lang w:eastAsia="en-GB"/>
              </w:rPr>
              <w:t xml:space="preserve">, </w:t>
            </w:r>
            <w:r w:rsidR="000D468C">
              <w:rPr>
                <w:lang w:eastAsia="en-GB"/>
              </w:rPr>
              <w:t xml:space="preserve">Te Aka </w:t>
            </w:r>
            <w:proofErr w:type="spellStart"/>
            <w:r w:rsidR="000D468C">
              <w:rPr>
                <w:lang w:eastAsia="en-GB"/>
              </w:rPr>
              <w:t>Whai</w:t>
            </w:r>
            <w:proofErr w:type="spellEnd"/>
            <w:r w:rsidR="000D468C">
              <w:rPr>
                <w:lang w:eastAsia="en-GB"/>
              </w:rPr>
              <w:t xml:space="preserve"> </w:t>
            </w:r>
            <w:r w:rsidR="00550390">
              <w:rPr>
                <w:lang w:eastAsia="en-GB"/>
              </w:rPr>
              <w:t>O</w:t>
            </w:r>
            <w:r w:rsidR="000D468C">
              <w:rPr>
                <w:lang w:eastAsia="en-GB"/>
              </w:rPr>
              <w:t>ra/</w:t>
            </w:r>
            <w:r w:rsidR="0017177B">
              <w:rPr>
                <w:lang w:eastAsia="en-GB"/>
              </w:rPr>
              <w:t xml:space="preserve">Māori </w:t>
            </w:r>
            <w:r w:rsidR="0017177B">
              <w:rPr>
                <w:lang w:eastAsia="en-GB"/>
              </w:rPr>
              <w:t>Health</w:t>
            </w:r>
            <w:r>
              <w:rPr>
                <w:lang w:eastAsia="en-GB"/>
              </w:rPr>
              <w:t xml:space="preserve"> Authority</w:t>
            </w:r>
            <w:r w:rsidR="0023240E">
              <w:rPr>
                <w:lang w:eastAsia="en-GB"/>
              </w:rPr>
              <w:t xml:space="preserve"> and Pacific advisors</w:t>
            </w:r>
            <w:r w:rsidR="003104D4">
              <w:rPr>
                <w:lang w:eastAsia="en-GB"/>
              </w:rPr>
              <w:t xml:space="preserve"> within </w:t>
            </w:r>
            <w:r w:rsidR="00D334C0">
              <w:t>Manat</w:t>
            </w:r>
            <w:r w:rsidR="00D334C0">
              <w:rPr>
                <w:rFonts w:cs="Calibri"/>
              </w:rPr>
              <w:t>ū</w:t>
            </w:r>
            <w:r w:rsidR="00D334C0">
              <w:t xml:space="preserve"> Hauora</w:t>
            </w:r>
            <w:r w:rsidR="003104D4">
              <w:rPr>
                <w:lang w:eastAsia="en-GB"/>
              </w:rPr>
              <w:t xml:space="preserve"> and the College.</w:t>
            </w:r>
          </w:p>
          <w:p w14:paraId="0B3B1B50" w14:textId="291D7E4A" w:rsidR="002C2037" w:rsidRDefault="00A630B7"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lastRenderedPageBreak/>
              <w:t>Over time, s</w:t>
            </w:r>
            <w:r w:rsidR="00A66300">
              <w:rPr>
                <w:lang w:eastAsia="en-GB"/>
              </w:rPr>
              <w:t>hifting the</w:t>
            </w:r>
            <w:r w:rsidR="00742DE6">
              <w:rPr>
                <w:lang w:eastAsia="en-GB"/>
              </w:rPr>
              <w:t xml:space="preserve"> balance </w:t>
            </w:r>
            <w:r w:rsidR="00A66300">
              <w:rPr>
                <w:lang w:eastAsia="en-GB"/>
              </w:rPr>
              <w:t>from</w:t>
            </w:r>
            <w:r w:rsidR="00742DE6">
              <w:rPr>
                <w:lang w:eastAsia="en-GB"/>
              </w:rPr>
              <w:t xml:space="preserve"> the current transactional contract </w:t>
            </w:r>
            <w:r w:rsidR="00A66300">
              <w:rPr>
                <w:lang w:eastAsia="en-GB"/>
              </w:rPr>
              <w:t xml:space="preserve">to a more </w:t>
            </w:r>
            <w:r w:rsidR="00742DE6">
              <w:rPr>
                <w:lang w:eastAsia="en-GB"/>
              </w:rPr>
              <w:t xml:space="preserve">outcomes focused contract would </w:t>
            </w:r>
            <w:r w:rsidR="00133B76">
              <w:rPr>
                <w:lang w:eastAsia="en-GB"/>
              </w:rPr>
              <w:t xml:space="preserve">increase flexibility and ability to respond to </w:t>
            </w:r>
            <w:r w:rsidR="009668AB">
              <w:rPr>
                <w:lang w:eastAsia="en-GB"/>
              </w:rPr>
              <w:t>emerging needs</w:t>
            </w:r>
            <w:r w:rsidR="00742DE6">
              <w:rPr>
                <w:lang w:eastAsia="en-GB"/>
              </w:rPr>
              <w:t xml:space="preserve">. </w:t>
            </w:r>
          </w:p>
        </w:tc>
      </w:tr>
      <w:tr w:rsidR="00100000" w14:paraId="4B71A736"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3B99FDBC" w14:textId="57F05BCE" w:rsidR="00100000" w:rsidRPr="00603BBF" w:rsidRDefault="00100000" w:rsidP="00865F78">
            <w:pPr>
              <w:keepNext w:val="0"/>
              <w:rPr>
                <w:b/>
                <w:lang w:eastAsia="en-GB"/>
              </w:rPr>
            </w:pPr>
            <w:r w:rsidRPr="00603BBF">
              <w:rPr>
                <w:b/>
                <w:lang w:eastAsia="en-GB"/>
              </w:rPr>
              <w:t>Education programme development</w:t>
            </w:r>
          </w:p>
        </w:tc>
        <w:tc>
          <w:tcPr>
            <w:tcW w:w="6207" w:type="dxa"/>
          </w:tcPr>
          <w:p w14:paraId="1DA7DA62" w14:textId="22561A31" w:rsidR="00100000" w:rsidRDefault="00100000" w:rsidP="00865F78">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Curriculum development and quality assurance</w:t>
            </w:r>
            <w:r w:rsidR="005E20B8">
              <w:rPr>
                <w:lang w:eastAsia="en-GB"/>
              </w:rPr>
              <w:t xml:space="preserve"> </w:t>
            </w:r>
            <w:r>
              <w:rPr>
                <w:lang w:eastAsia="en-GB"/>
              </w:rPr>
              <w:t xml:space="preserve">remain the responsibility of </w:t>
            </w:r>
            <w:r w:rsidR="005E20B8">
              <w:rPr>
                <w:lang w:eastAsia="en-GB"/>
              </w:rPr>
              <w:t>the College</w:t>
            </w:r>
            <w:r w:rsidR="00550390">
              <w:rPr>
                <w:lang w:eastAsia="en-GB"/>
              </w:rPr>
              <w:t>,</w:t>
            </w:r>
            <w:r w:rsidR="005E20B8">
              <w:rPr>
                <w:lang w:eastAsia="en-GB"/>
              </w:rPr>
              <w:t xml:space="preserve"> as for other </w:t>
            </w:r>
            <w:r w:rsidR="00603BBF">
              <w:rPr>
                <w:lang w:eastAsia="en-GB"/>
              </w:rPr>
              <w:t>vocatio</w:t>
            </w:r>
            <w:r w:rsidR="007F152A">
              <w:rPr>
                <w:lang w:eastAsia="en-GB"/>
              </w:rPr>
              <w:t>nal programmes</w:t>
            </w:r>
            <w:r w:rsidR="005E20B8">
              <w:rPr>
                <w:lang w:eastAsia="en-GB"/>
              </w:rPr>
              <w:t>.</w:t>
            </w:r>
          </w:p>
        </w:tc>
      </w:tr>
      <w:tr w:rsidR="005E20B8" w14:paraId="4FA3814A"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39BC7A58" w14:textId="35E2E1AE" w:rsidR="005E20B8" w:rsidRPr="00BB39C8" w:rsidRDefault="005E20B8" w:rsidP="00865F78">
            <w:pPr>
              <w:keepNext w:val="0"/>
              <w:rPr>
                <w:b/>
                <w:lang w:eastAsia="en-GB"/>
              </w:rPr>
            </w:pPr>
            <w:r w:rsidRPr="00BB39C8">
              <w:rPr>
                <w:b/>
                <w:lang w:eastAsia="en-GB"/>
              </w:rPr>
              <w:t>Delivery of GPEP 1</w:t>
            </w:r>
          </w:p>
        </w:tc>
        <w:tc>
          <w:tcPr>
            <w:tcW w:w="6207" w:type="dxa"/>
          </w:tcPr>
          <w:p w14:paraId="2BEDC56D" w14:textId="68F27B9C" w:rsidR="005E20B8" w:rsidRPr="00006AB3" w:rsidRDefault="005E20B8" w:rsidP="00865F78">
            <w:pPr>
              <w:keepNext w:val="0"/>
              <w:spacing w:before="0" w:after="60" w:line="240" w:lineRule="auto"/>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The Col</w:t>
            </w:r>
            <w:r w:rsidR="006B7E71" w:rsidRPr="00006AB3">
              <w:rPr>
                <w:lang w:eastAsia="en-GB"/>
              </w:rPr>
              <w:t>l</w:t>
            </w:r>
            <w:r w:rsidRPr="00006AB3">
              <w:rPr>
                <w:lang w:eastAsia="en-GB"/>
              </w:rPr>
              <w:t xml:space="preserve">ege is responsible </w:t>
            </w:r>
            <w:r w:rsidR="00A06047" w:rsidRPr="00006AB3">
              <w:rPr>
                <w:lang w:eastAsia="en-GB"/>
              </w:rPr>
              <w:t>the delivery of the vocational programme including contracting medical educators, the accreditation of teaching practices, quality standards, and assessments.</w:t>
            </w:r>
          </w:p>
          <w:p w14:paraId="3D6BFE6C" w14:textId="13A963E4" w:rsidR="006B03CE" w:rsidRPr="00006AB3" w:rsidRDefault="006B03CE" w:rsidP="00865F78">
            <w:pPr>
              <w:keepNext w:val="0"/>
              <w:spacing w:before="0" w:after="60" w:line="240" w:lineRule="auto"/>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The review indicated the potential to strengthen GPEP by:</w:t>
            </w:r>
          </w:p>
          <w:p w14:paraId="4BC6FBE5" w14:textId="3C03D284" w:rsidR="006B03CE" w:rsidRPr="00006AB3" w:rsidRDefault="006B03CE" w:rsidP="00865F78">
            <w:pPr>
              <w:pStyle w:val="Bulleted"/>
              <w:keepNext w:val="0"/>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 xml:space="preserve">A focus on enabling more Māori and Pacific </w:t>
            </w:r>
            <w:r w:rsidR="00006AB3">
              <w:rPr>
                <w:lang w:eastAsia="en-GB"/>
              </w:rPr>
              <w:t>m</w:t>
            </w:r>
            <w:r w:rsidRPr="00006AB3">
              <w:rPr>
                <w:lang w:eastAsia="en-GB"/>
              </w:rPr>
              <w:t xml:space="preserve">edical </w:t>
            </w:r>
            <w:r w:rsidR="00006AB3">
              <w:rPr>
                <w:lang w:eastAsia="en-GB"/>
              </w:rPr>
              <w:t>e</w:t>
            </w:r>
            <w:r w:rsidR="00ED0AC8" w:rsidRPr="00006AB3">
              <w:rPr>
                <w:lang w:eastAsia="en-GB"/>
              </w:rPr>
              <w:t>ducators. This may require separation of teaching and mentoring/cultural support functions</w:t>
            </w:r>
            <w:r w:rsidR="00550390" w:rsidRPr="00006AB3">
              <w:rPr>
                <w:lang w:eastAsia="en-GB"/>
              </w:rPr>
              <w:t>.</w:t>
            </w:r>
          </w:p>
          <w:p w14:paraId="26D5F630" w14:textId="25602988" w:rsidR="00ED0AC8" w:rsidRPr="00006AB3" w:rsidRDefault="00A66300" w:rsidP="00865F78">
            <w:pPr>
              <w:pStyle w:val="Bulleted"/>
              <w:keepNext w:val="0"/>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S</w:t>
            </w:r>
            <w:r w:rsidR="00385869" w:rsidRPr="00006AB3">
              <w:rPr>
                <w:lang w:eastAsia="en-GB"/>
              </w:rPr>
              <w:t>upport</w:t>
            </w:r>
            <w:r w:rsidRPr="00006AB3">
              <w:rPr>
                <w:lang w:eastAsia="en-GB"/>
              </w:rPr>
              <w:t>ing</w:t>
            </w:r>
            <w:r w:rsidR="00385869" w:rsidRPr="00006AB3">
              <w:rPr>
                <w:lang w:eastAsia="en-GB"/>
              </w:rPr>
              <w:t xml:space="preserve"> Māori and Pacific and small rural practices to become accredited.</w:t>
            </w:r>
            <w:r w:rsidR="00A630B7" w:rsidRPr="00006AB3">
              <w:rPr>
                <w:rFonts w:eastAsiaTheme="minorHAnsi"/>
                <w:lang w:eastAsia="en-GB"/>
              </w:rPr>
              <w:t xml:space="preserve"> Considering other opportunities for GPEP registrars to practice in settings </w:t>
            </w:r>
            <w:r w:rsidR="00A06047" w:rsidRPr="00006AB3">
              <w:rPr>
                <w:rFonts w:eastAsiaTheme="minorHAnsi"/>
                <w:lang w:eastAsia="en-GB"/>
              </w:rPr>
              <w:t xml:space="preserve">under supervision of a teaching fellow </w:t>
            </w:r>
            <w:r w:rsidR="00A630B7" w:rsidRPr="00006AB3">
              <w:rPr>
                <w:rFonts w:eastAsiaTheme="minorHAnsi"/>
                <w:lang w:eastAsia="en-GB"/>
              </w:rPr>
              <w:t>such as marae and workplace clinics and clinics in school settings</w:t>
            </w:r>
            <w:r w:rsidR="00A06047" w:rsidRPr="00006AB3">
              <w:rPr>
                <w:rFonts w:eastAsiaTheme="minorHAnsi"/>
                <w:lang w:eastAsia="en-GB"/>
              </w:rPr>
              <w:t xml:space="preserve"> where a fellow </w:t>
            </w:r>
            <w:r w:rsidR="00006AB3">
              <w:rPr>
                <w:rFonts w:eastAsiaTheme="minorHAnsi"/>
                <w:lang w:eastAsia="en-GB"/>
              </w:rPr>
              <w:t>may not always be available</w:t>
            </w:r>
            <w:r w:rsidR="00A630B7" w:rsidRPr="00006AB3">
              <w:rPr>
                <w:rFonts w:eastAsiaTheme="minorHAnsi"/>
                <w:lang w:eastAsia="en-GB"/>
              </w:rPr>
              <w:t>.</w:t>
            </w:r>
          </w:p>
          <w:p w14:paraId="2B9CEE1B" w14:textId="60EE8454" w:rsidR="002F151B" w:rsidRPr="00006AB3" w:rsidRDefault="002F151B" w:rsidP="00865F78">
            <w:pPr>
              <w:pStyle w:val="Bulleted"/>
              <w:keepNext w:val="0"/>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Expand</w:t>
            </w:r>
            <w:r w:rsidR="00A66300" w:rsidRPr="00006AB3">
              <w:rPr>
                <w:lang w:eastAsia="en-GB"/>
              </w:rPr>
              <w:t>ing</w:t>
            </w:r>
            <w:r w:rsidRPr="00006AB3">
              <w:rPr>
                <w:lang w:eastAsia="en-GB"/>
              </w:rPr>
              <w:t xml:space="preserve"> the support provided to registrars in GPEP 2</w:t>
            </w:r>
            <w:r w:rsidR="00A66300" w:rsidRPr="00006AB3">
              <w:rPr>
                <w:lang w:eastAsia="en-GB"/>
              </w:rPr>
              <w:t>.</w:t>
            </w:r>
            <w:r w:rsidRPr="00006AB3">
              <w:rPr>
                <w:lang w:eastAsia="en-GB"/>
              </w:rPr>
              <w:t xml:space="preserve"> Registrars suggested </w:t>
            </w:r>
            <w:r w:rsidR="00A630B7" w:rsidRPr="00006AB3">
              <w:rPr>
                <w:lang w:eastAsia="en-GB"/>
              </w:rPr>
              <w:t>one on one or small group sessions and an</w:t>
            </w:r>
            <w:r w:rsidRPr="00006AB3">
              <w:rPr>
                <w:lang w:eastAsia="en-GB"/>
              </w:rPr>
              <w:t xml:space="preserve"> out of practice mentor they could contact for case discussion</w:t>
            </w:r>
            <w:r w:rsidR="00A630B7" w:rsidRPr="00006AB3">
              <w:rPr>
                <w:lang w:eastAsia="en-GB"/>
              </w:rPr>
              <w:t>s</w:t>
            </w:r>
            <w:r w:rsidRPr="00006AB3">
              <w:rPr>
                <w:lang w:eastAsia="en-GB"/>
              </w:rPr>
              <w:t>.</w:t>
            </w:r>
          </w:p>
          <w:p w14:paraId="0EAE4BED" w14:textId="6A6695AF" w:rsidR="00A630B7" w:rsidRDefault="00DE09D7" w:rsidP="00A630B7">
            <w:pPr>
              <w:pStyle w:val="Bulleted"/>
              <w:keepNext w:val="0"/>
              <w:cnfStyle w:val="000000000000" w:firstRow="0" w:lastRow="0" w:firstColumn="0" w:lastColumn="0" w:oddVBand="0" w:evenVBand="0" w:oddHBand="0" w:evenHBand="0" w:firstRowFirstColumn="0" w:firstRowLastColumn="0" w:lastRowFirstColumn="0" w:lastRowLastColumn="0"/>
              <w:rPr>
                <w:lang w:eastAsia="en-GB"/>
              </w:rPr>
            </w:pPr>
            <w:r w:rsidRPr="00006AB3">
              <w:rPr>
                <w:lang w:eastAsia="en-GB"/>
              </w:rPr>
              <w:t>Develop</w:t>
            </w:r>
            <w:r w:rsidR="00A66300" w:rsidRPr="00006AB3">
              <w:rPr>
                <w:lang w:eastAsia="en-GB"/>
              </w:rPr>
              <w:t>ing</w:t>
            </w:r>
            <w:r w:rsidRPr="00006AB3">
              <w:rPr>
                <w:lang w:eastAsia="en-GB"/>
              </w:rPr>
              <w:t xml:space="preserve"> regional placement programmes where local </w:t>
            </w:r>
            <w:r w:rsidR="00550390" w:rsidRPr="00006AB3">
              <w:rPr>
                <w:lang w:eastAsia="en-GB"/>
              </w:rPr>
              <w:t>I</w:t>
            </w:r>
            <w:r w:rsidRPr="00006AB3">
              <w:rPr>
                <w:lang w:eastAsia="en-GB"/>
              </w:rPr>
              <w:t xml:space="preserve">wi, local stakeholders such as NGOs, general practices and DHB can contribute to providing registrars with a breadth of experience </w:t>
            </w:r>
            <w:r w:rsidR="006500A9" w:rsidRPr="00006AB3">
              <w:rPr>
                <w:lang w:eastAsia="en-GB"/>
              </w:rPr>
              <w:t>about a region where they may plan to practice.</w:t>
            </w:r>
          </w:p>
        </w:tc>
      </w:tr>
      <w:tr w:rsidR="008D7D20" w14:paraId="5DE58D4D"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6270E9F6" w14:textId="6467F0BA" w:rsidR="008D7D20" w:rsidRPr="00BB39C8" w:rsidRDefault="00A00098" w:rsidP="00A66300">
            <w:pPr>
              <w:keepNext w:val="0"/>
              <w:rPr>
                <w:b/>
                <w:bCs/>
                <w:lang w:eastAsia="en-GB"/>
              </w:rPr>
            </w:pPr>
            <w:r>
              <w:rPr>
                <w:b/>
                <w:bCs/>
                <w:lang w:eastAsia="en-GB"/>
              </w:rPr>
              <w:t>Equity and diverse experiences</w:t>
            </w:r>
            <w:r w:rsidR="00B430BF">
              <w:rPr>
                <w:b/>
                <w:bCs/>
                <w:lang w:eastAsia="en-GB"/>
              </w:rPr>
              <w:t xml:space="preserve"> – regional partnerships</w:t>
            </w:r>
          </w:p>
        </w:tc>
        <w:tc>
          <w:tcPr>
            <w:tcW w:w="6207" w:type="dxa"/>
          </w:tcPr>
          <w:p w14:paraId="3BF6A04A" w14:textId="6A95CC78" w:rsidR="008D7D20" w:rsidRDefault="00A00098"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While </w:t>
            </w:r>
            <w:r w:rsidR="003F587F">
              <w:rPr>
                <w:lang w:eastAsia="en-GB"/>
              </w:rPr>
              <w:t xml:space="preserve">cultural safety education provides a foundation, </w:t>
            </w:r>
            <w:r w:rsidR="004F50BC">
              <w:rPr>
                <w:lang w:eastAsia="en-GB"/>
              </w:rPr>
              <w:t xml:space="preserve">on the ground experience in diverse settings </w:t>
            </w:r>
            <w:r w:rsidR="00C44750">
              <w:rPr>
                <w:lang w:eastAsia="en-GB"/>
              </w:rPr>
              <w:t>with</w:t>
            </w:r>
            <w:r w:rsidR="004F50BC">
              <w:rPr>
                <w:lang w:eastAsia="en-GB"/>
              </w:rPr>
              <w:t xml:space="preserve"> diverse communities is</w:t>
            </w:r>
            <w:r w:rsidR="006449B4">
              <w:rPr>
                <w:lang w:eastAsia="en-GB"/>
              </w:rPr>
              <w:t xml:space="preserve"> the most </w:t>
            </w:r>
            <w:r w:rsidR="00B31F5B">
              <w:rPr>
                <w:lang w:eastAsia="en-GB"/>
              </w:rPr>
              <w:t>powerful</w:t>
            </w:r>
            <w:r w:rsidR="006449B4">
              <w:rPr>
                <w:lang w:eastAsia="en-GB"/>
              </w:rPr>
              <w:t xml:space="preserve"> way</w:t>
            </w:r>
            <w:r w:rsidR="00B31F5B">
              <w:rPr>
                <w:lang w:eastAsia="en-GB"/>
              </w:rPr>
              <w:t xml:space="preserve"> to build understanding.</w:t>
            </w:r>
          </w:p>
          <w:p w14:paraId="7F70064E" w14:textId="21FABB96" w:rsidR="00B31F5B" w:rsidRDefault="00B430BF"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Regional partnerships </w:t>
            </w:r>
            <w:r w:rsidR="00BE3E4A">
              <w:rPr>
                <w:lang w:eastAsia="en-GB"/>
              </w:rPr>
              <w:t xml:space="preserve">offer opportunities for </w:t>
            </w:r>
            <w:r w:rsidR="00B31F5B">
              <w:rPr>
                <w:lang w:eastAsia="en-GB"/>
              </w:rPr>
              <w:t>registrars to have a breadth of experience of different communities and general practices.</w:t>
            </w:r>
            <w:r w:rsidR="00BE3E4A">
              <w:rPr>
                <w:lang w:eastAsia="en-GB"/>
              </w:rPr>
              <w:t xml:space="preserve"> </w:t>
            </w:r>
            <w:r w:rsidR="00F12B1C">
              <w:rPr>
                <w:lang w:eastAsia="en-GB"/>
              </w:rPr>
              <w:t>The process for forming regional partnerships involves health sector organisations (</w:t>
            </w:r>
            <w:r w:rsidR="000A2EB8" w:rsidRPr="00006AB3">
              <w:rPr>
                <w:lang w:eastAsia="en-GB"/>
              </w:rPr>
              <w:t xml:space="preserve">Te </w:t>
            </w:r>
            <w:proofErr w:type="spellStart"/>
            <w:r w:rsidR="000A2EB8" w:rsidRPr="00006AB3">
              <w:rPr>
                <w:lang w:eastAsia="en-GB"/>
              </w:rPr>
              <w:t>Whatu</w:t>
            </w:r>
            <w:proofErr w:type="spellEnd"/>
            <w:r w:rsidR="000A2EB8" w:rsidRPr="00006AB3">
              <w:rPr>
                <w:lang w:eastAsia="en-GB"/>
              </w:rPr>
              <w:t xml:space="preserve"> Ora</w:t>
            </w:r>
            <w:r w:rsidR="000A2EB8">
              <w:rPr>
                <w:lang w:eastAsia="en-GB"/>
              </w:rPr>
              <w:t xml:space="preserve">/ </w:t>
            </w:r>
            <w:r w:rsidR="00F12B1C">
              <w:rPr>
                <w:lang w:eastAsia="en-GB"/>
              </w:rPr>
              <w:t xml:space="preserve">HNZ and </w:t>
            </w:r>
            <w:r w:rsidR="000A2EB8">
              <w:rPr>
                <w:lang w:eastAsia="en-GB"/>
              </w:rPr>
              <w:t xml:space="preserve">Te Aka </w:t>
            </w:r>
            <w:proofErr w:type="spellStart"/>
            <w:r w:rsidR="000A2EB8">
              <w:rPr>
                <w:lang w:eastAsia="en-GB"/>
              </w:rPr>
              <w:t>Whai</w:t>
            </w:r>
            <w:proofErr w:type="spellEnd"/>
            <w:r w:rsidR="000A2EB8">
              <w:rPr>
                <w:lang w:eastAsia="en-GB"/>
              </w:rPr>
              <w:t xml:space="preserve"> Ora/</w:t>
            </w:r>
            <w:r w:rsidR="00F12B1C">
              <w:rPr>
                <w:lang w:eastAsia="en-GB"/>
              </w:rPr>
              <w:t xml:space="preserve">MHA nationally and PHOs or similar regional organisations) alongside the College.  </w:t>
            </w:r>
            <w:r w:rsidR="00BE3E4A">
              <w:rPr>
                <w:lang w:eastAsia="en-GB"/>
              </w:rPr>
              <w:t xml:space="preserve">They may also remove </w:t>
            </w:r>
            <w:r w:rsidR="00BE3E4A">
              <w:rPr>
                <w:lang w:eastAsia="en-GB"/>
              </w:rPr>
              <w:t>relocation barrier</w:t>
            </w:r>
            <w:r w:rsidR="00A630B7">
              <w:rPr>
                <w:lang w:eastAsia="en-GB"/>
              </w:rPr>
              <w:t>s</w:t>
            </w:r>
            <w:r w:rsidR="00BE3E4A">
              <w:rPr>
                <w:lang w:eastAsia="en-GB"/>
              </w:rPr>
              <w:t xml:space="preserve"> </w:t>
            </w:r>
            <w:r w:rsidR="00BE3E4A">
              <w:rPr>
                <w:lang w:eastAsia="en-GB"/>
              </w:rPr>
              <w:lastRenderedPageBreak/>
              <w:t>by providing registrars with c</w:t>
            </w:r>
            <w:r w:rsidR="0047334C">
              <w:rPr>
                <w:lang w:eastAsia="en-GB"/>
              </w:rPr>
              <w:t>ertainty of a 12 to 24</w:t>
            </w:r>
            <w:r w:rsidR="00365E6C">
              <w:rPr>
                <w:lang w:eastAsia="en-GB"/>
              </w:rPr>
              <w:t>-</w:t>
            </w:r>
            <w:r w:rsidR="0047334C">
              <w:rPr>
                <w:lang w:eastAsia="en-GB"/>
              </w:rPr>
              <w:t>month regional placement.</w:t>
            </w:r>
          </w:p>
          <w:p w14:paraId="07B4855B" w14:textId="1CDBD136" w:rsidR="0047334C" w:rsidRDefault="0047334C"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Registrars select a region where they are likely to want </w:t>
            </w:r>
            <w:r w:rsidR="00BC2FD9">
              <w:rPr>
                <w:lang w:eastAsia="en-GB"/>
              </w:rPr>
              <w:t>t</w:t>
            </w:r>
            <w:r>
              <w:rPr>
                <w:lang w:eastAsia="en-GB"/>
              </w:rPr>
              <w:t>o live and work long-term.</w:t>
            </w:r>
            <w:r w:rsidR="005B4EE3">
              <w:rPr>
                <w:lang w:eastAsia="en-GB"/>
              </w:rPr>
              <w:t xml:space="preserve"> </w:t>
            </w:r>
            <w:r w:rsidR="00E32AFC">
              <w:rPr>
                <w:lang w:eastAsia="en-GB"/>
              </w:rPr>
              <w:t xml:space="preserve">Regional partnerships with </w:t>
            </w:r>
            <w:r w:rsidR="00BC2FD9">
              <w:rPr>
                <w:lang w:eastAsia="en-GB"/>
              </w:rPr>
              <w:t xml:space="preserve">DHB/PHO/mana whenua </w:t>
            </w:r>
            <w:r w:rsidR="005B6153">
              <w:rPr>
                <w:lang w:eastAsia="en-GB"/>
              </w:rPr>
              <w:t>are formed a</w:t>
            </w:r>
            <w:r w:rsidR="00213FE4">
              <w:rPr>
                <w:lang w:eastAsia="en-GB"/>
              </w:rPr>
              <w:t xml:space="preserve">s the basis for developing a placement programme. </w:t>
            </w:r>
            <w:r w:rsidR="00510344">
              <w:rPr>
                <w:lang w:eastAsia="en-GB"/>
              </w:rPr>
              <w:t xml:space="preserve">The programme may include a rotation </w:t>
            </w:r>
            <w:r w:rsidR="004D672E">
              <w:rPr>
                <w:lang w:eastAsia="en-GB"/>
              </w:rPr>
              <w:t xml:space="preserve">around a selection of providers who </w:t>
            </w:r>
            <w:r w:rsidR="00BF4DDA">
              <w:rPr>
                <w:lang w:eastAsia="en-GB"/>
              </w:rPr>
              <w:t>while predominantly general practice will also include other primary care settings</w:t>
            </w:r>
            <w:r w:rsidR="001E32FB">
              <w:rPr>
                <w:lang w:eastAsia="en-GB"/>
              </w:rPr>
              <w:t xml:space="preserve"> such as iwi providers, </w:t>
            </w:r>
            <w:r w:rsidR="003D0675">
              <w:rPr>
                <w:lang w:eastAsia="en-GB"/>
              </w:rPr>
              <w:t>marae-based</w:t>
            </w:r>
            <w:r w:rsidR="001E32FB">
              <w:rPr>
                <w:lang w:eastAsia="en-GB"/>
              </w:rPr>
              <w:t xml:space="preserve"> health services.</w:t>
            </w:r>
            <w:r w:rsidR="006505A9">
              <w:rPr>
                <w:lang w:eastAsia="en-GB"/>
              </w:rPr>
              <w:t xml:space="preserve"> </w:t>
            </w:r>
          </w:p>
          <w:p w14:paraId="733CF2BD" w14:textId="77777777" w:rsidR="00B31F5B" w:rsidRDefault="006505A9"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Participating general practices will have strengthened support, </w:t>
            </w:r>
            <w:r w:rsidR="003D5A2C">
              <w:rPr>
                <w:lang w:eastAsia="en-GB"/>
              </w:rPr>
              <w:t xml:space="preserve">and </w:t>
            </w:r>
            <w:r>
              <w:rPr>
                <w:lang w:eastAsia="en-GB"/>
              </w:rPr>
              <w:t>more ce</w:t>
            </w:r>
            <w:r w:rsidR="0088029F">
              <w:rPr>
                <w:lang w:eastAsia="en-GB"/>
              </w:rPr>
              <w:t>r</w:t>
            </w:r>
            <w:r>
              <w:rPr>
                <w:lang w:eastAsia="en-GB"/>
              </w:rPr>
              <w:t>tainty</w:t>
            </w:r>
            <w:r w:rsidR="003D5A2C">
              <w:rPr>
                <w:lang w:eastAsia="en-GB"/>
              </w:rPr>
              <w:t xml:space="preserve"> they will have a registrar.</w:t>
            </w:r>
          </w:p>
          <w:p w14:paraId="20CC6FB1" w14:textId="1968EE9F" w:rsidR="00365E6C" w:rsidRDefault="00365E6C"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A regional pilot programme could be set-up and evaluated to inform national development.</w:t>
            </w:r>
          </w:p>
        </w:tc>
      </w:tr>
      <w:tr w:rsidR="00357FF3" w14:paraId="24F0E008"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5AA19642" w14:textId="77777777" w:rsidR="00357FF3" w:rsidRPr="001534F9" w:rsidRDefault="00357FF3" w:rsidP="00865F78">
            <w:pPr>
              <w:keepNext w:val="0"/>
              <w:rPr>
                <w:b/>
                <w:bCs/>
                <w:lang w:eastAsia="en-GB"/>
              </w:rPr>
            </w:pPr>
            <w:r w:rsidRPr="001534F9">
              <w:rPr>
                <w:b/>
                <w:bCs/>
                <w:lang w:eastAsia="en-GB"/>
              </w:rPr>
              <w:t>Placement provider contracts and funding</w:t>
            </w:r>
          </w:p>
        </w:tc>
        <w:tc>
          <w:tcPr>
            <w:tcW w:w="6207" w:type="dxa"/>
          </w:tcPr>
          <w:p w14:paraId="040E5106" w14:textId="389FF06C" w:rsidR="00357FF3" w:rsidRDefault="00357FF3"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General practices vary in their structure, </w:t>
            </w:r>
            <w:proofErr w:type="gramStart"/>
            <w:r>
              <w:rPr>
                <w:lang w:eastAsia="en-GB"/>
              </w:rPr>
              <w:t>nature</w:t>
            </w:r>
            <w:proofErr w:type="gramEnd"/>
            <w:r>
              <w:rPr>
                <w:lang w:eastAsia="en-GB"/>
              </w:rPr>
              <w:t xml:space="preserve"> and the populations they serve. This variation must be </w:t>
            </w:r>
            <w:r w:rsidR="00A630B7">
              <w:rPr>
                <w:lang w:eastAsia="en-GB"/>
              </w:rPr>
              <w:t>considered</w:t>
            </w:r>
            <w:r>
              <w:rPr>
                <w:lang w:eastAsia="en-GB"/>
              </w:rPr>
              <w:t xml:space="preserve"> in the contacts held between the placement providers and the funder.</w:t>
            </w:r>
          </w:p>
          <w:p w14:paraId="34470E00" w14:textId="77777777" w:rsidR="00357FF3" w:rsidRDefault="00357FF3" w:rsidP="00A66300">
            <w:pPr>
              <w:keepNext w:val="0"/>
              <w:cnfStyle w:val="000000000000" w:firstRow="0" w:lastRow="0" w:firstColumn="0" w:lastColumn="0" w:oddVBand="0" w:evenVBand="0" w:oddHBand="0" w:evenHBand="0" w:firstRowFirstColumn="0" w:firstRowLastColumn="0" w:lastRowFirstColumn="0" w:lastRowLastColumn="0"/>
              <w:rPr>
                <w:lang w:eastAsia="en-GB"/>
              </w:rPr>
            </w:pPr>
            <w:r>
              <w:rPr>
                <w:lang w:eastAsia="en-GB"/>
              </w:rPr>
              <w:t>Placement funding is inadequate for VLCA practices and minimally adequate for some others. Consider different payments depending on practice co-payment rates.</w:t>
            </w:r>
          </w:p>
        </w:tc>
      </w:tr>
      <w:tr w:rsidR="001D3ED6" w14:paraId="0E88FA3A" w14:textId="77777777" w:rsidTr="00F074B2">
        <w:trPr>
          <w:cantSplit w:val="0"/>
        </w:trPr>
        <w:tc>
          <w:tcPr>
            <w:cnfStyle w:val="001000000000" w:firstRow="0" w:lastRow="0" w:firstColumn="1" w:lastColumn="0" w:oddVBand="0" w:evenVBand="0" w:oddHBand="0" w:evenHBand="0" w:firstRowFirstColumn="0" w:firstRowLastColumn="0" w:lastRowFirstColumn="0" w:lastRowLastColumn="0"/>
            <w:tcW w:w="1590" w:type="dxa"/>
          </w:tcPr>
          <w:p w14:paraId="6EF54144" w14:textId="046DE1A7" w:rsidR="001D3ED6" w:rsidRPr="00DD366B" w:rsidRDefault="001D3ED6" w:rsidP="00865F78">
            <w:pPr>
              <w:keepNext w:val="0"/>
              <w:rPr>
                <w:b/>
                <w:lang w:eastAsia="en-GB"/>
              </w:rPr>
            </w:pPr>
            <w:r w:rsidRPr="00DD366B">
              <w:rPr>
                <w:b/>
                <w:lang w:eastAsia="en-GB"/>
              </w:rPr>
              <w:t>Administration of GPEP</w:t>
            </w:r>
          </w:p>
        </w:tc>
        <w:tc>
          <w:tcPr>
            <w:tcW w:w="6207" w:type="dxa"/>
          </w:tcPr>
          <w:p w14:paraId="51D5B4E1" w14:textId="26AC410B" w:rsidR="001D3ED6" w:rsidRDefault="001D3ED6" w:rsidP="00A630B7">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The review is not able to conclude whether the administrative funding is adequate or GPEP administration is inefficient or both.</w:t>
            </w:r>
          </w:p>
        </w:tc>
      </w:tr>
    </w:tbl>
    <w:p w14:paraId="581841CE" w14:textId="59122446" w:rsidR="00865F78" w:rsidRDefault="00865F78" w:rsidP="00A66300">
      <w:pPr>
        <w:pStyle w:val="Heading2"/>
      </w:pPr>
      <w:bookmarkStart w:id="98" w:name="_Toc104816953"/>
      <w:bookmarkStart w:id="99" w:name="_Toc105853930"/>
      <w:r>
        <w:t>Recommendations</w:t>
      </w:r>
      <w:bookmarkEnd w:id="98"/>
      <w:bookmarkEnd w:id="99"/>
    </w:p>
    <w:p w14:paraId="715C4E09" w14:textId="77777777" w:rsidR="008621BF" w:rsidRDefault="008621BF" w:rsidP="008621BF">
      <w:pPr>
        <w:spacing w:after="0"/>
        <w:rPr>
          <w:b/>
          <w:bCs/>
          <w:lang w:eastAsia="en-GB"/>
        </w:rPr>
      </w:pPr>
      <w:bookmarkStart w:id="100" w:name="_Hlk108710209"/>
      <w:r>
        <w:rPr>
          <w:b/>
          <w:bCs/>
          <w:lang w:eastAsia="en-GB"/>
        </w:rPr>
        <w:t>Barriers to recruitment:</w:t>
      </w:r>
    </w:p>
    <w:p w14:paraId="7D2AAE45" w14:textId="77777777" w:rsidR="008621BF" w:rsidRPr="00F074B2" w:rsidRDefault="008621BF" w:rsidP="008621BF">
      <w:pPr>
        <w:rPr>
          <w:lang w:eastAsia="en-GB"/>
        </w:rPr>
      </w:pPr>
      <w:r w:rsidRPr="00F074B2">
        <w:rPr>
          <w:lang w:eastAsia="en-GB"/>
        </w:rPr>
        <w:t xml:space="preserve">Recommendation 1a: </w:t>
      </w:r>
      <w:r>
        <w:rPr>
          <w:lang w:eastAsia="en-GB"/>
        </w:rPr>
        <w:t xml:space="preserve">Te </w:t>
      </w:r>
      <w:proofErr w:type="spellStart"/>
      <w:r>
        <w:rPr>
          <w:lang w:eastAsia="en-GB"/>
        </w:rPr>
        <w:t>Whatu</w:t>
      </w:r>
      <w:proofErr w:type="spellEnd"/>
      <w:r>
        <w:rPr>
          <w:lang w:eastAsia="en-GB"/>
        </w:rPr>
        <w:t xml:space="preserve"> Ora/HNZ</w:t>
      </w:r>
      <w:r w:rsidRPr="00F074B2">
        <w:rPr>
          <w:lang w:eastAsia="en-GB"/>
        </w:rPr>
        <w:t xml:space="preserve"> is the employer for GPEP registrars and GPEP registrars’ salary and employment terms and conditions are aligned with registrars in other vocational programmes</w:t>
      </w:r>
      <w:r>
        <w:rPr>
          <w:lang w:eastAsia="en-GB"/>
        </w:rPr>
        <w:t>.</w:t>
      </w:r>
    </w:p>
    <w:p w14:paraId="696C88C5" w14:textId="77777777" w:rsidR="008621BF" w:rsidRDefault="008621BF" w:rsidP="008621BF">
      <w:pPr>
        <w:rPr>
          <w:lang w:eastAsia="en-GB"/>
        </w:rPr>
      </w:pPr>
      <w:r>
        <w:rPr>
          <w:lang w:eastAsia="en-GB"/>
        </w:rPr>
        <w:t>Recommendation 1b: General practice is promoted in the under-graduate and post-graduate years as an important and valuable vocational choice.</w:t>
      </w:r>
    </w:p>
    <w:p w14:paraId="03C7E994" w14:textId="77777777" w:rsidR="008621BF" w:rsidRDefault="008621BF" w:rsidP="008621BF">
      <w:pPr>
        <w:spacing w:after="0"/>
        <w:rPr>
          <w:b/>
          <w:bCs/>
          <w:lang w:eastAsia="en-GB"/>
        </w:rPr>
      </w:pPr>
      <w:r>
        <w:rPr>
          <w:b/>
          <w:bCs/>
          <w:lang w:eastAsia="en-GB"/>
        </w:rPr>
        <w:t>Enabling a clinically competent workforce</w:t>
      </w:r>
    </w:p>
    <w:p w14:paraId="2758777B" w14:textId="77777777" w:rsidR="008621BF" w:rsidRPr="00DD2A60" w:rsidRDefault="008621BF" w:rsidP="008621BF">
      <w:pPr>
        <w:cnfStyle w:val="001000000000" w:firstRow="0" w:lastRow="0" w:firstColumn="1" w:lastColumn="0" w:oddVBand="0" w:evenVBand="0" w:oddHBand="0" w:evenHBand="0" w:firstRowFirstColumn="0" w:firstRowLastColumn="0" w:lastRowFirstColumn="0" w:lastRowLastColumn="0"/>
        <w:rPr>
          <w:lang w:eastAsia="en-GB"/>
        </w:rPr>
      </w:pPr>
      <w:r w:rsidRPr="00EA0826">
        <w:rPr>
          <w:lang w:eastAsia="en-GB"/>
        </w:rPr>
        <w:t xml:space="preserve">Recommendation 2a: </w:t>
      </w:r>
      <w:r w:rsidRPr="00DD2A60">
        <w:rPr>
          <w:lang w:eastAsia="en-GB"/>
        </w:rPr>
        <w:t xml:space="preserve">Te </w:t>
      </w:r>
      <w:proofErr w:type="spellStart"/>
      <w:r w:rsidRPr="00DD2A60">
        <w:rPr>
          <w:lang w:eastAsia="en-GB"/>
        </w:rPr>
        <w:t>Whatu</w:t>
      </w:r>
      <w:proofErr w:type="spellEnd"/>
      <w:r w:rsidRPr="00DD2A60">
        <w:rPr>
          <w:lang w:eastAsia="en-GB"/>
        </w:rPr>
        <w:t xml:space="preserve"> Ora and the College work together to consider expanding the educational component of GPEP 2 and deferring the clinical exam until GPEP 2 and the associated funding implications.</w:t>
      </w:r>
    </w:p>
    <w:p w14:paraId="07EC83AD" w14:textId="77777777" w:rsidR="008621BF" w:rsidRDefault="008621BF" w:rsidP="008621BF">
      <w:pPr>
        <w:rPr>
          <w:lang w:eastAsia="en-GB"/>
        </w:rPr>
      </w:pPr>
      <w:r w:rsidRPr="00EA0826">
        <w:rPr>
          <w:lang w:eastAsia="en-GB"/>
        </w:rPr>
        <w:lastRenderedPageBreak/>
        <w:t xml:space="preserve">Recommendation 2b: </w:t>
      </w:r>
      <w:r w:rsidRPr="0025472C">
        <w:rPr>
          <w:lang w:eastAsia="en-GB"/>
        </w:rPr>
        <w:t xml:space="preserve">Te </w:t>
      </w:r>
      <w:proofErr w:type="spellStart"/>
      <w:r w:rsidRPr="0025472C">
        <w:rPr>
          <w:lang w:eastAsia="en-GB"/>
        </w:rPr>
        <w:t>Whatu</w:t>
      </w:r>
      <w:proofErr w:type="spellEnd"/>
      <w:r w:rsidRPr="0025472C">
        <w:rPr>
          <w:lang w:eastAsia="en-GB"/>
        </w:rPr>
        <w:t xml:space="preserve"> Ora/HNZ and the College consider employment options for the educational component of GPEP 2</w:t>
      </w:r>
      <w:r>
        <w:rPr>
          <w:lang w:eastAsia="en-GB"/>
        </w:rPr>
        <w:t>.</w:t>
      </w:r>
    </w:p>
    <w:p w14:paraId="17843D18" w14:textId="77777777" w:rsidR="008621BF" w:rsidRPr="0025472C" w:rsidRDefault="008621BF" w:rsidP="008621BF">
      <w:pPr>
        <w:rPr>
          <w:lang w:eastAsia="en-GB"/>
        </w:rPr>
      </w:pPr>
      <w:r w:rsidRPr="0025472C">
        <w:rPr>
          <w:lang w:eastAsia="en-GB"/>
        </w:rPr>
        <w:t xml:space="preserve">Recommendation 2c. The funder and the College develop strategies to support wider representation of rural, Māori and Pacific practices to become accredited practices.  </w:t>
      </w:r>
    </w:p>
    <w:p w14:paraId="472892DE" w14:textId="77777777" w:rsidR="008621BF" w:rsidRPr="00EA0826" w:rsidRDefault="008621BF" w:rsidP="008621BF">
      <w:pPr>
        <w:spacing w:after="0"/>
        <w:rPr>
          <w:b/>
          <w:bCs/>
          <w:lang w:eastAsia="en-GB"/>
        </w:rPr>
      </w:pPr>
      <w:r w:rsidRPr="00EA0826">
        <w:rPr>
          <w:b/>
          <w:bCs/>
          <w:lang w:eastAsia="en-GB"/>
        </w:rPr>
        <w:t>Enabling a culturally competent workforce</w:t>
      </w:r>
    </w:p>
    <w:p w14:paraId="7A971D9F" w14:textId="77777777" w:rsidR="008621BF" w:rsidRPr="00EA0826" w:rsidRDefault="008621BF" w:rsidP="008621BF">
      <w:pPr>
        <w:rPr>
          <w:lang w:eastAsia="en-GB"/>
        </w:rPr>
      </w:pPr>
      <w:r w:rsidRPr="00EA0826">
        <w:rPr>
          <w:lang w:eastAsia="en-GB"/>
        </w:rPr>
        <w:t xml:space="preserve">Recommendation 3: Explore and address barriers to Māori and Pacific participation in GPEP training. </w:t>
      </w:r>
    </w:p>
    <w:p w14:paraId="125847D6" w14:textId="77777777" w:rsidR="008621BF" w:rsidRPr="00096BC9" w:rsidRDefault="008621BF" w:rsidP="008621BF">
      <w:pPr>
        <w:spacing w:after="0"/>
        <w:rPr>
          <w:b/>
          <w:bCs/>
          <w:lang w:eastAsia="en-GB"/>
        </w:rPr>
      </w:pPr>
      <w:r w:rsidRPr="00096BC9">
        <w:rPr>
          <w:b/>
          <w:bCs/>
          <w:lang w:eastAsia="en-GB"/>
        </w:rPr>
        <w:t>Regional training programmes</w:t>
      </w:r>
    </w:p>
    <w:p w14:paraId="5FC8A5F2" w14:textId="77777777" w:rsidR="008621BF" w:rsidRPr="00F074B2" w:rsidRDefault="008621BF" w:rsidP="008621BF">
      <w:pPr>
        <w:rPr>
          <w:lang w:eastAsia="en-GB"/>
        </w:rPr>
      </w:pPr>
      <w:r w:rsidRPr="00F074B2">
        <w:rPr>
          <w:lang w:eastAsia="en-GB"/>
        </w:rPr>
        <w:t xml:space="preserve">Recommendation 4: </w:t>
      </w:r>
      <w:r>
        <w:rPr>
          <w:lang w:eastAsia="en-GB"/>
        </w:rPr>
        <w:t>Health sector organisations and the College</w:t>
      </w:r>
      <w:r w:rsidRPr="00F074B2">
        <w:rPr>
          <w:lang w:eastAsia="en-GB"/>
        </w:rPr>
        <w:t xml:space="preserve"> consult with mana whenua and other regional partners to explore opportunities for regional placement programmes to extend coverage and improve cultural </w:t>
      </w:r>
      <w:r>
        <w:rPr>
          <w:lang w:eastAsia="en-GB"/>
        </w:rPr>
        <w:t>safety</w:t>
      </w:r>
      <w:r w:rsidRPr="00F074B2">
        <w:rPr>
          <w:lang w:eastAsia="en-GB"/>
        </w:rPr>
        <w:t xml:space="preserve"> education and understanding of rural localities. </w:t>
      </w:r>
    </w:p>
    <w:p w14:paraId="2F932083" w14:textId="77777777" w:rsidR="008621BF" w:rsidRPr="00096BC9" w:rsidRDefault="008621BF" w:rsidP="008621BF">
      <w:pPr>
        <w:spacing w:after="0"/>
        <w:rPr>
          <w:b/>
          <w:bCs/>
          <w:lang w:eastAsia="en-GB"/>
        </w:rPr>
      </w:pPr>
      <w:r w:rsidRPr="00096BC9">
        <w:rPr>
          <w:b/>
          <w:bCs/>
          <w:lang w:eastAsia="en-GB"/>
        </w:rPr>
        <w:t>The GPEP contract</w:t>
      </w:r>
    </w:p>
    <w:p w14:paraId="3A531523" w14:textId="77777777" w:rsidR="008621BF" w:rsidRDefault="008621BF" w:rsidP="008621BF">
      <w:pPr>
        <w:rPr>
          <w:lang w:eastAsia="en-GB"/>
        </w:rPr>
      </w:pPr>
      <w:r w:rsidRPr="00096BC9">
        <w:rPr>
          <w:lang w:eastAsia="en-GB"/>
        </w:rPr>
        <w:t>Recommendation 5: A reviewed GPEP funding contract with a focus on partnerships to achieve change</w:t>
      </w:r>
      <w:r>
        <w:rPr>
          <w:lang w:eastAsia="en-GB"/>
        </w:rPr>
        <w:t>.</w:t>
      </w:r>
      <w:r w:rsidRPr="00096BC9">
        <w:rPr>
          <w:lang w:eastAsia="en-GB"/>
        </w:rPr>
        <w:t xml:space="preserve"> </w:t>
      </w:r>
    </w:p>
    <w:p w14:paraId="7A0AFEE4" w14:textId="7E3FD1B0" w:rsidR="00F118A5" w:rsidRDefault="00096BC9" w:rsidP="00F118A5">
      <w:pPr>
        <w:rPr>
          <w:lang w:eastAsia="en-GB"/>
        </w:rPr>
      </w:pPr>
      <w:r w:rsidRPr="00096BC9">
        <w:rPr>
          <w:lang w:eastAsia="en-GB"/>
        </w:rPr>
        <w:t xml:space="preserve"> </w:t>
      </w:r>
    </w:p>
    <w:bookmarkEnd w:id="100"/>
    <w:p w14:paraId="2453A721" w14:textId="31B92B76" w:rsidR="0025472C" w:rsidRDefault="0025472C" w:rsidP="0025472C">
      <w:pPr>
        <w:pStyle w:val="Heading2"/>
      </w:pPr>
      <w:r>
        <w:lastRenderedPageBreak/>
        <w:t>Overview</w:t>
      </w:r>
    </w:p>
    <w:p w14:paraId="08D6D63B" w14:textId="326D044B" w:rsidR="001651F6" w:rsidRPr="00F118A5" w:rsidRDefault="00C377E2" w:rsidP="001651F6">
      <w:pPr>
        <w:ind w:hanging="1560"/>
        <w:rPr>
          <w:lang w:eastAsia="en-GB"/>
        </w:rPr>
      </w:pPr>
      <w:r w:rsidRPr="00C377E2">
        <w:rPr>
          <w:noProof/>
        </w:rPr>
        <w:drawing>
          <wp:inline distT="0" distB="0" distL="0" distR="0" wp14:anchorId="532087A0" wp14:editId="54B077CA">
            <wp:extent cx="6051550" cy="494284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64073" cy="4953069"/>
                    </a:xfrm>
                    <a:prstGeom prst="rect">
                      <a:avLst/>
                    </a:prstGeom>
                    <a:noFill/>
                    <a:ln>
                      <a:noFill/>
                    </a:ln>
                  </pic:spPr>
                </pic:pic>
              </a:graphicData>
            </a:graphic>
          </wp:inline>
        </w:drawing>
      </w:r>
    </w:p>
    <w:p w14:paraId="3011E98C" w14:textId="77777777" w:rsidR="00A66300" w:rsidRDefault="00A66300" w:rsidP="00A66300">
      <w:pPr>
        <w:rPr>
          <w:lang w:eastAsia="en-GB"/>
        </w:rPr>
      </w:pPr>
    </w:p>
    <w:p w14:paraId="243D0818" w14:textId="3FFEE131" w:rsidR="00A66300" w:rsidRDefault="00A66300" w:rsidP="00A66300">
      <w:pPr>
        <w:rPr>
          <w:lang w:eastAsia="en-GB"/>
        </w:rPr>
        <w:sectPr w:rsidR="00A66300" w:rsidSect="00CA3C1C">
          <w:pgSz w:w="11906" w:h="16838" w:code="9"/>
          <w:pgMar w:top="1985" w:right="1418" w:bottom="1985" w:left="2880" w:header="284" w:footer="567" w:gutter="0"/>
          <w:cols w:space="708"/>
          <w:docGrid w:linePitch="360"/>
        </w:sectPr>
      </w:pPr>
    </w:p>
    <w:p w14:paraId="47A94E87" w14:textId="340D9381" w:rsidR="004A3626" w:rsidRPr="00CB5526" w:rsidRDefault="004A3626" w:rsidP="002B0CCF">
      <w:pPr>
        <w:pStyle w:val="Heading1"/>
        <w:numPr>
          <w:ilvl w:val="0"/>
          <w:numId w:val="0"/>
        </w:numPr>
        <w:ind w:left="-992"/>
      </w:pPr>
      <w:bookmarkStart w:id="101" w:name="_Toc105853931"/>
      <w:r w:rsidRPr="00CB5526">
        <w:lastRenderedPageBreak/>
        <w:t xml:space="preserve">Appendix One: </w:t>
      </w:r>
      <w:r w:rsidR="002A525C">
        <w:t>R</w:t>
      </w:r>
      <w:r w:rsidRPr="00CB5526">
        <w:t>eview questions</w:t>
      </w:r>
      <w:bookmarkEnd w:id="101"/>
    </w:p>
    <w:p w14:paraId="55EE0BE2" w14:textId="3C8A114C" w:rsidR="004A3626" w:rsidRPr="00CB5526" w:rsidRDefault="0095099B" w:rsidP="004A3626">
      <w:pPr>
        <w:ind w:hanging="1843"/>
      </w:pPr>
      <w:r w:rsidRPr="0095099B">
        <w:drawing>
          <wp:inline distT="0" distB="0" distL="0" distR="0" wp14:anchorId="0047F1C1" wp14:editId="286B9D7F">
            <wp:extent cx="6229350" cy="561974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43268" cy="5632300"/>
                    </a:xfrm>
                    <a:prstGeom prst="rect">
                      <a:avLst/>
                    </a:prstGeom>
                    <a:noFill/>
                    <a:ln>
                      <a:noFill/>
                    </a:ln>
                  </pic:spPr>
                </pic:pic>
              </a:graphicData>
            </a:graphic>
          </wp:inline>
        </w:drawing>
      </w:r>
    </w:p>
    <w:p w14:paraId="0F3C34FD" w14:textId="13C982D0" w:rsidR="005B1B7A" w:rsidRPr="005B1B7A" w:rsidRDefault="00CF58D8" w:rsidP="00A11368">
      <w:pPr>
        <w:pStyle w:val="Heading1"/>
        <w:numPr>
          <w:ilvl w:val="0"/>
          <w:numId w:val="0"/>
        </w:numPr>
        <w:spacing w:after="60"/>
        <w:ind w:left="-992"/>
      </w:pPr>
      <w:bookmarkStart w:id="102" w:name="_Toc105853932"/>
      <w:r w:rsidRPr="00CB5526">
        <w:lastRenderedPageBreak/>
        <w:t>Appendix Two: Survey details</w:t>
      </w:r>
      <w:bookmarkEnd w:id="102"/>
    </w:p>
    <w:p w14:paraId="753B8706" w14:textId="3B7D0DCC" w:rsidR="00DB4A80" w:rsidRPr="00905C2C" w:rsidRDefault="00DB4A80" w:rsidP="00905C2C">
      <w:pPr>
        <w:ind w:right="-330" w:hanging="993"/>
        <w:rPr>
          <w:b/>
          <w:bCs/>
          <w:sz w:val="20"/>
          <w:szCs w:val="20"/>
        </w:rPr>
      </w:pPr>
      <w:r w:rsidRPr="00905C2C">
        <w:rPr>
          <w:b/>
          <w:bCs/>
          <w:sz w:val="20"/>
          <w:szCs w:val="20"/>
        </w:rPr>
        <w:t>Demographic comparison of registrar survey responses and RNZCGP GPEP admission data</w:t>
      </w:r>
      <w:r w:rsidR="00EF337A" w:rsidRPr="00905C2C">
        <w:rPr>
          <w:b/>
          <w:bCs/>
          <w:sz w:val="20"/>
          <w:szCs w:val="20"/>
        </w:rPr>
        <w:t xml:space="preserve"> (2015-2020</w:t>
      </w:r>
      <w:r w:rsidR="00EF337A" w:rsidRPr="00905C2C">
        <w:rPr>
          <w:rStyle w:val="FootnoteReference"/>
          <w:b/>
          <w:bCs/>
          <w:sz w:val="20"/>
          <w:szCs w:val="20"/>
        </w:rPr>
        <w:footnoteReference w:id="38"/>
      </w:r>
      <w:r w:rsidR="00EF337A" w:rsidRPr="00905C2C">
        <w:rPr>
          <w:b/>
          <w:bCs/>
          <w:sz w:val="20"/>
          <w:szCs w:val="20"/>
        </w:rPr>
        <w:t>)</w:t>
      </w:r>
      <w:r w:rsidRPr="00905C2C">
        <w:rPr>
          <w:b/>
          <w:bCs/>
          <w:sz w:val="20"/>
          <w:szCs w:val="20"/>
        </w:rPr>
        <w:t>.</w:t>
      </w:r>
    </w:p>
    <w:tbl>
      <w:tblPr>
        <w:tblStyle w:val="MITableClassic"/>
        <w:tblW w:w="8647" w:type="dxa"/>
        <w:jc w:val="right"/>
        <w:tblLook w:val="04A0" w:firstRow="1" w:lastRow="0" w:firstColumn="1" w:lastColumn="0" w:noHBand="0" w:noVBand="1"/>
      </w:tblPr>
      <w:tblGrid>
        <w:gridCol w:w="1276"/>
        <w:gridCol w:w="3544"/>
        <w:gridCol w:w="1276"/>
        <w:gridCol w:w="850"/>
        <w:gridCol w:w="851"/>
        <w:gridCol w:w="850"/>
      </w:tblGrid>
      <w:tr w:rsidR="00416EE9" w14:paraId="45877190" w14:textId="3CBF5C8B" w:rsidTr="00A92AE2">
        <w:trPr>
          <w:cnfStyle w:val="100000000000" w:firstRow="1" w:lastRow="0" w:firstColumn="0" w:lastColumn="0" w:oddVBand="0" w:evenVBand="0" w:oddHBand="0" w:evenHBand="0" w:firstRowFirstColumn="0" w:firstRowLastColumn="0" w:lastRowFirstColumn="0" w:lastRowLastColumn="0"/>
          <w:cantSplit w:val="0"/>
          <w:trHeight w:val="23"/>
          <w:jc w:val="right"/>
        </w:trPr>
        <w:tc>
          <w:tcPr>
            <w:cnfStyle w:val="001000000100" w:firstRow="0" w:lastRow="0" w:firstColumn="1" w:lastColumn="0" w:oddVBand="0" w:evenVBand="0" w:oddHBand="0" w:evenHBand="0" w:firstRowFirstColumn="1" w:firstRowLastColumn="0" w:lastRowFirstColumn="0" w:lastRowLastColumn="0"/>
            <w:tcW w:w="1276" w:type="dxa"/>
          </w:tcPr>
          <w:p w14:paraId="0CC0DD84" w14:textId="77777777" w:rsidR="00416EE9" w:rsidRDefault="00416EE9" w:rsidP="00EF337A">
            <w:pPr>
              <w:keepNext w:val="0"/>
              <w:spacing w:before="0" w:after="0" w:line="240" w:lineRule="auto"/>
              <w:contextualSpacing/>
            </w:pPr>
          </w:p>
        </w:tc>
        <w:tc>
          <w:tcPr>
            <w:tcW w:w="3544" w:type="dxa"/>
          </w:tcPr>
          <w:p w14:paraId="5DFECA46" w14:textId="77777777" w:rsidR="00416EE9" w:rsidRDefault="00416EE9" w:rsidP="00EF337A">
            <w:pPr>
              <w:keepNext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pPr>
          </w:p>
        </w:tc>
        <w:tc>
          <w:tcPr>
            <w:tcW w:w="2126" w:type="dxa"/>
            <w:gridSpan w:val="2"/>
            <w:vAlign w:val="center"/>
          </w:tcPr>
          <w:p w14:paraId="076840B7" w14:textId="06E3C56B" w:rsidR="00416EE9" w:rsidRDefault="00DE6C8D" w:rsidP="00EF337A">
            <w:pPr>
              <w:keepNext w:val="0"/>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pPr>
            <w:r>
              <w:t>Registrar s</w:t>
            </w:r>
            <w:r w:rsidR="00416EE9">
              <w:t>urvey</w:t>
            </w:r>
          </w:p>
        </w:tc>
        <w:tc>
          <w:tcPr>
            <w:tcW w:w="1701" w:type="dxa"/>
            <w:gridSpan w:val="2"/>
          </w:tcPr>
          <w:p w14:paraId="144E08F4" w14:textId="2D4EBA97" w:rsidR="002A69E0" w:rsidRPr="00EF337A" w:rsidRDefault="00416EE9" w:rsidP="00EF337A">
            <w:pPr>
              <w:keepNext w:val="0"/>
              <w:spacing w:before="0" w:after="0" w:line="24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014AE4">
              <w:t>RNZCGP</w:t>
            </w:r>
          </w:p>
        </w:tc>
      </w:tr>
      <w:tr w:rsidR="00B908AC" w14:paraId="0FA490FE" w14:textId="0000403E"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08325AC6" w14:textId="24210D4D" w:rsidR="00416EE9" w:rsidRDefault="00416EE9" w:rsidP="00EF337A">
            <w:pPr>
              <w:pStyle w:val="Tablenormal0"/>
              <w:keepNext w:val="0"/>
              <w:spacing w:line="240" w:lineRule="auto"/>
              <w:contextualSpacing/>
            </w:pPr>
          </w:p>
        </w:tc>
        <w:tc>
          <w:tcPr>
            <w:tcW w:w="3544" w:type="dxa"/>
          </w:tcPr>
          <w:p w14:paraId="0ED10AE4" w14:textId="77777777" w:rsidR="00416EE9" w:rsidRDefault="00416EE9" w:rsidP="00EF337A">
            <w:pPr>
              <w:pStyle w:val="Tablenormal0"/>
              <w:keepNext w:val="0"/>
              <w:spacing w:line="240" w:lineRule="auto"/>
              <w:contextualSpacing/>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049B7FB5" w14:textId="75A08C82" w:rsidR="00416EE9" w:rsidRPr="008E028D" w:rsidRDefault="00416EE9" w:rsidP="00EF337A">
            <w:pPr>
              <w:pStyle w:val="Tablenormal0"/>
              <w:keepNext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rPr>
            </w:pPr>
            <w:r w:rsidRPr="008E028D">
              <w:rPr>
                <w:b/>
                <w:bCs/>
              </w:rPr>
              <w:t>%</w:t>
            </w:r>
          </w:p>
        </w:tc>
        <w:tc>
          <w:tcPr>
            <w:tcW w:w="850" w:type="dxa"/>
            <w:vAlign w:val="center"/>
          </w:tcPr>
          <w:p w14:paraId="5C7F030A" w14:textId="77777777" w:rsidR="00416EE9" w:rsidRPr="008E028D" w:rsidRDefault="00416EE9" w:rsidP="00EF337A">
            <w:pPr>
              <w:pStyle w:val="Tablenormal0"/>
              <w:keepNext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rPr>
            </w:pPr>
            <w:r w:rsidRPr="008E028D">
              <w:rPr>
                <w:b/>
                <w:bCs/>
              </w:rPr>
              <w:t>n</w:t>
            </w:r>
          </w:p>
        </w:tc>
        <w:tc>
          <w:tcPr>
            <w:tcW w:w="851" w:type="dxa"/>
            <w:vAlign w:val="center"/>
          </w:tcPr>
          <w:p w14:paraId="5C1DE3A5" w14:textId="6709AECA" w:rsidR="00416EE9" w:rsidRPr="00014AE4" w:rsidRDefault="00416EE9" w:rsidP="00EF337A">
            <w:pPr>
              <w:pStyle w:val="Tablenormal0"/>
              <w:keepNext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014AE4">
              <w:rPr>
                <w:b/>
                <w:bCs/>
                <w:color w:val="auto"/>
              </w:rPr>
              <w:t>%</w:t>
            </w:r>
          </w:p>
        </w:tc>
        <w:tc>
          <w:tcPr>
            <w:tcW w:w="850" w:type="dxa"/>
            <w:vAlign w:val="center"/>
          </w:tcPr>
          <w:p w14:paraId="24AD3B4E" w14:textId="79837823" w:rsidR="00416EE9" w:rsidRPr="00014AE4" w:rsidRDefault="00416EE9" w:rsidP="00EF337A">
            <w:pPr>
              <w:pStyle w:val="Tablenormal0"/>
              <w:keepNext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color w:val="auto"/>
              </w:rPr>
            </w:pPr>
            <w:r w:rsidRPr="00014AE4">
              <w:rPr>
                <w:b/>
                <w:bCs/>
                <w:color w:val="auto"/>
              </w:rPr>
              <w:t>n</w:t>
            </w:r>
          </w:p>
        </w:tc>
      </w:tr>
      <w:tr w:rsidR="00B908AC" w14:paraId="4FD96595" w14:textId="0B551282"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135CEDF8" w14:textId="77777777" w:rsidR="00416EE9" w:rsidRDefault="00416EE9" w:rsidP="00EF337A">
            <w:pPr>
              <w:pStyle w:val="Tablenormal0"/>
              <w:keepNext w:val="0"/>
              <w:spacing w:before="100" w:beforeAutospacing="1" w:after="100" w:afterAutospacing="1"/>
              <w:contextualSpacing/>
              <w:jc w:val="right"/>
            </w:pPr>
            <w:r>
              <w:t>Stage</w:t>
            </w:r>
          </w:p>
        </w:tc>
        <w:tc>
          <w:tcPr>
            <w:tcW w:w="3544" w:type="dxa"/>
            <w:vAlign w:val="center"/>
          </w:tcPr>
          <w:p w14:paraId="6F21EEA0" w14:textId="06A864CD"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Current GPEP</w:t>
            </w:r>
            <w:r w:rsidR="0084002B">
              <w:t xml:space="preserve"> </w:t>
            </w:r>
            <w:r>
              <w:t>1</w:t>
            </w:r>
          </w:p>
          <w:p w14:paraId="03CC5E6C" w14:textId="4C640DD6"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Complete GPEP</w:t>
            </w:r>
            <w:r w:rsidR="0084002B">
              <w:t xml:space="preserve"> </w:t>
            </w:r>
            <w:r>
              <w:t>1</w:t>
            </w:r>
          </w:p>
          <w:p w14:paraId="524F1718" w14:textId="6408522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Complete GPEP</w:t>
            </w:r>
            <w:r w:rsidR="0084002B">
              <w:t xml:space="preserve"> </w:t>
            </w:r>
            <w:r>
              <w:t>2+</w:t>
            </w:r>
          </w:p>
          <w:p w14:paraId="3F35E6F5"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Fellow</w:t>
            </w:r>
          </w:p>
          <w:p w14:paraId="11EA2CC8"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On hold</w:t>
            </w:r>
          </w:p>
          <w:p w14:paraId="5FC4BE16"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Discontinued</w:t>
            </w:r>
          </w:p>
          <w:p w14:paraId="19BD2C22"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 xml:space="preserve">Other </w:t>
            </w:r>
          </w:p>
        </w:tc>
        <w:tc>
          <w:tcPr>
            <w:tcW w:w="1276" w:type="dxa"/>
            <w:vAlign w:val="center"/>
          </w:tcPr>
          <w:p w14:paraId="0952DB89"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5%</w:t>
            </w:r>
          </w:p>
          <w:p w14:paraId="4ABCDFAD"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17%</w:t>
            </w:r>
          </w:p>
          <w:p w14:paraId="4ADDBF92"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30%</w:t>
            </w:r>
          </w:p>
          <w:p w14:paraId="380B2812"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41%</w:t>
            </w:r>
          </w:p>
          <w:p w14:paraId="1F0D00D3"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3%</w:t>
            </w:r>
          </w:p>
          <w:p w14:paraId="50E560AA"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1%</w:t>
            </w:r>
          </w:p>
          <w:p w14:paraId="0ABA3493"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3%</w:t>
            </w:r>
          </w:p>
        </w:tc>
        <w:tc>
          <w:tcPr>
            <w:tcW w:w="850" w:type="dxa"/>
            <w:vAlign w:val="center"/>
          </w:tcPr>
          <w:p w14:paraId="247FA493"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415</w:t>
            </w:r>
          </w:p>
        </w:tc>
        <w:tc>
          <w:tcPr>
            <w:tcW w:w="851" w:type="dxa"/>
            <w:vAlign w:val="center"/>
          </w:tcPr>
          <w:p w14:paraId="4D758BD9" w14:textId="3FC3BD18" w:rsidR="00416EE9" w:rsidRPr="00014AE4" w:rsidRDefault="008B2630"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w:t>
            </w:r>
          </w:p>
        </w:tc>
        <w:tc>
          <w:tcPr>
            <w:tcW w:w="850" w:type="dxa"/>
            <w:vAlign w:val="center"/>
          </w:tcPr>
          <w:p w14:paraId="59B3BF4B" w14:textId="533A2B4B" w:rsidR="00416EE9" w:rsidRPr="00014AE4" w:rsidRDefault="008B2630"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w:t>
            </w:r>
          </w:p>
        </w:tc>
      </w:tr>
      <w:tr w:rsidR="00B908AC" w14:paraId="460C1D0A" w14:textId="4D9408F5"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621AD839" w14:textId="77777777" w:rsidR="00416EE9" w:rsidRDefault="00416EE9" w:rsidP="00EF337A">
            <w:pPr>
              <w:pStyle w:val="Tablenormal0"/>
              <w:keepNext w:val="0"/>
              <w:spacing w:before="100" w:beforeAutospacing="1" w:after="100" w:afterAutospacing="1"/>
              <w:contextualSpacing/>
              <w:jc w:val="right"/>
            </w:pPr>
            <w:r>
              <w:t>Ethnicity</w:t>
            </w:r>
          </w:p>
        </w:tc>
        <w:tc>
          <w:tcPr>
            <w:tcW w:w="3544" w:type="dxa"/>
            <w:vAlign w:val="center"/>
          </w:tcPr>
          <w:p w14:paraId="3AE5ED68" w14:textId="281FDAB0"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European</w:t>
            </w:r>
            <w:r w:rsidR="00C4071F">
              <w:t>/Other</w:t>
            </w:r>
          </w:p>
          <w:p w14:paraId="21D17B6F"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Asian</w:t>
            </w:r>
          </w:p>
          <w:p w14:paraId="7C792431"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Māori</w:t>
            </w:r>
          </w:p>
          <w:p w14:paraId="7C96FB17" w14:textId="35564940" w:rsidR="00416EE9" w:rsidRPr="00C4071F"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Pacific</w:t>
            </w:r>
          </w:p>
        </w:tc>
        <w:tc>
          <w:tcPr>
            <w:tcW w:w="1276" w:type="dxa"/>
            <w:vAlign w:val="center"/>
          </w:tcPr>
          <w:p w14:paraId="472BA06F" w14:textId="4E977F79"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6</w:t>
            </w:r>
            <w:r w:rsidR="00EA41C4">
              <w:rPr>
                <w:lang w:val="en-GB"/>
              </w:rPr>
              <w:t>9</w:t>
            </w:r>
            <w:r>
              <w:rPr>
                <w:lang w:val="en-GB"/>
              </w:rPr>
              <w:t>%</w:t>
            </w:r>
          </w:p>
          <w:p w14:paraId="6FB69E8F"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26%</w:t>
            </w:r>
          </w:p>
          <w:p w14:paraId="4BEDC4CA"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8%</w:t>
            </w:r>
          </w:p>
          <w:p w14:paraId="46ECDEA6" w14:textId="207352A4" w:rsidR="00416EE9" w:rsidRPr="00EF3CFE"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850" w:type="dxa"/>
            <w:vAlign w:val="center"/>
          </w:tcPr>
          <w:p w14:paraId="082672BB"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389</w:t>
            </w:r>
          </w:p>
        </w:tc>
        <w:tc>
          <w:tcPr>
            <w:tcW w:w="851" w:type="dxa"/>
            <w:vAlign w:val="center"/>
          </w:tcPr>
          <w:p w14:paraId="3CA7C2AF" w14:textId="77777777" w:rsidR="002A69E0" w:rsidRPr="00014AE4" w:rsidRDefault="00930C0C"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61%</w:t>
            </w:r>
          </w:p>
          <w:p w14:paraId="50E2EE4F" w14:textId="77777777" w:rsidR="00930C0C" w:rsidRPr="00014AE4" w:rsidRDefault="00443CB5"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33%</w:t>
            </w:r>
          </w:p>
          <w:p w14:paraId="604AADE0" w14:textId="77777777" w:rsidR="00443CB5" w:rsidRPr="00014AE4" w:rsidRDefault="00014AE4"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8%</w:t>
            </w:r>
          </w:p>
          <w:p w14:paraId="1F00AD7E" w14:textId="325373EF" w:rsidR="00014AE4" w:rsidRPr="00014AE4" w:rsidRDefault="00014AE4"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4%</w:t>
            </w:r>
          </w:p>
        </w:tc>
        <w:tc>
          <w:tcPr>
            <w:tcW w:w="850" w:type="dxa"/>
            <w:vAlign w:val="center"/>
          </w:tcPr>
          <w:p w14:paraId="43288E1F" w14:textId="3C09BDAA" w:rsidR="00416EE9" w:rsidRPr="00014AE4" w:rsidRDefault="00014AE4"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14AE4">
              <w:rPr>
                <w:color w:val="auto"/>
              </w:rPr>
              <w:t>1</w:t>
            </w:r>
            <w:r>
              <w:rPr>
                <w:color w:val="auto"/>
              </w:rPr>
              <w:t>,</w:t>
            </w:r>
            <w:r w:rsidRPr="00014AE4">
              <w:rPr>
                <w:color w:val="auto"/>
              </w:rPr>
              <w:t>222</w:t>
            </w:r>
          </w:p>
        </w:tc>
      </w:tr>
      <w:tr w:rsidR="00B908AC" w14:paraId="27A662D1" w14:textId="27115168"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59C2EFCF" w14:textId="77777777" w:rsidR="00416EE9" w:rsidRDefault="00416EE9" w:rsidP="00EF337A">
            <w:pPr>
              <w:pStyle w:val="Tablenormal0"/>
              <w:keepNext w:val="0"/>
              <w:spacing w:before="100" w:beforeAutospacing="1" w:after="100" w:afterAutospacing="1"/>
              <w:contextualSpacing/>
              <w:jc w:val="right"/>
            </w:pPr>
            <w:r>
              <w:t>Gender</w:t>
            </w:r>
          </w:p>
        </w:tc>
        <w:tc>
          <w:tcPr>
            <w:tcW w:w="3544" w:type="dxa"/>
            <w:vAlign w:val="center"/>
          </w:tcPr>
          <w:p w14:paraId="2676B69C"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Female</w:t>
            </w:r>
          </w:p>
          <w:p w14:paraId="3348536B"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Male</w:t>
            </w:r>
          </w:p>
          <w:p w14:paraId="78B4F40D" w14:textId="77777777" w:rsidR="00416EE9" w:rsidRDefault="00416EE9"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Another gender</w:t>
            </w:r>
          </w:p>
        </w:tc>
        <w:tc>
          <w:tcPr>
            <w:tcW w:w="1276" w:type="dxa"/>
            <w:vAlign w:val="center"/>
          </w:tcPr>
          <w:p w14:paraId="5103A22A"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68%</w:t>
            </w:r>
          </w:p>
          <w:p w14:paraId="13710073"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31%</w:t>
            </w:r>
          </w:p>
          <w:p w14:paraId="712AF16C"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w:t>
            </w:r>
          </w:p>
        </w:tc>
        <w:tc>
          <w:tcPr>
            <w:tcW w:w="850" w:type="dxa"/>
            <w:vAlign w:val="center"/>
          </w:tcPr>
          <w:p w14:paraId="177CBE8A" w14:textId="77777777" w:rsidR="00416EE9" w:rsidRDefault="00416EE9"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389</w:t>
            </w:r>
          </w:p>
        </w:tc>
        <w:tc>
          <w:tcPr>
            <w:tcW w:w="851" w:type="dxa"/>
            <w:vAlign w:val="center"/>
          </w:tcPr>
          <w:p w14:paraId="48CF1C78" w14:textId="5E8257B8" w:rsidR="00416EE9" w:rsidRPr="00043930" w:rsidRDefault="006D0205"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43930">
              <w:rPr>
                <w:color w:val="auto"/>
              </w:rPr>
              <w:t>5</w:t>
            </w:r>
            <w:r w:rsidR="00014AE4" w:rsidRPr="00043930">
              <w:rPr>
                <w:color w:val="auto"/>
              </w:rPr>
              <w:t>9</w:t>
            </w:r>
            <w:r w:rsidRPr="00043930">
              <w:rPr>
                <w:color w:val="auto"/>
              </w:rPr>
              <w:t>%</w:t>
            </w:r>
          </w:p>
          <w:p w14:paraId="19E499C7" w14:textId="20F92FD7" w:rsidR="006D0205" w:rsidRPr="00043930" w:rsidRDefault="00924E2D"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43930">
              <w:rPr>
                <w:color w:val="auto"/>
              </w:rPr>
              <w:t>4</w:t>
            </w:r>
            <w:r w:rsidR="00043930" w:rsidRPr="00043930">
              <w:rPr>
                <w:color w:val="auto"/>
              </w:rPr>
              <w:t>1</w:t>
            </w:r>
            <w:r w:rsidRPr="00043930">
              <w:rPr>
                <w:color w:val="auto"/>
              </w:rPr>
              <w:t>%</w:t>
            </w:r>
          </w:p>
          <w:p w14:paraId="4A32A9B5" w14:textId="71EC1D2A" w:rsidR="00924E2D" w:rsidRPr="00043930" w:rsidRDefault="00924E2D"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43930">
              <w:rPr>
                <w:color w:val="auto"/>
              </w:rPr>
              <w:t>-</w:t>
            </w:r>
          </w:p>
        </w:tc>
        <w:tc>
          <w:tcPr>
            <w:tcW w:w="850" w:type="dxa"/>
            <w:vAlign w:val="center"/>
          </w:tcPr>
          <w:p w14:paraId="5E6CCBD6" w14:textId="069E7BF7" w:rsidR="00416EE9" w:rsidRPr="00043930" w:rsidRDefault="00043930"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sidRPr="00043930">
              <w:rPr>
                <w:color w:val="auto"/>
              </w:rPr>
              <w:t>1,226</w:t>
            </w:r>
          </w:p>
        </w:tc>
      </w:tr>
      <w:tr w:rsidR="005D5486" w14:paraId="400EE687" w14:textId="77777777"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0CFB605E" w14:textId="017C4BFF" w:rsidR="005D5486" w:rsidRDefault="005D5486" w:rsidP="00EF337A">
            <w:pPr>
              <w:pStyle w:val="Tablenormal0"/>
              <w:keepNext w:val="0"/>
              <w:spacing w:before="100" w:beforeAutospacing="1" w:after="100" w:afterAutospacing="1"/>
              <w:contextualSpacing/>
              <w:jc w:val="right"/>
            </w:pPr>
            <w:r>
              <w:t>Location of last PGY</w:t>
            </w:r>
          </w:p>
        </w:tc>
        <w:tc>
          <w:tcPr>
            <w:tcW w:w="3544" w:type="dxa"/>
          </w:tcPr>
          <w:p w14:paraId="530DE967" w14:textId="373EAD83" w:rsidR="005F5DAC" w:rsidRDefault="005F5DAC"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t>Northland</w:t>
            </w:r>
          </w:p>
          <w:p w14:paraId="7885B2BB" w14:textId="4784F73E"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Waitematā</w:t>
            </w:r>
          </w:p>
          <w:p w14:paraId="3C269816" w14:textId="36AC46B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 xml:space="preserve">Auckland/Counties Manukau </w:t>
            </w:r>
          </w:p>
          <w:p w14:paraId="2FA54A0D"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Bay of Plenty/Lakes</w:t>
            </w:r>
          </w:p>
          <w:p w14:paraId="7316A831"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Tairāwhiti</w:t>
            </w:r>
          </w:p>
          <w:p w14:paraId="473F46FA"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Hawke’s Bay</w:t>
            </w:r>
          </w:p>
          <w:p w14:paraId="6192C34E"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Waikato</w:t>
            </w:r>
          </w:p>
          <w:p w14:paraId="565B630C"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Taranaki</w:t>
            </w:r>
          </w:p>
          <w:p w14:paraId="0AF3A9CA"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Whanganui/MidCentral</w:t>
            </w:r>
          </w:p>
          <w:p w14:paraId="40C56979"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Capital and Coast/Hutt &amp; Wairarapa</w:t>
            </w:r>
          </w:p>
          <w:p w14:paraId="706C1E8C"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Nelson Marlborough</w:t>
            </w:r>
          </w:p>
          <w:p w14:paraId="7EDCC7A8"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Canterbury/South Canterbury</w:t>
            </w:r>
          </w:p>
          <w:p w14:paraId="76E48053" w14:textId="77777777" w:rsidR="005B6C64" w:rsidRPr="004A44D6"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West Coast</w:t>
            </w:r>
          </w:p>
          <w:p w14:paraId="371BD994" w14:textId="77777777" w:rsidR="005B6C64" w:rsidRDefault="005B6C64"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rsidRPr="004A44D6">
              <w:t>Southern</w:t>
            </w:r>
          </w:p>
          <w:p w14:paraId="22ACB2EB" w14:textId="18A521F9" w:rsidR="005D5486" w:rsidRPr="000D4A9A" w:rsidRDefault="000D4A9A" w:rsidP="00EF337A">
            <w:pPr>
              <w:pStyle w:val="Tablenormal0"/>
              <w:keepNext w:val="0"/>
              <w:jc w:val="right"/>
              <w:cnfStyle w:val="000000000000" w:firstRow="0" w:lastRow="0" w:firstColumn="0" w:lastColumn="0" w:oddVBand="0" w:evenVBand="0" w:oddHBand="0" w:evenHBand="0" w:firstRowFirstColumn="0" w:firstRowLastColumn="0" w:lastRowFirstColumn="0" w:lastRowLastColumn="0"/>
            </w:pPr>
            <w:r>
              <w:t>Overseas</w:t>
            </w:r>
          </w:p>
        </w:tc>
        <w:tc>
          <w:tcPr>
            <w:tcW w:w="1276" w:type="dxa"/>
          </w:tcPr>
          <w:p w14:paraId="4A09B636" w14:textId="77777777" w:rsidR="005D5486"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5%</w:t>
            </w:r>
          </w:p>
          <w:p w14:paraId="06B72C48"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7%</w:t>
            </w:r>
          </w:p>
          <w:p w14:paraId="57887900"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18%</w:t>
            </w:r>
          </w:p>
          <w:p w14:paraId="74D7CBA4"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7%</w:t>
            </w:r>
          </w:p>
          <w:p w14:paraId="15508398"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2%</w:t>
            </w:r>
          </w:p>
          <w:p w14:paraId="662B5F31"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5%</w:t>
            </w:r>
          </w:p>
          <w:p w14:paraId="0F91FBEE"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6%</w:t>
            </w:r>
          </w:p>
          <w:p w14:paraId="761CE057" w14:textId="77777777" w:rsidR="005F5DAC" w:rsidRPr="003B3404" w:rsidRDefault="005F5DAC"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2%</w:t>
            </w:r>
          </w:p>
          <w:p w14:paraId="347501E2" w14:textId="77777777" w:rsidR="005F5DAC"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4%</w:t>
            </w:r>
          </w:p>
          <w:p w14:paraId="65E550C1" w14:textId="77777777" w:rsidR="000D4A9A" w:rsidRPr="003B3404"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12%</w:t>
            </w:r>
          </w:p>
          <w:p w14:paraId="68C9959F" w14:textId="77777777" w:rsidR="000D4A9A"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3%</w:t>
            </w:r>
          </w:p>
          <w:p w14:paraId="45BEA0F7" w14:textId="77777777" w:rsidR="000D4A9A" w:rsidRPr="003B3404"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16%</w:t>
            </w:r>
          </w:p>
          <w:p w14:paraId="24682316" w14:textId="77777777" w:rsidR="000D4A9A" w:rsidRPr="003B3404"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1%</w:t>
            </w:r>
          </w:p>
          <w:p w14:paraId="148DD413" w14:textId="77777777" w:rsidR="000D4A9A" w:rsidRPr="003B3404"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8%</w:t>
            </w:r>
          </w:p>
          <w:p w14:paraId="5658A0C2" w14:textId="477C1BF7" w:rsidR="000D4A9A" w:rsidRPr="00871A40" w:rsidRDefault="000D4A9A" w:rsidP="00EF337A">
            <w:pPr>
              <w:pStyle w:val="Tablenormal0"/>
              <w:keepNext w:val="0"/>
              <w:jc w:val="center"/>
              <w:cnfStyle w:val="000000000000" w:firstRow="0" w:lastRow="0" w:firstColumn="0" w:lastColumn="0" w:oddVBand="0" w:evenVBand="0" w:oddHBand="0" w:evenHBand="0" w:firstRowFirstColumn="0" w:firstRowLastColumn="0" w:lastRowFirstColumn="0" w:lastRowLastColumn="0"/>
            </w:pPr>
            <w:r w:rsidRPr="003B3404">
              <w:t>3%</w:t>
            </w:r>
          </w:p>
        </w:tc>
        <w:tc>
          <w:tcPr>
            <w:tcW w:w="850" w:type="dxa"/>
          </w:tcPr>
          <w:p w14:paraId="211C25F1" w14:textId="46A6C2E4" w:rsidR="005D5486" w:rsidRDefault="006C4A2A" w:rsidP="00EF337A">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415</w:t>
            </w:r>
          </w:p>
        </w:tc>
        <w:tc>
          <w:tcPr>
            <w:tcW w:w="851" w:type="dxa"/>
          </w:tcPr>
          <w:p w14:paraId="4FE864DE" w14:textId="068F9081" w:rsidR="005D5486" w:rsidRPr="00043930" w:rsidRDefault="006C4A2A" w:rsidP="00EF337A">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850" w:type="dxa"/>
          </w:tcPr>
          <w:p w14:paraId="21727C15" w14:textId="4CA75903" w:rsidR="005D5486" w:rsidRPr="00043930" w:rsidRDefault="006C4A2A" w:rsidP="00EF337A">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9024E" w14:paraId="5BFFB098" w14:textId="77777777" w:rsidTr="00EF337A">
        <w:trPr>
          <w:cantSplit w:val="0"/>
          <w:jc w:val="right"/>
        </w:trPr>
        <w:tc>
          <w:tcPr>
            <w:cnfStyle w:val="001000000000" w:firstRow="0" w:lastRow="0" w:firstColumn="1" w:lastColumn="0" w:oddVBand="0" w:evenVBand="0" w:oddHBand="0" w:evenHBand="0" w:firstRowFirstColumn="0" w:firstRowLastColumn="0" w:lastRowFirstColumn="0" w:lastRowLastColumn="0"/>
            <w:tcW w:w="1276" w:type="dxa"/>
          </w:tcPr>
          <w:p w14:paraId="14DDF1E4" w14:textId="55FED076" w:rsidR="0059024E" w:rsidRDefault="0059024E" w:rsidP="00EF337A">
            <w:pPr>
              <w:pStyle w:val="Tablenormal0"/>
              <w:keepNext w:val="0"/>
              <w:spacing w:before="100" w:beforeAutospacing="1" w:after="100" w:afterAutospacing="1"/>
              <w:contextualSpacing/>
              <w:jc w:val="right"/>
            </w:pPr>
            <w:r>
              <w:t>Employer in GPEP</w:t>
            </w:r>
            <w:r w:rsidR="0084002B">
              <w:t xml:space="preserve"> </w:t>
            </w:r>
            <w:r>
              <w:t>1</w:t>
            </w:r>
          </w:p>
        </w:tc>
        <w:tc>
          <w:tcPr>
            <w:tcW w:w="3544" w:type="dxa"/>
            <w:vAlign w:val="center"/>
          </w:tcPr>
          <w:p w14:paraId="13BE44D3" w14:textId="77777777" w:rsidR="0059024E" w:rsidRDefault="0059024E"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RNZCGP</w:t>
            </w:r>
          </w:p>
          <w:p w14:paraId="119398CB" w14:textId="77777777" w:rsidR="0059024E" w:rsidRDefault="0059024E"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Practice</w:t>
            </w:r>
          </w:p>
          <w:p w14:paraId="21957BB7" w14:textId="7E5B6952" w:rsidR="0059024E" w:rsidRPr="00904EBC" w:rsidRDefault="0059024E" w:rsidP="005A7286">
            <w:pPr>
              <w:pStyle w:val="Tablenormal0"/>
              <w:keepNext w:val="0"/>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pPr>
            <w:r>
              <w:t>Self-</w:t>
            </w:r>
            <w:r w:rsidR="006F7B6D">
              <w:t>employed</w:t>
            </w:r>
          </w:p>
        </w:tc>
        <w:tc>
          <w:tcPr>
            <w:tcW w:w="1276" w:type="dxa"/>
            <w:vAlign w:val="center"/>
          </w:tcPr>
          <w:p w14:paraId="5EF90703" w14:textId="77777777" w:rsidR="0059024E" w:rsidRDefault="00FE60A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84%</w:t>
            </w:r>
          </w:p>
          <w:p w14:paraId="1618765B" w14:textId="77777777" w:rsidR="00FE60AE" w:rsidRDefault="00FE60A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16%</w:t>
            </w:r>
          </w:p>
          <w:p w14:paraId="7EB7E4AF" w14:textId="16C6616E" w:rsidR="00FE60AE" w:rsidRPr="00904EBC" w:rsidRDefault="0081691C"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w:t>
            </w:r>
          </w:p>
        </w:tc>
        <w:tc>
          <w:tcPr>
            <w:tcW w:w="850" w:type="dxa"/>
            <w:vAlign w:val="center"/>
          </w:tcPr>
          <w:p w14:paraId="6FCCF92B" w14:textId="20D37825" w:rsidR="0059024E" w:rsidRDefault="00FE60A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409</w:t>
            </w:r>
          </w:p>
        </w:tc>
        <w:tc>
          <w:tcPr>
            <w:tcW w:w="851" w:type="dxa"/>
            <w:vAlign w:val="center"/>
          </w:tcPr>
          <w:p w14:paraId="7B4A7BF9" w14:textId="77777777" w:rsidR="0059024E" w:rsidRDefault="00EC659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80%</w:t>
            </w:r>
          </w:p>
          <w:p w14:paraId="540287CF" w14:textId="77777777" w:rsidR="00EC659E" w:rsidRDefault="00EC659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p w14:paraId="257FE088" w14:textId="0AA83FD6" w:rsidR="00EC659E" w:rsidRDefault="00EC659E"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850" w:type="dxa"/>
            <w:vAlign w:val="center"/>
          </w:tcPr>
          <w:p w14:paraId="35D58943" w14:textId="476BCBE6" w:rsidR="0059024E" w:rsidRDefault="00AE6910" w:rsidP="005A7286">
            <w:pPr>
              <w:pStyle w:val="Tablenormal0"/>
              <w:keepNext w:val="0"/>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1,141</w:t>
            </w:r>
            <w:r w:rsidR="005A7286">
              <w:rPr>
                <w:rStyle w:val="FootnoteReference"/>
                <w:color w:val="auto"/>
              </w:rPr>
              <w:footnoteReference w:id="39"/>
            </w:r>
          </w:p>
        </w:tc>
      </w:tr>
    </w:tbl>
    <w:p w14:paraId="1C884032" w14:textId="25E32263" w:rsidR="00CF58D8" w:rsidRDefault="00CF58D8" w:rsidP="00A11368">
      <w:pPr>
        <w:rPr>
          <w:lang w:val="mi-NZ" w:eastAsia="en-GB"/>
        </w:rPr>
      </w:pPr>
    </w:p>
    <w:sectPr w:rsidR="00CF58D8" w:rsidSect="00CA3C1C">
      <w:pgSz w:w="11906" w:h="16838" w:code="9"/>
      <w:pgMar w:top="1560" w:right="1418" w:bottom="1985" w:left="288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62C8" w14:textId="77777777" w:rsidR="006E307E" w:rsidRDefault="006E307E" w:rsidP="00BE490C">
      <w:r>
        <w:separator/>
      </w:r>
    </w:p>
  </w:endnote>
  <w:endnote w:type="continuationSeparator" w:id="0">
    <w:p w14:paraId="436BC0EF" w14:textId="77777777" w:rsidR="006E307E" w:rsidRDefault="006E307E" w:rsidP="00BE490C">
      <w:r>
        <w:continuationSeparator/>
      </w:r>
    </w:p>
  </w:endnote>
  <w:endnote w:type="continuationNotice" w:id="1">
    <w:p w14:paraId="7013BCD1" w14:textId="77777777" w:rsidR="006E307E" w:rsidRDefault="006E30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912" w14:textId="77777777" w:rsidR="005A0304" w:rsidRDefault="005A0304" w:rsidP="00BF537D">
    <w:pPr>
      <w:pStyle w:val="Footer"/>
    </w:pPr>
    <w:r>
      <w:rPr>
        <w:noProof/>
      </w:rPr>
      <mc:AlternateContent>
        <mc:Choice Requires="wps">
          <w:drawing>
            <wp:anchor distT="0" distB="0" distL="114300" distR="114300" simplePos="0" relativeHeight="251658244" behindDoc="0" locked="0" layoutInCell="1" allowOverlap="1" wp14:anchorId="2DD04C19" wp14:editId="2B0423B0">
              <wp:simplePos x="0" y="0"/>
              <wp:positionH relativeFrom="column">
                <wp:posOffset>6274435</wp:posOffset>
              </wp:positionH>
              <wp:positionV relativeFrom="paragraph">
                <wp:posOffset>453390</wp:posOffset>
              </wp:positionV>
              <wp:extent cx="556895" cy="29464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E5C9" w14:textId="77777777" w:rsidR="005A0304" w:rsidRPr="00AA4389" w:rsidRDefault="005A0304" w:rsidP="00BF537D">
                          <w:r w:rsidRPr="00AA4389">
                            <w:fldChar w:fldCharType="begin"/>
                          </w:r>
                          <w:r w:rsidRPr="00AA4389">
                            <w:instrText xml:space="preserve"> PAGE   \* MERGEFORMAT </w:instrText>
                          </w:r>
                          <w:r w:rsidRPr="00AA4389">
                            <w:fldChar w:fldCharType="separate"/>
                          </w:r>
                          <w:r>
                            <w:rPr>
                              <w:noProof/>
                            </w:rPr>
                            <w:t>2</w:t>
                          </w:r>
                          <w:r w:rsidRPr="00AA4389">
                            <w:rPr>
                              <w:noProof/>
                            </w:rPr>
                            <w:fldChar w:fldCharType="end"/>
                          </w:r>
                        </w:p>
                      </w:txbxContent>
                    </wps:txbx>
                    <wps:bodyPr rot="0" vert="horz" wrap="square" lIns="91440" tIns="3600" rIns="9144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04C19" id="_x0000_t202" coordsize="21600,21600" o:spt="202" path="m,l,21600r21600,l21600,xe">
              <v:stroke joinstyle="miter"/>
              <v:path gradientshapeok="t" o:connecttype="rect"/>
            </v:shapetype>
            <v:shape id="Text Box 2" o:spid="_x0000_s1026" type="#_x0000_t202" style="position:absolute;margin-left:494.05pt;margin-top:35.7pt;width:43.85pt;height:2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13wEAAJ4DAAAOAAAAZHJzL2Uyb0RvYy54bWysU9tu2zAMfR+wfxD0vtjJkqAx4hRdiw4D&#10;ugvQ7QNkWbKF2aJGKbGzrx8lp2m2vhV7EShSPjznkN5ej33HDgq9AVvy+SznTFkJtbFNyX98v393&#10;xZkPwtaiA6tKflSeX+/evtkOrlALaKGrFTICsb4YXMnbEFyRZV62qhd+Bk5ZKmrAXgS6YpPVKAZC&#10;77tskefrbACsHYJU3lP2biryXcLXWsnwVWuvAutKTtxCOjGdVTyz3VYUDQrXGnmiIV7BohfGUtMz&#10;1J0Igu3RvIDqjUTwoMNMQp+B1kaqpIHUzPN/1Dy2wqmkhczx7myT/3+w8svh0X1DFsYPMNIAkwjv&#10;HkD+9MzCbStso24QYWiVqKnxPFqWDc4Xp0+j1b7wEaQaPkNNQxb7AAlo1NhHV0gnI3QawPFsuhoD&#10;k5RcrdZXmxVnkkqLzXK9TEPJRPH0sUMfPiroWQxKjjTTBC4ODz5EMqJ4ehJ7Wbg3XZfm2tm/EvQw&#10;ZhL5yHdiHsZqpNdRRAX1kWQgTGtCa01BC/ibs4FWpOT+116g4qz7ZMmKzXxJZFlIl/frnGK8LFQX&#10;BWElAZU8cDaFt2Hawr1D07TUZ7Lewg2Zp00S9szpxJqWIOk9LWzcsst7evX8W+3+AAAA//8DAFBL&#10;AwQUAAYACAAAACEA85WU4+AAAAALAQAADwAAAGRycy9kb3ducmV2LnhtbEyPwU7DMAyG70i8Q2Qk&#10;biwtYmspTSc0bUcObJO4Zo1pCo1Tmqzr9vR4J7jZ8qff318uJ9eJEYfQelKQzhIQSLU3LTUK9rvN&#10;Qw4iRE1Gd55QwRkDLKvbm1IXxp/oHcdtbASHUCi0AhtjX0gZaotOh5nvkfj26QenI69DI82gTxzu&#10;OvmYJAvpdEv8weoeVxbr7+3RKZjm9dd6s/rZL87j22UdP3aJbS9K3d9Nry8gIk7xD4arPqtDxU4H&#10;fyQTRKfgOc9TRhVk6ROIK5Bkcy5z4CnNcpBVKf93qH4BAAD//wMAUEsBAi0AFAAGAAgAAAAhALaD&#10;OJL+AAAA4QEAABMAAAAAAAAAAAAAAAAAAAAAAFtDb250ZW50X1R5cGVzXS54bWxQSwECLQAUAAYA&#10;CAAAACEAOP0h/9YAAACUAQAACwAAAAAAAAAAAAAAAAAvAQAAX3JlbHMvLnJlbHNQSwECLQAUAAYA&#10;CAAAACEAJ/mwtd8BAACeAwAADgAAAAAAAAAAAAAAAAAuAgAAZHJzL2Uyb0RvYy54bWxQSwECLQAU&#10;AAYACAAAACEA85WU4+AAAAALAQAADwAAAAAAAAAAAAAAAAA5BAAAZHJzL2Rvd25yZXYueG1sUEsF&#10;BgAAAAAEAAQA8wAAAEYFAAAAAA==&#10;" filled="f" stroked="f">
              <v:textbox inset=",.1mm,,.1mm">
                <w:txbxContent>
                  <w:p w14:paraId="2B03E5C9" w14:textId="77777777" w:rsidR="005A0304" w:rsidRPr="00AA4389" w:rsidRDefault="005A0304" w:rsidP="00BF537D">
                    <w:r w:rsidRPr="00AA4389">
                      <w:fldChar w:fldCharType="begin"/>
                    </w:r>
                    <w:r w:rsidRPr="00AA4389">
                      <w:instrText xml:space="preserve"> PAGE   \* MERGEFORMAT </w:instrText>
                    </w:r>
                    <w:r w:rsidRPr="00AA4389">
                      <w:fldChar w:fldCharType="separate"/>
                    </w:r>
                    <w:r>
                      <w:rPr>
                        <w:noProof/>
                      </w:rPr>
                      <w:t>2</w:t>
                    </w:r>
                    <w:r w:rsidRPr="00AA4389">
                      <w:rPr>
                        <w:noProof/>
                      </w:rPr>
                      <w:fldChar w:fldCharType="end"/>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8D9F126" wp14:editId="3C053352">
              <wp:simplePos x="0" y="0"/>
              <wp:positionH relativeFrom="column">
                <wp:posOffset>16510</wp:posOffset>
              </wp:positionH>
              <wp:positionV relativeFrom="paragraph">
                <wp:posOffset>433070</wp:posOffset>
              </wp:positionV>
              <wp:extent cx="3662045" cy="224155"/>
              <wp:effectExtent l="0" t="317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0811" w14:textId="77777777" w:rsidR="005A0304" w:rsidRPr="00AA4389" w:rsidRDefault="005A0304" w:rsidP="00BF537D">
                          <w:r w:rsidRPr="00AA4389">
                            <w:t>www.malatest-intl.com</w:t>
                          </w:r>
                          <w:r w:rsidRPr="00AA4389">
                            <w:tab/>
                          </w:r>
                          <w:r>
                            <w:t>Report Name +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D9F126" id="_x0000_s1027" type="#_x0000_t202" style="position:absolute;margin-left:1.3pt;margin-top:34.1pt;width:288.35pt;height:17.6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p4QEAAKgDAAAOAAAAZHJzL2Uyb0RvYy54bWysU8GO0zAQvSPxD5bvNE1IC0RNV8uuipCW&#10;BWnhAxzHSSwSjxm7TcrXM3baboEb4mJ5Zpw3772ZbG6moWcHhU6DKXm6WHKmjIRam7bk377uXr3l&#10;zHlhatGDUSU/Ksdvti9fbEZbqAw66GuFjECMK0Zb8s57WySJk50ahFuAVYaKDeAgPIXYJjWKkdCH&#10;PsmWy3UyAtYWQSrnKHs/F/k24jeNkv5z0zjlWV9y4ubjifGswplsN6JoUdhOyxMN8Q8sBqENNb1A&#10;3Qsv2B71X1CDlggOGr+QMCTQNFqqqIHUpMs/1Dx1wqqohcxx9mKT+3+w8vHwZL8g89N7mGiAUYSz&#10;DyC/O2bgrhOmVbeIMHZK1NQ4DZYlo3XF6dNgtStcAKnGT1DTkMXeQwSaGhyCK6STEToN4HgxXU2e&#10;SUq+Xq+zZb7iTFIty/J0tYotRHH+2qLzHxQMLFxKjjTUiC4OD84HNqI4PwnNDOx038fB9ua3BD0M&#10;mcg+EJ6p+6mamK5P0oKYCuojyUGY14XWmy4d4E/ORlqVkrsfe4GKs/6jIUvepXkedisG+epNRgFe&#10;V6rrijCSoEruOZuvd37ex71F3XbU6TyEW7Jxp6PCZ1Yn+rQOUfhpdcO+Xcfx1fMPtv0FAAD//wMA&#10;UEsDBBQABgAIAAAAIQDN9fm13QAAAAgBAAAPAAAAZHJzL2Rvd25yZXYueG1sTI/BTsMwEETvSPyD&#10;tUjcqE2qpm0ap6pQW45AiTi7sUki4rVlu2n4e5YTHFfzNPO23E52YKMJsXco4XEmgBlsnO6xlVC/&#10;Hx5WwGJSqNXg0Ej4NhG21e1NqQrtrvhmxlNqGZVgLJSELiVfcB6bzlgVZ84bpOzTBasSnaHlOqgr&#10;lduBZ0Lk3KoeaaFT3jx1pvk6XawEn/xx+RxeXnf7wyjqj2Od9e1eyvu7abcBlsyU/mD41Sd1qMjp&#10;7C6oIxskZDmBEvJVBozixXI9B3YmTswXwKuS/3+g+gEAAP//AwBQSwECLQAUAAYACAAAACEAtoM4&#10;kv4AAADhAQAAEwAAAAAAAAAAAAAAAAAAAAAAW0NvbnRlbnRfVHlwZXNdLnhtbFBLAQItABQABgAI&#10;AAAAIQA4/SH/1gAAAJQBAAALAAAAAAAAAAAAAAAAAC8BAABfcmVscy8ucmVsc1BLAQItABQABgAI&#10;AAAAIQCO4oRp4QEAAKgDAAAOAAAAAAAAAAAAAAAAAC4CAABkcnMvZTJvRG9jLnhtbFBLAQItABQA&#10;BgAIAAAAIQDN9fm13QAAAAgBAAAPAAAAAAAAAAAAAAAAADsEAABkcnMvZG93bnJldi54bWxQSwUG&#10;AAAAAAQABADzAAAARQUAAAAA&#10;" filled="f" stroked="f">
              <v:textbox style="mso-fit-shape-to-text:t">
                <w:txbxContent>
                  <w:p w14:paraId="4F930811" w14:textId="77777777" w:rsidR="005A0304" w:rsidRPr="00AA4389" w:rsidRDefault="005A0304" w:rsidP="00BF537D">
                    <w:r w:rsidRPr="00AA4389">
                      <w:t>www.malatest-intl.com</w:t>
                    </w:r>
                    <w:r w:rsidRPr="00AA4389">
                      <w:tab/>
                    </w:r>
                    <w:r>
                      <w:t>Report Name + Date</w:t>
                    </w:r>
                  </w:p>
                </w:txbxContent>
              </v:textbox>
            </v:shape>
          </w:pict>
        </mc:Fallback>
      </mc:AlternateContent>
    </w:r>
    <w:r>
      <w:rPr>
        <w:noProof/>
      </w:rPr>
      <w:drawing>
        <wp:inline distT="0" distB="0" distL="0" distR="0" wp14:anchorId="2E8E9593" wp14:editId="2F0CF881">
          <wp:extent cx="6838950" cy="609600"/>
          <wp:effectExtent l="0" t="0" r="0" b="0"/>
          <wp:docPr id="37" name="Picture 37" descr="Malatest_Repor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latest_Repor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1FA62703" wp14:editId="44334FC4">
              <wp:simplePos x="0" y="0"/>
              <wp:positionH relativeFrom="column">
                <wp:posOffset>99060</wp:posOffset>
              </wp:positionH>
              <wp:positionV relativeFrom="paragraph">
                <wp:posOffset>3195955</wp:posOffset>
              </wp:positionV>
              <wp:extent cx="6608445" cy="329565"/>
              <wp:effectExtent l="190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48EB" w14:textId="77777777" w:rsidR="005A0304" w:rsidRPr="006E489F" w:rsidRDefault="005A0304" w:rsidP="00BF537D">
                          <w:r w:rsidRPr="006E489F">
                            <w:t>www.malatest-intl.com</w:t>
                          </w:r>
                          <w:r w:rsidRPr="006E489F">
                            <w:tab/>
                            <w:t>info@malatest-intl.com</w:t>
                          </w:r>
                          <w:r w:rsidRPr="006E489F">
                            <w:tab/>
                            <w:t>(04) 212 4566 or 0800 002 577</w:t>
                          </w:r>
                          <w:r w:rsidRPr="006E489F">
                            <w:tab/>
                            <w:t>PO Box 5584, Wellington, 6145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62703" id="_x0000_s1028" type="#_x0000_t202" style="position:absolute;margin-left:7.8pt;margin-top:251.65pt;width:520.35pt;height:2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5p5QEAAKgDAAAOAAAAZHJzL2Uyb0RvYy54bWysU8Fu2zAMvQ/YPwi6L3Y8J2uNOEXXosOA&#10;rhvQ9QNkWbaF2aJGKbGzrx8lp2m23YpdBJGUH997pDdX09CzvUKnwZR8uUg5U0ZCrU1b8qfvd+8u&#10;OHNemFr0YFTJD8rxq+3bN5vRFiqDDvpaISMQ44rRlrzz3hZJ4mSnBuEWYJWhYgM4CE8htkmNYiT0&#10;oU+yNF0nI2BtEaRyjrK3c5FvI37TKOm/No1TnvUlJ24+nhjPKpzJdiOKFoXttDzSEK9gMQhtqOkJ&#10;6lZ4wXao/4EatERw0PiFhCGBptFSRQ2kZpn+peaxE1ZFLWSOsyeb3P+DlQ/7R/sNmZ8+wkQDjCKc&#10;vQf5wzEDN50wrbpGhLFToqbGy2BZMlpXHD8NVrvCBZBq/AI1DVnsPESgqcEhuEI6GaHTAA4n09Xk&#10;maTkep1e5PmKM0m199nlar2KLUTx/LVF5z8pGFi4lBxpqBFd7O+dD2xE8fwkNDNwp/s+DrY3fyTo&#10;YchE9oHwTN1P1cR0XfIs9A1iKqgPJAdhXhdab7p0gL84G2lVSu5+7gQqzvrPhiy5XOZ52K0Y5KsP&#10;GQV4XqnOK8JIgiq552y+3vh5H3cWddtRp3kIBq7JxkZHhS+sjvRpHaLw4+qGfTuP46uXH2z7GwAA&#10;//8DAFBLAwQUAAYACAAAACEAno29Md4AAAALAQAADwAAAGRycy9kb3ducmV2LnhtbEyPzU7DMBCE&#10;70h9B2srcaM2LY4gxKkQiCsV5Ufi5sbbJCJeR7HbhLfv9kRvO7uj2W+K9eQ7ccQhtoEM3C4UCKQq&#10;uJZqA58frzf3IGKy5GwXCA38YYR1ObsqbO7CSO943KZacAjF3BpoUupzKWPVoLdxEXokvu3D4G1i&#10;OdTSDXbkcN/JpVKZ9LYl/tDYHp8brH63B2/g623/832nNvWL1/0YJiXJP0hjrufT0yOIhFP6N8MZ&#10;n9GhZKZdOJCLomOtM3Ya0Gq1AnE2KJ3xtOOV1kuQZSEvO5QnAAAA//8DAFBLAQItABQABgAIAAAA&#10;IQC2gziS/gAAAOEBAAATAAAAAAAAAAAAAAAAAAAAAABbQ29udGVudF9UeXBlc10ueG1sUEsBAi0A&#10;FAAGAAgAAAAhADj9If/WAAAAlAEAAAsAAAAAAAAAAAAAAAAALwEAAF9yZWxzLy5yZWxzUEsBAi0A&#10;FAAGAAgAAAAhAFZanmnlAQAAqAMAAA4AAAAAAAAAAAAAAAAALgIAAGRycy9lMm9Eb2MueG1sUEsB&#10;Ai0AFAAGAAgAAAAhAJ6NvTHeAAAACwEAAA8AAAAAAAAAAAAAAAAAPwQAAGRycy9kb3ducmV2Lnht&#10;bFBLBQYAAAAABAAEAPMAAABKBQAAAAA=&#10;" filled="f" stroked="f">
              <v:textbox>
                <w:txbxContent>
                  <w:p w14:paraId="56A948EB" w14:textId="77777777" w:rsidR="005A0304" w:rsidRPr="006E489F" w:rsidRDefault="005A0304" w:rsidP="00BF537D">
                    <w:r w:rsidRPr="006E489F">
                      <w:t>www.malatest-intl.com</w:t>
                    </w:r>
                    <w:r w:rsidRPr="006E489F">
                      <w:tab/>
                      <w:t>info@malatest-intl.com</w:t>
                    </w:r>
                    <w:r w:rsidRPr="006E489F">
                      <w:tab/>
                      <w:t>(04) 212 4566 or 0800 002 577</w:t>
                    </w:r>
                    <w:r w:rsidRPr="006E489F">
                      <w:tab/>
                      <w:t>PO Box 5584, Wellington, 6145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C4D" w14:textId="77777777" w:rsidR="005A0304" w:rsidRDefault="005A0304" w:rsidP="00BF537D">
    <w:pPr>
      <w:pStyle w:val="Footer"/>
    </w:pPr>
    <w:r>
      <w:rPr>
        <w:noProof/>
      </w:rPr>
      <w:drawing>
        <wp:anchor distT="0" distB="0" distL="114300" distR="114300" simplePos="0" relativeHeight="251658245" behindDoc="0" locked="0" layoutInCell="1" allowOverlap="1" wp14:anchorId="7A4296A3" wp14:editId="6799EC17">
          <wp:simplePos x="0" y="0"/>
          <wp:positionH relativeFrom="page">
            <wp:posOffset>506437</wp:posOffset>
          </wp:positionH>
          <wp:positionV relativeFrom="paragraph">
            <wp:posOffset>-2706370</wp:posOffset>
          </wp:positionV>
          <wp:extent cx="6638027" cy="2792779"/>
          <wp:effectExtent l="0" t="0" r="0" b="7620"/>
          <wp:wrapNone/>
          <wp:docPr id="39" name="Picture 39" descr="Malatest_Report 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test_Report Cover_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855"/>
                  <a:stretch/>
                </pic:blipFill>
                <pic:spPr bwMode="auto">
                  <a:xfrm>
                    <a:off x="0" y="0"/>
                    <a:ext cx="6666861" cy="280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7031862" wp14:editId="6CCB1BE6">
              <wp:simplePos x="0" y="0"/>
              <wp:positionH relativeFrom="column">
                <wp:posOffset>137795</wp:posOffset>
              </wp:positionH>
              <wp:positionV relativeFrom="paragraph">
                <wp:posOffset>3071495</wp:posOffset>
              </wp:positionV>
              <wp:extent cx="6579235" cy="307340"/>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49EC" w14:textId="77777777" w:rsidR="005A0304" w:rsidRPr="00F24C38" w:rsidRDefault="005A0304" w:rsidP="00BF537D">
                          <w:r w:rsidRPr="00F24C38">
                            <w:t>www.malatest-intl.com</w:t>
                          </w:r>
                          <w:r w:rsidRPr="00F24C38">
                            <w:tab/>
                            <w:t>info@malatest-intl.com</w:t>
                          </w:r>
                          <w:r w:rsidRPr="00F24C38">
                            <w:tab/>
                            <w:t>(04) 212 4566 or 0800 002 577</w:t>
                          </w:r>
                          <w:r w:rsidRPr="00F24C38">
                            <w:tab/>
                            <w:t>PO Box 5584, Wellington, 6145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031862" id="_x0000_t202" coordsize="21600,21600" o:spt="202" path="m,l,21600r21600,l21600,xe">
              <v:stroke joinstyle="miter"/>
              <v:path gradientshapeok="t" o:connecttype="rect"/>
            </v:shapetype>
            <v:shape id="_x0000_s1029" type="#_x0000_t202" style="position:absolute;margin-left:10.85pt;margin-top:241.85pt;width:518.05pt;height:24.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j5AEAAKgDAAAOAAAAZHJzL2Uyb0RvYy54bWysU9tu2zAMfR+wfxD0vti5NasRp+haZBjQ&#10;XYBuH6DIcizMFjVSiZ19/Sjl0mx7G/YiiKR8eM4hvbwbulbsDZIFV8rxKJfCOA2VddtSfvu6fvNW&#10;CgrKVaoFZ0p5MCTvVq9fLXtfmAk00FYGBYM4KnpfyiYEX2QZ6cZ0ikbgjeNiDdipwCFuswpVz+hd&#10;m03y/CbrASuPoA0RZx+PRblK+HVtdPhc12SCaEvJ3EI6MZ2beGarpSq2qHxj9YmG+gcWnbKOm16g&#10;HlVQYof2L6jOagSCOow0dBnUtdUmaWA14/wPNc+N8iZpYXPIX2yi/werP+2f/RcUYXgHAw8wiSD/&#10;BPo7CQcPjXJbc48IfWNUxY3H0bKs91ScPo1WU0ERZNN/hIqHrHYBEtBQYxddYZ2C0XkAh4vpZghC&#10;c/JmvridTOdSaK5N88V0lqaSqeL8tUcK7w10Il5KiTzUhK72TxQiG1Wcn8RmDta2bdNgW/dbgh/G&#10;TGIfCR+ph2EzCFtx8ygtitlAdWA5CMd14fXmSwP4U4qeV6WU9GOn0EjRfnBsye14xpxFSMFsvphw&#10;gNeVzXVFOc1QpQxSHK8P4biPO49223Cn8xDu2ca1TQpfWJ3o8zok4afVjft2HadXLz/Y6hcAAAD/&#10;/wMAUEsDBBQABgAIAAAAIQAR97oV4AAAAAsBAAAPAAAAZHJzL2Rvd25yZXYueG1sTI9NT8JAEIbv&#10;Jv6HzZh4k90WsaR0SogBPIrYeF66Q9vY/Uh3KfXfu5z0NpN58s7zFutJ92ykwXfWICQzAYxMbVVn&#10;GoTqc/e0BOaDNEr21hDCD3lYl/d3hcyVvZoPGo+hYTHE+FwitCG4nHNft6Sln1lHJt7OdtAyxHVo&#10;uBrkNYbrnqdCvHAtOxM/tNLRa0v19/GiEVxw++xteD9strtRVF/7Ku2aLeLjw7RZAQs0hT8YbvpR&#10;HcrodLIXozzrEdIkiyTC83IehxsgFlksc0JYzNMEeFnw/x3KXwAAAP//AwBQSwECLQAUAAYACAAA&#10;ACEAtoM4kv4AAADhAQAAEwAAAAAAAAAAAAAAAAAAAAAAW0NvbnRlbnRfVHlwZXNdLnhtbFBLAQIt&#10;ABQABgAIAAAAIQA4/SH/1gAAAJQBAAALAAAAAAAAAAAAAAAAAC8BAABfcmVscy8ucmVsc1BLAQIt&#10;ABQABgAIAAAAIQBiNhdj5AEAAKgDAAAOAAAAAAAAAAAAAAAAAC4CAABkcnMvZTJvRG9jLnhtbFBL&#10;AQItABQABgAIAAAAIQAR97oV4AAAAAsBAAAPAAAAAAAAAAAAAAAAAD4EAABkcnMvZG93bnJldi54&#10;bWxQSwUGAAAAAAQABADzAAAASwUAAAAA&#10;" filled="f" stroked="f">
              <v:textbox style="mso-fit-shape-to-text:t">
                <w:txbxContent>
                  <w:p w14:paraId="375F49EC" w14:textId="77777777" w:rsidR="005A0304" w:rsidRPr="00F24C38" w:rsidRDefault="005A0304" w:rsidP="00BF537D">
                    <w:r w:rsidRPr="00F24C38">
                      <w:t>www.malatest-intl.com</w:t>
                    </w:r>
                    <w:r w:rsidRPr="00F24C38">
                      <w:tab/>
                      <w:t>info@malatest-intl.com</w:t>
                    </w:r>
                    <w:r w:rsidRPr="00F24C38">
                      <w:tab/>
                      <w:t>(04) 212 4566 or 0800 002 577</w:t>
                    </w:r>
                    <w:r w:rsidRPr="00F24C38">
                      <w:tab/>
                      <w:t>PO Box 5584, Wellington, 6145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7877" w14:textId="4EBA5840" w:rsidR="00714A1A" w:rsidRPr="00113282" w:rsidRDefault="00714A1A" w:rsidP="00113282">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FFD" w14:textId="6F54ABA3" w:rsidR="00113282" w:rsidRPr="00905C2C" w:rsidRDefault="00113282" w:rsidP="001E73F3">
    <w:pPr>
      <w:ind w:left="-1418" w:right="-1418" w:firstLine="1418"/>
      <w:rPr>
        <w:sz w:val="20"/>
        <w:szCs w:val="20"/>
      </w:rPr>
    </w:pPr>
    <w:r>
      <w:rPr>
        <w:noProof/>
      </w:rPr>
      <w:drawing>
        <wp:anchor distT="0" distB="0" distL="114300" distR="114300" simplePos="0" relativeHeight="251658247" behindDoc="1" locked="0" layoutInCell="1" allowOverlap="1" wp14:anchorId="1CF83300" wp14:editId="78C944AA">
          <wp:simplePos x="0" y="0"/>
          <wp:positionH relativeFrom="margin">
            <wp:posOffset>-905841</wp:posOffset>
          </wp:positionH>
          <wp:positionV relativeFrom="paragraph">
            <wp:posOffset>-3175</wp:posOffset>
          </wp:positionV>
          <wp:extent cx="5809615" cy="45719"/>
          <wp:effectExtent l="0" t="0" r="0" b="0"/>
          <wp:wrapNone/>
          <wp:docPr id="10"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809615" cy="4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73F3">
      <w:rPr>
        <w:sz w:val="18"/>
        <w:szCs w:val="18"/>
      </w:rPr>
      <w:ptab w:relativeTo="margin" w:alignment="center" w:leader="none"/>
    </w:r>
    <w:r w:rsidRPr="00905C2C">
      <w:rPr>
        <w:sz w:val="20"/>
        <w:szCs w:val="20"/>
      </w:rPr>
      <w:ptab w:relativeTo="indent" w:alignment="left" w:leader="none"/>
    </w:r>
    <w:r w:rsidRPr="00905C2C">
      <w:rPr>
        <w:sz w:val="20"/>
        <w:szCs w:val="20"/>
      </w:rPr>
      <w:t xml:space="preserve">www.malatest-intl.com </w:t>
    </w:r>
    <w:r w:rsidRPr="00905C2C">
      <w:rPr>
        <w:sz w:val="20"/>
        <w:szCs w:val="20"/>
      </w:rPr>
      <w:ptab w:relativeTo="indent" w:alignment="center" w:leader="none"/>
    </w:r>
    <w:r w:rsidR="00A57EF2" w:rsidRPr="00905C2C">
      <w:rPr>
        <w:sz w:val="20"/>
        <w:szCs w:val="20"/>
      </w:rPr>
      <w:t>GPEP Review</w:t>
    </w:r>
    <w:r w:rsidR="005B3B8E" w:rsidRPr="00905C2C">
      <w:rPr>
        <w:sz w:val="20"/>
        <w:szCs w:val="20"/>
      </w:rPr>
      <w:t xml:space="preserve"> – May 2022</w:t>
    </w:r>
    <w:r w:rsidRPr="00905C2C">
      <w:rPr>
        <w:sz w:val="20"/>
        <w:szCs w:val="20"/>
      </w:rPr>
      <w:ptab w:relativeTo="margin" w:alignment="right" w:leader="none"/>
    </w:r>
    <w:r w:rsidRPr="00905C2C">
      <w:rPr>
        <w:sz w:val="20"/>
        <w:szCs w:val="20"/>
      </w:rPr>
      <w:fldChar w:fldCharType="begin"/>
    </w:r>
    <w:r w:rsidRPr="00905C2C">
      <w:rPr>
        <w:sz w:val="20"/>
        <w:szCs w:val="20"/>
      </w:rPr>
      <w:instrText xml:space="preserve"> PAGE   \* MERGEFORMAT </w:instrText>
    </w:r>
    <w:r w:rsidRPr="00905C2C">
      <w:rPr>
        <w:sz w:val="20"/>
        <w:szCs w:val="20"/>
      </w:rPr>
      <w:fldChar w:fldCharType="separate"/>
    </w:r>
    <w:r w:rsidRPr="00905C2C">
      <w:rPr>
        <w:noProof/>
        <w:sz w:val="20"/>
        <w:szCs w:val="20"/>
      </w:rPr>
      <w:t>1</w:t>
    </w:r>
    <w:r w:rsidRPr="00905C2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D0F4" w14:textId="77777777" w:rsidR="006E307E" w:rsidRDefault="006E307E" w:rsidP="00BE490C">
      <w:r>
        <w:separator/>
      </w:r>
    </w:p>
  </w:footnote>
  <w:footnote w:type="continuationSeparator" w:id="0">
    <w:p w14:paraId="614B9A00" w14:textId="77777777" w:rsidR="006E307E" w:rsidRDefault="006E307E" w:rsidP="00BE490C">
      <w:r>
        <w:continuationSeparator/>
      </w:r>
    </w:p>
  </w:footnote>
  <w:footnote w:type="continuationNotice" w:id="1">
    <w:p w14:paraId="74FBA7AB" w14:textId="77777777" w:rsidR="006E307E" w:rsidRDefault="006E307E">
      <w:pPr>
        <w:spacing w:before="0" w:after="0" w:line="240" w:lineRule="auto"/>
      </w:pPr>
    </w:p>
  </w:footnote>
  <w:footnote w:id="2">
    <w:p w14:paraId="267068B7" w14:textId="77777777" w:rsidR="00D33949" w:rsidRDefault="00D33949" w:rsidP="00D33949">
      <w:pPr>
        <w:pStyle w:val="FootnoteText"/>
      </w:pPr>
      <w:r>
        <w:rPr>
          <w:rStyle w:val="FootnoteReference"/>
        </w:rPr>
        <w:footnoteRef/>
      </w:r>
      <w:r>
        <w:t xml:space="preserve"> </w:t>
      </w:r>
      <w:r w:rsidRPr="00DF06CB">
        <w:t>https://www.health.govt.nz/about-ministry/what-we-do/work-programme-2019-20/achieving-equity#:~:text=The%20Ministry's%20definition%20of%20equity,to%20get%20equitable%20health%20outcomes.</w:t>
      </w:r>
    </w:p>
  </w:footnote>
  <w:footnote w:id="3">
    <w:p w14:paraId="1747CDDE" w14:textId="12E8C630" w:rsidR="00880999" w:rsidRDefault="00880999">
      <w:pPr>
        <w:pStyle w:val="FootnoteText"/>
      </w:pPr>
      <w:r>
        <w:rPr>
          <w:rStyle w:val="FootnoteReference"/>
        </w:rPr>
        <w:footnoteRef/>
      </w:r>
      <w:r>
        <w:t xml:space="preserve"> </w:t>
      </w:r>
      <w:r w:rsidRPr="00E2444D">
        <w:t>https://www.health.govt.nz/system/files/documents/publications/ola_manuia-phwap-22june.pdf</w:t>
      </w:r>
    </w:p>
  </w:footnote>
  <w:footnote w:id="4">
    <w:p w14:paraId="67F38371" w14:textId="77777777" w:rsidR="00AE1B2C" w:rsidRDefault="00AE1B2C" w:rsidP="00AE1B2C">
      <w:pPr>
        <w:pStyle w:val="FootnoteText"/>
      </w:pPr>
      <w:r>
        <w:rPr>
          <w:rStyle w:val="FootnoteReference"/>
        </w:rPr>
        <w:footnoteRef/>
      </w:r>
      <w:r>
        <w:t xml:space="preserve"> </w:t>
      </w:r>
      <w:proofErr w:type="gramStart"/>
      <w:r>
        <w:t>For the purpose of</w:t>
      </w:r>
      <w:proofErr w:type="gramEnd"/>
      <w:r>
        <w:t xml:space="preserve"> this review, we consider kaupapa Māori providers to be any provider guided by kaupapa Māori principles, tikanga and </w:t>
      </w:r>
      <w:proofErr w:type="spellStart"/>
      <w:r>
        <w:t>te</w:t>
      </w:r>
      <w:proofErr w:type="spellEnd"/>
      <w:r>
        <w:t xml:space="preserve"> </w:t>
      </w:r>
      <w:proofErr w:type="spellStart"/>
      <w:r>
        <w:t>ao</w:t>
      </w:r>
      <w:proofErr w:type="spellEnd"/>
      <w:r>
        <w:t xml:space="preserve"> Māori and with Māori governance. This includes iwi health providers.</w:t>
      </w:r>
    </w:p>
  </w:footnote>
  <w:footnote w:id="5">
    <w:p w14:paraId="2441B060" w14:textId="08580F77" w:rsidR="004B2B2A" w:rsidRPr="00546E39" w:rsidRDefault="004B2B2A" w:rsidP="00546E39">
      <w:pPr>
        <w:spacing w:before="0" w:after="0" w:line="240" w:lineRule="auto"/>
        <w:rPr>
          <w:rFonts w:eastAsiaTheme="minorHAnsi"/>
          <w:sz w:val="20"/>
          <w:szCs w:val="20"/>
          <w:lang w:eastAsia="en-GB"/>
        </w:rPr>
      </w:pPr>
      <w:r>
        <w:rPr>
          <w:rStyle w:val="FootnoteReference"/>
        </w:rPr>
        <w:footnoteRef/>
      </w:r>
      <w:r>
        <w:t xml:space="preserve"> </w:t>
      </w:r>
      <w:hyperlink r:id="rId1" w:history="1">
        <w:r w:rsidR="00546E39" w:rsidRPr="00057144">
          <w:rPr>
            <w:rStyle w:val="Hyperlink"/>
            <w:rFonts w:eastAsiaTheme="minorHAnsi"/>
            <w:sz w:val="20"/>
            <w:szCs w:val="20"/>
            <w:lang w:eastAsia="en-GB"/>
          </w:rPr>
          <w:t>https://www.health.govt.nz/system/files/documents/pages/health_workforce_funding_review_-_current_state_final_25_nov.pdf</w:t>
        </w:r>
      </w:hyperlink>
    </w:p>
  </w:footnote>
  <w:footnote w:id="6">
    <w:p w14:paraId="5C5D7B9D" w14:textId="77777777" w:rsidR="009E1807" w:rsidRPr="00CA1F83" w:rsidRDefault="009E1807" w:rsidP="009E1807">
      <w:pPr>
        <w:pStyle w:val="FootnoteText"/>
      </w:pPr>
      <w:r>
        <w:rPr>
          <w:rStyle w:val="FootnoteReference"/>
        </w:rPr>
        <w:footnoteRef/>
      </w:r>
      <w:r>
        <w:t xml:space="preserve"> </w:t>
      </w:r>
      <w:r w:rsidRPr="00CA1F83">
        <w:t>https://www.rnzcgp.org.nz/RNZCGP/Publications/The_GP_workforce/RNZCGP/Publications/GP_workforce.aspx?hkey=a7341975-3f92-4d84-98ec-8c72f7c8e151</w:t>
      </w:r>
    </w:p>
  </w:footnote>
  <w:footnote w:id="7">
    <w:p w14:paraId="59651C5C" w14:textId="5E307439" w:rsidR="00F242CC" w:rsidRPr="00F242CC" w:rsidRDefault="00F242CC">
      <w:pPr>
        <w:pStyle w:val="FootnoteText"/>
      </w:pPr>
      <w:r>
        <w:rPr>
          <w:rStyle w:val="FootnoteReference"/>
        </w:rPr>
        <w:footnoteRef/>
      </w:r>
      <w:r>
        <w:t xml:space="preserve"> </w:t>
      </w:r>
      <w:r w:rsidRPr="00F242CC">
        <w:t>https://www.rnzcgp.org.nz/RNZCGP/Become_a_specialist/Become_a_General_Practitioner/General%20Practice%20Education%20Programme/GP_Education_Programme.aspx</w:t>
      </w:r>
    </w:p>
  </w:footnote>
  <w:footnote w:id="8">
    <w:p w14:paraId="374E01CD" w14:textId="6E3B2431" w:rsidR="00602F9F" w:rsidRDefault="00602F9F">
      <w:pPr>
        <w:pStyle w:val="FootnoteText"/>
      </w:pPr>
      <w:r>
        <w:rPr>
          <w:rStyle w:val="FootnoteReference"/>
        </w:rPr>
        <w:footnoteRef/>
      </w:r>
      <w:r>
        <w:t xml:space="preserve"> Māori and Pacific current and past</w:t>
      </w:r>
      <w:r w:rsidR="008670FC">
        <w:t xml:space="preserve"> </w:t>
      </w:r>
      <w:r>
        <w:t>registrars responded to the survey in the approximately the same proportions as those from non-Māori and non-Pacific ethnic groups.</w:t>
      </w:r>
    </w:p>
  </w:footnote>
  <w:footnote w:id="9">
    <w:p w14:paraId="510BB834" w14:textId="2C3E2641" w:rsidR="00BC20C8" w:rsidRDefault="00BC20C8" w:rsidP="00BC20C8">
      <w:pPr>
        <w:pStyle w:val="FootnoteText"/>
        <w:spacing w:after="60"/>
      </w:pPr>
      <w:r>
        <w:rPr>
          <w:rStyle w:val="FootnoteReference"/>
        </w:rPr>
        <w:footnoteRef/>
      </w:r>
      <w:r>
        <w:t xml:space="preserve"> </w:t>
      </w:r>
      <w:r>
        <w:rPr>
          <w:lang w:eastAsia="en-GB"/>
        </w:rPr>
        <w:t xml:space="preserve">Additional funding has been provided by </w:t>
      </w:r>
      <w:r>
        <w:t>Manat</w:t>
      </w:r>
      <w:r>
        <w:rPr>
          <w:rFonts w:cs="Calibri"/>
        </w:rPr>
        <w:t>ū</w:t>
      </w:r>
      <w:r>
        <w:t xml:space="preserve"> Hauora</w:t>
      </w:r>
      <w:r>
        <w:rPr>
          <w:lang w:eastAsia="en-GB"/>
        </w:rPr>
        <w:t xml:space="preserve"> to the College to provide cultural training for GP teachers and to extend the support for Māori and Pacific registrars. This is likely to improve support for Māori and Pacific registrars but was not in place when the review interviews were completed.</w:t>
      </w:r>
    </w:p>
  </w:footnote>
  <w:footnote w:id="10">
    <w:p w14:paraId="3CCBD641" w14:textId="260C3DFC" w:rsidR="00BA1DFC" w:rsidRDefault="00BA1DFC">
      <w:pPr>
        <w:pStyle w:val="FootnoteText"/>
      </w:pPr>
      <w:r>
        <w:rPr>
          <w:rStyle w:val="FootnoteReference"/>
        </w:rPr>
        <w:footnoteRef/>
      </w:r>
      <w:r>
        <w:t xml:space="preserve"> </w:t>
      </w:r>
      <w:r w:rsidRPr="00BA1DFC">
        <w:t>https://www.health.govt.nz/our-work/populations/maori-health/whakamaua-maori-health-action-plan-2020-2025</w:t>
      </w:r>
    </w:p>
  </w:footnote>
  <w:footnote w:id="11">
    <w:p w14:paraId="42AABBEF" w14:textId="4A15D816" w:rsidR="00E2444D" w:rsidRDefault="00E2444D" w:rsidP="00F035F1">
      <w:pPr>
        <w:pStyle w:val="FootnoteText"/>
        <w:spacing w:after="60"/>
      </w:pPr>
      <w:r>
        <w:rPr>
          <w:rStyle w:val="FootnoteReference"/>
        </w:rPr>
        <w:footnoteRef/>
      </w:r>
      <w:r>
        <w:t xml:space="preserve"> </w:t>
      </w:r>
      <w:r w:rsidRPr="00E2444D">
        <w:t>https://www.health.govt.nz/system/files/documents/publications/ola_manuia-phwap-22june.pdf</w:t>
      </w:r>
    </w:p>
  </w:footnote>
  <w:footnote w:id="12">
    <w:p w14:paraId="5975FE58" w14:textId="3D8F6022" w:rsidR="006E24ED" w:rsidRDefault="006E24ED" w:rsidP="00F035F1">
      <w:pPr>
        <w:pStyle w:val="FootnoteText"/>
        <w:spacing w:after="60"/>
      </w:pPr>
      <w:r>
        <w:rPr>
          <w:rStyle w:val="FootnoteReference"/>
        </w:rPr>
        <w:footnoteRef/>
      </w:r>
      <w:r>
        <w:t xml:space="preserve"> </w:t>
      </w:r>
      <w:r w:rsidR="00DF06CB" w:rsidRPr="00DF06CB">
        <w:t>https://www.health.govt.nz/about-ministry/what-we-do/work-programme-2019-20/achieving-equity#:~:text=The%20Ministry's%20definition%20of%20equity,to%20get%20equitable%20health%20outcomes.</w:t>
      </w:r>
    </w:p>
  </w:footnote>
  <w:footnote w:id="13">
    <w:p w14:paraId="523E78BA" w14:textId="4E36DEE1" w:rsidR="00F035F1" w:rsidRDefault="00F035F1" w:rsidP="00F035F1">
      <w:pPr>
        <w:pStyle w:val="FootnoteText"/>
        <w:spacing w:after="60"/>
      </w:pPr>
      <w:r>
        <w:rPr>
          <w:rStyle w:val="FootnoteReference"/>
        </w:rPr>
        <w:footnoteRef/>
      </w:r>
      <w:r>
        <w:t xml:space="preserve"> </w:t>
      </w:r>
      <w:r>
        <w:rPr>
          <w:lang w:eastAsia="en-GB"/>
        </w:rPr>
        <w:t xml:space="preserve">Additional funding has been provided by </w:t>
      </w:r>
      <w:r>
        <w:t>Manat</w:t>
      </w:r>
      <w:r>
        <w:rPr>
          <w:rFonts w:cs="Calibri"/>
        </w:rPr>
        <w:t>ū</w:t>
      </w:r>
      <w:r>
        <w:t xml:space="preserve"> Hauora</w:t>
      </w:r>
      <w:r>
        <w:rPr>
          <w:lang w:eastAsia="en-GB"/>
        </w:rPr>
        <w:t xml:space="preserve"> to the College to provide cultural training for GP teachers and to extend the support for Māori and Pacific registrars. This is likely to improve support for Māori and Pacific registrars but was not in place when the review interviews were completed.</w:t>
      </w:r>
    </w:p>
  </w:footnote>
  <w:footnote w:id="14">
    <w:p w14:paraId="3DEE969B" w14:textId="76208846" w:rsidR="00750F44" w:rsidRPr="00750F44" w:rsidRDefault="002827E3" w:rsidP="00516696">
      <w:pPr>
        <w:pStyle w:val="FootnoteText"/>
        <w:spacing w:after="60"/>
        <w:ind w:left="357"/>
      </w:pPr>
      <w:r>
        <w:rPr>
          <w:rStyle w:val="FootnoteReference"/>
        </w:rPr>
        <w:footnoteRef/>
      </w:r>
      <w:r w:rsidR="00551B30">
        <w:t xml:space="preserve"> Assumptions:</w:t>
      </w:r>
      <w:r>
        <w:t xml:space="preserve"> </w:t>
      </w:r>
      <w:r w:rsidR="00750F44" w:rsidRPr="00750F44">
        <w:rPr>
          <w:lang w:val="en-GB"/>
        </w:rPr>
        <w:t>To deal with duplicates: we extracted the most recent time a person was recorded in the MCNZ register as well as in the GPEP admission list. This gave us 1</w:t>
      </w:r>
      <w:r w:rsidR="00B730A6">
        <w:rPr>
          <w:lang w:val="en-GB"/>
        </w:rPr>
        <w:t>,</w:t>
      </w:r>
      <w:r w:rsidR="00750F44" w:rsidRPr="00750F44">
        <w:rPr>
          <w:lang w:val="en-GB"/>
        </w:rPr>
        <w:t xml:space="preserve">231 total trainees from 2015 to 2020. Demographic information </w:t>
      </w:r>
      <w:r w:rsidR="002D62B6">
        <w:rPr>
          <w:lang w:val="en-GB"/>
        </w:rPr>
        <w:t xml:space="preserve">was </w:t>
      </w:r>
      <w:r w:rsidR="00750F44" w:rsidRPr="00750F44">
        <w:rPr>
          <w:lang w:val="en-GB"/>
        </w:rPr>
        <w:t xml:space="preserve">taken from the MCNZ register data. </w:t>
      </w:r>
      <w:r w:rsidR="0007070A">
        <w:rPr>
          <w:lang w:val="en-GB"/>
        </w:rPr>
        <w:t>Ethnicity is based on total-count where people are included in each ethnic group they identify</w:t>
      </w:r>
    </w:p>
    <w:p w14:paraId="0514868A" w14:textId="441EE96F" w:rsidR="00750F44" w:rsidRPr="00750F44" w:rsidRDefault="00750F44" w:rsidP="00516696">
      <w:pPr>
        <w:pStyle w:val="FootnoteText"/>
        <w:spacing w:after="60"/>
        <w:ind w:left="357"/>
      </w:pPr>
      <w:r w:rsidRPr="00750F44">
        <w:rPr>
          <w:lang w:val="en-GB"/>
        </w:rPr>
        <w:t>Post-graduate years were calculated with the assumption that non-Australian/non-NZ IMGs graduated on 30 Jun and Australian IMGs graduated on 30 Dec.</w:t>
      </w:r>
      <w:r w:rsidR="00FE77F9">
        <w:rPr>
          <w:lang w:val="en-GB"/>
        </w:rPr>
        <w:t xml:space="preserve"> </w:t>
      </w:r>
      <w:r w:rsidRPr="00750F44">
        <w:rPr>
          <w:lang w:val="en-GB"/>
        </w:rPr>
        <w:t xml:space="preserve">For NZ graduates, we used provisional date as a proxy as universities have inconsistent way of assigning primary qualification years. </w:t>
      </w:r>
    </w:p>
    <w:p w14:paraId="1901CBC8" w14:textId="7F7A0185" w:rsidR="002827E3" w:rsidRDefault="002827E3">
      <w:pPr>
        <w:pStyle w:val="FootnoteText"/>
      </w:pPr>
    </w:p>
  </w:footnote>
  <w:footnote w:id="15">
    <w:p w14:paraId="6C6C6804" w14:textId="77777777" w:rsidR="00542591" w:rsidRPr="007F5841" w:rsidRDefault="00542591" w:rsidP="00542591">
      <w:pPr>
        <w:pStyle w:val="FootnoteText"/>
        <w:spacing w:after="60"/>
        <w:rPr>
          <w:lang w:val="mi-NZ"/>
        </w:rPr>
      </w:pPr>
      <w:r>
        <w:rPr>
          <w:rStyle w:val="FootnoteReference"/>
        </w:rPr>
        <w:footnoteRef/>
      </w:r>
      <w:r>
        <w:t xml:space="preserve"> There was a statistically significant difference in mean positive general practice role models between full-time and part-time, with part-time registrars scoring 0.341 higher than full-time registrars (95% CI, 0.176 to 0.506), </w:t>
      </w:r>
      <w:proofErr w:type="gramStart"/>
      <w:r>
        <w:rPr>
          <w:i/>
          <w:iCs/>
        </w:rPr>
        <w:t>t</w:t>
      </w:r>
      <w:r>
        <w:t>(</w:t>
      </w:r>
      <w:proofErr w:type="gramEnd"/>
      <w:r>
        <w:t>359)</w:t>
      </w:r>
      <w:r>
        <w:rPr>
          <w:i/>
          <w:iCs/>
        </w:rPr>
        <w:t xml:space="preserve"> </w:t>
      </w:r>
      <w:r>
        <w:t xml:space="preserve">= 4.069, </w:t>
      </w:r>
      <w:r>
        <w:rPr>
          <w:i/>
          <w:iCs/>
        </w:rPr>
        <w:t>p</w:t>
      </w:r>
      <w:r>
        <w:t xml:space="preserve"> &lt;0.001.</w:t>
      </w:r>
    </w:p>
  </w:footnote>
  <w:footnote w:id="16">
    <w:p w14:paraId="15DF5538" w14:textId="77777777" w:rsidR="00542591" w:rsidRPr="00336A73" w:rsidRDefault="00542591" w:rsidP="00542591">
      <w:pPr>
        <w:pStyle w:val="FootnoteText"/>
        <w:spacing w:after="60"/>
      </w:pPr>
      <w:r w:rsidRPr="00336A73">
        <w:rPr>
          <w:rStyle w:val="FootnoteReference"/>
        </w:rPr>
        <w:footnoteRef/>
      </w:r>
      <w:r w:rsidRPr="00336A73">
        <w:t xml:space="preserve"> </w:t>
      </w:r>
      <w:r w:rsidRPr="00336A73">
        <w:rPr>
          <w:rFonts w:cs="Calibri"/>
        </w:rPr>
        <w:t>Other facilitators were not statistically significant between full-time and part-time registrars.</w:t>
      </w:r>
    </w:p>
  </w:footnote>
  <w:footnote w:id="17">
    <w:p w14:paraId="33D5113F" w14:textId="77777777" w:rsidR="00542591" w:rsidRPr="005646CD" w:rsidRDefault="00542591" w:rsidP="00542591">
      <w:pPr>
        <w:pStyle w:val="FootnoteText"/>
        <w:spacing w:after="60"/>
        <w:rPr>
          <w:lang w:val="mi-NZ"/>
        </w:rPr>
      </w:pPr>
      <w:r>
        <w:rPr>
          <w:rStyle w:val="FootnoteReference"/>
        </w:rPr>
        <w:footnoteRef/>
      </w:r>
      <w:r>
        <w:t xml:space="preserve"> There was a statistically significant difference in mean flexibility of hours between males and females, with female registrars scoring 0.244 higher than full-time registrars (95% CI, 0.059 to 0.429), </w:t>
      </w:r>
      <w:proofErr w:type="gramStart"/>
      <w:r>
        <w:rPr>
          <w:i/>
          <w:iCs/>
        </w:rPr>
        <w:t>t</w:t>
      </w:r>
      <w:r>
        <w:t>(</w:t>
      </w:r>
      <w:proofErr w:type="gramEnd"/>
      <w:r>
        <w:t>212)</w:t>
      </w:r>
      <w:r>
        <w:rPr>
          <w:i/>
          <w:iCs/>
        </w:rPr>
        <w:t xml:space="preserve"> </w:t>
      </w:r>
      <w:r>
        <w:t xml:space="preserve">= 2.594, </w:t>
      </w:r>
      <w:r>
        <w:rPr>
          <w:i/>
          <w:iCs/>
        </w:rPr>
        <w:t>p</w:t>
      </w:r>
      <w:r>
        <w:t xml:space="preserve"> =0.010.</w:t>
      </w:r>
    </w:p>
  </w:footnote>
  <w:footnote w:id="18">
    <w:p w14:paraId="0C5545AB" w14:textId="77777777" w:rsidR="00AA5A75" w:rsidRPr="0075384C" w:rsidRDefault="00AA5A75" w:rsidP="00AA5A75">
      <w:pPr>
        <w:pStyle w:val="FootnoteText"/>
        <w:spacing w:after="60"/>
        <w:rPr>
          <w:lang w:val="mi-NZ"/>
        </w:rPr>
      </w:pPr>
      <w:r>
        <w:rPr>
          <w:rStyle w:val="FootnoteReference"/>
        </w:rPr>
        <w:footnoteRef/>
      </w:r>
      <w:r>
        <w:t xml:space="preserve"> There was a statistically significant difference in means to work as part of a primary care team between full-time and part-time, with full-time registrars scoring 0.204 higher than part-time registrars (95% CI, 0.008 to 0.400), </w:t>
      </w:r>
      <w:proofErr w:type="gramStart"/>
      <w:r>
        <w:rPr>
          <w:i/>
          <w:iCs/>
        </w:rPr>
        <w:t>t</w:t>
      </w:r>
      <w:r>
        <w:t>(</w:t>
      </w:r>
      <w:proofErr w:type="gramEnd"/>
      <w:r>
        <w:t>336)</w:t>
      </w:r>
      <w:r>
        <w:rPr>
          <w:i/>
          <w:iCs/>
        </w:rPr>
        <w:t xml:space="preserve"> </w:t>
      </w:r>
      <w:r>
        <w:t xml:space="preserve">= 2.044, </w:t>
      </w:r>
      <w:r>
        <w:rPr>
          <w:i/>
          <w:iCs/>
        </w:rPr>
        <w:t>p</w:t>
      </w:r>
      <w:r>
        <w:t xml:space="preserve"> = 0.042.</w:t>
      </w:r>
    </w:p>
  </w:footnote>
  <w:footnote w:id="19">
    <w:p w14:paraId="3E5E6FD6" w14:textId="77777777" w:rsidR="00AA5A75" w:rsidRPr="00060781" w:rsidRDefault="00AA5A75" w:rsidP="00AA5A75">
      <w:pPr>
        <w:pStyle w:val="FootnoteText"/>
        <w:spacing w:after="60"/>
        <w:rPr>
          <w:lang w:val="mi-NZ"/>
        </w:rPr>
      </w:pPr>
      <w:r>
        <w:rPr>
          <w:rStyle w:val="FootnoteReference"/>
        </w:rPr>
        <w:footnoteRef/>
      </w:r>
      <w:r>
        <w:t xml:space="preserve"> There was a statistically significant difference in mean positive general practice role models between full-time and part-time, with full-time registrars scoring 0.151 higher than part-time registrars (95% CI, 0.050 to 0.352), </w:t>
      </w:r>
      <w:proofErr w:type="gramStart"/>
      <w:r>
        <w:rPr>
          <w:i/>
          <w:iCs/>
        </w:rPr>
        <w:t>t</w:t>
      </w:r>
      <w:r>
        <w:t>(</w:t>
      </w:r>
      <w:proofErr w:type="gramEnd"/>
      <w:r>
        <w:t>332)</w:t>
      </w:r>
      <w:r>
        <w:rPr>
          <w:i/>
          <w:iCs/>
        </w:rPr>
        <w:t xml:space="preserve"> </w:t>
      </w:r>
      <w:r>
        <w:t xml:space="preserve">= 1.478, </w:t>
      </w:r>
      <w:r>
        <w:rPr>
          <w:i/>
          <w:iCs/>
        </w:rPr>
        <w:t>p</w:t>
      </w:r>
      <w:r>
        <w:t xml:space="preserve"> = 0.140.</w:t>
      </w:r>
    </w:p>
  </w:footnote>
  <w:footnote w:id="20">
    <w:p w14:paraId="150C1A3A" w14:textId="77777777" w:rsidR="00542591" w:rsidRPr="00241BDA" w:rsidRDefault="00542591" w:rsidP="00542591">
      <w:pPr>
        <w:pStyle w:val="FootnoteText"/>
        <w:spacing w:after="60"/>
        <w:rPr>
          <w:lang w:val="mi-NZ"/>
        </w:rPr>
      </w:pPr>
      <w:r>
        <w:rPr>
          <w:rStyle w:val="FootnoteReference"/>
        </w:rPr>
        <w:footnoteRef/>
      </w:r>
      <w:r>
        <w:t xml:space="preserve"> There was a statistically significant difference in mean positive general practice role models between males and females, with male registrars scoring 0.058 higher than female registrars (95% CI, 0.137 to 0.253), </w:t>
      </w:r>
      <w:proofErr w:type="gramStart"/>
      <w:r>
        <w:rPr>
          <w:i/>
          <w:iCs/>
        </w:rPr>
        <w:t>t</w:t>
      </w:r>
      <w:r>
        <w:t>(</w:t>
      </w:r>
      <w:proofErr w:type="gramEnd"/>
      <w:r>
        <w:t>273)</w:t>
      </w:r>
      <w:r>
        <w:rPr>
          <w:i/>
          <w:iCs/>
        </w:rPr>
        <w:t xml:space="preserve"> </w:t>
      </w:r>
      <w:r>
        <w:t xml:space="preserve">= 0.584, </w:t>
      </w:r>
      <w:r>
        <w:rPr>
          <w:i/>
          <w:iCs/>
        </w:rPr>
        <w:t>p</w:t>
      </w:r>
      <w:r>
        <w:t xml:space="preserve"> =0.058.</w:t>
      </w:r>
    </w:p>
  </w:footnote>
  <w:footnote w:id="21">
    <w:p w14:paraId="0F6CA052" w14:textId="77777777" w:rsidR="00AF46D6" w:rsidRDefault="00AF46D6" w:rsidP="00AF46D6">
      <w:pPr>
        <w:pStyle w:val="FootnoteText"/>
      </w:pPr>
      <w:r>
        <w:rPr>
          <w:rStyle w:val="FootnoteReference"/>
        </w:rPr>
        <w:footnoteRef/>
      </w:r>
      <w:r>
        <w:t xml:space="preserve"> An increase in the accommodation allowance has been agreed for the next registrar cohort.</w:t>
      </w:r>
    </w:p>
  </w:footnote>
  <w:footnote w:id="22">
    <w:p w14:paraId="15313388" w14:textId="77777777" w:rsidR="003E21C5" w:rsidRDefault="003E21C5" w:rsidP="003E21C5">
      <w:pPr>
        <w:pStyle w:val="FootnoteText"/>
      </w:pPr>
      <w:r>
        <w:rPr>
          <w:rStyle w:val="FootnoteReference"/>
          <w:rFonts w:eastAsiaTheme="majorEastAsia"/>
        </w:rPr>
        <w:footnoteRef/>
      </w:r>
      <w:r>
        <w:t xml:space="preserve"> Base salary for 40-44.9 hours of work in urban environment and standard (non-shift work) rosters, effective before 17 April 2022.</w:t>
      </w:r>
    </w:p>
  </w:footnote>
  <w:footnote w:id="23">
    <w:p w14:paraId="341CCF59" w14:textId="1AC26319" w:rsidR="00E96736" w:rsidRDefault="00E96736">
      <w:pPr>
        <w:pStyle w:val="FootnoteText"/>
      </w:pPr>
      <w:r>
        <w:rPr>
          <w:rStyle w:val="FootnoteReference"/>
        </w:rPr>
        <w:footnoteRef/>
      </w:r>
      <w:r>
        <w:t xml:space="preserve"> </w:t>
      </w:r>
      <w:r w:rsidRPr="00E96736">
        <w:rPr>
          <w:lang w:eastAsia="en-GB"/>
        </w:rPr>
        <w:t>The College has advised this is trending downwards.</w:t>
      </w:r>
    </w:p>
  </w:footnote>
  <w:footnote w:id="24">
    <w:p w14:paraId="43BC4FD0" w14:textId="3CA291AB" w:rsidR="001222AD" w:rsidRDefault="001222AD" w:rsidP="00E37DAD">
      <w:pPr>
        <w:pStyle w:val="FootnoteText"/>
        <w:spacing w:after="60"/>
      </w:pPr>
      <w:r>
        <w:rPr>
          <w:rStyle w:val="FootnoteReference"/>
        </w:rPr>
        <w:footnoteRef/>
      </w:r>
      <w:r>
        <w:t xml:space="preserve"> </w:t>
      </w:r>
      <w:r w:rsidRPr="001222AD">
        <w:t>Registration and Annual Practicing Record data from Medical Council of New Zealand 2008 - 2022</w:t>
      </w:r>
    </w:p>
  </w:footnote>
  <w:footnote w:id="25">
    <w:p w14:paraId="716FCAF9" w14:textId="363C7760" w:rsidR="00B04695" w:rsidRDefault="00B04695">
      <w:pPr>
        <w:pStyle w:val="FootnoteText"/>
      </w:pPr>
      <w:r>
        <w:rPr>
          <w:rStyle w:val="FootnoteReference"/>
        </w:rPr>
        <w:footnoteRef/>
      </w:r>
      <w:r>
        <w:t xml:space="preserve"> As at March 2022</w:t>
      </w:r>
    </w:p>
  </w:footnote>
  <w:footnote w:id="26">
    <w:p w14:paraId="71DE27C1" w14:textId="77777777" w:rsidR="00536C6C" w:rsidRPr="008F4BAC" w:rsidRDefault="00536C6C" w:rsidP="00536C6C">
      <w:pPr>
        <w:pStyle w:val="FootnoteText"/>
        <w:spacing w:after="60"/>
        <w:rPr>
          <w:lang w:val="en-GB"/>
        </w:rPr>
      </w:pPr>
      <w:r>
        <w:rPr>
          <w:rStyle w:val="FootnoteReference"/>
        </w:rPr>
        <w:footnoteRef/>
      </w:r>
      <w:r>
        <w:t xml:space="preserve"> There was a statistically significant difference in mean desire to have additional capacity in the practice between males and females, with males scoring .37 higher than females (95% CI .042 to .697), </w:t>
      </w:r>
      <w:proofErr w:type="gramStart"/>
      <w:r>
        <w:rPr>
          <w:i/>
          <w:iCs/>
        </w:rPr>
        <w:t>t</w:t>
      </w:r>
      <w:r>
        <w:t>(</w:t>
      </w:r>
      <w:proofErr w:type="gramEnd"/>
      <w:r>
        <w:t xml:space="preserve">150) = 2.23, </w:t>
      </w:r>
      <w:r>
        <w:rPr>
          <w:i/>
          <w:iCs/>
        </w:rPr>
        <w:t>p</w:t>
      </w:r>
      <w:r>
        <w:t xml:space="preserve"> = .027.</w:t>
      </w:r>
    </w:p>
  </w:footnote>
  <w:footnote w:id="27">
    <w:p w14:paraId="72A7F85E" w14:textId="77777777" w:rsidR="00536C6C" w:rsidRDefault="00536C6C" w:rsidP="00536C6C">
      <w:pPr>
        <w:pStyle w:val="FootnoteText"/>
        <w:spacing w:after="60"/>
      </w:pPr>
      <w:r>
        <w:rPr>
          <w:rStyle w:val="FootnoteReference"/>
        </w:rPr>
        <w:footnoteRef/>
      </w:r>
      <w:r>
        <w:t xml:space="preserve"> </w:t>
      </w:r>
      <w:r w:rsidRPr="00FE0DEB">
        <w:t>https://www.rnzcgp.org.nz/gpdocs/New-website/Publications/GP-Workforce/RNZCGP-2020-Workforce-Survey-Results-2-overview.pdf</w:t>
      </w:r>
    </w:p>
  </w:footnote>
  <w:footnote w:id="28">
    <w:p w14:paraId="5EFB59E9" w14:textId="77777777" w:rsidR="0029375C" w:rsidRPr="00D92DD1" w:rsidRDefault="0029375C" w:rsidP="0029375C">
      <w:pPr>
        <w:pStyle w:val="FootnoteText"/>
        <w:rPr>
          <w:lang w:val="en-GB"/>
        </w:rPr>
      </w:pPr>
      <w:r w:rsidRPr="00D92DD1">
        <w:rPr>
          <w:rStyle w:val="FootnoteReference"/>
        </w:rPr>
        <w:footnoteRef/>
      </w:r>
      <w:r w:rsidRPr="00D92DD1">
        <w:t xml:space="preserve"> </w:t>
      </w:r>
      <w:r w:rsidRPr="00D92DD1">
        <w:rPr>
          <w:lang w:val="en-GB"/>
        </w:rPr>
        <w:t xml:space="preserve">There was a statistically significant difference in mean confidence in clinical skills as a barrier between females and males, with females scoring .249 higher than males (95% CI, .019 to .509), </w:t>
      </w:r>
      <w:proofErr w:type="gramStart"/>
      <w:r w:rsidRPr="00D92DD1">
        <w:rPr>
          <w:i/>
          <w:iCs/>
          <w:lang w:val="en-GB"/>
        </w:rPr>
        <w:t>t</w:t>
      </w:r>
      <w:r w:rsidRPr="00D92DD1">
        <w:rPr>
          <w:lang w:val="en-GB"/>
        </w:rPr>
        <w:t>(</w:t>
      </w:r>
      <w:proofErr w:type="gramEnd"/>
      <w:r w:rsidRPr="00D92DD1">
        <w:rPr>
          <w:lang w:val="en-GB"/>
        </w:rPr>
        <w:t xml:space="preserve">3126) = 1.842, </w:t>
      </w:r>
      <w:r w:rsidRPr="00D92DD1">
        <w:rPr>
          <w:i/>
          <w:iCs/>
          <w:lang w:val="en-GB"/>
        </w:rPr>
        <w:t>p</w:t>
      </w:r>
      <w:r w:rsidRPr="00D92DD1">
        <w:rPr>
          <w:lang w:val="en-GB"/>
        </w:rPr>
        <w:t xml:space="preserve"> = .068.</w:t>
      </w:r>
    </w:p>
  </w:footnote>
  <w:footnote w:id="29">
    <w:p w14:paraId="552BB53D" w14:textId="6C81DBFF" w:rsidR="00880999" w:rsidRDefault="00880999">
      <w:pPr>
        <w:pStyle w:val="FootnoteText"/>
      </w:pPr>
      <w:r>
        <w:rPr>
          <w:rStyle w:val="FootnoteReference"/>
        </w:rPr>
        <w:footnoteRef/>
      </w:r>
      <w:r>
        <w:t xml:space="preserve"> Information was not available </w:t>
      </w:r>
      <w:r w:rsidR="00072E7D">
        <w:t xml:space="preserve">to us </w:t>
      </w:r>
      <w:r>
        <w:t>about the proportions of Pacific practices that are accredited by the College</w:t>
      </w:r>
    </w:p>
  </w:footnote>
  <w:footnote w:id="30">
    <w:p w14:paraId="28B15A67" w14:textId="77777777" w:rsidR="004F14C2" w:rsidRDefault="004F14C2" w:rsidP="004F14C2">
      <w:pPr>
        <w:pStyle w:val="FootnoteText"/>
      </w:pPr>
      <w:r>
        <w:rPr>
          <w:rStyle w:val="FootnoteReference"/>
        </w:rPr>
        <w:footnoteRef/>
      </w:r>
      <w:r>
        <w:t xml:space="preserve"> </w:t>
      </w:r>
      <w:proofErr w:type="gramStart"/>
      <w:r>
        <w:t>For the purpose of</w:t>
      </w:r>
      <w:proofErr w:type="gramEnd"/>
      <w:r>
        <w:t xml:space="preserve"> this review, we consider kaupapa Māori providers to be any provider guided by kaupapa Māori principles, tikanga and </w:t>
      </w:r>
      <w:proofErr w:type="spellStart"/>
      <w:r>
        <w:t>te</w:t>
      </w:r>
      <w:proofErr w:type="spellEnd"/>
      <w:r>
        <w:t xml:space="preserve"> </w:t>
      </w:r>
      <w:proofErr w:type="spellStart"/>
      <w:r>
        <w:t>ao</w:t>
      </w:r>
      <w:proofErr w:type="spellEnd"/>
      <w:r>
        <w:t xml:space="preserve"> Māori and with Māori governance. This includes iwi health providers.</w:t>
      </w:r>
    </w:p>
  </w:footnote>
  <w:footnote w:id="31">
    <w:p w14:paraId="682EF157" w14:textId="14B20330" w:rsidR="00BC6A87" w:rsidRDefault="00BC6A87" w:rsidP="00CC6BD2">
      <w:pPr>
        <w:pStyle w:val="FootnoteText"/>
        <w:spacing w:after="60"/>
      </w:pPr>
      <w:r>
        <w:rPr>
          <w:rStyle w:val="FootnoteReference"/>
        </w:rPr>
        <w:footnoteRef/>
      </w:r>
      <w:r>
        <w:t xml:space="preserve"> </w:t>
      </w:r>
      <w:r w:rsidRPr="00BC6A87">
        <w:t>https://www.educationcounts.govt.nz/__data/assets/pdf_file/0019/208072/Indicator-NCEA-Level-3-and-UE-2020.pdf</w:t>
      </w:r>
    </w:p>
  </w:footnote>
  <w:footnote w:id="32">
    <w:p w14:paraId="3E9D174F" w14:textId="7203EE43" w:rsidR="004F68F5" w:rsidRDefault="004F68F5" w:rsidP="00CC6BD2">
      <w:pPr>
        <w:pStyle w:val="FootnoteText"/>
        <w:spacing w:after="60"/>
      </w:pPr>
      <w:r>
        <w:rPr>
          <w:rStyle w:val="FootnoteReference"/>
        </w:rPr>
        <w:footnoteRef/>
      </w:r>
      <w:r>
        <w:t xml:space="preserve"> </w:t>
      </w:r>
      <w:r w:rsidRPr="004F68F5">
        <w:t>https://www.health.govt.nz/publication/maori-participation-and-attainment-science-subjects-aged-15-17-years-2008-2012</w:t>
      </w:r>
    </w:p>
  </w:footnote>
  <w:footnote w:id="33">
    <w:p w14:paraId="029A94A8" w14:textId="263667AC" w:rsidR="001534F9" w:rsidRPr="001534F9" w:rsidRDefault="001534F9" w:rsidP="001534F9">
      <w:pPr>
        <w:pStyle w:val="FootnoteText"/>
        <w:spacing w:after="60"/>
        <w:rPr>
          <w:rFonts w:cs="Calibri"/>
        </w:rPr>
      </w:pPr>
      <w:r w:rsidRPr="001534F9">
        <w:rPr>
          <w:rStyle w:val="FootnoteReference"/>
          <w:rFonts w:cs="Calibri"/>
        </w:rPr>
        <w:footnoteRef/>
      </w:r>
      <w:r w:rsidRPr="001534F9">
        <w:rPr>
          <w:rFonts w:cs="Calibri"/>
        </w:rPr>
        <w:t xml:space="preserve"> </w:t>
      </w:r>
      <w:r w:rsidRPr="001534F9">
        <w:rPr>
          <w:rFonts w:cs="Calibri"/>
          <w:color w:val="222222"/>
          <w:shd w:val="clear" w:color="auto" w:fill="FFFFFF"/>
        </w:rPr>
        <w:t xml:space="preserve">Bazemore, A., Petterson, S., Peterson, L.E., Bruno, R., Chung, </w:t>
      </w:r>
      <w:proofErr w:type="gramStart"/>
      <w:r w:rsidRPr="001534F9">
        <w:rPr>
          <w:rFonts w:cs="Calibri"/>
          <w:color w:val="222222"/>
          <w:shd w:val="clear" w:color="auto" w:fill="FFFFFF"/>
        </w:rPr>
        <w:t>Y.</w:t>
      </w:r>
      <w:proofErr w:type="gramEnd"/>
      <w:r w:rsidRPr="001534F9">
        <w:rPr>
          <w:rFonts w:cs="Calibri"/>
          <w:color w:val="222222"/>
          <w:shd w:val="clear" w:color="auto" w:fill="FFFFFF"/>
        </w:rPr>
        <w:t xml:space="preserve"> and Phillips, R.L., 2018. Higher primary care physician continuity is associated with lower costs and hospitalizations. </w:t>
      </w:r>
      <w:r w:rsidRPr="001534F9">
        <w:rPr>
          <w:rFonts w:cs="Calibri"/>
          <w:i/>
          <w:iCs/>
          <w:color w:val="222222"/>
          <w:shd w:val="clear" w:color="auto" w:fill="FFFFFF"/>
        </w:rPr>
        <w:t>The Annals of Family Medicine</w:t>
      </w:r>
      <w:r w:rsidRPr="001534F9">
        <w:rPr>
          <w:rFonts w:cs="Calibri"/>
          <w:color w:val="222222"/>
          <w:shd w:val="clear" w:color="auto" w:fill="FFFFFF"/>
        </w:rPr>
        <w:t>, </w:t>
      </w:r>
      <w:r w:rsidRPr="001534F9">
        <w:rPr>
          <w:rFonts w:cs="Calibri"/>
          <w:i/>
          <w:iCs/>
          <w:color w:val="222222"/>
          <w:shd w:val="clear" w:color="auto" w:fill="FFFFFF"/>
        </w:rPr>
        <w:t>16</w:t>
      </w:r>
      <w:r w:rsidRPr="001534F9">
        <w:rPr>
          <w:rFonts w:cs="Calibri"/>
          <w:color w:val="222222"/>
          <w:shd w:val="clear" w:color="auto" w:fill="FFFFFF"/>
        </w:rPr>
        <w:t>(6), pp.492-497.</w:t>
      </w:r>
    </w:p>
  </w:footnote>
  <w:footnote w:id="34">
    <w:p w14:paraId="43763ED7" w14:textId="7CC94B5A" w:rsidR="00334D98" w:rsidRPr="001534F9" w:rsidRDefault="00334D98" w:rsidP="001534F9">
      <w:pPr>
        <w:pStyle w:val="FootnoteText"/>
        <w:spacing w:after="60"/>
        <w:rPr>
          <w:rFonts w:cs="Calibri"/>
        </w:rPr>
      </w:pPr>
      <w:r w:rsidRPr="001534F9">
        <w:rPr>
          <w:rStyle w:val="FootnoteReference"/>
          <w:rFonts w:cs="Calibri"/>
        </w:rPr>
        <w:footnoteRef/>
      </w:r>
      <w:r w:rsidRPr="001534F9">
        <w:rPr>
          <w:rFonts w:cs="Calibri"/>
        </w:rPr>
        <w:t xml:space="preserve"> https://www.ncbi.nlm.nih.gov/pmc/articles/PMC2690145/</w:t>
      </w:r>
    </w:p>
  </w:footnote>
  <w:footnote w:id="35">
    <w:p w14:paraId="28CBF1E1" w14:textId="005D26B0" w:rsidR="005477FD" w:rsidRPr="001534F9" w:rsidRDefault="005477FD" w:rsidP="001534F9">
      <w:pPr>
        <w:pStyle w:val="FootnoteText"/>
        <w:spacing w:after="60"/>
        <w:rPr>
          <w:rFonts w:cs="Calibri"/>
        </w:rPr>
      </w:pPr>
      <w:r w:rsidRPr="001534F9">
        <w:rPr>
          <w:rStyle w:val="FootnoteReference"/>
          <w:rFonts w:cs="Calibri"/>
        </w:rPr>
        <w:footnoteRef/>
      </w:r>
      <w:r w:rsidRPr="001534F9">
        <w:rPr>
          <w:rFonts w:cs="Calibri"/>
        </w:rPr>
        <w:t xml:space="preserve"> https://www.ncbi.nlm.nih.gov/pmc/articles/PMC3820521/</w:t>
      </w:r>
    </w:p>
  </w:footnote>
  <w:footnote w:id="36">
    <w:p w14:paraId="4155BB8D" w14:textId="77777777" w:rsidR="00B32823" w:rsidRPr="001534F9" w:rsidRDefault="00B32823" w:rsidP="001534F9">
      <w:pPr>
        <w:pStyle w:val="FootnoteText"/>
        <w:spacing w:after="60"/>
        <w:rPr>
          <w:rFonts w:cs="Calibri"/>
        </w:rPr>
      </w:pPr>
      <w:r w:rsidRPr="001534F9">
        <w:rPr>
          <w:rStyle w:val="FootnoteReference"/>
          <w:rFonts w:cs="Calibri"/>
        </w:rPr>
        <w:footnoteRef/>
      </w:r>
      <w:r w:rsidRPr="001534F9">
        <w:rPr>
          <w:rFonts w:cs="Calibri"/>
        </w:rPr>
        <w:t xml:space="preserve"> https://www.rnzcgp.org.nz/RNZCGP/Publications/Future_of_the_Workforce_Report/RNZCGP/Publications/GP_Future_Workforce_Requirements_Report.aspx?hkey=528a23fd-6bff-4537-9d8f-288533779f38</w:t>
      </w:r>
    </w:p>
  </w:footnote>
  <w:footnote w:id="37">
    <w:p w14:paraId="287FF03A" w14:textId="44049B76" w:rsidR="00334D98" w:rsidRDefault="00334D98" w:rsidP="001534F9">
      <w:pPr>
        <w:pStyle w:val="FootnoteText"/>
        <w:spacing w:after="60"/>
      </w:pPr>
      <w:r w:rsidRPr="001534F9">
        <w:rPr>
          <w:rStyle w:val="FootnoteReference"/>
          <w:rFonts w:cs="Calibri"/>
        </w:rPr>
        <w:footnoteRef/>
      </w:r>
      <w:r w:rsidRPr="001534F9">
        <w:rPr>
          <w:rFonts w:cs="Calibri"/>
        </w:rPr>
        <w:t xml:space="preserve"> </w:t>
      </w:r>
      <w:hyperlink r:id="rId2" w:history="1">
        <w:r w:rsidRPr="001534F9">
          <w:rPr>
            <w:rStyle w:val="Hyperlink"/>
            <w:rFonts w:eastAsiaTheme="minorHAnsi" w:cs="Calibri"/>
            <w:lang w:eastAsia="en-GB"/>
          </w:rPr>
          <w:t>https://www.health.govt.nz/system/files/documents/pages/health_workforce_funding_review_-_current_state_final_25_nov.pdf</w:t>
        </w:r>
      </w:hyperlink>
    </w:p>
  </w:footnote>
  <w:footnote w:id="38">
    <w:p w14:paraId="47871284" w14:textId="77777777" w:rsidR="00EF337A" w:rsidRPr="001B195A" w:rsidRDefault="00EF337A" w:rsidP="00EF337A">
      <w:pPr>
        <w:pStyle w:val="FootnoteText"/>
        <w:ind w:left="-993"/>
        <w:rPr>
          <w:lang w:val="mi-NZ"/>
        </w:rPr>
      </w:pPr>
      <w:r>
        <w:rPr>
          <w:rStyle w:val="FootnoteReference"/>
        </w:rPr>
        <w:footnoteRef/>
      </w:r>
      <w:r>
        <w:t xml:space="preserve"> </w:t>
      </w:r>
      <w:r w:rsidRPr="001B195A">
        <w:t xml:space="preserve">Registration and Annual Practicing Record data from Medical Council of New Zealand 2008 - 2022; RNZCGP GPEP admission data 2015 </w:t>
      </w:r>
      <w:r>
        <w:t>–</w:t>
      </w:r>
      <w:r w:rsidRPr="001B195A">
        <w:t xml:space="preserve"> 2020</w:t>
      </w:r>
      <w:r>
        <w:t xml:space="preserve">. </w:t>
      </w:r>
      <w:r w:rsidRPr="00C41D41">
        <w:t>From 2020 onwards, GPEP starting date has been moved from Dec to Jan/Feb in the following year.</w:t>
      </w:r>
    </w:p>
  </w:footnote>
  <w:footnote w:id="39">
    <w:p w14:paraId="0D7A04B5" w14:textId="184BBE43" w:rsidR="005A7286" w:rsidRPr="005A7286" w:rsidRDefault="005A7286" w:rsidP="00EF337A">
      <w:pPr>
        <w:pStyle w:val="FootnoteText"/>
        <w:ind w:left="-993"/>
        <w:rPr>
          <w:lang w:val="mi-NZ"/>
        </w:rPr>
      </w:pPr>
      <w:r>
        <w:rPr>
          <w:rStyle w:val="FootnoteReference"/>
        </w:rPr>
        <w:footnoteRef/>
      </w:r>
      <w:r>
        <w:t xml:space="preserve"> </w:t>
      </w:r>
      <w:r>
        <w:rPr>
          <w:lang w:val="mi-NZ"/>
        </w:rPr>
        <w:t xml:space="preserve">Excluding 90 </w:t>
      </w:r>
      <w:r w:rsidR="001B195A">
        <w:rPr>
          <w:lang w:val="mi-NZ"/>
        </w:rPr>
        <w:t>‘unknown’ values</w:t>
      </w:r>
      <w:r w:rsidR="00EF337A">
        <w:rPr>
          <w:lang w:val="mi-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173" w14:textId="77777777" w:rsidR="005A0304" w:rsidRDefault="005A0304" w:rsidP="00BF537D">
    <w:pPr>
      <w:pStyle w:val="Header"/>
    </w:pPr>
  </w:p>
  <w:p w14:paraId="697593E3" w14:textId="77777777" w:rsidR="005A0304" w:rsidRDefault="005A0304" w:rsidP="00BF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E0F6" w14:textId="1582C7C9" w:rsidR="005A0304" w:rsidRDefault="005A0304" w:rsidP="007C23C4">
    <w:pPr>
      <w:pStyle w:val="Header"/>
      <w:spacing w:before="0"/>
      <w:ind w:hanging="2126"/>
    </w:pPr>
    <w:r>
      <w:rPr>
        <w:noProof/>
      </w:rPr>
      <w:drawing>
        <wp:inline distT="0" distB="0" distL="0" distR="0" wp14:anchorId="7F87FC73" wp14:editId="1F77D55A">
          <wp:extent cx="3324860" cy="984174"/>
          <wp:effectExtent l="0" t="0" r="0" b="6985"/>
          <wp:docPr id="38" name="Picture 1" descr="Malatest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 descr="Malatest_Primary Logo_RGB"/>
                  <pic:cNvPicPr/>
                </pic:nvPicPr>
                <pic:blipFill rotWithShape="1">
                  <a:blip r:embed="rId1">
                    <a:extLst>
                      <a:ext uri="{28A0092B-C50C-407E-A947-70E740481C1C}">
                        <a14:useLocalDpi xmlns:a14="http://schemas.microsoft.com/office/drawing/2010/main" val="0"/>
                      </a:ext>
                    </a:extLst>
                  </a:blip>
                  <a:srcRect l="3932" t="16736" b="23914"/>
                  <a:stretch/>
                </pic:blipFill>
                <pic:spPr bwMode="auto">
                  <a:xfrm>
                    <a:off x="0" y="0"/>
                    <a:ext cx="3329989" cy="985692"/>
                  </a:xfrm>
                  <a:prstGeom prst="rect">
                    <a:avLst/>
                  </a:prstGeom>
                  <a:ln>
                    <a:noFill/>
                  </a:ln>
                  <a:extLst>
                    <a:ext uri="{53640926-AAD7-44D8-BBD7-CCE9431645EC}">
                      <a14:shadowObscured xmlns:a14="http://schemas.microsoft.com/office/drawing/2010/main"/>
                    </a:ext>
                  </a:extLst>
                </pic:spPr>
              </pic:pic>
            </a:graphicData>
          </a:graphic>
        </wp:inline>
      </w:drawing>
    </w:r>
    <w:r w:rsidR="00FE77F9">
      <w:rPr>
        <w:noProof/>
      </w:rPr>
      <w:t xml:space="preserve"> </w:t>
    </w:r>
    <w:r w:rsidR="007C23C4">
      <w:rPr>
        <w:noProof/>
      </w:rPr>
      <w:drawing>
        <wp:inline distT="0" distB="0" distL="0" distR="0" wp14:anchorId="0C294418" wp14:editId="01BD577E">
          <wp:extent cx="2622550" cy="74848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2604" cy="7542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1570" w14:textId="77777777" w:rsidR="00714A1A" w:rsidRDefault="00714A1A" w:rsidP="00BE490C">
    <w:pPr>
      <w:pStyle w:val="Header"/>
    </w:pPr>
    <w:r>
      <w:rPr>
        <w:noProof/>
      </w:rPr>
      <w:drawing>
        <wp:anchor distT="0" distB="0" distL="114300" distR="114300" simplePos="0" relativeHeight="251658240" behindDoc="0" locked="0" layoutInCell="1" allowOverlap="1" wp14:anchorId="7FFCF203" wp14:editId="25DD59D9">
          <wp:simplePos x="0" y="0"/>
          <wp:positionH relativeFrom="rightMargin">
            <wp:posOffset>-1476375</wp:posOffset>
          </wp:positionH>
          <wp:positionV relativeFrom="paragraph">
            <wp:posOffset>199390</wp:posOffset>
          </wp:positionV>
          <wp:extent cx="1566000" cy="525600"/>
          <wp:effectExtent l="0" t="0" r="0" b="8255"/>
          <wp:wrapNone/>
          <wp:docPr id="26" name="Picture 26" descr="C:\Users\Malatest Tim\AppData\Local\Microsoft\Windows\INetCache\Content.Word\Malatest_Primary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test Tim\AppData\Local\Microsoft\Windows\INetCache\Content.Word\Malatest_Primary Logo_RGB.JPG"/>
                  <pic:cNvPicPr>
                    <a:picLocks noChangeAspect="1" noChangeArrowheads="1"/>
                  </pic:cNvPicPr>
                </pic:nvPicPr>
                <pic:blipFill>
                  <a:blip r:embed="rId1">
                    <a:extLst>
                      <a:ext uri="{28A0092B-C50C-407E-A947-70E740481C1C}">
                        <a14:useLocalDpi xmlns:a14="http://schemas.microsoft.com/office/drawing/2010/main" val="0"/>
                      </a:ext>
                    </a:extLst>
                  </a:blip>
                  <a:srcRect l="7043" t="20921" r="7043" b="18802"/>
                  <a:stretch>
                    <a:fillRect/>
                  </a:stretch>
                </pic:blipFill>
                <pic:spPr bwMode="auto">
                  <a:xfrm>
                    <a:off x="0" y="0"/>
                    <a:ext cx="1566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BA2" w14:textId="77777777" w:rsidR="00113282" w:rsidRDefault="00113282" w:rsidP="00BE490C">
    <w:pPr>
      <w:pStyle w:val="Header"/>
    </w:pPr>
    <w:r>
      <w:rPr>
        <w:noProof/>
      </w:rPr>
      <w:drawing>
        <wp:anchor distT="0" distB="0" distL="114300" distR="114300" simplePos="0" relativeHeight="251658246" behindDoc="0" locked="0" layoutInCell="1" allowOverlap="1" wp14:anchorId="00A6A1E8" wp14:editId="139E02C6">
          <wp:simplePos x="0" y="0"/>
          <wp:positionH relativeFrom="rightMargin">
            <wp:posOffset>-1476375</wp:posOffset>
          </wp:positionH>
          <wp:positionV relativeFrom="paragraph">
            <wp:posOffset>199390</wp:posOffset>
          </wp:positionV>
          <wp:extent cx="1566000" cy="525600"/>
          <wp:effectExtent l="0" t="0" r="0" b="8255"/>
          <wp:wrapNone/>
          <wp:docPr id="3" name="Picture 3" descr="C:\Users\Malatest Tim\AppData\Local\Microsoft\Windows\INetCache\Content.Word\Malatest_Primary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test Tim\AppData\Local\Microsoft\Windows\INetCache\Content.Word\Malatest_Primary Logo_RGB.JPG"/>
                  <pic:cNvPicPr>
                    <a:picLocks noChangeAspect="1" noChangeArrowheads="1"/>
                  </pic:cNvPicPr>
                </pic:nvPicPr>
                <pic:blipFill>
                  <a:blip r:embed="rId1">
                    <a:extLst>
                      <a:ext uri="{28A0092B-C50C-407E-A947-70E740481C1C}">
                        <a14:useLocalDpi xmlns:a14="http://schemas.microsoft.com/office/drawing/2010/main" val="0"/>
                      </a:ext>
                    </a:extLst>
                  </a:blip>
                  <a:srcRect l="7043" t="20921" r="7043" b="18802"/>
                  <a:stretch>
                    <a:fillRect/>
                  </a:stretch>
                </pic:blipFill>
                <pic:spPr bwMode="auto">
                  <a:xfrm>
                    <a:off x="0" y="0"/>
                    <a:ext cx="1566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FC7"/>
    <w:multiLevelType w:val="hybridMultilevel"/>
    <w:tmpl w:val="472A8A16"/>
    <w:lvl w:ilvl="0" w:tplc="EE56DA6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AE3C6A"/>
    <w:multiLevelType w:val="hybridMultilevel"/>
    <w:tmpl w:val="FA60B8C2"/>
    <w:lvl w:ilvl="0" w:tplc="6450E3A0">
      <w:start w:val="1"/>
      <w:numFmt w:val="decimal"/>
      <w:lvlText w:val="%1."/>
      <w:lvlJc w:val="left"/>
      <w:pPr>
        <w:tabs>
          <w:tab w:val="num" w:pos="720"/>
        </w:tabs>
        <w:ind w:left="720" w:hanging="360"/>
      </w:pPr>
    </w:lvl>
    <w:lvl w:ilvl="1" w:tplc="FFB6730C" w:tentative="1">
      <w:start w:val="1"/>
      <w:numFmt w:val="decimal"/>
      <w:lvlText w:val="%2."/>
      <w:lvlJc w:val="left"/>
      <w:pPr>
        <w:tabs>
          <w:tab w:val="num" w:pos="1440"/>
        </w:tabs>
        <w:ind w:left="1440" w:hanging="360"/>
      </w:pPr>
    </w:lvl>
    <w:lvl w:ilvl="2" w:tplc="0B02A506" w:tentative="1">
      <w:start w:val="1"/>
      <w:numFmt w:val="decimal"/>
      <w:lvlText w:val="%3."/>
      <w:lvlJc w:val="left"/>
      <w:pPr>
        <w:tabs>
          <w:tab w:val="num" w:pos="2160"/>
        </w:tabs>
        <w:ind w:left="2160" w:hanging="360"/>
      </w:pPr>
    </w:lvl>
    <w:lvl w:ilvl="3" w:tplc="7E143BEC" w:tentative="1">
      <w:start w:val="1"/>
      <w:numFmt w:val="decimal"/>
      <w:lvlText w:val="%4."/>
      <w:lvlJc w:val="left"/>
      <w:pPr>
        <w:tabs>
          <w:tab w:val="num" w:pos="2880"/>
        </w:tabs>
        <w:ind w:left="2880" w:hanging="360"/>
      </w:pPr>
    </w:lvl>
    <w:lvl w:ilvl="4" w:tplc="3BA0CA42" w:tentative="1">
      <w:start w:val="1"/>
      <w:numFmt w:val="decimal"/>
      <w:lvlText w:val="%5."/>
      <w:lvlJc w:val="left"/>
      <w:pPr>
        <w:tabs>
          <w:tab w:val="num" w:pos="3600"/>
        </w:tabs>
        <w:ind w:left="3600" w:hanging="360"/>
      </w:pPr>
    </w:lvl>
    <w:lvl w:ilvl="5" w:tplc="F97CD0B6" w:tentative="1">
      <w:start w:val="1"/>
      <w:numFmt w:val="decimal"/>
      <w:lvlText w:val="%6."/>
      <w:lvlJc w:val="left"/>
      <w:pPr>
        <w:tabs>
          <w:tab w:val="num" w:pos="4320"/>
        </w:tabs>
        <w:ind w:left="4320" w:hanging="360"/>
      </w:pPr>
    </w:lvl>
    <w:lvl w:ilvl="6" w:tplc="8D662C62" w:tentative="1">
      <w:start w:val="1"/>
      <w:numFmt w:val="decimal"/>
      <w:lvlText w:val="%7."/>
      <w:lvlJc w:val="left"/>
      <w:pPr>
        <w:tabs>
          <w:tab w:val="num" w:pos="5040"/>
        </w:tabs>
        <w:ind w:left="5040" w:hanging="360"/>
      </w:pPr>
    </w:lvl>
    <w:lvl w:ilvl="7" w:tplc="3B20C4A4" w:tentative="1">
      <w:start w:val="1"/>
      <w:numFmt w:val="decimal"/>
      <w:lvlText w:val="%8."/>
      <w:lvlJc w:val="left"/>
      <w:pPr>
        <w:tabs>
          <w:tab w:val="num" w:pos="5760"/>
        </w:tabs>
        <w:ind w:left="5760" w:hanging="360"/>
      </w:pPr>
    </w:lvl>
    <w:lvl w:ilvl="8" w:tplc="5C405B78" w:tentative="1">
      <w:start w:val="1"/>
      <w:numFmt w:val="decimal"/>
      <w:lvlText w:val="%9."/>
      <w:lvlJc w:val="left"/>
      <w:pPr>
        <w:tabs>
          <w:tab w:val="num" w:pos="6480"/>
        </w:tabs>
        <w:ind w:left="6480" w:hanging="360"/>
      </w:pPr>
    </w:lvl>
  </w:abstractNum>
  <w:abstractNum w:abstractNumId="2" w15:restartNumberingAfterBreak="0">
    <w:nsid w:val="13FB49CF"/>
    <w:multiLevelType w:val="hybridMultilevel"/>
    <w:tmpl w:val="9A6ED922"/>
    <w:lvl w:ilvl="0" w:tplc="676AB54E">
      <w:start w:val="1"/>
      <w:numFmt w:val="bullet"/>
      <w:lvlText w:val=""/>
      <w:lvlJc w:val="left"/>
      <w:pPr>
        <w:tabs>
          <w:tab w:val="num" w:pos="720"/>
        </w:tabs>
        <w:ind w:left="720" w:hanging="360"/>
      </w:pPr>
      <w:rPr>
        <w:rFonts w:ascii="Symbol" w:hAnsi="Symbol" w:hint="default"/>
      </w:rPr>
    </w:lvl>
    <w:lvl w:ilvl="1" w:tplc="EF4A681E" w:tentative="1">
      <w:start w:val="1"/>
      <w:numFmt w:val="bullet"/>
      <w:lvlText w:val=""/>
      <w:lvlJc w:val="left"/>
      <w:pPr>
        <w:tabs>
          <w:tab w:val="num" w:pos="1440"/>
        </w:tabs>
        <w:ind w:left="1440" w:hanging="360"/>
      </w:pPr>
      <w:rPr>
        <w:rFonts w:ascii="Symbol" w:hAnsi="Symbol" w:hint="default"/>
      </w:rPr>
    </w:lvl>
    <w:lvl w:ilvl="2" w:tplc="ADCE4632" w:tentative="1">
      <w:start w:val="1"/>
      <w:numFmt w:val="bullet"/>
      <w:lvlText w:val=""/>
      <w:lvlJc w:val="left"/>
      <w:pPr>
        <w:tabs>
          <w:tab w:val="num" w:pos="2160"/>
        </w:tabs>
        <w:ind w:left="2160" w:hanging="360"/>
      </w:pPr>
      <w:rPr>
        <w:rFonts w:ascii="Symbol" w:hAnsi="Symbol" w:hint="default"/>
      </w:rPr>
    </w:lvl>
    <w:lvl w:ilvl="3" w:tplc="4F1EADCA" w:tentative="1">
      <w:start w:val="1"/>
      <w:numFmt w:val="bullet"/>
      <w:lvlText w:val=""/>
      <w:lvlJc w:val="left"/>
      <w:pPr>
        <w:tabs>
          <w:tab w:val="num" w:pos="2880"/>
        </w:tabs>
        <w:ind w:left="2880" w:hanging="360"/>
      </w:pPr>
      <w:rPr>
        <w:rFonts w:ascii="Symbol" w:hAnsi="Symbol" w:hint="default"/>
      </w:rPr>
    </w:lvl>
    <w:lvl w:ilvl="4" w:tplc="A928E7A4" w:tentative="1">
      <w:start w:val="1"/>
      <w:numFmt w:val="bullet"/>
      <w:lvlText w:val=""/>
      <w:lvlJc w:val="left"/>
      <w:pPr>
        <w:tabs>
          <w:tab w:val="num" w:pos="3600"/>
        </w:tabs>
        <w:ind w:left="3600" w:hanging="360"/>
      </w:pPr>
      <w:rPr>
        <w:rFonts w:ascii="Symbol" w:hAnsi="Symbol" w:hint="default"/>
      </w:rPr>
    </w:lvl>
    <w:lvl w:ilvl="5" w:tplc="162AB77C" w:tentative="1">
      <w:start w:val="1"/>
      <w:numFmt w:val="bullet"/>
      <w:lvlText w:val=""/>
      <w:lvlJc w:val="left"/>
      <w:pPr>
        <w:tabs>
          <w:tab w:val="num" w:pos="4320"/>
        </w:tabs>
        <w:ind w:left="4320" w:hanging="360"/>
      </w:pPr>
      <w:rPr>
        <w:rFonts w:ascii="Symbol" w:hAnsi="Symbol" w:hint="default"/>
      </w:rPr>
    </w:lvl>
    <w:lvl w:ilvl="6" w:tplc="89BC50FC" w:tentative="1">
      <w:start w:val="1"/>
      <w:numFmt w:val="bullet"/>
      <w:lvlText w:val=""/>
      <w:lvlJc w:val="left"/>
      <w:pPr>
        <w:tabs>
          <w:tab w:val="num" w:pos="5040"/>
        </w:tabs>
        <w:ind w:left="5040" w:hanging="360"/>
      </w:pPr>
      <w:rPr>
        <w:rFonts w:ascii="Symbol" w:hAnsi="Symbol" w:hint="default"/>
      </w:rPr>
    </w:lvl>
    <w:lvl w:ilvl="7" w:tplc="40A43BC0" w:tentative="1">
      <w:start w:val="1"/>
      <w:numFmt w:val="bullet"/>
      <w:lvlText w:val=""/>
      <w:lvlJc w:val="left"/>
      <w:pPr>
        <w:tabs>
          <w:tab w:val="num" w:pos="5760"/>
        </w:tabs>
        <w:ind w:left="5760" w:hanging="360"/>
      </w:pPr>
      <w:rPr>
        <w:rFonts w:ascii="Symbol" w:hAnsi="Symbol" w:hint="default"/>
      </w:rPr>
    </w:lvl>
    <w:lvl w:ilvl="8" w:tplc="9760D09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E1572C"/>
    <w:multiLevelType w:val="hybridMultilevel"/>
    <w:tmpl w:val="8EB2C154"/>
    <w:lvl w:ilvl="0" w:tplc="6B10E6CC">
      <w:start w:val="1"/>
      <w:numFmt w:val="bullet"/>
      <w:pStyle w:val="Tablebullets"/>
      <w:lvlText w:val=""/>
      <w:lvlJc w:val="left"/>
      <w:pPr>
        <w:ind w:left="1080" w:hanging="360"/>
      </w:pPr>
      <w:rPr>
        <w:rFonts w:ascii="Symbol" w:hAnsi="Symbol" w:hint="default"/>
        <w:color w:val="1B263C" w:themeColor="accent1" w:themeShade="8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2094C89"/>
    <w:multiLevelType w:val="hybridMultilevel"/>
    <w:tmpl w:val="CA468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7672DC"/>
    <w:multiLevelType w:val="hybridMultilevel"/>
    <w:tmpl w:val="85AECF5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7C80459"/>
    <w:multiLevelType w:val="hybridMultilevel"/>
    <w:tmpl w:val="0FF8EF34"/>
    <w:lvl w:ilvl="0" w:tplc="59929F22">
      <w:start w:val="1"/>
      <w:numFmt w:val="bullet"/>
      <w:lvlText w:val=""/>
      <w:lvlJc w:val="left"/>
      <w:pPr>
        <w:tabs>
          <w:tab w:val="num" w:pos="720"/>
        </w:tabs>
        <w:ind w:left="720" w:hanging="360"/>
      </w:pPr>
      <w:rPr>
        <w:rFonts w:ascii="Symbol" w:hAnsi="Symbol" w:hint="default"/>
      </w:rPr>
    </w:lvl>
    <w:lvl w:ilvl="1" w:tplc="4CBC5B0E" w:tentative="1">
      <w:start w:val="1"/>
      <w:numFmt w:val="bullet"/>
      <w:lvlText w:val=""/>
      <w:lvlJc w:val="left"/>
      <w:pPr>
        <w:tabs>
          <w:tab w:val="num" w:pos="1440"/>
        </w:tabs>
        <w:ind w:left="1440" w:hanging="360"/>
      </w:pPr>
      <w:rPr>
        <w:rFonts w:ascii="Symbol" w:hAnsi="Symbol" w:hint="default"/>
      </w:rPr>
    </w:lvl>
    <w:lvl w:ilvl="2" w:tplc="9BA2262E" w:tentative="1">
      <w:start w:val="1"/>
      <w:numFmt w:val="bullet"/>
      <w:lvlText w:val=""/>
      <w:lvlJc w:val="left"/>
      <w:pPr>
        <w:tabs>
          <w:tab w:val="num" w:pos="2160"/>
        </w:tabs>
        <w:ind w:left="2160" w:hanging="360"/>
      </w:pPr>
      <w:rPr>
        <w:rFonts w:ascii="Symbol" w:hAnsi="Symbol" w:hint="default"/>
      </w:rPr>
    </w:lvl>
    <w:lvl w:ilvl="3" w:tplc="0F8E01AC" w:tentative="1">
      <w:start w:val="1"/>
      <w:numFmt w:val="bullet"/>
      <w:lvlText w:val=""/>
      <w:lvlJc w:val="left"/>
      <w:pPr>
        <w:tabs>
          <w:tab w:val="num" w:pos="2880"/>
        </w:tabs>
        <w:ind w:left="2880" w:hanging="360"/>
      </w:pPr>
      <w:rPr>
        <w:rFonts w:ascii="Symbol" w:hAnsi="Symbol" w:hint="default"/>
      </w:rPr>
    </w:lvl>
    <w:lvl w:ilvl="4" w:tplc="8B1062B8" w:tentative="1">
      <w:start w:val="1"/>
      <w:numFmt w:val="bullet"/>
      <w:lvlText w:val=""/>
      <w:lvlJc w:val="left"/>
      <w:pPr>
        <w:tabs>
          <w:tab w:val="num" w:pos="3600"/>
        </w:tabs>
        <w:ind w:left="3600" w:hanging="360"/>
      </w:pPr>
      <w:rPr>
        <w:rFonts w:ascii="Symbol" w:hAnsi="Symbol" w:hint="default"/>
      </w:rPr>
    </w:lvl>
    <w:lvl w:ilvl="5" w:tplc="945C30B2" w:tentative="1">
      <w:start w:val="1"/>
      <w:numFmt w:val="bullet"/>
      <w:lvlText w:val=""/>
      <w:lvlJc w:val="left"/>
      <w:pPr>
        <w:tabs>
          <w:tab w:val="num" w:pos="4320"/>
        </w:tabs>
        <w:ind w:left="4320" w:hanging="360"/>
      </w:pPr>
      <w:rPr>
        <w:rFonts w:ascii="Symbol" w:hAnsi="Symbol" w:hint="default"/>
      </w:rPr>
    </w:lvl>
    <w:lvl w:ilvl="6" w:tplc="64EAD640" w:tentative="1">
      <w:start w:val="1"/>
      <w:numFmt w:val="bullet"/>
      <w:lvlText w:val=""/>
      <w:lvlJc w:val="left"/>
      <w:pPr>
        <w:tabs>
          <w:tab w:val="num" w:pos="5040"/>
        </w:tabs>
        <w:ind w:left="5040" w:hanging="360"/>
      </w:pPr>
      <w:rPr>
        <w:rFonts w:ascii="Symbol" w:hAnsi="Symbol" w:hint="default"/>
      </w:rPr>
    </w:lvl>
    <w:lvl w:ilvl="7" w:tplc="01E633D0" w:tentative="1">
      <w:start w:val="1"/>
      <w:numFmt w:val="bullet"/>
      <w:lvlText w:val=""/>
      <w:lvlJc w:val="left"/>
      <w:pPr>
        <w:tabs>
          <w:tab w:val="num" w:pos="5760"/>
        </w:tabs>
        <w:ind w:left="5760" w:hanging="360"/>
      </w:pPr>
      <w:rPr>
        <w:rFonts w:ascii="Symbol" w:hAnsi="Symbol" w:hint="default"/>
      </w:rPr>
    </w:lvl>
    <w:lvl w:ilvl="8" w:tplc="3058F9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85119AC"/>
    <w:multiLevelType w:val="multilevel"/>
    <w:tmpl w:val="AC2EF1D0"/>
    <w:lvl w:ilvl="0">
      <w:start w:val="1"/>
      <w:numFmt w:val="decimal"/>
      <w:lvlText w:val="%1."/>
      <w:lvlJc w:val="left"/>
      <w:pPr>
        <w:ind w:left="567" w:hanging="56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Text w:val="Appendix %9"/>
      <w:lvlJc w:val="left"/>
      <w:pPr>
        <w:ind w:left="2268" w:hanging="2268"/>
      </w:pPr>
      <w:rPr>
        <w:rFonts w:hint="default"/>
        <w:color w:val="364D79" w:themeColor="accent1"/>
      </w:rPr>
    </w:lvl>
  </w:abstractNum>
  <w:abstractNum w:abstractNumId="8" w15:restartNumberingAfterBreak="0">
    <w:nsid w:val="4A04402A"/>
    <w:multiLevelType w:val="hybridMultilevel"/>
    <w:tmpl w:val="95242E9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5C0503C5"/>
    <w:multiLevelType w:val="multilevel"/>
    <w:tmpl w:val="FA66B900"/>
    <w:lvl w:ilvl="0">
      <w:start w:val="1"/>
      <w:numFmt w:val="decimal"/>
      <w:pStyle w:val="Heading1"/>
      <w:lvlText w:val="%1."/>
      <w:lvlJc w:val="left"/>
      <w:pPr>
        <w:ind w:left="1352" w:hanging="360"/>
      </w:pPr>
      <w:rPr>
        <w:rFonts w:hint="default"/>
      </w:rPr>
    </w:lvl>
    <w:lvl w:ilvl="1">
      <w:start w:val="1"/>
      <w:numFmt w:val="decimal"/>
      <w:pStyle w:val="Heading2"/>
      <w:lvlText w:val="%1.%2."/>
      <w:lvlJc w:val="left"/>
      <w:pPr>
        <w:ind w:left="1992" w:hanging="432"/>
      </w:pPr>
      <w:rPr>
        <w:rFonts w:hint="default"/>
      </w:rPr>
    </w:lvl>
    <w:lvl w:ilvl="2">
      <w:start w:val="1"/>
      <w:numFmt w:val="decimal"/>
      <w:pStyle w:val="Heading3"/>
      <w:lvlText w:val="%1.%2.%3."/>
      <w:lvlJc w:val="left"/>
      <w:pPr>
        <w:ind w:left="2216" w:hanging="504"/>
      </w:pPr>
      <w:rPr>
        <w:rFonts w:hint="default"/>
      </w:rPr>
    </w:lvl>
    <w:lvl w:ilvl="3">
      <w:start w:val="1"/>
      <w:numFmt w:val="decimal"/>
      <w:lvlText w:val="%1.%2.%3.%4."/>
      <w:lvlJc w:val="left"/>
      <w:pPr>
        <w:ind w:left="2720" w:hanging="648"/>
      </w:pPr>
      <w:rPr>
        <w:rFonts w:hint="default"/>
      </w:rPr>
    </w:lvl>
    <w:lvl w:ilvl="4">
      <w:start w:val="1"/>
      <w:numFmt w:val="decimal"/>
      <w:lvlText w:val="%1.%2.%3.%4.%5."/>
      <w:lvlJc w:val="left"/>
      <w:pPr>
        <w:ind w:left="3224" w:hanging="792"/>
      </w:pPr>
      <w:rPr>
        <w:rFonts w:hint="default"/>
      </w:rPr>
    </w:lvl>
    <w:lvl w:ilvl="5">
      <w:start w:val="1"/>
      <w:numFmt w:val="decimal"/>
      <w:lvlText w:val="%1.%2.%3.%4.%5.%6."/>
      <w:lvlJc w:val="left"/>
      <w:pPr>
        <w:ind w:left="3728" w:hanging="936"/>
      </w:pPr>
      <w:rPr>
        <w:rFonts w:hint="default"/>
      </w:rPr>
    </w:lvl>
    <w:lvl w:ilvl="6">
      <w:start w:val="1"/>
      <w:numFmt w:val="decimal"/>
      <w:lvlText w:val="%1.%2.%3.%4.%5.%6.%7."/>
      <w:lvlJc w:val="left"/>
      <w:pPr>
        <w:ind w:left="4232" w:hanging="1080"/>
      </w:pPr>
      <w:rPr>
        <w:rFonts w:hint="default"/>
      </w:rPr>
    </w:lvl>
    <w:lvl w:ilvl="7">
      <w:start w:val="1"/>
      <w:numFmt w:val="decimal"/>
      <w:lvlText w:val="%1.%2.%3.%4.%5.%6.%7.%8."/>
      <w:lvlJc w:val="left"/>
      <w:pPr>
        <w:ind w:left="4736" w:hanging="1224"/>
      </w:pPr>
      <w:rPr>
        <w:rFonts w:hint="default"/>
      </w:rPr>
    </w:lvl>
    <w:lvl w:ilvl="8">
      <w:start w:val="1"/>
      <w:numFmt w:val="decimal"/>
      <w:lvlText w:val="%1.%2.%3.%4.%5.%6.%7.%8.%9."/>
      <w:lvlJc w:val="left"/>
      <w:pPr>
        <w:ind w:left="5312" w:hanging="1440"/>
      </w:pPr>
      <w:rPr>
        <w:rFonts w:hint="default"/>
      </w:rPr>
    </w:lvl>
  </w:abstractNum>
  <w:abstractNum w:abstractNumId="10" w15:restartNumberingAfterBreak="0">
    <w:nsid w:val="61FF453D"/>
    <w:multiLevelType w:val="hybridMultilevel"/>
    <w:tmpl w:val="FCB43918"/>
    <w:lvl w:ilvl="0" w:tplc="D6B8EA62">
      <w:start w:val="1"/>
      <w:numFmt w:val="bullet"/>
      <w:lvlText w:val=""/>
      <w:lvlJc w:val="left"/>
      <w:pPr>
        <w:tabs>
          <w:tab w:val="num" w:pos="720"/>
        </w:tabs>
        <w:ind w:left="720" w:hanging="360"/>
      </w:pPr>
      <w:rPr>
        <w:rFonts w:ascii="Symbol" w:hAnsi="Symbol" w:hint="default"/>
      </w:rPr>
    </w:lvl>
    <w:lvl w:ilvl="1" w:tplc="4E78D134" w:tentative="1">
      <w:start w:val="1"/>
      <w:numFmt w:val="bullet"/>
      <w:lvlText w:val=""/>
      <w:lvlJc w:val="left"/>
      <w:pPr>
        <w:tabs>
          <w:tab w:val="num" w:pos="1440"/>
        </w:tabs>
        <w:ind w:left="1440" w:hanging="360"/>
      </w:pPr>
      <w:rPr>
        <w:rFonts w:ascii="Symbol" w:hAnsi="Symbol" w:hint="default"/>
      </w:rPr>
    </w:lvl>
    <w:lvl w:ilvl="2" w:tplc="4B5C94A2" w:tentative="1">
      <w:start w:val="1"/>
      <w:numFmt w:val="bullet"/>
      <w:lvlText w:val=""/>
      <w:lvlJc w:val="left"/>
      <w:pPr>
        <w:tabs>
          <w:tab w:val="num" w:pos="2160"/>
        </w:tabs>
        <w:ind w:left="2160" w:hanging="360"/>
      </w:pPr>
      <w:rPr>
        <w:rFonts w:ascii="Symbol" w:hAnsi="Symbol" w:hint="default"/>
      </w:rPr>
    </w:lvl>
    <w:lvl w:ilvl="3" w:tplc="AEB4D688" w:tentative="1">
      <w:start w:val="1"/>
      <w:numFmt w:val="bullet"/>
      <w:lvlText w:val=""/>
      <w:lvlJc w:val="left"/>
      <w:pPr>
        <w:tabs>
          <w:tab w:val="num" w:pos="2880"/>
        </w:tabs>
        <w:ind w:left="2880" w:hanging="360"/>
      </w:pPr>
      <w:rPr>
        <w:rFonts w:ascii="Symbol" w:hAnsi="Symbol" w:hint="default"/>
      </w:rPr>
    </w:lvl>
    <w:lvl w:ilvl="4" w:tplc="AEB4C004" w:tentative="1">
      <w:start w:val="1"/>
      <w:numFmt w:val="bullet"/>
      <w:lvlText w:val=""/>
      <w:lvlJc w:val="left"/>
      <w:pPr>
        <w:tabs>
          <w:tab w:val="num" w:pos="3600"/>
        </w:tabs>
        <w:ind w:left="3600" w:hanging="360"/>
      </w:pPr>
      <w:rPr>
        <w:rFonts w:ascii="Symbol" w:hAnsi="Symbol" w:hint="default"/>
      </w:rPr>
    </w:lvl>
    <w:lvl w:ilvl="5" w:tplc="03AAE504" w:tentative="1">
      <w:start w:val="1"/>
      <w:numFmt w:val="bullet"/>
      <w:lvlText w:val=""/>
      <w:lvlJc w:val="left"/>
      <w:pPr>
        <w:tabs>
          <w:tab w:val="num" w:pos="4320"/>
        </w:tabs>
        <w:ind w:left="4320" w:hanging="360"/>
      </w:pPr>
      <w:rPr>
        <w:rFonts w:ascii="Symbol" w:hAnsi="Symbol" w:hint="default"/>
      </w:rPr>
    </w:lvl>
    <w:lvl w:ilvl="6" w:tplc="6596C158" w:tentative="1">
      <w:start w:val="1"/>
      <w:numFmt w:val="bullet"/>
      <w:lvlText w:val=""/>
      <w:lvlJc w:val="left"/>
      <w:pPr>
        <w:tabs>
          <w:tab w:val="num" w:pos="5040"/>
        </w:tabs>
        <w:ind w:left="5040" w:hanging="360"/>
      </w:pPr>
      <w:rPr>
        <w:rFonts w:ascii="Symbol" w:hAnsi="Symbol" w:hint="default"/>
      </w:rPr>
    </w:lvl>
    <w:lvl w:ilvl="7" w:tplc="C47AF314" w:tentative="1">
      <w:start w:val="1"/>
      <w:numFmt w:val="bullet"/>
      <w:lvlText w:val=""/>
      <w:lvlJc w:val="left"/>
      <w:pPr>
        <w:tabs>
          <w:tab w:val="num" w:pos="5760"/>
        </w:tabs>
        <w:ind w:left="5760" w:hanging="360"/>
      </w:pPr>
      <w:rPr>
        <w:rFonts w:ascii="Symbol" w:hAnsi="Symbol" w:hint="default"/>
      </w:rPr>
    </w:lvl>
    <w:lvl w:ilvl="8" w:tplc="DC4CEE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003348"/>
    <w:multiLevelType w:val="hybridMultilevel"/>
    <w:tmpl w:val="1E6A2414"/>
    <w:lvl w:ilvl="0" w:tplc="5AC6D50E">
      <w:start w:val="1"/>
      <w:numFmt w:val="bullet"/>
      <w:lvlText w:val="•"/>
      <w:lvlJc w:val="left"/>
      <w:pPr>
        <w:tabs>
          <w:tab w:val="num" w:pos="720"/>
        </w:tabs>
        <w:ind w:left="720" w:hanging="360"/>
      </w:pPr>
      <w:rPr>
        <w:rFonts w:ascii="Arial" w:hAnsi="Arial" w:hint="default"/>
      </w:rPr>
    </w:lvl>
    <w:lvl w:ilvl="1" w:tplc="3704E6FE">
      <w:start w:val="1"/>
      <w:numFmt w:val="bullet"/>
      <w:lvlText w:val="•"/>
      <w:lvlJc w:val="left"/>
      <w:pPr>
        <w:tabs>
          <w:tab w:val="num" w:pos="1440"/>
        </w:tabs>
        <w:ind w:left="1440" w:hanging="360"/>
      </w:pPr>
      <w:rPr>
        <w:rFonts w:ascii="Arial" w:hAnsi="Arial" w:hint="default"/>
      </w:rPr>
    </w:lvl>
    <w:lvl w:ilvl="2" w:tplc="50B83472" w:tentative="1">
      <w:start w:val="1"/>
      <w:numFmt w:val="bullet"/>
      <w:lvlText w:val="•"/>
      <w:lvlJc w:val="left"/>
      <w:pPr>
        <w:tabs>
          <w:tab w:val="num" w:pos="2160"/>
        </w:tabs>
        <w:ind w:left="2160" w:hanging="360"/>
      </w:pPr>
      <w:rPr>
        <w:rFonts w:ascii="Arial" w:hAnsi="Arial" w:hint="default"/>
      </w:rPr>
    </w:lvl>
    <w:lvl w:ilvl="3" w:tplc="41D28C20" w:tentative="1">
      <w:start w:val="1"/>
      <w:numFmt w:val="bullet"/>
      <w:lvlText w:val="•"/>
      <w:lvlJc w:val="left"/>
      <w:pPr>
        <w:tabs>
          <w:tab w:val="num" w:pos="2880"/>
        </w:tabs>
        <w:ind w:left="2880" w:hanging="360"/>
      </w:pPr>
      <w:rPr>
        <w:rFonts w:ascii="Arial" w:hAnsi="Arial" w:hint="default"/>
      </w:rPr>
    </w:lvl>
    <w:lvl w:ilvl="4" w:tplc="3F809964" w:tentative="1">
      <w:start w:val="1"/>
      <w:numFmt w:val="bullet"/>
      <w:lvlText w:val="•"/>
      <w:lvlJc w:val="left"/>
      <w:pPr>
        <w:tabs>
          <w:tab w:val="num" w:pos="3600"/>
        </w:tabs>
        <w:ind w:left="3600" w:hanging="360"/>
      </w:pPr>
      <w:rPr>
        <w:rFonts w:ascii="Arial" w:hAnsi="Arial" w:hint="default"/>
      </w:rPr>
    </w:lvl>
    <w:lvl w:ilvl="5" w:tplc="061250D8" w:tentative="1">
      <w:start w:val="1"/>
      <w:numFmt w:val="bullet"/>
      <w:lvlText w:val="•"/>
      <w:lvlJc w:val="left"/>
      <w:pPr>
        <w:tabs>
          <w:tab w:val="num" w:pos="4320"/>
        </w:tabs>
        <w:ind w:left="4320" w:hanging="360"/>
      </w:pPr>
      <w:rPr>
        <w:rFonts w:ascii="Arial" w:hAnsi="Arial" w:hint="default"/>
      </w:rPr>
    </w:lvl>
    <w:lvl w:ilvl="6" w:tplc="E976E208" w:tentative="1">
      <w:start w:val="1"/>
      <w:numFmt w:val="bullet"/>
      <w:lvlText w:val="•"/>
      <w:lvlJc w:val="left"/>
      <w:pPr>
        <w:tabs>
          <w:tab w:val="num" w:pos="5040"/>
        </w:tabs>
        <w:ind w:left="5040" w:hanging="360"/>
      </w:pPr>
      <w:rPr>
        <w:rFonts w:ascii="Arial" w:hAnsi="Arial" w:hint="default"/>
      </w:rPr>
    </w:lvl>
    <w:lvl w:ilvl="7" w:tplc="E46EDC90" w:tentative="1">
      <w:start w:val="1"/>
      <w:numFmt w:val="bullet"/>
      <w:lvlText w:val="•"/>
      <w:lvlJc w:val="left"/>
      <w:pPr>
        <w:tabs>
          <w:tab w:val="num" w:pos="5760"/>
        </w:tabs>
        <w:ind w:left="5760" w:hanging="360"/>
      </w:pPr>
      <w:rPr>
        <w:rFonts w:ascii="Arial" w:hAnsi="Arial" w:hint="default"/>
      </w:rPr>
    </w:lvl>
    <w:lvl w:ilvl="8" w:tplc="29EC8F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D069A7"/>
    <w:multiLevelType w:val="multilevel"/>
    <w:tmpl w:val="E7B479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FF8488E"/>
    <w:multiLevelType w:val="hybridMultilevel"/>
    <w:tmpl w:val="AFCEFE7C"/>
    <w:lvl w:ilvl="0" w:tplc="2E9A3476">
      <w:start w:val="1"/>
      <w:numFmt w:val="bullet"/>
      <w:lvlText w:val="●"/>
      <w:lvlJc w:val="left"/>
      <w:pPr>
        <w:ind w:left="720" w:hanging="360"/>
      </w:pPr>
      <w:rPr>
        <w:rFonts w:ascii="Arial" w:hAnsi="Arial" w:hint="default"/>
        <w:color w:val="374E7A"/>
        <w:sz w:val="24"/>
      </w:rPr>
    </w:lvl>
    <w:lvl w:ilvl="1" w:tplc="A296C122">
      <w:start w:val="1"/>
      <w:numFmt w:val="bullet"/>
      <w:lvlText w:val="○"/>
      <w:lvlJc w:val="left"/>
      <w:pPr>
        <w:ind w:left="1440" w:hanging="360"/>
      </w:pPr>
      <w:rPr>
        <w:rFonts w:ascii="Arial" w:hAnsi="Arial" w:hint="default"/>
        <w:b/>
        <w:i w:val="0"/>
        <w:color w:val="374E7A"/>
        <w:sz w:val="24"/>
        <w:u w:color="FFFFFF" w:themeColor="background1"/>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B83BA8"/>
    <w:multiLevelType w:val="hybridMultilevel"/>
    <w:tmpl w:val="E8F8189C"/>
    <w:lvl w:ilvl="0" w:tplc="D8D60582">
      <w:start w:val="1"/>
      <w:numFmt w:val="bullet"/>
      <w:pStyle w:val="Bulleted"/>
      <w:lvlText w:val="●"/>
      <w:lvlJc w:val="left"/>
      <w:pPr>
        <w:ind w:left="720" w:hanging="360"/>
      </w:pPr>
      <w:rPr>
        <w:rFonts w:ascii="Arial" w:hAnsi="Arial" w:hint="default"/>
        <w:color w:val="28395A" w:themeColor="accent1" w:themeShade="BF"/>
        <w:sz w:val="20"/>
      </w:rPr>
    </w:lvl>
    <w:lvl w:ilvl="1" w:tplc="72D031BC">
      <w:start w:val="1"/>
      <w:numFmt w:val="bullet"/>
      <w:pStyle w:val="Second-levelbullets"/>
      <w:lvlText w:val="○"/>
      <w:lvlJc w:val="left"/>
      <w:pPr>
        <w:ind w:left="1440" w:hanging="360"/>
      </w:pPr>
      <w:rPr>
        <w:rFonts w:ascii="Calibri" w:hAnsi="Calibri" w:cs="Calibri" w:hint="default"/>
        <w:b/>
        <w:i w:val="0"/>
        <w:color w:val="374E7A"/>
        <w:sz w:val="20"/>
        <w:szCs w:val="20"/>
        <w:u w:color="FFFFFF" w:themeColor="background1"/>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63124B"/>
    <w:multiLevelType w:val="multilevel"/>
    <w:tmpl w:val="A97CA7DE"/>
    <w:lvl w:ilvl="0">
      <w:start w:val="1"/>
      <w:numFmt w:val="decimal"/>
      <w:pStyle w:val="Numbered"/>
      <w:lvlText w:val="%1)"/>
      <w:lvlJc w:val="left"/>
      <w:pPr>
        <w:ind w:left="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1E6AA8"/>
    <w:multiLevelType w:val="hybridMultilevel"/>
    <w:tmpl w:val="F1108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82350587">
    <w:abstractNumId w:val="15"/>
  </w:num>
  <w:num w:numId="2" w16cid:durableId="2031296692">
    <w:abstractNumId w:val="3"/>
  </w:num>
  <w:num w:numId="3" w16cid:durableId="348533410">
    <w:abstractNumId w:val="14"/>
  </w:num>
  <w:num w:numId="4" w16cid:durableId="295719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844046">
    <w:abstractNumId w:val="0"/>
  </w:num>
  <w:num w:numId="6" w16cid:durableId="1099369867">
    <w:abstractNumId w:val="16"/>
  </w:num>
  <w:num w:numId="7" w16cid:durableId="2060664367">
    <w:abstractNumId w:val="4"/>
  </w:num>
  <w:num w:numId="8" w16cid:durableId="1063023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254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7999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3634985">
    <w:abstractNumId w:val="10"/>
  </w:num>
  <w:num w:numId="12" w16cid:durableId="1064645890">
    <w:abstractNumId w:val="5"/>
  </w:num>
  <w:num w:numId="13" w16cid:durableId="1665008859">
    <w:abstractNumId w:val="8"/>
  </w:num>
  <w:num w:numId="14" w16cid:durableId="1352995885">
    <w:abstractNumId w:val="12"/>
  </w:num>
  <w:num w:numId="15" w16cid:durableId="1827239778">
    <w:abstractNumId w:val="6"/>
  </w:num>
  <w:num w:numId="16" w16cid:durableId="1844860356">
    <w:abstractNumId w:val="2"/>
  </w:num>
  <w:num w:numId="17" w16cid:durableId="2117828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5714202">
    <w:abstractNumId w:val="11"/>
  </w:num>
  <w:num w:numId="19" w16cid:durableId="1133061121">
    <w:abstractNumId w:val="1"/>
  </w:num>
  <w:num w:numId="20" w16cid:durableId="19121082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8472435">
    <w:abstractNumId w:val="13"/>
  </w:num>
  <w:num w:numId="22" w16cid:durableId="1956449670">
    <w:abstractNumId w:val="7"/>
  </w:num>
  <w:num w:numId="23" w16cid:durableId="876048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9332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9211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5471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8893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1119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7205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5436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1518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1C"/>
    <w:rsid w:val="00000236"/>
    <w:rsid w:val="00000397"/>
    <w:rsid w:val="000008BA"/>
    <w:rsid w:val="00000CD9"/>
    <w:rsid w:val="00001025"/>
    <w:rsid w:val="00001314"/>
    <w:rsid w:val="00001417"/>
    <w:rsid w:val="00001D46"/>
    <w:rsid w:val="00002736"/>
    <w:rsid w:val="000030A3"/>
    <w:rsid w:val="00003338"/>
    <w:rsid w:val="000033F2"/>
    <w:rsid w:val="0000344D"/>
    <w:rsid w:val="00004B8E"/>
    <w:rsid w:val="00004D4D"/>
    <w:rsid w:val="00004E41"/>
    <w:rsid w:val="00004E88"/>
    <w:rsid w:val="00004F1E"/>
    <w:rsid w:val="0000518D"/>
    <w:rsid w:val="00005B9E"/>
    <w:rsid w:val="000061A1"/>
    <w:rsid w:val="00006AB3"/>
    <w:rsid w:val="00006B21"/>
    <w:rsid w:val="000073BD"/>
    <w:rsid w:val="000074DF"/>
    <w:rsid w:val="00007878"/>
    <w:rsid w:val="00007B86"/>
    <w:rsid w:val="00010873"/>
    <w:rsid w:val="00010884"/>
    <w:rsid w:val="00010C6E"/>
    <w:rsid w:val="00011A0D"/>
    <w:rsid w:val="00011CE5"/>
    <w:rsid w:val="00011DCC"/>
    <w:rsid w:val="00012D43"/>
    <w:rsid w:val="000135CF"/>
    <w:rsid w:val="00013994"/>
    <w:rsid w:val="00013D56"/>
    <w:rsid w:val="0001449F"/>
    <w:rsid w:val="00014AE4"/>
    <w:rsid w:val="00015D71"/>
    <w:rsid w:val="00016293"/>
    <w:rsid w:val="00016862"/>
    <w:rsid w:val="00017033"/>
    <w:rsid w:val="00020278"/>
    <w:rsid w:val="000202D2"/>
    <w:rsid w:val="000203E8"/>
    <w:rsid w:val="00020AFF"/>
    <w:rsid w:val="00021C1A"/>
    <w:rsid w:val="00022286"/>
    <w:rsid w:val="00022A7B"/>
    <w:rsid w:val="0002393E"/>
    <w:rsid w:val="00023D1A"/>
    <w:rsid w:val="0002433F"/>
    <w:rsid w:val="00024A23"/>
    <w:rsid w:val="00024E66"/>
    <w:rsid w:val="000251BD"/>
    <w:rsid w:val="0002523F"/>
    <w:rsid w:val="00025559"/>
    <w:rsid w:val="0002614C"/>
    <w:rsid w:val="0002690C"/>
    <w:rsid w:val="00026F83"/>
    <w:rsid w:val="00027352"/>
    <w:rsid w:val="00027851"/>
    <w:rsid w:val="0002793A"/>
    <w:rsid w:val="00027F34"/>
    <w:rsid w:val="0003004D"/>
    <w:rsid w:val="000303FB"/>
    <w:rsid w:val="000306C5"/>
    <w:rsid w:val="00030D2D"/>
    <w:rsid w:val="000314FA"/>
    <w:rsid w:val="000318E7"/>
    <w:rsid w:val="00032121"/>
    <w:rsid w:val="00032325"/>
    <w:rsid w:val="000330F2"/>
    <w:rsid w:val="000339F9"/>
    <w:rsid w:val="00033AD7"/>
    <w:rsid w:val="00033E44"/>
    <w:rsid w:val="0003403C"/>
    <w:rsid w:val="00034321"/>
    <w:rsid w:val="000344B3"/>
    <w:rsid w:val="000345C8"/>
    <w:rsid w:val="00034D46"/>
    <w:rsid w:val="00034E55"/>
    <w:rsid w:val="00034E65"/>
    <w:rsid w:val="000356B7"/>
    <w:rsid w:val="00035C3A"/>
    <w:rsid w:val="00036EF0"/>
    <w:rsid w:val="00036F09"/>
    <w:rsid w:val="0003732D"/>
    <w:rsid w:val="00037886"/>
    <w:rsid w:val="00037A2D"/>
    <w:rsid w:val="00037AD1"/>
    <w:rsid w:val="00037FA1"/>
    <w:rsid w:val="000400CD"/>
    <w:rsid w:val="000401C3"/>
    <w:rsid w:val="00040241"/>
    <w:rsid w:val="000402C6"/>
    <w:rsid w:val="00040B19"/>
    <w:rsid w:val="00040F24"/>
    <w:rsid w:val="000414B8"/>
    <w:rsid w:val="00041799"/>
    <w:rsid w:val="0004224F"/>
    <w:rsid w:val="00042770"/>
    <w:rsid w:val="00042DAF"/>
    <w:rsid w:val="00043187"/>
    <w:rsid w:val="00043930"/>
    <w:rsid w:val="00043B15"/>
    <w:rsid w:val="0004460E"/>
    <w:rsid w:val="0004480D"/>
    <w:rsid w:val="00044952"/>
    <w:rsid w:val="00044DE0"/>
    <w:rsid w:val="000458E2"/>
    <w:rsid w:val="00045986"/>
    <w:rsid w:val="00046903"/>
    <w:rsid w:val="00046BA2"/>
    <w:rsid w:val="00047033"/>
    <w:rsid w:val="0004730A"/>
    <w:rsid w:val="00047CEA"/>
    <w:rsid w:val="00047F1A"/>
    <w:rsid w:val="00050171"/>
    <w:rsid w:val="00050267"/>
    <w:rsid w:val="000507BA"/>
    <w:rsid w:val="00050E7A"/>
    <w:rsid w:val="00051258"/>
    <w:rsid w:val="000513A1"/>
    <w:rsid w:val="00051B05"/>
    <w:rsid w:val="00051D7F"/>
    <w:rsid w:val="0005303E"/>
    <w:rsid w:val="00053060"/>
    <w:rsid w:val="000538C8"/>
    <w:rsid w:val="00054162"/>
    <w:rsid w:val="000542A8"/>
    <w:rsid w:val="00054300"/>
    <w:rsid w:val="00054D39"/>
    <w:rsid w:val="000552E0"/>
    <w:rsid w:val="00055B8A"/>
    <w:rsid w:val="000560C9"/>
    <w:rsid w:val="00056B2A"/>
    <w:rsid w:val="00057495"/>
    <w:rsid w:val="00057507"/>
    <w:rsid w:val="00057687"/>
    <w:rsid w:val="0005776E"/>
    <w:rsid w:val="00060781"/>
    <w:rsid w:val="000609B3"/>
    <w:rsid w:val="00060F08"/>
    <w:rsid w:val="00061112"/>
    <w:rsid w:val="00061AD9"/>
    <w:rsid w:val="00062483"/>
    <w:rsid w:val="00062A83"/>
    <w:rsid w:val="00062EA4"/>
    <w:rsid w:val="00062EE7"/>
    <w:rsid w:val="00062F81"/>
    <w:rsid w:val="000632DB"/>
    <w:rsid w:val="00064843"/>
    <w:rsid w:val="000649E9"/>
    <w:rsid w:val="00064D8E"/>
    <w:rsid w:val="00065142"/>
    <w:rsid w:val="000669FF"/>
    <w:rsid w:val="000703C4"/>
    <w:rsid w:val="0007070A"/>
    <w:rsid w:val="00070872"/>
    <w:rsid w:val="000709AA"/>
    <w:rsid w:val="00070A5B"/>
    <w:rsid w:val="00070E4E"/>
    <w:rsid w:val="0007124D"/>
    <w:rsid w:val="0007188D"/>
    <w:rsid w:val="00071B1D"/>
    <w:rsid w:val="00071B5C"/>
    <w:rsid w:val="00072269"/>
    <w:rsid w:val="00072722"/>
    <w:rsid w:val="0007272B"/>
    <w:rsid w:val="00072E7D"/>
    <w:rsid w:val="00072F0B"/>
    <w:rsid w:val="000733FA"/>
    <w:rsid w:val="0007373F"/>
    <w:rsid w:val="000737FA"/>
    <w:rsid w:val="00074803"/>
    <w:rsid w:val="00074CE8"/>
    <w:rsid w:val="00074F95"/>
    <w:rsid w:val="000751A6"/>
    <w:rsid w:val="000752D5"/>
    <w:rsid w:val="000757FA"/>
    <w:rsid w:val="00075E59"/>
    <w:rsid w:val="000763FE"/>
    <w:rsid w:val="00076875"/>
    <w:rsid w:val="00076A9D"/>
    <w:rsid w:val="000770DB"/>
    <w:rsid w:val="0007734D"/>
    <w:rsid w:val="00077760"/>
    <w:rsid w:val="0007777F"/>
    <w:rsid w:val="00077B17"/>
    <w:rsid w:val="00077F4B"/>
    <w:rsid w:val="00080B24"/>
    <w:rsid w:val="00080DA6"/>
    <w:rsid w:val="00080DD7"/>
    <w:rsid w:val="0008106A"/>
    <w:rsid w:val="00081339"/>
    <w:rsid w:val="0008193F"/>
    <w:rsid w:val="00081B82"/>
    <w:rsid w:val="00081D25"/>
    <w:rsid w:val="000824D8"/>
    <w:rsid w:val="000827E0"/>
    <w:rsid w:val="00082FE7"/>
    <w:rsid w:val="00083453"/>
    <w:rsid w:val="000836FD"/>
    <w:rsid w:val="00084348"/>
    <w:rsid w:val="000854F9"/>
    <w:rsid w:val="000876C1"/>
    <w:rsid w:val="00087954"/>
    <w:rsid w:val="00087E34"/>
    <w:rsid w:val="000900BA"/>
    <w:rsid w:val="000903AD"/>
    <w:rsid w:val="00090B9A"/>
    <w:rsid w:val="000911AB"/>
    <w:rsid w:val="00091330"/>
    <w:rsid w:val="000915A5"/>
    <w:rsid w:val="0009169C"/>
    <w:rsid w:val="000928DA"/>
    <w:rsid w:val="00092A7F"/>
    <w:rsid w:val="00092B31"/>
    <w:rsid w:val="00092B5C"/>
    <w:rsid w:val="00094392"/>
    <w:rsid w:val="00094896"/>
    <w:rsid w:val="000948F6"/>
    <w:rsid w:val="00094C00"/>
    <w:rsid w:val="00094D21"/>
    <w:rsid w:val="000956CE"/>
    <w:rsid w:val="00095BCE"/>
    <w:rsid w:val="00096BC9"/>
    <w:rsid w:val="000A0212"/>
    <w:rsid w:val="000A066C"/>
    <w:rsid w:val="000A0766"/>
    <w:rsid w:val="000A0E58"/>
    <w:rsid w:val="000A14A0"/>
    <w:rsid w:val="000A250E"/>
    <w:rsid w:val="000A2637"/>
    <w:rsid w:val="000A2EB8"/>
    <w:rsid w:val="000A36C8"/>
    <w:rsid w:val="000A37C3"/>
    <w:rsid w:val="000A386E"/>
    <w:rsid w:val="000A437A"/>
    <w:rsid w:val="000A44CD"/>
    <w:rsid w:val="000A4873"/>
    <w:rsid w:val="000A4912"/>
    <w:rsid w:val="000A5CF0"/>
    <w:rsid w:val="000A6F00"/>
    <w:rsid w:val="000A728D"/>
    <w:rsid w:val="000A75FA"/>
    <w:rsid w:val="000B09C7"/>
    <w:rsid w:val="000B0A7D"/>
    <w:rsid w:val="000B0D6A"/>
    <w:rsid w:val="000B0FAE"/>
    <w:rsid w:val="000B176E"/>
    <w:rsid w:val="000B1E6C"/>
    <w:rsid w:val="000B30BD"/>
    <w:rsid w:val="000B3AE0"/>
    <w:rsid w:val="000B506F"/>
    <w:rsid w:val="000B52A7"/>
    <w:rsid w:val="000B5346"/>
    <w:rsid w:val="000B53B9"/>
    <w:rsid w:val="000B5490"/>
    <w:rsid w:val="000B5495"/>
    <w:rsid w:val="000B5D2E"/>
    <w:rsid w:val="000B6155"/>
    <w:rsid w:val="000B6356"/>
    <w:rsid w:val="000B6450"/>
    <w:rsid w:val="000B6607"/>
    <w:rsid w:val="000B67B8"/>
    <w:rsid w:val="000B7020"/>
    <w:rsid w:val="000B772F"/>
    <w:rsid w:val="000B7BD2"/>
    <w:rsid w:val="000B7CB6"/>
    <w:rsid w:val="000B7DDB"/>
    <w:rsid w:val="000C0AAF"/>
    <w:rsid w:val="000C0C4E"/>
    <w:rsid w:val="000C1B16"/>
    <w:rsid w:val="000C1EF6"/>
    <w:rsid w:val="000C1F3B"/>
    <w:rsid w:val="000C20EC"/>
    <w:rsid w:val="000C223E"/>
    <w:rsid w:val="000C2C0B"/>
    <w:rsid w:val="000C31A8"/>
    <w:rsid w:val="000C3712"/>
    <w:rsid w:val="000C4065"/>
    <w:rsid w:val="000C43D9"/>
    <w:rsid w:val="000C4488"/>
    <w:rsid w:val="000C4A6F"/>
    <w:rsid w:val="000C4AE5"/>
    <w:rsid w:val="000C4E0C"/>
    <w:rsid w:val="000C5CCF"/>
    <w:rsid w:val="000C6922"/>
    <w:rsid w:val="000C71FA"/>
    <w:rsid w:val="000C73DF"/>
    <w:rsid w:val="000C7AC3"/>
    <w:rsid w:val="000D0640"/>
    <w:rsid w:val="000D074D"/>
    <w:rsid w:val="000D07FA"/>
    <w:rsid w:val="000D1100"/>
    <w:rsid w:val="000D1438"/>
    <w:rsid w:val="000D15D2"/>
    <w:rsid w:val="000D15DF"/>
    <w:rsid w:val="000D1CC1"/>
    <w:rsid w:val="000D209D"/>
    <w:rsid w:val="000D2808"/>
    <w:rsid w:val="000D2F0A"/>
    <w:rsid w:val="000D3305"/>
    <w:rsid w:val="000D3B5A"/>
    <w:rsid w:val="000D468C"/>
    <w:rsid w:val="000D492A"/>
    <w:rsid w:val="000D4959"/>
    <w:rsid w:val="000D4A44"/>
    <w:rsid w:val="000D4A9A"/>
    <w:rsid w:val="000D4B05"/>
    <w:rsid w:val="000D4BB9"/>
    <w:rsid w:val="000D526F"/>
    <w:rsid w:val="000D5277"/>
    <w:rsid w:val="000D587C"/>
    <w:rsid w:val="000D6323"/>
    <w:rsid w:val="000D63F8"/>
    <w:rsid w:val="000D6447"/>
    <w:rsid w:val="000D6670"/>
    <w:rsid w:val="000D69B6"/>
    <w:rsid w:val="000D6BCC"/>
    <w:rsid w:val="000D76A1"/>
    <w:rsid w:val="000E062D"/>
    <w:rsid w:val="000E0658"/>
    <w:rsid w:val="000E07A0"/>
    <w:rsid w:val="000E0A1D"/>
    <w:rsid w:val="000E0E3E"/>
    <w:rsid w:val="000E13F4"/>
    <w:rsid w:val="000E13F9"/>
    <w:rsid w:val="000E1D8E"/>
    <w:rsid w:val="000E2A14"/>
    <w:rsid w:val="000E2F6A"/>
    <w:rsid w:val="000E343D"/>
    <w:rsid w:val="000E384C"/>
    <w:rsid w:val="000E3902"/>
    <w:rsid w:val="000E3968"/>
    <w:rsid w:val="000E3AE9"/>
    <w:rsid w:val="000E3D3A"/>
    <w:rsid w:val="000E417E"/>
    <w:rsid w:val="000E45DF"/>
    <w:rsid w:val="000E4848"/>
    <w:rsid w:val="000E4CE2"/>
    <w:rsid w:val="000E6D66"/>
    <w:rsid w:val="000E73B9"/>
    <w:rsid w:val="000E75E3"/>
    <w:rsid w:val="000E76AC"/>
    <w:rsid w:val="000E7955"/>
    <w:rsid w:val="000E7DCE"/>
    <w:rsid w:val="000F081B"/>
    <w:rsid w:val="000F0A99"/>
    <w:rsid w:val="000F0C3D"/>
    <w:rsid w:val="000F102A"/>
    <w:rsid w:val="000F1BC6"/>
    <w:rsid w:val="000F2252"/>
    <w:rsid w:val="000F265B"/>
    <w:rsid w:val="000F26D4"/>
    <w:rsid w:val="000F29C6"/>
    <w:rsid w:val="000F2CFA"/>
    <w:rsid w:val="000F4705"/>
    <w:rsid w:val="000F4A11"/>
    <w:rsid w:val="000F55E6"/>
    <w:rsid w:val="000F569C"/>
    <w:rsid w:val="000F5849"/>
    <w:rsid w:val="000F5A40"/>
    <w:rsid w:val="000F5FAF"/>
    <w:rsid w:val="000F60C4"/>
    <w:rsid w:val="000F6591"/>
    <w:rsid w:val="000F685E"/>
    <w:rsid w:val="000F6920"/>
    <w:rsid w:val="000F6FF1"/>
    <w:rsid w:val="000F7A55"/>
    <w:rsid w:val="000F7A6B"/>
    <w:rsid w:val="000F7AF9"/>
    <w:rsid w:val="000F7CE5"/>
    <w:rsid w:val="00100000"/>
    <w:rsid w:val="001006A0"/>
    <w:rsid w:val="001008E3"/>
    <w:rsid w:val="00100AA0"/>
    <w:rsid w:val="00100B43"/>
    <w:rsid w:val="0010134F"/>
    <w:rsid w:val="0010160C"/>
    <w:rsid w:val="00101AE3"/>
    <w:rsid w:val="00102873"/>
    <w:rsid w:val="00103966"/>
    <w:rsid w:val="00103A6C"/>
    <w:rsid w:val="0010412B"/>
    <w:rsid w:val="00104ADA"/>
    <w:rsid w:val="00104B17"/>
    <w:rsid w:val="00105556"/>
    <w:rsid w:val="00105E5C"/>
    <w:rsid w:val="00105EFD"/>
    <w:rsid w:val="001062EB"/>
    <w:rsid w:val="001063AE"/>
    <w:rsid w:val="001063DC"/>
    <w:rsid w:val="0010646E"/>
    <w:rsid w:val="00106D58"/>
    <w:rsid w:val="001074BA"/>
    <w:rsid w:val="001077F2"/>
    <w:rsid w:val="0011115B"/>
    <w:rsid w:val="00111B1F"/>
    <w:rsid w:val="001120E8"/>
    <w:rsid w:val="0011229A"/>
    <w:rsid w:val="001127A8"/>
    <w:rsid w:val="001128AE"/>
    <w:rsid w:val="00112D6D"/>
    <w:rsid w:val="00112F04"/>
    <w:rsid w:val="00113282"/>
    <w:rsid w:val="001135AE"/>
    <w:rsid w:val="00113921"/>
    <w:rsid w:val="00113D00"/>
    <w:rsid w:val="0011432B"/>
    <w:rsid w:val="001155B5"/>
    <w:rsid w:val="00115DF6"/>
    <w:rsid w:val="00115EFD"/>
    <w:rsid w:val="0011673D"/>
    <w:rsid w:val="00116B30"/>
    <w:rsid w:val="00117148"/>
    <w:rsid w:val="00117733"/>
    <w:rsid w:val="0011774C"/>
    <w:rsid w:val="0012012A"/>
    <w:rsid w:val="00120233"/>
    <w:rsid w:val="001202CE"/>
    <w:rsid w:val="0012095D"/>
    <w:rsid w:val="00120F46"/>
    <w:rsid w:val="00120F8A"/>
    <w:rsid w:val="001210B0"/>
    <w:rsid w:val="001214DB"/>
    <w:rsid w:val="00121C96"/>
    <w:rsid w:val="00122017"/>
    <w:rsid w:val="001222AD"/>
    <w:rsid w:val="00122B2C"/>
    <w:rsid w:val="001234B3"/>
    <w:rsid w:val="0012359B"/>
    <w:rsid w:val="001239B4"/>
    <w:rsid w:val="00124133"/>
    <w:rsid w:val="00124993"/>
    <w:rsid w:val="0012534C"/>
    <w:rsid w:val="0012545E"/>
    <w:rsid w:val="001258FE"/>
    <w:rsid w:val="001259E3"/>
    <w:rsid w:val="00125D0A"/>
    <w:rsid w:val="00125EE6"/>
    <w:rsid w:val="00125FCC"/>
    <w:rsid w:val="001264AA"/>
    <w:rsid w:val="001268B0"/>
    <w:rsid w:val="001269C4"/>
    <w:rsid w:val="00126EF9"/>
    <w:rsid w:val="0012737E"/>
    <w:rsid w:val="00127CAE"/>
    <w:rsid w:val="00130423"/>
    <w:rsid w:val="0013167A"/>
    <w:rsid w:val="00131807"/>
    <w:rsid w:val="00131886"/>
    <w:rsid w:val="00131BBC"/>
    <w:rsid w:val="00131C70"/>
    <w:rsid w:val="00131D72"/>
    <w:rsid w:val="00131E86"/>
    <w:rsid w:val="00132648"/>
    <w:rsid w:val="00132D48"/>
    <w:rsid w:val="00132EC9"/>
    <w:rsid w:val="00132F66"/>
    <w:rsid w:val="00133B76"/>
    <w:rsid w:val="00134050"/>
    <w:rsid w:val="001342F5"/>
    <w:rsid w:val="001349E9"/>
    <w:rsid w:val="00134B38"/>
    <w:rsid w:val="001354AF"/>
    <w:rsid w:val="001354DC"/>
    <w:rsid w:val="0013572B"/>
    <w:rsid w:val="0013629E"/>
    <w:rsid w:val="00136CE7"/>
    <w:rsid w:val="00137A32"/>
    <w:rsid w:val="00137BBC"/>
    <w:rsid w:val="00137CE2"/>
    <w:rsid w:val="001400B0"/>
    <w:rsid w:val="0014063A"/>
    <w:rsid w:val="00140C3A"/>
    <w:rsid w:val="00141E64"/>
    <w:rsid w:val="00142221"/>
    <w:rsid w:val="00142289"/>
    <w:rsid w:val="00142C41"/>
    <w:rsid w:val="00142CD9"/>
    <w:rsid w:val="00143745"/>
    <w:rsid w:val="00143CB2"/>
    <w:rsid w:val="001442AF"/>
    <w:rsid w:val="001448E4"/>
    <w:rsid w:val="001449E4"/>
    <w:rsid w:val="00144FE5"/>
    <w:rsid w:val="00145684"/>
    <w:rsid w:val="00146163"/>
    <w:rsid w:val="001463B5"/>
    <w:rsid w:val="0014646A"/>
    <w:rsid w:val="0014681F"/>
    <w:rsid w:val="0014689B"/>
    <w:rsid w:val="001473CE"/>
    <w:rsid w:val="001473F2"/>
    <w:rsid w:val="0014757A"/>
    <w:rsid w:val="001475B9"/>
    <w:rsid w:val="00147C72"/>
    <w:rsid w:val="0015048A"/>
    <w:rsid w:val="001505FE"/>
    <w:rsid w:val="00150694"/>
    <w:rsid w:val="00150704"/>
    <w:rsid w:val="00150ADA"/>
    <w:rsid w:val="00150CA9"/>
    <w:rsid w:val="00151196"/>
    <w:rsid w:val="0015257A"/>
    <w:rsid w:val="00152841"/>
    <w:rsid w:val="001534F9"/>
    <w:rsid w:val="00153501"/>
    <w:rsid w:val="00153A52"/>
    <w:rsid w:val="00153EBE"/>
    <w:rsid w:val="00154176"/>
    <w:rsid w:val="001542E9"/>
    <w:rsid w:val="001552CF"/>
    <w:rsid w:val="00155632"/>
    <w:rsid w:val="0015570D"/>
    <w:rsid w:val="0015588B"/>
    <w:rsid w:val="001559CE"/>
    <w:rsid w:val="001561FF"/>
    <w:rsid w:val="00156272"/>
    <w:rsid w:val="001565EC"/>
    <w:rsid w:val="0015689F"/>
    <w:rsid w:val="001569C9"/>
    <w:rsid w:val="001570FE"/>
    <w:rsid w:val="001575A2"/>
    <w:rsid w:val="00157642"/>
    <w:rsid w:val="00157D48"/>
    <w:rsid w:val="00157EAE"/>
    <w:rsid w:val="00157F09"/>
    <w:rsid w:val="0016027D"/>
    <w:rsid w:val="001605F9"/>
    <w:rsid w:val="0016065D"/>
    <w:rsid w:val="00160FA5"/>
    <w:rsid w:val="00161C40"/>
    <w:rsid w:val="001629FA"/>
    <w:rsid w:val="00162DB5"/>
    <w:rsid w:val="001631AB"/>
    <w:rsid w:val="001638EA"/>
    <w:rsid w:val="001644C6"/>
    <w:rsid w:val="00164504"/>
    <w:rsid w:val="00164517"/>
    <w:rsid w:val="00164534"/>
    <w:rsid w:val="00164747"/>
    <w:rsid w:val="001647E4"/>
    <w:rsid w:val="001650BD"/>
    <w:rsid w:val="001651F6"/>
    <w:rsid w:val="00165E70"/>
    <w:rsid w:val="001664AA"/>
    <w:rsid w:val="001664B8"/>
    <w:rsid w:val="0016658E"/>
    <w:rsid w:val="00166619"/>
    <w:rsid w:val="00166B18"/>
    <w:rsid w:val="00166F19"/>
    <w:rsid w:val="001671B0"/>
    <w:rsid w:val="001679D3"/>
    <w:rsid w:val="00167C40"/>
    <w:rsid w:val="00170448"/>
    <w:rsid w:val="00170572"/>
    <w:rsid w:val="001705E8"/>
    <w:rsid w:val="00170BDA"/>
    <w:rsid w:val="001712C0"/>
    <w:rsid w:val="001715F3"/>
    <w:rsid w:val="0017177B"/>
    <w:rsid w:val="001718A9"/>
    <w:rsid w:val="00171FFD"/>
    <w:rsid w:val="0017272F"/>
    <w:rsid w:val="001729F8"/>
    <w:rsid w:val="00172D10"/>
    <w:rsid w:val="001730C5"/>
    <w:rsid w:val="00173E9B"/>
    <w:rsid w:val="00174081"/>
    <w:rsid w:val="00174299"/>
    <w:rsid w:val="00174483"/>
    <w:rsid w:val="00174DAA"/>
    <w:rsid w:val="001750BC"/>
    <w:rsid w:val="001755CF"/>
    <w:rsid w:val="00175688"/>
    <w:rsid w:val="00175871"/>
    <w:rsid w:val="001759AE"/>
    <w:rsid w:val="00175AC5"/>
    <w:rsid w:val="0017642B"/>
    <w:rsid w:val="0017672A"/>
    <w:rsid w:val="00176EEC"/>
    <w:rsid w:val="00177625"/>
    <w:rsid w:val="001776C9"/>
    <w:rsid w:val="00177A95"/>
    <w:rsid w:val="00180575"/>
    <w:rsid w:val="00180F30"/>
    <w:rsid w:val="0018129E"/>
    <w:rsid w:val="00181577"/>
    <w:rsid w:val="0018162B"/>
    <w:rsid w:val="001828C2"/>
    <w:rsid w:val="00182B7C"/>
    <w:rsid w:val="00182CEA"/>
    <w:rsid w:val="001838EA"/>
    <w:rsid w:val="00183BB2"/>
    <w:rsid w:val="00183DD0"/>
    <w:rsid w:val="00184646"/>
    <w:rsid w:val="00184664"/>
    <w:rsid w:val="00184752"/>
    <w:rsid w:val="00184793"/>
    <w:rsid w:val="00184FE7"/>
    <w:rsid w:val="0018727A"/>
    <w:rsid w:val="001875CC"/>
    <w:rsid w:val="00190883"/>
    <w:rsid w:val="00190E80"/>
    <w:rsid w:val="00191541"/>
    <w:rsid w:val="001915E5"/>
    <w:rsid w:val="001919BE"/>
    <w:rsid w:val="00191E7C"/>
    <w:rsid w:val="00191EBF"/>
    <w:rsid w:val="001923CE"/>
    <w:rsid w:val="00192415"/>
    <w:rsid w:val="0019266E"/>
    <w:rsid w:val="00192B7E"/>
    <w:rsid w:val="00192D5A"/>
    <w:rsid w:val="00192F5B"/>
    <w:rsid w:val="001933F8"/>
    <w:rsid w:val="00193533"/>
    <w:rsid w:val="0019395A"/>
    <w:rsid w:val="00194A6C"/>
    <w:rsid w:val="00194E51"/>
    <w:rsid w:val="001954AC"/>
    <w:rsid w:val="001956AB"/>
    <w:rsid w:val="001967A0"/>
    <w:rsid w:val="001967FC"/>
    <w:rsid w:val="00196E0E"/>
    <w:rsid w:val="001971C8"/>
    <w:rsid w:val="00197354"/>
    <w:rsid w:val="0019743C"/>
    <w:rsid w:val="001976A0"/>
    <w:rsid w:val="001A09DB"/>
    <w:rsid w:val="001A0BA5"/>
    <w:rsid w:val="001A0E23"/>
    <w:rsid w:val="001A0F3B"/>
    <w:rsid w:val="001A12A3"/>
    <w:rsid w:val="001A1F32"/>
    <w:rsid w:val="001A33B5"/>
    <w:rsid w:val="001A3936"/>
    <w:rsid w:val="001A3957"/>
    <w:rsid w:val="001A396E"/>
    <w:rsid w:val="001A3D32"/>
    <w:rsid w:val="001A41D2"/>
    <w:rsid w:val="001A439D"/>
    <w:rsid w:val="001A4B3F"/>
    <w:rsid w:val="001A4BA3"/>
    <w:rsid w:val="001A4C98"/>
    <w:rsid w:val="001A5248"/>
    <w:rsid w:val="001A5908"/>
    <w:rsid w:val="001A5A2D"/>
    <w:rsid w:val="001A5A90"/>
    <w:rsid w:val="001A5D86"/>
    <w:rsid w:val="001A5FFF"/>
    <w:rsid w:val="001A6197"/>
    <w:rsid w:val="001A66A4"/>
    <w:rsid w:val="001A6A57"/>
    <w:rsid w:val="001A6F93"/>
    <w:rsid w:val="001A73B7"/>
    <w:rsid w:val="001A79F7"/>
    <w:rsid w:val="001A7FF2"/>
    <w:rsid w:val="001B03E3"/>
    <w:rsid w:val="001B1073"/>
    <w:rsid w:val="001B1465"/>
    <w:rsid w:val="001B1621"/>
    <w:rsid w:val="001B184A"/>
    <w:rsid w:val="001B195A"/>
    <w:rsid w:val="001B2004"/>
    <w:rsid w:val="001B2718"/>
    <w:rsid w:val="001B2734"/>
    <w:rsid w:val="001B2738"/>
    <w:rsid w:val="001B2AD7"/>
    <w:rsid w:val="001B3436"/>
    <w:rsid w:val="001B383D"/>
    <w:rsid w:val="001B38B1"/>
    <w:rsid w:val="001B38EA"/>
    <w:rsid w:val="001B3F2C"/>
    <w:rsid w:val="001B4927"/>
    <w:rsid w:val="001B4C3C"/>
    <w:rsid w:val="001B4C8F"/>
    <w:rsid w:val="001B4E09"/>
    <w:rsid w:val="001B57B6"/>
    <w:rsid w:val="001B585F"/>
    <w:rsid w:val="001B5ECE"/>
    <w:rsid w:val="001B62B0"/>
    <w:rsid w:val="001B693D"/>
    <w:rsid w:val="001B75BF"/>
    <w:rsid w:val="001C0C82"/>
    <w:rsid w:val="001C155F"/>
    <w:rsid w:val="001C18C9"/>
    <w:rsid w:val="001C19CB"/>
    <w:rsid w:val="001C22A5"/>
    <w:rsid w:val="001C241E"/>
    <w:rsid w:val="001C2987"/>
    <w:rsid w:val="001C2A50"/>
    <w:rsid w:val="001C2E48"/>
    <w:rsid w:val="001C2FA1"/>
    <w:rsid w:val="001C2FC7"/>
    <w:rsid w:val="001C32FB"/>
    <w:rsid w:val="001C4161"/>
    <w:rsid w:val="001C4616"/>
    <w:rsid w:val="001C51EF"/>
    <w:rsid w:val="001C5A40"/>
    <w:rsid w:val="001C5B48"/>
    <w:rsid w:val="001C60CC"/>
    <w:rsid w:val="001C63F1"/>
    <w:rsid w:val="001C6738"/>
    <w:rsid w:val="001C6D7B"/>
    <w:rsid w:val="001C6FBC"/>
    <w:rsid w:val="001C702A"/>
    <w:rsid w:val="001C71C8"/>
    <w:rsid w:val="001C73E9"/>
    <w:rsid w:val="001C7606"/>
    <w:rsid w:val="001C7FDC"/>
    <w:rsid w:val="001D014A"/>
    <w:rsid w:val="001D027D"/>
    <w:rsid w:val="001D03D2"/>
    <w:rsid w:val="001D3ED6"/>
    <w:rsid w:val="001D40C1"/>
    <w:rsid w:val="001D41E4"/>
    <w:rsid w:val="001D4367"/>
    <w:rsid w:val="001D45B1"/>
    <w:rsid w:val="001D47BF"/>
    <w:rsid w:val="001D55F5"/>
    <w:rsid w:val="001D5C23"/>
    <w:rsid w:val="001D62C8"/>
    <w:rsid w:val="001D6602"/>
    <w:rsid w:val="001D6AB4"/>
    <w:rsid w:val="001D7A0A"/>
    <w:rsid w:val="001E01B7"/>
    <w:rsid w:val="001E0BC8"/>
    <w:rsid w:val="001E0D73"/>
    <w:rsid w:val="001E0DF1"/>
    <w:rsid w:val="001E1D82"/>
    <w:rsid w:val="001E2100"/>
    <w:rsid w:val="001E32FB"/>
    <w:rsid w:val="001E3B2B"/>
    <w:rsid w:val="001E43C7"/>
    <w:rsid w:val="001E476E"/>
    <w:rsid w:val="001E4F34"/>
    <w:rsid w:val="001E5209"/>
    <w:rsid w:val="001E5A04"/>
    <w:rsid w:val="001E5C29"/>
    <w:rsid w:val="001E5D92"/>
    <w:rsid w:val="001E6142"/>
    <w:rsid w:val="001E6979"/>
    <w:rsid w:val="001E7076"/>
    <w:rsid w:val="001E71FC"/>
    <w:rsid w:val="001E73F3"/>
    <w:rsid w:val="001E75A9"/>
    <w:rsid w:val="001E7F53"/>
    <w:rsid w:val="001F084A"/>
    <w:rsid w:val="001F0A5C"/>
    <w:rsid w:val="001F0D71"/>
    <w:rsid w:val="001F125F"/>
    <w:rsid w:val="001F15E3"/>
    <w:rsid w:val="001F1F9E"/>
    <w:rsid w:val="001F2B57"/>
    <w:rsid w:val="001F2EC5"/>
    <w:rsid w:val="001F2FBD"/>
    <w:rsid w:val="001F3231"/>
    <w:rsid w:val="001F34EF"/>
    <w:rsid w:val="001F417B"/>
    <w:rsid w:val="001F47AF"/>
    <w:rsid w:val="001F4A36"/>
    <w:rsid w:val="001F4C64"/>
    <w:rsid w:val="001F51C5"/>
    <w:rsid w:val="001F55CF"/>
    <w:rsid w:val="001F62C3"/>
    <w:rsid w:val="001F6CD9"/>
    <w:rsid w:val="001F7614"/>
    <w:rsid w:val="001F7A12"/>
    <w:rsid w:val="002001BA"/>
    <w:rsid w:val="00200505"/>
    <w:rsid w:val="00200D6C"/>
    <w:rsid w:val="00201E63"/>
    <w:rsid w:val="00202578"/>
    <w:rsid w:val="00202D05"/>
    <w:rsid w:val="00202EAE"/>
    <w:rsid w:val="00203811"/>
    <w:rsid w:val="002038B3"/>
    <w:rsid w:val="00203A64"/>
    <w:rsid w:val="00203AD7"/>
    <w:rsid w:val="00203DDF"/>
    <w:rsid w:val="00203E7A"/>
    <w:rsid w:val="00203EDC"/>
    <w:rsid w:val="002044EA"/>
    <w:rsid w:val="00204613"/>
    <w:rsid w:val="0020464B"/>
    <w:rsid w:val="00204750"/>
    <w:rsid w:val="00205234"/>
    <w:rsid w:val="00205547"/>
    <w:rsid w:val="00206AFE"/>
    <w:rsid w:val="0020716D"/>
    <w:rsid w:val="00207E68"/>
    <w:rsid w:val="00210BF0"/>
    <w:rsid w:val="00210E6E"/>
    <w:rsid w:val="0021136F"/>
    <w:rsid w:val="00211A7E"/>
    <w:rsid w:val="00211AB5"/>
    <w:rsid w:val="00211FB0"/>
    <w:rsid w:val="002127C2"/>
    <w:rsid w:val="00212B29"/>
    <w:rsid w:val="00212CA9"/>
    <w:rsid w:val="00212DD4"/>
    <w:rsid w:val="00213FE4"/>
    <w:rsid w:val="002141C7"/>
    <w:rsid w:val="00214F6F"/>
    <w:rsid w:val="00215286"/>
    <w:rsid w:val="00215298"/>
    <w:rsid w:val="00215415"/>
    <w:rsid w:val="0021588E"/>
    <w:rsid w:val="0021620A"/>
    <w:rsid w:val="0021650D"/>
    <w:rsid w:val="00216878"/>
    <w:rsid w:val="00216BE7"/>
    <w:rsid w:val="00216CC7"/>
    <w:rsid w:val="00216F65"/>
    <w:rsid w:val="00217163"/>
    <w:rsid w:val="00217241"/>
    <w:rsid w:val="0021760B"/>
    <w:rsid w:val="0022045D"/>
    <w:rsid w:val="00220BA4"/>
    <w:rsid w:val="00220FFC"/>
    <w:rsid w:val="00221058"/>
    <w:rsid w:val="00221F23"/>
    <w:rsid w:val="00221F80"/>
    <w:rsid w:val="00222011"/>
    <w:rsid w:val="002222AD"/>
    <w:rsid w:val="00222D1E"/>
    <w:rsid w:val="00223081"/>
    <w:rsid w:val="00223155"/>
    <w:rsid w:val="00223804"/>
    <w:rsid w:val="002245EF"/>
    <w:rsid w:val="00224B60"/>
    <w:rsid w:val="00224F45"/>
    <w:rsid w:val="00225528"/>
    <w:rsid w:val="002255CD"/>
    <w:rsid w:val="00225980"/>
    <w:rsid w:val="00225E26"/>
    <w:rsid w:val="002266C9"/>
    <w:rsid w:val="00226B2F"/>
    <w:rsid w:val="00226C9A"/>
    <w:rsid w:val="00226CB3"/>
    <w:rsid w:val="002270F2"/>
    <w:rsid w:val="00227500"/>
    <w:rsid w:val="00227C64"/>
    <w:rsid w:val="0023036F"/>
    <w:rsid w:val="00231A61"/>
    <w:rsid w:val="0023240E"/>
    <w:rsid w:val="0023252F"/>
    <w:rsid w:val="0023255D"/>
    <w:rsid w:val="00233183"/>
    <w:rsid w:val="00233204"/>
    <w:rsid w:val="00233216"/>
    <w:rsid w:val="00233834"/>
    <w:rsid w:val="0023448B"/>
    <w:rsid w:val="0023497D"/>
    <w:rsid w:val="00234A94"/>
    <w:rsid w:val="00234EEE"/>
    <w:rsid w:val="00234F45"/>
    <w:rsid w:val="00234FE8"/>
    <w:rsid w:val="00235B1C"/>
    <w:rsid w:val="00235E22"/>
    <w:rsid w:val="002361F6"/>
    <w:rsid w:val="0023772C"/>
    <w:rsid w:val="00240358"/>
    <w:rsid w:val="00240FDE"/>
    <w:rsid w:val="00241950"/>
    <w:rsid w:val="00241BDA"/>
    <w:rsid w:val="00241E9A"/>
    <w:rsid w:val="002423B8"/>
    <w:rsid w:val="002426FB"/>
    <w:rsid w:val="00242919"/>
    <w:rsid w:val="00242EC2"/>
    <w:rsid w:val="0024473A"/>
    <w:rsid w:val="00244BF2"/>
    <w:rsid w:val="002456A3"/>
    <w:rsid w:val="00245CCD"/>
    <w:rsid w:val="0024600E"/>
    <w:rsid w:val="00246E83"/>
    <w:rsid w:val="00247E17"/>
    <w:rsid w:val="00247EEF"/>
    <w:rsid w:val="0025012B"/>
    <w:rsid w:val="00251312"/>
    <w:rsid w:val="002517C5"/>
    <w:rsid w:val="0025267C"/>
    <w:rsid w:val="002536CE"/>
    <w:rsid w:val="002546AC"/>
    <w:rsid w:val="0025472C"/>
    <w:rsid w:val="0025539A"/>
    <w:rsid w:val="00255839"/>
    <w:rsid w:val="00255C18"/>
    <w:rsid w:val="002566FB"/>
    <w:rsid w:val="00256B7B"/>
    <w:rsid w:val="00256BC0"/>
    <w:rsid w:val="00256C61"/>
    <w:rsid w:val="00256F56"/>
    <w:rsid w:val="002571F5"/>
    <w:rsid w:val="00257C7F"/>
    <w:rsid w:val="002600E2"/>
    <w:rsid w:val="00261070"/>
    <w:rsid w:val="00261656"/>
    <w:rsid w:val="002621C1"/>
    <w:rsid w:val="00262B33"/>
    <w:rsid w:val="0026365E"/>
    <w:rsid w:val="00263C0C"/>
    <w:rsid w:val="0026417F"/>
    <w:rsid w:val="00264AD1"/>
    <w:rsid w:val="00264D77"/>
    <w:rsid w:val="00264DBB"/>
    <w:rsid w:val="002657B0"/>
    <w:rsid w:val="002668DA"/>
    <w:rsid w:val="00266F48"/>
    <w:rsid w:val="002670E0"/>
    <w:rsid w:val="00267161"/>
    <w:rsid w:val="0026779B"/>
    <w:rsid w:val="00267D1B"/>
    <w:rsid w:val="00267F52"/>
    <w:rsid w:val="002703B8"/>
    <w:rsid w:val="0027127D"/>
    <w:rsid w:val="002721F0"/>
    <w:rsid w:val="00272A74"/>
    <w:rsid w:val="00272CFE"/>
    <w:rsid w:val="00273492"/>
    <w:rsid w:val="002740F6"/>
    <w:rsid w:val="0027460B"/>
    <w:rsid w:val="00274661"/>
    <w:rsid w:val="00274921"/>
    <w:rsid w:val="0027496F"/>
    <w:rsid w:val="00274CD9"/>
    <w:rsid w:val="002765B7"/>
    <w:rsid w:val="00276D25"/>
    <w:rsid w:val="00280669"/>
    <w:rsid w:val="002808A9"/>
    <w:rsid w:val="00280B00"/>
    <w:rsid w:val="00280E5C"/>
    <w:rsid w:val="00281E03"/>
    <w:rsid w:val="00281F27"/>
    <w:rsid w:val="002827E3"/>
    <w:rsid w:val="00282CC1"/>
    <w:rsid w:val="00282E1E"/>
    <w:rsid w:val="002835A8"/>
    <w:rsid w:val="00283962"/>
    <w:rsid w:val="002839BB"/>
    <w:rsid w:val="00283B23"/>
    <w:rsid w:val="00283C14"/>
    <w:rsid w:val="00284228"/>
    <w:rsid w:val="002843DD"/>
    <w:rsid w:val="00284658"/>
    <w:rsid w:val="002849B9"/>
    <w:rsid w:val="00284AFD"/>
    <w:rsid w:val="00284D7A"/>
    <w:rsid w:val="002850F7"/>
    <w:rsid w:val="00285140"/>
    <w:rsid w:val="002853F2"/>
    <w:rsid w:val="00285C8F"/>
    <w:rsid w:val="00285E76"/>
    <w:rsid w:val="0028609B"/>
    <w:rsid w:val="0028684C"/>
    <w:rsid w:val="00287416"/>
    <w:rsid w:val="00287977"/>
    <w:rsid w:val="00287AC4"/>
    <w:rsid w:val="00287DE0"/>
    <w:rsid w:val="00287FC4"/>
    <w:rsid w:val="00290437"/>
    <w:rsid w:val="0029048A"/>
    <w:rsid w:val="00291489"/>
    <w:rsid w:val="002914C6"/>
    <w:rsid w:val="002914D4"/>
    <w:rsid w:val="00291787"/>
    <w:rsid w:val="002921A4"/>
    <w:rsid w:val="002924EA"/>
    <w:rsid w:val="002925E2"/>
    <w:rsid w:val="00293004"/>
    <w:rsid w:val="00293109"/>
    <w:rsid w:val="00293354"/>
    <w:rsid w:val="0029375C"/>
    <w:rsid w:val="00294626"/>
    <w:rsid w:val="0029475C"/>
    <w:rsid w:val="00294F09"/>
    <w:rsid w:val="00295120"/>
    <w:rsid w:val="00295560"/>
    <w:rsid w:val="00295921"/>
    <w:rsid w:val="002959E2"/>
    <w:rsid w:val="002969FA"/>
    <w:rsid w:val="00296CBD"/>
    <w:rsid w:val="00296CD8"/>
    <w:rsid w:val="00296E2D"/>
    <w:rsid w:val="002977EE"/>
    <w:rsid w:val="00297DE0"/>
    <w:rsid w:val="002A0102"/>
    <w:rsid w:val="002A041E"/>
    <w:rsid w:val="002A0498"/>
    <w:rsid w:val="002A0B1B"/>
    <w:rsid w:val="002A11B9"/>
    <w:rsid w:val="002A14DC"/>
    <w:rsid w:val="002A14DE"/>
    <w:rsid w:val="002A1925"/>
    <w:rsid w:val="002A1A36"/>
    <w:rsid w:val="002A1C94"/>
    <w:rsid w:val="002A1E6D"/>
    <w:rsid w:val="002A3822"/>
    <w:rsid w:val="002A3B11"/>
    <w:rsid w:val="002A4A1A"/>
    <w:rsid w:val="002A4B3F"/>
    <w:rsid w:val="002A525C"/>
    <w:rsid w:val="002A5459"/>
    <w:rsid w:val="002A57E8"/>
    <w:rsid w:val="002A5A1C"/>
    <w:rsid w:val="002A5CD2"/>
    <w:rsid w:val="002A69E0"/>
    <w:rsid w:val="002A6AC8"/>
    <w:rsid w:val="002A6F05"/>
    <w:rsid w:val="002A77D4"/>
    <w:rsid w:val="002A7C32"/>
    <w:rsid w:val="002B0960"/>
    <w:rsid w:val="002B0CCF"/>
    <w:rsid w:val="002B0EC5"/>
    <w:rsid w:val="002B0F38"/>
    <w:rsid w:val="002B10C6"/>
    <w:rsid w:val="002B16DD"/>
    <w:rsid w:val="002B18FA"/>
    <w:rsid w:val="002B1BFE"/>
    <w:rsid w:val="002B1C47"/>
    <w:rsid w:val="002B26C3"/>
    <w:rsid w:val="002B2725"/>
    <w:rsid w:val="002B290D"/>
    <w:rsid w:val="002B2BFA"/>
    <w:rsid w:val="002B2D5E"/>
    <w:rsid w:val="002B33E0"/>
    <w:rsid w:val="002B35DE"/>
    <w:rsid w:val="002B363A"/>
    <w:rsid w:val="002B3672"/>
    <w:rsid w:val="002B36EB"/>
    <w:rsid w:val="002B4D22"/>
    <w:rsid w:val="002B6488"/>
    <w:rsid w:val="002B6EE9"/>
    <w:rsid w:val="002B7006"/>
    <w:rsid w:val="002B7224"/>
    <w:rsid w:val="002C01EF"/>
    <w:rsid w:val="002C0790"/>
    <w:rsid w:val="002C09FA"/>
    <w:rsid w:val="002C1099"/>
    <w:rsid w:val="002C118A"/>
    <w:rsid w:val="002C177F"/>
    <w:rsid w:val="002C200B"/>
    <w:rsid w:val="002C2037"/>
    <w:rsid w:val="002C32BF"/>
    <w:rsid w:val="002C360B"/>
    <w:rsid w:val="002C379E"/>
    <w:rsid w:val="002C420A"/>
    <w:rsid w:val="002C441E"/>
    <w:rsid w:val="002C4701"/>
    <w:rsid w:val="002C5238"/>
    <w:rsid w:val="002C53E7"/>
    <w:rsid w:val="002C5558"/>
    <w:rsid w:val="002C565A"/>
    <w:rsid w:val="002C59B6"/>
    <w:rsid w:val="002C5C00"/>
    <w:rsid w:val="002C5E4B"/>
    <w:rsid w:val="002C6F53"/>
    <w:rsid w:val="002C6F83"/>
    <w:rsid w:val="002C7008"/>
    <w:rsid w:val="002C7A66"/>
    <w:rsid w:val="002C7E76"/>
    <w:rsid w:val="002D00CC"/>
    <w:rsid w:val="002D086E"/>
    <w:rsid w:val="002D0A3C"/>
    <w:rsid w:val="002D0D51"/>
    <w:rsid w:val="002D1868"/>
    <w:rsid w:val="002D1D87"/>
    <w:rsid w:val="002D1F09"/>
    <w:rsid w:val="002D200E"/>
    <w:rsid w:val="002D29FA"/>
    <w:rsid w:val="002D3626"/>
    <w:rsid w:val="002D3E58"/>
    <w:rsid w:val="002D3F2A"/>
    <w:rsid w:val="002D4A64"/>
    <w:rsid w:val="002D4A9B"/>
    <w:rsid w:val="002D502A"/>
    <w:rsid w:val="002D50DE"/>
    <w:rsid w:val="002D55D0"/>
    <w:rsid w:val="002D5626"/>
    <w:rsid w:val="002D578C"/>
    <w:rsid w:val="002D5C86"/>
    <w:rsid w:val="002D5CF1"/>
    <w:rsid w:val="002D5D7E"/>
    <w:rsid w:val="002D62B6"/>
    <w:rsid w:val="002D6302"/>
    <w:rsid w:val="002D66FD"/>
    <w:rsid w:val="002D6BA7"/>
    <w:rsid w:val="002D6CBE"/>
    <w:rsid w:val="002D6DCA"/>
    <w:rsid w:val="002D6E0B"/>
    <w:rsid w:val="002D74C4"/>
    <w:rsid w:val="002E014F"/>
    <w:rsid w:val="002E02E2"/>
    <w:rsid w:val="002E0924"/>
    <w:rsid w:val="002E0B7D"/>
    <w:rsid w:val="002E1204"/>
    <w:rsid w:val="002E1935"/>
    <w:rsid w:val="002E1955"/>
    <w:rsid w:val="002E1EE8"/>
    <w:rsid w:val="002E2692"/>
    <w:rsid w:val="002E2821"/>
    <w:rsid w:val="002E29F1"/>
    <w:rsid w:val="002E2CB8"/>
    <w:rsid w:val="002E3148"/>
    <w:rsid w:val="002E332F"/>
    <w:rsid w:val="002E3B2B"/>
    <w:rsid w:val="002E48B0"/>
    <w:rsid w:val="002E58D4"/>
    <w:rsid w:val="002E5C8E"/>
    <w:rsid w:val="002E67E7"/>
    <w:rsid w:val="002E70AA"/>
    <w:rsid w:val="002E71FF"/>
    <w:rsid w:val="002E72E1"/>
    <w:rsid w:val="002E7E53"/>
    <w:rsid w:val="002F03AC"/>
    <w:rsid w:val="002F082C"/>
    <w:rsid w:val="002F0BFB"/>
    <w:rsid w:val="002F0CBB"/>
    <w:rsid w:val="002F151B"/>
    <w:rsid w:val="002F1F9B"/>
    <w:rsid w:val="002F2050"/>
    <w:rsid w:val="002F22BD"/>
    <w:rsid w:val="002F24D9"/>
    <w:rsid w:val="002F2786"/>
    <w:rsid w:val="002F2FB3"/>
    <w:rsid w:val="002F3013"/>
    <w:rsid w:val="002F321D"/>
    <w:rsid w:val="002F34C0"/>
    <w:rsid w:val="002F3FA7"/>
    <w:rsid w:val="002F3FEC"/>
    <w:rsid w:val="002F4627"/>
    <w:rsid w:val="002F4AAE"/>
    <w:rsid w:val="002F5178"/>
    <w:rsid w:val="002F59F5"/>
    <w:rsid w:val="002F5B87"/>
    <w:rsid w:val="002F6AA8"/>
    <w:rsid w:val="002F6C8B"/>
    <w:rsid w:val="002F6E39"/>
    <w:rsid w:val="002F73A9"/>
    <w:rsid w:val="002F7645"/>
    <w:rsid w:val="002F78A1"/>
    <w:rsid w:val="002F78CC"/>
    <w:rsid w:val="002F7B6B"/>
    <w:rsid w:val="002F7D85"/>
    <w:rsid w:val="002F7D8F"/>
    <w:rsid w:val="00300EBF"/>
    <w:rsid w:val="003017AD"/>
    <w:rsid w:val="00301D9E"/>
    <w:rsid w:val="003022C5"/>
    <w:rsid w:val="0030243B"/>
    <w:rsid w:val="00302BCE"/>
    <w:rsid w:val="00302D5A"/>
    <w:rsid w:val="003035FF"/>
    <w:rsid w:val="00303AE0"/>
    <w:rsid w:val="00303D03"/>
    <w:rsid w:val="003047C8"/>
    <w:rsid w:val="0030506C"/>
    <w:rsid w:val="0030509D"/>
    <w:rsid w:val="003053B3"/>
    <w:rsid w:val="0030559F"/>
    <w:rsid w:val="00305D45"/>
    <w:rsid w:val="00306113"/>
    <w:rsid w:val="00307BE5"/>
    <w:rsid w:val="003104D4"/>
    <w:rsid w:val="00310E34"/>
    <w:rsid w:val="00311AF9"/>
    <w:rsid w:val="00311EB9"/>
    <w:rsid w:val="00312823"/>
    <w:rsid w:val="00312A79"/>
    <w:rsid w:val="00312FD6"/>
    <w:rsid w:val="003133A8"/>
    <w:rsid w:val="00313B44"/>
    <w:rsid w:val="00313C9C"/>
    <w:rsid w:val="00314394"/>
    <w:rsid w:val="003145A8"/>
    <w:rsid w:val="003146F4"/>
    <w:rsid w:val="00315160"/>
    <w:rsid w:val="0031576C"/>
    <w:rsid w:val="0031594D"/>
    <w:rsid w:val="00316D3C"/>
    <w:rsid w:val="00316F33"/>
    <w:rsid w:val="003171E9"/>
    <w:rsid w:val="00317297"/>
    <w:rsid w:val="0031745F"/>
    <w:rsid w:val="00317B8F"/>
    <w:rsid w:val="00317C3D"/>
    <w:rsid w:val="00317C83"/>
    <w:rsid w:val="003203CB"/>
    <w:rsid w:val="003204A9"/>
    <w:rsid w:val="003207D9"/>
    <w:rsid w:val="00320EE3"/>
    <w:rsid w:val="003211FA"/>
    <w:rsid w:val="00321231"/>
    <w:rsid w:val="003212A9"/>
    <w:rsid w:val="00321946"/>
    <w:rsid w:val="00321AB3"/>
    <w:rsid w:val="00321BC0"/>
    <w:rsid w:val="00321BC6"/>
    <w:rsid w:val="00321BF3"/>
    <w:rsid w:val="00321CCF"/>
    <w:rsid w:val="00321CDD"/>
    <w:rsid w:val="003224C0"/>
    <w:rsid w:val="00322525"/>
    <w:rsid w:val="00322733"/>
    <w:rsid w:val="00323813"/>
    <w:rsid w:val="00323B4B"/>
    <w:rsid w:val="00323B87"/>
    <w:rsid w:val="00324469"/>
    <w:rsid w:val="00326223"/>
    <w:rsid w:val="0032665D"/>
    <w:rsid w:val="00326754"/>
    <w:rsid w:val="00327424"/>
    <w:rsid w:val="003275DE"/>
    <w:rsid w:val="00327916"/>
    <w:rsid w:val="003279DB"/>
    <w:rsid w:val="00327BBA"/>
    <w:rsid w:val="00327E5D"/>
    <w:rsid w:val="0033065F"/>
    <w:rsid w:val="00330737"/>
    <w:rsid w:val="00330AD6"/>
    <w:rsid w:val="003312A8"/>
    <w:rsid w:val="00331522"/>
    <w:rsid w:val="003315A5"/>
    <w:rsid w:val="00331C51"/>
    <w:rsid w:val="00332002"/>
    <w:rsid w:val="00332BD9"/>
    <w:rsid w:val="00332C94"/>
    <w:rsid w:val="00332CB0"/>
    <w:rsid w:val="00332EBD"/>
    <w:rsid w:val="00333155"/>
    <w:rsid w:val="00333175"/>
    <w:rsid w:val="003338E0"/>
    <w:rsid w:val="00334589"/>
    <w:rsid w:val="003349C1"/>
    <w:rsid w:val="00334D82"/>
    <w:rsid w:val="00334D98"/>
    <w:rsid w:val="00334E58"/>
    <w:rsid w:val="003360A3"/>
    <w:rsid w:val="003364C4"/>
    <w:rsid w:val="00336619"/>
    <w:rsid w:val="00336A73"/>
    <w:rsid w:val="00336B48"/>
    <w:rsid w:val="00337E55"/>
    <w:rsid w:val="00340072"/>
    <w:rsid w:val="0034026C"/>
    <w:rsid w:val="00342596"/>
    <w:rsid w:val="00342618"/>
    <w:rsid w:val="003426CE"/>
    <w:rsid w:val="00342B7D"/>
    <w:rsid w:val="00343885"/>
    <w:rsid w:val="00343B4E"/>
    <w:rsid w:val="00343F27"/>
    <w:rsid w:val="00344232"/>
    <w:rsid w:val="0034542F"/>
    <w:rsid w:val="0034589F"/>
    <w:rsid w:val="0034600F"/>
    <w:rsid w:val="003466AF"/>
    <w:rsid w:val="003470C8"/>
    <w:rsid w:val="00347D33"/>
    <w:rsid w:val="00347EE9"/>
    <w:rsid w:val="00350017"/>
    <w:rsid w:val="003502B0"/>
    <w:rsid w:val="00350512"/>
    <w:rsid w:val="00350835"/>
    <w:rsid w:val="00350847"/>
    <w:rsid w:val="003508F2"/>
    <w:rsid w:val="00350931"/>
    <w:rsid w:val="00350E07"/>
    <w:rsid w:val="00350E10"/>
    <w:rsid w:val="00350FCC"/>
    <w:rsid w:val="00351952"/>
    <w:rsid w:val="00351E44"/>
    <w:rsid w:val="0035203A"/>
    <w:rsid w:val="003530BF"/>
    <w:rsid w:val="00353CB1"/>
    <w:rsid w:val="0035488C"/>
    <w:rsid w:val="00355445"/>
    <w:rsid w:val="00355609"/>
    <w:rsid w:val="00355BBB"/>
    <w:rsid w:val="003565A8"/>
    <w:rsid w:val="00356D5B"/>
    <w:rsid w:val="003572C1"/>
    <w:rsid w:val="00357650"/>
    <w:rsid w:val="00357E0D"/>
    <w:rsid w:val="00357FF3"/>
    <w:rsid w:val="00361643"/>
    <w:rsid w:val="00361B55"/>
    <w:rsid w:val="00363213"/>
    <w:rsid w:val="003635BA"/>
    <w:rsid w:val="00363B39"/>
    <w:rsid w:val="00363C6B"/>
    <w:rsid w:val="00365320"/>
    <w:rsid w:val="003653AF"/>
    <w:rsid w:val="00365B9B"/>
    <w:rsid w:val="00365E6C"/>
    <w:rsid w:val="00366213"/>
    <w:rsid w:val="003664B7"/>
    <w:rsid w:val="00366644"/>
    <w:rsid w:val="00366763"/>
    <w:rsid w:val="00366989"/>
    <w:rsid w:val="00366EC4"/>
    <w:rsid w:val="0037044D"/>
    <w:rsid w:val="003704F9"/>
    <w:rsid w:val="00370535"/>
    <w:rsid w:val="0037083B"/>
    <w:rsid w:val="00370DA1"/>
    <w:rsid w:val="003711D6"/>
    <w:rsid w:val="003711E2"/>
    <w:rsid w:val="003720F7"/>
    <w:rsid w:val="0037234F"/>
    <w:rsid w:val="0037291D"/>
    <w:rsid w:val="00372CB9"/>
    <w:rsid w:val="00373288"/>
    <w:rsid w:val="003734B3"/>
    <w:rsid w:val="0037353B"/>
    <w:rsid w:val="00374087"/>
    <w:rsid w:val="0037410A"/>
    <w:rsid w:val="0037444D"/>
    <w:rsid w:val="00374520"/>
    <w:rsid w:val="00375218"/>
    <w:rsid w:val="003753BD"/>
    <w:rsid w:val="00375596"/>
    <w:rsid w:val="00375CDD"/>
    <w:rsid w:val="00376261"/>
    <w:rsid w:val="00376468"/>
    <w:rsid w:val="00376487"/>
    <w:rsid w:val="00376621"/>
    <w:rsid w:val="00376904"/>
    <w:rsid w:val="0038050E"/>
    <w:rsid w:val="00380866"/>
    <w:rsid w:val="003809D3"/>
    <w:rsid w:val="00380A7A"/>
    <w:rsid w:val="00380FC1"/>
    <w:rsid w:val="0038104D"/>
    <w:rsid w:val="0038173B"/>
    <w:rsid w:val="00381B41"/>
    <w:rsid w:val="00382D05"/>
    <w:rsid w:val="00382EF5"/>
    <w:rsid w:val="0038349F"/>
    <w:rsid w:val="003839C2"/>
    <w:rsid w:val="00383AD8"/>
    <w:rsid w:val="00383D53"/>
    <w:rsid w:val="0038460F"/>
    <w:rsid w:val="00384BFF"/>
    <w:rsid w:val="00384FF4"/>
    <w:rsid w:val="00384FFF"/>
    <w:rsid w:val="003856EF"/>
    <w:rsid w:val="00385869"/>
    <w:rsid w:val="00386630"/>
    <w:rsid w:val="00386B69"/>
    <w:rsid w:val="00386CE1"/>
    <w:rsid w:val="003877B4"/>
    <w:rsid w:val="00387AC3"/>
    <w:rsid w:val="00387E0F"/>
    <w:rsid w:val="0039018F"/>
    <w:rsid w:val="00390B2C"/>
    <w:rsid w:val="00390FBD"/>
    <w:rsid w:val="00391C96"/>
    <w:rsid w:val="00392B8B"/>
    <w:rsid w:val="00393AAB"/>
    <w:rsid w:val="00393B1A"/>
    <w:rsid w:val="00394307"/>
    <w:rsid w:val="00394B4D"/>
    <w:rsid w:val="00394BCA"/>
    <w:rsid w:val="00394C46"/>
    <w:rsid w:val="003955AB"/>
    <w:rsid w:val="00395684"/>
    <w:rsid w:val="00395846"/>
    <w:rsid w:val="00397C7B"/>
    <w:rsid w:val="00397FC1"/>
    <w:rsid w:val="003A06A5"/>
    <w:rsid w:val="003A0FF2"/>
    <w:rsid w:val="003A1B96"/>
    <w:rsid w:val="003A2B1F"/>
    <w:rsid w:val="003A2E9B"/>
    <w:rsid w:val="003A555A"/>
    <w:rsid w:val="003A5EBB"/>
    <w:rsid w:val="003A681C"/>
    <w:rsid w:val="003A6EE3"/>
    <w:rsid w:val="003A74F6"/>
    <w:rsid w:val="003A7FEA"/>
    <w:rsid w:val="003B07F8"/>
    <w:rsid w:val="003B08B9"/>
    <w:rsid w:val="003B097A"/>
    <w:rsid w:val="003B10D4"/>
    <w:rsid w:val="003B14E0"/>
    <w:rsid w:val="003B1722"/>
    <w:rsid w:val="003B1F20"/>
    <w:rsid w:val="003B290B"/>
    <w:rsid w:val="003B2E39"/>
    <w:rsid w:val="003B3009"/>
    <w:rsid w:val="003B3404"/>
    <w:rsid w:val="003B3521"/>
    <w:rsid w:val="003B36EE"/>
    <w:rsid w:val="003B380D"/>
    <w:rsid w:val="003B3858"/>
    <w:rsid w:val="003B3ACE"/>
    <w:rsid w:val="003B4841"/>
    <w:rsid w:val="003B4F68"/>
    <w:rsid w:val="003B54B4"/>
    <w:rsid w:val="003B5568"/>
    <w:rsid w:val="003B5A1A"/>
    <w:rsid w:val="003B5BC7"/>
    <w:rsid w:val="003B6847"/>
    <w:rsid w:val="003B71FB"/>
    <w:rsid w:val="003B7598"/>
    <w:rsid w:val="003B7C4F"/>
    <w:rsid w:val="003B7F01"/>
    <w:rsid w:val="003C025B"/>
    <w:rsid w:val="003C0824"/>
    <w:rsid w:val="003C0D55"/>
    <w:rsid w:val="003C19C2"/>
    <w:rsid w:val="003C1DC0"/>
    <w:rsid w:val="003C237F"/>
    <w:rsid w:val="003C2A61"/>
    <w:rsid w:val="003C2E00"/>
    <w:rsid w:val="003C31F9"/>
    <w:rsid w:val="003C3B67"/>
    <w:rsid w:val="003C3BC2"/>
    <w:rsid w:val="003C481E"/>
    <w:rsid w:val="003C4B17"/>
    <w:rsid w:val="003C4BB4"/>
    <w:rsid w:val="003C4E32"/>
    <w:rsid w:val="003C5167"/>
    <w:rsid w:val="003C536A"/>
    <w:rsid w:val="003C5635"/>
    <w:rsid w:val="003C56E6"/>
    <w:rsid w:val="003C5FDC"/>
    <w:rsid w:val="003C6C83"/>
    <w:rsid w:val="003C7723"/>
    <w:rsid w:val="003C77FC"/>
    <w:rsid w:val="003D0251"/>
    <w:rsid w:val="003D0675"/>
    <w:rsid w:val="003D0EFF"/>
    <w:rsid w:val="003D122B"/>
    <w:rsid w:val="003D278D"/>
    <w:rsid w:val="003D28BE"/>
    <w:rsid w:val="003D2969"/>
    <w:rsid w:val="003D2D9D"/>
    <w:rsid w:val="003D3BD3"/>
    <w:rsid w:val="003D43A2"/>
    <w:rsid w:val="003D4410"/>
    <w:rsid w:val="003D4603"/>
    <w:rsid w:val="003D4B09"/>
    <w:rsid w:val="003D4EF6"/>
    <w:rsid w:val="003D56B2"/>
    <w:rsid w:val="003D59A4"/>
    <w:rsid w:val="003D5A2C"/>
    <w:rsid w:val="003D5B2B"/>
    <w:rsid w:val="003D5C87"/>
    <w:rsid w:val="003D6822"/>
    <w:rsid w:val="003D6A77"/>
    <w:rsid w:val="003D78D9"/>
    <w:rsid w:val="003D7A19"/>
    <w:rsid w:val="003E02F5"/>
    <w:rsid w:val="003E0506"/>
    <w:rsid w:val="003E07DD"/>
    <w:rsid w:val="003E09DA"/>
    <w:rsid w:val="003E0CFB"/>
    <w:rsid w:val="003E21C5"/>
    <w:rsid w:val="003E2DA3"/>
    <w:rsid w:val="003E3248"/>
    <w:rsid w:val="003E3331"/>
    <w:rsid w:val="003E36BA"/>
    <w:rsid w:val="003E4AE9"/>
    <w:rsid w:val="003E52D5"/>
    <w:rsid w:val="003E533D"/>
    <w:rsid w:val="003E58CC"/>
    <w:rsid w:val="003E592A"/>
    <w:rsid w:val="003E5A92"/>
    <w:rsid w:val="003E5EC1"/>
    <w:rsid w:val="003E63F1"/>
    <w:rsid w:val="003E6E40"/>
    <w:rsid w:val="003E6ED6"/>
    <w:rsid w:val="003E788B"/>
    <w:rsid w:val="003E791A"/>
    <w:rsid w:val="003E7CBA"/>
    <w:rsid w:val="003E7DF3"/>
    <w:rsid w:val="003F0196"/>
    <w:rsid w:val="003F02D6"/>
    <w:rsid w:val="003F09CE"/>
    <w:rsid w:val="003F0A86"/>
    <w:rsid w:val="003F0C3A"/>
    <w:rsid w:val="003F168A"/>
    <w:rsid w:val="003F19AB"/>
    <w:rsid w:val="003F1A99"/>
    <w:rsid w:val="003F316B"/>
    <w:rsid w:val="003F3581"/>
    <w:rsid w:val="003F3772"/>
    <w:rsid w:val="003F3921"/>
    <w:rsid w:val="003F3FBF"/>
    <w:rsid w:val="003F4629"/>
    <w:rsid w:val="003F4CBD"/>
    <w:rsid w:val="003F4E0E"/>
    <w:rsid w:val="003F518C"/>
    <w:rsid w:val="003F56D0"/>
    <w:rsid w:val="003F587F"/>
    <w:rsid w:val="003F675B"/>
    <w:rsid w:val="003F69E9"/>
    <w:rsid w:val="003F6A2D"/>
    <w:rsid w:val="003F6BEA"/>
    <w:rsid w:val="003F7254"/>
    <w:rsid w:val="003F7A48"/>
    <w:rsid w:val="003F7AEF"/>
    <w:rsid w:val="00400D47"/>
    <w:rsid w:val="00400E33"/>
    <w:rsid w:val="004013B0"/>
    <w:rsid w:val="004022E9"/>
    <w:rsid w:val="004025F2"/>
    <w:rsid w:val="00402EEE"/>
    <w:rsid w:val="00403117"/>
    <w:rsid w:val="00403950"/>
    <w:rsid w:val="00403AB4"/>
    <w:rsid w:val="00403E1A"/>
    <w:rsid w:val="00404180"/>
    <w:rsid w:val="00404639"/>
    <w:rsid w:val="004047F2"/>
    <w:rsid w:val="00404DC7"/>
    <w:rsid w:val="0040507F"/>
    <w:rsid w:val="00405126"/>
    <w:rsid w:val="0040585A"/>
    <w:rsid w:val="00405FB3"/>
    <w:rsid w:val="004060FD"/>
    <w:rsid w:val="0040613D"/>
    <w:rsid w:val="004061A9"/>
    <w:rsid w:val="004061F2"/>
    <w:rsid w:val="004064B4"/>
    <w:rsid w:val="00406BC4"/>
    <w:rsid w:val="004072E8"/>
    <w:rsid w:val="00407623"/>
    <w:rsid w:val="00407D8F"/>
    <w:rsid w:val="004109C6"/>
    <w:rsid w:val="004110F6"/>
    <w:rsid w:val="004111E3"/>
    <w:rsid w:val="004113E1"/>
    <w:rsid w:val="004115D6"/>
    <w:rsid w:val="0041165D"/>
    <w:rsid w:val="00411E89"/>
    <w:rsid w:val="00411EDF"/>
    <w:rsid w:val="0041200B"/>
    <w:rsid w:val="004120E4"/>
    <w:rsid w:val="00412512"/>
    <w:rsid w:val="00412CC2"/>
    <w:rsid w:val="00413008"/>
    <w:rsid w:val="00413BE5"/>
    <w:rsid w:val="004142BA"/>
    <w:rsid w:val="004146FE"/>
    <w:rsid w:val="00414AF0"/>
    <w:rsid w:val="00414F97"/>
    <w:rsid w:val="00415358"/>
    <w:rsid w:val="00415564"/>
    <w:rsid w:val="004157A9"/>
    <w:rsid w:val="004159E8"/>
    <w:rsid w:val="00415B63"/>
    <w:rsid w:val="004163B0"/>
    <w:rsid w:val="00416572"/>
    <w:rsid w:val="004167F2"/>
    <w:rsid w:val="00416EE9"/>
    <w:rsid w:val="0041736C"/>
    <w:rsid w:val="00417C98"/>
    <w:rsid w:val="00420582"/>
    <w:rsid w:val="004208D3"/>
    <w:rsid w:val="00420BF7"/>
    <w:rsid w:val="00420DEF"/>
    <w:rsid w:val="00421206"/>
    <w:rsid w:val="00421936"/>
    <w:rsid w:val="00421973"/>
    <w:rsid w:val="004219E9"/>
    <w:rsid w:val="00421AD8"/>
    <w:rsid w:val="00421E8D"/>
    <w:rsid w:val="00421FFB"/>
    <w:rsid w:val="00422395"/>
    <w:rsid w:val="0042268B"/>
    <w:rsid w:val="00422809"/>
    <w:rsid w:val="004229A6"/>
    <w:rsid w:val="00422C14"/>
    <w:rsid w:val="00422C1E"/>
    <w:rsid w:val="0042316A"/>
    <w:rsid w:val="0042344C"/>
    <w:rsid w:val="00423F0C"/>
    <w:rsid w:val="004248C5"/>
    <w:rsid w:val="0042494E"/>
    <w:rsid w:val="00424A17"/>
    <w:rsid w:val="00425907"/>
    <w:rsid w:val="0042676A"/>
    <w:rsid w:val="00426BA8"/>
    <w:rsid w:val="00426C6B"/>
    <w:rsid w:val="00426E5F"/>
    <w:rsid w:val="004273E6"/>
    <w:rsid w:val="0042744A"/>
    <w:rsid w:val="00427580"/>
    <w:rsid w:val="00427684"/>
    <w:rsid w:val="004276D4"/>
    <w:rsid w:val="00427846"/>
    <w:rsid w:val="00427925"/>
    <w:rsid w:val="00427938"/>
    <w:rsid w:val="00427F55"/>
    <w:rsid w:val="00430198"/>
    <w:rsid w:val="004303A7"/>
    <w:rsid w:val="00430593"/>
    <w:rsid w:val="004305A4"/>
    <w:rsid w:val="00430E5A"/>
    <w:rsid w:val="004311E4"/>
    <w:rsid w:val="00431506"/>
    <w:rsid w:val="004321A4"/>
    <w:rsid w:val="004321AC"/>
    <w:rsid w:val="00432CDC"/>
    <w:rsid w:val="00432D82"/>
    <w:rsid w:val="0043302A"/>
    <w:rsid w:val="00433CB0"/>
    <w:rsid w:val="00433D2E"/>
    <w:rsid w:val="00433F05"/>
    <w:rsid w:val="004346B4"/>
    <w:rsid w:val="0043488D"/>
    <w:rsid w:val="004348AF"/>
    <w:rsid w:val="00434AA3"/>
    <w:rsid w:val="00435920"/>
    <w:rsid w:val="00436042"/>
    <w:rsid w:val="004365A9"/>
    <w:rsid w:val="004371CC"/>
    <w:rsid w:val="00437385"/>
    <w:rsid w:val="00437F26"/>
    <w:rsid w:val="0044040B"/>
    <w:rsid w:val="00440B77"/>
    <w:rsid w:val="00440EDB"/>
    <w:rsid w:val="00441745"/>
    <w:rsid w:val="004418CD"/>
    <w:rsid w:val="00442666"/>
    <w:rsid w:val="004429A3"/>
    <w:rsid w:val="00442AA3"/>
    <w:rsid w:val="0044397A"/>
    <w:rsid w:val="00443CB5"/>
    <w:rsid w:val="00443DAF"/>
    <w:rsid w:val="00444031"/>
    <w:rsid w:val="0044482D"/>
    <w:rsid w:val="0044483D"/>
    <w:rsid w:val="004450C1"/>
    <w:rsid w:val="004452BC"/>
    <w:rsid w:val="00445902"/>
    <w:rsid w:val="00445B66"/>
    <w:rsid w:val="00447E9C"/>
    <w:rsid w:val="004502B4"/>
    <w:rsid w:val="0045091D"/>
    <w:rsid w:val="00450AA8"/>
    <w:rsid w:val="00450CA4"/>
    <w:rsid w:val="00450EE7"/>
    <w:rsid w:val="00450F1C"/>
    <w:rsid w:val="00451197"/>
    <w:rsid w:val="00451A7A"/>
    <w:rsid w:val="00451D64"/>
    <w:rsid w:val="00451DCB"/>
    <w:rsid w:val="00452162"/>
    <w:rsid w:val="00452725"/>
    <w:rsid w:val="004527B6"/>
    <w:rsid w:val="004529CE"/>
    <w:rsid w:val="00452B9B"/>
    <w:rsid w:val="00455D7D"/>
    <w:rsid w:val="004562C2"/>
    <w:rsid w:val="004568E7"/>
    <w:rsid w:val="00456915"/>
    <w:rsid w:val="00456EA0"/>
    <w:rsid w:val="004571C1"/>
    <w:rsid w:val="004578A6"/>
    <w:rsid w:val="00457E93"/>
    <w:rsid w:val="00457F28"/>
    <w:rsid w:val="0046029B"/>
    <w:rsid w:val="004605CA"/>
    <w:rsid w:val="00460AB1"/>
    <w:rsid w:val="00461184"/>
    <w:rsid w:val="004619A0"/>
    <w:rsid w:val="004623FB"/>
    <w:rsid w:val="004624B6"/>
    <w:rsid w:val="00462532"/>
    <w:rsid w:val="0046284E"/>
    <w:rsid w:val="00462C30"/>
    <w:rsid w:val="004634D3"/>
    <w:rsid w:val="0046372B"/>
    <w:rsid w:val="00463B7F"/>
    <w:rsid w:val="00464C9B"/>
    <w:rsid w:val="00464D07"/>
    <w:rsid w:val="0046538E"/>
    <w:rsid w:val="004656CC"/>
    <w:rsid w:val="00465C19"/>
    <w:rsid w:val="0046649F"/>
    <w:rsid w:val="00466799"/>
    <w:rsid w:val="00466BF1"/>
    <w:rsid w:val="00467209"/>
    <w:rsid w:val="004676D8"/>
    <w:rsid w:val="004677D9"/>
    <w:rsid w:val="00470327"/>
    <w:rsid w:val="0047079A"/>
    <w:rsid w:val="00470942"/>
    <w:rsid w:val="00470F55"/>
    <w:rsid w:val="004718AF"/>
    <w:rsid w:val="00471D45"/>
    <w:rsid w:val="004720FA"/>
    <w:rsid w:val="004731BB"/>
    <w:rsid w:val="0047334C"/>
    <w:rsid w:val="0047373D"/>
    <w:rsid w:val="00473C38"/>
    <w:rsid w:val="00474093"/>
    <w:rsid w:val="00474127"/>
    <w:rsid w:val="0047414F"/>
    <w:rsid w:val="00474919"/>
    <w:rsid w:val="004749CB"/>
    <w:rsid w:val="00474D9D"/>
    <w:rsid w:val="00475097"/>
    <w:rsid w:val="00475D20"/>
    <w:rsid w:val="0047610B"/>
    <w:rsid w:val="004762F3"/>
    <w:rsid w:val="00476EBA"/>
    <w:rsid w:val="00477819"/>
    <w:rsid w:val="0047799C"/>
    <w:rsid w:val="00477E85"/>
    <w:rsid w:val="00480AF0"/>
    <w:rsid w:val="00481085"/>
    <w:rsid w:val="00481BE1"/>
    <w:rsid w:val="00481E6F"/>
    <w:rsid w:val="00482706"/>
    <w:rsid w:val="0048316B"/>
    <w:rsid w:val="00483512"/>
    <w:rsid w:val="0048351C"/>
    <w:rsid w:val="00483965"/>
    <w:rsid w:val="00483AF4"/>
    <w:rsid w:val="004841C6"/>
    <w:rsid w:val="00484415"/>
    <w:rsid w:val="004844AD"/>
    <w:rsid w:val="00484694"/>
    <w:rsid w:val="00484758"/>
    <w:rsid w:val="00484C46"/>
    <w:rsid w:val="00485054"/>
    <w:rsid w:val="0048511A"/>
    <w:rsid w:val="0048559F"/>
    <w:rsid w:val="00485739"/>
    <w:rsid w:val="00485CA3"/>
    <w:rsid w:val="00485FF3"/>
    <w:rsid w:val="0048713E"/>
    <w:rsid w:val="00487A1B"/>
    <w:rsid w:val="00490012"/>
    <w:rsid w:val="00490231"/>
    <w:rsid w:val="004903BE"/>
    <w:rsid w:val="00490789"/>
    <w:rsid w:val="004912C5"/>
    <w:rsid w:val="00491D73"/>
    <w:rsid w:val="00491F9D"/>
    <w:rsid w:val="004920A0"/>
    <w:rsid w:val="0049217C"/>
    <w:rsid w:val="00492238"/>
    <w:rsid w:val="00492890"/>
    <w:rsid w:val="004928B7"/>
    <w:rsid w:val="00492966"/>
    <w:rsid w:val="00492A08"/>
    <w:rsid w:val="004936E8"/>
    <w:rsid w:val="004960CA"/>
    <w:rsid w:val="00496BBF"/>
    <w:rsid w:val="00496D3D"/>
    <w:rsid w:val="00496F72"/>
    <w:rsid w:val="004973E2"/>
    <w:rsid w:val="004A0558"/>
    <w:rsid w:val="004A26A3"/>
    <w:rsid w:val="004A2919"/>
    <w:rsid w:val="004A2D78"/>
    <w:rsid w:val="004A32CC"/>
    <w:rsid w:val="004A3335"/>
    <w:rsid w:val="004A3626"/>
    <w:rsid w:val="004A3B34"/>
    <w:rsid w:val="004A49F6"/>
    <w:rsid w:val="004A4DD5"/>
    <w:rsid w:val="004A5CA7"/>
    <w:rsid w:val="004A62DE"/>
    <w:rsid w:val="004A6899"/>
    <w:rsid w:val="004A6B43"/>
    <w:rsid w:val="004A6F9C"/>
    <w:rsid w:val="004A7288"/>
    <w:rsid w:val="004A771D"/>
    <w:rsid w:val="004A79A9"/>
    <w:rsid w:val="004A7AB1"/>
    <w:rsid w:val="004B00CC"/>
    <w:rsid w:val="004B039B"/>
    <w:rsid w:val="004B06AC"/>
    <w:rsid w:val="004B08BB"/>
    <w:rsid w:val="004B15B1"/>
    <w:rsid w:val="004B1770"/>
    <w:rsid w:val="004B1846"/>
    <w:rsid w:val="004B2277"/>
    <w:rsid w:val="004B24A1"/>
    <w:rsid w:val="004B253E"/>
    <w:rsid w:val="004B2B2A"/>
    <w:rsid w:val="004B2C53"/>
    <w:rsid w:val="004B31B2"/>
    <w:rsid w:val="004B3DF9"/>
    <w:rsid w:val="004B4782"/>
    <w:rsid w:val="004B4AEE"/>
    <w:rsid w:val="004B5342"/>
    <w:rsid w:val="004B5545"/>
    <w:rsid w:val="004B57D6"/>
    <w:rsid w:val="004B5B67"/>
    <w:rsid w:val="004B5BCF"/>
    <w:rsid w:val="004B644C"/>
    <w:rsid w:val="004C00F3"/>
    <w:rsid w:val="004C0B33"/>
    <w:rsid w:val="004C0E54"/>
    <w:rsid w:val="004C0E7E"/>
    <w:rsid w:val="004C0FCD"/>
    <w:rsid w:val="004C166D"/>
    <w:rsid w:val="004C1868"/>
    <w:rsid w:val="004C1D75"/>
    <w:rsid w:val="004C2F8C"/>
    <w:rsid w:val="004C39CE"/>
    <w:rsid w:val="004C3E04"/>
    <w:rsid w:val="004C4A24"/>
    <w:rsid w:val="004C4B57"/>
    <w:rsid w:val="004C4CE1"/>
    <w:rsid w:val="004C4DBB"/>
    <w:rsid w:val="004C4E4E"/>
    <w:rsid w:val="004C4FA5"/>
    <w:rsid w:val="004C52D3"/>
    <w:rsid w:val="004C53C7"/>
    <w:rsid w:val="004C55A5"/>
    <w:rsid w:val="004C60F6"/>
    <w:rsid w:val="004C63B2"/>
    <w:rsid w:val="004C6EC6"/>
    <w:rsid w:val="004C710B"/>
    <w:rsid w:val="004C735B"/>
    <w:rsid w:val="004C78C2"/>
    <w:rsid w:val="004C7AA4"/>
    <w:rsid w:val="004C7C81"/>
    <w:rsid w:val="004D040B"/>
    <w:rsid w:val="004D0BDC"/>
    <w:rsid w:val="004D10CE"/>
    <w:rsid w:val="004D2E0E"/>
    <w:rsid w:val="004D3041"/>
    <w:rsid w:val="004D312D"/>
    <w:rsid w:val="004D3322"/>
    <w:rsid w:val="004D346D"/>
    <w:rsid w:val="004D34F9"/>
    <w:rsid w:val="004D352A"/>
    <w:rsid w:val="004D40ED"/>
    <w:rsid w:val="004D4887"/>
    <w:rsid w:val="004D4F26"/>
    <w:rsid w:val="004D669D"/>
    <w:rsid w:val="004D672E"/>
    <w:rsid w:val="004D6CC7"/>
    <w:rsid w:val="004D6DDB"/>
    <w:rsid w:val="004D6E12"/>
    <w:rsid w:val="004D7EE0"/>
    <w:rsid w:val="004E0035"/>
    <w:rsid w:val="004E0234"/>
    <w:rsid w:val="004E05F1"/>
    <w:rsid w:val="004E068B"/>
    <w:rsid w:val="004E08AC"/>
    <w:rsid w:val="004E0A87"/>
    <w:rsid w:val="004E1104"/>
    <w:rsid w:val="004E17E4"/>
    <w:rsid w:val="004E1D56"/>
    <w:rsid w:val="004E1FA5"/>
    <w:rsid w:val="004E22E8"/>
    <w:rsid w:val="004E2DF4"/>
    <w:rsid w:val="004E2FA3"/>
    <w:rsid w:val="004E338E"/>
    <w:rsid w:val="004E35DB"/>
    <w:rsid w:val="004E3B48"/>
    <w:rsid w:val="004E4112"/>
    <w:rsid w:val="004E474E"/>
    <w:rsid w:val="004E4A94"/>
    <w:rsid w:val="004E5075"/>
    <w:rsid w:val="004E5263"/>
    <w:rsid w:val="004E5423"/>
    <w:rsid w:val="004E622C"/>
    <w:rsid w:val="004E6356"/>
    <w:rsid w:val="004E64AE"/>
    <w:rsid w:val="004E6760"/>
    <w:rsid w:val="004E6E7C"/>
    <w:rsid w:val="004E6FB0"/>
    <w:rsid w:val="004E7039"/>
    <w:rsid w:val="004E7078"/>
    <w:rsid w:val="004E72F1"/>
    <w:rsid w:val="004E79AE"/>
    <w:rsid w:val="004E7BE7"/>
    <w:rsid w:val="004E7C28"/>
    <w:rsid w:val="004F06A3"/>
    <w:rsid w:val="004F0A0B"/>
    <w:rsid w:val="004F0EBE"/>
    <w:rsid w:val="004F1319"/>
    <w:rsid w:val="004F14C2"/>
    <w:rsid w:val="004F185B"/>
    <w:rsid w:val="004F1A4F"/>
    <w:rsid w:val="004F1DD8"/>
    <w:rsid w:val="004F2B9F"/>
    <w:rsid w:val="004F2C10"/>
    <w:rsid w:val="004F2CC0"/>
    <w:rsid w:val="004F3226"/>
    <w:rsid w:val="004F3647"/>
    <w:rsid w:val="004F369F"/>
    <w:rsid w:val="004F50BC"/>
    <w:rsid w:val="004F57AA"/>
    <w:rsid w:val="004F60A0"/>
    <w:rsid w:val="004F62AF"/>
    <w:rsid w:val="004F64D4"/>
    <w:rsid w:val="004F685F"/>
    <w:rsid w:val="004F68F5"/>
    <w:rsid w:val="004F6BED"/>
    <w:rsid w:val="004F761D"/>
    <w:rsid w:val="004F76A1"/>
    <w:rsid w:val="004F7CE8"/>
    <w:rsid w:val="005004C3"/>
    <w:rsid w:val="00500F57"/>
    <w:rsid w:val="0050148E"/>
    <w:rsid w:val="00501648"/>
    <w:rsid w:val="00501B2D"/>
    <w:rsid w:val="00502A09"/>
    <w:rsid w:val="00502B85"/>
    <w:rsid w:val="00503AA8"/>
    <w:rsid w:val="00503D46"/>
    <w:rsid w:val="005040DE"/>
    <w:rsid w:val="0050415A"/>
    <w:rsid w:val="005041F6"/>
    <w:rsid w:val="00504D44"/>
    <w:rsid w:val="00504DB4"/>
    <w:rsid w:val="0050667B"/>
    <w:rsid w:val="00506724"/>
    <w:rsid w:val="00506A1D"/>
    <w:rsid w:val="005070D1"/>
    <w:rsid w:val="0050738B"/>
    <w:rsid w:val="005079BD"/>
    <w:rsid w:val="005079C4"/>
    <w:rsid w:val="00507BC6"/>
    <w:rsid w:val="00507C85"/>
    <w:rsid w:val="00507E71"/>
    <w:rsid w:val="00507E7C"/>
    <w:rsid w:val="00510344"/>
    <w:rsid w:val="005108A7"/>
    <w:rsid w:val="00510F5A"/>
    <w:rsid w:val="00510F6C"/>
    <w:rsid w:val="005113C1"/>
    <w:rsid w:val="0051147C"/>
    <w:rsid w:val="00512707"/>
    <w:rsid w:val="005128D5"/>
    <w:rsid w:val="00512992"/>
    <w:rsid w:val="00512A05"/>
    <w:rsid w:val="00512C72"/>
    <w:rsid w:val="005132AC"/>
    <w:rsid w:val="0051350F"/>
    <w:rsid w:val="00513665"/>
    <w:rsid w:val="0051413B"/>
    <w:rsid w:val="00514304"/>
    <w:rsid w:val="00514343"/>
    <w:rsid w:val="00514427"/>
    <w:rsid w:val="005145BA"/>
    <w:rsid w:val="005150FD"/>
    <w:rsid w:val="005151EE"/>
    <w:rsid w:val="00515A23"/>
    <w:rsid w:val="00515C60"/>
    <w:rsid w:val="0051621D"/>
    <w:rsid w:val="00516696"/>
    <w:rsid w:val="00516914"/>
    <w:rsid w:val="00516D93"/>
    <w:rsid w:val="00517470"/>
    <w:rsid w:val="0052028E"/>
    <w:rsid w:val="00520636"/>
    <w:rsid w:val="005214B7"/>
    <w:rsid w:val="00521716"/>
    <w:rsid w:val="00522218"/>
    <w:rsid w:val="00522C53"/>
    <w:rsid w:val="00523583"/>
    <w:rsid w:val="005238AE"/>
    <w:rsid w:val="00524154"/>
    <w:rsid w:val="005245E7"/>
    <w:rsid w:val="00524E6E"/>
    <w:rsid w:val="00525006"/>
    <w:rsid w:val="00525AA0"/>
    <w:rsid w:val="0052691A"/>
    <w:rsid w:val="00526CA0"/>
    <w:rsid w:val="00526E7F"/>
    <w:rsid w:val="0052789B"/>
    <w:rsid w:val="00527E9E"/>
    <w:rsid w:val="00527EE3"/>
    <w:rsid w:val="0053002A"/>
    <w:rsid w:val="00530240"/>
    <w:rsid w:val="0053045B"/>
    <w:rsid w:val="00531966"/>
    <w:rsid w:val="00531BB0"/>
    <w:rsid w:val="00531BC4"/>
    <w:rsid w:val="0053224F"/>
    <w:rsid w:val="005328CF"/>
    <w:rsid w:val="00532E42"/>
    <w:rsid w:val="00532F59"/>
    <w:rsid w:val="00532F78"/>
    <w:rsid w:val="00533331"/>
    <w:rsid w:val="0053389C"/>
    <w:rsid w:val="0053404E"/>
    <w:rsid w:val="00534CB8"/>
    <w:rsid w:val="005355DA"/>
    <w:rsid w:val="00536C6C"/>
    <w:rsid w:val="00536DAF"/>
    <w:rsid w:val="00536F4C"/>
    <w:rsid w:val="00536FD6"/>
    <w:rsid w:val="005376E0"/>
    <w:rsid w:val="0053778A"/>
    <w:rsid w:val="00537AC6"/>
    <w:rsid w:val="00537F37"/>
    <w:rsid w:val="0054058C"/>
    <w:rsid w:val="005408CB"/>
    <w:rsid w:val="00540A7F"/>
    <w:rsid w:val="00540B6C"/>
    <w:rsid w:val="00540FB6"/>
    <w:rsid w:val="00541029"/>
    <w:rsid w:val="005410B6"/>
    <w:rsid w:val="00541704"/>
    <w:rsid w:val="00541784"/>
    <w:rsid w:val="005419B2"/>
    <w:rsid w:val="00541AD9"/>
    <w:rsid w:val="00541DBF"/>
    <w:rsid w:val="00542591"/>
    <w:rsid w:val="005429BD"/>
    <w:rsid w:val="00542A8C"/>
    <w:rsid w:val="00542AFE"/>
    <w:rsid w:val="00542E20"/>
    <w:rsid w:val="00542F98"/>
    <w:rsid w:val="00543491"/>
    <w:rsid w:val="0054361A"/>
    <w:rsid w:val="00543752"/>
    <w:rsid w:val="00543753"/>
    <w:rsid w:val="00544335"/>
    <w:rsid w:val="005449DE"/>
    <w:rsid w:val="00544E34"/>
    <w:rsid w:val="005456B9"/>
    <w:rsid w:val="00545C6B"/>
    <w:rsid w:val="00545E70"/>
    <w:rsid w:val="00545F64"/>
    <w:rsid w:val="00546299"/>
    <w:rsid w:val="0054654B"/>
    <w:rsid w:val="00546E39"/>
    <w:rsid w:val="00546F42"/>
    <w:rsid w:val="00547105"/>
    <w:rsid w:val="005477FD"/>
    <w:rsid w:val="00547D15"/>
    <w:rsid w:val="00547EA8"/>
    <w:rsid w:val="005501E1"/>
    <w:rsid w:val="00550390"/>
    <w:rsid w:val="00551B30"/>
    <w:rsid w:val="00551C56"/>
    <w:rsid w:val="00551F5B"/>
    <w:rsid w:val="00552AAE"/>
    <w:rsid w:val="00553003"/>
    <w:rsid w:val="005532DC"/>
    <w:rsid w:val="005537B9"/>
    <w:rsid w:val="00553918"/>
    <w:rsid w:val="0055408E"/>
    <w:rsid w:val="005542D9"/>
    <w:rsid w:val="0055456B"/>
    <w:rsid w:val="00555483"/>
    <w:rsid w:val="005554C5"/>
    <w:rsid w:val="00555782"/>
    <w:rsid w:val="00555EEF"/>
    <w:rsid w:val="00556459"/>
    <w:rsid w:val="005565A2"/>
    <w:rsid w:val="00556B4B"/>
    <w:rsid w:val="00557275"/>
    <w:rsid w:val="00557518"/>
    <w:rsid w:val="00557919"/>
    <w:rsid w:val="00557B6E"/>
    <w:rsid w:val="00557CB8"/>
    <w:rsid w:val="00557E39"/>
    <w:rsid w:val="00560667"/>
    <w:rsid w:val="00560FA0"/>
    <w:rsid w:val="00561C26"/>
    <w:rsid w:val="0056297B"/>
    <w:rsid w:val="00563BD7"/>
    <w:rsid w:val="005646CD"/>
    <w:rsid w:val="005648A4"/>
    <w:rsid w:val="00564AFF"/>
    <w:rsid w:val="005657DB"/>
    <w:rsid w:val="00565FF8"/>
    <w:rsid w:val="00566E56"/>
    <w:rsid w:val="00567049"/>
    <w:rsid w:val="00567D17"/>
    <w:rsid w:val="00567FA3"/>
    <w:rsid w:val="00570BA4"/>
    <w:rsid w:val="00570D36"/>
    <w:rsid w:val="00571740"/>
    <w:rsid w:val="00571AC5"/>
    <w:rsid w:val="00571C48"/>
    <w:rsid w:val="00572380"/>
    <w:rsid w:val="00572670"/>
    <w:rsid w:val="005732D7"/>
    <w:rsid w:val="00574489"/>
    <w:rsid w:val="0057475E"/>
    <w:rsid w:val="00576723"/>
    <w:rsid w:val="005777F5"/>
    <w:rsid w:val="00577939"/>
    <w:rsid w:val="00577EE7"/>
    <w:rsid w:val="00580B30"/>
    <w:rsid w:val="00581AAF"/>
    <w:rsid w:val="00581E0D"/>
    <w:rsid w:val="0058219E"/>
    <w:rsid w:val="00582324"/>
    <w:rsid w:val="00582B6C"/>
    <w:rsid w:val="00583C57"/>
    <w:rsid w:val="005854EA"/>
    <w:rsid w:val="00585EB2"/>
    <w:rsid w:val="00586CC2"/>
    <w:rsid w:val="00586DDE"/>
    <w:rsid w:val="005900C0"/>
    <w:rsid w:val="0059010A"/>
    <w:rsid w:val="0059024E"/>
    <w:rsid w:val="005906EB"/>
    <w:rsid w:val="00591868"/>
    <w:rsid w:val="00591A83"/>
    <w:rsid w:val="0059203A"/>
    <w:rsid w:val="0059217C"/>
    <w:rsid w:val="00592A36"/>
    <w:rsid w:val="00592BE2"/>
    <w:rsid w:val="00592D99"/>
    <w:rsid w:val="00593053"/>
    <w:rsid w:val="005930C1"/>
    <w:rsid w:val="00593984"/>
    <w:rsid w:val="00593E3B"/>
    <w:rsid w:val="00594075"/>
    <w:rsid w:val="00594156"/>
    <w:rsid w:val="005944A6"/>
    <w:rsid w:val="00594985"/>
    <w:rsid w:val="005949C4"/>
    <w:rsid w:val="00594B21"/>
    <w:rsid w:val="00594CD6"/>
    <w:rsid w:val="00594D54"/>
    <w:rsid w:val="00597269"/>
    <w:rsid w:val="00597439"/>
    <w:rsid w:val="005A0304"/>
    <w:rsid w:val="005A0A00"/>
    <w:rsid w:val="005A0F8E"/>
    <w:rsid w:val="005A1079"/>
    <w:rsid w:val="005A10D6"/>
    <w:rsid w:val="005A155F"/>
    <w:rsid w:val="005A1FEB"/>
    <w:rsid w:val="005A209A"/>
    <w:rsid w:val="005A3CD3"/>
    <w:rsid w:val="005A3F2F"/>
    <w:rsid w:val="005A7286"/>
    <w:rsid w:val="005A7463"/>
    <w:rsid w:val="005A754C"/>
    <w:rsid w:val="005A7ADE"/>
    <w:rsid w:val="005A7CD1"/>
    <w:rsid w:val="005A7F87"/>
    <w:rsid w:val="005A7FA6"/>
    <w:rsid w:val="005B05CB"/>
    <w:rsid w:val="005B0B28"/>
    <w:rsid w:val="005B11E7"/>
    <w:rsid w:val="005B1417"/>
    <w:rsid w:val="005B1446"/>
    <w:rsid w:val="005B156E"/>
    <w:rsid w:val="005B1B7A"/>
    <w:rsid w:val="005B1F57"/>
    <w:rsid w:val="005B1F7F"/>
    <w:rsid w:val="005B21F8"/>
    <w:rsid w:val="005B2D84"/>
    <w:rsid w:val="005B3183"/>
    <w:rsid w:val="005B3382"/>
    <w:rsid w:val="005B3392"/>
    <w:rsid w:val="005B3B8E"/>
    <w:rsid w:val="005B3C4F"/>
    <w:rsid w:val="005B3E57"/>
    <w:rsid w:val="005B4059"/>
    <w:rsid w:val="005B4852"/>
    <w:rsid w:val="005B4A74"/>
    <w:rsid w:val="005B4BB2"/>
    <w:rsid w:val="005B4EE3"/>
    <w:rsid w:val="005B54CE"/>
    <w:rsid w:val="005B6153"/>
    <w:rsid w:val="005B69E4"/>
    <w:rsid w:val="005B6C64"/>
    <w:rsid w:val="005B74B5"/>
    <w:rsid w:val="005B75AE"/>
    <w:rsid w:val="005C04BE"/>
    <w:rsid w:val="005C05BF"/>
    <w:rsid w:val="005C1432"/>
    <w:rsid w:val="005C173D"/>
    <w:rsid w:val="005C246C"/>
    <w:rsid w:val="005C27E7"/>
    <w:rsid w:val="005C2830"/>
    <w:rsid w:val="005C2A89"/>
    <w:rsid w:val="005C2D37"/>
    <w:rsid w:val="005C32A3"/>
    <w:rsid w:val="005C3476"/>
    <w:rsid w:val="005C3AF7"/>
    <w:rsid w:val="005C4735"/>
    <w:rsid w:val="005C4FA0"/>
    <w:rsid w:val="005C50D7"/>
    <w:rsid w:val="005C517A"/>
    <w:rsid w:val="005C584A"/>
    <w:rsid w:val="005C656C"/>
    <w:rsid w:val="005C6585"/>
    <w:rsid w:val="005C663D"/>
    <w:rsid w:val="005C6CE3"/>
    <w:rsid w:val="005C7B79"/>
    <w:rsid w:val="005D01BD"/>
    <w:rsid w:val="005D0866"/>
    <w:rsid w:val="005D08AE"/>
    <w:rsid w:val="005D13A3"/>
    <w:rsid w:val="005D17C8"/>
    <w:rsid w:val="005D2082"/>
    <w:rsid w:val="005D224F"/>
    <w:rsid w:val="005D22C2"/>
    <w:rsid w:val="005D25BC"/>
    <w:rsid w:val="005D27C5"/>
    <w:rsid w:val="005D2CD2"/>
    <w:rsid w:val="005D3011"/>
    <w:rsid w:val="005D3253"/>
    <w:rsid w:val="005D34E0"/>
    <w:rsid w:val="005D4569"/>
    <w:rsid w:val="005D47BB"/>
    <w:rsid w:val="005D4B3C"/>
    <w:rsid w:val="005D53DC"/>
    <w:rsid w:val="005D5446"/>
    <w:rsid w:val="005D5486"/>
    <w:rsid w:val="005D5722"/>
    <w:rsid w:val="005D5D62"/>
    <w:rsid w:val="005D600C"/>
    <w:rsid w:val="005D6387"/>
    <w:rsid w:val="005D63D9"/>
    <w:rsid w:val="005D725E"/>
    <w:rsid w:val="005D776E"/>
    <w:rsid w:val="005E036E"/>
    <w:rsid w:val="005E0451"/>
    <w:rsid w:val="005E105F"/>
    <w:rsid w:val="005E1303"/>
    <w:rsid w:val="005E164A"/>
    <w:rsid w:val="005E1AD6"/>
    <w:rsid w:val="005E20B8"/>
    <w:rsid w:val="005E29B9"/>
    <w:rsid w:val="005E3D93"/>
    <w:rsid w:val="005E4126"/>
    <w:rsid w:val="005E42F6"/>
    <w:rsid w:val="005E4422"/>
    <w:rsid w:val="005E544A"/>
    <w:rsid w:val="005E758A"/>
    <w:rsid w:val="005F0025"/>
    <w:rsid w:val="005F0124"/>
    <w:rsid w:val="005F070D"/>
    <w:rsid w:val="005F0CF3"/>
    <w:rsid w:val="005F124C"/>
    <w:rsid w:val="005F12A3"/>
    <w:rsid w:val="005F12A5"/>
    <w:rsid w:val="005F1329"/>
    <w:rsid w:val="005F1385"/>
    <w:rsid w:val="005F1CC5"/>
    <w:rsid w:val="005F2236"/>
    <w:rsid w:val="005F26EC"/>
    <w:rsid w:val="005F277E"/>
    <w:rsid w:val="005F29DD"/>
    <w:rsid w:val="005F2BC0"/>
    <w:rsid w:val="005F2F69"/>
    <w:rsid w:val="005F34C0"/>
    <w:rsid w:val="005F4762"/>
    <w:rsid w:val="005F48ED"/>
    <w:rsid w:val="005F4E25"/>
    <w:rsid w:val="005F5DAC"/>
    <w:rsid w:val="005F6CB7"/>
    <w:rsid w:val="005F70EB"/>
    <w:rsid w:val="005F7208"/>
    <w:rsid w:val="005F769D"/>
    <w:rsid w:val="00600292"/>
    <w:rsid w:val="006002AD"/>
    <w:rsid w:val="0060075B"/>
    <w:rsid w:val="00600930"/>
    <w:rsid w:val="00600BD6"/>
    <w:rsid w:val="006011DD"/>
    <w:rsid w:val="00601315"/>
    <w:rsid w:val="006019D9"/>
    <w:rsid w:val="00601A48"/>
    <w:rsid w:val="00601FEF"/>
    <w:rsid w:val="00602872"/>
    <w:rsid w:val="00602F9F"/>
    <w:rsid w:val="006032B8"/>
    <w:rsid w:val="00603A3D"/>
    <w:rsid w:val="00603BBF"/>
    <w:rsid w:val="00604433"/>
    <w:rsid w:val="00604697"/>
    <w:rsid w:val="00604AC4"/>
    <w:rsid w:val="00604E95"/>
    <w:rsid w:val="00605E15"/>
    <w:rsid w:val="0060605B"/>
    <w:rsid w:val="006064D8"/>
    <w:rsid w:val="00606591"/>
    <w:rsid w:val="006066BB"/>
    <w:rsid w:val="0060688A"/>
    <w:rsid w:val="0060689D"/>
    <w:rsid w:val="006068D5"/>
    <w:rsid w:val="00606CFB"/>
    <w:rsid w:val="00606D7E"/>
    <w:rsid w:val="00606EAF"/>
    <w:rsid w:val="00607014"/>
    <w:rsid w:val="006071BB"/>
    <w:rsid w:val="00607411"/>
    <w:rsid w:val="00607A2A"/>
    <w:rsid w:val="00607B22"/>
    <w:rsid w:val="00607F76"/>
    <w:rsid w:val="00610146"/>
    <w:rsid w:val="00610B36"/>
    <w:rsid w:val="0061117F"/>
    <w:rsid w:val="00611405"/>
    <w:rsid w:val="00611572"/>
    <w:rsid w:val="00612EB0"/>
    <w:rsid w:val="00612F64"/>
    <w:rsid w:val="006134BC"/>
    <w:rsid w:val="00613E80"/>
    <w:rsid w:val="0061440D"/>
    <w:rsid w:val="006155B2"/>
    <w:rsid w:val="00615913"/>
    <w:rsid w:val="006173C9"/>
    <w:rsid w:val="006175D5"/>
    <w:rsid w:val="00617B99"/>
    <w:rsid w:val="00617F1D"/>
    <w:rsid w:val="006201AD"/>
    <w:rsid w:val="006201FA"/>
    <w:rsid w:val="006209F4"/>
    <w:rsid w:val="00620D45"/>
    <w:rsid w:val="0062143B"/>
    <w:rsid w:val="00621815"/>
    <w:rsid w:val="00621E66"/>
    <w:rsid w:val="00621F5F"/>
    <w:rsid w:val="00622056"/>
    <w:rsid w:val="006240FD"/>
    <w:rsid w:val="006242F2"/>
    <w:rsid w:val="00624782"/>
    <w:rsid w:val="006247BC"/>
    <w:rsid w:val="006249EC"/>
    <w:rsid w:val="00624E33"/>
    <w:rsid w:val="00625D2B"/>
    <w:rsid w:val="00625E48"/>
    <w:rsid w:val="00625EA1"/>
    <w:rsid w:val="00625FAF"/>
    <w:rsid w:val="00626723"/>
    <w:rsid w:val="006270ED"/>
    <w:rsid w:val="0062790A"/>
    <w:rsid w:val="006304A1"/>
    <w:rsid w:val="00630D18"/>
    <w:rsid w:val="006310C6"/>
    <w:rsid w:val="006312FB"/>
    <w:rsid w:val="00631B1B"/>
    <w:rsid w:val="00631B78"/>
    <w:rsid w:val="00632027"/>
    <w:rsid w:val="006320D9"/>
    <w:rsid w:val="00632837"/>
    <w:rsid w:val="006337B2"/>
    <w:rsid w:val="00633ADA"/>
    <w:rsid w:val="0063400A"/>
    <w:rsid w:val="00634789"/>
    <w:rsid w:val="00634F48"/>
    <w:rsid w:val="00635364"/>
    <w:rsid w:val="00635C49"/>
    <w:rsid w:val="00636376"/>
    <w:rsid w:val="006366E6"/>
    <w:rsid w:val="00636B10"/>
    <w:rsid w:val="006370A1"/>
    <w:rsid w:val="006373A3"/>
    <w:rsid w:val="006376F9"/>
    <w:rsid w:val="00637868"/>
    <w:rsid w:val="00637973"/>
    <w:rsid w:val="00637EE2"/>
    <w:rsid w:val="00640189"/>
    <w:rsid w:val="006404F7"/>
    <w:rsid w:val="006407E5"/>
    <w:rsid w:val="00640A92"/>
    <w:rsid w:val="0064126F"/>
    <w:rsid w:val="00641519"/>
    <w:rsid w:val="006419F6"/>
    <w:rsid w:val="00641CD1"/>
    <w:rsid w:val="006423AD"/>
    <w:rsid w:val="0064267E"/>
    <w:rsid w:val="00642C27"/>
    <w:rsid w:val="00643264"/>
    <w:rsid w:val="00644265"/>
    <w:rsid w:val="006449B4"/>
    <w:rsid w:val="00644D5D"/>
    <w:rsid w:val="00644FE9"/>
    <w:rsid w:val="00645074"/>
    <w:rsid w:val="00646CB3"/>
    <w:rsid w:val="00646FA6"/>
    <w:rsid w:val="006474B5"/>
    <w:rsid w:val="00647C8E"/>
    <w:rsid w:val="006500A9"/>
    <w:rsid w:val="0065049A"/>
    <w:rsid w:val="006505A9"/>
    <w:rsid w:val="00650678"/>
    <w:rsid w:val="00650739"/>
    <w:rsid w:val="0065073E"/>
    <w:rsid w:val="00650794"/>
    <w:rsid w:val="006510B2"/>
    <w:rsid w:val="0065112D"/>
    <w:rsid w:val="006513AF"/>
    <w:rsid w:val="0065243A"/>
    <w:rsid w:val="00652D6C"/>
    <w:rsid w:val="00652EBF"/>
    <w:rsid w:val="00653434"/>
    <w:rsid w:val="00653C7B"/>
    <w:rsid w:val="00653D7C"/>
    <w:rsid w:val="00654150"/>
    <w:rsid w:val="006542C1"/>
    <w:rsid w:val="0065462F"/>
    <w:rsid w:val="00654CD9"/>
    <w:rsid w:val="006552B6"/>
    <w:rsid w:val="00655BE9"/>
    <w:rsid w:val="00655ECC"/>
    <w:rsid w:val="00656432"/>
    <w:rsid w:val="00656D69"/>
    <w:rsid w:val="00657066"/>
    <w:rsid w:val="006575B4"/>
    <w:rsid w:val="00657D63"/>
    <w:rsid w:val="0066025C"/>
    <w:rsid w:val="00660801"/>
    <w:rsid w:val="0066082E"/>
    <w:rsid w:val="0066109D"/>
    <w:rsid w:val="0066138C"/>
    <w:rsid w:val="00661C6D"/>
    <w:rsid w:val="006621E5"/>
    <w:rsid w:val="00662291"/>
    <w:rsid w:val="0066231E"/>
    <w:rsid w:val="00662AE6"/>
    <w:rsid w:val="006642B2"/>
    <w:rsid w:val="00664BEB"/>
    <w:rsid w:val="00665A97"/>
    <w:rsid w:val="00665C25"/>
    <w:rsid w:val="00666561"/>
    <w:rsid w:val="00666C57"/>
    <w:rsid w:val="00666E72"/>
    <w:rsid w:val="00667B98"/>
    <w:rsid w:val="00670058"/>
    <w:rsid w:val="006717D8"/>
    <w:rsid w:val="00671898"/>
    <w:rsid w:val="00671CBA"/>
    <w:rsid w:val="00671D88"/>
    <w:rsid w:val="00671F78"/>
    <w:rsid w:val="00671F98"/>
    <w:rsid w:val="00672034"/>
    <w:rsid w:val="006720F0"/>
    <w:rsid w:val="00672598"/>
    <w:rsid w:val="00672774"/>
    <w:rsid w:val="00672E99"/>
    <w:rsid w:val="00674681"/>
    <w:rsid w:val="00674B99"/>
    <w:rsid w:val="00675A2A"/>
    <w:rsid w:val="0067604D"/>
    <w:rsid w:val="006760C6"/>
    <w:rsid w:val="00676415"/>
    <w:rsid w:val="00677350"/>
    <w:rsid w:val="006779AF"/>
    <w:rsid w:val="00677CA8"/>
    <w:rsid w:val="00677D5C"/>
    <w:rsid w:val="006804E2"/>
    <w:rsid w:val="0068145B"/>
    <w:rsid w:val="00681758"/>
    <w:rsid w:val="00681D04"/>
    <w:rsid w:val="00681D78"/>
    <w:rsid w:val="00682454"/>
    <w:rsid w:val="00683BBA"/>
    <w:rsid w:val="00683C6B"/>
    <w:rsid w:val="00684AC4"/>
    <w:rsid w:val="00684E13"/>
    <w:rsid w:val="00685137"/>
    <w:rsid w:val="00685648"/>
    <w:rsid w:val="0068585D"/>
    <w:rsid w:val="00686AFC"/>
    <w:rsid w:val="00686E3F"/>
    <w:rsid w:val="0069086D"/>
    <w:rsid w:val="00690875"/>
    <w:rsid w:val="0069175B"/>
    <w:rsid w:val="00691963"/>
    <w:rsid w:val="006922D2"/>
    <w:rsid w:val="006928DA"/>
    <w:rsid w:val="00692BE4"/>
    <w:rsid w:val="006933BD"/>
    <w:rsid w:val="0069447E"/>
    <w:rsid w:val="0069463F"/>
    <w:rsid w:val="00695405"/>
    <w:rsid w:val="00695744"/>
    <w:rsid w:val="0069619A"/>
    <w:rsid w:val="0069635C"/>
    <w:rsid w:val="00696682"/>
    <w:rsid w:val="00696869"/>
    <w:rsid w:val="00696D61"/>
    <w:rsid w:val="00697500"/>
    <w:rsid w:val="0069769E"/>
    <w:rsid w:val="006976B9"/>
    <w:rsid w:val="0069780B"/>
    <w:rsid w:val="00697F46"/>
    <w:rsid w:val="006A09B6"/>
    <w:rsid w:val="006A1253"/>
    <w:rsid w:val="006A14C5"/>
    <w:rsid w:val="006A185D"/>
    <w:rsid w:val="006A1BD2"/>
    <w:rsid w:val="006A1D62"/>
    <w:rsid w:val="006A1E44"/>
    <w:rsid w:val="006A2053"/>
    <w:rsid w:val="006A296E"/>
    <w:rsid w:val="006A2BDF"/>
    <w:rsid w:val="006A2C84"/>
    <w:rsid w:val="006A336D"/>
    <w:rsid w:val="006A35ED"/>
    <w:rsid w:val="006A3B08"/>
    <w:rsid w:val="006A3C44"/>
    <w:rsid w:val="006A3F5D"/>
    <w:rsid w:val="006A423C"/>
    <w:rsid w:val="006A49F5"/>
    <w:rsid w:val="006A4AA4"/>
    <w:rsid w:val="006A5400"/>
    <w:rsid w:val="006A6443"/>
    <w:rsid w:val="006A6BBF"/>
    <w:rsid w:val="006A7079"/>
    <w:rsid w:val="006A7599"/>
    <w:rsid w:val="006A7DA1"/>
    <w:rsid w:val="006A7DE2"/>
    <w:rsid w:val="006B03CE"/>
    <w:rsid w:val="006B07BC"/>
    <w:rsid w:val="006B0EE2"/>
    <w:rsid w:val="006B1A1E"/>
    <w:rsid w:val="006B2D4A"/>
    <w:rsid w:val="006B3B5F"/>
    <w:rsid w:val="006B437C"/>
    <w:rsid w:val="006B4A3F"/>
    <w:rsid w:val="006B5828"/>
    <w:rsid w:val="006B5990"/>
    <w:rsid w:val="006B5B12"/>
    <w:rsid w:val="006B5E40"/>
    <w:rsid w:val="006B5FC4"/>
    <w:rsid w:val="006B6A89"/>
    <w:rsid w:val="006B6ACD"/>
    <w:rsid w:val="006B71DB"/>
    <w:rsid w:val="006B7587"/>
    <w:rsid w:val="006B78C6"/>
    <w:rsid w:val="006B7E2D"/>
    <w:rsid w:val="006B7E71"/>
    <w:rsid w:val="006B7E76"/>
    <w:rsid w:val="006C04C6"/>
    <w:rsid w:val="006C06BC"/>
    <w:rsid w:val="006C09D9"/>
    <w:rsid w:val="006C1722"/>
    <w:rsid w:val="006C1A7B"/>
    <w:rsid w:val="006C1F46"/>
    <w:rsid w:val="006C2AB9"/>
    <w:rsid w:val="006C2DDA"/>
    <w:rsid w:val="006C2FB7"/>
    <w:rsid w:val="006C3150"/>
    <w:rsid w:val="006C3869"/>
    <w:rsid w:val="006C3A04"/>
    <w:rsid w:val="006C40D1"/>
    <w:rsid w:val="006C4119"/>
    <w:rsid w:val="006C465B"/>
    <w:rsid w:val="006C4A2A"/>
    <w:rsid w:val="006C4FAD"/>
    <w:rsid w:val="006C500B"/>
    <w:rsid w:val="006C5105"/>
    <w:rsid w:val="006C513B"/>
    <w:rsid w:val="006C516C"/>
    <w:rsid w:val="006C6541"/>
    <w:rsid w:val="006C68FE"/>
    <w:rsid w:val="006C7705"/>
    <w:rsid w:val="006C7F47"/>
    <w:rsid w:val="006D0205"/>
    <w:rsid w:val="006D0622"/>
    <w:rsid w:val="006D07A3"/>
    <w:rsid w:val="006D0CA6"/>
    <w:rsid w:val="006D0F2A"/>
    <w:rsid w:val="006D1093"/>
    <w:rsid w:val="006D1784"/>
    <w:rsid w:val="006D1A35"/>
    <w:rsid w:val="006D1B44"/>
    <w:rsid w:val="006D207A"/>
    <w:rsid w:val="006D237F"/>
    <w:rsid w:val="006D2649"/>
    <w:rsid w:val="006D270C"/>
    <w:rsid w:val="006D3D69"/>
    <w:rsid w:val="006D45A2"/>
    <w:rsid w:val="006D48B3"/>
    <w:rsid w:val="006D49DF"/>
    <w:rsid w:val="006D4DA5"/>
    <w:rsid w:val="006D5858"/>
    <w:rsid w:val="006D5F5E"/>
    <w:rsid w:val="006D61D6"/>
    <w:rsid w:val="006D62A2"/>
    <w:rsid w:val="006D670A"/>
    <w:rsid w:val="006D6AF2"/>
    <w:rsid w:val="006D7119"/>
    <w:rsid w:val="006D7363"/>
    <w:rsid w:val="006D7383"/>
    <w:rsid w:val="006D79D0"/>
    <w:rsid w:val="006D7AFC"/>
    <w:rsid w:val="006E0559"/>
    <w:rsid w:val="006E0816"/>
    <w:rsid w:val="006E0DAF"/>
    <w:rsid w:val="006E0E96"/>
    <w:rsid w:val="006E0F01"/>
    <w:rsid w:val="006E200D"/>
    <w:rsid w:val="006E2076"/>
    <w:rsid w:val="006E22A9"/>
    <w:rsid w:val="006E2388"/>
    <w:rsid w:val="006E24ED"/>
    <w:rsid w:val="006E307E"/>
    <w:rsid w:val="006E340E"/>
    <w:rsid w:val="006E3F0F"/>
    <w:rsid w:val="006E40FF"/>
    <w:rsid w:val="006E4212"/>
    <w:rsid w:val="006E4329"/>
    <w:rsid w:val="006E4734"/>
    <w:rsid w:val="006E4B25"/>
    <w:rsid w:val="006E4C0E"/>
    <w:rsid w:val="006E55AD"/>
    <w:rsid w:val="006E56EF"/>
    <w:rsid w:val="006E61E0"/>
    <w:rsid w:val="006E6374"/>
    <w:rsid w:val="006E64C1"/>
    <w:rsid w:val="006E7022"/>
    <w:rsid w:val="006E7C2A"/>
    <w:rsid w:val="006F0ACF"/>
    <w:rsid w:val="006F0F43"/>
    <w:rsid w:val="006F143C"/>
    <w:rsid w:val="006F1614"/>
    <w:rsid w:val="006F1BA0"/>
    <w:rsid w:val="006F1C2A"/>
    <w:rsid w:val="006F1C37"/>
    <w:rsid w:val="006F24D3"/>
    <w:rsid w:val="006F2A8A"/>
    <w:rsid w:val="006F2E6F"/>
    <w:rsid w:val="006F2EE2"/>
    <w:rsid w:val="006F308F"/>
    <w:rsid w:val="006F362D"/>
    <w:rsid w:val="006F3B3D"/>
    <w:rsid w:val="006F4157"/>
    <w:rsid w:val="006F4467"/>
    <w:rsid w:val="006F4F7F"/>
    <w:rsid w:val="006F56A6"/>
    <w:rsid w:val="006F5845"/>
    <w:rsid w:val="006F5CF5"/>
    <w:rsid w:val="006F63F4"/>
    <w:rsid w:val="006F6638"/>
    <w:rsid w:val="006F6834"/>
    <w:rsid w:val="006F7B6D"/>
    <w:rsid w:val="006F7BEB"/>
    <w:rsid w:val="006F7CA5"/>
    <w:rsid w:val="006F7DCE"/>
    <w:rsid w:val="007001E2"/>
    <w:rsid w:val="007003B7"/>
    <w:rsid w:val="00700543"/>
    <w:rsid w:val="007006C1"/>
    <w:rsid w:val="0070076A"/>
    <w:rsid w:val="007015B9"/>
    <w:rsid w:val="00701F4D"/>
    <w:rsid w:val="00702868"/>
    <w:rsid w:val="00703404"/>
    <w:rsid w:val="007036B9"/>
    <w:rsid w:val="00703BBA"/>
    <w:rsid w:val="007043D5"/>
    <w:rsid w:val="00704581"/>
    <w:rsid w:val="007049AD"/>
    <w:rsid w:val="00704AE5"/>
    <w:rsid w:val="00704D8B"/>
    <w:rsid w:val="00704E78"/>
    <w:rsid w:val="00705267"/>
    <w:rsid w:val="007055CB"/>
    <w:rsid w:val="0070600A"/>
    <w:rsid w:val="00706506"/>
    <w:rsid w:val="00706733"/>
    <w:rsid w:val="00706F8B"/>
    <w:rsid w:val="00707386"/>
    <w:rsid w:val="007076DF"/>
    <w:rsid w:val="00707D29"/>
    <w:rsid w:val="0071028E"/>
    <w:rsid w:val="00710996"/>
    <w:rsid w:val="00710A26"/>
    <w:rsid w:val="00710CFA"/>
    <w:rsid w:val="0071123F"/>
    <w:rsid w:val="007112FB"/>
    <w:rsid w:val="00711D3A"/>
    <w:rsid w:val="00712401"/>
    <w:rsid w:val="007125C1"/>
    <w:rsid w:val="0071269D"/>
    <w:rsid w:val="0071277D"/>
    <w:rsid w:val="0071304A"/>
    <w:rsid w:val="007140E1"/>
    <w:rsid w:val="00714A1A"/>
    <w:rsid w:val="00714B37"/>
    <w:rsid w:val="00714C60"/>
    <w:rsid w:val="00715325"/>
    <w:rsid w:val="00715BDC"/>
    <w:rsid w:val="007170B7"/>
    <w:rsid w:val="00717A61"/>
    <w:rsid w:val="00720402"/>
    <w:rsid w:val="007204B8"/>
    <w:rsid w:val="00720A1E"/>
    <w:rsid w:val="00720DB8"/>
    <w:rsid w:val="00721178"/>
    <w:rsid w:val="007211EF"/>
    <w:rsid w:val="00721435"/>
    <w:rsid w:val="00721551"/>
    <w:rsid w:val="007219AB"/>
    <w:rsid w:val="00721B04"/>
    <w:rsid w:val="00721C8A"/>
    <w:rsid w:val="00721DFC"/>
    <w:rsid w:val="00722442"/>
    <w:rsid w:val="0072294B"/>
    <w:rsid w:val="00722AB4"/>
    <w:rsid w:val="00722B50"/>
    <w:rsid w:val="00723002"/>
    <w:rsid w:val="00723095"/>
    <w:rsid w:val="00723486"/>
    <w:rsid w:val="0072358F"/>
    <w:rsid w:val="00723CDA"/>
    <w:rsid w:val="00723E0F"/>
    <w:rsid w:val="00724058"/>
    <w:rsid w:val="007246D9"/>
    <w:rsid w:val="0072486E"/>
    <w:rsid w:val="00726527"/>
    <w:rsid w:val="00726D22"/>
    <w:rsid w:val="007277D5"/>
    <w:rsid w:val="00731239"/>
    <w:rsid w:val="00731289"/>
    <w:rsid w:val="00731518"/>
    <w:rsid w:val="0073186F"/>
    <w:rsid w:val="007320CF"/>
    <w:rsid w:val="00732358"/>
    <w:rsid w:val="0073267C"/>
    <w:rsid w:val="007327FE"/>
    <w:rsid w:val="00732C57"/>
    <w:rsid w:val="007330B0"/>
    <w:rsid w:val="00733192"/>
    <w:rsid w:val="00733267"/>
    <w:rsid w:val="00733645"/>
    <w:rsid w:val="0073377D"/>
    <w:rsid w:val="007339EF"/>
    <w:rsid w:val="00733C97"/>
    <w:rsid w:val="00734895"/>
    <w:rsid w:val="0073533A"/>
    <w:rsid w:val="007353A3"/>
    <w:rsid w:val="0073615E"/>
    <w:rsid w:val="0073668A"/>
    <w:rsid w:val="007367A2"/>
    <w:rsid w:val="007373C1"/>
    <w:rsid w:val="0073769F"/>
    <w:rsid w:val="007377BA"/>
    <w:rsid w:val="007401A8"/>
    <w:rsid w:val="00740C76"/>
    <w:rsid w:val="00740D02"/>
    <w:rsid w:val="00740E63"/>
    <w:rsid w:val="00740F5C"/>
    <w:rsid w:val="007411BF"/>
    <w:rsid w:val="0074140C"/>
    <w:rsid w:val="00741DC0"/>
    <w:rsid w:val="00742A95"/>
    <w:rsid w:val="00742D09"/>
    <w:rsid w:val="00742D24"/>
    <w:rsid w:val="00742DE6"/>
    <w:rsid w:val="00743434"/>
    <w:rsid w:val="007438C3"/>
    <w:rsid w:val="00743B3B"/>
    <w:rsid w:val="0074548B"/>
    <w:rsid w:val="00745961"/>
    <w:rsid w:val="00745A54"/>
    <w:rsid w:val="00745BC4"/>
    <w:rsid w:val="00746749"/>
    <w:rsid w:val="0074762D"/>
    <w:rsid w:val="00747E33"/>
    <w:rsid w:val="0075081A"/>
    <w:rsid w:val="00750E81"/>
    <w:rsid w:val="00750F44"/>
    <w:rsid w:val="007513F1"/>
    <w:rsid w:val="007514AD"/>
    <w:rsid w:val="00751719"/>
    <w:rsid w:val="0075215F"/>
    <w:rsid w:val="00752D85"/>
    <w:rsid w:val="007530F4"/>
    <w:rsid w:val="0075384C"/>
    <w:rsid w:val="007538CB"/>
    <w:rsid w:val="00753FBC"/>
    <w:rsid w:val="00754150"/>
    <w:rsid w:val="00754E6F"/>
    <w:rsid w:val="00755AFD"/>
    <w:rsid w:val="00756376"/>
    <w:rsid w:val="007563FD"/>
    <w:rsid w:val="00756D42"/>
    <w:rsid w:val="007605C3"/>
    <w:rsid w:val="007608B0"/>
    <w:rsid w:val="00760911"/>
    <w:rsid w:val="00760B3C"/>
    <w:rsid w:val="00760D7E"/>
    <w:rsid w:val="00761058"/>
    <w:rsid w:val="0076145D"/>
    <w:rsid w:val="00761995"/>
    <w:rsid w:val="00761F8A"/>
    <w:rsid w:val="00762299"/>
    <w:rsid w:val="007622C3"/>
    <w:rsid w:val="007624CE"/>
    <w:rsid w:val="00762823"/>
    <w:rsid w:val="007628A0"/>
    <w:rsid w:val="00763050"/>
    <w:rsid w:val="00763338"/>
    <w:rsid w:val="00763339"/>
    <w:rsid w:val="007634E5"/>
    <w:rsid w:val="007639CB"/>
    <w:rsid w:val="00763D07"/>
    <w:rsid w:val="00764028"/>
    <w:rsid w:val="0076435E"/>
    <w:rsid w:val="00765011"/>
    <w:rsid w:val="007653BB"/>
    <w:rsid w:val="00765725"/>
    <w:rsid w:val="00766440"/>
    <w:rsid w:val="00766972"/>
    <w:rsid w:val="00767282"/>
    <w:rsid w:val="007678E6"/>
    <w:rsid w:val="00767FDE"/>
    <w:rsid w:val="00770698"/>
    <w:rsid w:val="00770AD7"/>
    <w:rsid w:val="00770CA8"/>
    <w:rsid w:val="00770E60"/>
    <w:rsid w:val="0077154F"/>
    <w:rsid w:val="00771554"/>
    <w:rsid w:val="00771584"/>
    <w:rsid w:val="00771D98"/>
    <w:rsid w:val="00772994"/>
    <w:rsid w:val="007730DE"/>
    <w:rsid w:val="00773126"/>
    <w:rsid w:val="00773D7D"/>
    <w:rsid w:val="00773F6D"/>
    <w:rsid w:val="00774171"/>
    <w:rsid w:val="00774747"/>
    <w:rsid w:val="007747F7"/>
    <w:rsid w:val="00774AC9"/>
    <w:rsid w:val="00774ADA"/>
    <w:rsid w:val="00774B97"/>
    <w:rsid w:val="0077599F"/>
    <w:rsid w:val="00775AB3"/>
    <w:rsid w:val="00775C36"/>
    <w:rsid w:val="00775C97"/>
    <w:rsid w:val="007763DE"/>
    <w:rsid w:val="00776588"/>
    <w:rsid w:val="00777CEE"/>
    <w:rsid w:val="00777D35"/>
    <w:rsid w:val="00780455"/>
    <w:rsid w:val="007807FE"/>
    <w:rsid w:val="00780FC3"/>
    <w:rsid w:val="0078112D"/>
    <w:rsid w:val="007811BB"/>
    <w:rsid w:val="00781A4B"/>
    <w:rsid w:val="00781B63"/>
    <w:rsid w:val="00781CAC"/>
    <w:rsid w:val="00781CEE"/>
    <w:rsid w:val="00781F20"/>
    <w:rsid w:val="00782035"/>
    <w:rsid w:val="00782657"/>
    <w:rsid w:val="00782859"/>
    <w:rsid w:val="00782C62"/>
    <w:rsid w:val="007830FE"/>
    <w:rsid w:val="00783BD2"/>
    <w:rsid w:val="00783C45"/>
    <w:rsid w:val="00783D87"/>
    <w:rsid w:val="00783F48"/>
    <w:rsid w:val="00783F62"/>
    <w:rsid w:val="0078486F"/>
    <w:rsid w:val="00784A9B"/>
    <w:rsid w:val="007855D9"/>
    <w:rsid w:val="00785762"/>
    <w:rsid w:val="007862E1"/>
    <w:rsid w:val="00786531"/>
    <w:rsid w:val="0078691C"/>
    <w:rsid w:val="00786CD3"/>
    <w:rsid w:val="00786F73"/>
    <w:rsid w:val="00786FD9"/>
    <w:rsid w:val="00787E87"/>
    <w:rsid w:val="00787EC8"/>
    <w:rsid w:val="0079043D"/>
    <w:rsid w:val="007904B6"/>
    <w:rsid w:val="00790659"/>
    <w:rsid w:val="007907F0"/>
    <w:rsid w:val="00790A5A"/>
    <w:rsid w:val="007911F7"/>
    <w:rsid w:val="00791434"/>
    <w:rsid w:val="00792008"/>
    <w:rsid w:val="0079269D"/>
    <w:rsid w:val="007927CC"/>
    <w:rsid w:val="00792C34"/>
    <w:rsid w:val="0079306B"/>
    <w:rsid w:val="007930BB"/>
    <w:rsid w:val="0079324F"/>
    <w:rsid w:val="00793614"/>
    <w:rsid w:val="0079392E"/>
    <w:rsid w:val="00794164"/>
    <w:rsid w:val="007941A8"/>
    <w:rsid w:val="00794249"/>
    <w:rsid w:val="007949BA"/>
    <w:rsid w:val="007949C1"/>
    <w:rsid w:val="00794C90"/>
    <w:rsid w:val="007950C3"/>
    <w:rsid w:val="00795799"/>
    <w:rsid w:val="00795BDF"/>
    <w:rsid w:val="00795C7C"/>
    <w:rsid w:val="00796559"/>
    <w:rsid w:val="007968C0"/>
    <w:rsid w:val="007972DA"/>
    <w:rsid w:val="00797C8C"/>
    <w:rsid w:val="007A021C"/>
    <w:rsid w:val="007A0256"/>
    <w:rsid w:val="007A0853"/>
    <w:rsid w:val="007A0A18"/>
    <w:rsid w:val="007A0B0A"/>
    <w:rsid w:val="007A1665"/>
    <w:rsid w:val="007A1C7B"/>
    <w:rsid w:val="007A1E88"/>
    <w:rsid w:val="007A1ED8"/>
    <w:rsid w:val="007A20E4"/>
    <w:rsid w:val="007A2382"/>
    <w:rsid w:val="007A23CC"/>
    <w:rsid w:val="007A3C2A"/>
    <w:rsid w:val="007A3FA1"/>
    <w:rsid w:val="007A4778"/>
    <w:rsid w:val="007A4B23"/>
    <w:rsid w:val="007A54FC"/>
    <w:rsid w:val="007A6002"/>
    <w:rsid w:val="007A6625"/>
    <w:rsid w:val="007A687F"/>
    <w:rsid w:val="007A6C04"/>
    <w:rsid w:val="007A6D20"/>
    <w:rsid w:val="007A6F93"/>
    <w:rsid w:val="007A751A"/>
    <w:rsid w:val="007A7E47"/>
    <w:rsid w:val="007B05F5"/>
    <w:rsid w:val="007B0EF3"/>
    <w:rsid w:val="007B1880"/>
    <w:rsid w:val="007B1A6D"/>
    <w:rsid w:val="007B1B81"/>
    <w:rsid w:val="007B23B6"/>
    <w:rsid w:val="007B2758"/>
    <w:rsid w:val="007B28B7"/>
    <w:rsid w:val="007B2932"/>
    <w:rsid w:val="007B2A17"/>
    <w:rsid w:val="007B2A23"/>
    <w:rsid w:val="007B2E45"/>
    <w:rsid w:val="007B3776"/>
    <w:rsid w:val="007B37ED"/>
    <w:rsid w:val="007B37FD"/>
    <w:rsid w:val="007B3CA3"/>
    <w:rsid w:val="007B3D7F"/>
    <w:rsid w:val="007B46BF"/>
    <w:rsid w:val="007B47A6"/>
    <w:rsid w:val="007B4AF1"/>
    <w:rsid w:val="007B4CFB"/>
    <w:rsid w:val="007B4D6F"/>
    <w:rsid w:val="007B5728"/>
    <w:rsid w:val="007B600F"/>
    <w:rsid w:val="007B6436"/>
    <w:rsid w:val="007B6632"/>
    <w:rsid w:val="007B6693"/>
    <w:rsid w:val="007B6AC3"/>
    <w:rsid w:val="007B6B27"/>
    <w:rsid w:val="007B6DB6"/>
    <w:rsid w:val="007B72D0"/>
    <w:rsid w:val="007B7628"/>
    <w:rsid w:val="007B79AB"/>
    <w:rsid w:val="007B7C1D"/>
    <w:rsid w:val="007C012A"/>
    <w:rsid w:val="007C0275"/>
    <w:rsid w:val="007C03AA"/>
    <w:rsid w:val="007C04E9"/>
    <w:rsid w:val="007C0692"/>
    <w:rsid w:val="007C0962"/>
    <w:rsid w:val="007C0B95"/>
    <w:rsid w:val="007C0FE3"/>
    <w:rsid w:val="007C1012"/>
    <w:rsid w:val="007C16A2"/>
    <w:rsid w:val="007C2233"/>
    <w:rsid w:val="007C23C4"/>
    <w:rsid w:val="007C2510"/>
    <w:rsid w:val="007C2798"/>
    <w:rsid w:val="007C32C2"/>
    <w:rsid w:val="007C3445"/>
    <w:rsid w:val="007C3A1D"/>
    <w:rsid w:val="007C3D7F"/>
    <w:rsid w:val="007C4012"/>
    <w:rsid w:val="007C4F3E"/>
    <w:rsid w:val="007C520E"/>
    <w:rsid w:val="007C52A2"/>
    <w:rsid w:val="007C537A"/>
    <w:rsid w:val="007C5694"/>
    <w:rsid w:val="007C5851"/>
    <w:rsid w:val="007C66A7"/>
    <w:rsid w:val="007C6797"/>
    <w:rsid w:val="007C6963"/>
    <w:rsid w:val="007C6E80"/>
    <w:rsid w:val="007C7087"/>
    <w:rsid w:val="007C70BC"/>
    <w:rsid w:val="007C7277"/>
    <w:rsid w:val="007C787E"/>
    <w:rsid w:val="007D02EC"/>
    <w:rsid w:val="007D1923"/>
    <w:rsid w:val="007D1A06"/>
    <w:rsid w:val="007D25A6"/>
    <w:rsid w:val="007D3F09"/>
    <w:rsid w:val="007D404C"/>
    <w:rsid w:val="007D4219"/>
    <w:rsid w:val="007D4DA7"/>
    <w:rsid w:val="007D4E96"/>
    <w:rsid w:val="007D4EBA"/>
    <w:rsid w:val="007D526A"/>
    <w:rsid w:val="007D607A"/>
    <w:rsid w:val="007D6D86"/>
    <w:rsid w:val="007D6F9B"/>
    <w:rsid w:val="007D70FC"/>
    <w:rsid w:val="007D7115"/>
    <w:rsid w:val="007D73A6"/>
    <w:rsid w:val="007D753D"/>
    <w:rsid w:val="007D7B45"/>
    <w:rsid w:val="007E0A8F"/>
    <w:rsid w:val="007E0EB9"/>
    <w:rsid w:val="007E10BE"/>
    <w:rsid w:val="007E2387"/>
    <w:rsid w:val="007E26DA"/>
    <w:rsid w:val="007E399F"/>
    <w:rsid w:val="007E41AB"/>
    <w:rsid w:val="007E4983"/>
    <w:rsid w:val="007E4F07"/>
    <w:rsid w:val="007E5743"/>
    <w:rsid w:val="007E597A"/>
    <w:rsid w:val="007E6733"/>
    <w:rsid w:val="007E75C0"/>
    <w:rsid w:val="007E7688"/>
    <w:rsid w:val="007E77E6"/>
    <w:rsid w:val="007E7AFF"/>
    <w:rsid w:val="007E7BFB"/>
    <w:rsid w:val="007F0643"/>
    <w:rsid w:val="007F07EA"/>
    <w:rsid w:val="007F0AA1"/>
    <w:rsid w:val="007F0F20"/>
    <w:rsid w:val="007F152A"/>
    <w:rsid w:val="007F16B9"/>
    <w:rsid w:val="007F2722"/>
    <w:rsid w:val="007F2AE8"/>
    <w:rsid w:val="007F2C5B"/>
    <w:rsid w:val="007F31B5"/>
    <w:rsid w:val="007F3ECE"/>
    <w:rsid w:val="007F3F38"/>
    <w:rsid w:val="007F4113"/>
    <w:rsid w:val="007F4FBB"/>
    <w:rsid w:val="007F5450"/>
    <w:rsid w:val="007F5841"/>
    <w:rsid w:val="007F5B33"/>
    <w:rsid w:val="007F6523"/>
    <w:rsid w:val="007F6736"/>
    <w:rsid w:val="007F6916"/>
    <w:rsid w:val="007F6B25"/>
    <w:rsid w:val="007F70E0"/>
    <w:rsid w:val="007F7413"/>
    <w:rsid w:val="007F7541"/>
    <w:rsid w:val="007F75CF"/>
    <w:rsid w:val="007F7A3E"/>
    <w:rsid w:val="008000D1"/>
    <w:rsid w:val="0080043D"/>
    <w:rsid w:val="0080045B"/>
    <w:rsid w:val="0080081C"/>
    <w:rsid w:val="008008D9"/>
    <w:rsid w:val="008008F0"/>
    <w:rsid w:val="00800D9A"/>
    <w:rsid w:val="0080122E"/>
    <w:rsid w:val="0080174E"/>
    <w:rsid w:val="00801BEE"/>
    <w:rsid w:val="00801D9D"/>
    <w:rsid w:val="00801DDF"/>
    <w:rsid w:val="00801E55"/>
    <w:rsid w:val="00802492"/>
    <w:rsid w:val="008027A2"/>
    <w:rsid w:val="00802D0B"/>
    <w:rsid w:val="00802D99"/>
    <w:rsid w:val="008035FD"/>
    <w:rsid w:val="00803B66"/>
    <w:rsid w:val="00803FC6"/>
    <w:rsid w:val="00804775"/>
    <w:rsid w:val="00804E91"/>
    <w:rsid w:val="00805A19"/>
    <w:rsid w:val="00806437"/>
    <w:rsid w:val="008065FA"/>
    <w:rsid w:val="00806608"/>
    <w:rsid w:val="0080676B"/>
    <w:rsid w:val="00806CD1"/>
    <w:rsid w:val="0080752F"/>
    <w:rsid w:val="00807D04"/>
    <w:rsid w:val="00810338"/>
    <w:rsid w:val="008104DF"/>
    <w:rsid w:val="00810AFF"/>
    <w:rsid w:val="00810DE5"/>
    <w:rsid w:val="00810E97"/>
    <w:rsid w:val="0081178B"/>
    <w:rsid w:val="008117D9"/>
    <w:rsid w:val="008119EF"/>
    <w:rsid w:val="00812613"/>
    <w:rsid w:val="008127E6"/>
    <w:rsid w:val="008127F4"/>
    <w:rsid w:val="00812C19"/>
    <w:rsid w:val="00812F44"/>
    <w:rsid w:val="008133FA"/>
    <w:rsid w:val="00813A31"/>
    <w:rsid w:val="00813ABF"/>
    <w:rsid w:val="00813B16"/>
    <w:rsid w:val="00813CD0"/>
    <w:rsid w:val="0081477E"/>
    <w:rsid w:val="00814CD2"/>
    <w:rsid w:val="00814EFA"/>
    <w:rsid w:val="008158E2"/>
    <w:rsid w:val="0081691C"/>
    <w:rsid w:val="00816925"/>
    <w:rsid w:val="00816FE8"/>
    <w:rsid w:val="00817216"/>
    <w:rsid w:val="0081723A"/>
    <w:rsid w:val="008202C1"/>
    <w:rsid w:val="008207CB"/>
    <w:rsid w:val="00820ACB"/>
    <w:rsid w:val="00820C34"/>
    <w:rsid w:val="008210EC"/>
    <w:rsid w:val="00821D50"/>
    <w:rsid w:val="008220D0"/>
    <w:rsid w:val="00822652"/>
    <w:rsid w:val="008226CB"/>
    <w:rsid w:val="00822A9B"/>
    <w:rsid w:val="008234B5"/>
    <w:rsid w:val="008235DA"/>
    <w:rsid w:val="00823C36"/>
    <w:rsid w:val="00824891"/>
    <w:rsid w:val="0082494C"/>
    <w:rsid w:val="00824975"/>
    <w:rsid w:val="00824AD2"/>
    <w:rsid w:val="00824F6A"/>
    <w:rsid w:val="00825265"/>
    <w:rsid w:val="00825370"/>
    <w:rsid w:val="008253AB"/>
    <w:rsid w:val="0082625C"/>
    <w:rsid w:val="008265A9"/>
    <w:rsid w:val="00827312"/>
    <w:rsid w:val="008275A1"/>
    <w:rsid w:val="00827BFD"/>
    <w:rsid w:val="00827C70"/>
    <w:rsid w:val="00827D4A"/>
    <w:rsid w:val="00830116"/>
    <w:rsid w:val="00830358"/>
    <w:rsid w:val="00830C8F"/>
    <w:rsid w:val="00830D92"/>
    <w:rsid w:val="00830FAC"/>
    <w:rsid w:val="008311B0"/>
    <w:rsid w:val="00831E1C"/>
    <w:rsid w:val="00832CFF"/>
    <w:rsid w:val="008331D0"/>
    <w:rsid w:val="00833321"/>
    <w:rsid w:val="00833494"/>
    <w:rsid w:val="008338D0"/>
    <w:rsid w:val="00834103"/>
    <w:rsid w:val="00834291"/>
    <w:rsid w:val="00834462"/>
    <w:rsid w:val="00834B45"/>
    <w:rsid w:val="00835C5B"/>
    <w:rsid w:val="00835F7B"/>
    <w:rsid w:val="00836B02"/>
    <w:rsid w:val="00836CD4"/>
    <w:rsid w:val="008371CE"/>
    <w:rsid w:val="00837775"/>
    <w:rsid w:val="0083798B"/>
    <w:rsid w:val="0084002B"/>
    <w:rsid w:val="008409BC"/>
    <w:rsid w:val="008419A5"/>
    <w:rsid w:val="00841C9C"/>
    <w:rsid w:val="00841D1D"/>
    <w:rsid w:val="00842042"/>
    <w:rsid w:val="00842CD5"/>
    <w:rsid w:val="0084385E"/>
    <w:rsid w:val="00843A4C"/>
    <w:rsid w:val="008445C3"/>
    <w:rsid w:val="008448B7"/>
    <w:rsid w:val="00844C39"/>
    <w:rsid w:val="00845323"/>
    <w:rsid w:val="0084563F"/>
    <w:rsid w:val="00845829"/>
    <w:rsid w:val="00846024"/>
    <w:rsid w:val="00846CB1"/>
    <w:rsid w:val="008471F8"/>
    <w:rsid w:val="00847820"/>
    <w:rsid w:val="008478D6"/>
    <w:rsid w:val="00847C02"/>
    <w:rsid w:val="00847F41"/>
    <w:rsid w:val="00850055"/>
    <w:rsid w:val="008508F2"/>
    <w:rsid w:val="00850AC9"/>
    <w:rsid w:val="00850ED5"/>
    <w:rsid w:val="008513A2"/>
    <w:rsid w:val="00851BF3"/>
    <w:rsid w:val="00852158"/>
    <w:rsid w:val="008525E8"/>
    <w:rsid w:val="00852FC7"/>
    <w:rsid w:val="008534E2"/>
    <w:rsid w:val="00853559"/>
    <w:rsid w:val="00853818"/>
    <w:rsid w:val="008544EE"/>
    <w:rsid w:val="0085464E"/>
    <w:rsid w:val="008548D2"/>
    <w:rsid w:val="00855964"/>
    <w:rsid w:val="00855F46"/>
    <w:rsid w:val="0085620F"/>
    <w:rsid w:val="008564D4"/>
    <w:rsid w:val="008569FD"/>
    <w:rsid w:val="00857CEB"/>
    <w:rsid w:val="0086046D"/>
    <w:rsid w:val="00860D17"/>
    <w:rsid w:val="008621BF"/>
    <w:rsid w:val="00862287"/>
    <w:rsid w:val="008625A3"/>
    <w:rsid w:val="00863002"/>
    <w:rsid w:val="00863237"/>
    <w:rsid w:val="008641EF"/>
    <w:rsid w:val="008643B5"/>
    <w:rsid w:val="00865194"/>
    <w:rsid w:val="0086528B"/>
    <w:rsid w:val="00865821"/>
    <w:rsid w:val="00865F78"/>
    <w:rsid w:val="00866F9C"/>
    <w:rsid w:val="00866FB1"/>
    <w:rsid w:val="008670FC"/>
    <w:rsid w:val="00867130"/>
    <w:rsid w:val="00867470"/>
    <w:rsid w:val="00867734"/>
    <w:rsid w:val="00867B08"/>
    <w:rsid w:val="00867F8C"/>
    <w:rsid w:val="008708F3"/>
    <w:rsid w:val="00870C94"/>
    <w:rsid w:val="008719F1"/>
    <w:rsid w:val="00871A40"/>
    <w:rsid w:val="0087229E"/>
    <w:rsid w:val="00872A36"/>
    <w:rsid w:val="00872FE7"/>
    <w:rsid w:val="008734CB"/>
    <w:rsid w:val="00873F32"/>
    <w:rsid w:val="00873F55"/>
    <w:rsid w:val="00873F60"/>
    <w:rsid w:val="00873FEE"/>
    <w:rsid w:val="0087411F"/>
    <w:rsid w:val="00874277"/>
    <w:rsid w:val="008743EC"/>
    <w:rsid w:val="008743EF"/>
    <w:rsid w:val="008745E2"/>
    <w:rsid w:val="00874EC1"/>
    <w:rsid w:val="008752D7"/>
    <w:rsid w:val="00875564"/>
    <w:rsid w:val="008757A8"/>
    <w:rsid w:val="00875C51"/>
    <w:rsid w:val="00876045"/>
    <w:rsid w:val="0087643E"/>
    <w:rsid w:val="008800C1"/>
    <w:rsid w:val="0088029F"/>
    <w:rsid w:val="0088035F"/>
    <w:rsid w:val="0088058D"/>
    <w:rsid w:val="00880999"/>
    <w:rsid w:val="008809E0"/>
    <w:rsid w:val="00880A4E"/>
    <w:rsid w:val="00880A8C"/>
    <w:rsid w:val="00880DC6"/>
    <w:rsid w:val="0088146A"/>
    <w:rsid w:val="008819B5"/>
    <w:rsid w:val="00881CAE"/>
    <w:rsid w:val="00881FE3"/>
    <w:rsid w:val="0088217E"/>
    <w:rsid w:val="008822AE"/>
    <w:rsid w:val="00882BC6"/>
    <w:rsid w:val="00882BFE"/>
    <w:rsid w:val="00882C67"/>
    <w:rsid w:val="00883289"/>
    <w:rsid w:val="00883D24"/>
    <w:rsid w:val="00884110"/>
    <w:rsid w:val="00884155"/>
    <w:rsid w:val="0088422B"/>
    <w:rsid w:val="008849FB"/>
    <w:rsid w:val="00884AE1"/>
    <w:rsid w:val="008855E1"/>
    <w:rsid w:val="008855E2"/>
    <w:rsid w:val="00885BB1"/>
    <w:rsid w:val="00885FDC"/>
    <w:rsid w:val="008860CE"/>
    <w:rsid w:val="008864D1"/>
    <w:rsid w:val="008867F6"/>
    <w:rsid w:val="00886A3F"/>
    <w:rsid w:val="00886A86"/>
    <w:rsid w:val="00886CCB"/>
    <w:rsid w:val="00887144"/>
    <w:rsid w:val="008876E8"/>
    <w:rsid w:val="00887936"/>
    <w:rsid w:val="00887BD5"/>
    <w:rsid w:val="00887CF1"/>
    <w:rsid w:val="00887D72"/>
    <w:rsid w:val="008905A0"/>
    <w:rsid w:val="00890B50"/>
    <w:rsid w:val="00890FCB"/>
    <w:rsid w:val="00891999"/>
    <w:rsid w:val="00891E6E"/>
    <w:rsid w:val="008929AC"/>
    <w:rsid w:val="00892EE1"/>
    <w:rsid w:val="00893480"/>
    <w:rsid w:val="008938FD"/>
    <w:rsid w:val="008942B2"/>
    <w:rsid w:val="00894A7C"/>
    <w:rsid w:val="00896725"/>
    <w:rsid w:val="00897148"/>
    <w:rsid w:val="00897194"/>
    <w:rsid w:val="008971E2"/>
    <w:rsid w:val="00897330"/>
    <w:rsid w:val="00897EB3"/>
    <w:rsid w:val="008A0319"/>
    <w:rsid w:val="008A08F4"/>
    <w:rsid w:val="008A0B70"/>
    <w:rsid w:val="008A19D3"/>
    <w:rsid w:val="008A1A41"/>
    <w:rsid w:val="008A1D14"/>
    <w:rsid w:val="008A221B"/>
    <w:rsid w:val="008A222A"/>
    <w:rsid w:val="008A23FE"/>
    <w:rsid w:val="008A2533"/>
    <w:rsid w:val="008A273B"/>
    <w:rsid w:val="008A27F7"/>
    <w:rsid w:val="008A2BCF"/>
    <w:rsid w:val="008A3D1B"/>
    <w:rsid w:val="008A43B6"/>
    <w:rsid w:val="008A48B0"/>
    <w:rsid w:val="008A51FA"/>
    <w:rsid w:val="008A5243"/>
    <w:rsid w:val="008A53CD"/>
    <w:rsid w:val="008A5B57"/>
    <w:rsid w:val="008A609D"/>
    <w:rsid w:val="008A61CB"/>
    <w:rsid w:val="008A62E7"/>
    <w:rsid w:val="008A701D"/>
    <w:rsid w:val="008A7376"/>
    <w:rsid w:val="008A77BE"/>
    <w:rsid w:val="008A7928"/>
    <w:rsid w:val="008B022F"/>
    <w:rsid w:val="008B078E"/>
    <w:rsid w:val="008B0831"/>
    <w:rsid w:val="008B143B"/>
    <w:rsid w:val="008B16B6"/>
    <w:rsid w:val="008B25F0"/>
    <w:rsid w:val="008B2630"/>
    <w:rsid w:val="008B2650"/>
    <w:rsid w:val="008B2C34"/>
    <w:rsid w:val="008B3803"/>
    <w:rsid w:val="008B3F3B"/>
    <w:rsid w:val="008B40E6"/>
    <w:rsid w:val="008B491F"/>
    <w:rsid w:val="008B4DBB"/>
    <w:rsid w:val="008B503D"/>
    <w:rsid w:val="008B5270"/>
    <w:rsid w:val="008B5F47"/>
    <w:rsid w:val="008B618E"/>
    <w:rsid w:val="008B70B5"/>
    <w:rsid w:val="008B76A2"/>
    <w:rsid w:val="008B7CF9"/>
    <w:rsid w:val="008C07A2"/>
    <w:rsid w:val="008C146C"/>
    <w:rsid w:val="008C22A8"/>
    <w:rsid w:val="008C2BBB"/>
    <w:rsid w:val="008C3156"/>
    <w:rsid w:val="008C3307"/>
    <w:rsid w:val="008C3B80"/>
    <w:rsid w:val="008C473B"/>
    <w:rsid w:val="008C483F"/>
    <w:rsid w:val="008C525A"/>
    <w:rsid w:val="008C54F5"/>
    <w:rsid w:val="008C54FB"/>
    <w:rsid w:val="008C6197"/>
    <w:rsid w:val="008C6B2C"/>
    <w:rsid w:val="008C6BC9"/>
    <w:rsid w:val="008C71D9"/>
    <w:rsid w:val="008C77D2"/>
    <w:rsid w:val="008C7FC6"/>
    <w:rsid w:val="008D0060"/>
    <w:rsid w:val="008D035A"/>
    <w:rsid w:val="008D0595"/>
    <w:rsid w:val="008D0CB2"/>
    <w:rsid w:val="008D12F5"/>
    <w:rsid w:val="008D133A"/>
    <w:rsid w:val="008D15AC"/>
    <w:rsid w:val="008D1F8B"/>
    <w:rsid w:val="008D23BA"/>
    <w:rsid w:val="008D268F"/>
    <w:rsid w:val="008D367A"/>
    <w:rsid w:val="008D3CA9"/>
    <w:rsid w:val="008D40DA"/>
    <w:rsid w:val="008D4536"/>
    <w:rsid w:val="008D49DE"/>
    <w:rsid w:val="008D4A10"/>
    <w:rsid w:val="008D5867"/>
    <w:rsid w:val="008D5AFC"/>
    <w:rsid w:val="008D5B34"/>
    <w:rsid w:val="008D5B39"/>
    <w:rsid w:val="008D5C29"/>
    <w:rsid w:val="008D612A"/>
    <w:rsid w:val="008D61FD"/>
    <w:rsid w:val="008D63AF"/>
    <w:rsid w:val="008D64F5"/>
    <w:rsid w:val="008D65A1"/>
    <w:rsid w:val="008D66E8"/>
    <w:rsid w:val="008D7976"/>
    <w:rsid w:val="008D7D20"/>
    <w:rsid w:val="008E0174"/>
    <w:rsid w:val="008E028D"/>
    <w:rsid w:val="008E13CA"/>
    <w:rsid w:val="008E230A"/>
    <w:rsid w:val="008E2689"/>
    <w:rsid w:val="008E2983"/>
    <w:rsid w:val="008E2A5A"/>
    <w:rsid w:val="008E30C3"/>
    <w:rsid w:val="008E3BB8"/>
    <w:rsid w:val="008E3E5D"/>
    <w:rsid w:val="008E3E9D"/>
    <w:rsid w:val="008E456C"/>
    <w:rsid w:val="008E4C98"/>
    <w:rsid w:val="008E4F93"/>
    <w:rsid w:val="008E5ADD"/>
    <w:rsid w:val="008E5E3B"/>
    <w:rsid w:val="008E629B"/>
    <w:rsid w:val="008E67D9"/>
    <w:rsid w:val="008E68A3"/>
    <w:rsid w:val="008E6D66"/>
    <w:rsid w:val="008E7113"/>
    <w:rsid w:val="008E7BE2"/>
    <w:rsid w:val="008E7D35"/>
    <w:rsid w:val="008F0104"/>
    <w:rsid w:val="008F02A9"/>
    <w:rsid w:val="008F143A"/>
    <w:rsid w:val="008F160B"/>
    <w:rsid w:val="008F1907"/>
    <w:rsid w:val="008F21D7"/>
    <w:rsid w:val="008F277B"/>
    <w:rsid w:val="008F281E"/>
    <w:rsid w:val="008F34BD"/>
    <w:rsid w:val="008F3581"/>
    <w:rsid w:val="008F3E6B"/>
    <w:rsid w:val="008F476E"/>
    <w:rsid w:val="008F4A5E"/>
    <w:rsid w:val="008F4BAC"/>
    <w:rsid w:val="008F4C6E"/>
    <w:rsid w:val="008F6423"/>
    <w:rsid w:val="008F6522"/>
    <w:rsid w:val="008F6985"/>
    <w:rsid w:val="008F76ED"/>
    <w:rsid w:val="008F7903"/>
    <w:rsid w:val="008F797B"/>
    <w:rsid w:val="008F7CE9"/>
    <w:rsid w:val="008F7E3B"/>
    <w:rsid w:val="008F7EF0"/>
    <w:rsid w:val="0090013B"/>
    <w:rsid w:val="00900436"/>
    <w:rsid w:val="0090057B"/>
    <w:rsid w:val="009008BA"/>
    <w:rsid w:val="00900CAC"/>
    <w:rsid w:val="009013F7"/>
    <w:rsid w:val="0090157E"/>
    <w:rsid w:val="00901863"/>
    <w:rsid w:val="00901890"/>
    <w:rsid w:val="00901B89"/>
    <w:rsid w:val="00901FAD"/>
    <w:rsid w:val="00902066"/>
    <w:rsid w:val="0090233A"/>
    <w:rsid w:val="00902DC1"/>
    <w:rsid w:val="00902EC7"/>
    <w:rsid w:val="00902F1B"/>
    <w:rsid w:val="009039F4"/>
    <w:rsid w:val="009046B3"/>
    <w:rsid w:val="00904EA9"/>
    <w:rsid w:val="00905635"/>
    <w:rsid w:val="009057F6"/>
    <w:rsid w:val="00905C2C"/>
    <w:rsid w:val="0090608E"/>
    <w:rsid w:val="009061E6"/>
    <w:rsid w:val="00906A72"/>
    <w:rsid w:val="00906E93"/>
    <w:rsid w:val="00907158"/>
    <w:rsid w:val="009072A6"/>
    <w:rsid w:val="009077F3"/>
    <w:rsid w:val="00910AAB"/>
    <w:rsid w:val="00911B46"/>
    <w:rsid w:val="00911DE8"/>
    <w:rsid w:val="009128C9"/>
    <w:rsid w:val="00912C76"/>
    <w:rsid w:val="00912E1E"/>
    <w:rsid w:val="00913B78"/>
    <w:rsid w:val="00913BD6"/>
    <w:rsid w:val="00913D62"/>
    <w:rsid w:val="009146DB"/>
    <w:rsid w:val="00914757"/>
    <w:rsid w:val="009151F7"/>
    <w:rsid w:val="009159BC"/>
    <w:rsid w:val="00915A18"/>
    <w:rsid w:val="009160CC"/>
    <w:rsid w:val="00916CCB"/>
    <w:rsid w:val="00916DFE"/>
    <w:rsid w:val="0091756A"/>
    <w:rsid w:val="00917877"/>
    <w:rsid w:val="00917B06"/>
    <w:rsid w:val="009207C5"/>
    <w:rsid w:val="009209CC"/>
    <w:rsid w:val="009209E4"/>
    <w:rsid w:val="009217B3"/>
    <w:rsid w:val="00921C83"/>
    <w:rsid w:val="00921E5E"/>
    <w:rsid w:val="00922423"/>
    <w:rsid w:val="00922A80"/>
    <w:rsid w:val="009230B8"/>
    <w:rsid w:val="00923217"/>
    <w:rsid w:val="00923303"/>
    <w:rsid w:val="009236B6"/>
    <w:rsid w:val="00923B2C"/>
    <w:rsid w:val="00923D75"/>
    <w:rsid w:val="009244AD"/>
    <w:rsid w:val="00924E2D"/>
    <w:rsid w:val="00924F90"/>
    <w:rsid w:val="00925192"/>
    <w:rsid w:val="00925794"/>
    <w:rsid w:val="00926E30"/>
    <w:rsid w:val="00927516"/>
    <w:rsid w:val="00927A64"/>
    <w:rsid w:val="00927D3D"/>
    <w:rsid w:val="00927E31"/>
    <w:rsid w:val="00927FD4"/>
    <w:rsid w:val="00930118"/>
    <w:rsid w:val="009304F7"/>
    <w:rsid w:val="00930716"/>
    <w:rsid w:val="00930BDF"/>
    <w:rsid w:val="00930C0C"/>
    <w:rsid w:val="00930EF3"/>
    <w:rsid w:val="009311AF"/>
    <w:rsid w:val="00931236"/>
    <w:rsid w:val="009316AE"/>
    <w:rsid w:val="00931A92"/>
    <w:rsid w:val="009321E2"/>
    <w:rsid w:val="00932529"/>
    <w:rsid w:val="009329DA"/>
    <w:rsid w:val="00932B53"/>
    <w:rsid w:val="00932F34"/>
    <w:rsid w:val="0093357B"/>
    <w:rsid w:val="00933662"/>
    <w:rsid w:val="0093370D"/>
    <w:rsid w:val="00933AF0"/>
    <w:rsid w:val="00933D3C"/>
    <w:rsid w:val="00933E91"/>
    <w:rsid w:val="0093436D"/>
    <w:rsid w:val="009343A5"/>
    <w:rsid w:val="009348FC"/>
    <w:rsid w:val="00934C4C"/>
    <w:rsid w:val="00934D77"/>
    <w:rsid w:val="0093509D"/>
    <w:rsid w:val="0093589B"/>
    <w:rsid w:val="00935D84"/>
    <w:rsid w:val="00936020"/>
    <w:rsid w:val="009361F6"/>
    <w:rsid w:val="009368B8"/>
    <w:rsid w:val="00936E0D"/>
    <w:rsid w:val="0093769F"/>
    <w:rsid w:val="00937947"/>
    <w:rsid w:val="00937E6D"/>
    <w:rsid w:val="00940164"/>
    <w:rsid w:val="00940CF6"/>
    <w:rsid w:val="00940F3A"/>
    <w:rsid w:val="0094140D"/>
    <w:rsid w:val="009414A1"/>
    <w:rsid w:val="0094179F"/>
    <w:rsid w:val="0094191B"/>
    <w:rsid w:val="00941BBE"/>
    <w:rsid w:val="0094209D"/>
    <w:rsid w:val="009428D7"/>
    <w:rsid w:val="00943247"/>
    <w:rsid w:val="009432B4"/>
    <w:rsid w:val="00943BC9"/>
    <w:rsid w:val="00944B7D"/>
    <w:rsid w:val="00944E92"/>
    <w:rsid w:val="00945263"/>
    <w:rsid w:val="00945D9C"/>
    <w:rsid w:val="00945E8A"/>
    <w:rsid w:val="00946122"/>
    <w:rsid w:val="0094680D"/>
    <w:rsid w:val="009469E7"/>
    <w:rsid w:val="00946A29"/>
    <w:rsid w:val="00946C9C"/>
    <w:rsid w:val="00947418"/>
    <w:rsid w:val="00947C89"/>
    <w:rsid w:val="009502F1"/>
    <w:rsid w:val="00950334"/>
    <w:rsid w:val="0095099B"/>
    <w:rsid w:val="0095155C"/>
    <w:rsid w:val="0095166B"/>
    <w:rsid w:val="00951BFE"/>
    <w:rsid w:val="00952850"/>
    <w:rsid w:val="00952C7D"/>
    <w:rsid w:val="0095307A"/>
    <w:rsid w:val="00953751"/>
    <w:rsid w:val="00953CE8"/>
    <w:rsid w:val="00953D89"/>
    <w:rsid w:val="009540E7"/>
    <w:rsid w:val="00954393"/>
    <w:rsid w:val="00954B8F"/>
    <w:rsid w:val="00954D5A"/>
    <w:rsid w:val="0095512A"/>
    <w:rsid w:val="0095555F"/>
    <w:rsid w:val="00955829"/>
    <w:rsid w:val="009561B5"/>
    <w:rsid w:val="00956973"/>
    <w:rsid w:val="009570A9"/>
    <w:rsid w:val="0095710E"/>
    <w:rsid w:val="00957604"/>
    <w:rsid w:val="0095762A"/>
    <w:rsid w:val="0095772A"/>
    <w:rsid w:val="009577B8"/>
    <w:rsid w:val="00957F8B"/>
    <w:rsid w:val="0096057C"/>
    <w:rsid w:val="00961B31"/>
    <w:rsid w:val="009626D3"/>
    <w:rsid w:val="009636C1"/>
    <w:rsid w:val="00963C9F"/>
    <w:rsid w:val="00963F9E"/>
    <w:rsid w:val="009648AC"/>
    <w:rsid w:val="00965111"/>
    <w:rsid w:val="0096515E"/>
    <w:rsid w:val="00965780"/>
    <w:rsid w:val="00965D37"/>
    <w:rsid w:val="00965D98"/>
    <w:rsid w:val="00966011"/>
    <w:rsid w:val="00966022"/>
    <w:rsid w:val="009662C8"/>
    <w:rsid w:val="009665B8"/>
    <w:rsid w:val="0096666C"/>
    <w:rsid w:val="009668AB"/>
    <w:rsid w:val="00966A11"/>
    <w:rsid w:val="00970420"/>
    <w:rsid w:val="00970620"/>
    <w:rsid w:val="00970B77"/>
    <w:rsid w:val="00970E22"/>
    <w:rsid w:val="00970E7B"/>
    <w:rsid w:val="0097151B"/>
    <w:rsid w:val="009715FD"/>
    <w:rsid w:val="00971B1E"/>
    <w:rsid w:val="00971E05"/>
    <w:rsid w:val="00972230"/>
    <w:rsid w:val="009737C7"/>
    <w:rsid w:val="009739CF"/>
    <w:rsid w:val="00973CC9"/>
    <w:rsid w:val="00973D18"/>
    <w:rsid w:val="009745E6"/>
    <w:rsid w:val="00974693"/>
    <w:rsid w:val="00974AA6"/>
    <w:rsid w:val="00974E49"/>
    <w:rsid w:val="009758D3"/>
    <w:rsid w:val="00975E9A"/>
    <w:rsid w:val="009767B2"/>
    <w:rsid w:val="0097685B"/>
    <w:rsid w:val="009768CC"/>
    <w:rsid w:val="00976D77"/>
    <w:rsid w:val="00976F0B"/>
    <w:rsid w:val="009770D1"/>
    <w:rsid w:val="00977BAF"/>
    <w:rsid w:val="00977E23"/>
    <w:rsid w:val="0098010D"/>
    <w:rsid w:val="00980348"/>
    <w:rsid w:val="00980B07"/>
    <w:rsid w:val="00981380"/>
    <w:rsid w:val="0098165A"/>
    <w:rsid w:val="00981709"/>
    <w:rsid w:val="00982021"/>
    <w:rsid w:val="0098210D"/>
    <w:rsid w:val="009828CB"/>
    <w:rsid w:val="00983EEA"/>
    <w:rsid w:val="0098409B"/>
    <w:rsid w:val="00984299"/>
    <w:rsid w:val="009842AF"/>
    <w:rsid w:val="00984333"/>
    <w:rsid w:val="00984DD7"/>
    <w:rsid w:val="0098505A"/>
    <w:rsid w:val="009854E9"/>
    <w:rsid w:val="00986708"/>
    <w:rsid w:val="00986ABF"/>
    <w:rsid w:val="00986F32"/>
    <w:rsid w:val="00987F89"/>
    <w:rsid w:val="00990133"/>
    <w:rsid w:val="00990743"/>
    <w:rsid w:val="009907E0"/>
    <w:rsid w:val="00990B55"/>
    <w:rsid w:val="00991087"/>
    <w:rsid w:val="009912DF"/>
    <w:rsid w:val="009913EF"/>
    <w:rsid w:val="0099172D"/>
    <w:rsid w:val="00991A82"/>
    <w:rsid w:val="0099214C"/>
    <w:rsid w:val="009929AD"/>
    <w:rsid w:val="00993312"/>
    <w:rsid w:val="009939F6"/>
    <w:rsid w:val="00993A8B"/>
    <w:rsid w:val="00994200"/>
    <w:rsid w:val="00994BC8"/>
    <w:rsid w:val="00995378"/>
    <w:rsid w:val="009959CA"/>
    <w:rsid w:val="00995C90"/>
    <w:rsid w:val="00995E9E"/>
    <w:rsid w:val="00997548"/>
    <w:rsid w:val="009A009B"/>
    <w:rsid w:val="009A07B8"/>
    <w:rsid w:val="009A0F62"/>
    <w:rsid w:val="009A1751"/>
    <w:rsid w:val="009A20CC"/>
    <w:rsid w:val="009A231E"/>
    <w:rsid w:val="009A268E"/>
    <w:rsid w:val="009A2726"/>
    <w:rsid w:val="009A289A"/>
    <w:rsid w:val="009A2967"/>
    <w:rsid w:val="009A2D46"/>
    <w:rsid w:val="009A3366"/>
    <w:rsid w:val="009A3CFB"/>
    <w:rsid w:val="009A3F37"/>
    <w:rsid w:val="009A4D88"/>
    <w:rsid w:val="009A5296"/>
    <w:rsid w:val="009A5531"/>
    <w:rsid w:val="009A57C5"/>
    <w:rsid w:val="009A664A"/>
    <w:rsid w:val="009A6930"/>
    <w:rsid w:val="009A6A6C"/>
    <w:rsid w:val="009A6A97"/>
    <w:rsid w:val="009A6E11"/>
    <w:rsid w:val="009A6E18"/>
    <w:rsid w:val="009A79E8"/>
    <w:rsid w:val="009B003E"/>
    <w:rsid w:val="009B09A0"/>
    <w:rsid w:val="009B0AD5"/>
    <w:rsid w:val="009B1FA6"/>
    <w:rsid w:val="009B2B77"/>
    <w:rsid w:val="009B2E08"/>
    <w:rsid w:val="009B33E0"/>
    <w:rsid w:val="009B34FB"/>
    <w:rsid w:val="009B350E"/>
    <w:rsid w:val="009B363F"/>
    <w:rsid w:val="009B3BB5"/>
    <w:rsid w:val="009B4250"/>
    <w:rsid w:val="009B5239"/>
    <w:rsid w:val="009B5715"/>
    <w:rsid w:val="009B5766"/>
    <w:rsid w:val="009B5789"/>
    <w:rsid w:val="009B6360"/>
    <w:rsid w:val="009B64FF"/>
    <w:rsid w:val="009B650F"/>
    <w:rsid w:val="009B660E"/>
    <w:rsid w:val="009B6775"/>
    <w:rsid w:val="009B69D7"/>
    <w:rsid w:val="009B6DCA"/>
    <w:rsid w:val="009B6EB9"/>
    <w:rsid w:val="009B747D"/>
    <w:rsid w:val="009B7DA5"/>
    <w:rsid w:val="009C0726"/>
    <w:rsid w:val="009C07C4"/>
    <w:rsid w:val="009C1A1B"/>
    <w:rsid w:val="009C2002"/>
    <w:rsid w:val="009C2264"/>
    <w:rsid w:val="009C2BBE"/>
    <w:rsid w:val="009C2BD8"/>
    <w:rsid w:val="009C3159"/>
    <w:rsid w:val="009C3E27"/>
    <w:rsid w:val="009C5449"/>
    <w:rsid w:val="009C5620"/>
    <w:rsid w:val="009C5E2B"/>
    <w:rsid w:val="009C5EAF"/>
    <w:rsid w:val="009C6C29"/>
    <w:rsid w:val="009C7284"/>
    <w:rsid w:val="009C72B8"/>
    <w:rsid w:val="009C73B6"/>
    <w:rsid w:val="009C7EEB"/>
    <w:rsid w:val="009C7F1A"/>
    <w:rsid w:val="009D00D7"/>
    <w:rsid w:val="009D0B05"/>
    <w:rsid w:val="009D0FEC"/>
    <w:rsid w:val="009D1CF0"/>
    <w:rsid w:val="009D2519"/>
    <w:rsid w:val="009D2D89"/>
    <w:rsid w:val="009D3403"/>
    <w:rsid w:val="009D36DA"/>
    <w:rsid w:val="009D3E11"/>
    <w:rsid w:val="009D4151"/>
    <w:rsid w:val="009D4379"/>
    <w:rsid w:val="009D4671"/>
    <w:rsid w:val="009D46CA"/>
    <w:rsid w:val="009D4761"/>
    <w:rsid w:val="009D47D7"/>
    <w:rsid w:val="009D4E3B"/>
    <w:rsid w:val="009D5179"/>
    <w:rsid w:val="009D5424"/>
    <w:rsid w:val="009D5F7A"/>
    <w:rsid w:val="009D6200"/>
    <w:rsid w:val="009D68FD"/>
    <w:rsid w:val="009D6985"/>
    <w:rsid w:val="009D6B23"/>
    <w:rsid w:val="009D6DBC"/>
    <w:rsid w:val="009D7B78"/>
    <w:rsid w:val="009E049F"/>
    <w:rsid w:val="009E14E6"/>
    <w:rsid w:val="009E1807"/>
    <w:rsid w:val="009E237A"/>
    <w:rsid w:val="009E2B0F"/>
    <w:rsid w:val="009E37C8"/>
    <w:rsid w:val="009E3D83"/>
    <w:rsid w:val="009E43D5"/>
    <w:rsid w:val="009E45C9"/>
    <w:rsid w:val="009E46C4"/>
    <w:rsid w:val="009E483B"/>
    <w:rsid w:val="009E4B05"/>
    <w:rsid w:val="009E4F92"/>
    <w:rsid w:val="009E5026"/>
    <w:rsid w:val="009E5420"/>
    <w:rsid w:val="009E5517"/>
    <w:rsid w:val="009E5D05"/>
    <w:rsid w:val="009E7324"/>
    <w:rsid w:val="009E7520"/>
    <w:rsid w:val="009F0594"/>
    <w:rsid w:val="009F0725"/>
    <w:rsid w:val="009F0E20"/>
    <w:rsid w:val="009F11C3"/>
    <w:rsid w:val="009F13D1"/>
    <w:rsid w:val="009F1BE1"/>
    <w:rsid w:val="009F249A"/>
    <w:rsid w:val="009F2B51"/>
    <w:rsid w:val="009F3060"/>
    <w:rsid w:val="009F383E"/>
    <w:rsid w:val="009F38DD"/>
    <w:rsid w:val="009F3BD5"/>
    <w:rsid w:val="009F4137"/>
    <w:rsid w:val="009F4273"/>
    <w:rsid w:val="009F4282"/>
    <w:rsid w:val="009F4521"/>
    <w:rsid w:val="009F4754"/>
    <w:rsid w:val="009F4D03"/>
    <w:rsid w:val="009F50FD"/>
    <w:rsid w:val="009F57C4"/>
    <w:rsid w:val="009F581A"/>
    <w:rsid w:val="009F6090"/>
    <w:rsid w:val="009F6409"/>
    <w:rsid w:val="009F65A7"/>
    <w:rsid w:val="009F699D"/>
    <w:rsid w:val="00A00098"/>
    <w:rsid w:val="00A0012E"/>
    <w:rsid w:val="00A00625"/>
    <w:rsid w:val="00A00F5D"/>
    <w:rsid w:val="00A01484"/>
    <w:rsid w:val="00A01776"/>
    <w:rsid w:val="00A0214A"/>
    <w:rsid w:val="00A022CB"/>
    <w:rsid w:val="00A02B4C"/>
    <w:rsid w:val="00A02D1A"/>
    <w:rsid w:val="00A0302A"/>
    <w:rsid w:val="00A032E5"/>
    <w:rsid w:val="00A03673"/>
    <w:rsid w:val="00A03AFB"/>
    <w:rsid w:val="00A04037"/>
    <w:rsid w:val="00A040EE"/>
    <w:rsid w:val="00A04159"/>
    <w:rsid w:val="00A042ED"/>
    <w:rsid w:val="00A045C6"/>
    <w:rsid w:val="00A047AC"/>
    <w:rsid w:val="00A04A66"/>
    <w:rsid w:val="00A05417"/>
    <w:rsid w:val="00A05728"/>
    <w:rsid w:val="00A05B28"/>
    <w:rsid w:val="00A05C41"/>
    <w:rsid w:val="00A06047"/>
    <w:rsid w:val="00A06412"/>
    <w:rsid w:val="00A0695B"/>
    <w:rsid w:val="00A070A4"/>
    <w:rsid w:val="00A07598"/>
    <w:rsid w:val="00A07826"/>
    <w:rsid w:val="00A07B47"/>
    <w:rsid w:val="00A07D7B"/>
    <w:rsid w:val="00A07DCF"/>
    <w:rsid w:val="00A07F30"/>
    <w:rsid w:val="00A10704"/>
    <w:rsid w:val="00A10FAF"/>
    <w:rsid w:val="00A10FEB"/>
    <w:rsid w:val="00A11193"/>
    <w:rsid w:val="00A11282"/>
    <w:rsid w:val="00A11368"/>
    <w:rsid w:val="00A11A7A"/>
    <w:rsid w:val="00A11B5B"/>
    <w:rsid w:val="00A11CDE"/>
    <w:rsid w:val="00A11FCE"/>
    <w:rsid w:val="00A12A07"/>
    <w:rsid w:val="00A12DB8"/>
    <w:rsid w:val="00A1347E"/>
    <w:rsid w:val="00A1416C"/>
    <w:rsid w:val="00A1440B"/>
    <w:rsid w:val="00A147F5"/>
    <w:rsid w:val="00A14AEE"/>
    <w:rsid w:val="00A14ED8"/>
    <w:rsid w:val="00A154D9"/>
    <w:rsid w:val="00A156E3"/>
    <w:rsid w:val="00A15B87"/>
    <w:rsid w:val="00A15D0E"/>
    <w:rsid w:val="00A160CF"/>
    <w:rsid w:val="00A1612C"/>
    <w:rsid w:val="00A163E4"/>
    <w:rsid w:val="00A16840"/>
    <w:rsid w:val="00A16B37"/>
    <w:rsid w:val="00A17314"/>
    <w:rsid w:val="00A179B7"/>
    <w:rsid w:val="00A20A52"/>
    <w:rsid w:val="00A20F87"/>
    <w:rsid w:val="00A20FB7"/>
    <w:rsid w:val="00A21257"/>
    <w:rsid w:val="00A21742"/>
    <w:rsid w:val="00A21934"/>
    <w:rsid w:val="00A22AFE"/>
    <w:rsid w:val="00A22BF7"/>
    <w:rsid w:val="00A239B7"/>
    <w:rsid w:val="00A24422"/>
    <w:rsid w:val="00A245BE"/>
    <w:rsid w:val="00A24CAD"/>
    <w:rsid w:val="00A2513B"/>
    <w:rsid w:val="00A2563E"/>
    <w:rsid w:val="00A25812"/>
    <w:rsid w:val="00A25FFF"/>
    <w:rsid w:val="00A2613C"/>
    <w:rsid w:val="00A262D1"/>
    <w:rsid w:val="00A2664F"/>
    <w:rsid w:val="00A2670F"/>
    <w:rsid w:val="00A267C6"/>
    <w:rsid w:val="00A26862"/>
    <w:rsid w:val="00A26B38"/>
    <w:rsid w:val="00A27602"/>
    <w:rsid w:val="00A27C98"/>
    <w:rsid w:val="00A30A50"/>
    <w:rsid w:val="00A30C9D"/>
    <w:rsid w:val="00A316CC"/>
    <w:rsid w:val="00A31E8A"/>
    <w:rsid w:val="00A3221E"/>
    <w:rsid w:val="00A32C90"/>
    <w:rsid w:val="00A33027"/>
    <w:rsid w:val="00A33308"/>
    <w:rsid w:val="00A33478"/>
    <w:rsid w:val="00A33896"/>
    <w:rsid w:val="00A33A3D"/>
    <w:rsid w:val="00A33E13"/>
    <w:rsid w:val="00A35305"/>
    <w:rsid w:val="00A353F3"/>
    <w:rsid w:val="00A35872"/>
    <w:rsid w:val="00A35A9D"/>
    <w:rsid w:val="00A36A53"/>
    <w:rsid w:val="00A36C1B"/>
    <w:rsid w:val="00A371EF"/>
    <w:rsid w:val="00A3793F"/>
    <w:rsid w:val="00A37E2B"/>
    <w:rsid w:val="00A40599"/>
    <w:rsid w:val="00A4075F"/>
    <w:rsid w:val="00A40887"/>
    <w:rsid w:val="00A40B46"/>
    <w:rsid w:val="00A417ED"/>
    <w:rsid w:val="00A43154"/>
    <w:rsid w:val="00A438FD"/>
    <w:rsid w:val="00A439EA"/>
    <w:rsid w:val="00A43C20"/>
    <w:rsid w:val="00A43E26"/>
    <w:rsid w:val="00A443E5"/>
    <w:rsid w:val="00A447C4"/>
    <w:rsid w:val="00A44A2F"/>
    <w:rsid w:val="00A45916"/>
    <w:rsid w:val="00A45B4F"/>
    <w:rsid w:val="00A460D0"/>
    <w:rsid w:val="00A4658B"/>
    <w:rsid w:val="00A4665C"/>
    <w:rsid w:val="00A47709"/>
    <w:rsid w:val="00A478B8"/>
    <w:rsid w:val="00A47E71"/>
    <w:rsid w:val="00A500AC"/>
    <w:rsid w:val="00A50233"/>
    <w:rsid w:val="00A50F12"/>
    <w:rsid w:val="00A518E2"/>
    <w:rsid w:val="00A51D1F"/>
    <w:rsid w:val="00A51ECA"/>
    <w:rsid w:val="00A52E60"/>
    <w:rsid w:val="00A53150"/>
    <w:rsid w:val="00A537BB"/>
    <w:rsid w:val="00A53A96"/>
    <w:rsid w:val="00A54572"/>
    <w:rsid w:val="00A548E2"/>
    <w:rsid w:val="00A54F3E"/>
    <w:rsid w:val="00A55062"/>
    <w:rsid w:val="00A55075"/>
    <w:rsid w:val="00A55B06"/>
    <w:rsid w:val="00A55BE9"/>
    <w:rsid w:val="00A55D1E"/>
    <w:rsid w:val="00A55F95"/>
    <w:rsid w:val="00A56112"/>
    <w:rsid w:val="00A56420"/>
    <w:rsid w:val="00A573E3"/>
    <w:rsid w:val="00A57EF2"/>
    <w:rsid w:val="00A60B69"/>
    <w:rsid w:val="00A6113D"/>
    <w:rsid w:val="00A612BE"/>
    <w:rsid w:val="00A612F4"/>
    <w:rsid w:val="00A61DEB"/>
    <w:rsid w:val="00A630B7"/>
    <w:rsid w:val="00A63160"/>
    <w:rsid w:val="00A634FB"/>
    <w:rsid w:val="00A6387A"/>
    <w:rsid w:val="00A64782"/>
    <w:rsid w:val="00A64809"/>
    <w:rsid w:val="00A64989"/>
    <w:rsid w:val="00A64EA4"/>
    <w:rsid w:val="00A66009"/>
    <w:rsid w:val="00A6606F"/>
    <w:rsid w:val="00A660F2"/>
    <w:rsid w:val="00A6613F"/>
    <w:rsid w:val="00A66300"/>
    <w:rsid w:val="00A66365"/>
    <w:rsid w:val="00A66429"/>
    <w:rsid w:val="00A66633"/>
    <w:rsid w:val="00A6674A"/>
    <w:rsid w:val="00A669E9"/>
    <w:rsid w:val="00A67373"/>
    <w:rsid w:val="00A674F4"/>
    <w:rsid w:val="00A677D8"/>
    <w:rsid w:val="00A67813"/>
    <w:rsid w:val="00A67948"/>
    <w:rsid w:val="00A67BC8"/>
    <w:rsid w:val="00A702F8"/>
    <w:rsid w:val="00A706A3"/>
    <w:rsid w:val="00A707AD"/>
    <w:rsid w:val="00A716B4"/>
    <w:rsid w:val="00A716D1"/>
    <w:rsid w:val="00A71BCE"/>
    <w:rsid w:val="00A71F43"/>
    <w:rsid w:val="00A73353"/>
    <w:rsid w:val="00A73436"/>
    <w:rsid w:val="00A73694"/>
    <w:rsid w:val="00A738C0"/>
    <w:rsid w:val="00A74727"/>
    <w:rsid w:val="00A75188"/>
    <w:rsid w:val="00A7522B"/>
    <w:rsid w:val="00A7522C"/>
    <w:rsid w:val="00A75277"/>
    <w:rsid w:val="00A753C8"/>
    <w:rsid w:val="00A7553E"/>
    <w:rsid w:val="00A75DCB"/>
    <w:rsid w:val="00A768D5"/>
    <w:rsid w:val="00A76935"/>
    <w:rsid w:val="00A76E1A"/>
    <w:rsid w:val="00A7778A"/>
    <w:rsid w:val="00A8019E"/>
    <w:rsid w:val="00A812CD"/>
    <w:rsid w:val="00A8173D"/>
    <w:rsid w:val="00A8207E"/>
    <w:rsid w:val="00A822B8"/>
    <w:rsid w:val="00A8257A"/>
    <w:rsid w:val="00A82799"/>
    <w:rsid w:val="00A827CC"/>
    <w:rsid w:val="00A829DD"/>
    <w:rsid w:val="00A82A95"/>
    <w:rsid w:val="00A831AF"/>
    <w:rsid w:val="00A835F7"/>
    <w:rsid w:val="00A83627"/>
    <w:rsid w:val="00A8377A"/>
    <w:rsid w:val="00A84926"/>
    <w:rsid w:val="00A84DE6"/>
    <w:rsid w:val="00A85590"/>
    <w:rsid w:val="00A85905"/>
    <w:rsid w:val="00A85969"/>
    <w:rsid w:val="00A859DE"/>
    <w:rsid w:val="00A85AF2"/>
    <w:rsid w:val="00A85F9E"/>
    <w:rsid w:val="00A86432"/>
    <w:rsid w:val="00A86C6F"/>
    <w:rsid w:val="00A8779D"/>
    <w:rsid w:val="00A87AD6"/>
    <w:rsid w:val="00A87CFF"/>
    <w:rsid w:val="00A90487"/>
    <w:rsid w:val="00A90A85"/>
    <w:rsid w:val="00A912D3"/>
    <w:rsid w:val="00A91C4E"/>
    <w:rsid w:val="00A91F46"/>
    <w:rsid w:val="00A92168"/>
    <w:rsid w:val="00A92488"/>
    <w:rsid w:val="00A9288F"/>
    <w:rsid w:val="00A92AE2"/>
    <w:rsid w:val="00A92B15"/>
    <w:rsid w:val="00A934E3"/>
    <w:rsid w:val="00A93737"/>
    <w:rsid w:val="00A937A4"/>
    <w:rsid w:val="00A938E8"/>
    <w:rsid w:val="00A94863"/>
    <w:rsid w:val="00A953C8"/>
    <w:rsid w:val="00A954DE"/>
    <w:rsid w:val="00A95837"/>
    <w:rsid w:val="00A95ADE"/>
    <w:rsid w:val="00A95C19"/>
    <w:rsid w:val="00A95F07"/>
    <w:rsid w:val="00A96254"/>
    <w:rsid w:val="00A96357"/>
    <w:rsid w:val="00A9683C"/>
    <w:rsid w:val="00A9695B"/>
    <w:rsid w:val="00A96C52"/>
    <w:rsid w:val="00A96D16"/>
    <w:rsid w:val="00A97025"/>
    <w:rsid w:val="00A9723C"/>
    <w:rsid w:val="00A973FB"/>
    <w:rsid w:val="00A97B72"/>
    <w:rsid w:val="00A97DA0"/>
    <w:rsid w:val="00AA0D18"/>
    <w:rsid w:val="00AA163A"/>
    <w:rsid w:val="00AA1B6F"/>
    <w:rsid w:val="00AA2B74"/>
    <w:rsid w:val="00AA2C15"/>
    <w:rsid w:val="00AA302F"/>
    <w:rsid w:val="00AA4070"/>
    <w:rsid w:val="00AA44A4"/>
    <w:rsid w:val="00AA4B2A"/>
    <w:rsid w:val="00AA5A75"/>
    <w:rsid w:val="00AA5CDF"/>
    <w:rsid w:val="00AA62F7"/>
    <w:rsid w:val="00AA708B"/>
    <w:rsid w:val="00AA71E7"/>
    <w:rsid w:val="00AA78D9"/>
    <w:rsid w:val="00AA7A00"/>
    <w:rsid w:val="00AA7A3D"/>
    <w:rsid w:val="00AB0576"/>
    <w:rsid w:val="00AB092E"/>
    <w:rsid w:val="00AB0EDF"/>
    <w:rsid w:val="00AB1E85"/>
    <w:rsid w:val="00AB1F71"/>
    <w:rsid w:val="00AB1FF2"/>
    <w:rsid w:val="00AB221F"/>
    <w:rsid w:val="00AB233B"/>
    <w:rsid w:val="00AB2848"/>
    <w:rsid w:val="00AB28DB"/>
    <w:rsid w:val="00AB2E98"/>
    <w:rsid w:val="00AB2EF0"/>
    <w:rsid w:val="00AB333F"/>
    <w:rsid w:val="00AB3BBF"/>
    <w:rsid w:val="00AB3EB5"/>
    <w:rsid w:val="00AB4183"/>
    <w:rsid w:val="00AB445C"/>
    <w:rsid w:val="00AB4882"/>
    <w:rsid w:val="00AB4E08"/>
    <w:rsid w:val="00AB575B"/>
    <w:rsid w:val="00AB5E74"/>
    <w:rsid w:val="00AB6284"/>
    <w:rsid w:val="00AB64D4"/>
    <w:rsid w:val="00AB6659"/>
    <w:rsid w:val="00AB66B6"/>
    <w:rsid w:val="00AB6D14"/>
    <w:rsid w:val="00AB7898"/>
    <w:rsid w:val="00AC0373"/>
    <w:rsid w:val="00AC044C"/>
    <w:rsid w:val="00AC07C4"/>
    <w:rsid w:val="00AC12D8"/>
    <w:rsid w:val="00AC13E9"/>
    <w:rsid w:val="00AC1946"/>
    <w:rsid w:val="00AC288E"/>
    <w:rsid w:val="00AC3076"/>
    <w:rsid w:val="00AC315F"/>
    <w:rsid w:val="00AC339B"/>
    <w:rsid w:val="00AC38CF"/>
    <w:rsid w:val="00AC3D78"/>
    <w:rsid w:val="00AC3FAB"/>
    <w:rsid w:val="00AC45F7"/>
    <w:rsid w:val="00AC4CC9"/>
    <w:rsid w:val="00AC53E4"/>
    <w:rsid w:val="00AC60AB"/>
    <w:rsid w:val="00AC60DA"/>
    <w:rsid w:val="00AC621D"/>
    <w:rsid w:val="00AC6256"/>
    <w:rsid w:val="00AC6495"/>
    <w:rsid w:val="00AC67EA"/>
    <w:rsid w:val="00AC697B"/>
    <w:rsid w:val="00AC6ACF"/>
    <w:rsid w:val="00AC7C3E"/>
    <w:rsid w:val="00AD04F5"/>
    <w:rsid w:val="00AD0D11"/>
    <w:rsid w:val="00AD1552"/>
    <w:rsid w:val="00AD173E"/>
    <w:rsid w:val="00AD1E39"/>
    <w:rsid w:val="00AD26F4"/>
    <w:rsid w:val="00AD2E6A"/>
    <w:rsid w:val="00AD2EDC"/>
    <w:rsid w:val="00AD34A5"/>
    <w:rsid w:val="00AD39C8"/>
    <w:rsid w:val="00AD3BD3"/>
    <w:rsid w:val="00AD3F85"/>
    <w:rsid w:val="00AD4EE8"/>
    <w:rsid w:val="00AD5166"/>
    <w:rsid w:val="00AD51E2"/>
    <w:rsid w:val="00AD524D"/>
    <w:rsid w:val="00AD53E6"/>
    <w:rsid w:val="00AD548B"/>
    <w:rsid w:val="00AD5ABE"/>
    <w:rsid w:val="00AD61ED"/>
    <w:rsid w:val="00AD6339"/>
    <w:rsid w:val="00AD6DA3"/>
    <w:rsid w:val="00AD7002"/>
    <w:rsid w:val="00AD717A"/>
    <w:rsid w:val="00AD751E"/>
    <w:rsid w:val="00AD75C3"/>
    <w:rsid w:val="00AD784E"/>
    <w:rsid w:val="00AD7BE9"/>
    <w:rsid w:val="00AD7D58"/>
    <w:rsid w:val="00AD7DF1"/>
    <w:rsid w:val="00AE006F"/>
    <w:rsid w:val="00AE01F2"/>
    <w:rsid w:val="00AE05DE"/>
    <w:rsid w:val="00AE0C98"/>
    <w:rsid w:val="00AE1B2C"/>
    <w:rsid w:val="00AE3E5A"/>
    <w:rsid w:val="00AE406D"/>
    <w:rsid w:val="00AE43EA"/>
    <w:rsid w:val="00AE4460"/>
    <w:rsid w:val="00AE4937"/>
    <w:rsid w:val="00AE4CE6"/>
    <w:rsid w:val="00AE4DF9"/>
    <w:rsid w:val="00AE5184"/>
    <w:rsid w:val="00AE5303"/>
    <w:rsid w:val="00AE540A"/>
    <w:rsid w:val="00AE5713"/>
    <w:rsid w:val="00AE5EEB"/>
    <w:rsid w:val="00AE6910"/>
    <w:rsid w:val="00AE6F2B"/>
    <w:rsid w:val="00AE713F"/>
    <w:rsid w:val="00AE75AA"/>
    <w:rsid w:val="00AE79EB"/>
    <w:rsid w:val="00AE7B10"/>
    <w:rsid w:val="00AF0335"/>
    <w:rsid w:val="00AF033A"/>
    <w:rsid w:val="00AF091B"/>
    <w:rsid w:val="00AF0EF2"/>
    <w:rsid w:val="00AF11BA"/>
    <w:rsid w:val="00AF14AB"/>
    <w:rsid w:val="00AF1946"/>
    <w:rsid w:val="00AF1A1A"/>
    <w:rsid w:val="00AF264B"/>
    <w:rsid w:val="00AF2BE9"/>
    <w:rsid w:val="00AF33FC"/>
    <w:rsid w:val="00AF38FC"/>
    <w:rsid w:val="00AF3AA2"/>
    <w:rsid w:val="00AF4381"/>
    <w:rsid w:val="00AF46D6"/>
    <w:rsid w:val="00AF61FC"/>
    <w:rsid w:val="00AF61FD"/>
    <w:rsid w:val="00AF621D"/>
    <w:rsid w:val="00AF7169"/>
    <w:rsid w:val="00AF7D45"/>
    <w:rsid w:val="00B0008D"/>
    <w:rsid w:val="00B00120"/>
    <w:rsid w:val="00B0085B"/>
    <w:rsid w:val="00B01349"/>
    <w:rsid w:val="00B0193B"/>
    <w:rsid w:val="00B02123"/>
    <w:rsid w:val="00B0228F"/>
    <w:rsid w:val="00B0229C"/>
    <w:rsid w:val="00B02591"/>
    <w:rsid w:val="00B029BE"/>
    <w:rsid w:val="00B02CBF"/>
    <w:rsid w:val="00B032D4"/>
    <w:rsid w:val="00B034E3"/>
    <w:rsid w:val="00B03E66"/>
    <w:rsid w:val="00B04695"/>
    <w:rsid w:val="00B04708"/>
    <w:rsid w:val="00B04937"/>
    <w:rsid w:val="00B05311"/>
    <w:rsid w:val="00B0539F"/>
    <w:rsid w:val="00B05647"/>
    <w:rsid w:val="00B05B12"/>
    <w:rsid w:val="00B05BFA"/>
    <w:rsid w:val="00B068B5"/>
    <w:rsid w:val="00B06AF9"/>
    <w:rsid w:val="00B07021"/>
    <w:rsid w:val="00B07594"/>
    <w:rsid w:val="00B1003E"/>
    <w:rsid w:val="00B10285"/>
    <w:rsid w:val="00B10D05"/>
    <w:rsid w:val="00B115EA"/>
    <w:rsid w:val="00B11C67"/>
    <w:rsid w:val="00B123CD"/>
    <w:rsid w:val="00B129D6"/>
    <w:rsid w:val="00B13692"/>
    <w:rsid w:val="00B1380D"/>
    <w:rsid w:val="00B13A84"/>
    <w:rsid w:val="00B13C1B"/>
    <w:rsid w:val="00B13DCB"/>
    <w:rsid w:val="00B14BD8"/>
    <w:rsid w:val="00B14EF7"/>
    <w:rsid w:val="00B14F6C"/>
    <w:rsid w:val="00B15243"/>
    <w:rsid w:val="00B15D95"/>
    <w:rsid w:val="00B164F6"/>
    <w:rsid w:val="00B1673D"/>
    <w:rsid w:val="00B174B2"/>
    <w:rsid w:val="00B176AB"/>
    <w:rsid w:val="00B17E86"/>
    <w:rsid w:val="00B200A4"/>
    <w:rsid w:val="00B20238"/>
    <w:rsid w:val="00B205FB"/>
    <w:rsid w:val="00B2073F"/>
    <w:rsid w:val="00B20829"/>
    <w:rsid w:val="00B20B26"/>
    <w:rsid w:val="00B2186A"/>
    <w:rsid w:val="00B21BAD"/>
    <w:rsid w:val="00B223C9"/>
    <w:rsid w:val="00B2275F"/>
    <w:rsid w:val="00B22FD1"/>
    <w:rsid w:val="00B23604"/>
    <w:rsid w:val="00B237B9"/>
    <w:rsid w:val="00B23D8F"/>
    <w:rsid w:val="00B2452D"/>
    <w:rsid w:val="00B24641"/>
    <w:rsid w:val="00B25538"/>
    <w:rsid w:val="00B25A60"/>
    <w:rsid w:val="00B26045"/>
    <w:rsid w:val="00B26186"/>
    <w:rsid w:val="00B262F8"/>
    <w:rsid w:val="00B276C0"/>
    <w:rsid w:val="00B276DD"/>
    <w:rsid w:val="00B27762"/>
    <w:rsid w:val="00B301F9"/>
    <w:rsid w:val="00B308FE"/>
    <w:rsid w:val="00B31F5B"/>
    <w:rsid w:val="00B3221B"/>
    <w:rsid w:val="00B32823"/>
    <w:rsid w:val="00B32E39"/>
    <w:rsid w:val="00B330E8"/>
    <w:rsid w:val="00B333FF"/>
    <w:rsid w:val="00B33471"/>
    <w:rsid w:val="00B33D94"/>
    <w:rsid w:val="00B33EC4"/>
    <w:rsid w:val="00B34607"/>
    <w:rsid w:val="00B34858"/>
    <w:rsid w:val="00B3509C"/>
    <w:rsid w:val="00B35701"/>
    <w:rsid w:val="00B3575D"/>
    <w:rsid w:val="00B35791"/>
    <w:rsid w:val="00B35880"/>
    <w:rsid w:val="00B35D42"/>
    <w:rsid w:val="00B36D41"/>
    <w:rsid w:val="00B37DDD"/>
    <w:rsid w:val="00B4058E"/>
    <w:rsid w:val="00B40873"/>
    <w:rsid w:val="00B40C87"/>
    <w:rsid w:val="00B410D8"/>
    <w:rsid w:val="00B41911"/>
    <w:rsid w:val="00B41A48"/>
    <w:rsid w:val="00B42122"/>
    <w:rsid w:val="00B42507"/>
    <w:rsid w:val="00B430BF"/>
    <w:rsid w:val="00B435F4"/>
    <w:rsid w:val="00B438B9"/>
    <w:rsid w:val="00B43A19"/>
    <w:rsid w:val="00B43A4E"/>
    <w:rsid w:val="00B43DED"/>
    <w:rsid w:val="00B44C07"/>
    <w:rsid w:val="00B44D36"/>
    <w:rsid w:val="00B451EE"/>
    <w:rsid w:val="00B4554E"/>
    <w:rsid w:val="00B45C21"/>
    <w:rsid w:val="00B45E1F"/>
    <w:rsid w:val="00B46AD5"/>
    <w:rsid w:val="00B47250"/>
    <w:rsid w:val="00B472F8"/>
    <w:rsid w:val="00B475D4"/>
    <w:rsid w:val="00B47C92"/>
    <w:rsid w:val="00B47ED8"/>
    <w:rsid w:val="00B505F8"/>
    <w:rsid w:val="00B51859"/>
    <w:rsid w:val="00B521B9"/>
    <w:rsid w:val="00B52A7F"/>
    <w:rsid w:val="00B53290"/>
    <w:rsid w:val="00B533DE"/>
    <w:rsid w:val="00B5364C"/>
    <w:rsid w:val="00B549C8"/>
    <w:rsid w:val="00B5547B"/>
    <w:rsid w:val="00B55844"/>
    <w:rsid w:val="00B55B89"/>
    <w:rsid w:val="00B56040"/>
    <w:rsid w:val="00B56099"/>
    <w:rsid w:val="00B563FD"/>
    <w:rsid w:val="00B56748"/>
    <w:rsid w:val="00B56E40"/>
    <w:rsid w:val="00B57112"/>
    <w:rsid w:val="00B60A77"/>
    <w:rsid w:val="00B611DA"/>
    <w:rsid w:val="00B61272"/>
    <w:rsid w:val="00B613B6"/>
    <w:rsid w:val="00B61541"/>
    <w:rsid w:val="00B62184"/>
    <w:rsid w:val="00B62876"/>
    <w:rsid w:val="00B631EF"/>
    <w:rsid w:val="00B63484"/>
    <w:rsid w:val="00B63508"/>
    <w:rsid w:val="00B63B8C"/>
    <w:rsid w:val="00B64A31"/>
    <w:rsid w:val="00B64B53"/>
    <w:rsid w:val="00B650A6"/>
    <w:rsid w:val="00B657C3"/>
    <w:rsid w:val="00B65958"/>
    <w:rsid w:val="00B65D24"/>
    <w:rsid w:val="00B65FC4"/>
    <w:rsid w:val="00B663FB"/>
    <w:rsid w:val="00B6692B"/>
    <w:rsid w:val="00B66E84"/>
    <w:rsid w:val="00B70469"/>
    <w:rsid w:val="00B7055B"/>
    <w:rsid w:val="00B705CB"/>
    <w:rsid w:val="00B70793"/>
    <w:rsid w:val="00B707BA"/>
    <w:rsid w:val="00B70971"/>
    <w:rsid w:val="00B70A58"/>
    <w:rsid w:val="00B70AA1"/>
    <w:rsid w:val="00B71640"/>
    <w:rsid w:val="00B71D7F"/>
    <w:rsid w:val="00B72057"/>
    <w:rsid w:val="00B72B6D"/>
    <w:rsid w:val="00B730A6"/>
    <w:rsid w:val="00B7320D"/>
    <w:rsid w:val="00B73B27"/>
    <w:rsid w:val="00B73C80"/>
    <w:rsid w:val="00B73D2B"/>
    <w:rsid w:val="00B74267"/>
    <w:rsid w:val="00B744CD"/>
    <w:rsid w:val="00B74588"/>
    <w:rsid w:val="00B7515B"/>
    <w:rsid w:val="00B75787"/>
    <w:rsid w:val="00B75D44"/>
    <w:rsid w:val="00B7655F"/>
    <w:rsid w:val="00B765F3"/>
    <w:rsid w:val="00B76932"/>
    <w:rsid w:val="00B76F54"/>
    <w:rsid w:val="00B770E0"/>
    <w:rsid w:val="00B7754F"/>
    <w:rsid w:val="00B775C4"/>
    <w:rsid w:val="00B77865"/>
    <w:rsid w:val="00B80160"/>
    <w:rsid w:val="00B80733"/>
    <w:rsid w:val="00B81328"/>
    <w:rsid w:val="00B817C6"/>
    <w:rsid w:val="00B81B68"/>
    <w:rsid w:val="00B81BD4"/>
    <w:rsid w:val="00B82305"/>
    <w:rsid w:val="00B82727"/>
    <w:rsid w:val="00B82E25"/>
    <w:rsid w:val="00B8310E"/>
    <w:rsid w:val="00B83301"/>
    <w:rsid w:val="00B83BCC"/>
    <w:rsid w:val="00B83E16"/>
    <w:rsid w:val="00B845A6"/>
    <w:rsid w:val="00B849C7"/>
    <w:rsid w:val="00B849E7"/>
    <w:rsid w:val="00B84D44"/>
    <w:rsid w:val="00B857D1"/>
    <w:rsid w:val="00B85C72"/>
    <w:rsid w:val="00B85DD1"/>
    <w:rsid w:val="00B85FD1"/>
    <w:rsid w:val="00B862F9"/>
    <w:rsid w:val="00B86951"/>
    <w:rsid w:val="00B86A23"/>
    <w:rsid w:val="00B86DEB"/>
    <w:rsid w:val="00B86FFF"/>
    <w:rsid w:val="00B871C4"/>
    <w:rsid w:val="00B879A4"/>
    <w:rsid w:val="00B87D13"/>
    <w:rsid w:val="00B907AB"/>
    <w:rsid w:val="00B908AC"/>
    <w:rsid w:val="00B908D6"/>
    <w:rsid w:val="00B9095A"/>
    <w:rsid w:val="00B911CB"/>
    <w:rsid w:val="00B91CF7"/>
    <w:rsid w:val="00B91D29"/>
    <w:rsid w:val="00B926C4"/>
    <w:rsid w:val="00B9398C"/>
    <w:rsid w:val="00B94052"/>
    <w:rsid w:val="00B9496A"/>
    <w:rsid w:val="00B94BE5"/>
    <w:rsid w:val="00B94DA0"/>
    <w:rsid w:val="00B951E0"/>
    <w:rsid w:val="00B958B1"/>
    <w:rsid w:val="00B95BED"/>
    <w:rsid w:val="00B96059"/>
    <w:rsid w:val="00B96153"/>
    <w:rsid w:val="00B96430"/>
    <w:rsid w:val="00B96738"/>
    <w:rsid w:val="00B96A0B"/>
    <w:rsid w:val="00B970B0"/>
    <w:rsid w:val="00B979E9"/>
    <w:rsid w:val="00BA06DB"/>
    <w:rsid w:val="00BA0779"/>
    <w:rsid w:val="00BA135D"/>
    <w:rsid w:val="00BA1405"/>
    <w:rsid w:val="00BA1DFC"/>
    <w:rsid w:val="00BA2288"/>
    <w:rsid w:val="00BA250C"/>
    <w:rsid w:val="00BA256B"/>
    <w:rsid w:val="00BA27FD"/>
    <w:rsid w:val="00BA2CB4"/>
    <w:rsid w:val="00BA36D5"/>
    <w:rsid w:val="00BA3C74"/>
    <w:rsid w:val="00BA47B0"/>
    <w:rsid w:val="00BA635F"/>
    <w:rsid w:val="00BA66D5"/>
    <w:rsid w:val="00BA6C55"/>
    <w:rsid w:val="00BA6CCC"/>
    <w:rsid w:val="00BA734E"/>
    <w:rsid w:val="00BA740B"/>
    <w:rsid w:val="00BB0218"/>
    <w:rsid w:val="00BB06AF"/>
    <w:rsid w:val="00BB1304"/>
    <w:rsid w:val="00BB1774"/>
    <w:rsid w:val="00BB1C04"/>
    <w:rsid w:val="00BB2355"/>
    <w:rsid w:val="00BB25F1"/>
    <w:rsid w:val="00BB2A38"/>
    <w:rsid w:val="00BB39C8"/>
    <w:rsid w:val="00BB3CB5"/>
    <w:rsid w:val="00BB3E6B"/>
    <w:rsid w:val="00BB43CC"/>
    <w:rsid w:val="00BB48C9"/>
    <w:rsid w:val="00BB48DD"/>
    <w:rsid w:val="00BB4A9F"/>
    <w:rsid w:val="00BB4D18"/>
    <w:rsid w:val="00BB56C8"/>
    <w:rsid w:val="00BB5913"/>
    <w:rsid w:val="00BB5E95"/>
    <w:rsid w:val="00BB6571"/>
    <w:rsid w:val="00BB69F0"/>
    <w:rsid w:val="00BB728F"/>
    <w:rsid w:val="00BC01C6"/>
    <w:rsid w:val="00BC1154"/>
    <w:rsid w:val="00BC11A2"/>
    <w:rsid w:val="00BC1274"/>
    <w:rsid w:val="00BC1680"/>
    <w:rsid w:val="00BC20C8"/>
    <w:rsid w:val="00BC2120"/>
    <w:rsid w:val="00BC25B0"/>
    <w:rsid w:val="00BC293E"/>
    <w:rsid w:val="00BC2953"/>
    <w:rsid w:val="00BC2A71"/>
    <w:rsid w:val="00BC2FD9"/>
    <w:rsid w:val="00BC32AA"/>
    <w:rsid w:val="00BC34F0"/>
    <w:rsid w:val="00BC390C"/>
    <w:rsid w:val="00BC3C8B"/>
    <w:rsid w:val="00BC3F56"/>
    <w:rsid w:val="00BC4A2B"/>
    <w:rsid w:val="00BC5F6F"/>
    <w:rsid w:val="00BC60D5"/>
    <w:rsid w:val="00BC6741"/>
    <w:rsid w:val="00BC6A87"/>
    <w:rsid w:val="00BC6AD7"/>
    <w:rsid w:val="00BC70E6"/>
    <w:rsid w:val="00BC757E"/>
    <w:rsid w:val="00BC7793"/>
    <w:rsid w:val="00BC779F"/>
    <w:rsid w:val="00BC78F9"/>
    <w:rsid w:val="00BC7DAE"/>
    <w:rsid w:val="00BC7DF6"/>
    <w:rsid w:val="00BD0433"/>
    <w:rsid w:val="00BD0DFD"/>
    <w:rsid w:val="00BD1272"/>
    <w:rsid w:val="00BD249B"/>
    <w:rsid w:val="00BD25ED"/>
    <w:rsid w:val="00BD28B4"/>
    <w:rsid w:val="00BD30BD"/>
    <w:rsid w:val="00BD35DC"/>
    <w:rsid w:val="00BD3A40"/>
    <w:rsid w:val="00BD3D88"/>
    <w:rsid w:val="00BD43A0"/>
    <w:rsid w:val="00BD452D"/>
    <w:rsid w:val="00BD4698"/>
    <w:rsid w:val="00BD4808"/>
    <w:rsid w:val="00BD5328"/>
    <w:rsid w:val="00BD540C"/>
    <w:rsid w:val="00BD68A1"/>
    <w:rsid w:val="00BD68AD"/>
    <w:rsid w:val="00BD6B1C"/>
    <w:rsid w:val="00BD6D3A"/>
    <w:rsid w:val="00BD700F"/>
    <w:rsid w:val="00BD7143"/>
    <w:rsid w:val="00BD7478"/>
    <w:rsid w:val="00BD751E"/>
    <w:rsid w:val="00BE0BDB"/>
    <w:rsid w:val="00BE0C43"/>
    <w:rsid w:val="00BE0E45"/>
    <w:rsid w:val="00BE1885"/>
    <w:rsid w:val="00BE1F1C"/>
    <w:rsid w:val="00BE20CF"/>
    <w:rsid w:val="00BE256D"/>
    <w:rsid w:val="00BE2787"/>
    <w:rsid w:val="00BE3E4A"/>
    <w:rsid w:val="00BE490C"/>
    <w:rsid w:val="00BE4E6B"/>
    <w:rsid w:val="00BE5093"/>
    <w:rsid w:val="00BE580B"/>
    <w:rsid w:val="00BE6087"/>
    <w:rsid w:val="00BE773A"/>
    <w:rsid w:val="00BE792F"/>
    <w:rsid w:val="00BE7AE2"/>
    <w:rsid w:val="00BF0852"/>
    <w:rsid w:val="00BF15B6"/>
    <w:rsid w:val="00BF1D5D"/>
    <w:rsid w:val="00BF1F43"/>
    <w:rsid w:val="00BF248B"/>
    <w:rsid w:val="00BF2504"/>
    <w:rsid w:val="00BF2635"/>
    <w:rsid w:val="00BF2FAC"/>
    <w:rsid w:val="00BF315C"/>
    <w:rsid w:val="00BF31A7"/>
    <w:rsid w:val="00BF3278"/>
    <w:rsid w:val="00BF3980"/>
    <w:rsid w:val="00BF3D5C"/>
    <w:rsid w:val="00BF3DD8"/>
    <w:rsid w:val="00BF4A39"/>
    <w:rsid w:val="00BF4B6F"/>
    <w:rsid w:val="00BF4DDA"/>
    <w:rsid w:val="00BF4F13"/>
    <w:rsid w:val="00BF537D"/>
    <w:rsid w:val="00BF53B6"/>
    <w:rsid w:val="00BF611C"/>
    <w:rsid w:val="00BF6624"/>
    <w:rsid w:val="00BF680D"/>
    <w:rsid w:val="00BF6BFE"/>
    <w:rsid w:val="00BF7975"/>
    <w:rsid w:val="00C00072"/>
    <w:rsid w:val="00C000FA"/>
    <w:rsid w:val="00C00E2B"/>
    <w:rsid w:val="00C0220D"/>
    <w:rsid w:val="00C02532"/>
    <w:rsid w:val="00C02744"/>
    <w:rsid w:val="00C02AAD"/>
    <w:rsid w:val="00C03768"/>
    <w:rsid w:val="00C03F90"/>
    <w:rsid w:val="00C04221"/>
    <w:rsid w:val="00C042A5"/>
    <w:rsid w:val="00C042D3"/>
    <w:rsid w:val="00C0491A"/>
    <w:rsid w:val="00C05283"/>
    <w:rsid w:val="00C060C5"/>
    <w:rsid w:val="00C06C99"/>
    <w:rsid w:val="00C06E5F"/>
    <w:rsid w:val="00C0749B"/>
    <w:rsid w:val="00C079A7"/>
    <w:rsid w:val="00C07AA5"/>
    <w:rsid w:val="00C07B46"/>
    <w:rsid w:val="00C101AB"/>
    <w:rsid w:val="00C11252"/>
    <w:rsid w:val="00C1135E"/>
    <w:rsid w:val="00C11634"/>
    <w:rsid w:val="00C11744"/>
    <w:rsid w:val="00C11819"/>
    <w:rsid w:val="00C127E6"/>
    <w:rsid w:val="00C12C8A"/>
    <w:rsid w:val="00C13069"/>
    <w:rsid w:val="00C1336D"/>
    <w:rsid w:val="00C13457"/>
    <w:rsid w:val="00C1370E"/>
    <w:rsid w:val="00C1391D"/>
    <w:rsid w:val="00C1515D"/>
    <w:rsid w:val="00C155DE"/>
    <w:rsid w:val="00C15DCA"/>
    <w:rsid w:val="00C15FD8"/>
    <w:rsid w:val="00C201AA"/>
    <w:rsid w:val="00C202F0"/>
    <w:rsid w:val="00C2091C"/>
    <w:rsid w:val="00C2097D"/>
    <w:rsid w:val="00C20997"/>
    <w:rsid w:val="00C20BC2"/>
    <w:rsid w:val="00C20BCF"/>
    <w:rsid w:val="00C22049"/>
    <w:rsid w:val="00C22056"/>
    <w:rsid w:val="00C225B5"/>
    <w:rsid w:val="00C225E6"/>
    <w:rsid w:val="00C22B8E"/>
    <w:rsid w:val="00C22E5B"/>
    <w:rsid w:val="00C23162"/>
    <w:rsid w:val="00C2329D"/>
    <w:rsid w:val="00C235C3"/>
    <w:rsid w:val="00C237D2"/>
    <w:rsid w:val="00C258D2"/>
    <w:rsid w:val="00C25B03"/>
    <w:rsid w:val="00C25CA8"/>
    <w:rsid w:val="00C25CD0"/>
    <w:rsid w:val="00C2631E"/>
    <w:rsid w:val="00C26533"/>
    <w:rsid w:val="00C26916"/>
    <w:rsid w:val="00C26D78"/>
    <w:rsid w:val="00C2795C"/>
    <w:rsid w:val="00C30441"/>
    <w:rsid w:val="00C30639"/>
    <w:rsid w:val="00C317DA"/>
    <w:rsid w:val="00C32BC5"/>
    <w:rsid w:val="00C32E3E"/>
    <w:rsid w:val="00C33DDE"/>
    <w:rsid w:val="00C3451E"/>
    <w:rsid w:val="00C34527"/>
    <w:rsid w:val="00C34D6E"/>
    <w:rsid w:val="00C35058"/>
    <w:rsid w:val="00C3579E"/>
    <w:rsid w:val="00C36F45"/>
    <w:rsid w:val="00C37371"/>
    <w:rsid w:val="00C377E2"/>
    <w:rsid w:val="00C37D17"/>
    <w:rsid w:val="00C37DBF"/>
    <w:rsid w:val="00C4071F"/>
    <w:rsid w:val="00C41D41"/>
    <w:rsid w:val="00C41E47"/>
    <w:rsid w:val="00C4285B"/>
    <w:rsid w:val="00C428AE"/>
    <w:rsid w:val="00C43B04"/>
    <w:rsid w:val="00C43C63"/>
    <w:rsid w:val="00C43F7D"/>
    <w:rsid w:val="00C44750"/>
    <w:rsid w:val="00C447FC"/>
    <w:rsid w:val="00C45838"/>
    <w:rsid w:val="00C46186"/>
    <w:rsid w:val="00C46376"/>
    <w:rsid w:val="00C46ECD"/>
    <w:rsid w:val="00C474B0"/>
    <w:rsid w:val="00C4768A"/>
    <w:rsid w:val="00C50F92"/>
    <w:rsid w:val="00C513A1"/>
    <w:rsid w:val="00C51655"/>
    <w:rsid w:val="00C51FCB"/>
    <w:rsid w:val="00C522D0"/>
    <w:rsid w:val="00C52464"/>
    <w:rsid w:val="00C52DD6"/>
    <w:rsid w:val="00C532A3"/>
    <w:rsid w:val="00C533C2"/>
    <w:rsid w:val="00C5361F"/>
    <w:rsid w:val="00C53C3E"/>
    <w:rsid w:val="00C53D1D"/>
    <w:rsid w:val="00C54199"/>
    <w:rsid w:val="00C55AC7"/>
    <w:rsid w:val="00C55BD1"/>
    <w:rsid w:val="00C55C9A"/>
    <w:rsid w:val="00C561C2"/>
    <w:rsid w:val="00C564E1"/>
    <w:rsid w:val="00C564F9"/>
    <w:rsid w:val="00C56810"/>
    <w:rsid w:val="00C573C6"/>
    <w:rsid w:val="00C5745E"/>
    <w:rsid w:val="00C577B7"/>
    <w:rsid w:val="00C60572"/>
    <w:rsid w:val="00C622C4"/>
    <w:rsid w:val="00C626E8"/>
    <w:rsid w:val="00C628F1"/>
    <w:rsid w:val="00C62953"/>
    <w:rsid w:val="00C62D7E"/>
    <w:rsid w:val="00C6322F"/>
    <w:rsid w:val="00C634B5"/>
    <w:rsid w:val="00C63B7E"/>
    <w:rsid w:val="00C63E07"/>
    <w:rsid w:val="00C6414B"/>
    <w:rsid w:val="00C64206"/>
    <w:rsid w:val="00C64658"/>
    <w:rsid w:val="00C64E77"/>
    <w:rsid w:val="00C65293"/>
    <w:rsid w:val="00C657F1"/>
    <w:rsid w:val="00C66FDC"/>
    <w:rsid w:val="00C6727E"/>
    <w:rsid w:val="00C67AE5"/>
    <w:rsid w:val="00C70316"/>
    <w:rsid w:val="00C70478"/>
    <w:rsid w:val="00C70F3A"/>
    <w:rsid w:val="00C712AC"/>
    <w:rsid w:val="00C7185E"/>
    <w:rsid w:val="00C71921"/>
    <w:rsid w:val="00C71B69"/>
    <w:rsid w:val="00C71DEC"/>
    <w:rsid w:val="00C72155"/>
    <w:rsid w:val="00C72195"/>
    <w:rsid w:val="00C73081"/>
    <w:rsid w:val="00C73BB6"/>
    <w:rsid w:val="00C744C5"/>
    <w:rsid w:val="00C74548"/>
    <w:rsid w:val="00C74B23"/>
    <w:rsid w:val="00C75159"/>
    <w:rsid w:val="00C75CF6"/>
    <w:rsid w:val="00C75EB2"/>
    <w:rsid w:val="00C7617D"/>
    <w:rsid w:val="00C76748"/>
    <w:rsid w:val="00C76850"/>
    <w:rsid w:val="00C76872"/>
    <w:rsid w:val="00C76D30"/>
    <w:rsid w:val="00C7728E"/>
    <w:rsid w:val="00C7748D"/>
    <w:rsid w:val="00C77865"/>
    <w:rsid w:val="00C77CC6"/>
    <w:rsid w:val="00C77E86"/>
    <w:rsid w:val="00C804C9"/>
    <w:rsid w:val="00C812BF"/>
    <w:rsid w:val="00C814BC"/>
    <w:rsid w:val="00C81EEC"/>
    <w:rsid w:val="00C82260"/>
    <w:rsid w:val="00C82C4C"/>
    <w:rsid w:val="00C8342F"/>
    <w:rsid w:val="00C84174"/>
    <w:rsid w:val="00C84833"/>
    <w:rsid w:val="00C8496F"/>
    <w:rsid w:val="00C84C93"/>
    <w:rsid w:val="00C85D51"/>
    <w:rsid w:val="00C8656E"/>
    <w:rsid w:val="00C86675"/>
    <w:rsid w:val="00C8676F"/>
    <w:rsid w:val="00C86CEC"/>
    <w:rsid w:val="00C8779D"/>
    <w:rsid w:val="00C87A09"/>
    <w:rsid w:val="00C9074F"/>
    <w:rsid w:val="00C90CCB"/>
    <w:rsid w:val="00C90EBA"/>
    <w:rsid w:val="00C90F47"/>
    <w:rsid w:val="00C91564"/>
    <w:rsid w:val="00C91BD8"/>
    <w:rsid w:val="00C92597"/>
    <w:rsid w:val="00C929D1"/>
    <w:rsid w:val="00C93313"/>
    <w:rsid w:val="00C935F7"/>
    <w:rsid w:val="00C9370D"/>
    <w:rsid w:val="00C94375"/>
    <w:rsid w:val="00C943CC"/>
    <w:rsid w:val="00C94700"/>
    <w:rsid w:val="00C94BBA"/>
    <w:rsid w:val="00C94C7D"/>
    <w:rsid w:val="00C95333"/>
    <w:rsid w:val="00C955A4"/>
    <w:rsid w:val="00C95AAF"/>
    <w:rsid w:val="00C9634A"/>
    <w:rsid w:val="00C96C01"/>
    <w:rsid w:val="00C974C4"/>
    <w:rsid w:val="00CA08A2"/>
    <w:rsid w:val="00CA0BC9"/>
    <w:rsid w:val="00CA0ED6"/>
    <w:rsid w:val="00CA1172"/>
    <w:rsid w:val="00CA15C1"/>
    <w:rsid w:val="00CA1F83"/>
    <w:rsid w:val="00CA22E7"/>
    <w:rsid w:val="00CA275A"/>
    <w:rsid w:val="00CA2952"/>
    <w:rsid w:val="00CA311C"/>
    <w:rsid w:val="00CA3263"/>
    <w:rsid w:val="00CA33CD"/>
    <w:rsid w:val="00CA35B7"/>
    <w:rsid w:val="00CA37CA"/>
    <w:rsid w:val="00CA3C1C"/>
    <w:rsid w:val="00CA3C53"/>
    <w:rsid w:val="00CA434F"/>
    <w:rsid w:val="00CA46AA"/>
    <w:rsid w:val="00CA4E72"/>
    <w:rsid w:val="00CA50E6"/>
    <w:rsid w:val="00CA5B24"/>
    <w:rsid w:val="00CA5C5F"/>
    <w:rsid w:val="00CA67D8"/>
    <w:rsid w:val="00CB03A5"/>
    <w:rsid w:val="00CB040C"/>
    <w:rsid w:val="00CB0521"/>
    <w:rsid w:val="00CB05C5"/>
    <w:rsid w:val="00CB0A6E"/>
    <w:rsid w:val="00CB1190"/>
    <w:rsid w:val="00CB1639"/>
    <w:rsid w:val="00CB17A0"/>
    <w:rsid w:val="00CB3BB5"/>
    <w:rsid w:val="00CB3D0A"/>
    <w:rsid w:val="00CB4290"/>
    <w:rsid w:val="00CB48DA"/>
    <w:rsid w:val="00CB4A7D"/>
    <w:rsid w:val="00CB52C7"/>
    <w:rsid w:val="00CB535B"/>
    <w:rsid w:val="00CB5526"/>
    <w:rsid w:val="00CB563C"/>
    <w:rsid w:val="00CB6625"/>
    <w:rsid w:val="00CB68C9"/>
    <w:rsid w:val="00CB6985"/>
    <w:rsid w:val="00CB6997"/>
    <w:rsid w:val="00CB6B54"/>
    <w:rsid w:val="00CB6F20"/>
    <w:rsid w:val="00CC00CF"/>
    <w:rsid w:val="00CC02DB"/>
    <w:rsid w:val="00CC0899"/>
    <w:rsid w:val="00CC0EC6"/>
    <w:rsid w:val="00CC1712"/>
    <w:rsid w:val="00CC1766"/>
    <w:rsid w:val="00CC1A9D"/>
    <w:rsid w:val="00CC1E62"/>
    <w:rsid w:val="00CC263B"/>
    <w:rsid w:val="00CC363A"/>
    <w:rsid w:val="00CC3835"/>
    <w:rsid w:val="00CC3CDD"/>
    <w:rsid w:val="00CC4177"/>
    <w:rsid w:val="00CC45BC"/>
    <w:rsid w:val="00CC4CB9"/>
    <w:rsid w:val="00CC4E28"/>
    <w:rsid w:val="00CC53D4"/>
    <w:rsid w:val="00CC5409"/>
    <w:rsid w:val="00CC5461"/>
    <w:rsid w:val="00CC55F4"/>
    <w:rsid w:val="00CC57F3"/>
    <w:rsid w:val="00CC6599"/>
    <w:rsid w:val="00CC6848"/>
    <w:rsid w:val="00CC6BD2"/>
    <w:rsid w:val="00CC6F93"/>
    <w:rsid w:val="00CC70E7"/>
    <w:rsid w:val="00CC7C87"/>
    <w:rsid w:val="00CD0525"/>
    <w:rsid w:val="00CD063C"/>
    <w:rsid w:val="00CD0E8F"/>
    <w:rsid w:val="00CD1662"/>
    <w:rsid w:val="00CD2A45"/>
    <w:rsid w:val="00CD30DE"/>
    <w:rsid w:val="00CD3CE1"/>
    <w:rsid w:val="00CD3FF4"/>
    <w:rsid w:val="00CD403F"/>
    <w:rsid w:val="00CD470F"/>
    <w:rsid w:val="00CD480C"/>
    <w:rsid w:val="00CD5023"/>
    <w:rsid w:val="00CD5742"/>
    <w:rsid w:val="00CD5AE1"/>
    <w:rsid w:val="00CD5D56"/>
    <w:rsid w:val="00CD5F90"/>
    <w:rsid w:val="00CD6458"/>
    <w:rsid w:val="00CD74A8"/>
    <w:rsid w:val="00CE01F5"/>
    <w:rsid w:val="00CE0A82"/>
    <w:rsid w:val="00CE0ECB"/>
    <w:rsid w:val="00CE101A"/>
    <w:rsid w:val="00CE1735"/>
    <w:rsid w:val="00CE1927"/>
    <w:rsid w:val="00CE1CF7"/>
    <w:rsid w:val="00CE28FC"/>
    <w:rsid w:val="00CE3A95"/>
    <w:rsid w:val="00CE5100"/>
    <w:rsid w:val="00CE5CB3"/>
    <w:rsid w:val="00CE5F0B"/>
    <w:rsid w:val="00CE6D33"/>
    <w:rsid w:val="00CF0D54"/>
    <w:rsid w:val="00CF1C31"/>
    <w:rsid w:val="00CF1CF0"/>
    <w:rsid w:val="00CF21F0"/>
    <w:rsid w:val="00CF3F99"/>
    <w:rsid w:val="00CF43F2"/>
    <w:rsid w:val="00CF45BD"/>
    <w:rsid w:val="00CF45C5"/>
    <w:rsid w:val="00CF4F7C"/>
    <w:rsid w:val="00CF54D0"/>
    <w:rsid w:val="00CF57C4"/>
    <w:rsid w:val="00CF58D8"/>
    <w:rsid w:val="00CF5CA0"/>
    <w:rsid w:val="00CF6525"/>
    <w:rsid w:val="00CF69FE"/>
    <w:rsid w:val="00CF6B3E"/>
    <w:rsid w:val="00CF7558"/>
    <w:rsid w:val="00CF78A7"/>
    <w:rsid w:val="00CF7BBF"/>
    <w:rsid w:val="00D0043B"/>
    <w:rsid w:val="00D00B03"/>
    <w:rsid w:val="00D00B2B"/>
    <w:rsid w:val="00D0145D"/>
    <w:rsid w:val="00D01E5F"/>
    <w:rsid w:val="00D0209A"/>
    <w:rsid w:val="00D02466"/>
    <w:rsid w:val="00D02727"/>
    <w:rsid w:val="00D02953"/>
    <w:rsid w:val="00D031CA"/>
    <w:rsid w:val="00D0353F"/>
    <w:rsid w:val="00D03BB5"/>
    <w:rsid w:val="00D03E88"/>
    <w:rsid w:val="00D04758"/>
    <w:rsid w:val="00D04C30"/>
    <w:rsid w:val="00D0534E"/>
    <w:rsid w:val="00D05800"/>
    <w:rsid w:val="00D05BD8"/>
    <w:rsid w:val="00D07039"/>
    <w:rsid w:val="00D0759E"/>
    <w:rsid w:val="00D0788F"/>
    <w:rsid w:val="00D108CC"/>
    <w:rsid w:val="00D10B90"/>
    <w:rsid w:val="00D10D8F"/>
    <w:rsid w:val="00D10EA3"/>
    <w:rsid w:val="00D1113C"/>
    <w:rsid w:val="00D11144"/>
    <w:rsid w:val="00D114F5"/>
    <w:rsid w:val="00D115F5"/>
    <w:rsid w:val="00D119A7"/>
    <w:rsid w:val="00D125AB"/>
    <w:rsid w:val="00D12A16"/>
    <w:rsid w:val="00D12AD3"/>
    <w:rsid w:val="00D12DBD"/>
    <w:rsid w:val="00D1352A"/>
    <w:rsid w:val="00D138BF"/>
    <w:rsid w:val="00D13D53"/>
    <w:rsid w:val="00D13EB5"/>
    <w:rsid w:val="00D15198"/>
    <w:rsid w:val="00D15514"/>
    <w:rsid w:val="00D1600C"/>
    <w:rsid w:val="00D16367"/>
    <w:rsid w:val="00D169A0"/>
    <w:rsid w:val="00D16ACA"/>
    <w:rsid w:val="00D16F42"/>
    <w:rsid w:val="00D17516"/>
    <w:rsid w:val="00D17CCC"/>
    <w:rsid w:val="00D20825"/>
    <w:rsid w:val="00D20B58"/>
    <w:rsid w:val="00D20C9B"/>
    <w:rsid w:val="00D21038"/>
    <w:rsid w:val="00D214C2"/>
    <w:rsid w:val="00D21BA3"/>
    <w:rsid w:val="00D227B6"/>
    <w:rsid w:val="00D22CDE"/>
    <w:rsid w:val="00D232EE"/>
    <w:rsid w:val="00D246A7"/>
    <w:rsid w:val="00D24843"/>
    <w:rsid w:val="00D2506B"/>
    <w:rsid w:val="00D25136"/>
    <w:rsid w:val="00D268FA"/>
    <w:rsid w:val="00D269BC"/>
    <w:rsid w:val="00D271A0"/>
    <w:rsid w:val="00D27582"/>
    <w:rsid w:val="00D27982"/>
    <w:rsid w:val="00D27CDA"/>
    <w:rsid w:val="00D27CF2"/>
    <w:rsid w:val="00D27DB8"/>
    <w:rsid w:val="00D27F17"/>
    <w:rsid w:val="00D306F9"/>
    <w:rsid w:val="00D309F1"/>
    <w:rsid w:val="00D30A5C"/>
    <w:rsid w:val="00D30C3C"/>
    <w:rsid w:val="00D316EC"/>
    <w:rsid w:val="00D32001"/>
    <w:rsid w:val="00D323B8"/>
    <w:rsid w:val="00D326AA"/>
    <w:rsid w:val="00D3294D"/>
    <w:rsid w:val="00D32CC2"/>
    <w:rsid w:val="00D32E67"/>
    <w:rsid w:val="00D32E6A"/>
    <w:rsid w:val="00D331EF"/>
    <w:rsid w:val="00D333A6"/>
    <w:rsid w:val="00D334C0"/>
    <w:rsid w:val="00D33949"/>
    <w:rsid w:val="00D33C57"/>
    <w:rsid w:val="00D33F3A"/>
    <w:rsid w:val="00D3461F"/>
    <w:rsid w:val="00D3468B"/>
    <w:rsid w:val="00D35639"/>
    <w:rsid w:val="00D35B86"/>
    <w:rsid w:val="00D35BDA"/>
    <w:rsid w:val="00D36066"/>
    <w:rsid w:val="00D360DA"/>
    <w:rsid w:val="00D361A2"/>
    <w:rsid w:val="00D36298"/>
    <w:rsid w:val="00D369C3"/>
    <w:rsid w:val="00D36DAB"/>
    <w:rsid w:val="00D3717B"/>
    <w:rsid w:val="00D372F8"/>
    <w:rsid w:val="00D37472"/>
    <w:rsid w:val="00D375DA"/>
    <w:rsid w:val="00D37A2D"/>
    <w:rsid w:val="00D37F66"/>
    <w:rsid w:val="00D40289"/>
    <w:rsid w:val="00D406C4"/>
    <w:rsid w:val="00D410D5"/>
    <w:rsid w:val="00D4128B"/>
    <w:rsid w:val="00D4134E"/>
    <w:rsid w:val="00D41518"/>
    <w:rsid w:val="00D4192D"/>
    <w:rsid w:val="00D422FA"/>
    <w:rsid w:val="00D42CD9"/>
    <w:rsid w:val="00D43CF9"/>
    <w:rsid w:val="00D442AF"/>
    <w:rsid w:val="00D4468A"/>
    <w:rsid w:val="00D454E1"/>
    <w:rsid w:val="00D4589A"/>
    <w:rsid w:val="00D4599B"/>
    <w:rsid w:val="00D45E6A"/>
    <w:rsid w:val="00D46137"/>
    <w:rsid w:val="00D46696"/>
    <w:rsid w:val="00D47329"/>
    <w:rsid w:val="00D474C4"/>
    <w:rsid w:val="00D474FA"/>
    <w:rsid w:val="00D47881"/>
    <w:rsid w:val="00D50200"/>
    <w:rsid w:val="00D503C9"/>
    <w:rsid w:val="00D5254E"/>
    <w:rsid w:val="00D526BE"/>
    <w:rsid w:val="00D527E7"/>
    <w:rsid w:val="00D528E0"/>
    <w:rsid w:val="00D52C04"/>
    <w:rsid w:val="00D52EEC"/>
    <w:rsid w:val="00D53108"/>
    <w:rsid w:val="00D5330F"/>
    <w:rsid w:val="00D539C6"/>
    <w:rsid w:val="00D5440C"/>
    <w:rsid w:val="00D54C9A"/>
    <w:rsid w:val="00D552FB"/>
    <w:rsid w:val="00D55D96"/>
    <w:rsid w:val="00D562A1"/>
    <w:rsid w:val="00D56605"/>
    <w:rsid w:val="00D5674E"/>
    <w:rsid w:val="00D570CE"/>
    <w:rsid w:val="00D57202"/>
    <w:rsid w:val="00D57284"/>
    <w:rsid w:val="00D5746A"/>
    <w:rsid w:val="00D57855"/>
    <w:rsid w:val="00D57A49"/>
    <w:rsid w:val="00D601C8"/>
    <w:rsid w:val="00D6082D"/>
    <w:rsid w:val="00D60CF2"/>
    <w:rsid w:val="00D6102F"/>
    <w:rsid w:val="00D6111B"/>
    <w:rsid w:val="00D6140E"/>
    <w:rsid w:val="00D61C4D"/>
    <w:rsid w:val="00D623BA"/>
    <w:rsid w:val="00D62C2B"/>
    <w:rsid w:val="00D6347F"/>
    <w:rsid w:val="00D63B5C"/>
    <w:rsid w:val="00D6413B"/>
    <w:rsid w:val="00D6451D"/>
    <w:rsid w:val="00D6453E"/>
    <w:rsid w:val="00D6461F"/>
    <w:rsid w:val="00D64C67"/>
    <w:rsid w:val="00D64C75"/>
    <w:rsid w:val="00D664A4"/>
    <w:rsid w:val="00D664F1"/>
    <w:rsid w:val="00D6656D"/>
    <w:rsid w:val="00D665EB"/>
    <w:rsid w:val="00D666CB"/>
    <w:rsid w:val="00D67CCB"/>
    <w:rsid w:val="00D70A21"/>
    <w:rsid w:val="00D71223"/>
    <w:rsid w:val="00D71538"/>
    <w:rsid w:val="00D716F3"/>
    <w:rsid w:val="00D71847"/>
    <w:rsid w:val="00D72528"/>
    <w:rsid w:val="00D72A8A"/>
    <w:rsid w:val="00D73620"/>
    <w:rsid w:val="00D73868"/>
    <w:rsid w:val="00D7421C"/>
    <w:rsid w:val="00D74375"/>
    <w:rsid w:val="00D747C6"/>
    <w:rsid w:val="00D74834"/>
    <w:rsid w:val="00D74AF3"/>
    <w:rsid w:val="00D74E7C"/>
    <w:rsid w:val="00D7523C"/>
    <w:rsid w:val="00D75919"/>
    <w:rsid w:val="00D75E87"/>
    <w:rsid w:val="00D76928"/>
    <w:rsid w:val="00D772BA"/>
    <w:rsid w:val="00D774C2"/>
    <w:rsid w:val="00D80727"/>
    <w:rsid w:val="00D80A34"/>
    <w:rsid w:val="00D81113"/>
    <w:rsid w:val="00D81239"/>
    <w:rsid w:val="00D819B5"/>
    <w:rsid w:val="00D81B82"/>
    <w:rsid w:val="00D81D1E"/>
    <w:rsid w:val="00D81E64"/>
    <w:rsid w:val="00D827E4"/>
    <w:rsid w:val="00D82C15"/>
    <w:rsid w:val="00D82DA8"/>
    <w:rsid w:val="00D832EE"/>
    <w:rsid w:val="00D837A0"/>
    <w:rsid w:val="00D837E0"/>
    <w:rsid w:val="00D8465C"/>
    <w:rsid w:val="00D8473D"/>
    <w:rsid w:val="00D848CB"/>
    <w:rsid w:val="00D8561D"/>
    <w:rsid w:val="00D85795"/>
    <w:rsid w:val="00D85F55"/>
    <w:rsid w:val="00D86373"/>
    <w:rsid w:val="00D869A4"/>
    <w:rsid w:val="00D87170"/>
    <w:rsid w:val="00D8733E"/>
    <w:rsid w:val="00D900D8"/>
    <w:rsid w:val="00D90642"/>
    <w:rsid w:val="00D90708"/>
    <w:rsid w:val="00D91501"/>
    <w:rsid w:val="00D91B66"/>
    <w:rsid w:val="00D924E0"/>
    <w:rsid w:val="00D92BD3"/>
    <w:rsid w:val="00D92DD1"/>
    <w:rsid w:val="00D93C52"/>
    <w:rsid w:val="00D93CCD"/>
    <w:rsid w:val="00D93ECD"/>
    <w:rsid w:val="00D9420A"/>
    <w:rsid w:val="00D945F1"/>
    <w:rsid w:val="00D94652"/>
    <w:rsid w:val="00D95656"/>
    <w:rsid w:val="00D96166"/>
    <w:rsid w:val="00D962D9"/>
    <w:rsid w:val="00D978B3"/>
    <w:rsid w:val="00DA02EE"/>
    <w:rsid w:val="00DA09FA"/>
    <w:rsid w:val="00DA12C0"/>
    <w:rsid w:val="00DA1491"/>
    <w:rsid w:val="00DA14FD"/>
    <w:rsid w:val="00DA17AD"/>
    <w:rsid w:val="00DA1A4D"/>
    <w:rsid w:val="00DA1E5D"/>
    <w:rsid w:val="00DA23B5"/>
    <w:rsid w:val="00DA2656"/>
    <w:rsid w:val="00DA28FE"/>
    <w:rsid w:val="00DA313D"/>
    <w:rsid w:val="00DA32EC"/>
    <w:rsid w:val="00DA39FC"/>
    <w:rsid w:val="00DA3F86"/>
    <w:rsid w:val="00DA4421"/>
    <w:rsid w:val="00DA4B73"/>
    <w:rsid w:val="00DA4D7E"/>
    <w:rsid w:val="00DA5084"/>
    <w:rsid w:val="00DA50BE"/>
    <w:rsid w:val="00DA5CC9"/>
    <w:rsid w:val="00DA6686"/>
    <w:rsid w:val="00DA6A01"/>
    <w:rsid w:val="00DA6AF3"/>
    <w:rsid w:val="00DA6DA1"/>
    <w:rsid w:val="00DA6ED2"/>
    <w:rsid w:val="00DB0406"/>
    <w:rsid w:val="00DB05E1"/>
    <w:rsid w:val="00DB0681"/>
    <w:rsid w:val="00DB0BD1"/>
    <w:rsid w:val="00DB1870"/>
    <w:rsid w:val="00DB1930"/>
    <w:rsid w:val="00DB2508"/>
    <w:rsid w:val="00DB2BEE"/>
    <w:rsid w:val="00DB2DED"/>
    <w:rsid w:val="00DB410E"/>
    <w:rsid w:val="00DB4205"/>
    <w:rsid w:val="00DB4291"/>
    <w:rsid w:val="00DB4394"/>
    <w:rsid w:val="00DB4A80"/>
    <w:rsid w:val="00DB54D1"/>
    <w:rsid w:val="00DB5AE4"/>
    <w:rsid w:val="00DB5B4E"/>
    <w:rsid w:val="00DB60B4"/>
    <w:rsid w:val="00DB638E"/>
    <w:rsid w:val="00DB651F"/>
    <w:rsid w:val="00DB6A2F"/>
    <w:rsid w:val="00DB6CD6"/>
    <w:rsid w:val="00DB759F"/>
    <w:rsid w:val="00DB77B6"/>
    <w:rsid w:val="00DB797C"/>
    <w:rsid w:val="00DC02DF"/>
    <w:rsid w:val="00DC074A"/>
    <w:rsid w:val="00DC0ADB"/>
    <w:rsid w:val="00DC0BD4"/>
    <w:rsid w:val="00DC12E0"/>
    <w:rsid w:val="00DC1505"/>
    <w:rsid w:val="00DC1736"/>
    <w:rsid w:val="00DC1F52"/>
    <w:rsid w:val="00DC2979"/>
    <w:rsid w:val="00DC3E7D"/>
    <w:rsid w:val="00DC4196"/>
    <w:rsid w:val="00DC4891"/>
    <w:rsid w:val="00DC4BB9"/>
    <w:rsid w:val="00DC4F09"/>
    <w:rsid w:val="00DC4FC5"/>
    <w:rsid w:val="00DC5A43"/>
    <w:rsid w:val="00DC5C90"/>
    <w:rsid w:val="00DC6B23"/>
    <w:rsid w:val="00DC6DA2"/>
    <w:rsid w:val="00DC7A79"/>
    <w:rsid w:val="00DC7D50"/>
    <w:rsid w:val="00DD00A2"/>
    <w:rsid w:val="00DD072C"/>
    <w:rsid w:val="00DD0BB2"/>
    <w:rsid w:val="00DD0EB9"/>
    <w:rsid w:val="00DD1ACD"/>
    <w:rsid w:val="00DD24F2"/>
    <w:rsid w:val="00DD25B5"/>
    <w:rsid w:val="00DD2C17"/>
    <w:rsid w:val="00DD366B"/>
    <w:rsid w:val="00DD4B12"/>
    <w:rsid w:val="00DD4E92"/>
    <w:rsid w:val="00DD58C4"/>
    <w:rsid w:val="00DD5941"/>
    <w:rsid w:val="00DD5E9E"/>
    <w:rsid w:val="00DD6ACB"/>
    <w:rsid w:val="00DD725C"/>
    <w:rsid w:val="00DD7640"/>
    <w:rsid w:val="00DD76FC"/>
    <w:rsid w:val="00DD778F"/>
    <w:rsid w:val="00DD7FEF"/>
    <w:rsid w:val="00DE02F6"/>
    <w:rsid w:val="00DE09D7"/>
    <w:rsid w:val="00DE1298"/>
    <w:rsid w:val="00DE1586"/>
    <w:rsid w:val="00DE177F"/>
    <w:rsid w:val="00DE17A3"/>
    <w:rsid w:val="00DE193A"/>
    <w:rsid w:val="00DE1A0C"/>
    <w:rsid w:val="00DE1C97"/>
    <w:rsid w:val="00DE29CA"/>
    <w:rsid w:val="00DE32FB"/>
    <w:rsid w:val="00DE36B9"/>
    <w:rsid w:val="00DE38D8"/>
    <w:rsid w:val="00DE3C57"/>
    <w:rsid w:val="00DE3D74"/>
    <w:rsid w:val="00DE3EAB"/>
    <w:rsid w:val="00DE4143"/>
    <w:rsid w:val="00DE457E"/>
    <w:rsid w:val="00DE4AE4"/>
    <w:rsid w:val="00DE4E77"/>
    <w:rsid w:val="00DE5428"/>
    <w:rsid w:val="00DE60DB"/>
    <w:rsid w:val="00DE6116"/>
    <w:rsid w:val="00DE65E2"/>
    <w:rsid w:val="00DE6C8D"/>
    <w:rsid w:val="00DE6D21"/>
    <w:rsid w:val="00DE728A"/>
    <w:rsid w:val="00DE77A3"/>
    <w:rsid w:val="00DE77F0"/>
    <w:rsid w:val="00DE7B9A"/>
    <w:rsid w:val="00DE7E4B"/>
    <w:rsid w:val="00DF035F"/>
    <w:rsid w:val="00DF03CB"/>
    <w:rsid w:val="00DF06CB"/>
    <w:rsid w:val="00DF2E28"/>
    <w:rsid w:val="00DF2E53"/>
    <w:rsid w:val="00DF357C"/>
    <w:rsid w:val="00DF366E"/>
    <w:rsid w:val="00DF3B00"/>
    <w:rsid w:val="00DF40D1"/>
    <w:rsid w:val="00DF4BFA"/>
    <w:rsid w:val="00DF4C4C"/>
    <w:rsid w:val="00DF4F78"/>
    <w:rsid w:val="00DF5585"/>
    <w:rsid w:val="00DF5DF8"/>
    <w:rsid w:val="00DF5FF3"/>
    <w:rsid w:val="00DF638C"/>
    <w:rsid w:val="00DF63C9"/>
    <w:rsid w:val="00DF649C"/>
    <w:rsid w:val="00DF6A1A"/>
    <w:rsid w:val="00DF6BB4"/>
    <w:rsid w:val="00DF75D0"/>
    <w:rsid w:val="00E01683"/>
    <w:rsid w:val="00E0179B"/>
    <w:rsid w:val="00E019B2"/>
    <w:rsid w:val="00E01D40"/>
    <w:rsid w:val="00E02595"/>
    <w:rsid w:val="00E02766"/>
    <w:rsid w:val="00E02998"/>
    <w:rsid w:val="00E029E8"/>
    <w:rsid w:val="00E02C91"/>
    <w:rsid w:val="00E02D41"/>
    <w:rsid w:val="00E02D8A"/>
    <w:rsid w:val="00E0308A"/>
    <w:rsid w:val="00E039C3"/>
    <w:rsid w:val="00E03B5A"/>
    <w:rsid w:val="00E0406A"/>
    <w:rsid w:val="00E040E5"/>
    <w:rsid w:val="00E04362"/>
    <w:rsid w:val="00E04797"/>
    <w:rsid w:val="00E0559C"/>
    <w:rsid w:val="00E05A54"/>
    <w:rsid w:val="00E0642F"/>
    <w:rsid w:val="00E06718"/>
    <w:rsid w:val="00E068AF"/>
    <w:rsid w:val="00E06F30"/>
    <w:rsid w:val="00E07121"/>
    <w:rsid w:val="00E07982"/>
    <w:rsid w:val="00E07B02"/>
    <w:rsid w:val="00E10266"/>
    <w:rsid w:val="00E10403"/>
    <w:rsid w:val="00E10A4D"/>
    <w:rsid w:val="00E10A5B"/>
    <w:rsid w:val="00E114AD"/>
    <w:rsid w:val="00E11815"/>
    <w:rsid w:val="00E11A4F"/>
    <w:rsid w:val="00E11B3E"/>
    <w:rsid w:val="00E11B68"/>
    <w:rsid w:val="00E121C5"/>
    <w:rsid w:val="00E13349"/>
    <w:rsid w:val="00E135EE"/>
    <w:rsid w:val="00E147FE"/>
    <w:rsid w:val="00E14D25"/>
    <w:rsid w:val="00E15029"/>
    <w:rsid w:val="00E1539F"/>
    <w:rsid w:val="00E156FC"/>
    <w:rsid w:val="00E15756"/>
    <w:rsid w:val="00E159F3"/>
    <w:rsid w:val="00E16244"/>
    <w:rsid w:val="00E16AD4"/>
    <w:rsid w:val="00E16B97"/>
    <w:rsid w:val="00E16C64"/>
    <w:rsid w:val="00E16E5B"/>
    <w:rsid w:val="00E16E61"/>
    <w:rsid w:val="00E16FE2"/>
    <w:rsid w:val="00E175A5"/>
    <w:rsid w:val="00E175E1"/>
    <w:rsid w:val="00E17803"/>
    <w:rsid w:val="00E17C9B"/>
    <w:rsid w:val="00E17E29"/>
    <w:rsid w:val="00E204FE"/>
    <w:rsid w:val="00E205A8"/>
    <w:rsid w:val="00E2075B"/>
    <w:rsid w:val="00E20B11"/>
    <w:rsid w:val="00E20EC2"/>
    <w:rsid w:val="00E21015"/>
    <w:rsid w:val="00E2136B"/>
    <w:rsid w:val="00E2138E"/>
    <w:rsid w:val="00E219D9"/>
    <w:rsid w:val="00E21D2D"/>
    <w:rsid w:val="00E21E9F"/>
    <w:rsid w:val="00E22BF4"/>
    <w:rsid w:val="00E23502"/>
    <w:rsid w:val="00E23BC1"/>
    <w:rsid w:val="00E23E4D"/>
    <w:rsid w:val="00E240E3"/>
    <w:rsid w:val="00E2444D"/>
    <w:rsid w:val="00E24635"/>
    <w:rsid w:val="00E246DB"/>
    <w:rsid w:val="00E2586D"/>
    <w:rsid w:val="00E25E8D"/>
    <w:rsid w:val="00E265C9"/>
    <w:rsid w:val="00E265E3"/>
    <w:rsid w:val="00E27A53"/>
    <w:rsid w:val="00E27E35"/>
    <w:rsid w:val="00E3040E"/>
    <w:rsid w:val="00E305EB"/>
    <w:rsid w:val="00E30EDB"/>
    <w:rsid w:val="00E312EB"/>
    <w:rsid w:val="00E312FE"/>
    <w:rsid w:val="00E31630"/>
    <w:rsid w:val="00E32AFC"/>
    <w:rsid w:val="00E32D7E"/>
    <w:rsid w:val="00E33409"/>
    <w:rsid w:val="00E338EA"/>
    <w:rsid w:val="00E3398A"/>
    <w:rsid w:val="00E33B6D"/>
    <w:rsid w:val="00E33E9F"/>
    <w:rsid w:val="00E33EF1"/>
    <w:rsid w:val="00E33FE9"/>
    <w:rsid w:val="00E341A4"/>
    <w:rsid w:val="00E34553"/>
    <w:rsid w:val="00E35A3E"/>
    <w:rsid w:val="00E36414"/>
    <w:rsid w:val="00E3642D"/>
    <w:rsid w:val="00E36C89"/>
    <w:rsid w:val="00E36C8C"/>
    <w:rsid w:val="00E377DC"/>
    <w:rsid w:val="00E37DAD"/>
    <w:rsid w:val="00E40148"/>
    <w:rsid w:val="00E40973"/>
    <w:rsid w:val="00E40A3B"/>
    <w:rsid w:val="00E40DAE"/>
    <w:rsid w:val="00E412E1"/>
    <w:rsid w:val="00E4150D"/>
    <w:rsid w:val="00E417D8"/>
    <w:rsid w:val="00E41F81"/>
    <w:rsid w:val="00E42962"/>
    <w:rsid w:val="00E4363B"/>
    <w:rsid w:val="00E45384"/>
    <w:rsid w:val="00E45494"/>
    <w:rsid w:val="00E45B02"/>
    <w:rsid w:val="00E46711"/>
    <w:rsid w:val="00E473AE"/>
    <w:rsid w:val="00E475F0"/>
    <w:rsid w:val="00E47DA9"/>
    <w:rsid w:val="00E50448"/>
    <w:rsid w:val="00E50492"/>
    <w:rsid w:val="00E504F8"/>
    <w:rsid w:val="00E508A3"/>
    <w:rsid w:val="00E50CD9"/>
    <w:rsid w:val="00E50D3F"/>
    <w:rsid w:val="00E512E7"/>
    <w:rsid w:val="00E51765"/>
    <w:rsid w:val="00E5179B"/>
    <w:rsid w:val="00E51AA9"/>
    <w:rsid w:val="00E51C4A"/>
    <w:rsid w:val="00E51C60"/>
    <w:rsid w:val="00E5306C"/>
    <w:rsid w:val="00E539C7"/>
    <w:rsid w:val="00E53F2F"/>
    <w:rsid w:val="00E54D33"/>
    <w:rsid w:val="00E552F2"/>
    <w:rsid w:val="00E55315"/>
    <w:rsid w:val="00E5566A"/>
    <w:rsid w:val="00E55913"/>
    <w:rsid w:val="00E55A28"/>
    <w:rsid w:val="00E55AEC"/>
    <w:rsid w:val="00E55CCC"/>
    <w:rsid w:val="00E55DD9"/>
    <w:rsid w:val="00E5624F"/>
    <w:rsid w:val="00E564B9"/>
    <w:rsid w:val="00E56604"/>
    <w:rsid w:val="00E56FEC"/>
    <w:rsid w:val="00E57513"/>
    <w:rsid w:val="00E57733"/>
    <w:rsid w:val="00E57E0A"/>
    <w:rsid w:val="00E57EB2"/>
    <w:rsid w:val="00E57ED4"/>
    <w:rsid w:val="00E57F00"/>
    <w:rsid w:val="00E604B0"/>
    <w:rsid w:val="00E609C9"/>
    <w:rsid w:val="00E60E49"/>
    <w:rsid w:val="00E6129E"/>
    <w:rsid w:val="00E61C7D"/>
    <w:rsid w:val="00E61DDE"/>
    <w:rsid w:val="00E62FAD"/>
    <w:rsid w:val="00E635AD"/>
    <w:rsid w:val="00E6396D"/>
    <w:rsid w:val="00E6417C"/>
    <w:rsid w:val="00E64249"/>
    <w:rsid w:val="00E6440F"/>
    <w:rsid w:val="00E6534C"/>
    <w:rsid w:val="00E655BB"/>
    <w:rsid w:val="00E65DC1"/>
    <w:rsid w:val="00E661FA"/>
    <w:rsid w:val="00E66ACF"/>
    <w:rsid w:val="00E67720"/>
    <w:rsid w:val="00E7028F"/>
    <w:rsid w:val="00E7045C"/>
    <w:rsid w:val="00E70479"/>
    <w:rsid w:val="00E7096F"/>
    <w:rsid w:val="00E70B43"/>
    <w:rsid w:val="00E71387"/>
    <w:rsid w:val="00E727A5"/>
    <w:rsid w:val="00E732FE"/>
    <w:rsid w:val="00E736AE"/>
    <w:rsid w:val="00E73BF0"/>
    <w:rsid w:val="00E73CED"/>
    <w:rsid w:val="00E73D8A"/>
    <w:rsid w:val="00E74103"/>
    <w:rsid w:val="00E74224"/>
    <w:rsid w:val="00E74D3F"/>
    <w:rsid w:val="00E74E3F"/>
    <w:rsid w:val="00E75167"/>
    <w:rsid w:val="00E75FB1"/>
    <w:rsid w:val="00E76D16"/>
    <w:rsid w:val="00E76D1C"/>
    <w:rsid w:val="00E77700"/>
    <w:rsid w:val="00E7773D"/>
    <w:rsid w:val="00E8002B"/>
    <w:rsid w:val="00E801D4"/>
    <w:rsid w:val="00E808CA"/>
    <w:rsid w:val="00E80910"/>
    <w:rsid w:val="00E81071"/>
    <w:rsid w:val="00E8112D"/>
    <w:rsid w:val="00E81BD8"/>
    <w:rsid w:val="00E81BFE"/>
    <w:rsid w:val="00E82059"/>
    <w:rsid w:val="00E8215C"/>
    <w:rsid w:val="00E82184"/>
    <w:rsid w:val="00E833E1"/>
    <w:rsid w:val="00E835FD"/>
    <w:rsid w:val="00E83627"/>
    <w:rsid w:val="00E83869"/>
    <w:rsid w:val="00E83EFD"/>
    <w:rsid w:val="00E848C0"/>
    <w:rsid w:val="00E8570C"/>
    <w:rsid w:val="00E85C7F"/>
    <w:rsid w:val="00E86243"/>
    <w:rsid w:val="00E8644F"/>
    <w:rsid w:val="00E87582"/>
    <w:rsid w:val="00E875B7"/>
    <w:rsid w:val="00E87B82"/>
    <w:rsid w:val="00E901D1"/>
    <w:rsid w:val="00E90C36"/>
    <w:rsid w:val="00E90D92"/>
    <w:rsid w:val="00E910E2"/>
    <w:rsid w:val="00E9156C"/>
    <w:rsid w:val="00E9201A"/>
    <w:rsid w:val="00E9212E"/>
    <w:rsid w:val="00E925EB"/>
    <w:rsid w:val="00E92823"/>
    <w:rsid w:val="00E92E5E"/>
    <w:rsid w:val="00E93748"/>
    <w:rsid w:val="00E93BA5"/>
    <w:rsid w:val="00E940D7"/>
    <w:rsid w:val="00E941A3"/>
    <w:rsid w:val="00E943AA"/>
    <w:rsid w:val="00E94BD1"/>
    <w:rsid w:val="00E94E72"/>
    <w:rsid w:val="00E95247"/>
    <w:rsid w:val="00E953FB"/>
    <w:rsid w:val="00E9589A"/>
    <w:rsid w:val="00E9594A"/>
    <w:rsid w:val="00E95A35"/>
    <w:rsid w:val="00E95E8B"/>
    <w:rsid w:val="00E96248"/>
    <w:rsid w:val="00E96736"/>
    <w:rsid w:val="00E968AD"/>
    <w:rsid w:val="00E96A02"/>
    <w:rsid w:val="00E96C5F"/>
    <w:rsid w:val="00E977DC"/>
    <w:rsid w:val="00EA0186"/>
    <w:rsid w:val="00EA0679"/>
    <w:rsid w:val="00EA0826"/>
    <w:rsid w:val="00EA111D"/>
    <w:rsid w:val="00EA11E7"/>
    <w:rsid w:val="00EA1425"/>
    <w:rsid w:val="00EA1DDD"/>
    <w:rsid w:val="00EA2EA3"/>
    <w:rsid w:val="00EA2F80"/>
    <w:rsid w:val="00EA301F"/>
    <w:rsid w:val="00EA30C9"/>
    <w:rsid w:val="00EA328C"/>
    <w:rsid w:val="00EA38D3"/>
    <w:rsid w:val="00EA39CB"/>
    <w:rsid w:val="00EA3CCB"/>
    <w:rsid w:val="00EA41C4"/>
    <w:rsid w:val="00EA44F0"/>
    <w:rsid w:val="00EA4750"/>
    <w:rsid w:val="00EA4B8D"/>
    <w:rsid w:val="00EA50E6"/>
    <w:rsid w:val="00EA5C63"/>
    <w:rsid w:val="00EA5D7B"/>
    <w:rsid w:val="00EA64C0"/>
    <w:rsid w:val="00EA66E2"/>
    <w:rsid w:val="00EA6FA9"/>
    <w:rsid w:val="00EA7B62"/>
    <w:rsid w:val="00EB03F4"/>
    <w:rsid w:val="00EB0452"/>
    <w:rsid w:val="00EB1253"/>
    <w:rsid w:val="00EB12E9"/>
    <w:rsid w:val="00EB1784"/>
    <w:rsid w:val="00EB1939"/>
    <w:rsid w:val="00EB2181"/>
    <w:rsid w:val="00EB2597"/>
    <w:rsid w:val="00EB29C8"/>
    <w:rsid w:val="00EB3460"/>
    <w:rsid w:val="00EB3470"/>
    <w:rsid w:val="00EB37ED"/>
    <w:rsid w:val="00EB393F"/>
    <w:rsid w:val="00EB3DB5"/>
    <w:rsid w:val="00EB4782"/>
    <w:rsid w:val="00EB48A4"/>
    <w:rsid w:val="00EB4B20"/>
    <w:rsid w:val="00EB4C69"/>
    <w:rsid w:val="00EB4F5F"/>
    <w:rsid w:val="00EB4F9B"/>
    <w:rsid w:val="00EB5219"/>
    <w:rsid w:val="00EB649A"/>
    <w:rsid w:val="00EB6892"/>
    <w:rsid w:val="00EB74E5"/>
    <w:rsid w:val="00EB79FB"/>
    <w:rsid w:val="00EC1308"/>
    <w:rsid w:val="00EC13B7"/>
    <w:rsid w:val="00EC14CE"/>
    <w:rsid w:val="00EC1CCF"/>
    <w:rsid w:val="00EC215F"/>
    <w:rsid w:val="00EC2CD6"/>
    <w:rsid w:val="00EC2E1B"/>
    <w:rsid w:val="00EC3B3C"/>
    <w:rsid w:val="00EC5856"/>
    <w:rsid w:val="00EC659E"/>
    <w:rsid w:val="00EC68ED"/>
    <w:rsid w:val="00EC6A09"/>
    <w:rsid w:val="00EC77FD"/>
    <w:rsid w:val="00EC7D5D"/>
    <w:rsid w:val="00ED0106"/>
    <w:rsid w:val="00ED014A"/>
    <w:rsid w:val="00ED015E"/>
    <w:rsid w:val="00ED0AC8"/>
    <w:rsid w:val="00ED110B"/>
    <w:rsid w:val="00ED1346"/>
    <w:rsid w:val="00ED18CB"/>
    <w:rsid w:val="00ED1E87"/>
    <w:rsid w:val="00ED2A28"/>
    <w:rsid w:val="00ED31BC"/>
    <w:rsid w:val="00ED349D"/>
    <w:rsid w:val="00ED36A7"/>
    <w:rsid w:val="00ED37F4"/>
    <w:rsid w:val="00ED3AB7"/>
    <w:rsid w:val="00ED3FA3"/>
    <w:rsid w:val="00ED4B1B"/>
    <w:rsid w:val="00ED4E5E"/>
    <w:rsid w:val="00ED56B4"/>
    <w:rsid w:val="00ED61EA"/>
    <w:rsid w:val="00ED67BE"/>
    <w:rsid w:val="00ED7D8C"/>
    <w:rsid w:val="00EE00C7"/>
    <w:rsid w:val="00EE029E"/>
    <w:rsid w:val="00EE0650"/>
    <w:rsid w:val="00EE1130"/>
    <w:rsid w:val="00EE1131"/>
    <w:rsid w:val="00EE1297"/>
    <w:rsid w:val="00EE13B1"/>
    <w:rsid w:val="00EE1444"/>
    <w:rsid w:val="00EE1912"/>
    <w:rsid w:val="00EE2F03"/>
    <w:rsid w:val="00EE3351"/>
    <w:rsid w:val="00EE358D"/>
    <w:rsid w:val="00EE3687"/>
    <w:rsid w:val="00EE3971"/>
    <w:rsid w:val="00EE509E"/>
    <w:rsid w:val="00EE51B3"/>
    <w:rsid w:val="00EE550C"/>
    <w:rsid w:val="00EE5584"/>
    <w:rsid w:val="00EE6121"/>
    <w:rsid w:val="00EE6918"/>
    <w:rsid w:val="00EE697D"/>
    <w:rsid w:val="00EE6B10"/>
    <w:rsid w:val="00EE6F00"/>
    <w:rsid w:val="00EE74E4"/>
    <w:rsid w:val="00EE7908"/>
    <w:rsid w:val="00EE7F8C"/>
    <w:rsid w:val="00EF00AC"/>
    <w:rsid w:val="00EF0293"/>
    <w:rsid w:val="00EF0D07"/>
    <w:rsid w:val="00EF0D8A"/>
    <w:rsid w:val="00EF180D"/>
    <w:rsid w:val="00EF1FD7"/>
    <w:rsid w:val="00EF2018"/>
    <w:rsid w:val="00EF2FEB"/>
    <w:rsid w:val="00EF337A"/>
    <w:rsid w:val="00EF3640"/>
    <w:rsid w:val="00EF3DBC"/>
    <w:rsid w:val="00EF4726"/>
    <w:rsid w:val="00EF4EB0"/>
    <w:rsid w:val="00EF55A8"/>
    <w:rsid w:val="00EF56DB"/>
    <w:rsid w:val="00EF60BF"/>
    <w:rsid w:val="00EF61BA"/>
    <w:rsid w:val="00EF73EF"/>
    <w:rsid w:val="00EF74E2"/>
    <w:rsid w:val="00EF78ED"/>
    <w:rsid w:val="00EF7BC7"/>
    <w:rsid w:val="00EF7D7F"/>
    <w:rsid w:val="00F00167"/>
    <w:rsid w:val="00F00338"/>
    <w:rsid w:val="00F00450"/>
    <w:rsid w:val="00F0047C"/>
    <w:rsid w:val="00F00763"/>
    <w:rsid w:val="00F00D63"/>
    <w:rsid w:val="00F00E72"/>
    <w:rsid w:val="00F0105C"/>
    <w:rsid w:val="00F0128E"/>
    <w:rsid w:val="00F015AB"/>
    <w:rsid w:val="00F01657"/>
    <w:rsid w:val="00F019A6"/>
    <w:rsid w:val="00F01A85"/>
    <w:rsid w:val="00F01DB7"/>
    <w:rsid w:val="00F02887"/>
    <w:rsid w:val="00F02936"/>
    <w:rsid w:val="00F02FC4"/>
    <w:rsid w:val="00F03216"/>
    <w:rsid w:val="00F035F1"/>
    <w:rsid w:val="00F0413B"/>
    <w:rsid w:val="00F0482E"/>
    <w:rsid w:val="00F0486E"/>
    <w:rsid w:val="00F049CD"/>
    <w:rsid w:val="00F05183"/>
    <w:rsid w:val="00F0559F"/>
    <w:rsid w:val="00F057D9"/>
    <w:rsid w:val="00F06E6C"/>
    <w:rsid w:val="00F074B2"/>
    <w:rsid w:val="00F07868"/>
    <w:rsid w:val="00F07B3E"/>
    <w:rsid w:val="00F07C19"/>
    <w:rsid w:val="00F07DCF"/>
    <w:rsid w:val="00F10B6D"/>
    <w:rsid w:val="00F1141C"/>
    <w:rsid w:val="00F116DC"/>
    <w:rsid w:val="00F11895"/>
    <w:rsid w:val="00F118A5"/>
    <w:rsid w:val="00F11973"/>
    <w:rsid w:val="00F11B94"/>
    <w:rsid w:val="00F121A4"/>
    <w:rsid w:val="00F12B16"/>
    <w:rsid w:val="00F12B1C"/>
    <w:rsid w:val="00F12F2F"/>
    <w:rsid w:val="00F14099"/>
    <w:rsid w:val="00F14345"/>
    <w:rsid w:val="00F14B4D"/>
    <w:rsid w:val="00F1509C"/>
    <w:rsid w:val="00F15BA7"/>
    <w:rsid w:val="00F15E2F"/>
    <w:rsid w:val="00F15F6A"/>
    <w:rsid w:val="00F16473"/>
    <w:rsid w:val="00F164A6"/>
    <w:rsid w:val="00F16CE1"/>
    <w:rsid w:val="00F173C8"/>
    <w:rsid w:val="00F17B5A"/>
    <w:rsid w:val="00F17BAE"/>
    <w:rsid w:val="00F17F92"/>
    <w:rsid w:val="00F202D0"/>
    <w:rsid w:val="00F20832"/>
    <w:rsid w:val="00F215AE"/>
    <w:rsid w:val="00F2162E"/>
    <w:rsid w:val="00F21A14"/>
    <w:rsid w:val="00F22622"/>
    <w:rsid w:val="00F22B7A"/>
    <w:rsid w:val="00F22E95"/>
    <w:rsid w:val="00F2336D"/>
    <w:rsid w:val="00F23418"/>
    <w:rsid w:val="00F23607"/>
    <w:rsid w:val="00F236D4"/>
    <w:rsid w:val="00F237AF"/>
    <w:rsid w:val="00F23F5B"/>
    <w:rsid w:val="00F241CB"/>
    <w:rsid w:val="00F242CC"/>
    <w:rsid w:val="00F2540A"/>
    <w:rsid w:val="00F25416"/>
    <w:rsid w:val="00F2564E"/>
    <w:rsid w:val="00F2572F"/>
    <w:rsid w:val="00F25A57"/>
    <w:rsid w:val="00F262C4"/>
    <w:rsid w:val="00F26F7F"/>
    <w:rsid w:val="00F30395"/>
    <w:rsid w:val="00F30A5C"/>
    <w:rsid w:val="00F31013"/>
    <w:rsid w:val="00F31363"/>
    <w:rsid w:val="00F322E4"/>
    <w:rsid w:val="00F323C4"/>
    <w:rsid w:val="00F332B3"/>
    <w:rsid w:val="00F333C4"/>
    <w:rsid w:val="00F335BC"/>
    <w:rsid w:val="00F33677"/>
    <w:rsid w:val="00F345CC"/>
    <w:rsid w:val="00F353FC"/>
    <w:rsid w:val="00F35616"/>
    <w:rsid w:val="00F35833"/>
    <w:rsid w:val="00F3598F"/>
    <w:rsid w:val="00F361BA"/>
    <w:rsid w:val="00F36B3F"/>
    <w:rsid w:val="00F37F70"/>
    <w:rsid w:val="00F404A1"/>
    <w:rsid w:val="00F40EE8"/>
    <w:rsid w:val="00F41ED4"/>
    <w:rsid w:val="00F4220F"/>
    <w:rsid w:val="00F42237"/>
    <w:rsid w:val="00F42386"/>
    <w:rsid w:val="00F427B5"/>
    <w:rsid w:val="00F42937"/>
    <w:rsid w:val="00F42BD9"/>
    <w:rsid w:val="00F433E2"/>
    <w:rsid w:val="00F43A6B"/>
    <w:rsid w:val="00F43A80"/>
    <w:rsid w:val="00F43B42"/>
    <w:rsid w:val="00F43B90"/>
    <w:rsid w:val="00F43E6B"/>
    <w:rsid w:val="00F43F50"/>
    <w:rsid w:val="00F44816"/>
    <w:rsid w:val="00F44A5B"/>
    <w:rsid w:val="00F45091"/>
    <w:rsid w:val="00F45117"/>
    <w:rsid w:val="00F45D7B"/>
    <w:rsid w:val="00F4675F"/>
    <w:rsid w:val="00F468EE"/>
    <w:rsid w:val="00F46FD1"/>
    <w:rsid w:val="00F471FD"/>
    <w:rsid w:val="00F478F5"/>
    <w:rsid w:val="00F50684"/>
    <w:rsid w:val="00F50E98"/>
    <w:rsid w:val="00F51329"/>
    <w:rsid w:val="00F5180E"/>
    <w:rsid w:val="00F51A05"/>
    <w:rsid w:val="00F51AA6"/>
    <w:rsid w:val="00F51E2F"/>
    <w:rsid w:val="00F522E9"/>
    <w:rsid w:val="00F5295F"/>
    <w:rsid w:val="00F52B10"/>
    <w:rsid w:val="00F52F0C"/>
    <w:rsid w:val="00F52FAB"/>
    <w:rsid w:val="00F52FFE"/>
    <w:rsid w:val="00F535BD"/>
    <w:rsid w:val="00F537C0"/>
    <w:rsid w:val="00F53B75"/>
    <w:rsid w:val="00F53EAB"/>
    <w:rsid w:val="00F5415F"/>
    <w:rsid w:val="00F542BD"/>
    <w:rsid w:val="00F543C0"/>
    <w:rsid w:val="00F54551"/>
    <w:rsid w:val="00F54D5A"/>
    <w:rsid w:val="00F550BA"/>
    <w:rsid w:val="00F55164"/>
    <w:rsid w:val="00F5543F"/>
    <w:rsid w:val="00F55499"/>
    <w:rsid w:val="00F56DA7"/>
    <w:rsid w:val="00F572CE"/>
    <w:rsid w:val="00F5795C"/>
    <w:rsid w:val="00F57A78"/>
    <w:rsid w:val="00F57F3D"/>
    <w:rsid w:val="00F57F91"/>
    <w:rsid w:val="00F60164"/>
    <w:rsid w:val="00F60489"/>
    <w:rsid w:val="00F609EF"/>
    <w:rsid w:val="00F61410"/>
    <w:rsid w:val="00F61580"/>
    <w:rsid w:val="00F615AB"/>
    <w:rsid w:val="00F615D9"/>
    <w:rsid w:val="00F61744"/>
    <w:rsid w:val="00F6295D"/>
    <w:rsid w:val="00F62ED1"/>
    <w:rsid w:val="00F632F2"/>
    <w:rsid w:val="00F6334D"/>
    <w:rsid w:val="00F63CAA"/>
    <w:rsid w:val="00F646FC"/>
    <w:rsid w:val="00F64722"/>
    <w:rsid w:val="00F648AA"/>
    <w:rsid w:val="00F64B34"/>
    <w:rsid w:val="00F652B1"/>
    <w:rsid w:val="00F66C9E"/>
    <w:rsid w:val="00F66F17"/>
    <w:rsid w:val="00F67600"/>
    <w:rsid w:val="00F677CC"/>
    <w:rsid w:val="00F67C93"/>
    <w:rsid w:val="00F70003"/>
    <w:rsid w:val="00F705DF"/>
    <w:rsid w:val="00F7077A"/>
    <w:rsid w:val="00F70C04"/>
    <w:rsid w:val="00F70D5A"/>
    <w:rsid w:val="00F70DE9"/>
    <w:rsid w:val="00F70EE2"/>
    <w:rsid w:val="00F712E0"/>
    <w:rsid w:val="00F7212E"/>
    <w:rsid w:val="00F73976"/>
    <w:rsid w:val="00F74159"/>
    <w:rsid w:val="00F74385"/>
    <w:rsid w:val="00F74CD8"/>
    <w:rsid w:val="00F75D3F"/>
    <w:rsid w:val="00F75E92"/>
    <w:rsid w:val="00F75E96"/>
    <w:rsid w:val="00F764FA"/>
    <w:rsid w:val="00F765FA"/>
    <w:rsid w:val="00F77B6E"/>
    <w:rsid w:val="00F77D93"/>
    <w:rsid w:val="00F8020C"/>
    <w:rsid w:val="00F80D55"/>
    <w:rsid w:val="00F81481"/>
    <w:rsid w:val="00F8195D"/>
    <w:rsid w:val="00F8225B"/>
    <w:rsid w:val="00F82980"/>
    <w:rsid w:val="00F83300"/>
    <w:rsid w:val="00F8345D"/>
    <w:rsid w:val="00F84746"/>
    <w:rsid w:val="00F84930"/>
    <w:rsid w:val="00F84996"/>
    <w:rsid w:val="00F84CB6"/>
    <w:rsid w:val="00F8509C"/>
    <w:rsid w:val="00F852B1"/>
    <w:rsid w:val="00F85A24"/>
    <w:rsid w:val="00F860A7"/>
    <w:rsid w:val="00F86B37"/>
    <w:rsid w:val="00F871A5"/>
    <w:rsid w:val="00F872A6"/>
    <w:rsid w:val="00F87AC7"/>
    <w:rsid w:val="00F87B51"/>
    <w:rsid w:val="00F87EA8"/>
    <w:rsid w:val="00F90968"/>
    <w:rsid w:val="00F912E8"/>
    <w:rsid w:val="00F91319"/>
    <w:rsid w:val="00F91E67"/>
    <w:rsid w:val="00F9282B"/>
    <w:rsid w:val="00F92A8F"/>
    <w:rsid w:val="00F9340F"/>
    <w:rsid w:val="00F93C45"/>
    <w:rsid w:val="00F9406A"/>
    <w:rsid w:val="00F941B0"/>
    <w:rsid w:val="00F945FB"/>
    <w:rsid w:val="00F9470F"/>
    <w:rsid w:val="00F94E0B"/>
    <w:rsid w:val="00F9612E"/>
    <w:rsid w:val="00F96623"/>
    <w:rsid w:val="00F969E0"/>
    <w:rsid w:val="00F973AD"/>
    <w:rsid w:val="00F976B2"/>
    <w:rsid w:val="00F97A0E"/>
    <w:rsid w:val="00F97E36"/>
    <w:rsid w:val="00F97F5B"/>
    <w:rsid w:val="00FA0237"/>
    <w:rsid w:val="00FA0A4B"/>
    <w:rsid w:val="00FA0B52"/>
    <w:rsid w:val="00FA0B7D"/>
    <w:rsid w:val="00FA1237"/>
    <w:rsid w:val="00FA1481"/>
    <w:rsid w:val="00FA19F7"/>
    <w:rsid w:val="00FA2804"/>
    <w:rsid w:val="00FA287E"/>
    <w:rsid w:val="00FA3C5A"/>
    <w:rsid w:val="00FA4049"/>
    <w:rsid w:val="00FA46B6"/>
    <w:rsid w:val="00FA47B3"/>
    <w:rsid w:val="00FA4AC0"/>
    <w:rsid w:val="00FA5088"/>
    <w:rsid w:val="00FA52E9"/>
    <w:rsid w:val="00FA5E0D"/>
    <w:rsid w:val="00FA616B"/>
    <w:rsid w:val="00FA682D"/>
    <w:rsid w:val="00FA6D62"/>
    <w:rsid w:val="00FA7003"/>
    <w:rsid w:val="00FA79EC"/>
    <w:rsid w:val="00FA7B65"/>
    <w:rsid w:val="00FA7DC5"/>
    <w:rsid w:val="00FA7E46"/>
    <w:rsid w:val="00FB037F"/>
    <w:rsid w:val="00FB03D1"/>
    <w:rsid w:val="00FB09E6"/>
    <w:rsid w:val="00FB0AFA"/>
    <w:rsid w:val="00FB0BC5"/>
    <w:rsid w:val="00FB0C70"/>
    <w:rsid w:val="00FB13E3"/>
    <w:rsid w:val="00FB19DA"/>
    <w:rsid w:val="00FB1C4F"/>
    <w:rsid w:val="00FB1D0F"/>
    <w:rsid w:val="00FB2461"/>
    <w:rsid w:val="00FB26D6"/>
    <w:rsid w:val="00FB2863"/>
    <w:rsid w:val="00FB312D"/>
    <w:rsid w:val="00FB33CA"/>
    <w:rsid w:val="00FB437B"/>
    <w:rsid w:val="00FB49F0"/>
    <w:rsid w:val="00FB4B1F"/>
    <w:rsid w:val="00FB59DC"/>
    <w:rsid w:val="00FB5AEC"/>
    <w:rsid w:val="00FB605F"/>
    <w:rsid w:val="00FB61CF"/>
    <w:rsid w:val="00FB6913"/>
    <w:rsid w:val="00FB6D64"/>
    <w:rsid w:val="00FB70BD"/>
    <w:rsid w:val="00FB7286"/>
    <w:rsid w:val="00FB7A73"/>
    <w:rsid w:val="00FC050E"/>
    <w:rsid w:val="00FC0674"/>
    <w:rsid w:val="00FC06BF"/>
    <w:rsid w:val="00FC141C"/>
    <w:rsid w:val="00FC1879"/>
    <w:rsid w:val="00FC25A8"/>
    <w:rsid w:val="00FC270E"/>
    <w:rsid w:val="00FC2963"/>
    <w:rsid w:val="00FC303B"/>
    <w:rsid w:val="00FC309E"/>
    <w:rsid w:val="00FC30B0"/>
    <w:rsid w:val="00FC32D8"/>
    <w:rsid w:val="00FC373B"/>
    <w:rsid w:val="00FC3B61"/>
    <w:rsid w:val="00FC3C99"/>
    <w:rsid w:val="00FC4092"/>
    <w:rsid w:val="00FC514B"/>
    <w:rsid w:val="00FC541D"/>
    <w:rsid w:val="00FC557A"/>
    <w:rsid w:val="00FC5C68"/>
    <w:rsid w:val="00FC64F0"/>
    <w:rsid w:val="00FC6557"/>
    <w:rsid w:val="00FC6FC3"/>
    <w:rsid w:val="00FC712F"/>
    <w:rsid w:val="00FD00B6"/>
    <w:rsid w:val="00FD08BA"/>
    <w:rsid w:val="00FD11B1"/>
    <w:rsid w:val="00FD125D"/>
    <w:rsid w:val="00FD1472"/>
    <w:rsid w:val="00FD17B7"/>
    <w:rsid w:val="00FD199C"/>
    <w:rsid w:val="00FD1B3D"/>
    <w:rsid w:val="00FD2463"/>
    <w:rsid w:val="00FD2796"/>
    <w:rsid w:val="00FD2A8C"/>
    <w:rsid w:val="00FD35DD"/>
    <w:rsid w:val="00FD36DE"/>
    <w:rsid w:val="00FD3BBA"/>
    <w:rsid w:val="00FD4E7A"/>
    <w:rsid w:val="00FD4F19"/>
    <w:rsid w:val="00FD4F90"/>
    <w:rsid w:val="00FD56E4"/>
    <w:rsid w:val="00FD59EF"/>
    <w:rsid w:val="00FD5EBB"/>
    <w:rsid w:val="00FD6110"/>
    <w:rsid w:val="00FD64C8"/>
    <w:rsid w:val="00FD67BF"/>
    <w:rsid w:val="00FD70B0"/>
    <w:rsid w:val="00FE0DEB"/>
    <w:rsid w:val="00FE1306"/>
    <w:rsid w:val="00FE2682"/>
    <w:rsid w:val="00FE271C"/>
    <w:rsid w:val="00FE3112"/>
    <w:rsid w:val="00FE40B7"/>
    <w:rsid w:val="00FE4271"/>
    <w:rsid w:val="00FE49E0"/>
    <w:rsid w:val="00FE4C23"/>
    <w:rsid w:val="00FE4C38"/>
    <w:rsid w:val="00FE534B"/>
    <w:rsid w:val="00FE5E38"/>
    <w:rsid w:val="00FE60AE"/>
    <w:rsid w:val="00FE644F"/>
    <w:rsid w:val="00FE6928"/>
    <w:rsid w:val="00FE72B6"/>
    <w:rsid w:val="00FE77F9"/>
    <w:rsid w:val="00FE7AE9"/>
    <w:rsid w:val="00FF0577"/>
    <w:rsid w:val="00FF05BD"/>
    <w:rsid w:val="00FF06AC"/>
    <w:rsid w:val="00FF06E1"/>
    <w:rsid w:val="00FF06F5"/>
    <w:rsid w:val="00FF1A19"/>
    <w:rsid w:val="00FF2157"/>
    <w:rsid w:val="00FF22CD"/>
    <w:rsid w:val="00FF32CE"/>
    <w:rsid w:val="00FF38DE"/>
    <w:rsid w:val="00FF428D"/>
    <w:rsid w:val="00FF43C8"/>
    <w:rsid w:val="00FF4575"/>
    <w:rsid w:val="00FF4F6D"/>
    <w:rsid w:val="00FF52A5"/>
    <w:rsid w:val="00FF6138"/>
    <w:rsid w:val="00FF7B6C"/>
    <w:rsid w:val="00FF7CE9"/>
    <w:rsid w:val="00FF7EA3"/>
    <w:rsid w:val="045DEA2B"/>
    <w:rsid w:val="1D34F7FB"/>
    <w:rsid w:val="2744FF5A"/>
    <w:rsid w:val="2D208DFD"/>
    <w:rsid w:val="4C3E3C26"/>
    <w:rsid w:val="528C9651"/>
    <w:rsid w:val="6D0A72C7"/>
    <w:rsid w:val="6F0BBA7F"/>
    <w:rsid w:val="7730988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404A9"/>
  <w15:chartTrackingRefBased/>
  <w15:docId w15:val="{A76E9DB1-E152-4A19-9ED6-495FA755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87FC4"/>
    <w:pPr>
      <w:spacing w:before="60" w:after="120" w:line="276" w:lineRule="auto"/>
    </w:pPr>
    <w:rPr>
      <w:rFonts w:ascii="Calibri" w:hAnsi="Calibri"/>
      <w:sz w:val="22"/>
      <w:szCs w:val="22"/>
    </w:rPr>
  </w:style>
  <w:style w:type="paragraph" w:styleId="Heading1">
    <w:name w:val="heading 1"/>
    <w:basedOn w:val="Normal"/>
    <w:next w:val="Normal"/>
    <w:link w:val="Heading1Char"/>
    <w:qFormat/>
    <w:rsid w:val="002B0CCF"/>
    <w:pPr>
      <w:keepNext/>
      <w:pageBreakBefore/>
      <w:numPr>
        <w:numId w:val="20"/>
      </w:numPr>
      <w:spacing w:before="0" w:after="240"/>
      <w:ind w:left="0" w:hanging="993"/>
      <w:outlineLvl w:val="0"/>
    </w:pPr>
    <w:rPr>
      <w:rFonts w:eastAsiaTheme="minorHAnsi" w:cs="Arial"/>
      <w:b/>
      <w:bCs/>
      <w:color w:val="1B263C" w:themeColor="accent1" w:themeShade="80"/>
      <w:kern w:val="32"/>
      <w:sz w:val="36"/>
      <w:szCs w:val="40"/>
      <w:lang w:eastAsia="en-GB"/>
    </w:rPr>
  </w:style>
  <w:style w:type="paragraph" w:styleId="Heading2">
    <w:name w:val="heading 2"/>
    <w:basedOn w:val="Normal"/>
    <w:next w:val="Normal"/>
    <w:link w:val="Heading2Char"/>
    <w:uiPriority w:val="1"/>
    <w:qFormat/>
    <w:rsid w:val="00A16840"/>
    <w:pPr>
      <w:keepNext/>
      <w:numPr>
        <w:ilvl w:val="1"/>
        <w:numId w:val="20"/>
      </w:numPr>
      <w:tabs>
        <w:tab w:val="left" w:pos="0"/>
      </w:tabs>
      <w:spacing w:before="480" w:after="240"/>
      <w:ind w:left="0" w:hanging="1134"/>
      <w:outlineLvl w:val="1"/>
    </w:pPr>
    <w:rPr>
      <w:rFonts w:eastAsiaTheme="minorHAnsi" w:cs="Arial"/>
      <w:b/>
      <w:bCs/>
      <w:color w:val="374E7A"/>
      <w:kern w:val="32"/>
      <w:lang w:eastAsia="en-GB"/>
    </w:rPr>
  </w:style>
  <w:style w:type="paragraph" w:styleId="Heading3">
    <w:name w:val="heading 3"/>
    <w:basedOn w:val="Normal"/>
    <w:next w:val="Normal"/>
    <w:link w:val="Heading3Char"/>
    <w:uiPriority w:val="2"/>
    <w:qFormat/>
    <w:rsid w:val="00F77B6E"/>
    <w:pPr>
      <w:numPr>
        <w:ilvl w:val="2"/>
        <w:numId w:val="20"/>
      </w:numPr>
      <w:spacing w:before="240"/>
      <w:outlineLvl w:val="2"/>
    </w:pPr>
    <w:rPr>
      <w:b/>
      <w:bCs/>
      <w:color w:val="374E7A"/>
      <w:lang w:eastAsia="en-GB"/>
    </w:rPr>
  </w:style>
  <w:style w:type="paragraph" w:styleId="Heading4">
    <w:name w:val="heading 4"/>
    <w:basedOn w:val="Normal"/>
    <w:next w:val="Normal"/>
    <w:link w:val="Heading4Char"/>
    <w:uiPriority w:val="9"/>
    <w:unhideWhenUsed/>
    <w:rsid w:val="0050415A"/>
    <w:pPr>
      <w:keepNext/>
      <w:keepLines/>
      <w:spacing w:before="40" w:after="0"/>
      <w:outlineLvl w:val="3"/>
    </w:pPr>
    <w:rPr>
      <w:rFonts w:eastAsiaTheme="majorEastAsia" w:cstheme="majorBidi"/>
      <w:b/>
      <w:iCs/>
      <w:color w:val="000000" w:themeColor="text1"/>
    </w:rPr>
  </w:style>
  <w:style w:type="paragraph" w:styleId="Heading5">
    <w:name w:val="heading 5"/>
    <w:aliases w:val="Level 1 Numbered"/>
    <w:basedOn w:val="Normal"/>
    <w:next w:val="Normal"/>
    <w:link w:val="Heading5Char"/>
    <w:uiPriority w:val="9"/>
    <w:unhideWhenUsed/>
    <w:qFormat/>
    <w:rsid w:val="00BC1680"/>
    <w:pPr>
      <w:keepNext/>
      <w:keepLines/>
      <w:spacing w:before="40" w:after="0"/>
      <w:outlineLvl w:val="4"/>
    </w:pPr>
    <w:rPr>
      <w:rFonts w:asciiTheme="majorHAnsi" w:eastAsiaTheme="majorEastAsia" w:hAnsiTheme="majorHAnsi" w:cstheme="majorBidi"/>
      <w:color w:val="28395A" w:themeColor="accent1" w:themeShade="BF"/>
    </w:rPr>
  </w:style>
  <w:style w:type="paragraph" w:styleId="Heading6">
    <w:name w:val="heading 6"/>
    <w:aliases w:val="Level 2 Numbered"/>
    <w:basedOn w:val="Normal"/>
    <w:next w:val="Normal"/>
    <w:link w:val="Heading6Char"/>
    <w:uiPriority w:val="9"/>
    <w:qFormat/>
    <w:rsid w:val="003E21C5"/>
    <w:pPr>
      <w:keepNext/>
      <w:keepLines/>
      <w:spacing w:before="240" w:after="240" w:line="240" w:lineRule="auto"/>
      <w:ind w:left="737" w:hanging="737"/>
      <w:outlineLvl w:val="5"/>
    </w:pPr>
    <w:rPr>
      <w:rFonts w:asciiTheme="majorHAnsi" w:eastAsiaTheme="majorEastAsia" w:hAnsiTheme="majorHAnsi" w:cstheme="majorBidi"/>
      <w:b/>
      <w:color w:val="364D79" w:themeColor="accent1"/>
      <w:sz w:val="32"/>
      <w:lang w:eastAsia="en-US"/>
    </w:rPr>
  </w:style>
  <w:style w:type="paragraph" w:styleId="Heading7">
    <w:name w:val="heading 7"/>
    <w:aliases w:val="Level 3 Numbered"/>
    <w:basedOn w:val="Normal"/>
    <w:next w:val="Normal"/>
    <w:link w:val="Heading7Char"/>
    <w:uiPriority w:val="9"/>
    <w:qFormat/>
    <w:rsid w:val="003E21C5"/>
    <w:pPr>
      <w:keepNext/>
      <w:keepLines/>
      <w:spacing w:before="160" w:after="240"/>
      <w:ind w:left="907" w:hanging="907"/>
      <w:outlineLvl w:val="6"/>
    </w:pPr>
    <w:rPr>
      <w:rFonts w:asciiTheme="majorHAnsi" w:eastAsiaTheme="majorEastAsia" w:hAnsiTheme="majorHAnsi" w:cstheme="majorBidi"/>
      <w:b/>
      <w:iCs/>
      <w:color w:val="953735" w:themeColor="accent2"/>
      <w:sz w:val="28"/>
      <w:lang w:eastAsia="en-US"/>
    </w:rPr>
  </w:style>
  <w:style w:type="paragraph" w:styleId="Heading8">
    <w:name w:val="heading 8"/>
    <w:aliases w:val="Level 4 Numbered"/>
    <w:basedOn w:val="Heading2"/>
    <w:next w:val="Normal"/>
    <w:link w:val="Heading8Char"/>
    <w:uiPriority w:val="9"/>
    <w:qFormat/>
    <w:rsid w:val="003E21C5"/>
    <w:pPr>
      <w:keepLines/>
      <w:numPr>
        <w:ilvl w:val="0"/>
        <w:numId w:val="0"/>
      </w:numPr>
      <w:spacing w:before="120"/>
      <w:ind w:left="1077" w:hanging="1077"/>
      <w:outlineLvl w:val="7"/>
    </w:pPr>
    <w:rPr>
      <w:rFonts w:asciiTheme="majorHAnsi" w:eastAsiaTheme="majorEastAsia" w:hAnsiTheme="majorHAnsi" w:cstheme="majorBidi"/>
      <w:bCs w:val="0"/>
      <w:color w:val="403152"/>
      <w:kern w:val="0"/>
      <w:sz w:val="24"/>
      <w:szCs w:val="32"/>
      <w:lang w:eastAsia="en-US"/>
    </w:rPr>
  </w:style>
  <w:style w:type="paragraph" w:styleId="Heading9">
    <w:name w:val="heading 9"/>
    <w:basedOn w:val="Normal"/>
    <w:next w:val="Normal"/>
    <w:link w:val="Heading9Char"/>
    <w:uiPriority w:val="9"/>
    <w:qFormat/>
    <w:rsid w:val="003E21C5"/>
    <w:pPr>
      <w:keepNext/>
      <w:keepLines/>
      <w:pageBreakBefore/>
      <w:spacing w:before="40" w:after="0"/>
      <w:ind w:left="2268" w:hanging="2268"/>
      <w:outlineLvl w:val="8"/>
    </w:pPr>
    <w:rPr>
      <w:rFonts w:asciiTheme="majorHAnsi" w:eastAsiaTheme="majorEastAsia" w:hAnsiTheme="majorHAnsi" w:cstheme="majorBidi"/>
      <w:b/>
      <w:iCs/>
      <w:color w:val="364D79" w:themeColor="accent1"/>
      <w:sz w:val="40"/>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F4"/>
    <w:pPr>
      <w:tabs>
        <w:tab w:val="center" w:pos="4513"/>
        <w:tab w:val="right" w:pos="9026"/>
      </w:tabs>
    </w:pPr>
  </w:style>
  <w:style w:type="character" w:customStyle="1" w:styleId="HeaderChar">
    <w:name w:val="Header Char"/>
    <w:link w:val="Header"/>
    <w:uiPriority w:val="99"/>
    <w:rsid w:val="00B435F4"/>
    <w:rPr>
      <w:sz w:val="22"/>
      <w:szCs w:val="22"/>
      <w:lang w:eastAsia="en-US"/>
    </w:rPr>
  </w:style>
  <w:style w:type="paragraph" w:styleId="Footer">
    <w:name w:val="footer"/>
    <w:basedOn w:val="Normal"/>
    <w:link w:val="FooterChar"/>
    <w:uiPriority w:val="99"/>
    <w:unhideWhenUsed/>
    <w:rsid w:val="00044DE0"/>
    <w:pPr>
      <w:pBdr>
        <w:top w:val="single" w:sz="18" w:space="10" w:color="953735" w:themeColor="accent2"/>
      </w:pBdr>
      <w:tabs>
        <w:tab w:val="center" w:pos="4513"/>
        <w:tab w:val="right" w:pos="9026"/>
      </w:tabs>
    </w:pPr>
    <w:rPr>
      <w:sz w:val="18"/>
    </w:rPr>
  </w:style>
  <w:style w:type="character" w:customStyle="1" w:styleId="FooterChar">
    <w:name w:val="Footer Char"/>
    <w:link w:val="Footer"/>
    <w:uiPriority w:val="99"/>
    <w:rsid w:val="00044DE0"/>
    <w:rPr>
      <w:rFonts w:ascii="Acumin Pro" w:hAnsi="Acumin Pro"/>
      <w:sz w:val="18"/>
      <w:szCs w:val="22"/>
      <w:lang w:eastAsia="en-GB"/>
    </w:rPr>
  </w:style>
  <w:style w:type="paragraph" w:styleId="BalloonText">
    <w:name w:val="Balloon Text"/>
    <w:basedOn w:val="Normal"/>
    <w:link w:val="BalloonTextChar"/>
    <w:uiPriority w:val="99"/>
    <w:semiHidden/>
    <w:unhideWhenUsed/>
    <w:rsid w:val="00B435F4"/>
    <w:rPr>
      <w:rFonts w:ascii="Tahoma" w:hAnsi="Tahoma" w:cs="Tahoma"/>
      <w:sz w:val="16"/>
      <w:szCs w:val="16"/>
    </w:rPr>
  </w:style>
  <w:style w:type="character" w:customStyle="1" w:styleId="BalloonTextChar">
    <w:name w:val="Balloon Text Char"/>
    <w:link w:val="BalloonText"/>
    <w:uiPriority w:val="99"/>
    <w:semiHidden/>
    <w:rsid w:val="00B435F4"/>
    <w:rPr>
      <w:rFonts w:ascii="Tahoma" w:hAnsi="Tahoma" w:cs="Tahoma"/>
      <w:sz w:val="16"/>
      <w:szCs w:val="16"/>
      <w:lang w:eastAsia="en-US"/>
    </w:rPr>
  </w:style>
  <w:style w:type="character" w:styleId="Hyperlink">
    <w:name w:val="Hyperlink"/>
    <w:uiPriority w:val="99"/>
    <w:unhideWhenUsed/>
    <w:rsid w:val="00B435F4"/>
    <w:rPr>
      <w:color w:val="0000FF"/>
      <w:u w:val="single"/>
    </w:rPr>
  </w:style>
  <w:style w:type="character" w:customStyle="1" w:styleId="Heading2Char">
    <w:name w:val="Heading 2 Char"/>
    <w:basedOn w:val="DefaultParagraphFont"/>
    <w:link w:val="Heading2"/>
    <w:uiPriority w:val="1"/>
    <w:rsid w:val="00A16840"/>
    <w:rPr>
      <w:rFonts w:ascii="Calibri" w:eastAsiaTheme="minorHAnsi" w:hAnsi="Calibri" w:cs="Arial"/>
      <w:b/>
      <w:bCs/>
      <w:color w:val="374E7A"/>
      <w:kern w:val="32"/>
      <w:sz w:val="22"/>
      <w:szCs w:val="22"/>
      <w:lang w:eastAsia="en-GB"/>
    </w:rPr>
  </w:style>
  <w:style w:type="character" w:customStyle="1" w:styleId="Heading3Char">
    <w:name w:val="Heading 3 Char"/>
    <w:basedOn w:val="DefaultParagraphFont"/>
    <w:link w:val="Heading3"/>
    <w:uiPriority w:val="2"/>
    <w:rsid w:val="00F77B6E"/>
    <w:rPr>
      <w:rFonts w:ascii="Calibri" w:hAnsi="Calibri"/>
      <w:b/>
      <w:bCs/>
      <w:color w:val="374E7A"/>
      <w:sz w:val="22"/>
      <w:szCs w:val="22"/>
      <w:lang w:eastAsia="en-GB"/>
    </w:rPr>
  </w:style>
  <w:style w:type="paragraph" w:customStyle="1" w:styleId="Bulleted">
    <w:name w:val="Bulleted"/>
    <w:basedOn w:val="Normal"/>
    <w:link w:val="BulletedChar"/>
    <w:uiPriority w:val="5"/>
    <w:qFormat/>
    <w:rsid w:val="00BD7143"/>
    <w:pPr>
      <w:numPr>
        <w:numId w:val="3"/>
      </w:numPr>
      <w:spacing w:before="0" w:after="60"/>
    </w:pPr>
    <w:rPr>
      <w:color w:val="000000"/>
    </w:rPr>
  </w:style>
  <w:style w:type="character" w:customStyle="1" w:styleId="BulletedChar">
    <w:name w:val="Bulleted Char"/>
    <w:link w:val="Bulleted"/>
    <w:uiPriority w:val="5"/>
    <w:rsid w:val="00BD7143"/>
    <w:rPr>
      <w:rFonts w:ascii="Calibri" w:hAnsi="Calibri"/>
      <w:color w:val="000000"/>
      <w:sz w:val="22"/>
      <w:szCs w:val="22"/>
    </w:rPr>
  </w:style>
  <w:style w:type="paragraph" w:customStyle="1" w:styleId="Numbered">
    <w:name w:val="Numbered"/>
    <w:basedOn w:val="Bulleted"/>
    <w:link w:val="NumberedChar"/>
    <w:uiPriority w:val="6"/>
    <w:qFormat/>
    <w:rsid w:val="007C0692"/>
    <w:pPr>
      <w:numPr>
        <w:numId w:val="1"/>
      </w:numPr>
    </w:pPr>
  </w:style>
  <w:style w:type="character" w:customStyle="1" w:styleId="NumberedChar">
    <w:name w:val="Numbered Char"/>
    <w:link w:val="Numbered"/>
    <w:uiPriority w:val="6"/>
    <w:rsid w:val="00044DE0"/>
    <w:rPr>
      <w:rFonts w:ascii="Calibri" w:hAnsi="Calibri"/>
      <w:color w:val="000000"/>
      <w:sz w:val="22"/>
      <w:szCs w:val="22"/>
    </w:rPr>
  </w:style>
  <w:style w:type="paragraph" w:customStyle="1" w:styleId="AppendixHeadingOne">
    <w:name w:val="Appendix Heading One"/>
    <w:basedOn w:val="Normal"/>
    <w:link w:val="AppendixHeadingOneChar"/>
    <w:uiPriority w:val="8"/>
    <w:qFormat/>
    <w:rsid w:val="007F5450"/>
    <w:rPr>
      <w:b/>
      <w:color w:val="1B263C" w:themeColor="accent1" w:themeShade="80"/>
      <w:sz w:val="36"/>
      <w:szCs w:val="40"/>
    </w:rPr>
  </w:style>
  <w:style w:type="character" w:customStyle="1" w:styleId="AppendixHeadingOneChar">
    <w:name w:val="Appendix Heading One Char"/>
    <w:link w:val="AppendixHeadingOne"/>
    <w:uiPriority w:val="8"/>
    <w:rsid w:val="007F5450"/>
    <w:rPr>
      <w:rFonts w:ascii="Calibri" w:hAnsi="Calibri"/>
      <w:b/>
      <w:color w:val="1B263C" w:themeColor="accent1" w:themeShade="80"/>
      <w:sz w:val="36"/>
      <w:szCs w:val="40"/>
      <w:lang w:val="mi-NZ"/>
    </w:rPr>
  </w:style>
  <w:style w:type="paragraph" w:customStyle="1" w:styleId="Quotes">
    <w:name w:val="Quotes"/>
    <w:basedOn w:val="Normal"/>
    <w:link w:val="QuotesChar"/>
    <w:uiPriority w:val="7"/>
    <w:qFormat/>
    <w:rsid w:val="002843DD"/>
    <w:pPr>
      <w:ind w:left="720" w:hanging="11"/>
    </w:pPr>
    <w:rPr>
      <w:i/>
      <w:noProof/>
      <w:color w:val="953735" w:themeColor="accent2"/>
      <w:sz w:val="20"/>
      <w:szCs w:val="20"/>
    </w:rPr>
  </w:style>
  <w:style w:type="character" w:customStyle="1" w:styleId="QuotesChar">
    <w:name w:val="Quotes Char"/>
    <w:link w:val="Quotes"/>
    <w:uiPriority w:val="7"/>
    <w:rsid w:val="00BD7143"/>
    <w:rPr>
      <w:rFonts w:ascii="Calibri" w:hAnsi="Calibri"/>
      <w:i/>
      <w:noProof/>
      <w:color w:val="953735" w:themeColor="accent2"/>
      <w:sz w:val="20"/>
      <w:szCs w:val="20"/>
      <w:lang w:val="mi-NZ"/>
    </w:rPr>
  </w:style>
  <w:style w:type="character" w:customStyle="1" w:styleId="Heading1Char">
    <w:name w:val="Heading 1 Char"/>
    <w:link w:val="Heading1"/>
    <w:rsid w:val="002B0CCF"/>
    <w:rPr>
      <w:rFonts w:ascii="Calibri" w:eastAsiaTheme="minorHAnsi" w:hAnsi="Calibri" w:cs="Arial"/>
      <w:b/>
      <w:bCs/>
      <w:color w:val="1B263C" w:themeColor="accent1" w:themeShade="80"/>
      <w:kern w:val="32"/>
      <w:sz w:val="36"/>
      <w:szCs w:val="40"/>
      <w:lang w:eastAsia="en-GB"/>
    </w:rPr>
  </w:style>
  <w:style w:type="table" w:styleId="TableGridLight">
    <w:name w:val="Grid Table Light"/>
    <w:basedOn w:val="TableNormal"/>
    <w:uiPriority w:val="40"/>
    <w:rsid w:val="00235B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Contemporary">
    <w:name w:val="Table Contemporary"/>
    <w:basedOn w:val="TableNormal"/>
    <w:uiPriority w:val="99"/>
    <w:semiHidden/>
    <w:unhideWhenUsed/>
    <w:rsid w:val="00767FDE"/>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35"/>
    <w:qFormat/>
    <w:rsid w:val="0084002B"/>
    <w:pPr>
      <w:spacing w:before="120" w:line="240" w:lineRule="auto"/>
      <w:ind w:right="-187"/>
    </w:pPr>
    <w:rPr>
      <w:b/>
      <w:iCs/>
      <w:color w:val="000000" w:themeColor="text1"/>
      <w:sz w:val="20"/>
      <w:szCs w:val="18"/>
    </w:rPr>
  </w:style>
  <w:style w:type="paragraph" w:styleId="ListParagraph">
    <w:name w:val="List Paragraph"/>
    <w:basedOn w:val="Normal"/>
    <w:uiPriority w:val="34"/>
    <w:unhideWhenUsed/>
    <w:qFormat/>
    <w:rsid w:val="00696D61"/>
    <w:pPr>
      <w:ind w:left="720"/>
      <w:contextualSpacing/>
    </w:pPr>
  </w:style>
  <w:style w:type="paragraph" w:customStyle="1" w:styleId="Second-levelbullets">
    <w:name w:val="Second-level bullets"/>
    <w:basedOn w:val="Bulleted"/>
    <w:uiPriority w:val="3"/>
    <w:qFormat/>
    <w:rsid w:val="00BD7143"/>
    <w:pPr>
      <w:numPr>
        <w:ilvl w:val="1"/>
      </w:numPr>
      <w:spacing w:after="0"/>
    </w:pPr>
  </w:style>
  <w:style w:type="table" w:customStyle="1" w:styleId="MITableClassic">
    <w:name w:val="MI Table (Classic)"/>
    <w:basedOn w:val="TableNormal"/>
    <w:uiPriority w:val="99"/>
    <w:rsid w:val="00A9288F"/>
    <w:pPr>
      <w:keepNext/>
      <w:spacing w:line="276" w:lineRule="auto"/>
    </w:pPr>
    <w:rPr>
      <w:rFonts w:ascii="Calibri" w:hAnsi="Calibri"/>
      <w:sz w:val="20"/>
      <w:lang w:eastAsia="en-US"/>
    </w:rPr>
    <w:tblPr>
      <w:jc w:val="center"/>
      <w:tblBorders>
        <w:insideH w:val="single" w:sz="4" w:space="0" w:color="FFFFFF" w:themeColor="background1"/>
        <w:insideV w:val="single" w:sz="4" w:space="0" w:color="FFFFFF" w:themeColor="background1"/>
      </w:tblBorders>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Calibri" w:hAnsi="Calibri"/>
        <w:b/>
        <w:color w:val="FFFFFF" w:themeColor="background1"/>
        <w:sz w:val="20"/>
      </w:rPr>
      <w:tblPr/>
      <w:tcPr>
        <w:shd w:val="clear" w:color="auto" w:fill="748EC1" w:themeFill="accent1" w:themeFillTint="99"/>
      </w:tcPr>
    </w:tblStylePr>
    <w:tblStylePr w:type="firstCol">
      <w:pPr>
        <w:wordWrap/>
        <w:spacing w:beforeLines="0" w:before="0" w:beforeAutospacing="0" w:afterLines="0" w:after="0" w:afterAutospacing="0"/>
        <w:contextualSpacing w:val="0"/>
      </w:pPr>
      <w:rPr>
        <w:rFonts w:ascii="Calibri" w:hAnsi="Calibri"/>
        <w:color w:val="auto"/>
        <w:sz w:val="20"/>
      </w:rPr>
      <w:tblPr/>
      <w:tcPr>
        <w:shd w:val="clear" w:color="auto" w:fill="E2E3E8" w:themeFill="accent3" w:themeFillTint="33"/>
      </w:tcPr>
    </w:tblStylePr>
    <w:tblStylePr w:type="nwCell">
      <w:rPr>
        <w:rFonts w:ascii="Calibri" w:hAnsi="Calibri"/>
        <w:b/>
        <w:color w:val="FFFFFF" w:themeColor="background1"/>
        <w:sz w:val="20"/>
      </w:rPr>
      <w:tblPr/>
      <w:tcPr>
        <w:shd w:val="clear" w:color="auto" w:fill="748EC1" w:themeFill="accent1" w:themeFillTint="99"/>
      </w:tcPr>
    </w:tblStylePr>
  </w:style>
  <w:style w:type="table" w:styleId="TableGrid">
    <w:name w:val="Table Grid"/>
    <w:basedOn w:val="TableNormal"/>
    <w:uiPriority w:val="59"/>
    <w:rsid w:val="003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B2758"/>
    <w:pPr>
      <w:tabs>
        <w:tab w:val="left" w:pos="442"/>
        <w:tab w:val="right" w:leader="dot" w:pos="7608"/>
      </w:tabs>
      <w:spacing w:after="180"/>
    </w:pPr>
    <w:rPr>
      <w:b/>
    </w:rPr>
  </w:style>
  <w:style w:type="paragraph" w:styleId="TOC2">
    <w:name w:val="toc 2"/>
    <w:basedOn w:val="Normal"/>
    <w:next w:val="Normal"/>
    <w:autoRedefine/>
    <w:uiPriority w:val="39"/>
    <w:unhideWhenUsed/>
    <w:rsid w:val="007B2758"/>
    <w:pPr>
      <w:tabs>
        <w:tab w:val="left" w:pos="885"/>
        <w:tab w:val="right" w:leader="dot" w:pos="6804"/>
      </w:tabs>
      <w:spacing w:after="0"/>
      <w:ind w:left="884" w:right="378" w:hanging="442"/>
    </w:pPr>
  </w:style>
  <w:style w:type="table" w:customStyle="1" w:styleId="MITableClassic1">
    <w:name w:val="MI Table (Classic)1"/>
    <w:basedOn w:val="TableNormal"/>
    <w:uiPriority w:val="99"/>
    <w:rsid w:val="006C1722"/>
    <w:pPr>
      <w:keepNext/>
    </w:pPr>
    <w:rPr>
      <w:rFonts w:ascii="Calibri" w:hAnsi="Calibri"/>
      <w:sz w:val="20"/>
      <w:lang w:eastAsia="en-US"/>
    </w:rPr>
    <w:tblPr>
      <w:jc w:val="center"/>
      <w:tblBorders>
        <w:insideH w:val="single" w:sz="4" w:space="0" w:color="FFFFFF" w:themeColor="background1"/>
        <w:insideV w:val="single" w:sz="4" w:space="0" w:color="FFFFFF" w:themeColor="background1"/>
      </w:tblBorders>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Calibri" w:hAnsi="Calibri"/>
        <w:b/>
        <w:color w:val="FFFFFF" w:themeColor="background1"/>
        <w:sz w:val="20"/>
      </w:rPr>
      <w:tblPr/>
      <w:tcPr>
        <w:shd w:val="clear" w:color="auto" w:fill="748EC1" w:themeFill="accent1" w:themeFillTint="99"/>
      </w:tcPr>
    </w:tblStylePr>
    <w:tblStylePr w:type="firstCol">
      <w:pPr>
        <w:wordWrap/>
        <w:spacing w:beforeLines="0" w:before="0" w:beforeAutospacing="0" w:afterLines="0" w:after="0" w:afterAutospacing="0" w:line="240" w:lineRule="auto"/>
        <w:contextualSpacing w:val="0"/>
      </w:pPr>
      <w:rPr>
        <w:rFonts w:ascii="Calibri" w:hAnsi="Calibri"/>
        <w:color w:val="auto"/>
        <w:sz w:val="20"/>
      </w:rPr>
      <w:tblPr/>
      <w:tcPr>
        <w:shd w:val="clear" w:color="auto" w:fill="E2E3E8" w:themeFill="accent3" w:themeFillTint="33"/>
      </w:tcPr>
    </w:tblStylePr>
    <w:tblStylePr w:type="nwCell">
      <w:pPr>
        <w:wordWrap/>
        <w:spacing w:beforeLines="0" w:before="0" w:beforeAutospacing="0" w:afterLines="0" w:after="0" w:afterAutospacing="0" w:line="240" w:lineRule="auto"/>
        <w:contextualSpacing w:val="0"/>
      </w:pPr>
      <w:rPr>
        <w:rFonts w:ascii="Calibri" w:hAnsi="Calibri"/>
        <w:b/>
        <w:color w:val="FFFFFF" w:themeColor="background1"/>
        <w:sz w:val="20"/>
      </w:rPr>
      <w:tblPr/>
      <w:tcPr>
        <w:shd w:val="clear" w:color="auto" w:fill="748EC1" w:themeFill="accent1" w:themeFillTint="99"/>
      </w:tcPr>
    </w:tblStylePr>
  </w:style>
  <w:style w:type="paragraph" w:customStyle="1" w:styleId="Tablenormal0">
    <w:name w:val="Table normal"/>
    <w:basedOn w:val="Normal"/>
    <w:uiPriority w:val="4"/>
    <w:qFormat/>
    <w:rsid w:val="00BD7143"/>
    <w:pPr>
      <w:keepNext/>
      <w:spacing w:before="0" w:after="0"/>
    </w:pPr>
    <w:rPr>
      <w:color w:val="000000"/>
      <w:sz w:val="20"/>
      <w:szCs w:val="20"/>
      <w:lang w:eastAsia="en-GB"/>
    </w:rPr>
  </w:style>
  <w:style w:type="character" w:customStyle="1" w:styleId="Heading4Char">
    <w:name w:val="Heading 4 Char"/>
    <w:basedOn w:val="DefaultParagraphFont"/>
    <w:link w:val="Heading4"/>
    <w:uiPriority w:val="9"/>
    <w:rsid w:val="0050415A"/>
    <w:rPr>
      <w:rFonts w:ascii="Calibri" w:eastAsiaTheme="majorEastAsia" w:hAnsi="Calibri" w:cstheme="majorBidi"/>
      <w:b/>
      <w:iCs/>
      <w:color w:val="000000" w:themeColor="text1"/>
      <w:sz w:val="22"/>
      <w:szCs w:val="22"/>
      <w:lang w:eastAsia="en-GB"/>
    </w:rPr>
  </w:style>
  <w:style w:type="paragraph" w:customStyle="1" w:styleId="Tablebullets">
    <w:name w:val="Table bullets"/>
    <w:basedOn w:val="ListParagraph"/>
    <w:link w:val="TablebulletsChar"/>
    <w:uiPriority w:val="3"/>
    <w:qFormat/>
    <w:rsid w:val="007F5450"/>
    <w:pPr>
      <w:numPr>
        <w:numId w:val="2"/>
      </w:numPr>
      <w:spacing w:before="0" w:after="0" w:line="240" w:lineRule="auto"/>
    </w:pPr>
  </w:style>
  <w:style w:type="character" w:customStyle="1" w:styleId="TablebulletsChar">
    <w:name w:val="Table bullets Char"/>
    <w:basedOn w:val="BulletedChar"/>
    <w:link w:val="Tablebullets"/>
    <w:uiPriority w:val="3"/>
    <w:rsid w:val="007F5450"/>
    <w:rPr>
      <w:rFonts w:ascii="Calibri" w:hAnsi="Calibri"/>
      <w:color w:val="000000"/>
      <w:sz w:val="22"/>
      <w:szCs w:val="22"/>
    </w:rPr>
  </w:style>
  <w:style w:type="paragraph" w:styleId="TOCHeading">
    <w:name w:val="TOC Heading"/>
    <w:basedOn w:val="Heading1"/>
    <w:next w:val="Normal"/>
    <w:uiPriority w:val="39"/>
    <w:unhideWhenUsed/>
    <w:qFormat/>
    <w:rsid w:val="000B506F"/>
    <w:pPr>
      <w:keepLines/>
      <w:numPr>
        <w:numId w:val="0"/>
      </w:numPr>
      <w:spacing w:before="240" w:after="0" w:line="259" w:lineRule="auto"/>
      <w:outlineLvl w:val="9"/>
    </w:pPr>
    <w:rPr>
      <w:rFonts w:asciiTheme="majorHAnsi" w:eastAsiaTheme="majorEastAsia" w:hAnsiTheme="majorHAnsi" w:cstheme="majorBidi"/>
      <w:b w:val="0"/>
      <w:bCs w:val="0"/>
      <w:kern w:val="0"/>
      <w:sz w:val="32"/>
      <w:szCs w:val="32"/>
      <w:lang w:val="en-US" w:eastAsia="en-US"/>
    </w:rPr>
  </w:style>
  <w:style w:type="paragraph" w:styleId="TOC3">
    <w:name w:val="toc 3"/>
    <w:basedOn w:val="Normal"/>
    <w:next w:val="Normal"/>
    <w:autoRedefine/>
    <w:uiPriority w:val="39"/>
    <w:unhideWhenUsed/>
    <w:rsid w:val="000B506F"/>
    <w:pPr>
      <w:spacing w:after="100"/>
      <w:ind w:left="440"/>
    </w:pPr>
  </w:style>
  <w:style w:type="character" w:styleId="UnresolvedMention">
    <w:name w:val="Unresolved Mention"/>
    <w:basedOn w:val="DefaultParagraphFont"/>
    <w:uiPriority w:val="99"/>
    <w:unhideWhenUsed/>
    <w:rsid w:val="005B69E4"/>
    <w:rPr>
      <w:color w:val="605E5C"/>
      <w:shd w:val="clear" w:color="auto" w:fill="E1DFDD"/>
    </w:rPr>
  </w:style>
  <w:style w:type="character" w:styleId="CommentReference">
    <w:name w:val="annotation reference"/>
    <w:basedOn w:val="DefaultParagraphFont"/>
    <w:uiPriority w:val="99"/>
    <w:semiHidden/>
    <w:unhideWhenUsed/>
    <w:rsid w:val="000E7DCE"/>
    <w:rPr>
      <w:sz w:val="16"/>
      <w:szCs w:val="16"/>
    </w:rPr>
  </w:style>
  <w:style w:type="paragraph" w:styleId="CommentText">
    <w:name w:val="annotation text"/>
    <w:basedOn w:val="Normal"/>
    <w:link w:val="CommentTextChar"/>
    <w:uiPriority w:val="99"/>
    <w:unhideWhenUsed/>
    <w:rsid w:val="000E7DCE"/>
    <w:pPr>
      <w:spacing w:line="240" w:lineRule="auto"/>
    </w:pPr>
    <w:rPr>
      <w:sz w:val="20"/>
      <w:szCs w:val="20"/>
    </w:rPr>
  </w:style>
  <w:style w:type="character" w:customStyle="1" w:styleId="CommentTextChar">
    <w:name w:val="Comment Text Char"/>
    <w:basedOn w:val="DefaultParagraphFont"/>
    <w:link w:val="CommentText"/>
    <w:uiPriority w:val="99"/>
    <w:rsid w:val="000E7DCE"/>
    <w:rPr>
      <w:rFonts w:ascii="Calibri" w:hAnsi="Calibri"/>
      <w:sz w:val="20"/>
      <w:szCs w:val="20"/>
      <w:lang w:val="mi-NZ"/>
    </w:rPr>
  </w:style>
  <w:style w:type="paragraph" w:styleId="CommentSubject">
    <w:name w:val="annotation subject"/>
    <w:basedOn w:val="CommentText"/>
    <w:next w:val="CommentText"/>
    <w:link w:val="CommentSubjectChar"/>
    <w:uiPriority w:val="99"/>
    <w:semiHidden/>
    <w:unhideWhenUsed/>
    <w:rsid w:val="000E7DCE"/>
    <w:rPr>
      <w:b/>
      <w:bCs/>
    </w:rPr>
  </w:style>
  <w:style w:type="character" w:customStyle="1" w:styleId="CommentSubjectChar">
    <w:name w:val="Comment Subject Char"/>
    <w:basedOn w:val="CommentTextChar"/>
    <w:link w:val="CommentSubject"/>
    <w:uiPriority w:val="99"/>
    <w:semiHidden/>
    <w:rsid w:val="000E7DCE"/>
    <w:rPr>
      <w:rFonts w:ascii="Calibri" w:hAnsi="Calibri"/>
      <w:b/>
      <w:bCs/>
      <w:sz w:val="20"/>
      <w:szCs w:val="20"/>
      <w:lang w:val="mi-NZ"/>
    </w:rPr>
  </w:style>
  <w:style w:type="paragraph" w:customStyle="1" w:styleId="NOSPACE">
    <w:name w:val="NO SPACE"/>
    <w:qFormat/>
    <w:rsid w:val="00D422FA"/>
    <w:rPr>
      <w:rFonts w:ascii="Calibri" w:hAnsi="Calibri"/>
      <w:color w:val="000000"/>
      <w:sz w:val="22"/>
      <w:szCs w:val="22"/>
    </w:rPr>
  </w:style>
  <w:style w:type="paragraph" w:customStyle="1" w:styleId="MIBullets">
    <w:name w:val="MI Bullets"/>
    <w:basedOn w:val="Normal"/>
    <w:link w:val="MIBulletsChar"/>
    <w:qFormat/>
    <w:rsid w:val="00593984"/>
    <w:pPr>
      <w:spacing w:before="0" w:after="60"/>
      <w:ind w:left="720" w:hanging="360"/>
    </w:pPr>
    <w:rPr>
      <w:color w:val="000000"/>
      <w:lang w:eastAsia="en-GB"/>
    </w:rPr>
  </w:style>
  <w:style w:type="character" w:customStyle="1" w:styleId="MIBulletsChar">
    <w:name w:val="MI Bullets Char"/>
    <w:link w:val="MIBullets"/>
    <w:rsid w:val="00593984"/>
    <w:rPr>
      <w:rFonts w:ascii="Calibri" w:hAnsi="Calibri"/>
      <w:color w:val="000000"/>
      <w:sz w:val="22"/>
      <w:szCs w:val="22"/>
      <w:lang w:eastAsia="en-GB"/>
    </w:rPr>
  </w:style>
  <w:style w:type="paragraph" w:customStyle="1" w:styleId="Secondlevelbullets">
    <w:name w:val="Second level bullets"/>
    <w:basedOn w:val="MIBullets"/>
    <w:qFormat/>
    <w:rsid w:val="00593984"/>
    <w:pPr>
      <w:tabs>
        <w:tab w:val="num" w:pos="360"/>
      </w:tabs>
    </w:pPr>
  </w:style>
  <w:style w:type="paragraph" w:customStyle="1" w:styleId="Malanorm">
    <w:name w:val="Mala norm"/>
    <w:basedOn w:val="Normal"/>
    <w:link w:val="MalanormChar"/>
    <w:qFormat/>
    <w:rsid w:val="00464D07"/>
    <w:rPr>
      <w:rFonts w:cstheme="minorHAnsi"/>
    </w:rPr>
  </w:style>
  <w:style w:type="character" w:customStyle="1" w:styleId="MalanormChar">
    <w:name w:val="Mala norm Char"/>
    <w:basedOn w:val="DefaultParagraphFont"/>
    <w:link w:val="Malanorm"/>
    <w:rsid w:val="00593984"/>
    <w:rPr>
      <w:rFonts w:ascii="Calibri" w:hAnsi="Calibri" w:cstheme="minorHAnsi"/>
      <w:sz w:val="22"/>
      <w:szCs w:val="22"/>
    </w:rPr>
  </w:style>
  <w:style w:type="paragraph" w:styleId="FootnoteText">
    <w:name w:val="footnote text"/>
    <w:basedOn w:val="Normal"/>
    <w:link w:val="FootnoteTextChar"/>
    <w:uiPriority w:val="99"/>
    <w:unhideWhenUsed/>
    <w:rsid w:val="0055645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6459"/>
    <w:rPr>
      <w:rFonts w:ascii="Calibri" w:hAnsi="Calibri"/>
      <w:sz w:val="20"/>
      <w:szCs w:val="20"/>
      <w:lang w:val="mi-NZ"/>
    </w:rPr>
  </w:style>
  <w:style w:type="character" w:styleId="FootnoteReference">
    <w:name w:val="footnote reference"/>
    <w:basedOn w:val="DefaultParagraphFont"/>
    <w:uiPriority w:val="99"/>
    <w:semiHidden/>
    <w:unhideWhenUsed/>
    <w:rsid w:val="00556459"/>
    <w:rPr>
      <w:vertAlign w:val="superscript"/>
    </w:rPr>
  </w:style>
  <w:style w:type="character" w:styleId="Strong">
    <w:name w:val="Strong"/>
    <w:basedOn w:val="DefaultParagraphFont"/>
    <w:uiPriority w:val="22"/>
    <w:qFormat/>
    <w:rsid w:val="00556459"/>
    <w:rPr>
      <w:b/>
      <w:bCs/>
    </w:rPr>
  </w:style>
  <w:style w:type="paragraph" w:styleId="NormalWeb">
    <w:name w:val="Normal (Web)"/>
    <w:basedOn w:val="Normal"/>
    <w:uiPriority w:val="99"/>
    <w:semiHidden/>
    <w:unhideWhenUsed/>
    <w:rsid w:val="00556459"/>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A12DB8"/>
    <w:rPr>
      <w:rFonts w:ascii="Calibri" w:hAnsi="Calibri"/>
      <w:sz w:val="22"/>
      <w:szCs w:val="22"/>
    </w:rPr>
  </w:style>
  <w:style w:type="character" w:styleId="Mention">
    <w:name w:val="Mention"/>
    <w:basedOn w:val="DefaultParagraphFont"/>
    <w:uiPriority w:val="99"/>
    <w:unhideWhenUsed/>
    <w:rsid w:val="001342F5"/>
    <w:rPr>
      <w:color w:val="2B579A"/>
      <w:shd w:val="clear" w:color="auto" w:fill="E1DFDD"/>
    </w:rPr>
  </w:style>
  <w:style w:type="character" w:customStyle="1" w:styleId="cf01">
    <w:name w:val="cf01"/>
    <w:basedOn w:val="DefaultParagraphFont"/>
    <w:rsid w:val="00BE792F"/>
    <w:rPr>
      <w:rFonts w:ascii="Segoe UI" w:hAnsi="Segoe UI" w:cs="Segoe UI" w:hint="default"/>
      <w:sz w:val="18"/>
      <w:szCs w:val="18"/>
    </w:rPr>
  </w:style>
  <w:style w:type="character" w:customStyle="1" w:styleId="Heading5Char">
    <w:name w:val="Heading 5 Char"/>
    <w:aliases w:val="Level 1 Numbered Char"/>
    <w:basedOn w:val="DefaultParagraphFont"/>
    <w:link w:val="Heading5"/>
    <w:uiPriority w:val="9"/>
    <w:rsid w:val="00BC1680"/>
    <w:rPr>
      <w:rFonts w:asciiTheme="majorHAnsi" w:eastAsiaTheme="majorEastAsia" w:hAnsiTheme="majorHAnsi" w:cstheme="majorBidi"/>
      <w:color w:val="28395A" w:themeColor="accent1" w:themeShade="BF"/>
      <w:sz w:val="22"/>
      <w:szCs w:val="22"/>
    </w:rPr>
  </w:style>
  <w:style w:type="paragraph" w:customStyle="1" w:styleId="pf0">
    <w:name w:val="pf0"/>
    <w:basedOn w:val="Normal"/>
    <w:rsid w:val="004D2E0E"/>
    <w:pPr>
      <w:spacing w:before="100" w:beforeAutospacing="1" w:after="100" w:afterAutospacing="1" w:line="240" w:lineRule="auto"/>
    </w:pPr>
    <w:rPr>
      <w:rFonts w:ascii="Times New Roman" w:hAnsi="Times New Roman"/>
      <w:sz w:val="24"/>
      <w:szCs w:val="24"/>
    </w:rPr>
  </w:style>
  <w:style w:type="character" w:customStyle="1" w:styleId="Heading6Char">
    <w:name w:val="Heading 6 Char"/>
    <w:aliases w:val="Level 2 Numbered Char"/>
    <w:basedOn w:val="DefaultParagraphFont"/>
    <w:link w:val="Heading6"/>
    <w:uiPriority w:val="9"/>
    <w:rsid w:val="003E21C5"/>
    <w:rPr>
      <w:rFonts w:asciiTheme="majorHAnsi" w:eastAsiaTheme="majorEastAsia" w:hAnsiTheme="majorHAnsi" w:cstheme="majorBidi"/>
      <w:b/>
      <w:color w:val="364D79" w:themeColor="accent1"/>
      <w:sz w:val="32"/>
      <w:szCs w:val="22"/>
      <w:lang w:eastAsia="en-US"/>
    </w:rPr>
  </w:style>
  <w:style w:type="character" w:customStyle="1" w:styleId="Heading7Char">
    <w:name w:val="Heading 7 Char"/>
    <w:aliases w:val="Level 3 Numbered Char"/>
    <w:basedOn w:val="DefaultParagraphFont"/>
    <w:link w:val="Heading7"/>
    <w:uiPriority w:val="9"/>
    <w:rsid w:val="003E21C5"/>
    <w:rPr>
      <w:rFonts w:asciiTheme="majorHAnsi" w:eastAsiaTheme="majorEastAsia" w:hAnsiTheme="majorHAnsi" w:cstheme="majorBidi"/>
      <w:b/>
      <w:iCs/>
      <w:color w:val="953735" w:themeColor="accent2"/>
      <w:sz w:val="28"/>
      <w:szCs w:val="22"/>
      <w:lang w:eastAsia="en-US"/>
    </w:rPr>
  </w:style>
  <w:style w:type="character" w:customStyle="1" w:styleId="Heading8Char">
    <w:name w:val="Heading 8 Char"/>
    <w:aliases w:val="Level 4 Numbered Char"/>
    <w:basedOn w:val="DefaultParagraphFont"/>
    <w:link w:val="Heading8"/>
    <w:uiPriority w:val="9"/>
    <w:rsid w:val="003E21C5"/>
    <w:rPr>
      <w:rFonts w:asciiTheme="majorHAnsi" w:eastAsiaTheme="majorEastAsia" w:hAnsiTheme="majorHAnsi" w:cstheme="majorBidi"/>
      <w:b/>
      <w:color w:val="403152"/>
      <w:szCs w:val="32"/>
      <w:lang w:eastAsia="en-US"/>
    </w:rPr>
  </w:style>
  <w:style w:type="character" w:customStyle="1" w:styleId="Heading9Char">
    <w:name w:val="Heading 9 Char"/>
    <w:basedOn w:val="DefaultParagraphFont"/>
    <w:link w:val="Heading9"/>
    <w:uiPriority w:val="9"/>
    <w:rsid w:val="003E21C5"/>
    <w:rPr>
      <w:rFonts w:asciiTheme="majorHAnsi" w:eastAsiaTheme="majorEastAsia" w:hAnsiTheme="majorHAnsi" w:cstheme="majorBidi"/>
      <w:b/>
      <w:iCs/>
      <w:color w:val="364D79" w:themeColor="accent1"/>
      <w:sz w:val="40"/>
      <w:szCs w:val="21"/>
      <w:lang w:eastAsia="en-US"/>
    </w:rPr>
  </w:style>
  <w:style w:type="table" w:customStyle="1" w:styleId="SapereTable">
    <w:name w:val="Sapere Table"/>
    <w:basedOn w:val="TableNormal"/>
    <w:uiPriority w:val="99"/>
    <w:rsid w:val="003E21C5"/>
    <w:rPr>
      <w:rFonts w:asciiTheme="minorHAnsi" w:eastAsiaTheme="minorHAnsi" w:hAnsiTheme="minorHAnsi" w:cstheme="minorBidi"/>
      <w:sz w:val="22"/>
      <w:szCs w:val="22"/>
      <w:lang w:eastAsia="en-US"/>
    </w:rPr>
    <w:tblPr>
      <w:tblBorders>
        <w:top w:val="single" w:sz="4" w:space="0" w:color="364D79" w:themeColor="accent1"/>
        <w:bottom w:val="single" w:sz="4" w:space="0" w:color="364D79" w:themeColor="accent1"/>
        <w:insideH w:val="single" w:sz="4" w:space="0" w:color="364D79" w:themeColor="accent1"/>
        <w:insideV w:val="single" w:sz="4" w:space="0" w:color="364D79" w:themeColor="accent1"/>
      </w:tblBorders>
      <w:tblCellMar>
        <w:top w:w="28" w:type="dxa"/>
        <w:bottom w:w="28" w:type="dxa"/>
      </w:tblCellMar>
    </w:tblPr>
    <w:tblStylePr w:type="firstRow">
      <w:rPr>
        <w:b/>
        <w:color w:val="364D79" w:themeColor="accent1"/>
      </w:rPr>
    </w:tblStylePr>
    <w:tblStylePr w:type="lastRow">
      <w:rPr>
        <w:b/>
      </w:rPr>
      <w:tblPr/>
      <w:tcPr>
        <w:tcBorders>
          <w:top w:val="single" w:sz="18" w:space="0" w:color="364D79" w:themeColor="accent1"/>
        </w:tcBorders>
      </w:tcPr>
    </w:tblStylePr>
    <w:tblStylePr w:type="firstCol">
      <w:rPr>
        <w:b/>
        <w:color w:val="364D79" w:themeColor="accent1"/>
      </w:rPr>
    </w:tblStylePr>
  </w:style>
  <w:style w:type="paragraph" w:customStyle="1" w:styleId="MalaHeading1">
    <w:name w:val="Mala Heading 1"/>
    <w:basedOn w:val="Heading1"/>
    <w:link w:val="MalaHeading1Char"/>
    <w:uiPriority w:val="3"/>
    <w:qFormat/>
    <w:rsid w:val="002B0CCF"/>
  </w:style>
  <w:style w:type="paragraph" w:customStyle="1" w:styleId="Malaheading2">
    <w:name w:val="Mala heading 2"/>
    <w:basedOn w:val="Heading2"/>
    <w:link w:val="Malaheading2Char"/>
    <w:uiPriority w:val="3"/>
    <w:qFormat/>
    <w:rsid w:val="00481E6F"/>
    <w:pPr>
      <w:ind w:left="1992" w:hanging="432"/>
    </w:pPr>
  </w:style>
  <w:style w:type="character" w:customStyle="1" w:styleId="MalaHeading1Char">
    <w:name w:val="Mala Heading 1 Char"/>
    <w:basedOn w:val="Heading1Char"/>
    <w:link w:val="MalaHeading1"/>
    <w:uiPriority w:val="3"/>
    <w:rsid w:val="002B0CCF"/>
    <w:rPr>
      <w:rFonts w:ascii="Calibri" w:eastAsiaTheme="minorHAnsi" w:hAnsi="Calibri" w:cs="Arial"/>
      <w:b/>
      <w:bCs/>
      <w:color w:val="1B263C" w:themeColor="accent1" w:themeShade="80"/>
      <w:kern w:val="32"/>
      <w:sz w:val="36"/>
      <w:szCs w:val="40"/>
      <w:lang w:eastAsia="en-GB"/>
    </w:rPr>
  </w:style>
  <w:style w:type="paragraph" w:customStyle="1" w:styleId="Mala3">
    <w:name w:val="Mala 3"/>
    <w:basedOn w:val="Heading3"/>
    <w:link w:val="Mala3Char"/>
    <w:uiPriority w:val="3"/>
    <w:qFormat/>
    <w:rsid w:val="00FB2461"/>
    <w:pPr>
      <w:ind w:left="0" w:hanging="993"/>
    </w:pPr>
    <w:rPr>
      <w:rFonts w:eastAsiaTheme="minorHAnsi"/>
    </w:rPr>
  </w:style>
  <w:style w:type="character" w:customStyle="1" w:styleId="Malaheading2Char">
    <w:name w:val="Mala heading 2 Char"/>
    <w:basedOn w:val="Heading2Char"/>
    <w:link w:val="Malaheading2"/>
    <w:uiPriority w:val="3"/>
    <w:rsid w:val="00481E6F"/>
    <w:rPr>
      <w:rFonts w:ascii="Calibri" w:eastAsiaTheme="minorHAnsi" w:hAnsi="Calibri" w:cs="Arial"/>
      <w:b/>
      <w:bCs/>
      <w:color w:val="374E7A"/>
      <w:kern w:val="32"/>
      <w:sz w:val="22"/>
      <w:szCs w:val="22"/>
      <w:lang w:eastAsia="en-GB"/>
    </w:rPr>
  </w:style>
  <w:style w:type="character" w:customStyle="1" w:styleId="Mala3Char">
    <w:name w:val="Mala 3 Char"/>
    <w:basedOn w:val="Heading3Char"/>
    <w:link w:val="Mala3"/>
    <w:uiPriority w:val="3"/>
    <w:rsid w:val="00FB2461"/>
    <w:rPr>
      <w:rFonts w:ascii="Calibri" w:eastAsiaTheme="minorHAnsi" w:hAnsi="Calibri"/>
      <w:b/>
      <w:bCs/>
      <w:color w:val="374E7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840">
      <w:bodyDiv w:val="1"/>
      <w:marLeft w:val="0"/>
      <w:marRight w:val="0"/>
      <w:marTop w:val="0"/>
      <w:marBottom w:val="0"/>
      <w:divBdr>
        <w:top w:val="none" w:sz="0" w:space="0" w:color="auto"/>
        <w:left w:val="none" w:sz="0" w:space="0" w:color="auto"/>
        <w:bottom w:val="none" w:sz="0" w:space="0" w:color="auto"/>
        <w:right w:val="none" w:sz="0" w:space="0" w:color="auto"/>
      </w:divBdr>
    </w:div>
    <w:div w:id="76560831">
      <w:bodyDiv w:val="1"/>
      <w:marLeft w:val="0"/>
      <w:marRight w:val="0"/>
      <w:marTop w:val="0"/>
      <w:marBottom w:val="0"/>
      <w:divBdr>
        <w:top w:val="none" w:sz="0" w:space="0" w:color="auto"/>
        <w:left w:val="none" w:sz="0" w:space="0" w:color="auto"/>
        <w:bottom w:val="none" w:sz="0" w:space="0" w:color="auto"/>
        <w:right w:val="none" w:sz="0" w:space="0" w:color="auto"/>
      </w:divBdr>
    </w:div>
    <w:div w:id="126362704">
      <w:bodyDiv w:val="1"/>
      <w:marLeft w:val="0"/>
      <w:marRight w:val="0"/>
      <w:marTop w:val="0"/>
      <w:marBottom w:val="0"/>
      <w:divBdr>
        <w:top w:val="none" w:sz="0" w:space="0" w:color="auto"/>
        <w:left w:val="none" w:sz="0" w:space="0" w:color="auto"/>
        <w:bottom w:val="none" w:sz="0" w:space="0" w:color="auto"/>
        <w:right w:val="none" w:sz="0" w:space="0" w:color="auto"/>
      </w:divBdr>
    </w:div>
    <w:div w:id="239559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6287">
          <w:marLeft w:val="547"/>
          <w:marRight w:val="0"/>
          <w:marTop w:val="0"/>
          <w:marBottom w:val="120"/>
          <w:divBdr>
            <w:top w:val="none" w:sz="0" w:space="0" w:color="auto"/>
            <w:left w:val="none" w:sz="0" w:space="0" w:color="auto"/>
            <w:bottom w:val="none" w:sz="0" w:space="0" w:color="auto"/>
            <w:right w:val="none" w:sz="0" w:space="0" w:color="auto"/>
          </w:divBdr>
        </w:div>
      </w:divsChild>
    </w:div>
    <w:div w:id="259459783">
      <w:bodyDiv w:val="1"/>
      <w:marLeft w:val="0"/>
      <w:marRight w:val="0"/>
      <w:marTop w:val="0"/>
      <w:marBottom w:val="0"/>
      <w:divBdr>
        <w:top w:val="none" w:sz="0" w:space="0" w:color="auto"/>
        <w:left w:val="none" w:sz="0" w:space="0" w:color="auto"/>
        <w:bottom w:val="none" w:sz="0" w:space="0" w:color="auto"/>
        <w:right w:val="none" w:sz="0" w:space="0" w:color="auto"/>
      </w:divBdr>
    </w:div>
    <w:div w:id="278991619">
      <w:bodyDiv w:val="1"/>
      <w:marLeft w:val="0"/>
      <w:marRight w:val="0"/>
      <w:marTop w:val="0"/>
      <w:marBottom w:val="0"/>
      <w:divBdr>
        <w:top w:val="none" w:sz="0" w:space="0" w:color="auto"/>
        <w:left w:val="none" w:sz="0" w:space="0" w:color="auto"/>
        <w:bottom w:val="none" w:sz="0" w:space="0" w:color="auto"/>
        <w:right w:val="none" w:sz="0" w:space="0" w:color="auto"/>
      </w:divBdr>
    </w:div>
    <w:div w:id="280846371">
      <w:bodyDiv w:val="1"/>
      <w:marLeft w:val="0"/>
      <w:marRight w:val="0"/>
      <w:marTop w:val="0"/>
      <w:marBottom w:val="0"/>
      <w:divBdr>
        <w:top w:val="none" w:sz="0" w:space="0" w:color="auto"/>
        <w:left w:val="none" w:sz="0" w:space="0" w:color="auto"/>
        <w:bottom w:val="none" w:sz="0" w:space="0" w:color="auto"/>
        <w:right w:val="none" w:sz="0" w:space="0" w:color="auto"/>
      </w:divBdr>
    </w:div>
    <w:div w:id="290787389">
      <w:bodyDiv w:val="1"/>
      <w:marLeft w:val="0"/>
      <w:marRight w:val="0"/>
      <w:marTop w:val="0"/>
      <w:marBottom w:val="0"/>
      <w:divBdr>
        <w:top w:val="none" w:sz="0" w:space="0" w:color="auto"/>
        <w:left w:val="none" w:sz="0" w:space="0" w:color="auto"/>
        <w:bottom w:val="none" w:sz="0" w:space="0" w:color="auto"/>
        <w:right w:val="none" w:sz="0" w:space="0" w:color="auto"/>
      </w:divBdr>
    </w:div>
    <w:div w:id="316499231">
      <w:bodyDiv w:val="1"/>
      <w:marLeft w:val="0"/>
      <w:marRight w:val="0"/>
      <w:marTop w:val="0"/>
      <w:marBottom w:val="0"/>
      <w:divBdr>
        <w:top w:val="none" w:sz="0" w:space="0" w:color="auto"/>
        <w:left w:val="none" w:sz="0" w:space="0" w:color="auto"/>
        <w:bottom w:val="none" w:sz="0" w:space="0" w:color="auto"/>
        <w:right w:val="none" w:sz="0" w:space="0" w:color="auto"/>
      </w:divBdr>
    </w:div>
    <w:div w:id="35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5824420">
          <w:marLeft w:val="0"/>
          <w:marRight w:val="0"/>
          <w:marTop w:val="0"/>
          <w:marBottom w:val="0"/>
          <w:divBdr>
            <w:top w:val="none" w:sz="0" w:space="0" w:color="auto"/>
            <w:left w:val="none" w:sz="0" w:space="0" w:color="auto"/>
            <w:bottom w:val="none" w:sz="0" w:space="0" w:color="auto"/>
            <w:right w:val="none" w:sz="0" w:space="0" w:color="auto"/>
          </w:divBdr>
        </w:div>
      </w:divsChild>
    </w:div>
    <w:div w:id="359279091">
      <w:bodyDiv w:val="1"/>
      <w:marLeft w:val="0"/>
      <w:marRight w:val="0"/>
      <w:marTop w:val="0"/>
      <w:marBottom w:val="0"/>
      <w:divBdr>
        <w:top w:val="none" w:sz="0" w:space="0" w:color="auto"/>
        <w:left w:val="none" w:sz="0" w:space="0" w:color="auto"/>
        <w:bottom w:val="none" w:sz="0" w:space="0" w:color="auto"/>
        <w:right w:val="none" w:sz="0" w:space="0" w:color="auto"/>
      </w:divBdr>
    </w:div>
    <w:div w:id="473255419">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492526864">
      <w:bodyDiv w:val="1"/>
      <w:marLeft w:val="0"/>
      <w:marRight w:val="0"/>
      <w:marTop w:val="0"/>
      <w:marBottom w:val="0"/>
      <w:divBdr>
        <w:top w:val="none" w:sz="0" w:space="0" w:color="auto"/>
        <w:left w:val="none" w:sz="0" w:space="0" w:color="auto"/>
        <w:bottom w:val="none" w:sz="0" w:space="0" w:color="auto"/>
        <w:right w:val="none" w:sz="0" w:space="0" w:color="auto"/>
      </w:divBdr>
    </w:div>
    <w:div w:id="520969467">
      <w:bodyDiv w:val="1"/>
      <w:marLeft w:val="0"/>
      <w:marRight w:val="0"/>
      <w:marTop w:val="0"/>
      <w:marBottom w:val="0"/>
      <w:divBdr>
        <w:top w:val="none" w:sz="0" w:space="0" w:color="auto"/>
        <w:left w:val="none" w:sz="0" w:space="0" w:color="auto"/>
        <w:bottom w:val="none" w:sz="0" w:space="0" w:color="auto"/>
        <w:right w:val="none" w:sz="0" w:space="0" w:color="auto"/>
      </w:divBdr>
    </w:div>
    <w:div w:id="604850232">
      <w:bodyDiv w:val="1"/>
      <w:marLeft w:val="0"/>
      <w:marRight w:val="0"/>
      <w:marTop w:val="0"/>
      <w:marBottom w:val="0"/>
      <w:divBdr>
        <w:top w:val="none" w:sz="0" w:space="0" w:color="auto"/>
        <w:left w:val="none" w:sz="0" w:space="0" w:color="auto"/>
        <w:bottom w:val="none" w:sz="0" w:space="0" w:color="auto"/>
        <w:right w:val="none" w:sz="0" w:space="0" w:color="auto"/>
      </w:divBdr>
    </w:div>
    <w:div w:id="637802402">
      <w:bodyDiv w:val="1"/>
      <w:marLeft w:val="0"/>
      <w:marRight w:val="0"/>
      <w:marTop w:val="0"/>
      <w:marBottom w:val="0"/>
      <w:divBdr>
        <w:top w:val="none" w:sz="0" w:space="0" w:color="auto"/>
        <w:left w:val="none" w:sz="0" w:space="0" w:color="auto"/>
        <w:bottom w:val="none" w:sz="0" w:space="0" w:color="auto"/>
        <w:right w:val="none" w:sz="0" w:space="0" w:color="auto"/>
      </w:divBdr>
    </w:div>
    <w:div w:id="675957743">
      <w:bodyDiv w:val="1"/>
      <w:marLeft w:val="0"/>
      <w:marRight w:val="0"/>
      <w:marTop w:val="0"/>
      <w:marBottom w:val="0"/>
      <w:divBdr>
        <w:top w:val="none" w:sz="0" w:space="0" w:color="auto"/>
        <w:left w:val="none" w:sz="0" w:space="0" w:color="auto"/>
        <w:bottom w:val="none" w:sz="0" w:space="0" w:color="auto"/>
        <w:right w:val="none" w:sz="0" w:space="0" w:color="auto"/>
      </w:divBdr>
      <w:divsChild>
        <w:div w:id="1240213628">
          <w:marLeft w:val="547"/>
          <w:marRight w:val="0"/>
          <w:marTop w:val="0"/>
          <w:marBottom w:val="120"/>
          <w:divBdr>
            <w:top w:val="none" w:sz="0" w:space="0" w:color="auto"/>
            <w:left w:val="none" w:sz="0" w:space="0" w:color="auto"/>
            <w:bottom w:val="none" w:sz="0" w:space="0" w:color="auto"/>
            <w:right w:val="none" w:sz="0" w:space="0" w:color="auto"/>
          </w:divBdr>
        </w:div>
      </w:divsChild>
    </w:div>
    <w:div w:id="749156407">
      <w:bodyDiv w:val="1"/>
      <w:marLeft w:val="0"/>
      <w:marRight w:val="0"/>
      <w:marTop w:val="0"/>
      <w:marBottom w:val="0"/>
      <w:divBdr>
        <w:top w:val="none" w:sz="0" w:space="0" w:color="auto"/>
        <w:left w:val="none" w:sz="0" w:space="0" w:color="auto"/>
        <w:bottom w:val="none" w:sz="0" w:space="0" w:color="auto"/>
        <w:right w:val="none" w:sz="0" w:space="0" w:color="auto"/>
      </w:divBdr>
    </w:div>
    <w:div w:id="767044673">
      <w:bodyDiv w:val="1"/>
      <w:marLeft w:val="0"/>
      <w:marRight w:val="0"/>
      <w:marTop w:val="0"/>
      <w:marBottom w:val="0"/>
      <w:divBdr>
        <w:top w:val="none" w:sz="0" w:space="0" w:color="auto"/>
        <w:left w:val="none" w:sz="0" w:space="0" w:color="auto"/>
        <w:bottom w:val="none" w:sz="0" w:space="0" w:color="auto"/>
        <w:right w:val="none" w:sz="0" w:space="0" w:color="auto"/>
      </w:divBdr>
    </w:div>
    <w:div w:id="899638475">
      <w:bodyDiv w:val="1"/>
      <w:marLeft w:val="0"/>
      <w:marRight w:val="0"/>
      <w:marTop w:val="0"/>
      <w:marBottom w:val="0"/>
      <w:divBdr>
        <w:top w:val="none" w:sz="0" w:space="0" w:color="auto"/>
        <w:left w:val="none" w:sz="0" w:space="0" w:color="auto"/>
        <w:bottom w:val="none" w:sz="0" w:space="0" w:color="auto"/>
        <w:right w:val="none" w:sz="0" w:space="0" w:color="auto"/>
      </w:divBdr>
    </w:div>
    <w:div w:id="918710242">
      <w:bodyDiv w:val="1"/>
      <w:marLeft w:val="0"/>
      <w:marRight w:val="0"/>
      <w:marTop w:val="0"/>
      <w:marBottom w:val="0"/>
      <w:divBdr>
        <w:top w:val="none" w:sz="0" w:space="0" w:color="auto"/>
        <w:left w:val="none" w:sz="0" w:space="0" w:color="auto"/>
        <w:bottom w:val="none" w:sz="0" w:space="0" w:color="auto"/>
        <w:right w:val="none" w:sz="0" w:space="0" w:color="auto"/>
      </w:divBdr>
    </w:div>
    <w:div w:id="1028678130">
      <w:bodyDiv w:val="1"/>
      <w:marLeft w:val="0"/>
      <w:marRight w:val="0"/>
      <w:marTop w:val="0"/>
      <w:marBottom w:val="0"/>
      <w:divBdr>
        <w:top w:val="none" w:sz="0" w:space="0" w:color="auto"/>
        <w:left w:val="none" w:sz="0" w:space="0" w:color="auto"/>
        <w:bottom w:val="none" w:sz="0" w:space="0" w:color="auto"/>
        <w:right w:val="none" w:sz="0" w:space="0" w:color="auto"/>
      </w:divBdr>
    </w:div>
    <w:div w:id="1033922534">
      <w:bodyDiv w:val="1"/>
      <w:marLeft w:val="0"/>
      <w:marRight w:val="0"/>
      <w:marTop w:val="0"/>
      <w:marBottom w:val="0"/>
      <w:divBdr>
        <w:top w:val="none" w:sz="0" w:space="0" w:color="auto"/>
        <w:left w:val="none" w:sz="0" w:space="0" w:color="auto"/>
        <w:bottom w:val="none" w:sz="0" w:space="0" w:color="auto"/>
        <w:right w:val="none" w:sz="0" w:space="0" w:color="auto"/>
      </w:divBdr>
    </w:div>
    <w:div w:id="1080638174">
      <w:bodyDiv w:val="1"/>
      <w:marLeft w:val="0"/>
      <w:marRight w:val="0"/>
      <w:marTop w:val="0"/>
      <w:marBottom w:val="0"/>
      <w:divBdr>
        <w:top w:val="none" w:sz="0" w:space="0" w:color="auto"/>
        <w:left w:val="none" w:sz="0" w:space="0" w:color="auto"/>
        <w:bottom w:val="none" w:sz="0" w:space="0" w:color="auto"/>
        <w:right w:val="none" w:sz="0" w:space="0" w:color="auto"/>
      </w:divBdr>
    </w:div>
    <w:div w:id="1086608733">
      <w:bodyDiv w:val="1"/>
      <w:marLeft w:val="0"/>
      <w:marRight w:val="0"/>
      <w:marTop w:val="0"/>
      <w:marBottom w:val="0"/>
      <w:divBdr>
        <w:top w:val="none" w:sz="0" w:space="0" w:color="auto"/>
        <w:left w:val="none" w:sz="0" w:space="0" w:color="auto"/>
        <w:bottom w:val="none" w:sz="0" w:space="0" w:color="auto"/>
        <w:right w:val="none" w:sz="0" w:space="0" w:color="auto"/>
      </w:divBdr>
    </w:div>
    <w:div w:id="1132213750">
      <w:bodyDiv w:val="1"/>
      <w:marLeft w:val="0"/>
      <w:marRight w:val="0"/>
      <w:marTop w:val="0"/>
      <w:marBottom w:val="0"/>
      <w:divBdr>
        <w:top w:val="none" w:sz="0" w:space="0" w:color="auto"/>
        <w:left w:val="none" w:sz="0" w:space="0" w:color="auto"/>
        <w:bottom w:val="none" w:sz="0" w:space="0" w:color="auto"/>
        <w:right w:val="none" w:sz="0" w:space="0" w:color="auto"/>
      </w:divBdr>
    </w:div>
    <w:div w:id="1142773755">
      <w:bodyDiv w:val="1"/>
      <w:marLeft w:val="0"/>
      <w:marRight w:val="0"/>
      <w:marTop w:val="0"/>
      <w:marBottom w:val="0"/>
      <w:divBdr>
        <w:top w:val="none" w:sz="0" w:space="0" w:color="auto"/>
        <w:left w:val="none" w:sz="0" w:space="0" w:color="auto"/>
        <w:bottom w:val="none" w:sz="0" w:space="0" w:color="auto"/>
        <w:right w:val="none" w:sz="0" w:space="0" w:color="auto"/>
      </w:divBdr>
    </w:div>
    <w:div w:id="1158037074">
      <w:bodyDiv w:val="1"/>
      <w:marLeft w:val="0"/>
      <w:marRight w:val="0"/>
      <w:marTop w:val="0"/>
      <w:marBottom w:val="0"/>
      <w:divBdr>
        <w:top w:val="none" w:sz="0" w:space="0" w:color="auto"/>
        <w:left w:val="none" w:sz="0" w:space="0" w:color="auto"/>
        <w:bottom w:val="none" w:sz="0" w:space="0" w:color="auto"/>
        <w:right w:val="none" w:sz="0" w:space="0" w:color="auto"/>
      </w:divBdr>
    </w:div>
    <w:div w:id="1170948714">
      <w:bodyDiv w:val="1"/>
      <w:marLeft w:val="0"/>
      <w:marRight w:val="0"/>
      <w:marTop w:val="0"/>
      <w:marBottom w:val="0"/>
      <w:divBdr>
        <w:top w:val="none" w:sz="0" w:space="0" w:color="auto"/>
        <w:left w:val="none" w:sz="0" w:space="0" w:color="auto"/>
        <w:bottom w:val="none" w:sz="0" w:space="0" w:color="auto"/>
        <w:right w:val="none" w:sz="0" w:space="0" w:color="auto"/>
      </w:divBdr>
    </w:div>
    <w:div w:id="1212379919">
      <w:bodyDiv w:val="1"/>
      <w:marLeft w:val="0"/>
      <w:marRight w:val="0"/>
      <w:marTop w:val="0"/>
      <w:marBottom w:val="0"/>
      <w:divBdr>
        <w:top w:val="none" w:sz="0" w:space="0" w:color="auto"/>
        <w:left w:val="none" w:sz="0" w:space="0" w:color="auto"/>
        <w:bottom w:val="none" w:sz="0" w:space="0" w:color="auto"/>
        <w:right w:val="none" w:sz="0" w:space="0" w:color="auto"/>
      </w:divBdr>
      <w:divsChild>
        <w:div w:id="699478146">
          <w:marLeft w:val="547"/>
          <w:marRight w:val="0"/>
          <w:marTop w:val="240"/>
          <w:marBottom w:val="0"/>
          <w:divBdr>
            <w:top w:val="none" w:sz="0" w:space="0" w:color="auto"/>
            <w:left w:val="none" w:sz="0" w:space="0" w:color="auto"/>
            <w:bottom w:val="none" w:sz="0" w:space="0" w:color="auto"/>
            <w:right w:val="none" w:sz="0" w:space="0" w:color="auto"/>
          </w:divBdr>
        </w:div>
        <w:div w:id="1186558968">
          <w:marLeft w:val="547"/>
          <w:marRight w:val="0"/>
          <w:marTop w:val="240"/>
          <w:marBottom w:val="0"/>
          <w:divBdr>
            <w:top w:val="none" w:sz="0" w:space="0" w:color="auto"/>
            <w:left w:val="none" w:sz="0" w:space="0" w:color="auto"/>
            <w:bottom w:val="none" w:sz="0" w:space="0" w:color="auto"/>
            <w:right w:val="none" w:sz="0" w:space="0" w:color="auto"/>
          </w:divBdr>
        </w:div>
        <w:div w:id="1360662256">
          <w:marLeft w:val="547"/>
          <w:marRight w:val="0"/>
          <w:marTop w:val="240"/>
          <w:marBottom w:val="0"/>
          <w:divBdr>
            <w:top w:val="none" w:sz="0" w:space="0" w:color="auto"/>
            <w:left w:val="none" w:sz="0" w:space="0" w:color="auto"/>
            <w:bottom w:val="none" w:sz="0" w:space="0" w:color="auto"/>
            <w:right w:val="none" w:sz="0" w:space="0" w:color="auto"/>
          </w:divBdr>
        </w:div>
        <w:div w:id="1665428106">
          <w:marLeft w:val="547"/>
          <w:marRight w:val="0"/>
          <w:marTop w:val="240"/>
          <w:marBottom w:val="0"/>
          <w:divBdr>
            <w:top w:val="none" w:sz="0" w:space="0" w:color="auto"/>
            <w:left w:val="none" w:sz="0" w:space="0" w:color="auto"/>
            <w:bottom w:val="none" w:sz="0" w:space="0" w:color="auto"/>
            <w:right w:val="none" w:sz="0" w:space="0" w:color="auto"/>
          </w:divBdr>
        </w:div>
        <w:div w:id="1874805810">
          <w:marLeft w:val="547"/>
          <w:marRight w:val="0"/>
          <w:marTop w:val="240"/>
          <w:marBottom w:val="0"/>
          <w:divBdr>
            <w:top w:val="none" w:sz="0" w:space="0" w:color="auto"/>
            <w:left w:val="none" w:sz="0" w:space="0" w:color="auto"/>
            <w:bottom w:val="none" w:sz="0" w:space="0" w:color="auto"/>
            <w:right w:val="none" w:sz="0" w:space="0" w:color="auto"/>
          </w:divBdr>
        </w:div>
      </w:divsChild>
    </w:div>
    <w:div w:id="1321885276">
      <w:bodyDiv w:val="1"/>
      <w:marLeft w:val="0"/>
      <w:marRight w:val="0"/>
      <w:marTop w:val="0"/>
      <w:marBottom w:val="0"/>
      <w:divBdr>
        <w:top w:val="none" w:sz="0" w:space="0" w:color="auto"/>
        <w:left w:val="none" w:sz="0" w:space="0" w:color="auto"/>
        <w:bottom w:val="none" w:sz="0" w:space="0" w:color="auto"/>
        <w:right w:val="none" w:sz="0" w:space="0" w:color="auto"/>
      </w:divBdr>
    </w:div>
    <w:div w:id="1332836321">
      <w:bodyDiv w:val="1"/>
      <w:marLeft w:val="0"/>
      <w:marRight w:val="0"/>
      <w:marTop w:val="0"/>
      <w:marBottom w:val="0"/>
      <w:divBdr>
        <w:top w:val="none" w:sz="0" w:space="0" w:color="auto"/>
        <w:left w:val="none" w:sz="0" w:space="0" w:color="auto"/>
        <w:bottom w:val="none" w:sz="0" w:space="0" w:color="auto"/>
        <w:right w:val="none" w:sz="0" w:space="0" w:color="auto"/>
      </w:divBdr>
    </w:div>
    <w:div w:id="1349672120">
      <w:bodyDiv w:val="1"/>
      <w:marLeft w:val="0"/>
      <w:marRight w:val="0"/>
      <w:marTop w:val="0"/>
      <w:marBottom w:val="0"/>
      <w:divBdr>
        <w:top w:val="none" w:sz="0" w:space="0" w:color="auto"/>
        <w:left w:val="none" w:sz="0" w:space="0" w:color="auto"/>
        <w:bottom w:val="none" w:sz="0" w:space="0" w:color="auto"/>
        <w:right w:val="none" w:sz="0" w:space="0" w:color="auto"/>
      </w:divBdr>
    </w:div>
    <w:div w:id="1383019746">
      <w:bodyDiv w:val="1"/>
      <w:marLeft w:val="0"/>
      <w:marRight w:val="0"/>
      <w:marTop w:val="0"/>
      <w:marBottom w:val="0"/>
      <w:divBdr>
        <w:top w:val="none" w:sz="0" w:space="0" w:color="auto"/>
        <w:left w:val="none" w:sz="0" w:space="0" w:color="auto"/>
        <w:bottom w:val="none" w:sz="0" w:space="0" w:color="auto"/>
        <w:right w:val="none" w:sz="0" w:space="0" w:color="auto"/>
      </w:divBdr>
    </w:div>
    <w:div w:id="1431049624">
      <w:bodyDiv w:val="1"/>
      <w:marLeft w:val="0"/>
      <w:marRight w:val="0"/>
      <w:marTop w:val="0"/>
      <w:marBottom w:val="0"/>
      <w:divBdr>
        <w:top w:val="none" w:sz="0" w:space="0" w:color="auto"/>
        <w:left w:val="none" w:sz="0" w:space="0" w:color="auto"/>
        <w:bottom w:val="none" w:sz="0" w:space="0" w:color="auto"/>
        <w:right w:val="none" w:sz="0" w:space="0" w:color="auto"/>
      </w:divBdr>
    </w:div>
    <w:div w:id="1488017031">
      <w:bodyDiv w:val="1"/>
      <w:marLeft w:val="0"/>
      <w:marRight w:val="0"/>
      <w:marTop w:val="0"/>
      <w:marBottom w:val="0"/>
      <w:divBdr>
        <w:top w:val="none" w:sz="0" w:space="0" w:color="auto"/>
        <w:left w:val="none" w:sz="0" w:space="0" w:color="auto"/>
        <w:bottom w:val="none" w:sz="0" w:space="0" w:color="auto"/>
        <w:right w:val="none" w:sz="0" w:space="0" w:color="auto"/>
      </w:divBdr>
      <w:divsChild>
        <w:div w:id="255595615">
          <w:marLeft w:val="547"/>
          <w:marRight w:val="0"/>
          <w:marTop w:val="0"/>
          <w:marBottom w:val="120"/>
          <w:divBdr>
            <w:top w:val="none" w:sz="0" w:space="0" w:color="auto"/>
            <w:left w:val="none" w:sz="0" w:space="0" w:color="auto"/>
            <w:bottom w:val="none" w:sz="0" w:space="0" w:color="auto"/>
            <w:right w:val="none" w:sz="0" w:space="0" w:color="auto"/>
          </w:divBdr>
        </w:div>
        <w:div w:id="2065399462">
          <w:marLeft w:val="547"/>
          <w:marRight w:val="0"/>
          <w:marTop w:val="0"/>
          <w:marBottom w:val="120"/>
          <w:divBdr>
            <w:top w:val="none" w:sz="0" w:space="0" w:color="auto"/>
            <w:left w:val="none" w:sz="0" w:space="0" w:color="auto"/>
            <w:bottom w:val="none" w:sz="0" w:space="0" w:color="auto"/>
            <w:right w:val="none" w:sz="0" w:space="0" w:color="auto"/>
          </w:divBdr>
        </w:div>
      </w:divsChild>
    </w:div>
    <w:div w:id="1504203811">
      <w:bodyDiv w:val="1"/>
      <w:marLeft w:val="0"/>
      <w:marRight w:val="0"/>
      <w:marTop w:val="0"/>
      <w:marBottom w:val="0"/>
      <w:divBdr>
        <w:top w:val="none" w:sz="0" w:space="0" w:color="auto"/>
        <w:left w:val="none" w:sz="0" w:space="0" w:color="auto"/>
        <w:bottom w:val="none" w:sz="0" w:space="0" w:color="auto"/>
        <w:right w:val="none" w:sz="0" w:space="0" w:color="auto"/>
      </w:divBdr>
      <w:divsChild>
        <w:div w:id="146020031">
          <w:marLeft w:val="547"/>
          <w:marRight w:val="0"/>
          <w:marTop w:val="130"/>
          <w:marBottom w:val="0"/>
          <w:divBdr>
            <w:top w:val="none" w:sz="0" w:space="0" w:color="auto"/>
            <w:left w:val="none" w:sz="0" w:space="0" w:color="auto"/>
            <w:bottom w:val="none" w:sz="0" w:space="0" w:color="auto"/>
            <w:right w:val="none" w:sz="0" w:space="0" w:color="auto"/>
          </w:divBdr>
        </w:div>
        <w:div w:id="967933755">
          <w:marLeft w:val="547"/>
          <w:marRight w:val="0"/>
          <w:marTop w:val="130"/>
          <w:marBottom w:val="0"/>
          <w:divBdr>
            <w:top w:val="none" w:sz="0" w:space="0" w:color="auto"/>
            <w:left w:val="none" w:sz="0" w:space="0" w:color="auto"/>
            <w:bottom w:val="none" w:sz="0" w:space="0" w:color="auto"/>
            <w:right w:val="none" w:sz="0" w:space="0" w:color="auto"/>
          </w:divBdr>
        </w:div>
        <w:div w:id="1413896150">
          <w:marLeft w:val="547"/>
          <w:marRight w:val="0"/>
          <w:marTop w:val="130"/>
          <w:marBottom w:val="0"/>
          <w:divBdr>
            <w:top w:val="none" w:sz="0" w:space="0" w:color="auto"/>
            <w:left w:val="none" w:sz="0" w:space="0" w:color="auto"/>
            <w:bottom w:val="none" w:sz="0" w:space="0" w:color="auto"/>
            <w:right w:val="none" w:sz="0" w:space="0" w:color="auto"/>
          </w:divBdr>
        </w:div>
      </w:divsChild>
    </w:div>
    <w:div w:id="1742406829">
      <w:bodyDiv w:val="1"/>
      <w:marLeft w:val="0"/>
      <w:marRight w:val="0"/>
      <w:marTop w:val="0"/>
      <w:marBottom w:val="0"/>
      <w:divBdr>
        <w:top w:val="none" w:sz="0" w:space="0" w:color="auto"/>
        <w:left w:val="none" w:sz="0" w:space="0" w:color="auto"/>
        <w:bottom w:val="none" w:sz="0" w:space="0" w:color="auto"/>
        <w:right w:val="none" w:sz="0" w:space="0" w:color="auto"/>
      </w:divBdr>
    </w:div>
    <w:div w:id="18015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chart" Target="charts/chart2.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5.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system/files/documents/pages/health_workforce_funding_review_-_current_state_final_25_nov.pdf" TargetMode="External"/><Relationship Id="rId1" Type="http://schemas.openxmlformats.org/officeDocument/2006/relationships/hyperlink" Target="https://www.health.govt.nz/system/files/documents/pages/health_workforce_funding_review_-_current_state_final_25_nov.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experts.internal\Public\Data\Consulting\Case\87481%20-%20GPEPE\Research\Practice%20model%20analysis\sensitivi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xperts.internal\Public\Data\Consulting\Case\87481%20-%20GPEPE\Research\Practice%20model%20analysis\sensitivit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Average practice, 1 hour supervision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Sheet1!$A$7</c:f>
              <c:strCache>
                <c:ptCount val="1"/>
                <c:pt idx="0">
                  <c:v>Not paying registrar</c:v>
                </c:pt>
              </c:strCache>
            </c:strRef>
          </c:tx>
          <c:spPr>
            <a:ln w="19050" cap="rnd">
              <a:solidFill>
                <a:schemeClr val="accent1"/>
              </a:solidFill>
              <a:round/>
            </a:ln>
            <a:effectLst/>
          </c:spPr>
          <c:marker>
            <c:symbol val="none"/>
          </c:marker>
          <c:xVal>
            <c:numRef>
              <c:f>Sheet1!$B$6:$I$6</c:f>
              <c:numCache>
                <c:formatCode>General</c:formatCode>
                <c:ptCount val="8"/>
                <c:pt idx="0">
                  <c:v>10</c:v>
                </c:pt>
                <c:pt idx="1">
                  <c:v>15</c:v>
                </c:pt>
                <c:pt idx="2">
                  <c:v>20</c:v>
                </c:pt>
                <c:pt idx="3">
                  <c:v>25</c:v>
                </c:pt>
                <c:pt idx="4">
                  <c:v>30</c:v>
                </c:pt>
                <c:pt idx="5">
                  <c:v>35</c:v>
                </c:pt>
                <c:pt idx="6">
                  <c:v>40</c:v>
                </c:pt>
                <c:pt idx="7">
                  <c:v>45</c:v>
                </c:pt>
              </c:numCache>
            </c:numRef>
          </c:xVal>
          <c:yVal>
            <c:numRef>
              <c:f>Sheet1!$B$7:$I$7</c:f>
              <c:numCache>
                <c:formatCode>General</c:formatCode>
                <c:ptCount val="8"/>
                <c:pt idx="0">
                  <c:v>176720.65599999999</c:v>
                </c:pt>
                <c:pt idx="1">
                  <c:v>106413.88799999999</c:v>
                </c:pt>
                <c:pt idx="2">
                  <c:v>71260.503999999986</c:v>
                </c:pt>
                <c:pt idx="3">
                  <c:v>50168.47359999999</c:v>
                </c:pt>
                <c:pt idx="4">
                  <c:v>36107.119999999988</c:v>
                </c:pt>
                <c:pt idx="5">
                  <c:v>26063.295999999991</c:v>
                </c:pt>
                <c:pt idx="6">
                  <c:v>18530.427999999993</c:v>
                </c:pt>
                <c:pt idx="7">
                  <c:v>12671.530666666662</c:v>
                </c:pt>
              </c:numCache>
            </c:numRef>
          </c:yVal>
          <c:smooth val="1"/>
          <c:extLst>
            <c:ext xmlns:c16="http://schemas.microsoft.com/office/drawing/2014/chart" uri="{C3380CC4-5D6E-409C-BE32-E72D297353CC}">
              <c16:uniqueId val="{00000000-29D4-45D3-BEC5-E6A2C92A66F0}"/>
            </c:ext>
          </c:extLst>
        </c:ser>
        <c:ser>
          <c:idx val="1"/>
          <c:order val="1"/>
          <c:tx>
            <c:strRef>
              <c:f>Sheet1!$A$8</c:f>
              <c:strCache>
                <c:ptCount val="1"/>
                <c:pt idx="0">
                  <c:v>Paying registrar</c:v>
                </c:pt>
              </c:strCache>
            </c:strRef>
          </c:tx>
          <c:spPr>
            <a:ln w="19050" cap="rnd">
              <a:solidFill>
                <a:schemeClr val="accent2"/>
              </a:solidFill>
              <a:round/>
            </a:ln>
            <a:effectLst/>
          </c:spPr>
          <c:marker>
            <c:symbol val="none"/>
          </c:marker>
          <c:xVal>
            <c:numRef>
              <c:f>Sheet1!$B$6:$I$6</c:f>
              <c:numCache>
                <c:formatCode>General</c:formatCode>
                <c:ptCount val="8"/>
                <c:pt idx="0">
                  <c:v>10</c:v>
                </c:pt>
                <c:pt idx="1">
                  <c:v>15</c:v>
                </c:pt>
                <c:pt idx="2">
                  <c:v>20</c:v>
                </c:pt>
                <c:pt idx="3">
                  <c:v>25</c:v>
                </c:pt>
                <c:pt idx="4">
                  <c:v>30</c:v>
                </c:pt>
                <c:pt idx="5">
                  <c:v>35</c:v>
                </c:pt>
                <c:pt idx="6">
                  <c:v>40</c:v>
                </c:pt>
                <c:pt idx="7">
                  <c:v>45</c:v>
                </c:pt>
              </c:numCache>
            </c:numRef>
          </c:xVal>
          <c:yVal>
            <c:numRef>
              <c:f>Sheet1!$B$8:$I$8</c:f>
              <c:numCache>
                <c:formatCode>General</c:formatCode>
                <c:ptCount val="8"/>
                <c:pt idx="0">
                  <c:v>191372.59999999998</c:v>
                </c:pt>
                <c:pt idx="1">
                  <c:v>65824.799999999988</c:v>
                </c:pt>
                <c:pt idx="2">
                  <c:v>3050.8999999999905</c:v>
                </c:pt>
                <c:pt idx="3">
                  <c:v>-34613.439999999995</c:v>
                </c:pt>
                <c:pt idx="4">
                  <c:v>-59723</c:v>
                </c:pt>
                <c:pt idx="5">
                  <c:v>-77658.400000000009</c:v>
                </c:pt>
                <c:pt idx="6">
                  <c:v>-91109.950000000012</c:v>
                </c:pt>
                <c:pt idx="7">
                  <c:v>-101572.26666666669</c:v>
                </c:pt>
              </c:numCache>
            </c:numRef>
          </c:yVal>
          <c:smooth val="1"/>
          <c:extLst>
            <c:ext xmlns:c16="http://schemas.microsoft.com/office/drawing/2014/chart" uri="{C3380CC4-5D6E-409C-BE32-E72D297353CC}">
              <c16:uniqueId val="{00000001-29D4-45D3-BEC5-E6A2C92A66F0}"/>
            </c:ext>
          </c:extLst>
        </c:ser>
        <c:dLbls>
          <c:showLegendKey val="0"/>
          <c:showVal val="0"/>
          <c:showCatName val="0"/>
          <c:showSerName val="0"/>
          <c:showPercent val="0"/>
          <c:showBubbleSize val="0"/>
        </c:dLbls>
        <c:axId val="131005599"/>
        <c:axId val="131006015"/>
      </c:scatterChart>
      <c:valAx>
        <c:axId val="1310055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Consultation duration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06015"/>
        <c:crosses val="autoZero"/>
        <c:crossBetween val="midCat"/>
      </c:valAx>
      <c:valAx>
        <c:axId val="1310060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Net</a:t>
                </a:r>
                <a:r>
                  <a:rPr lang="en-NZ" baseline="0"/>
                  <a:t> financial impact per annum</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0559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VLCA practice, 1 hour supervision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Sheet1!$A$25</c:f>
              <c:strCache>
                <c:ptCount val="1"/>
                <c:pt idx="0">
                  <c:v>Not paying registrar</c:v>
                </c:pt>
              </c:strCache>
            </c:strRef>
          </c:tx>
          <c:spPr>
            <a:ln w="19050" cap="rnd">
              <a:solidFill>
                <a:schemeClr val="accent1"/>
              </a:solidFill>
              <a:round/>
            </a:ln>
            <a:effectLst/>
          </c:spPr>
          <c:marker>
            <c:symbol val="none"/>
          </c:marker>
          <c:xVal>
            <c:numRef>
              <c:f>Sheet1!$B$24:$I$24</c:f>
              <c:numCache>
                <c:formatCode>General</c:formatCode>
                <c:ptCount val="8"/>
                <c:pt idx="0">
                  <c:v>10</c:v>
                </c:pt>
                <c:pt idx="1">
                  <c:v>15</c:v>
                </c:pt>
                <c:pt idx="2">
                  <c:v>20</c:v>
                </c:pt>
                <c:pt idx="3">
                  <c:v>25</c:v>
                </c:pt>
                <c:pt idx="4">
                  <c:v>30</c:v>
                </c:pt>
                <c:pt idx="5">
                  <c:v>35</c:v>
                </c:pt>
                <c:pt idx="6">
                  <c:v>40</c:v>
                </c:pt>
                <c:pt idx="7">
                  <c:v>45</c:v>
                </c:pt>
              </c:numCache>
            </c:numRef>
          </c:xVal>
          <c:yVal>
            <c:numRef>
              <c:f>Sheet1!$B$25:$I$25</c:f>
              <c:numCache>
                <c:formatCode>General</c:formatCode>
                <c:ptCount val="8"/>
                <c:pt idx="0">
                  <c:v>75452.943999999989</c:v>
                </c:pt>
                <c:pt idx="1">
                  <c:v>38902.07999999998</c:v>
                </c:pt>
                <c:pt idx="2">
                  <c:v>20626.648000000005</c:v>
                </c:pt>
                <c:pt idx="3">
                  <c:v>9661.3887999999915</c:v>
                </c:pt>
                <c:pt idx="4">
                  <c:v>2351.2159999999958</c:v>
                </c:pt>
                <c:pt idx="5">
                  <c:v>-2870.3360000000066</c:v>
                </c:pt>
                <c:pt idx="6">
                  <c:v>-6786.5</c:v>
                </c:pt>
                <c:pt idx="7">
                  <c:v>-9832.4053333333359</c:v>
                </c:pt>
              </c:numCache>
            </c:numRef>
          </c:yVal>
          <c:smooth val="1"/>
          <c:extLst>
            <c:ext xmlns:c16="http://schemas.microsoft.com/office/drawing/2014/chart" uri="{C3380CC4-5D6E-409C-BE32-E72D297353CC}">
              <c16:uniqueId val="{00000000-329C-4855-BE17-62D1BE6F08E9}"/>
            </c:ext>
          </c:extLst>
        </c:ser>
        <c:ser>
          <c:idx val="1"/>
          <c:order val="1"/>
          <c:tx>
            <c:strRef>
              <c:f>Sheet1!$A$26</c:f>
              <c:strCache>
                <c:ptCount val="1"/>
                <c:pt idx="0">
                  <c:v>Paying registrar</c:v>
                </c:pt>
              </c:strCache>
            </c:strRef>
          </c:tx>
          <c:spPr>
            <a:ln w="19050" cap="rnd">
              <a:solidFill>
                <a:schemeClr val="accent2"/>
              </a:solidFill>
              <a:round/>
            </a:ln>
            <a:effectLst/>
          </c:spPr>
          <c:marker>
            <c:symbol val="none"/>
          </c:marker>
          <c:xVal>
            <c:numRef>
              <c:f>Sheet1!$B$24:$I$24</c:f>
              <c:numCache>
                <c:formatCode>General</c:formatCode>
                <c:ptCount val="8"/>
                <c:pt idx="0">
                  <c:v>10</c:v>
                </c:pt>
                <c:pt idx="1">
                  <c:v>15</c:v>
                </c:pt>
                <c:pt idx="2">
                  <c:v>20</c:v>
                </c:pt>
                <c:pt idx="3">
                  <c:v>25</c:v>
                </c:pt>
                <c:pt idx="4">
                  <c:v>30</c:v>
                </c:pt>
                <c:pt idx="5">
                  <c:v>35</c:v>
                </c:pt>
                <c:pt idx="6">
                  <c:v>40</c:v>
                </c:pt>
                <c:pt idx="7">
                  <c:v>45</c:v>
                </c:pt>
              </c:numCache>
            </c:numRef>
          </c:xVal>
          <c:yVal>
            <c:numRef>
              <c:f>Sheet1!$B$26:$I$26</c:f>
              <c:numCache>
                <c:formatCode>General</c:formatCode>
                <c:ptCount val="8"/>
                <c:pt idx="0">
                  <c:v>10537.400000000007</c:v>
                </c:pt>
                <c:pt idx="1">
                  <c:v>-54732.000000000015</c:v>
                </c:pt>
                <c:pt idx="2">
                  <c:v>-87366.7</c:v>
                </c:pt>
                <c:pt idx="3">
                  <c:v>-106947.52000000003</c:v>
                </c:pt>
                <c:pt idx="4">
                  <c:v>-120001.40000000002</c:v>
                </c:pt>
                <c:pt idx="5">
                  <c:v>-129325.6</c:v>
                </c:pt>
                <c:pt idx="6">
                  <c:v>-136318.75</c:v>
                </c:pt>
                <c:pt idx="7">
                  <c:v>-141757.8666666667</c:v>
                </c:pt>
              </c:numCache>
            </c:numRef>
          </c:yVal>
          <c:smooth val="1"/>
          <c:extLst>
            <c:ext xmlns:c16="http://schemas.microsoft.com/office/drawing/2014/chart" uri="{C3380CC4-5D6E-409C-BE32-E72D297353CC}">
              <c16:uniqueId val="{00000001-329C-4855-BE17-62D1BE6F08E9}"/>
            </c:ext>
          </c:extLst>
        </c:ser>
        <c:dLbls>
          <c:showLegendKey val="0"/>
          <c:showVal val="0"/>
          <c:showCatName val="0"/>
          <c:showSerName val="0"/>
          <c:showPercent val="0"/>
          <c:showBubbleSize val="0"/>
        </c:dLbls>
        <c:axId val="129637359"/>
        <c:axId val="129636111"/>
      </c:scatterChart>
      <c:valAx>
        <c:axId val="12963735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Consultation duration (minutes)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36111"/>
        <c:crosses val="autoZero"/>
        <c:crossBetween val="midCat"/>
      </c:valAx>
      <c:valAx>
        <c:axId val="1296361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1000" b="0" i="0" u="none" strike="noStrike" baseline="0">
                    <a:effectLst/>
                  </a:rPr>
                  <a:t>Net financial impact per annum</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3735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latest Colours">
      <a:dk1>
        <a:srgbClr val="000000"/>
      </a:dk1>
      <a:lt1>
        <a:srgbClr val="FFFFFF"/>
      </a:lt1>
      <a:dk2>
        <a:srgbClr val="757070"/>
      </a:dk2>
      <a:lt2>
        <a:srgbClr val="F2F2F2"/>
      </a:lt2>
      <a:accent1>
        <a:srgbClr val="364D79"/>
      </a:accent1>
      <a:accent2>
        <a:srgbClr val="953735"/>
      </a:accent2>
      <a:accent3>
        <a:srgbClr val="6F748F"/>
      </a:accent3>
      <a:accent4>
        <a:srgbClr val="D99694"/>
      </a:accent4>
      <a:accent5>
        <a:srgbClr val="9193A7"/>
      </a:accent5>
      <a:accent6>
        <a:srgbClr val="E8BFBE"/>
      </a:accent6>
      <a:hlink>
        <a:srgbClr val="364D79"/>
      </a:hlink>
      <a:folHlink>
        <a:srgbClr val="6F3B55"/>
      </a:folHlink>
    </a:clrScheme>
    <a:fontScheme name="Malatest International">
      <a:majorFont>
        <a:latin typeface="Acumin Pro"/>
        <a:ea typeface=""/>
        <a:cs typeface=""/>
      </a:majorFont>
      <a:minorFont>
        <a:latin typeface="Acumi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D10895ADB2449AD4090FEA516F47" ma:contentTypeVersion="12" ma:contentTypeDescription="Create a new document." ma:contentTypeScope="" ma:versionID="09f8d775d31260d788775bf82dc7144a">
  <xsd:schema xmlns:xsd="http://www.w3.org/2001/XMLSchema" xmlns:xs="http://www.w3.org/2001/XMLSchema" xmlns:p="http://schemas.microsoft.com/office/2006/metadata/properties" xmlns:ns3="06aeb943-fab5-45a6-a3f1-df0ac386d4da" xmlns:ns4="ab01e28f-fe8d-4b9f-903b-6f5fa4652292" targetNamespace="http://schemas.microsoft.com/office/2006/metadata/properties" ma:root="true" ma:fieldsID="2c60d232d6be3e1b44aff583112754c1" ns3:_="" ns4:_="">
    <xsd:import namespace="06aeb943-fab5-45a6-a3f1-df0ac386d4da"/>
    <xsd:import namespace="ab01e28f-fe8d-4b9f-903b-6f5fa46522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eb943-fab5-45a6-a3f1-df0ac386d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1e28f-fe8d-4b9f-903b-6f5fa46522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D5EB-D0BB-4488-BF2A-EF189A6C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eb943-fab5-45a6-a3f1-df0ac386d4da"/>
    <ds:schemaRef ds:uri="ab01e28f-fe8d-4b9f-903b-6f5fa4652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1B170-C0F4-4EC2-8DB2-7095F60F5584}">
  <ds:schemaRefs>
    <ds:schemaRef ds:uri="http://schemas.microsoft.com/sharepoint/v3/contenttype/forms"/>
  </ds:schemaRefs>
</ds:datastoreItem>
</file>

<file path=customXml/itemProps3.xml><?xml version="1.0" encoding="utf-8"?>
<ds:datastoreItem xmlns:ds="http://schemas.openxmlformats.org/officeDocument/2006/customXml" ds:itemID="{5A8CB189-4EDF-4BFC-9D70-9045F2D29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03F8D-9C3C-4273-9528-EB488BBA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20930</Words>
  <Characters>119304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Pond</dc:creator>
  <cp:keywords/>
  <dc:description/>
  <cp:lastModifiedBy>Deborah McLeod</cp:lastModifiedBy>
  <cp:revision>26</cp:revision>
  <cp:lastPrinted>2022-07-14T05:07:00Z</cp:lastPrinted>
  <dcterms:created xsi:type="dcterms:W3CDTF">2022-07-13T22:24:00Z</dcterms:created>
  <dcterms:modified xsi:type="dcterms:W3CDTF">2022-07-14T05:09:00Z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0x010100A139D10895ADB2449AD4090FEA516F47</vt:lpwstr>
  </property>
</Properties>
</file>