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9F2006" w14:textId="77777777" w:rsidR="00CA0C05" w:rsidRDefault="00CA0C05">
      <w:pPr>
        <w:pStyle w:val="NoSpacing"/>
        <w:spacing w:before="1540" w:after="240"/>
        <w:jc w:val="center"/>
        <w:rPr>
          <w:color w:val="4D2379" w:themeColor="accent1"/>
        </w:rPr>
      </w:pPr>
      <w:r>
        <w:rPr>
          <w:noProof/>
        </w:rPr>
        <w:drawing>
          <wp:anchor distT="0" distB="0" distL="114300" distR="114300" simplePos="0" relativeHeight="251658240" behindDoc="1" locked="0" layoutInCell="1" allowOverlap="1" wp14:anchorId="0B4881C5" wp14:editId="77A72972">
            <wp:simplePos x="0" y="0"/>
            <wp:positionH relativeFrom="page">
              <wp:align>right</wp:align>
            </wp:positionH>
            <wp:positionV relativeFrom="paragraph">
              <wp:posOffset>-969484</wp:posOffset>
            </wp:positionV>
            <wp:extent cx="7553325" cy="10716260"/>
            <wp:effectExtent l="0" t="0" r="9525" b="8890"/>
            <wp:wrapNone/>
            <wp:docPr id="1766005911" name="Picture 1" descr="A close-up of a blue and purple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05911" name="Picture 1" descr="A close-up of a blue and purple gradien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53325" cy="10716260"/>
                    </a:xfrm>
                    <a:prstGeom prst="rect">
                      <a:avLst/>
                    </a:prstGeom>
                  </pic:spPr>
                </pic:pic>
              </a:graphicData>
            </a:graphic>
            <wp14:sizeRelH relativeFrom="margin">
              <wp14:pctWidth>0</wp14:pctWidth>
            </wp14:sizeRelH>
            <wp14:sizeRelV relativeFrom="margin">
              <wp14:pctHeight>0</wp14:pctHeight>
            </wp14:sizeRelV>
          </wp:anchor>
        </w:drawing>
      </w:r>
    </w:p>
    <w:p w14:paraId="589C45B8" w14:textId="77777777" w:rsidR="00CA0C05" w:rsidRDefault="00CA0C05">
      <w:pPr>
        <w:pStyle w:val="NoSpacing"/>
        <w:spacing w:before="1540" w:after="240"/>
        <w:jc w:val="center"/>
        <w:rPr>
          <w:color w:val="4D2379" w:themeColor="accent1"/>
        </w:rPr>
      </w:pPr>
    </w:p>
    <w:p w14:paraId="7E2B7EE1" w14:textId="77777777" w:rsidR="00874134" w:rsidRDefault="00874134">
      <w:pPr>
        <w:pStyle w:val="NoSpacing"/>
        <w:spacing w:before="1540" w:after="240"/>
        <w:jc w:val="center"/>
        <w:rPr>
          <w:color w:val="4D2379" w:themeColor="accent1"/>
        </w:rPr>
      </w:pPr>
    </w:p>
    <w:p w14:paraId="65AF722D" w14:textId="77777777" w:rsidR="00CA0C05" w:rsidRDefault="00CA0C05">
      <w:pPr>
        <w:pStyle w:val="NoSpacing"/>
        <w:spacing w:before="1540" w:after="240"/>
        <w:jc w:val="center"/>
        <w:rPr>
          <w:color w:val="4D2379" w:themeColor="accent1"/>
        </w:rPr>
      </w:pPr>
      <w:r w:rsidRPr="00EB3422">
        <w:rPr>
          <w:noProof/>
        </w:rPr>
        <mc:AlternateContent>
          <mc:Choice Requires="wps">
            <w:drawing>
              <wp:anchor distT="45720" distB="45720" distL="114300" distR="114300" simplePos="0" relativeHeight="251658241" behindDoc="0" locked="1" layoutInCell="1" allowOverlap="1" wp14:anchorId="62EDF42C" wp14:editId="7D7A1EB2">
                <wp:simplePos x="0" y="0"/>
                <wp:positionH relativeFrom="margin">
                  <wp:align>right</wp:align>
                </wp:positionH>
                <wp:positionV relativeFrom="page">
                  <wp:posOffset>2497455</wp:posOffset>
                </wp:positionV>
                <wp:extent cx="6111240" cy="3499485"/>
                <wp:effectExtent l="0" t="0" r="0" b="571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3499485"/>
                        </a:xfrm>
                        <a:prstGeom prst="rect">
                          <a:avLst/>
                        </a:prstGeom>
                        <a:noFill/>
                        <a:ln w="9525">
                          <a:noFill/>
                          <a:miter lim="800000"/>
                          <a:headEnd/>
                          <a:tailEnd/>
                        </a:ln>
                      </wps:spPr>
                      <wps:txbx>
                        <w:txbxContent>
                          <w:p w14:paraId="5BF2C7D8" w14:textId="77777777" w:rsidR="0007559D" w:rsidRDefault="0007559D" w:rsidP="00CA0C05">
                            <w:pPr>
                              <w:rPr>
                                <w:b/>
                                <w:bCs/>
                                <w:color w:val="F6F4EC" w:themeColor="background1"/>
                                <w:sz w:val="56"/>
                                <w:szCs w:val="56"/>
                                <w:lang w:val="en-NZ"/>
                              </w:rPr>
                            </w:pPr>
                            <w:r w:rsidRPr="0007559D">
                              <w:rPr>
                                <w:b/>
                                <w:bCs/>
                                <w:color w:val="F6F4EC" w:themeColor="background1"/>
                                <w:sz w:val="56"/>
                                <w:szCs w:val="56"/>
                                <w:lang w:val="en-NZ"/>
                              </w:rPr>
                              <w:t xml:space="preserve">Companion Statement on Vitamin D and Sun Exposure in Pregnancy and Infancy in Aotearoa New Zealand </w:t>
                            </w:r>
                          </w:p>
                          <w:p w14:paraId="3F85EACD" w14:textId="5A307184" w:rsidR="00CA0C05" w:rsidRDefault="0007559D" w:rsidP="0007559D">
                            <w:pPr>
                              <w:rPr>
                                <w:color w:val="F6F4EC" w:themeColor="background1"/>
                                <w:sz w:val="48"/>
                                <w:szCs w:val="48"/>
                                <w:lang w:val="en-NZ"/>
                              </w:rPr>
                            </w:pPr>
                            <w:proofErr w:type="spellStart"/>
                            <w:r w:rsidRPr="0007559D">
                              <w:rPr>
                                <w:color w:val="F6F4EC" w:themeColor="background1"/>
                                <w:sz w:val="48"/>
                                <w:szCs w:val="48"/>
                                <w:lang w:val="en-NZ"/>
                              </w:rPr>
                              <w:t>Tauākī</w:t>
                            </w:r>
                            <w:proofErr w:type="spellEnd"/>
                            <w:r w:rsidRPr="0007559D">
                              <w:rPr>
                                <w:color w:val="F6F4EC" w:themeColor="background1"/>
                                <w:sz w:val="48"/>
                                <w:szCs w:val="48"/>
                                <w:lang w:val="en-NZ"/>
                              </w:rPr>
                              <w:t xml:space="preserve"> </w:t>
                            </w:r>
                            <w:proofErr w:type="spellStart"/>
                            <w:r w:rsidRPr="0007559D">
                              <w:rPr>
                                <w:color w:val="F6F4EC" w:themeColor="background1"/>
                                <w:sz w:val="48"/>
                                <w:szCs w:val="48"/>
                                <w:lang w:val="en-NZ"/>
                              </w:rPr>
                              <w:t>Āpiti</w:t>
                            </w:r>
                            <w:proofErr w:type="spellEnd"/>
                            <w:r w:rsidRPr="0007559D">
                              <w:rPr>
                                <w:color w:val="F6F4EC" w:themeColor="background1"/>
                                <w:sz w:val="48"/>
                                <w:szCs w:val="48"/>
                                <w:lang w:val="en-NZ"/>
                              </w:rPr>
                              <w:t xml:space="preserve"> </w:t>
                            </w:r>
                            <w:proofErr w:type="spellStart"/>
                            <w:r w:rsidRPr="0007559D">
                              <w:rPr>
                                <w:color w:val="F6F4EC" w:themeColor="background1"/>
                                <w:sz w:val="48"/>
                                <w:szCs w:val="48"/>
                                <w:lang w:val="en-NZ"/>
                              </w:rPr>
                              <w:t>mō</w:t>
                            </w:r>
                            <w:proofErr w:type="spellEnd"/>
                            <w:r w:rsidRPr="0007559D">
                              <w:rPr>
                                <w:color w:val="F6F4EC" w:themeColor="background1"/>
                                <w:sz w:val="48"/>
                                <w:szCs w:val="48"/>
                                <w:lang w:val="en-NZ"/>
                              </w:rPr>
                              <w:t xml:space="preserve"> </w:t>
                            </w:r>
                            <w:proofErr w:type="spellStart"/>
                            <w:r w:rsidRPr="0007559D">
                              <w:rPr>
                                <w:color w:val="F6F4EC" w:themeColor="background1"/>
                                <w:sz w:val="48"/>
                                <w:szCs w:val="48"/>
                                <w:lang w:val="en-NZ"/>
                              </w:rPr>
                              <w:t>te</w:t>
                            </w:r>
                            <w:proofErr w:type="spellEnd"/>
                            <w:r w:rsidRPr="0007559D">
                              <w:rPr>
                                <w:color w:val="F6F4EC" w:themeColor="background1"/>
                                <w:sz w:val="48"/>
                                <w:szCs w:val="48"/>
                                <w:lang w:val="en-NZ"/>
                              </w:rPr>
                              <w:t xml:space="preserve"> </w:t>
                            </w:r>
                            <w:proofErr w:type="spellStart"/>
                            <w:r w:rsidRPr="0007559D">
                              <w:rPr>
                                <w:color w:val="F6F4EC" w:themeColor="background1"/>
                                <w:sz w:val="48"/>
                                <w:szCs w:val="48"/>
                                <w:lang w:val="en-NZ"/>
                              </w:rPr>
                              <w:t>Huranga</w:t>
                            </w:r>
                            <w:proofErr w:type="spellEnd"/>
                            <w:r w:rsidRPr="0007559D">
                              <w:rPr>
                                <w:color w:val="F6F4EC" w:themeColor="background1"/>
                                <w:sz w:val="48"/>
                                <w:szCs w:val="48"/>
                                <w:lang w:val="en-NZ"/>
                              </w:rPr>
                              <w:t xml:space="preserve"> </w:t>
                            </w:r>
                            <w:proofErr w:type="spellStart"/>
                            <w:r w:rsidRPr="0007559D">
                              <w:rPr>
                                <w:color w:val="F6F4EC" w:themeColor="background1"/>
                                <w:sz w:val="48"/>
                                <w:szCs w:val="48"/>
                                <w:lang w:val="en-NZ"/>
                              </w:rPr>
                              <w:t>Hihirā</w:t>
                            </w:r>
                            <w:proofErr w:type="spellEnd"/>
                            <w:r w:rsidRPr="0007559D">
                              <w:rPr>
                                <w:color w:val="F6F4EC" w:themeColor="background1"/>
                                <w:sz w:val="48"/>
                                <w:szCs w:val="48"/>
                                <w:lang w:val="en-NZ"/>
                              </w:rPr>
                              <w:t xml:space="preserve"> me </w:t>
                            </w:r>
                            <w:proofErr w:type="spellStart"/>
                            <w:r w:rsidRPr="0007559D">
                              <w:rPr>
                                <w:color w:val="F6F4EC" w:themeColor="background1"/>
                                <w:sz w:val="48"/>
                                <w:szCs w:val="48"/>
                                <w:lang w:val="en-NZ"/>
                              </w:rPr>
                              <w:t>te</w:t>
                            </w:r>
                            <w:proofErr w:type="spellEnd"/>
                            <w:r w:rsidRPr="0007559D">
                              <w:rPr>
                                <w:color w:val="F6F4EC" w:themeColor="background1"/>
                                <w:sz w:val="48"/>
                                <w:szCs w:val="48"/>
                                <w:lang w:val="en-NZ"/>
                              </w:rPr>
                              <w:t xml:space="preserve"> </w:t>
                            </w:r>
                            <w:proofErr w:type="spellStart"/>
                            <w:r w:rsidRPr="0007559D">
                              <w:rPr>
                                <w:color w:val="F6F4EC" w:themeColor="background1"/>
                                <w:sz w:val="48"/>
                                <w:szCs w:val="48"/>
                                <w:lang w:val="en-NZ"/>
                              </w:rPr>
                              <w:t>Huaora</w:t>
                            </w:r>
                            <w:proofErr w:type="spellEnd"/>
                            <w:r w:rsidRPr="0007559D">
                              <w:rPr>
                                <w:color w:val="F6F4EC" w:themeColor="background1"/>
                                <w:sz w:val="48"/>
                                <w:szCs w:val="48"/>
                                <w:lang w:val="en-NZ"/>
                              </w:rPr>
                              <w:t xml:space="preserve"> D </w:t>
                            </w:r>
                            <w:proofErr w:type="spellStart"/>
                            <w:r w:rsidRPr="0007559D">
                              <w:rPr>
                                <w:color w:val="F6F4EC" w:themeColor="background1"/>
                                <w:sz w:val="48"/>
                                <w:szCs w:val="48"/>
                                <w:lang w:val="en-NZ"/>
                              </w:rPr>
                              <w:t>i</w:t>
                            </w:r>
                            <w:proofErr w:type="spellEnd"/>
                            <w:r w:rsidRPr="0007559D">
                              <w:rPr>
                                <w:color w:val="F6F4EC" w:themeColor="background1"/>
                                <w:sz w:val="48"/>
                                <w:szCs w:val="48"/>
                                <w:lang w:val="en-NZ"/>
                              </w:rPr>
                              <w:t xml:space="preserve"> </w:t>
                            </w:r>
                            <w:proofErr w:type="spellStart"/>
                            <w:r w:rsidRPr="0007559D">
                              <w:rPr>
                                <w:color w:val="F6F4EC" w:themeColor="background1"/>
                                <w:sz w:val="48"/>
                                <w:szCs w:val="48"/>
                                <w:lang w:val="en-NZ"/>
                              </w:rPr>
                              <w:t>te</w:t>
                            </w:r>
                            <w:proofErr w:type="spellEnd"/>
                            <w:r w:rsidRPr="0007559D">
                              <w:rPr>
                                <w:color w:val="F6F4EC" w:themeColor="background1"/>
                                <w:sz w:val="48"/>
                                <w:szCs w:val="48"/>
                                <w:lang w:val="en-NZ"/>
                              </w:rPr>
                              <w:t xml:space="preserve"> </w:t>
                            </w:r>
                            <w:proofErr w:type="spellStart"/>
                            <w:r w:rsidRPr="0007559D">
                              <w:rPr>
                                <w:color w:val="F6F4EC" w:themeColor="background1"/>
                                <w:sz w:val="48"/>
                                <w:szCs w:val="48"/>
                                <w:lang w:val="en-NZ"/>
                              </w:rPr>
                              <w:t>Hapūtanga</w:t>
                            </w:r>
                            <w:proofErr w:type="spellEnd"/>
                            <w:r w:rsidRPr="0007559D">
                              <w:rPr>
                                <w:color w:val="F6F4EC" w:themeColor="background1"/>
                                <w:sz w:val="48"/>
                                <w:szCs w:val="48"/>
                                <w:lang w:val="en-NZ"/>
                              </w:rPr>
                              <w:t xml:space="preserve"> me </w:t>
                            </w:r>
                            <w:proofErr w:type="spellStart"/>
                            <w:r w:rsidRPr="0007559D">
                              <w:rPr>
                                <w:color w:val="F6F4EC" w:themeColor="background1"/>
                                <w:sz w:val="48"/>
                                <w:szCs w:val="48"/>
                                <w:lang w:val="en-NZ"/>
                              </w:rPr>
                              <w:t>te</w:t>
                            </w:r>
                            <w:proofErr w:type="spellEnd"/>
                            <w:r w:rsidRPr="0007559D">
                              <w:rPr>
                                <w:color w:val="F6F4EC" w:themeColor="background1"/>
                                <w:sz w:val="48"/>
                                <w:szCs w:val="48"/>
                                <w:lang w:val="en-NZ"/>
                              </w:rPr>
                              <w:t xml:space="preserve"> </w:t>
                            </w:r>
                            <w:proofErr w:type="spellStart"/>
                            <w:r w:rsidRPr="0007559D">
                              <w:rPr>
                                <w:color w:val="F6F4EC" w:themeColor="background1"/>
                                <w:sz w:val="48"/>
                                <w:szCs w:val="48"/>
                                <w:lang w:val="en-NZ"/>
                              </w:rPr>
                              <w:t>Nohinohitanga</w:t>
                            </w:r>
                            <w:proofErr w:type="spellEnd"/>
                            <w:r w:rsidRPr="0007559D">
                              <w:rPr>
                                <w:color w:val="F6F4EC" w:themeColor="background1"/>
                                <w:sz w:val="48"/>
                                <w:szCs w:val="48"/>
                                <w:lang w:val="en-NZ"/>
                              </w:rPr>
                              <w:t xml:space="preserve"> i Aotearoa</w:t>
                            </w:r>
                          </w:p>
                          <w:p w14:paraId="33A30DEA" w14:textId="4A0FB47D" w:rsidR="0007559D" w:rsidRPr="0007559D" w:rsidRDefault="0007559D" w:rsidP="0007559D">
                            <w:pPr>
                              <w:rPr>
                                <w:i/>
                                <w:iCs/>
                                <w:color w:val="F6F4EC" w:themeColor="background1"/>
                                <w:sz w:val="32"/>
                                <w:szCs w:val="32"/>
                                <w:lang w:val="en-NZ"/>
                              </w:rPr>
                            </w:pPr>
                            <w:r w:rsidRPr="0007559D">
                              <w:rPr>
                                <w:color w:val="F6F4EC" w:themeColor="background1"/>
                                <w:sz w:val="32"/>
                                <w:szCs w:val="32"/>
                                <w:lang w:val="en-NZ"/>
                              </w:rPr>
                              <w:t xml:space="preserve">A supplement to the </w:t>
                            </w:r>
                            <w:r w:rsidRPr="0007559D">
                              <w:rPr>
                                <w:i/>
                                <w:iCs/>
                                <w:color w:val="F6F4EC" w:themeColor="background1"/>
                                <w:sz w:val="32"/>
                                <w:szCs w:val="32"/>
                                <w:lang w:val="en-NZ"/>
                              </w:rPr>
                              <w:t>Consensus Statement on Vitamin D and Sun Exposure in New Zealand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EDF42C" id="_x0000_t202" coordsize="21600,21600" o:spt="202" path="m,l,21600r21600,l21600,xe">
                <v:stroke joinstyle="miter"/>
                <v:path gradientshapeok="t" o:connecttype="rect"/>
              </v:shapetype>
              <v:shape id="Text Box 217" o:spid="_x0000_s1026" type="#_x0000_t202" style="position:absolute;left:0;text-align:left;margin-left:430pt;margin-top:196.65pt;width:481.2pt;height:275.5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" filled="f" stroked="f">
                <v:textbox>
                  <w:txbxContent>
                    <w:p w14:paraId="5BF2C7D8" w14:textId="77777777" w:rsidR="0007559D" w:rsidRDefault="0007559D" w:rsidP="00CA0C05">
                      <w:pPr>
                        <w:rPr>
                          <w:b/>
                          <w:bCs/>
                          <w:color w:val="F6F4EC" w:themeColor="background1"/>
                          <w:sz w:val="56"/>
                          <w:szCs w:val="56"/>
                          <w:lang w:val="en-NZ"/>
                        </w:rPr>
                      </w:pPr>
                      <w:r w:rsidRPr="0007559D">
                        <w:rPr>
                          <w:b/>
                          <w:bCs/>
                          <w:color w:val="F6F4EC" w:themeColor="background1"/>
                          <w:sz w:val="56"/>
                          <w:szCs w:val="56"/>
                          <w:lang w:val="en-NZ"/>
                        </w:rPr>
                        <w:t xml:space="preserve">Companion Statement on Vitamin D and Sun Exposure in Pregnancy and Infancy in Aotearoa New Zealand </w:t>
                      </w:r>
                    </w:p>
                    <w:p w14:paraId="3F85EACD" w14:textId="5A307184" w:rsidR="00CA0C05" w:rsidRDefault="0007559D" w:rsidP="0007559D">
                      <w:pPr>
                        <w:rPr>
                          <w:color w:val="F6F4EC" w:themeColor="background1"/>
                          <w:sz w:val="48"/>
                          <w:szCs w:val="48"/>
                          <w:lang w:val="en-NZ"/>
                        </w:rPr>
                      </w:pPr>
                      <w:proofErr w:type="spellStart"/>
                      <w:r w:rsidRPr="0007559D">
                        <w:rPr>
                          <w:color w:val="F6F4EC" w:themeColor="background1"/>
                          <w:sz w:val="48"/>
                          <w:szCs w:val="48"/>
                          <w:lang w:val="en-NZ"/>
                        </w:rPr>
                        <w:t>Tauākī</w:t>
                      </w:r>
                      <w:proofErr w:type="spellEnd"/>
                      <w:r w:rsidRPr="0007559D">
                        <w:rPr>
                          <w:color w:val="F6F4EC" w:themeColor="background1"/>
                          <w:sz w:val="48"/>
                          <w:szCs w:val="48"/>
                          <w:lang w:val="en-NZ"/>
                        </w:rPr>
                        <w:t xml:space="preserve"> </w:t>
                      </w:r>
                      <w:proofErr w:type="spellStart"/>
                      <w:r w:rsidRPr="0007559D">
                        <w:rPr>
                          <w:color w:val="F6F4EC" w:themeColor="background1"/>
                          <w:sz w:val="48"/>
                          <w:szCs w:val="48"/>
                          <w:lang w:val="en-NZ"/>
                        </w:rPr>
                        <w:t>Āpiti</w:t>
                      </w:r>
                      <w:proofErr w:type="spellEnd"/>
                      <w:r w:rsidRPr="0007559D">
                        <w:rPr>
                          <w:color w:val="F6F4EC" w:themeColor="background1"/>
                          <w:sz w:val="48"/>
                          <w:szCs w:val="48"/>
                          <w:lang w:val="en-NZ"/>
                        </w:rPr>
                        <w:t xml:space="preserve"> </w:t>
                      </w:r>
                      <w:proofErr w:type="spellStart"/>
                      <w:r w:rsidRPr="0007559D">
                        <w:rPr>
                          <w:color w:val="F6F4EC" w:themeColor="background1"/>
                          <w:sz w:val="48"/>
                          <w:szCs w:val="48"/>
                          <w:lang w:val="en-NZ"/>
                        </w:rPr>
                        <w:t>mō</w:t>
                      </w:r>
                      <w:proofErr w:type="spellEnd"/>
                      <w:r w:rsidRPr="0007559D">
                        <w:rPr>
                          <w:color w:val="F6F4EC" w:themeColor="background1"/>
                          <w:sz w:val="48"/>
                          <w:szCs w:val="48"/>
                          <w:lang w:val="en-NZ"/>
                        </w:rPr>
                        <w:t xml:space="preserve"> </w:t>
                      </w:r>
                      <w:proofErr w:type="spellStart"/>
                      <w:r w:rsidRPr="0007559D">
                        <w:rPr>
                          <w:color w:val="F6F4EC" w:themeColor="background1"/>
                          <w:sz w:val="48"/>
                          <w:szCs w:val="48"/>
                          <w:lang w:val="en-NZ"/>
                        </w:rPr>
                        <w:t>te</w:t>
                      </w:r>
                      <w:proofErr w:type="spellEnd"/>
                      <w:r w:rsidRPr="0007559D">
                        <w:rPr>
                          <w:color w:val="F6F4EC" w:themeColor="background1"/>
                          <w:sz w:val="48"/>
                          <w:szCs w:val="48"/>
                          <w:lang w:val="en-NZ"/>
                        </w:rPr>
                        <w:t xml:space="preserve"> </w:t>
                      </w:r>
                      <w:proofErr w:type="spellStart"/>
                      <w:r w:rsidRPr="0007559D">
                        <w:rPr>
                          <w:color w:val="F6F4EC" w:themeColor="background1"/>
                          <w:sz w:val="48"/>
                          <w:szCs w:val="48"/>
                          <w:lang w:val="en-NZ"/>
                        </w:rPr>
                        <w:t>Huranga</w:t>
                      </w:r>
                      <w:proofErr w:type="spellEnd"/>
                      <w:r w:rsidRPr="0007559D">
                        <w:rPr>
                          <w:color w:val="F6F4EC" w:themeColor="background1"/>
                          <w:sz w:val="48"/>
                          <w:szCs w:val="48"/>
                          <w:lang w:val="en-NZ"/>
                        </w:rPr>
                        <w:t xml:space="preserve"> </w:t>
                      </w:r>
                      <w:proofErr w:type="spellStart"/>
                      <w:r w:rsidRPr="0007559D">
                        <w:rPr>
                          <w:color w:val="F6F4EC" w:themeColor="background1"/>
                          <w:sz w:val="48"/>
                          <w:szCs w:val="48"/>
                          <w:lang w:val="en-NZ"/>
                        </w:rPr>
                        <w:t>Hihirā</w:t>
                      </w:r>
                      <w:proofErr w:type="spellEnd"/>
                      <w:r w:rsidRPr="0007559D">
                        <w:rPr>
                          <w:color w:val="F6F4EC" w:themeColor="background1"/>
                          <w:sz w:val="48"/>
                          <w:szCs w:val="48"/>
                          <w:lang w:val="en-NZ"/>
                        </w:rPr>
                        <w:t xml:space="preserve"> me </w:t>
                      </w:r>
                      <w:proofErr w:type="spellStart"/>
                      <w:r w:rsidRPr="0007559D">
                        <w:rPr>
                          <w:color w:val="F6F4EC" w:themeColor="background1"/>
                          <w:sz w:val="48"/>
                          <w:szCs w:val="48"/>
                          <w:lang w:val="en-NZ"/>
                        </w:rPr>
                        <w:t>te</w:t>
                      </w:r>
                      <w:proofErr w:type="spellEnd"/>
                      <w:r w:rsidRPr="0007559D">
                        <w:rPr>
                          <w:color w:val="F6F4EC" w:themeColor="background1"/>
                          <w:sz w:val="48"/>
                          <w:szCs w:val="48"/>
                          <w:lang w:val="en-NZ"/>
                        </w:rPr>
                        <w:t xml:space="preserve"> </w:t>
                      </w:r>
                      <w:proofErr w:type="spellStart"/>
                      <w:r w:rsidRPr="0007559D">
                        <w:rPr>
                          <w:color w:val="F6F4EC" w:themeColor="background1"/>
                          <w:sz w:val="48"/>
                          <w:szCs w:val="48"/>
                          <w:lang w:val="en-NZ"/>
                        </w:rPr>
                        <w:t>Huaora</w:t>
                      </w:r>
                      <w:proofErr w:type="spellEnd"/>
                      <w:r w:rsidRPr="0007559D">
                        <w:rPr>
                          <w:color w:val="F6F4EC" w:themeColor="background1"/>
                          <w:sz w:val="48"/>
                          <w:szCs w:val="48"/>
                          <w:lang w:val="en-NZ"/>
                        </w:rPr>
                        <w:t xml:space="preserve"> D </w:t>
                      </w:r>
                      <w:proofErr w:type="spellStart"/>
                      <w:r w:rsidRPr="0007559D">
                        <w:rPr>
                          <w:color w:val="F6F4EC" w:themeColor="background1"/>
                          <w:sz w:val="48"/>
                          <w:szCs w:val="48"/>
                          <w:lang w:val="en-NZ"/>
                        </w:rPr>
                        <w:t>i</w:t>
                      </w:r>
                      <w:proofErr w:type="spellEnd"/>
                      <w:r w:rsidRPr="0007559D">
                        <w:rPr>
                          <w:color w:val="F6F4EC" w:themeColor="background1"/>
                          <w:sz w:val="48"/>
                          <w:szCs w:val="48"/>
                          <w:lang w:val="en-NZ"/>
                        </w:rPr>
                        <w:t xml:space="preserve"> </w:t>
                      </w:r>
                      <w:proofErr w:type="spellStart"/>
                      <w:r w:rsidRPr="0007559D">
                        <w:rPr>
                          <w:color w:val="F6F4EC" w:themeColor="background1"/>
                          <w:sz w:val="48"/>
                          <w:szCs w:val="48"/>
                          <w:lang w:val="en-NZ"/>
                        </w:rPr>
                        <w:t>te</w:t>
                      </w:r>
                      <w:proofErr w:type="spellEnd"/>
                      <w:r w:rsidRPr="0007559D">
                        <w:rPr>
                          <w:color w:val="F6F4EC" w:themeColor="background1"/>
                          <w:sz w:val="48"/>
                          <w:szCs w:val="48"/>
                          <w:lang w:val="en-NZ"/>
                        </w:rPr>
                        <w:t xml:space="preserve"> </w:t>
                      </w:r>
                      <w:proofErr w:type="spellStart"/>
                      <w:r w:rsidRPr="0007559D">
                        <w:rPr>
                          <w:color w:val="F6F4EC" w:themeColor="background1"/>
                          <w:sz w:val="48"/>
                          <w:szCs w:val="48"/>
                          <w:lang w:val="en-NZ"/>
                        </w:rPr>
                        <w:t>Hapūtanga</w:t>
                      </w:r>
                      <w:proofErr w:type="spellEnd"/>
                      <w:r w:rsidRPr="0007559D">
                        <w:rPr>
                          <w:color w:val="F6F4EC" w:themeColor="background1"/>
                          <w:sz w:val="48"/>
                          <w:szCs w:val="48"/>
                          <w:lang w:val="en-NZ"/>
                        </w:rPr>
                        <w:t xml:space="preserve"> me </w:t>
                      </w:r>
                      <w:proofErr w:type="spellStart"/>
                      <w:r w:rsidRPr="0007559D">
                        <w:rPr>
                          <w:color w:val="F6F4EC" w:themeColor="background1"/>
                          <w:sz w:val="48"/>
                          <w:szCs w:val="48"/>
                          <w:lang w:val="en-NZ"/>
                        </w:rPr>
                        <w:t>te</w:t>
                      </w:r>
                      <w:proofErr w:type="spellEnd"/>
                      <w:r w:rsidRPr="0007559D">
                        <w:rPr>
                          <w:color w:val="F6F4EC" w:themeColor="background1"/>
                          <w:sz w:val="48"/>
                          <w:szCs w:val="48"/>
                          <w:lang w:val="en-NZ"/>
                        </w:rPr>
                        <w:t xml:space="preserve"> </w:t>
                      </w:r>
                      <w:proofErr w:type="spellStart"/>
                      <w:r w:rsidRPr="0007559D">
                        <w:rPr>
                          <w:color w:val="F6F4EC" w:themeColor="background1"/>
                          <w:sz w:val="48"/>
                          <w:szCs w:val="48"/>
                          <w:lang w:val="en-NZ"/>
                        </w:rPr>
                        <w:t>Nohinohitanga</w:t>
                      </w:r>
                      <w:proofErr w:type="spellEnd"/>
                      <w:r w:rsidRPr="0007559D">
                        <w:rPr>
                          <w:color w:val="F6F4EC" w:themeColor="background1"/>
                          <w:sz w:val="48"/>
                          <w:szCs w:val="48"/>
                          <w:lang w:val="en-NZ"/>
                        </w:rPr>
                        <w:t xml:space="preserve"> i Aotearoa</w:t>
                      </w:r>
                    </w:p>
                    <w:p w14:paraId="33A30DEA" w14:textId="4A0FB47D" w:rsidR="0007559D" w:rsidRPr="0007559D" w:rsidRDefault="0007559D" w:rsidP="0007559D">
                      <w:pPr>
                        <w:rPr>
                          <w:i/>
                          <w:iCs/>
                          <w:color w:val="F6F4EC" w:themeColor="background1"/>
                          <w:sz w:val="32"/>
                          <w:szCs w:val="32"/>
                          <w:lang w:val="en-NZ"/>
                        </w:rPr>
                      </w:pPr>
                      <w:r w:rsidRPr="0007559D">
                        <w:rPr>
                          <w:color w:val="F6F4EC" w:themeColor="background1"/>
                          <w:sz w:val="32"/>
                          <w:szCs w:val="32"/>
                          <w:lang w:val="en-NZ"/>
                        </w:rPr>
                        <w:t xml:space="preserve">A supplement to the </w:t>
                      </w:r>
                      <w:r w:rsidRPr="0007559D">
                        <w:rPr>
                          <w:i/>
                          <w:iCs/>
                          <w:color w:val="F6F4EC" w:themeColor="background1"/>
                          <w:sz w:val="32"/>
                          <w:szCs w:val="32"/>
                          <w:lang w:val="en-NZ"/>
                        </w:rPr>
                        <w:t>Consensus Statement on Vitamin D and Sun Exposure in New Zealand</w:t>
                      </w:r>
                    </w:p>
                  </w:txbxContent>
                </v:textbox>
                <w10:wrap anchorx="margin" anchory="page"/>
                <w10:anchorlock/>
              </v:shape>
            </w:pict>
          </mc:Fallback>
        </mc:AlternateContent>
      </w:r>
    </w:p>
    <w:p w14:paraId="16BC0CAE" w14:textId="77777777" w:rsidR="00652BA8" w:rsidRDefault="00652BA8" w:rsidP="00167DCB">
      <w:pPr>
        <w:rPr>
          <w:lang w:val="en-NZ"/>
        </w:rPr>
      </w:pPr>
    </w:p>
    <w:p w14:paraId="473F2B01" w14:textId="3E275CE3" w:rsidR="0007559D" w:rsidRDefault="0007559D">
      <w:pPr>
        <w:spacing w:line="259" w:lineRule="auto"/>
        <w:rPr>
          <w:lang w:val="en-NZ"/>
        </w:rPr>
      </w:pPr>
      <w:r>
        <w:rPr>
          <w:lang w:val="en-NZ"/>
        </w:rPr>
        <w:br w:type="page"/>
      </w:r>
    </w:p>
    <w:sdt>
      <w:sdtPr>
        <w:rPr>
          <w:rFonts w:eastAsia="Roboto"/>
          <w:noProof w:val="0"/>
          <w:sz w:val="22"/>
          <w:szCs w:val="22"/>
          <w:lang w:val="en-US"/>
        </w:rPr>
        <w:id w:val="-1305456428"/>
        <w:docPartObj>
          <w:docPartGallery w:val="Table of Contents"/>
          <w:docPartUnique/>
        </w:docPartObj>
      </w:sdtPr>
      <w:sdtEndPr>
        <w:rPr>
          <w:b/>
          <w:bCs/>
        </w:rPr>
      </w:sdtEndPr>
      <w:sdtContent>
        <w:p w14:paraId="5D619D41" w14:textId="77777777" w:rsidR="00652BA8" w:rsidRPr="00652BA8" w:rsidRDefault="00652BA8" w:rsidP="00EB7710">
          <w:pPr>
            <w:pStyle w:val="TOCHeading"/>
            <w:numPr>
              <w:ilvl w:val="0"/>
              <w:numId w:val="0"/>
            </w:numPr>
            <w:ind w:left="432" w:hanging="432"/>
            <w:rPr>
              <w:rStyle w:val="Heading2Char"/>
            </w:rPr>
          </w:pPr>
          <w:r w:rsidRPr="00652BA8">
            <w:rPr>
              <w:rStyle w:val="Heading2Char"/>
            </w:rPr>
            <w:t>Contents</w:t>
          </w:r>
        </w:p>
        <w:p w14:paraId="4B4BAC0D" w14:textId="5EC30E02" w:rsidR="006F52AE" w:rsidRDefault="00652BA8">
          <w:pPr>
            <w:pStyle w:val="TOC1"/>
            <w:rPr>
              <w:rFonts w:asciiTheme="minorHAnsi" w:eastAsiaTheme="minorEastAsia" w:hAnsiTheme="minorHAnsi" w:cstheme="minorBidi"/>
              <w:noProof/>
              <w:kern w:val="2"/>
              <w:sz w:val="24"/>
              <w:szCs w:val="24"/>
              <w:lang w:val="en-NZ" w:eastAsia="en-NZ"/>
              <w14:ligatures w14:val="standardContextual"/>
            </w:rPr>
          </w:pPr>
          <w:r>
            <w:fldChar w:fldCharType="begin"/>
          </w:r>
          <w:r>
            <w:instrText xml:space="preserve"> TOC \o "1-3" \h \z \u </w:instrText>
          </w:r>
          <w:r>
            <w:fldChar w:fldCharType="separate"/>
          </w:r>
          <w:hyperlink w:anchor="_Toc167269255" w:history="1">
            <w:r w:rsidR="006F52AE" w:rsidRPr="002116C3">
              <w:rPr>
                <w:rStyle w:val="Hyperlink"/>
                <w:noProof/>
              </w:rPr>
              <w:t>1</w:t>
            </w:r>
            <w:r w:rsidR="006F52AE">
              <w:rPr>
                <w:rFonts w:asciiTheme="minorHAnsi" w:eastAsiaTheme="minorEastAsia" w:hAnsiTheme="minorHAnsi" w:cstheme="minorBidi"/>
                <w:noProof/>
                <w:kern w:val="2"/>
                <w:sz w:val="24"/>
                <w:szCs w:val="24"/>
                <w:lang w:val="en-NZ" w:eastAsia="en-NZ"/>
                <w14:ligatures w14:val="standardContextual"/>
              </w:rPr>
              <w:tab/>
            </w:r>
            <w:r w:rsidR="006F52AE" w:rsidRPr="002116C3">
              <w:rPr>
                <w:rStyle w:val="Hyperlink"/>
                <w:noProof/>
              </w:rPr>
              <w:t>Purpose of this Companion Statement</w:t>
            </w:r>
            <w:r w:rsidR="006F52AE">
              <w:rPr>
                <w:noProof/>
                <w:webHidden/>
              </w:rPr>
              <w:tab/>
            </w:r>
            <w:r w:rsidR="006F52AE">
              <w:rPr>
                <w:noProof/>
                <w:webHidden/>
              </w:rPr>
              <w:fldChar w:fldCharType="begin"/>
            </w:r>
            <w:r w:rsidR="006F52AE">
              <w:rPr>
                <w:noProof/>
                <w:webHidden/>
              </w:rPr>
              <w:instrText xml:space="preserve"> PAGEREF _Toc167269255 \h </w:instrText>
            </w:r>
            <w:r w:rsidR="006F52AE">
              <w:rPr>
                <w:noProof/>
                <w:webHidden/>
              </w:rPr>
            </w:r>
            <w:r w:rsidR="006F52AE">
              <w:rPr>
                <w:noProof/>
                <w:webHidden/>
              </w:rPr>
              <w:fldChar w:fldCharType="separate"/>
            </w:r>
            <w:r w:rsidR="006F52AE">
              <w:rPr>
                <w:noProof/>
                <w:webHidden/>
              </w:rPr>
              <w:t>3</w:t>
            </w:r>
            <w:r w:rsidR="006F52AE">
              <w:rPr>
                <w:noProof/>
                <w:webHidden/>
              </w:rPr>
              <w:fldChar w:fldCharType="end"/>
            </w:r>
          </w:hyperlink>
        </w:p>
        <w:p w14:paraId="311454A0" w14:textId="2032E7BB" w:rsidR="006F52AE" w:rsidRDefault="0010208C">
          <w:pPr>
            <w:pStyle w:val="TOC1"/>
            <w:rPr>
              <w:rFonts w:asciiTheme="minorHAnsi" w:eastAsiaTheme="minorEastAsia" w:hAnsiTheme="minorHAnsi" w:cstheme="minorBidi"/>
              <w:noProof/>
              <w:kern w:val="2"/>
              <w:sz w:val="24"/>
              <w:szCs w:val="24"/>
              <w:lang w:val="en-NZ" w:eastAsia="en-NZ"/>
              <w14:ligatures w14:val="standardContextual"/>
            </w:rPr>
          </w:pPr>
          <w:hyperlink w:anchor="_Toc167269256" w:history="1">
            <w:r w:rsidR="006F52AE" w:rsidRPr="002116C3">
              <w:rPr>
                <w:rStyle w:val="Hyperlink"/>
                <w:noProof/>
              </w:rPr>
              <w:t>2</w:t>
            </w:r>
            <w:r w:rsidR="006F52AE">
              <w:rPr>
                <w:rFonts w:asciiTheme="minorHAnsi" w:eastAsiaTheme="minorEastAsia" w:hAnsiTheme="minorHAnsi" w:cstheme="minorBidi"/>
                <w:noProof/>
                <w:kern w:val="2"/>
                <w:sz w:val="24"/>
                <w:szCs w:val="24"/>
                <w:lang w:val="en-NZ" w:eastAsia="en-NZ"/>
                <w14:ligatures w14:val="standardContextual"/>
              </w:rPr>
              <w:tab/>
            </w:r>
            <w:r w:rsidR="006F52AE" w:rsidRPr="002116C3">
              <w:rPr>
                <w:rStyle w:val="Hyperlink"/>
                <w:noProof/>
              </w:rPr>
              <w:t>Need for this Companion Statement</w:t>
            </w:r>
            <w:r w:rsidR="006F52AE">
              <w:rPr>
                <w:noProof/>
                <w:webHidden/>
              </w:rPr>
              <w:tab/>
            </w:r>
            <w:r w:rsidR="006F52AE">
              <w:rPr>
                <w:noProof/>
                <w:webHidden/>
              </w:rPr>
              <w:fldChar w:fldCharType="begin"/>
            </w:r>
            <w:r w:rsidR="006F52AE">
              <w:rPr>
                <w:noProof/>
                <w:webHidden/>
              </w:rPr>
              <w:instrText xml:space="preserve"> PAGEREF _Toc167269256 \h </w:instrText>
            </w:r>
            <w:r w:rsidR="006F52AE">
              <w:rPr>
                <w:noProof/>
                <w:webHidden/>
              </w:rPr>
            </w:r>
            <w:r w:rsidR="006F52AE">
              <w:rPr>
                <w:noProof/>
                <w:webHidden/>
              </w:rPr>
              <w:fldChar w:fldCharType="separate"/>
            </w:r>
            <w:r w:rsidR="006F52AE">
              <w:rPr>
                <w:noProof/>
                <w:webHidden/>
              </w:rPr>
              <w:t>3</w:t>
            </w:r>
            <w:r w:rsidR="006F52AE">
              <w:rPr>
                <w:noProof/>
                <w:webHidden/>
              </w:rPr>
              <w:fldChar w:fldCharType="end"/>
            </w:r>
          </w:hyperlink>
        </w:p>
        <w:p w14:paraId="73FF5929" w14:textId="63FBB2B7" w:rsidR="006F52AE" w:rsidRDefault="0010208C">
          <w:pPr>
            <w:pStyle w:val="TOC1"/>
            <w:rPr>
              <w:rFonts w:asciiTheme="minorHAnsi" w:eastAsiaTheme="minorEastAsia" w:hAnsiTheme="minorHAnsi" w:cstheme="minorBidi"/>
              <w:noProof/>
              <w:kern w:val="2"/>
              <w:sz w:val="24"/>
              <w:szCs w:val="24"/>
              <w:lang w:val="en-NZ" w:eastAsia="en-NZ"/>
              <w14:ligatures w14:val="standardContextual"/>
            </w:rPr>
          </w:pPr>
          <w:hyperlink w:anchor="_Toc167269257" w:history="1">
            <w:r w:rsidR="006F52AE" w:rsidRPr="002116C3">
              <w:rPr>
                <w:rStyle w:val="Hyperlink"/>
                <w:noProof/>
              </w:rPr>
              <w:t>3</w:t>
            </w:r>
            <w:r w:rsidR="006F52AE">
              <w:rPr>
                <w:rFonts w:asciiTheme="minorHAnsi" w:eastAsiaTheme="minorEastAsia" w:hAnsiTheme="minorHAnsi" w:cstheme="minorBidi"/>
                <w:noProof/>
                <w:kern w:val="2"/>
                <w:sz w:val="24"/>
                <w:szCs w:val="24"/>
                <w:lang w:val="en-NZ" w:eastAsia="en-NZ"/>
                <w14:ligatures w14:val="standardContextual"/>
              </w:rPr>
              <w:tab/>
            </w:r>
            <w:r w:rsidR="006F52AE" w:rsidRPr="002116C3">
              <w:rPr>
                <w:rStyle w:val="Hyperlink"/>
                <w:noProof/>
              </w:rPr>
              <w:t>Intended users of this Companion Statement</w:t>
            </w:r>
            <w:r w:rsidR="006F52AE">
              <w:rPr>
                <w:noProof/>
                <w:webHidden/>
              </w:rPr>
              <w:tab/>
            </w:r>
            <w:r w:rsidR="006F52AE">
              <w:rPr>
                <w:noProof/>
                <w:webHidden/>
              </w:rPr>
              <w:fldChar w:fldCharType="begin"/>
            </w:r>
            <w:r w:rsidR="006F52AE">
              <w:rPr>
                <w:noProof/>
                <w:webHidden/>
              </w:rPr>
              <w:instrText xml:space="preserve"> PAGEREF _Toc167269257 \h </w:instrText>
            </w:r>
            <w:r w:rsidR="006F52AE">
              <w:rPr>
                <w:noProof/>
                <w:webHidden/>
              </w:rPr>
            </w:r>
            <w:r w:rsidR="006F52AE">
              <w:rPr>
                <w:noProof/>
                <w:webHidden/>
              </w:rPr>
              <w:fldChar w:fldCharType="separate"/>
            </w:r>
            <w:r w:rsidR="006F52AE">
              <w:rPr>
                <w:noProof/>
                <w:webHidden/>
              </w:rPr>
              <w:t>3</w:t>
            </w:r>
            <w:r w:rsidR="006F52AE">
              <w:rPr>
                <w:noProof/>
                <w:webHidden/>
              </w:rPr>
              <w:fldChar w:fldCharType="end"/>
            </w:r>
          </w:hyperlink>
        </w:p>
        <w:p w14:paraId="260C6E56" w14:textId="57B0CE2C" w:rsidR="006F52AE" w:rsidRDefault="0010208C">
          <w:pPr>
            <w:pStyle w:val="TOC1"/>
            <w:rPr>
              <w:rFonts w:asciiTheme="minorHAnsi" w:eastAsiaTheme="minorEastAsia" w:hAnsiTheme="minorHAnsi" w:cstheme="minorBidi"/>
              <w:noProof/>
              <w:kern w:val="2"/>
              <w:sz w:val="24"/>
              <w:szCs w:val="24"/>
              <w:lang w:val="en-NZ" w:eastAsia="en-NZ"/>
              <w14:ligatures w14:val="standardContextual"/>
            </w:rPr>
          </w:pPr>
          <w:hyperlink w:anchor="_Toc167269258" w:history="1">
            <w:r w:rsidR="006F52AE" w:rsidRPr="002116C3">
              <w:rPr>
                <w:rStyle w:val="Hyperlink"/>
                <w:noProof/>
              </w:rPr>
              <w:t>4</w:t>
            </w:r>
            <w:r w:rsidR="006F52AE">
              <w:rPr>
                <w:rFonts w:asciiTheme="minorHAnsi" w:eastAsiaTheme="minorEastAsia" w:hAnsiTheme="minorHAnsi" w:cstheme="minorBidi"/>
                <w:noProof/>
                <w:kern w:val="2"/>
                <w:sz w:val="24"/>
                <w:szCs w:val="24"/>
                <w:lang w:val="en-NZ" w:eastAsia="en-NZ"/>
                <w14:ligatures w14:val="standardContextual"/>
              </w:rPr>
              <w:tab/>
            </w:r>
            <w:r w:rsidR="006F52AE" w:rsidRPr="002116C3">
              <w:rPr>
                <w:rStyle w:val="Hyperlink"/>
                <w:noProof/>
              </w:rPr>
              <w:t>Te Tiriti o Waitangi</w:t>
            </w:r>
            <w:r w:rsidR="006F52AE">
              <w:rPr>
                <w:noProof/>
                <w:webHidden/>
              </w:rPr>
              <w:tab/>
            </w:r>
            <w:r w:rsidR="006F52AE">
              <w:rPr>
                <w:noProof/>
                <w:webHidden/>
              </w:rPr>
              <w:fldChar w:fldCharType="begin"/>
            </w:r>
            <w:r w:rsidR="006F52AE">
              <w:rPr>
                <w:noProof/>
                <w:webHidden/>
              </w:rPr>
              <w:instrText xml:space="preserve"> PAGEREF _Toc167269258 \h </w:instrText>
            </w:r>
            <w:r w:rsidR="006F52AE">
              <w:rPr>
                <w:noProof/>
                <w:webHidden/>
              </w:rPr>
            </w:r>
            <w:r w:rsidR="006F52AE">
              <w:rPr>
                <w:noProof/>
                <w:webHidden/>
              </w:rPr>
              <w:fldChar w:fldCharType="separate"/>
            </w:r>
            <w:r w:rsidR="006F52AE">
              <w:rPr>
                <w:noProof/>
                <w:webHidden/>
              </w:rPr>
              <w:t>4</w:t>
            </w:r>
            <w:r w:rsidR="006F52AE">
              <w:rPr>
                <w:noProof/>
                <w:webHidden/>
              </w:rPr>
              <w:fldChar w:fldCharType="end"/>
            </w:r>
          </w:hyperlink>
        </w:p>
        <w:p w14:paraId="45F19735" w14:textId="2B7B2E09" w:rsidR="006F52AE" w:rsidRDefault="0010208C">
          <w:pPr>
            <w:pStyle w:val="TOC2"/>
            <w:tabs>
              <w:tab w:val="left" w:pos="960"/>
              <w:tab w:val="right" w:leader="dot" w:pos="9016"/>
            </w:tabs>
            <w:rPr>
              <w:rFonts w:asciiTheme="minorHAnsi" w:eastAsiaTheme="minorEastAsia" w:hAnsiTheme="minorHAnsi" w:cstheme="minorBidi"/>
              <w:noProof/>
              <w:kern w:val="2"/>
              <w:sz w:val="24"/>
              <w:szCs w:val="24"/>
              <w:lang w:val="en-NZ" w:eastAsia="en-NZ"/>
              <w14:ligatures w14:val="standardContextual"/>
            </w:rPr>
          </w:pPr>
          <w:hyperlink w:anchor="_Toc167269259" w:history="1">
            <w:r w:rsidR="006F52AE" w:rsidRPr="002116C3">
              <w:rPr>
                <w:rStyle w:val="Hyperlink"/>
                <w:noProof/>
              </w:rPr>
              <w:t>4.1</w:t>
            </w:r>
            <w:r w:rsidR="006F52AE">
              <w:rPr>
                <w:rFonts w:asciiTheme="minorHAnsi" w:eastAsiaTheme="minorEastAsia" w:hAnsiTheme="minorHAnsi" w:cstheme="minorBidi"/>
                <w:noProof/>
                <w:kern w:val="2"/>
                <w:sz w:val="24"/>
                <w:szCs w:val="24"/>
                <w:lang w:val="en-NZ" w:eastAsia="en-NZ"/>
                <w14:ligatures w14:val="standardContextual"/>
              </w:rPr>
              <w:tab/>
            </w:r>
            <w:r w:rsidR="006F52AE" w:rsidRPr="002116C3">
              <w:rPr>
                <w:rStyle w:val="Hyperlink"/>
                <w:noProof/>
              </w:rPr>
              <w:t>Principles of Te Tiriti o Waitangi</w:t>
            </w:r>
            <w:r w:rsidR="006F52AE">
              <w:rPr>
                <w:noProof/>
                <w:webHidden/>
              </w:rPr>
              <w:tab/>
            </w:r>
            <w:r w:rsidR="006F52AE">
              <w:rPr>
                <w:noProof/>
                <w:webHidden/>
              </w:rPr>
              <w:fldChar w:fldCharType="begin"/>
            </w:r>
            <w:r w:rsidR="006F52AE">
              <w:rPr>
                <w:noProof/>
                <w:webHidden/>
              </w:rPr>
              <w:instrText xml:space="preserve"> PAGEREF _Toc167269259 \h </w:instrText>
            </w:r>
            <w:r w:rsidR="006F52AE">
              <w:rPr>
                <w:noProof/>
                <w:webHidden/>
              </w:rPr>
            </w:r>
            <w:r w:rsidR="006F52AE">
              <w:rPr>
                <w:noProof/>
                <w:webHidden/>
              </w:rPr>
              <w:fldChar w:fldCharType="separate"/>
            </w:r>
            <w:r w:rsidR="006F52AE">
              <w:rPr>
                <w:noProof/>
                <w:webHidden/>
              </w:rPr>
              <w:t>4</w:t>
            </w:r>
            <w:r w:rsidR="006F52AE">
              <w:rPr>
                <w:noProof/>
                <w:webHidden/>
              </w:rPr>
              <w:fldChar w:fldCharType="end"/>
            </w:r>
          </w:hyperlink>
        </w:p>
        <w:p w14:paraId="6042AE69" w14:textId="1852DE38" w:rsidR="006F52AE" w:rsidRDefault="0010208C">
          <w:pPr>
            <w:pStyle w:val="TOC2"/>
            <w:tabs>
              <w:tab w:val="left" w:pos="960"/>
              <w:tab w:val="right" w:leader="dot" w:pos="9016"/>
            </w:tabs>
            <w:rPr>
              <w:rFonts w:asciiTheme="minorHAnsi" w:eastAsiaTheme="minorEastAsia" w:hAnsiTheme="minorHAnsi" w:cstheme="minorBidi"/>
              <w:noProof/>
              <w:kern w:val="2"/>
              <w:sz w:val="24"/>
              <w:szCs w:val="24"/>
              <w:lang w:val="en-NZ" w:eastAsia="en-NZ"/>
              <w14:ligatures w14:val="standardContextual"/>
            </w:rPr>
          </w:pPr>
          <w:hyperlink w:anchor="_Toc167269260" w:history="1">
            <w:r w:rsidR="006F52AE" w:rsidRPr="002116C3">
              <w:rPr>
                <w:rStyle w:val="Hyperlink"/>
                <w:noProof/>
              </w:rPr>
              <w:t>4.2</w:t>
            </w:r>
            <w:r w:rsidR="006F52AE">
              <w:rPr>
                <w:rFonts w:asciiTheme="minorHAnsi" w:eastAsiaTheme="minorEastAsia" w:hAnsiTheme="minorHAnsi" w:cstheme="minorBidi"/>
                <w:noProof/>
                <w:kern w:val="2"/>
                <w:sz w:val="24"/>
                <w:szCs w:val="24"/>
                <w:lang w:val="en-NZ" w:eastAsia="en-NZ"/>
                <w14:ligatures w14:val="standardContextual"/>
              </w:rPr>
              <w:tab/>
            </w:r>
            <w:r w:rsidR="006F52AE" w:rsidRPr="002116C3">
              <w:rPr>
                <w:rStyle w:val="Hyperlink"/>
                <w:noProof/>
              </w:rPr>
              <w:t>Equity</w:t>
            </w:r>
            <w:r w:rsidR="006F52AE">
              <w:rPr>
                <w:noProof/>
                <w:webHidden/>
              </w:rPr>
              <w:tab/>
            </w:r>
            <w:r w:rsidR="006F52AE">
              <w:rPr>
                <w:noProof/>
                <w:webHidden/>
              </w:rPr>
              <w:fldChar w:fldCharType="begin"/>
            </w:r>
            <w:r w:rsidR="006F52AE">
              <w:rPr>
                <w:noProof/>
                <w:webHidden/>
              </w:rPr>
              <w:instrText xml:space="preserve"> PAGEREF _Toc167269260 \h </w:instrText>
            </w:r>
            <w:r w:rsidR="006F52AE">
              <w:rPr>
                <w:noProof/>
                <w:webHidden/>
              </w:rPr>
            </w:r>
            <w:r w:rsidR="006F52AE">
              <w:rPr>
                <w:noProof/>
                <w:webHidden/>
              </w:rPr>
              <w:fldChar w:fldCharType="separate"/>
            </w:r>
            <w:r w:rsidR="006F52AE">
              <w:rPr>
                <w:noProof/>
                <w:webHidden/>
              </w:rPr>
              <w:t>5</w:t>
            </w:r>
            <w:r w:rsidR="006F52AE">
              <w:rPr>
                <w:noProof/>
                <w:webHidden/>
              </w:rPr>
              <w:fldChar w:fldCharType="end"/>
            </w:r>
          </w:hyperlink>
        </w:p>
        <w:p w14:paraId="7929CA08" w14:textId="6F60ED7C" w:rsidR="006F52AE" w:rsidRDefault="0010208C">
          <w:pPr>
            <w:pStyle w:val="TOC1"/>
            <w:rPr>
              <w:rFonts w:asciiTheme="minorHAnsi" w:eastAsiaTheme="minorEastAsia" w:hAnsiTheme="minorHAnsi" w:cstheme="minorBidi"/>
              <w:noProof/>
              <w:kern w:val="2"/>
              <w:sz w:val="24"/>
              <w:szCs w:val="24"/>
              <w:lang w:val="en-NZ" w:eastAsia="en-NZ"/>
              <w14:ligatures w14:val="standardContextual"/>
            </w:rPr>
          </w:pPr>
          <w:hyperlink w:anchor="_Toc167269261" w:history="1">
            <w:r w:rsidR="006F52AE" w:rsidRPr="002116C3">
              <w:rPr>
                <w:rStyle w:val="Hyperlink"/>
                <w:noProof/>
              </w:rPr>
              <w:t>5</w:t>
            </w:r>
            <w:r w:rsidR="006F52AE">
              <w:rPr>
                <w:rFonts w:asciiTheme="minorHAnsi" w:eastAsiaTheme="minorEastAsia" w:hAnsiTheme="minorHAnsi" w:cstheme="minorBidi"/>
                <w:noProof/>
                <w:kern w:val="2"/>
                <w:sz w:val="24"/>
                <w:szCs w:val="24"/>
                <w:lang w:val="en-NZ" w:eastAsia="en-NZ"/>
                <w14:ligatures w14:val="standardContextual"/>
              </w:rPr>
              <w:tab/>
            </w:r>
            <w:r w:rsidR="006F52AE" w:rsidRPr="002116C3">
              <w:rPr>
                <w:rStyle w:val="Hyperlink"/>
                <w:noProof/>
              </w:rPr>
              <w:t>Consensus statements</w:t>
            </w:r>
            <w:r w:rsidR="006F52AE">
              <w:rPr>
                <w:noProof/>
                <w:webHidden/>
              </w:rPr>
              <w:tab/>
            </w:r>
            <w:r w:rsidR="006F52AE">
              <w:rPr>
                <w:noProof/>
                <w:webHidden/>
              </w:rPr>
              <w:fldChar w:fldCharType="begin"/>
            </w:r>
            <w:r w:rsidR="006F52AE">
              <w:rPr>
                <w:noProof/>
                <w:webHidden/>
              </w:rPr>
              <w:instrText xml:space="preserve"> PAGEREF _Toc167269261 \h </w:instrText>
            </w:r>
            <w:r w:rsidR="006F52AE">
              <w:rPr>
                <w:noProof/>
                <w:webHidden/>
              </w:rPr>
            </w:r>
            <w:r w:rsidR="006F52AE">
              <w:rPr>
                <w:noProof/>
                <w:webHidden/>
              </w:rPr>
              <w:fldChar w:fldCharType="separate"/>
            </w:r>
            <w:r w:rsidR="006F52AE">
              <w:rPr>
                <w:noProof/>
                <w:webHidden/>
              </w:rPr>
              <w:t>5</w:t>
            </w:r>
            <w:r w:rsidR="006F52AE">
              <w:rPr>
                <w:noProof/>
                <w:webHidden/>
              </w:rPr>
              <w:fldChar w:fldCharType="end"/>
            </w:r>
          </w:hyperlink>
        </w:p>
        <w:p w14:paraId="53389795" w14:textId="4B1CF17F" w:rsidR="006F52AE" w:rsidRDefault="0010208C">
          <w:pPr>
            <w:pStyle w:val="TOC2"/>
            <w:tabs>
              <w:tab w:val="left" w:pos="960"/>
              <w:tab w:val="right" w:leader="dot" w:pos="9016"/>
            </w:tabs>
            <w:rPr>
              <w:rFonts w:asciiTheme="minorHAnsi" w:eastAsiaTheme="minorEastAsia" w:hAnsiTheme="minorHAnsi" w:cstheme="minorBidi"/>
              <w:noProof/>
              <w:kern w:val="2"/>
              <w:sz w:val="24"/>
              <w:szCs w:val="24"/>
              <w:lang w:val="en-NZ" w:eastAsia="en-NZ"/>
              <w14:ligatures w14:val="standardContextual"/>
            </w:rPr>
          </w:pPr>
          <w:hyperlink w:anchor="_Toc167269262" w:history="1">
            <w:r w:rsidR="006F52AE" w:rsidRPr="002116C3">
              <w:rPr>
                <w:rStyle w:val="Hyperlink"/>
                <w:noProof/>
              </w:rPr>
              <w:t>5.1</w:t>
            </w:r>
            <w:r w:rsidR="006F52AE">
              <w:rPr>
                <w:rFonts w:asciiTheme="minorHAnsi" w:eastAsiaTheme="minorEastAsia" w:hAnsiTheme="minorHAnsi" w:cstheme="minorBidi"/>
                <w:noProof/>
                <w:kern w:val="2"/>
                <w:sz w:val="24"/>
                <w:szCs w:val="24"/>
                <w:lang w:val="en-NZ" w:eastAsia="en-NZ"/>
                <w14:ligatures w14:val="standardContextual"/>
              </w:rPr>
              <w:tab/>
            </w:r>
            <w:r w:rsidR="006F52AE" w:rsidRPr="002116C3">
              <w:rPr>
                <w:rStyle w:val="Hyperlink"/>
                <w:noProof/>
              </w:rPr>
              <w:t>Prevalence of vitamin D insufficiency and deficiency in Aotearoa New Zealand</w:t>
            </w:r>
            <w:r w:rsidR="006F52AE">
              <w:rPr>
                <w:noProof/>
                <w:webHidden/>
              </w:rPr>
              <w:tab/>
            </w:r>
            <w:r w:rsidR="006F52AE">
              <w:rPr>
                <w:noProof/>
                <w:webHidden/>
              </w:rPr>
              <w:fldChar w:fldCharType="begin"/>
            </w:r>
            <w:r w:rsidR="006F52AE">
              <w:rPr>
                <w:noProof/>
                <w:webHidden/>
              </w:rPr>
              <w:instrText xml:space="preserve"> PAGEREF _Toc167269262 \h </w:instrText>
            </w:r>
            <w:r w:rsidR="006F52AE">
              <w:rPr>
                <w:noProof/>
                <w:webHidden/>
              </w:rPr>
            </w:r>
            <w:r w:rsidR="006F52AE">
              <w:rPr>
                <w:noProof/>
                <w:webHidden/>
              </w:rPr>
              <w:fldChar w:fldCharType="separate"/>
            </w:r>
            <w:r w:rsidR="006F52AE">
              <w:rPr>
                <w:noProof/>
                <w:webHidden/>
              </w:rPr>
              <w:t>6</w:t>
            </w:r>
            <w:r w:rsidR="006F52AE">
              <w:rPr>
                <w:noProof/>
                <w:webHidden/>
              </w:rPr>
              <w:fldChar w:fldCharType="end"/>
            </w:r>
          </w:hyperlink>
        </w:p>
        <w:p w14:paraId="3D1C0094" w14:textId="0F12E40C" w:rsidR="006F52AE" w:rsidRDefault="0010208C">
          <w:pPr>
            <w:pStyle w:val="TOC2"/>
            <w:tabs>
              <w:tab w:val="left" w:pos="960"/>
              <w:tab w:val="right" w:leader="dot" w:pos="9016"/>
            </w:tabs>
            <w:rPr>
              <w:rFonts w:asciiTheme="minorHAnsi" w:eastAsiaTheme="minorEastAsia" w:hAnsiTheme="minorHAnsi" w:cstheme="minorBidi"/>
              <w:noProof/>
              <w:kern w:val="2"/>
              <w:sz w:val="24"/>
              <w:szCs w:val="24"/>
              <w:lang w:val="en-NZ" w:eastAsia="en-NZ"/>
              <w14:ligatures w14:val="standardContextual"/>
            </w:rPr>
          </w:pPr>
          <w:hyperlink w:anchor="_Toc167269263" w:history="1">
            <w:r w:rsidR="006F52AE" w:rsidRPr="002116C3">
              <w:rPr>
                <w:rStyle w:val="Hyperlink"/>
                <w:noProof/>
              </w:rPr>
              <w:t>5.2</w:t>
            </w:r>
            <w:r w:rsidR="006F52AE">
              <w:rPr>
                <w:rFonts w:asciiTheme="minorHAnsi" w:eastAsiaTheme="minorEastAsia" w:hAnsiTheme="minorHAnsi" w:cstheme="minorBidi"/>
                <w:noProof/>
                <w:kern w:val="2"/>
                <w:sz w:val="24"/>
                <w:szCs w:val="24"/>
                <w:lang w:val="en-NZ" w:eastAsia="en-NZ"/>
                <w14:ligatures w14:val="standardContextual"/>
              </w:rPr>
              <w:tab/>
            </w:r>
            <w:r w:rsidR="006F52AE" w:rsidRPr="002116C3">
              <w:rPr>
                <w:rStyle w:val="Hyperlink"/>
                <w:noProof/>
              </w:rPr>
              <w:t>Recommended vitamin D intake</w:t>
            </w:r>
            <w:r w:rsidR="006F52AE">
              <w:rPr>
                <w:noProof/>
                <w:webHidden/>
              </w:rPr>
              <w:tab/>
            </w:r>
            <w:r w:rsidR="006F52AE">
              <w:rPr>
                <w:noProof/>
                <w:webHidden/>
              </w:rPr>
              <w:fldChar w:fldCharType="begin"/>
            </w:r>
            <w:r w:rsidR="006F52AE">
              <w:rPr>
                <w:noProof/>
                <w:webHidden/>
              </w:rPr>
              <w:instrText xml:space="preserve"> PAGEREF _Toc167269263 \h </w:instrText>
            </w:r>
            <w:r w:rsidR="006F52AE">
              <w:rPr>
                <w:noProof/>
                <w:webHidden/>
              </w:rPr>
            </w:r>
            <w:r w:rsidR="006F52AE">
              <w:rPr>
                <w:noProof/>
                <w:webHidden/>
              </w:rPr>
              <w:fldChar w:fldCharType="separate"/>
            </w:r>
            <w:r w:rsidR="006F52AE">
              <w:rPr>
                <w:noProof/>
                <w:webHidden/>
              </w:rPr>
              <w:t>6</w:t>
            </w:r>
            <w:r w:rsidR="006F52AE">
              <w:rPr>
                <w:noProof/>
                <w:webHidden/>
              </w:rPr>
              <w:fldChar w:fldCharType="end"/>
            </w:r>
          </w:hyperlink>
        </w:p>
        <w:p w14:paraId="764EF23F" w14:textId="7452A738" w:rsidR="006F52AE" w:rsidRDefault="0010208C">
          <w:pPr>
            <w:pStyle w:val="TOC2"/>
            <w:tabs>
              <w:tab w:val="left" w:pos="960"/>
              <w:tab w:val="right" w:leader="dot" w:pos="9016"/>
            </w:tabs>
            <w:rPr>
              <w:rFonts w:asciiTheme="minorHAnsi" w:eastAsiaTheme="minorEastAsia" w:hAnsiTheme="minorHAnsi" w:cstheme="minorBidi"/>
              <w:noProof/>
              <w:kern w:val="2"/>
              <w:sz w:val="24"/>
              <w:szCs w:val="24"/>
              <w:lang w:val="en-NZ" w:eastAsia="en-NZ"/>
              <w14:ligatures w14:val="standardContextual"/>
            </w:rPr>
          </w:pPr>
          <w:hyperlink w:anchor="_Toc167269264" w:history="1">
            <w:r w:rsidR="006F52AE" w:rsidRPr="002116C3">
              <w:rPr>
                <w:rStyle w:val="Hyperlink"/>
                <w:noProof/>
              </w:rPr>
              <w:t>5.3</w:t>
            </w:r>
            <w:r w:rsidR="006F52AE">
              <w:rPr>
                <w:rFonts w:asciiTheme="minorHAnsi" w:eastAsiaTheme="minorEastAsia" w:hAnsiTheme="minorHAnsi" w:cstheme="minorBidi"/>
                <w:noProof/>
                <w:kern w:val="2"/>
                <w:sz w:val="24"/>
                <w:szCs w:val="24"/>
                <w:lang w:val="en-NZ" w:eastAsia="en-NZ"/>
                <w14:ligatures w14:val="standardContextual"/>
              </w:rPr>
              <w:tab/>
            </w:r>
            <w:r w:rsidR="006F52AE" w:rsidRPr="002116C3">
              <w:rPr>
                <w:rStyle w:val="Hyperlink"/>
                <w:noProof/>
              </w:rPr>
              <w:t>Vitamin D status during pregnancy and infancy in New Zealand</w:t>
            </w:r>
            <w:r w:rsidR="006F52AE">
              <w:rPr>
                <w:noProof/>
                <w:webHidden/>
              </w:rPr>
              <w:tab/>
            </w:r>
            <w:r w:rsidR="006F52AE">
              <w:rPr>
                <w:noProof/>
                <w:webHidden/>
              </w:rPr>
              <w:fldChar w:fldCharType="begin"/>
            </w:r>
            <w:r w:rsidR="006F52AE">
              <w:rPr>
                <w:noProof/>
                <w:webHidden/>
              </w:rPr>
              <w:instrText xml:space="preserve"> PAGEREF _Toc167269264 \h </w:instrText>
            </w:r>
            <w:r w:rsidR="006F52AE">
              <w:rPr>
                <w:noProof/>
                <w:webHidden/>
              </w:rPr>
            </w:r>
            <w:r w:rsidR="006F52AE">
              <w:rPr>
                <w:noProof/>
                <w:webHidden/>
              </w:rPr>
              <w:fldChar w:fldCharType="separate"/>
            </w:r>
            <w:r w:rsidR="006F52AE">
              <w:rPr>
                <w:noProof/>
                <w:webHidden/>
              </w:rPr>
              <w:t>10</w:t>
            </w:r>
            <w:r w:rsidR="006F52AE">
              <w:rPr>
                <w:noProof/>
                <w:webHidden/>
              </w:rPr>
              <w:fldChar w:fldCharType="end"/>
            </w:r>
          </w:hyperlink>
        </w:p>
        <w:p w14:paraId="4DB05BD6" w14:textId="7901EB0A" w:rsidR="006F52AE" w:rsidRDefault="0010208C">
          <w:pPr>
            <w:pStyle w:val="TOC3"/>
            <w:tabs>
              <w:tab w:val="left" w:pos="1200"/>
              <w:tab w:val="right" w:leader="dot" w:pos="9016"/>
            </w:tabs>
            <w:rPr>
              <w:rFonts w:asciiTheme="minorHAnsi" w:eastAsiaTheme="minorEastAsia" w:hAnsiTheme="minorHAnsi" w:cstheme="minorBidi"/>
              <w:noProof/>
              <w:kern w:val="2"/>
              <w:sz w:val="24"/>
              <w:szCs w:val="24"/>
              <w:lang w:val="en-NZ" w:eastAsia="en-NZ"/>
              <w14:ligatures w14:val="standardContextual"/>
            </w:rPr>
          </w:pPr>
          <w:hyperlink w:anchor="_Toc167269265" w:history="1">
            <w:r w:rsidR="006F52AE" w:rsidRPr="002116C3">
              <w:rPr>
                <w:rStyle w:val="Hyperlink"/>
                <w:noProof/>
              </w:rPr>
              <w:t>5.3.1</w:t>
            </w:r>
            <w:r w:rsidR="006F52AE">
              <w:rPr>
                <w:rFonts w:asciiTheme="minorHAnsi" w:eastAsiaTheme="minorEastAsia" w:hAnsiTheme="minorHAnsi" w:cstheme="minorBidi"/>
                <w:noProof/>
                <w:kern w:val="2"/>
                <w:sz w:val="24"/>
                <w:szCs w:val="24"/>
                <w:lang w:val="en-NZ" w:eastAsia="en-NZ"/>
                <w14:ligatures w14:val="standardContextual"/>
              </w:rPr>
              <w:tab/>
            </w:r>
            <w:r w:rsidR="006F52AE" w:rsidRPr="002116C3">
              <w:rPr>
                <w:rStyle w:val="Hyperlink"/>
                <w:noProof/>
              </w:rPr>
              <w:t>Risks for vitamin D deficiency include sun avoidance, living south of Nelson/Marlborough, winter and spring season, and darker skin tone</w:t>
            </w:r>
            <w:r w:rsidR="006F52AE">
              <w:rPr>
                <w:noProof/>
                <w:webHidden/>
              </w:rPr>
              <w:tab/>
            </w:r>
            <w:r w:rsidR="006F52AE">
              <w:rPr>
                <w:noProof/>
                <w:webHidden/>
              </w:rPr>
              <w:fldChar w:fldCharType="begin"/>
            </w:r>
            <w:r w:rsidR="006F52AE">
              <w:rPr>
                <w:noProof/>
                <w:webHidden/>
              </w:rPr>
              <w:instrText xml:space="preserve"> PAGEREF _Toc167269265 \h </w:instrText>
            </w:r>
            <w:r w:rsidR="006F52AE">
              <w:rPr>
                <w:noProof/>
                <w:webHidden/>
              </w:rPr>
            </w:r>
            <w:r w:rsidR="006F52AE">
              <w:rPr>
                <w:noProof/>
                <w:webHidden/>
              </w:rPr>
              <w:fldChar w:fldCharType="separate"/>
            </w:r>
            <w:r w:rsidR="006F52AE">
              <w:rPr>
                <w:noProof/>
                <w:webHidden/>
              </w:rPr>
              <w:t>10</w:t>
            </w:r>
            <w:r w:rsidR="006F52AE">
              <w:rPr>
                <w:noProof/>
                <w:webHidden/>
              </w:rPr>
              <w:fldChar w:fldCharType="end"/>
            </w:r>
          </w:hyperlink>
        </w:p>
        <w:p w14:paraId="01C011D0" w14:textId="2025269C" w:rsidR="006F52AE" w:rsidRDefault="0010208C">
          <w:pPr>
            <w:pStyle w:val="TOC3"/>
            <w:tabs>
              <w:tab w:val="left" w:pos="1200"/>
              <w:tab w:val="right" w:leader="dot" w:pos="9016"/>
            </w:tabs>
            <w:rPr>
              <w:rFonts w:asciiTheme="minorHAnsi" w:eastAsiaTheme="minorEastAsia" w:hAnsiTheme="minorHAnsi" w:cstheme="minorBidi"/>
              <w:noProof/>
              <w:kern w:val="2"/>
              <w:sz w:val="24"/>
              <w:szCs w:val="24"/>
              <w:lang w:val="en-NZ" w:eastAsia="en-NZ"/>
              <w14:ligatures w14:val="standardContextual"/>
            </w:rPr>
          </w:pPr>
          <w:hyperlink w:anchor="_Toc167269266" w:history="1">
            <w:r w:rsidR="006F52AE" w:rsidRPr="002116C3">
              <w:rPr>
                <w:rStyle w:val="Hyperlink"/>
                <w:noProof/>
              </w:rPr>
              <w:t>5.3.2</w:t>
            </w:r>
            <w:r w:rsidR="006F52AE">
              <w:rPr>
                <w:rFonts w:asciiTheme="minorHAnsi" w:eastAsiaTheme="minorEastAsia" w:hAnsiTheme="minorHAnsi" w:cstheme="minorBidi"/>
                <w:noProof/>
                <w:kern w:val="2"/>
                <w:sz w:val="24"/>
                <w:szCs w:val="24"/>
                <w:lang w:val="en-NZ" w:eastAsia="en-NZ"/>
                <w14:ligatures w14:val="standardContextual"/>
              </w:rPr>
              <w:tab/>
            </w:r>
            <w:r w:rsidR="006F52AE" w:rsidRPr="002116C3">
              <w:rPr>
                <w:rStyle w:val="Hyperlink"/>
                <w:noProof/>
              </w:rPr>
              <w:t>South of Nelson/Marlborough and winter/spring months</w:t>
            </w:r>
            <w:r w:rsidR="006F52AE">
              <w:rPr>
                <w:noProof/>
                <w:webHidden/>
              </w:rPr>
              <w:tab/>
            </w:r>
            <w:r w:rsidR="006F52AE">
              <w:rPr>
                <w:noProof/>
                <w:webHidden/>
              </w:rPr>
              <w:fldChar w:fldCharType="begin"/>
            </w:r>
            <w:r w:rsidR="006F52AE">
              <w:rPr>
                <w:noProof/>
                <w:webHidden/>
              </w:rPr>
              <w:instrText xml:space="preserve"> PAGEREF _Toc167269266 \h </w:instrText>
            </w:r>
            <w:r w:rsidR="006F52AE">
              <w:rPr>
                <w:noProof/>
                <w:webHidden/>
              </w:rPr>
            </w:r>
            <w:r w:rsidR="006F52AE">
              <w:rPr>
                <w:noProof/>
                <w:webHidden/>
              </w:rPr>
              <w:fldChar w:fldCharType="separate"/>
            </w:r>
            <w:r w:rsidR="006F52AE">
              <w:rPr>
                <w:noProof/>
                <w:webHidden/>
              </w:rPr>
              <w:t>10</w:t>
            </w:r>
            <w:r w:rsidR="006F52AE">
              <w:rPr>
                <w:noProof/>
                <w:webHidden/>
              </w:rPr>
              <w:fldChar w:fldCharType="end"/>
            </w:r>
          </w:hyperlink>
        </w:p>
        <w:p w14:paraId="40780FB6" w14:textId="52EABAE9" w:rsidR="006F52AE" w:rsidRDefault="0010208C">
          <w:pPr>
            <w:pStyle w:val="TOC3"/>
            <w:tabs>
              <w:tab w:val="left" w:pos="1200"/>
              <w:tab w:val="right" w:leader="dot" w:pos="9016"/>
            </w:tabs>
            <w:rPr>
              <w:rFonts w:asciiTheme="minorHAnsi" w:eastAsiaTheme="minorEastAsia" w:hAnsiTheme="minorHAnsi" w:cstheme="minorBidi"/>
              <w:noProof/>
              <w:kern w:val="2"/>
              <w:sz w:val="24"/>
              <w:szCs w:val="24"/>
              <w:lang w:val="en-NZ" w:eastAsia="en-NZ"/>
              <w14:ligatures w14:val="standardContextual"/>
            </w:rPr>
          </w:pPr>
          <w:hyperlink w:anchor="_Toc167269267" w:history="1">
            <w:r w:rsidR="006F52AE" w:rsidRPr="002116C3">
              <w:rPr>
                <w:rStyle w:val="Hyperlink"/>
                <w:noProof/>
              </w:rPr>
              <w:t>5.3.3</w:t>
            </w:r>
            <w:r w:rsidR="006F52AE">
              <w:rPr>
                <w:rFonts w:asciiTheme="minorHAnsi" w:eastAsiaTheme="minorEastAsia" w:hAnsiTheme="minorHAnsi" w:cstheme="minorBidi"/>
                <w:noProof/>
                <w:kern w:val="2"/>
                <w:sz w:val="24"/>
                <w:szCs w:val="24"/>
                <w:lang w:val="en-NZ" w:eastAsia="en-NZ"/>
                <w14:ligatures w14:val="standardContextual"/>
              </w:rPr>
              <w:tab/>
            </w:r>
            <w:r w:rsidR="006F52AE" w:rsidRPr="002116C3">
              <w:rPr>
                <w:rStyle w:val="Hyperlink"/>
                <w:noProof/>
              </w:rPr>
              <w:t>Darker skin tone</w:t>
            </w:r>
            <w:r w:rsidR="006F52AE">
              <w:rPr>
                <w:noProof/>
                <w:webHidden/>
              </w:rPr>
              <w:tab/>
            </w:r>
            <w:r w:rsidR="006F52AE">
              <w:rPr>
                <w:noProof/>
                <w:webHidden/>
              </w:rPr>
              <w:fldChar w:fldCharType="begin"/>
            </w:r>
            <w:r w:rsidR="006F52AE">
              <w:rPr>
                <w:noProof/>
                <w:webHidden/>
              </w:rPr>
              <w:instrText xml:space="preserve"> PAGEREF _Toc167269267 \h </w:instrText>
            </w:r>
            <w:r w:rsidR="006F52AE">
              <w:rPr>
                <w:noProof/>
                <w:webHidden/>
              </w:rPr>
            </w:r>
            <w:r w:rsidR="006F52AE">
              <w:rPr>
                <w:noProof/>
                <w:webHidden/>
              </w:rPr>
              <w:fldChar w:fldCharType="separate"/>
            </w:r>
            <w:r w:rsidR="006F52AE">
              <w:rPr>
                <w:noProof/>
                <w:webHidden/>
              </w:rPr>
              <w:t>12</w:t>
            </w:r>
            <w:r w:rsidR="006F52AE">
              <w:rPr>
                <w:noProof/>
                <w:webHidden/>
              </w:rPr>
              <w:fldChar w:fldCharType="end"/>
            </w:r>
          </w:hyperlink>
        </w:p>
        <w:p w14:paraId="58FF86F8" w14:textId="564A5C21" w:rsidR="006F52AE" w:rsidRDefault="0010208C">
          <w:pPr>
            <w:pStyle w:val="TOC3"/>
            <w:tabs>
              <w:tab w:val="left" w:pos="1200"/>
              <w:tab w:val="right" w:leader="dot" w:pos="9016"/>
            </w:tabs>
            <w:rPr>
              <w:rFonts w:asciiTheme="minorHAnsi" w:eastAsiaTheme="minorEastAsia" w:hAnsiTheme="minorHAnsi" w:cstheme="minorBidi"/>
              <w:noProof/>
              <w:kern w:val="2"/>
              <w:sz w:val="24"/>
              <w:szCs w:val="24"/>
              <w:lang w:val="en-NZ" w:eastAsia="en-NZ"/>
              <w14:ligatures w14:val="standardContextual"/>
            </w:rPr>
          </w:pPr>
          <w:hyperlink w:anchor="_Toc167269268" w:history="1">
            <w:r w:rsidR="006F52AE" w:rsidRPr="002116C3">
              <w:rPr>
                <w:rStyle w:val="Hyperlink"/>
                <w:noProof/>
              </w:rPr>
              <w:t>5.3.4</w:t>
            </w:r>
            <w:r w:rsidR="006F52AE">
              <w:rPr>
                <w:rFonts w:asciiTheme="minorHAnsi" w:eastAsiaTheme="minorEastAsia" w:hAnsiTheme="minorHAnsi" w:cstheme="minorBidi"/>
                <w:noProof/>
                <w:kern w:val="2"/>
                <w:sz w:val="24"/>
                <w:szCs w:val="24"/>
                <w:lang w:val="en-NZ" w:eastAsia="en-NZ"/>
                <w14:ligatures w14:val="standardContextual"/>
              </w:rPr>
              <w:tab/>
            </w:r>
            <w:r w:rsidR="006F52AE" w:rsidRPr="002116C3">
              <w:rPr>
                <w:rStyle w:val="Hyperlink"/>
                <w:noProof/>
              </w:rPr>
              <w:t>Testing for vitamin D insufficiency/deficiency</w:t>
            </w:r>
            <w:r w:rsidR="006F52AE">
              <w:rPr>
                <w:noProof/>
                <w:webHidden/>
              </w:rPr>
              <w:tab/>
            </w:r>
            <w:r w:rsidR="006F52AE">
              <w:rPr>
                <w:noProof/>
                <w:webHidden/>
              </w:rPr>
              <w:fldChar w:fldCharType="begin"/>
            </w:r>
            <w:r w:rsidR="006F52AE">
              <w:rPr>
                <w:noProof/>
                <w:webHidden/>
              </w:rPr>
              <w:instrText xml:space="preserve"> PAGEREF _Toc167269268 \h </w:instrText>
            </w:r>
            <w:r w:rsidR="006F52AE">
              <w:rPr>
                <w:noProof/>
                <w:webHidden/>
              </w:rPr>
            </w:r>
            <w:r w:rsidR="006F52AE">
              <w:rPr>
                <w:noProof/>
                <w:webHidden/>
              </w:rPr>
              <w:fldChar w:fldCharType="separate"/>
            </w:r>
            <w:r w:rsidR="006F52AE">
              <w:rPr>
                <w:noProof/>
                <w:webHidden/>
              </w:rPr>
              <w:t>12</w:t>
            </w:r>
            <w:r w:rsidR="006F52AE">
              <w:rPr>
                <w:noProof/>
                <w:webHidden/>
              </w:rPr>
              <w:fldChar w:fldCharType="end"/>
            </w:r>
          </w:hyperlink>
        </w:p>
        <w:p w14:paraId="5DE9BE5F" w14:textId="12BBCCBC" w:rsidR="006F52AE" w:rsidRDefault="0010208C">
          <w:pPr>
            <w:pStyle w:val="TOC2"/>
            <w:tabs>
              <w:tab w:val="left" w:pos="960"/>
              <w:tab w:val="right" w:leader="dot" w:pos="9016"/>
            </w:tabs>
            <w:rPr>
              <w:rFonts w:asciiTheme="minorHAnsi" w:eastAsiaTheme="minorEastAsia" w:hAnsiTheme="minorHAnsi" w:cstheme="minorBidi"/>
              <w:noProof/>
              <w:kern w:val="2"/>
              <w:sz w:val="24"/>
              <w:szCs w:val="24"/>
              <w:lang w:val="en-NZ" w:eastAsia="en-NZ"/>
              <w14:ligatures w14:val="standardContextual"/>
            </w:rPr>
          </w:pPr>
          <w:hyperlink w:anchor="_Toc167269269" w:history="1">
            <w:r w:rsidR="006F52AE" w:rsidRPr="002116C3">
              <w:rPr>
                <w:rStyle w:val="Hyperlink"/>
                <w:noProof/>
              </w:rPr>
              <w:t>5.4</w:t>
            </w:r>
            <w:r w:rsidR="006F52AE">
              <w:rPr>
                <w:rFonts w:asciiTheme="minorHAnsi" w:eastAsiaTheme="minorEastAsia" w:hAnsiTheme="minorHAnsi" w:cstheme="minorBidi"/>
                <w:noProof/>
                <w:kern w:val="2"/>
                <w:sz w:val="24"/>
                <w:szCs w:val="24"/>
                <w:lang w:val="en-NZ" w:eastAsia="en-NZ"/>
                <w14:ligatures w14:val="standardContextual"/>
              </w:rPr>
              <w:tab/>
            </w:r>
            <w:r w:rsidR="006F52AE" w:rsidRPr="002116C3">
              <w:rPr>
                <w:rStyle w:val="Hyperlink"/>
                <w:noProof/>
              </w:rPr>
              <w:t>Vitamin D deficiency may be associated with adverse maternal and infant health outcomes</w:t>
            </w:r>
            <w:r w:rsidR="006F52AE">
              <w:rPr>
                <w:noProof/>
                <w:webHidden/>
              </w:rPr>
              <w:tab/>
            </w:r>
            <w:r w:rsidR="006F52AE">
              <w:rPr>
                <w:noProof/>
                <w:webHidden/>
              </w:rPr>
              <w:fldChar w:fldCharType="begin"/>
            </w:r>
            <w:r w:rsidR="006F52AE">
              <w:rPr>
                <w:noProof/>
                <w:webHidden/>
              </w:rPr>
              <w:instrText xml:space="preserve"> PAGEREF _Toc167269269 \h </w:instrText>
            </w:r>
            <w:r w:rsidR="006F52AE">
              <w:rPr>
                <w:noProof/>
                <w:webHidden/>
              </w:rPr>
            </w:r>
            <w:r w:rsidR="006F52AE">
              <w:rPr>
                <w:noProof/>
                <w:webHidden/>
              </w:rPr>
              <w:fldChar w:fldCharType="separate"/>
            </w:r>
            <w:r w:rsidR="006F52AE">
              <w:rPr>
                <w:noProof/>
                <w:webHidden/>
              </w:rPr>
              <w:t>14</w:t>
            </w:r>
            <w:r w:rsidR="006F52AE">
              <w:rPr>
                <w:noProof/>
                <w:webHidden/>
              </w:rPr>
              <w:fldChar w:fldCharType="end"/>
            </w:r>
          </w:hyperlink>
        </w:p>
        <w:p w14:paraId="6B391A07" w14:textId="47D69454" w:rsidR="006F52AE" w:rsidRDefault="0010208C">
          <w:pPr>
            <w:pStyle w:val="TOC3"/>
            <w:tabs>
              <w:tab w:val="left" w:pos="1200"/>
              <w:tab w:val="right" w:leader="dot" w:pos="9016"/>
            </w:tabs>
            <w:rPr>
              <w:rFonts w:asciiTheme="minorHAnsi" w:eastAsiaTheme="minorEastAsia" w:hAnsiTheme="minorHAnsi" w:cstheme="minorBidi"/>
              <w:noProof/>
              <w:kern w:val="2"/>
              <w:sz w:val="24"/>
              <w:szCs w:val="24"/>
              <w:lang w:val="en-NZ" w:eastAsia="en-NZ"/>
              <w14:ligatures w14:val="standardContextual"/>
            </w:rPr>
          </w:pPr>
          <w:hyperlink w:anchor="_Toc167269270" w:history="1">
            <w:r w:rsidR="006F52AE" w:rsidRPr="002116C3">
              <w:rPr>
                <w:rStyle w:val="Hyperlink"/>
                <w:noProof/>
              </w:rPr>
              <w:t>5.4.1</w:t>
            </w:r>
            <w:r w:rsidR="006F52AE">
              <w:rPr>
                <w:rFonts w:asciiTheme="minorHAnsi" w:eastAsiaTheme="minorEastAsia" w:hAnsiTheme="minorHAnsi" w:cstheme="minorBidi"/>
                <w:noProof/>
                <w:kern w:val="2"/>
                <w:sz w:val="24"/>
                <w:szCs w:val="24"/>
                <w:lang w:val="en-NZ" w:eastAsia="en-NZ"/>
                <w14:ligatures w14:val="standardContextual"/>
              </w:rPr>
              <w:tab/>
            </w:r>
            <w:r w:rsidR="006F52AE" w:rsidRPr="002116C3">
              <w:rPr>
                <w:rStyle w:val="Hyperlink"/>
                <w:noProof/>
              </w:rPr>
              <w:t>Maternal health outcomes</w:t>
            </w:r>
            <w:r w:rsidR="006F52AE">
              <w:rPr>
                <w:noProof/>
                <w:webHidden/>
              </w:rPr>
              <w:tab/>
            </w:r>
            <w:r w:rsidR="006F52AE">
              <w:rPr>
                <w:noProof/>
                <w:webHidden/>
              </w:rPr>
              <w:fldChar w:fldCharType="begin"/>
            </w:r>
            <w:r w:rsidR="006F52AE">
              <w:rPr>
                <w:noProof/>
                <w:webHidden/>
              </w:rPr>
              <w:instrText xml:space="preserve"> PAGEREF _Toc167269270 \h </w:instrText>
            </w:r>
            <w:r w:rsidR="006F52AE">
              <w:rPr>
                <w:noProof/>
                <w:webHidden/>
              </w:rPr>
            </w:r>
            <w:r w:rsidR="006F52AE">
              <w:rPr>
                <w:noProof/>
                <w:webHidden/>
              </w:rPr>
              <w:fldChar w:fldCharType="separate"/>
            </w:r>
            <w:r w:rsidR="006F52AE">
              <w:rPr>
                <w:noProof/>
                <w:webHidden/>
              </w:rPr>
              <w:t>14</w:t>
            </w:r>
            <w:r w:rsidR="006F52AE">
              <w:rPr>
                <w:noProof/>
                <w:webHidden/>
              </w:rPr>
              <w:fldChar w:fldCharType="end"/>
            </w:r>
          </w:hyperlink>
        </w:p>
        <w:p w14:paraId="08A85E61" w14:textId="25DE0134" w:rsidR="006F52AE" w:rsidRDefault="0010208C">
          <w:pPr>
            <w:pStyle w:val="TOC3"/>
            <w:tabs>
              <w:tab w:val="left" w:pos="1200"/>
              <w:tab w:val="right" w:leader="dot" w:pos="9016"/>
            </w:tabs>
            <w:rPr>
              <w:rFonts w:asciiTheme="minorHAnsi" w:eastAsiaTheme="minorEastAsia" w:hAnsiTheme="minorHAnsi" w:cstheme="minorBidi"/>
              <w:noProof/>
              <w:kern w:val="2"/>
              <w:sz w:val="24"/>
              <w:szCs w:val="24"/>
              <w:lang w:val="en-NZ" w:eastAsia="en-NZ"/>
              <w14:ligatures w14:val="standardContextual"/>
            </w:rPr>
          </w:pPr>
          <w:hyperlink w:anchor="_Toc167269271" w:history="1">
            <w:r w:rsidR="006F52AE" w:rsidRPr="002116C3">
              <w:rPr>
                <w:rStyle w:val="Hyperlink"/>
                <w:noProof/>
              </w:rPr>
              <w:t>5.4.2</w:t>
            </w:r>
            <w:r w:rsidR="006F52AE">
              <w:rPr>
                <w:rFonts w:asciiTheme="minorHAnsi" w:eastAsiaTheme="minorEastAsia" w:hAnsiTheme="minorHAnsi" w:cstheme="minorBidi"/>
                <w:noProof/>
                <w:kern w:val="2"/>
                <w:sz w:val="24"/>
                <w:szCs w:val="24"/>
                <w:lang w:val="en-NZ" w:eastAsia="en-NZ"/>
                <w14:ligatures w14:val="standardContextual"/>
              </w:rPr>
              <w:tab/>
            </w:r>
            <w:r w:rsidR="006F52AE" w:rsidRPr="002116C3">
              <w:rPr>
                <w:rStyle w:val="Hyperlink"/>
                <w:noProof/>
              </w:rPr>
              <w:t>Infant health outcomes</w:t>
            </w:r>
            <w:r w:rsidR="006F52AE">
              <w:rPr>
                <w:noProof/>
                <w:webHidden/>
              </w:rPr>
              <w:tab/>
            </w:r>
            <w:r w:rsidR="006F52AE">
              <w:rPr>
                <w:noProof/>
                <w:webHidden/>
              </w:rPr>
              <w:fldChar w:fldCharType="begin"/>
            </w:r>
            <w:r w:rsidR="006F52AE">
              <w:rPr>
                <w:noProof/>
                <w:webHidden/>
              </w:rPr>
              <w:instrText xml:space="preserve"> PAGEREF _Toc167269271 \h </w:instrText>
            </w:r>
            <w:r w:rsidR="006F52AE">
              <w:rPr>
                <w:noProof/>
                <w:webHidden/>
              </w:rPr>
            </w:r>
            <w:r w:rsidR="006F52AE">
              <w:rPr>
                <w:noProof/>
                <w:webHidden/>
              </w:rPr>
              <w:fldChar w:fldCharType="separate"/>
            </w:r>
            <w:r w:rsidR="006F52AE">
              <w:rPr>
                <w:noProof/>
                <w:webHidden/>
              </w:rPr>
              <w:t>15</w:t>
            </w:r>
            <w:r w:rsidR="006F52AE">
              <w:rPr>
                <w:noProof/>
                <w:webHidden/>
              </w:rPr>
              <w:fldChar w:fldCharType="end"/>
            </w:r>
          </w:hyperlink>
        </w:p>
        <w:p w14:paraId="3E396F01" w14:textId="201F4DE8" w:rsidR="006F52AE" w:rsidRDefault="0010208C">
          <w:pPr>
            <w:pStyle w:val="TOC2"/>
            <w:tabs>
              <w:tab w:val="left" w:pos="960"/>
              <w:tab w:val="right" w:leader="dot" w:pos="9016"/>
            </w:tabs>
            <w:rPr>
              <w:rFonts w:asciiTheme="minorHAnsi" w:eastAsiaTheme="minorEastAsia" w:hAnsiTheme="minorHAnsi" w:cstheme="minorBidi"/>
              <w:noProof/>
              <w:kern w:val="2"/>
              <w:sz w:val="24"/>
              <w:szCs w:val="24"/>
              <w:lang w:val="en-NZ" w:eastAsia="en-NZ"/>
              <w14:ligatures w14:val="standardContextual"/>
            </w:rPr>
          </w:pPr>
          <w:hyperlink w:anchor="_Toc167269272" w:history="1">
            <w:r w:rsidR="006F52AE" w:rsidRPr="002116C3">
              <w:rPr>
                <w:rStyle w:val="Hyperlink"/>
                <w:noProof/>
              </w:rPr>
              <w:t>5.5</w:t>
            </w:r>
            <w:r w:rsidR="006F52AE">
              <w:rPr>
                <w:rFonts w:asciiTheme="minorHAnsi" w:eastAsiaTheme="minorEastAsia" w:hAnsiTheme="minorHAnsi" w:cstheme="minorBidi"/>
                <w:noProof/>
                <w:kern w:val="2"/>
                <w:sz w:val="24"/>
                <w:szCs w:val="24"/>
                <w:lang w:val="en-NZ" w:eastAsia="en-NZ"/>
                <w14:ligatures w14:val="standardContextual"/>
              </w:rPr>
              <w:tab/>
            </w:r>
            <w:r w:rsidR="006F52AE" w:rsidRPr="002116C3">
              <w:rPr>
                <w:rStyle w:val="Hyperlink"/>
                <w:noProof/>
              </w:rPr>
              <w:t>Supplementation may help to improve maternal and infant vitamin D levels and is unlikely to cause harm</w:t>
            </w:r>
            <w:r w:rsidR="006F52AE">
              <w:rPr>
                <w:noProof/>
                <w:webHidden/>
              </w:rPr>
              <w:tab/>
            </w:r>
            <w:r w:rsidR="006F52AE">
              <w:rPr>
                <w:noProof/>
                <w:webHidden/>
              </w:rPr>
              <w:fldChar w:fldCharType="begin"/>
            </w:r>
            <w:r w:rsidR="006F52AE">
              <w:rPr>
                <w:noProof/>
                <w:webHidden/>
              </w:rPr>
              <w:instrText xml:space="preserve"> PAGEREF _Toc167269272 \h </w:instrText>
            </w:r>
            <w:r w:rsidR="006F52AE">
              <w:rPr>
                <w:noProof/>
                <w:webHidden/>
              </w:rPr>
            </w:r>
            <w:r w:rsidR="006F52AE">
              <w:rPr>
                <w:noProof/>
                <w:webHidden/>
              </w:rPr>
              <w:fldChar w:fldCharType="separate"/>
            </w:r>
            <w:r w:rsidR="006F52AE">
              <w:rPr>
                <w:noProof/>
                <w:webHidden/>
              </w:rPr>
              <w:t>18</w:t>
            </w:r>
            <w:r w:rsidR="006F52AE">
              <w:rPr>
                <w:noProof/>
                <w:webHidden/>
              </w:rPr>
              <w:fldChar w:fldCharType="end"/>
            </w:r>
          </w:hyperlink>
        </w:p>
        <w:p w14:paraId="3C6442F2" w14:textId="78D90150" w:rsidR="006F52AE" w:rsidRDefault="0010208C">
          <w:pPr>
            <w:pStyle w:val="TOC2"/>
            <w:tabs>
              <w:tab w:val="left" w:pos="960"/>
              <w:tab w:val="right" w:leader="dot" w:pos="9016"/>
            </w:tabs>
            <w:rPr>
              <w:rFonts w:asciiTheme="minorHAnsi" w:eastAsiaTheme="minorEastAsia" w:hAnsiTheme="minorHAnsi" w:cstheme="minorBidi"/>
              <w:noProof/>
              <w:kern w:val="2"/>
              <w:sz w:val="24"/>
              <w:szCs w:val="24"/>
              <w:lang w:val="en-NZ" w:eastAsia="en-NZ"/>
              <w14:ligatures w14:val="standardContextual"/>
            </w:rPr>
          </w:pPr>
          <w:hyperlink w:anchor="_Toc167269273" w:history="1">
            <w:r w:rsidR="006F52AE" w:rsidRPr="002116C3">
              <w:rPr>
                <w:rStyle w:val="Hyperlink"/>
                <w:noProof/>
              </w:rPr>
              <w:t>5.6</w:t>
            </w:r>
            <w:r w:rsidR="006F52AE">
              <w:rPr>
                <w:rFonts w:asciiTheme="minorHAnsi" w:eastAsiaTheme="minorEastAsia" w:hAnsiTheme="minorHAnsi" w:cstheme="minorBidi"/>
                <w:noProof/>
                <w:kern w:val="2"/>
                <w:sz w:val="24"/>
                <w:szCs w:val="24"/>
                <w:lang w:val="en-NZ" w:eastAsia="en-NZ"/>
                <w14:ligatures w14:val="standardContextual"/>
              </w:rPr>
              <w:tab/>
            </w:r>
            <w:r w:rsidR="006F52AE" w:rsidRPr="002116C3">
              <w:rPr>
                <w:rStyle w:val="Hyperlink"/>
                <w:noProof/>
              </w:rPr>
              <w:t>Time outdoors and incidental sun exposure</w:t>
            </w:r>
            <w:r w:rsidR="006F52AE">
              <w:rPr>
                <w:noProof/>
                <w:webHidden/>
              </w:rPr>
              <w:tab/>
            </w:r>
            <w:r w:rsidR="006F52AE">
              <w:rPr>
                <w:noProof/>
                <w:webHidden/>
              </w:rPr>
              <w:fldChar w:fldCharType="begin"/>
            </w:r>
            <w:r w:rsidR="006F52AE">
              <w:rPr>
                <w:noProof/>
                <w:webHidden/>
              </w:rPr>
              <w:instrText xml:space="preserve"> PAGEREF _Toc167269273 \h </w:instrText>
            </w:r>
            <w:r w:rsidR="006F52AE">
              <w:rPr>
                <w:noProof/>
                <w:webHidden/>
              </w:rPr>
            </w:r>
            <w:r w:rsidR="006F52AE">
              <w:rPr>
                <w:noProof/>
                <w:webHidden/>
              </w:rPr>
              <w:fldChar w:fldCharType="separate"/>
            </w:r>
            <w:r w:rsidR="006F52AE">
              <w:rPr>
                <w:noProof/>
                <w:webHidden/>
              </w:rPr>
              <w:t>24</w:t>
            </w:r>
            <w:r w:rsidR="006F52AE">
              <w:rPr>
                <w:noProof/>
                <w:webHidden/>
              </w:rPr>
              <w:fldChar w:fldCharType="end"/>
            </w:r>
          </w:hyperlink>
        </w:p>
        <w:p w14:paraId="6D68FFA0" w14:textId="2B3F7546" w:rsidR="006F52AE" w:rsidRDefault="0010208C">
          <w:pPr>
            <w:pStyle w:val="TOC1"/>
            <w:rPr>
              <w:rFonts w:asciiTheme="minorHAnsi" w:eastAsiaTheme="minorEastAsia" w:hAnsiTheme="minorHAnsi" w:cstheme="minorBidi"/>
              <w:noProof/>
              <w:kern w:val="2"/>
              <w:sz w:val="24"/>
              <w:szCs w:val="24"/>
              <w:lang w:val="en-NZ" w:eastAsia="en-NZ"/>
              <w14:ligatures w14:val="standardContextual"/>
            </w:rPr>
          </w:pPr>
          <w:hyperlink w:anchor="_Toc167269274" w:history="1">
            <w:r w:rsidR="006F52AE" w:rsidRPr="002116C3">
              <w:rPr>
                <w:rStyle w:val="Hyperlink"/>
                <w:noProof/>
              </w:rPr>
              <w:t>6</w:t>
            </w:r>
            <w:r w:rsidR="006F52AE">
              <w:rPr>
                <w:rFonts w:asciiTheme="minorHAnsi" w:eastAsiaTheme="minorEastAsia" w:hAnsiTheme="minorHAnsi" w:cstheme="minorBidi"/>
                <w:noProof/>
                <w:kern w:val="2"/>
                <w:sz w:val="24"/>
                <w:szCs w:val="24"/>
                <w:lang w:val="en-NZ" w:eastAsia="en-NZ"/>
                <w14:ligatures w14:val="standardContextual"/>
              </w:rPr>
              <w:tab/>
            </w:r>
            <w:r w:rsidR="006F52AE" w:rsidRPr="002116C3">
              <w:rPr>
                <w:rStyle w:val="Hyperlink"/>
                <w:noProof/>
              </w:rPr>
              <w:t>Audit and research</w:t>
            </w:r>
            <w:r w:rsidR="006F52AE">
              <w:rPr>
                <w:noProof/>
                <w:webHidden/>
              </w:rPr>
              <w:tab/>
            </w:r>
            <w:r w:rsidR="006F52AE">
              <w:rPr>
                <w:noProof/>
                <w:webHidden/>
              </w:rPr>
              <w:fldChar w:fldCharType="begin"/>
            </w:r>
            <w:r w:rsidR="006F52AE">
              <w:rPr>
                <w:noProof/>
                <w:webHidden/>
              </w:rPr>
              <w:instrText xml:space="preserve"> PAGEREF _Toc167269274 \h </w:instrText>
            </w:r>
            <w:r w:rsidR="006F52AE">
              <w:rPr>
                <w:noProof/>
                <w:webHidden/>
              </w:rPr>
            </w:r>
            <w:r w:rsidR="006F52AE">
              <w:rPr>
                <w:noProof/>
                <w:webHidden/>
              </w:rPr>
              <w:fldChar w:fldCharType="separate"/>
            </w:r>
            <w:r w:rsidR="006F52AE">
              <w:rPr>
                <w:noProof/>
                <w:webHidden/>
              </w:rPr>
              <w:t>26</w:t>
            </w:r>
            <w:r w:rsidR="006F52AE">
              <w:rPr>
                <w:noProof/>
                <w:webHidden/>
              </w:rPr>
              <w:fldChar w:fldCharType="end"/>
            </w:r>
          </w:hyperlink>
        </w:p>
        <w:p w14:paraId="7023826D" w14:textId="5A97BBD9" w:rsidR="006F52AE" w:rsidRDefault="0010208C">
          <w:pPr>
            <w:pStyle w:val="TOC1"/>
            <w:rPr>
              <w:rFonts w:asciiTheme="minorHAnsi" w:eastAsiaTheme="minorEastAsia" w:hAnsiTheme="minorHAnsi" w:cstheme="minorBidi"/>
              <w:noProof/>
              <w:kern w:val="2"/>
              <w:sz w:val="24"/>
              <w:szCs w:val="24"/>
              <w:lang w:val="en-NZ" w:eastAsia="en-NZ"/>
              <w14:ligatures w14:val="standardContextual"/>
            </w:rPr>
          </w:pPr>
          <w:hyperlink w:anchor="_Toc167269275" w:history="1">
            <w:r w:rsidR="006F52AE" w:rsidRPr="002116C3">
              <w:rPr>
                <w:rStyle w:val="Hyperlink"/>
                <w:noProof/>
              </w:rPr>
              <w:t>Acknowledgements</w:t>
            </w:r>
            <w:r w:rsidR="006F52AE">
              <w:rPr>
                <w:noProof/>
                <w:webHidden/>
              </w:rPr>
              <w:tab/>
            </w:r>
            <w:r w:rsidR="006F52AE">
              <w:rPr>
                <w:noProof/>
                <w:webHidden/>
              </w:rPr>
              <w:fldChar w:fldCharType="begin"/>
            </w:r>
            <w:r w:rsidR="006F52AE">
              <w:rPr>
                <w:noProof/>
                <w:webHidden/>
              </w:rPr>
              <w:instrText xml:space="preserve"> PAGEREF _Toc167269275 \h </w:instrText>
            </w:r>
            <w:r w:rsidR="006F52AE">
              <w:rPr>
                <w:noProof/>
                <w:webHidden/>
              </w:rPr>
            </w:r>
            <w:r w:rsidR="006F52AE">
              <w:rPr>
                <w:noProof/>
                <w:webHidden/>
              </w:rPr>
              <w:fldChar w:fldCharType="separate"/>
            </w:r>
            <w:r w:rsidR="006F52AE">
              <w:rPr>
                <w:noProof/>
                <w:webHidden/>
              </w:rPr>
              <w:t>27</w:t>
            </w:r>
            <w:r w:rsidR="006F52AE">
              <w:rPr>
                <w:noProof/>
                <w:webHidden/>
              </w:rPr>
              <w:fldChar w:fldCharType="end"/>
            </w:r>
          </w:hyperlink>
        </w:p>
        <w:p w14:paraId="1D4F7F9E" w14:textId="7A1620D4" w:rsidR="006F52AE" w:rsidRDefault="0010208C">
          <w:pPr>
            <w:pStyle w:val="TOC1"/>
            <w:rPr>
              <w:rFonts w:asciiTheme="minorHAnsi" w:eastAsiaTheme="minorEastAsia" w:hAnsiTheme="minorHAnsi" w:cstheme="minorBidi"/>
              <w:noProof/>
              <w:kern w:val="2"/>
              <w:sz w:val="24"/>
              <w:szCs w:val="24"/>
              <w:lang w:val="en-NZ" w:eastAsia="en-NZ"/>
              <w14:ligatures w14:val="standardContextual"/>
            </w:rPr>
          </w:pPr>
          <w:hyperlink w:anchor="_Toc167269276" w:history="1">
            <w:r w:rsidR="006F52AE" w:rsidRPr="002116C3">
              <w:rPr>
                <w:rStyle w:val="Hyperlink"/>
                <w:noProof/>
              </w:rPr>
              <w:t>Appendix A: Cultural safety</w:t>
            </w:r>
            <w:r w:rsidR="006F52AE">
              <w:rPr>
                <w:noProof/>
                <w:webHidden/>
              </w:rPr>
              <w:tab/>
            </w:r>
            <w:r w:rsidR="006F52AE">
              <w:rPr>
                <w:noProof/>
                <w:webHidden/>
              </w:rPr>
              <w:fldChar w:fldCharType="begin"/>
            </w:r>
            <w:r w:rsidR="006F52AE">
              <w:rPr>
                <w:noProof/>
                <w:webHidden/>
              </w:rPr>
              <w:instrText xml:space="preserve"> PAGEREF _Toc167269276 \h </w:instrText>
            </w:r>
            <w:r w:rsidR="006F52AE">
              <w:rPr>
                <w:noProof/>
                <w:webHidden/>
              </w:rPr>
            </w:r>
            <w:r w:rsidR="006F52AE">
              <w:rPr>
                <w:noProof/>
                <w:webHidden/>
              </w:rPr>
              <w:fldChar w:fldCharType="separate"/>
            </w:r>
            <w:r w:rsidR="006F52AE">
              <w:rPr>
                <w:noProof/>
                <w:webHidden/>
              </w:rPr>
              <w:t>28</w:t>
            </w:r>
            <w:r w:rsidR="006F52AE">
              <w:rPr>
                <w:noProof/>
                <w:webHidden/>
              </w:rPr>
              <w:fldChar w:fldCharType="end"/>
            </w:r>
          </w:hyperlink>
        </w:p>
        <w:p w14:paraId="0DDF9928" w14:textId="1221440F" w:rsidR="006F52AE" w:rsidRDefault="0010208C">
          <w:pPr>
            <w:pStyle w:val="TOC1"/>
            <w:rPr>
              <w:rFonts w:asciiTheme="minorHAnsi" w:eastAsiaTheme="minorEastAsia" w:hAnsiTheme="minorHAnsi" w:cstheme="minorBidi"/>
              <w:noProof/>
              <w:kern w:val="2"/>
              <w:sz w:val="24"/>
              <w:szCs w:val="24"/>
              <w:lang w:val="en-NZ" w:eastAsia="en-NZ"/>
              <w14:ligatures w14:val="standardContextual"/>
            </w:rPr>
          </w:pPr>
          <w:hyperlink w:anchor="_Toc167269277" w:history="1">
            <w:r w:rsidR="006F52AE" w:rsidRPr="002116C3">
              <w:rPr>
                <w:rStyle w:val="Hyperlink"/>
                <w:noProof/>
              </w:rPr>
              <w:t>References</w:t>
            </w:r>
            <w:r w:rsidR="006F52AE">
              <w:rPr>
                <w:noProof/>
                <w:webHidden/>
              </w:rPr>
              <w:tab/>
            </w:r>
            <w:r w:rsidR="006F52AE">
              <w:rPr>
                <w:noProof/>
                <w:webHidden/>
              </w:rPr>
              <w:fldChar w:fldCharType="begin"/>
            </w:r>
            <w:r w:rsidR="006F52AE">
              <w:rPr>
                <w:noProof/>
                <w:webHidden/>
              </w:rPr>
              <w:instrText xml:space="preserve"> PAGEREF _Toc167269277 \h </w:instrText>
            </w:r>
            <w:r w:rsidR="006F52AE">
              <w:rPr>
                <w:noProof/>
                <w:webHidden/>
              </w:rPr>
            </w:r>
            <w:r w:rsidR="006F52AE">
              <w:rPr>
                <w:noProof/>
                <w:webHidden/>
              </w:rPr>
              <w:fldChar w:fldCharType="separate"/>
            </w:r>
            <w:r w:rsidR="006F52AE">
              <w:rPr>
                <w:noProof/>
                <w:webHidden/>
              </w:rPr>
              <w:t>29</w:t>
            </w:r>
            <w:r w:rsidR="006F52AE">
              <w:rPr>
                <w:noProof/>
                <w:webHidden/>
              </w:rPr>
              <w:fldChar w:fldCharType="end"/>
            </w:r>
          </w:hyperlink>
        </w:p>
        <w:p w14:paraId="3F91D258" w14:textId="31ABF8C0" w:rsidR="00652BA8" w:rsidRDefault="00652BA8">
          <w:r>
            <w:rPr>
              <w:b/>
              <w:bCs/>
              <w:noProof/>
            </w:rPr>
            <w:fldChar w:fldCharType="end"/>
          </w:r>
        </w:p>
      </w:sdtContent>
    </w:sdt>
    <w:p w14:paraId="40207C5B" w14:textId="56366A5A" w:rsidR="0007559D" w:rsidRDefault="0007559D">
      <w:pPr>
        <w:spacing w:line="259" w:lineRule="auto"/>
        <w:sectPr w:rsidR="0007559D" w:rsidSect="00764802">
          <w:headerReference w:type="default" r:id="rId12"/>
          <w:footerReference w:type="default" r:id="rId13"/>
          <w:headerReference w:type="first" r:id="rId14"/>
          <w:footerReference w:type="first" r:id="rId15"/>
          <w:pgSz w:w="11906" w:h="16838"/>
          <w:pgMar w:top="1530" w:right="1440" w:bottom="1702" w:left="1440" w:header="851" w:footer="199" w:gutter="0"/>
          <w:pgNumType w:start="0"/>
          <w:cols w:space="708"/>
          <w:titlePg/>
          <w:docGrid w:linePitch="360"/>
        </w:sectPr>
      </w:pPr>
    </w:p>
    <w:p w14:paraId="5976FD99" w14:textId="67B8B492" w:rsidR="0007559D" w:rsidRDefault="0010208C">
      <w:pPr>
        <w:spacing w:line="259" w:lineRule="auto"/>
        <w:rPr>
          <w:rFonts w:eastAsiaTheme="majorEastAsia"/>
          <w:b/>
          <w:bCs/>
          <w:noProof/>
          <w:color w:val="0C818F" w:themeColor="accent3"/>
          <w:sz w:val="32"/>
          <w:szCs w:val="120"/>
          <w:lang w:val="en-NZ"/>
        </w:rPr>
        <w:sectPr w:rsidR="0007559D" w:rsidSect="0007559D">
          <w:headerReference w:type="default" r:id="rId16"/>
          <w:headerReference w:type="first" r:id="rId17"/>
          <w:footerReference w:type="first" r:id="rId18"/>
          <w:pgSz w:w="16838" w:h="11906" w:orient="landscape"/>
          <w:pgMar w:top="1440" w:right="1530" w:bottom="1440" w:left="1702" w:header="851" w:footer="199" w:gutter="0"/>
          <w:cols w:space="708"/>
          <w:docGrid w:linePitch="360"/>
        </w:sectPr>
      </w:pPr>
      <w:r>
        <w:rPr>
          <w:noProof/>
        </w:rPr>
        <w:lastRenderedPageBreak/>
        <w:drawing>
          <wp:anchor distT="0" distB="0" distL="114300" distR="114300" simplePos="0" relativeHeight="251661314" behindDoc="1" locked="0" layoutInCell="1" allowOverlap="1" wp14:anchorId="57DE7D65" wp14:editId="6F28A17E">
            <wp:simplePos x="0" y="0"/>
            <wp:positionH relativeFrom="page">
              <wp:posOffset>-12700</wp:posOffset>
            </wp:positionH>
            <wp:positionV relativeFrom="paragraph">
              <wp:posOffset>-914400</wp:posOffset>
            </wp:positionV>
            <wp:extent cx="10685929" cy="7580364"/>
            <wp:effectExtent l="0" t="0" r="1270" b="1905"/>
            <wp:wrapNone/>
            <wp:docPr id="2116816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16392" name=""/>
                    <pic:cNvPicPr/>
                  </pic:nvPicPr>
                  <pic:blipFill>
                    <a:blip r:embed="rId19">
                      <a:extLst>
                        <a:ext uri="{28A0092B-C50C-407E-A947-70E740481C1C}">
                          <a14:useLocalDpi xmlns:a14="http://schemas.microsoft.com/office/drawing/2010/main" val="0"/>
                        </a:ext>
                      </a:extLst>
                    </a:blip>
                    <a:stretch>
                      <a:fillRect/>
                    </a:stretch>
                  </pic:blipFill>
                  <pic:spPr>
                    <a:xfrm>
                      <a:off x="0" y="0"/>
                      <a:ext cx="10685929" cy="7580364"/>
                    </a:xfrm>
                    <a:prstGeom prst="rect">
                      <a:avLst/>
                    </a:prstGeom>
                  </pic:spPr>
                </pic:pic>
              </a:graphicData>
            </a:graphic>
            <wp14:sizeRelH relativeFrom="margin">
              <wp14:pctWidth>0</wp14:pctWidth>
            </wp14:sizeRelH>
            <wp14:sizeRelV relativeFrom="margin">
              <wp14:pctHeight>0</wp14:pctHeight>
            </wp14:sizeRelV>
          </wp:anchor>
        </w:drawing>
      </w:r>
      <w:r w:rsidR="00D97D3B" w:rsidRPr="00D97D3B">
        <w:rPr>
          <w:noProof/>
        </w:rPr>
        <w:drawing>
          <wp:anchor distT="0" distB="0" distL="114300" distR="114300" simplePos="0" relativeHeight="251659266" behindDoc="0" locked="0" layoutInCell="1" allowOverlap="1" wp14:anchorId="616F8F03" wp14:editId="128B6CF2">
            <wp:simplePos x="0" y="0"/>
            <wp:positionH relativeFrom="column">
              <wp:posOffset>8000885</wp:posOffset>
            </wp:positionH>
            <wp:positionV relativeFrom="paragraph">
              <wp:posOffset>-914400</wp:posOffset>
            </wp:positionV>
            <wp:extent cx="1950572" cy="546555"/>
            <wp:effectExtent l="0" t="0" r="0" b="6350"/>
            <wp:wrapNone/>
            <wp:docPr id="416956877" name="Picture 1" descr="A white background with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56877" name="Picture 1" descr="A white background with triangl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0229" cy="563271"/>
                    </a:xfrm>
                    <a:prstGeom prst="rect">
                      <a:avLst/>
                    </a:prstGeom>
                  </pic:spPr>
                </pic:pic>
              </a:graphicData>
            </a:graphic>
            <wp14:sizeRelH relativeFrom="margin">
              <wp14:pctWidth>0</wp14:pctWidth>
            </wp14:sizeRelH>
            <wp14:sizeRelV relativeFrom="margin">
              <wp14:pctHeight>0</wp14:pctHeight>
            </wp14:sizeRelV>
          </wp:anchor>
        </w:drawing>
      </w:r>
    </w:p>
    <w:p w14:paraId="63A6A659" w14:textId="65DA4E62" w:rsidR="00CA0C05" w:rsidRDefault="00EB7710" w:rsidP="00EB7710">
      <w:pPr>
        <w:pStyle w:val="Heading1"/>
      </w:pPr>
      <w:bookmarkStart w:id="0" w:name="_Toc167269255"/>
      <w:r>
        <w:lastRenderedPageBreak/>
        <w:t>Purpose of this Companion Statement</w:t>
      </w:r>
      <w:bookmarkEnd w:id="0"/>
    </w:p>
    <w:p w14:paraId="29A92FCB" w14:textId="77777777" w:rsidR="00EB7710" w:rsidRPr="00EB7710" w:rsidRDefault="00EB7710" w:rsidP="00EB7710">
      <w:pPr>
        <w:rPr>
          <w:b/>
          <w:bCs/>
          <w:lang w:val="en-NZ"/>
        </w:rPr>
      </w:pPr>
      <w:r w:rsidRPr="00EB7710">
        <w:rPr>
          <w:lang w:val="en-NZ"/>
        </w:rPr>
        <w:t xml:space="preserve">This Companion Statement provides information about vitamin D and sun exposure in pregnancy and infancy (0–2 years). This Companion Statement is evidence-informed and based on expert consensus from the Steering Group. It should be read in conjunction with the </w:t>
      </w:r>
      <w:hyperlink r:id="rId21" w:history="1">
        <w:r w:rsidRPr="00EB7710">
          <w:rPr>
            <w:rStyle w:val="Hyperlink"/>
            <w:b/>
            <w:i/>
            <w:lang w:val="en-NZ"/>
          </w:rPr>
          <w:t>Consensus Statement on Vitamin D and Sun Exposure in New Zealand</w:t>
        </w:r>
      </w:hyperlink>
      <w:r w:rsidRPr="00EB7710">
        <w:rPr>
          <w:b/>
          <w:bCs/>
          <w:i/>
          <w:lang w:val="en-NZ"/>
        </w:rPr>
        <w:t xml:space="preserve"> </w:t>
      </w:r>
      <w:r w:rsidRPr="00EB7710">
        <w:rPr>
          <w:b/>
          <w:bCs/>
          <w:lang w:val="en-NZ"/>
        </w:rPr>
        <w:fldChar w:fldCharType="begin"/>
      </w:r>
      <w:r w:rsidRPr="00EB7710">
        <w:rPr>
          <w:b/>
          <w:bCs/>
          <w:lang w:val="en-NZ"/>
        </w:rPr>
        <w:instrText xml:space="preserve"> ADDIN ZOTERO_ITEM CSL_CITATION {"citationID":"88ICBOSt","properties":{"formattedCitation":"(Ministry of Health and Cancer Society, 2012)","plainCitation":"(Ministry of Health and Cancer Society, 2012)","noteIndex":0},"citationItems":[{"id":1054,"uris":["http://zotero.org/groups/5078394/items/JT9ZXZD9"],"itemData":{"id":1054,"type":"article-journal","language":"en","source":"Zotero","title":"Consensus Statement on Vitamin D and Sun Exposure in New Zealand","author":[{"family":"Ministry of Health and Cancer Society","given":""}],"issued":{"date-parts":[["2012"]]}}}],"schema":"https://github.com/citation-style-language/schema/raw/master/csl-citation.json"} </w:instrText>
      </w:r>
      <w:r w:rsidRPr="00EB7710">
        <w:rPr>
          <w:b/>
          <w:bCs/>
          <w:lang w:val="en-NZ"/>
        </w:rPr>
        <w:fldChar w:fldCharType="separate"/>
      </w:r>
      <w:r w:rsidRPr="00EB7710">
        <w:rPr>
          <w:lang w:val="en-NZ"/>
        </w:rPr>
        <w:t>(Ministry of Health and Cancer Society, 2012)</w:t>
      </w:r>
      <w:r w:rsidRPr="00EB7710">
        <w:rPr>
          <w:lang w:val="en-NZ"/>
        </w:rPr>
        <w:fldChar w:fldCharType="end"/>
      </w:r>
      <w:r w:rsidRPr="00EB7710">
        <w:rPr>
          <w:lang w:val="en-NZ"/>
        </w:rPr>
        <w:t xml:space="preserve">, the </w:t>
      </w:r>
      <w:hyperlink r:id="rId22" w:history="1">
        <w:proofErr w:type="spellStart"/>
        <w:r w:rsidRPr="00EB7710">
          <w:rPr>
            <w:rStyle w:val="Hyperlink"/>
            <w:b/>
            <w:i/>
            <w:iCs/>
            <w:lang w:val="en-NZ"/>
          </w:rPr>
          <w:t>Ngā</w:t>
        </w:r>
        <w:proofErr w:type="spellEnd"/>
        <w:r w:rsidRPr="00EB7710">
          <w:rPr>
            <w:rStyle w:val="Hyperlink"/>
            <w:b/>
            <w:i/>
            <w:iCs/>
            <w:lang w:val="en-NZ"/>
          </w:rPr>
          <w:t xml:space="preserve"> </w:t>
        </w:r>
        <w:proofErr w:type="spellStart"/>
        <w:r w:rsidRPr="00EB7710">
          <w:rPr>
            <w:rStyle w:val="Hyperlink"/>
            <w:b/>
            <w:i/>
            <w:iCs/>
            <w:lang w:val="en-NZ"/>
          </w:rPr>
          <w:t>Paerewa</w:t>
        </w:r>
        <w:proofErr w:type="spellEnd"/>
        <w:r w:rsidRPr="00EB7710">
          <w:rPr>
            <w:rStyle w:val="Hyperlink"/>
            <w:b/>
            <w:i/>
            <w:iCs/>
            <w:lang w:val="en-NZ"/>
          </w:rPr>
          <w:t xml:space="preserve"> Health and Disability Services Standard 8134:2021</w:t>
        </w:r>
      </w:hyperlink>
      <w:r w:rsidRPr="00EB7710">
        <w:rPr>
          <w:i/>
          <w:iCs/>
          <w:lang w:val="en-NZ"/>
        </w:rPr>
        <w:t xml:space="preserve"> </w:t>
      </w:r>
      <w:r w:rsidRPr="00EB7710">
        <w:rPr>
          <w:i/>
          <w:iCs/>
          <w:lang w:val="en-NZ"/>
        </w:rPr>
        <w:fldChar w:fldCharType="begin"/>
      </w:r>
      <w:r w:rsidRPr="00EB7710">
        <w:rPr>
          <w:i/>
          <w:iCs/>
          <w:lang w:val="en-NZ"/>
        </w:rPr>
        <w:instrText xml:space="preserve"> ADDIN ZOTERO_ITEM CSL_CITATION {"citationID":"UaMB22r1","properties":{"formattedCitation":"(Standards New Zealand, 2021)","plainCitation":"(Standards New Zealand, 2021)","noteIndex":0},"citationItems":[{"id":1055,"uris":["http://zotero.org/groups/5078394/items/FQMBZECX"],"itemData":{"id":1055,"type":"document","publisher":"Ministry of Health","title":"Ngā Paerewa Health and Disability Services Standard 8134:2021","author":[{"family":"Standards New Zealand","given":""}],"issued":{"date-parts":[["2021"]]}}}],"schema":"https://github.com/citation-style-language/schema/raw/master/csl-citation.json"} </w:instrText>
      </w:r>
      <w:r w:rsidRPr="00EB7710">
        <w:rPr>
          <w:i/>
          <w:iCs/>
          <w:lang w:val="en-NZ"/>
        </w:rPr>
        <w:fldChar w:fldCharType="separate"/>
      </w:r>
      <w:r w:rsidRPr="00EB7710">
        <w:rPr>
          <w:lang w:val="en-NZ"/>
        </w:rPr>
        <w:t>(Standards New Zealand, 2021)</w:t>
      </w:r>
      <w:r w:rsidRPr="00EB7710">
        <w:rPr>
          <w:lang w:val="en-NZ"/>
        </w:rPr>
        <w:fldChar w:fldCharType="end"/>
      </w:r>
      <w:r w:rsidRPr="00EB7710">
        <w:rPr>
          <w:i/>
          <w:iCs/>
          <w:lang w:val="en-NZ"/>
        </w:rPr>
        <w:t xml:space="preserve"> </w:t>
      </w:r>
      <w:r w:rsidRPr="00EB7710">
        <w:rPr>
          <w:lang w:val="en-NZ"/>
        </w:rPr>
        <w:t xml:space="preserve">and the corresponding sector guidance. </w:t>
      </w:r>
      <w:proofErr w:type="spellStart"/>
      <w:r w:rsidRPr="00EB7710">
        <w:rPr>
          <w:i/>
          <w:iCs/>
          <w:lang w:val="en-NZ"/>
        </w:rPr>
        <w:t>Ngā</w:t>
      </w:r>
      <w:proofErr w:type="spellEnd"/>
      <w:r w:rsidRPr="00EB7710">
        <w:rPr>
          <w:i/>
          <w:iCs/>
          <w:lang w:val="en-NZ"/>
        </w:rPr>
        <w:t xml:space="preserve"> </w:t>
      </w:r>
      <w:proofErr w:type="spellStart"/>
      <w:r w:rsidRPr="00EB7710">
        <w:rPr>
          <w:i/>
          <w:iCs/>
          <w:lang w:val="en-NZ"/>
        </w:rPr>
        <w:t>Paerewa</w:t>
      </w:r>
      <w:proofErr w:type="spellEnd"/>
      <w:r w:rsidRPr="00EB7710">
        <w:rPr>
          <w:lang w:val="en-NZ"/>
        </w:rPr>
        <w:t xml:space="preserve"> provides a suite of information about best-practice health service provision.</w:t>
      </w:r>
    </w:p>
    <w:p w14:paraId="1A817FAA" w14:textId="39B66532" w:rsidR="00EB7710" w:rsidRDefault="00EB7710" w:rsidP="00EB7710">
      <w:pPr>
        <w:pStyle w:val="Heading1"/>
      </w:pPr>
      <w:bookmarkStart w:id="1" w:name="_Toc167269256"/>
      <w:r>
        <w:t>Need for this Companion Statement</w:t>
      </w:r>
      <w:bookmarkEnd w:id="1"/>
    </w:p>
    <w:p w14:paraId="042ADF5F" w14:textId="77777777" w:rsidR="00EB7710" w:rsidRPr="00EB7710" w:rsidRDefault="00EB7710" w:rsidP="00EB7710">
      <w:pPr>
        <w:rPr>
          <w:lang w:val="en-NZ"/>
        </w:rPr>
      </w:pPr>
      <w:r w:rsidRPr="00EB7710">
        <w:rPr>
          <w:lang w:val="en-NZ"/>
        </w:rPr>
        <w:t xml:space="preserve">Vitamin D helps to maintain calcium and phosphate homeostasis in our body and optimises bone health and muscle function. Low levels of vitamin D are linked to </w:t>
      </w:r>
      <w:proofErr w:type="spellStart"/>
      <w:r w:rsidRPr="00EB7710">
        <w:rPr>
          <w:lang w:val="en-NZ"/>
        </w:rPr>
        <w:t>hypocalcaemic</w:t>
      </w:r>
      <w:proofErr w:type="spellEnd"/>
      <w:r w:rsidRPr="00EB7710">
        <w:rPr>
          <w:lang w:val="en-NZ"/>
        </w:rPr>
        <w:t xml:space="preserve"> seizures and bone conditions such as rickets in children, and osteoporosis and </w:t>
      </w:r>
      <w:proofErr w:type="spellStart"/>
      <w:r w:rsidRPr="00EB7710">
        <w:rPr>
          <w:lang w:val="en-NZ"/>
        </w:rPr>
        <w:t>osteomalacia</w:t>
      </w:r>
      <w:proofErr w:type="spellEnd"/>
      <w:r w:rsidRPr="00EB7710">
        <w:rPr>
          <w:lang w:val="en-NZ"/>
        </w:rPr>
        <w:t xml:space="preserve"> in adults. </w:t>
      </w:r>
    </w:p>
    <w:p w14:paraId="7BC7F5FB" w14:textId="77777777" w:rsidR="00EB7710" w:rsidRPr="00EB7710" w:rsidRDefault="00EB7710" w:rsidP="00EB7710">
      <w:pPr>
        <w:rPr>
          <w:lang w:val="en-NZ"/>
        </w:rPr>
      </w:pPr>
      <w:r w:rsidRPr="00EB7710">
        <w:rPr>
          <w:lang w:val="en-NZ"/>
        </w:rPr>
        <w:t xml:space="preserve">The advice provided in this Companion Statement assumes that an adequate intake of calcium is maintained in pregnancy. During pregnancy, the foetus requires a large amount of calcium for skeletal development, especially in the third trimester (from 28+0 weeks’ gestation until birth). To meet this demand, maternal production of 1,25-dihydroxyvitamin D (1,25(OH)D) increases, which improves the efficiency of intestinal calcium absorption, </w:t>
      </w:r>
      <w:proofErr w:type="gramStart"/>
      <w:r w:rsidRPr="00EB7710">
        <w:rPr>
          <w:lang w:val="en-NZ"/>
        </w:rPr>
        <w:t>and also</w:t>
      </w:r>
      <w:proofErr w:type="gramEnd"/>
      <w:r w:rsidRPr="00EB7710">
        <w:rPr>
          <w:lang w:val="en-NZ"/>
        </w:rPr>
        <w:t xml:space="preserve"> mobilises calcium from maternal bones if needed. </w:t>
      </w:r>
    </w:p>
    <w:p w14:paraId="4134A069" w14:textId="77777777" w:rsidR="00EB7710" w:rsidRPr="00EB7710" w:rsidRDefault="00EB7710" w:rsidP="00EB7710">
      <w:pPr>
        <w:rPr>
          <w:lang w:val="en-NZ"/>
        </w:rPr>
      </w:pPr>
      <w:r w:rsidRPr="00EB7710">
        <w:rPr>
          <w:lang w:val="en-NZ"/>
        </w:rPr>
        <w:t xml:space="preserve">Serum 1,25(OH)D levels and maternal calcium absorption peak in the third trimester </w:t>
      </w:r>
      <w:r w:rsidRPr="00EB7710">
        <w:rPr>
          <w:lang w:val="en-NZ"/>
        </w:rPr>
        <w:fldChar w:fldCharType="begin"/>
      </w:r>
      <w:r w:rsidRPr="00EB7710">
        <w:rPr>
          <w:lang w:val="en-NZ"/>
        </w:rPr>
        <w:instrText xml:space="preserve"> ADDIN ZOTERO_ITEM CSL_CITATION {"citationID":"XNYHQc57","properties":{"formattedCitation":"(Specker, 2004)","plainCitation":"(Specker, 2004)","noteIndex":0},"citationItems":[{"id":1020,"uris":["http://zotero.org/groups/5078394/items/3KSYBNPZ"],"itemData":{"id":1020,"type":"article-journal","container-title":"American Journal of Clinical Nutrition","title":"Vitamin D requirements during pregnancy.","volume":"80(6): 1740S–47S.","author":[{"family":"Specker","given":"B. 2004."}],"issued":{"date-parts":[["2004"]]}}}],"schema":"https://github.com/citation-style-language/schema/raw/master/csl-citation.json"} </w:instrText>
      </w:r>
      <w:r w:rsidRPr="00EB7710">
        <w:rPr>
          <w:lang w:val="en-NZ"/>
        </w:rPr>
        <w:fldChar w:fldCharType="separate"/>
      </w:r>
      <w:r w:rsidRPr="00EB7710">
        <w:rPr>
          <w:lang w:val="en-NZ"/>
        </w:rPr>
        <w:t>(Specker, 2004)</w:t>
      </w:r>
      <w:r w:rsidRPr="00EB7710">
        <w:rPr>
          <w:lang w:val="en-NZ"/>
        </w:rPr>
        <w:fldChar w:fldCharType="end"/>
      </w:r>
      <w:r w:rsidRPr="00EB7710">
        <w:rPr>
          <w:lang w:val="en-NZ"/>
        </w:rPr>
        <w:t xml:space="preserve">. This increase in 1,25(OH)D is dependent on available 25-dihydroxyvitamin D (25(OH)D), the biomarker of vitamin D status. </w:t>
      </w:r>
    </w:p>
    <w:p w14:paraId="0C1C400F" w14:textId="77777777" w:rsidR="00EB7710" w:rsidRPr="00EB7710" w:rsidRDefault="00EB7710" w:rsidP="00EB7710">
      <w:pPr>
        <w:rPr>
          <w:lang w:val="en-NZ"/>
        </w:rPr>
      </w:pPr>
      <w:r w:rsidRPr="00EB7710">
        <w:rPr>
          <w:lang w:val="en-NZ"/>
        </w:rPr>
        <w:t xml:space="preserve">Neonatal vitamin D status is directly related to maternal vitamin D status through trans-placental transfer of vitamin D </w:t>
      </w:r>
      <w:r w:rsidRPr="00EB7710">
        <w:rPr>
          <w:lang w:val="en-NZ"/>
        </w:rPr>
        <w:fldChar w:fldCharType="begin"/>
      </w:r>
      <w:r w:rsidRPr="00EB7710">
        <w:rPr>
          <w:lang w:val="en-NZ"/>
        </w:rPr>
        <w:instrText xml:space="preserve"> ADDIN ZOTERO_ITEM CSL_CITATION {"citationID":"aqyUx9K8","properties":{"formattedCitation":"(Hollis, 2007)","plainCitation":"(Hollis, 2007)","noteIndex":0},"citationItems":[{"id":1022,"uris":["http://zotero.org/groups/5078394/items/F3X68KSZ"],"itemData":{"id":1022,"type":"article-journal","abstract":"The current recommended dietary requirement for vitamin D intake (200 IU/d) during pregnancy and lactation is based on little, if any, scientific evidence, and as a result is clinically irrelevant with respect to maintaining nutritional vitamin D status during these demanding human conditions. Current research has shown that the actual dietary requirement during pregnancy and lactation may actually be as high as 6000 IU/d. Current data on which these new recommendations could be based are presented.","container-title":"Journal of Bone and Mineral Research","page":"V39–44","title":"Vitamin D Requirement During Pregnancy and Lactation","volume":"22","author":[{"family":"Hollis","given":"B. W."}],"issued":{"date-parts":[["2007"]]}}}],"schema":"https://github.com/citation-style-language/schema/raw/master/csl-citation.json"} </w:instrText>
      </w:r>
      <w:r w:rsidRPr="00EB7710">
        <w:rPr>
          <w:lang w:val="en-NZ"/>
        </w:rPr>
        <w:fldChar w:fldCharType="separate"/>
      </w:r>
      <w:r w:rsidRPr="00EB7710">
        <w:rPr>
          <w:lang w:val="en-NZ"/>
        </w:rPr>
        <w:t>(Hollis, 2007)</w:t>
      </w:r>
      <w:r w:rsidRPr="00EB7710">
        <w:rPr>
          <w:lang w:val="en-NZ"/>
        </w:rPr>
        <w:fldChar w:fldCharType="end"/>
      </w:r>
      <w:r w:rsidRPr="00EB7710">
        <w:rPr>
          <w:lang w:val="en-NZ"/>
        </w:rPr>
        <w:t xml:space="preserve">. Therefore, maternal vitamin D deficiency places the infant at a higher risk of vitamin D deficiency. As vitamin D stores are laid down predominantly in the third trimester, premature infants are also at a higher risk of vitamin D deficiency postnatally. </w:t>
      </w:r>
    </w:p>
    <w:p w14:paraId="4A80BA73" w14:textId="60F000C1" w:rsidR="00EB7710" w:rsidRDefault="00EB7710" w:rsidP="00EB7710">
      <w:pPr>
        <w:pStyle w:val="Heading1"/>
      </w:pPr>
      <w:bookmarkStart w:id="2" w:name="_Toc167269257"/>
      <w:r>
        <w:t>Intended users of this Companion Statement</w:t>
      </w:r>
      <w:bookmarkEnd w:id="2"/>
    </w:p>
    <w:p w14:paraId="0555F7BF" w14:textId="77777777" w:rsidR="00EB7710" w:rsidRPr="00EB7710" w:rsidRDefault="00EB7710" w:rsidP="00EB7710">
      <w:pPr>
        <w:rPr>
          <w:lang w:val="en-NZ"/>
        </w:rPr>
      </w:pPr>
      <w:r w:rsidRPr="00EB7710">
        <w:rPr>
          <w:lang w:val="en-NZ"/>
        </w:rPr>
        <w:t xml:space="preserve">This Companion Statement is written for health practitioners involved in antenatal and postpartum care and in the care of infants up to age two years in Aotearoa New Zealand. This includes midwives, nurses, obstetricians, neonatologists, paediatricians, lactation consultants and general practitioners. </w:t>
      </w:r>
    </w:p>
    <w:p w14:paraId="4E0E03D2" w14:textId="77777777" w:rsidR="00EB7710" w:rsidRPr="00EB7710" w:rsidRDefault="00EB7710" w:rsidP="00EB7710">
      <w:pPr>
        <w:rPr>
          <w:lang w:val="en-NZ"/>
        </w:rPr>
      </w:pPr>
      <w:r w:rsidRPr="00EB7710">
        <w:rPr>
          <w:lang w:val="en-NZ"/>
        </w:rPr>
        <w:t xml:space="preserve">Health practitioners can use this Companion Statement to support their clinical judgement, knowledge and expertise and provide for a timely, </w:t>
      </w:r>
      <w:proofErr w:type="gramStart"/>
      <w:r w:rsidRPr="00EB7710">
        <w:rPr>
          <w:lang w:val="en-NZ"/>
        </w:rPr>
        <w:t>consistent</w:t>
      </w:r>
      <w:proofErr w:type="gramEnd"/>
      <w:r w:rsidRPr="00EB7710">
        <w:rPr>
          <w:lang w:val="en-NZ"/>
        </w:rPr>
        <w:t xml:space="preserve"> and effective approach to inform antenatal and postpartum maternity care, paediatric care, primary care and early childhood care discussions about vitamin D and sun exposure with whānau. </w:t>
      </w:r>
    </w:p>
    <w:p w14:paraId="0AB57A4A" w14:textId="77777777" w:rsidR="00EB7710" w:rsidRPr="00EB7710" w:rsidRDefault="00EB7710" w:rsidP="00EB7710">
      <w:pPr>
        <w:rPr>
          <w:lang w:val="en-NZ"/>
        </w:rPr>
      </w:pPr>
      <w:r w:rsidRPr="00EB7710">
        <w:rPr>
          <w:lang w:val="en-NZ"/>
        </w:rPr>
        <w:t xml:space="preserve">Health practitioners are responsible for appropriately documenting discussions and decisions in individual health records. </w:t>
      </w:r>
    </w:p>
    <w:p w14:paraId="6F212B0B" w14:textId="77777777" w:rsidR="00EB7710" w:rsidRPr="00EB7710" w:rsidRDefault="00EB7710" w:rsidP="00EB7710">
      <w:pPr>
        <w:rPr>
          <w:lang w:val="en-NZ"/>
        </w:rPr>
      </w:pPr>
      <w:r w:rsidRPr="00EB7710">
        <w:rPr>
          <w:lang w:val="en-NZ"/>
        </w:rPr>
        <w:lastRenderedPageBreak/>
        <w:t xml:space="preserve">Whānau can use this Companion Statement to understand their risk of vitamin D deficiency in pregnancy, the outcomes associated with insufficiency or deficiency in pregnancy and how to seek treatment for vitamin D deficiency. </w:t>
      </w:r>
    </w:p>
    <w:p w14:paraId="7D6D00DF" w14:textId="47266BE6" w:rsidR="00EB7710" w:rsidRDefault="00EB7710" w:rsidP="00EB7710">
      <w:pPr>
        <w:pStyle w:val="Heading1"/>
      </w:pPr>
      <w:bookmarkStart w:id="3" w:name="_Toc167269258"/>
      <w:r>
        <w:t>Te Tiriti o Waitangi</w:t>
      </w:r>
      <w:bookmarkEnd w:id="3"/>
    </w:p>
    <w:p w14:paraId="41DFCFA4" w14:textId="77777777" w:rsidR="00EB7710" w:rsidRPr="00EB7710" w:rsidRDefault="00EB7710" w:rsidP="00EB7710">
      <w:pPr>
        <w:rPr>
          <w:lang w:val="en-NZ"/>
        </w:rPr>
      </w:pPr>
      <w:r w:rsidRPr="00EB7710">
        <w:rPr>
          <w:lang w:val="en-NZ"/>
        </w:rPr>
        <w:t>Giving effect to the Pae Ora (Healthy Futures) Act 2022 can be demonstrated through the practical application of the principles of Te Tiriti o Waitangi as articulated by the courts and Waitangi Tribunal.</w:t>
      </w:r>
      <w:r w:rsidRPr="00EB7710">
        <w:rPr>
          <w:vertAlign w:val="superscript"/>
          <w:lang w:val="en-NZ"/>
        </w:rPr>
        <w:t>20</w:t>
      </w:r>
      <w:r w:rsidRPr="00EB7710">
        <w:rPr>
          <w:lang w:val="en-NZ"/>
        </w:rPr>
        <w:t xml:space="preserve"> Applying the principles to maternity and primary care service delivery is vital to enabling Māori to express their mana motuhake</w:t>
      </w:r>
      <w:r w:rsidRPr="00EB7710">
        <w:rPr>
          <w:vertAlign w:val="superscript"/>
          <w:lang w:val="en-NZ"/>
        </w:rPr>
        <w:t xml:space="preserve">21 </w:t>
      </w:r>
      <w:r w:rsidRPr="00EB7710">
        <w:rPr>
          <w:lang w:val="en-NZ"/>
        </w:rPr>
        <w:t xml:space="preserve">and ensures Māori receive high-quality, culturally </w:t>
      </w:r>
      <w:proofErr w:type="gramStart"/>
      <w:r w:rsidRPr="00EB7710">
        <w:rPr>
          <w:lang w:val="en-NZ"/>
        </w:rPr>
        <w:t>safe</w:t>
      </w:r>
      <w:proofErr w:type="gramEnd"/>
      <w:r w:rsidRPr="00EB7710">
        <w:rPr>
          <w:lang w:val="en-NZ"/>
        </w:rPr>
        <w:t xml:space="preserve"> and equitable health outcomes. Using the principles to work effectively and respectfully with Māori requires maternity and primary care services and health practitioners to demonstrate the principles of Te Tiriti o Waitangi</w:t>
      </w:r>
      <w:r w:rsidRPr="00EB7710" w:rsidDel="00FB594B">
        <w:rPr>
          <w:lang w:val="en-NZ"/>
        </w:rPr>
        <w:t xml:space="preserve"> </w:t>
      </w:r>
      <w:r w:rsidRPr="00EB7710">
        <w:rPr>
          <w:lang w:val="en-NZ"/>
        </w:rPr>
        <w:t>in their day-to-day practice.</w:t>
      </w:r>
    </w:p>
    <w:p w14:paraId="0E92BA5A" w14:textId="41D4D316" w:rsidR="00EB7710" w:rsidRDefault="00EB7710" w:rsidP="00EB7710">
      <w:pPr>
        <w:pStyle w:val="Heading2"/>
      </w:pPr>
      <w:bookmarkStart w:id="4" w:name="_Toc167269259"/>
      <w:r>
        <w:t>Principles of Te Tiriti o Waitangi</w:t>
      </w:r>
      <w:bookmarkEnd w:id="4"/>
    </w:p>
    <w:p w14:paraId="42499767" w14:textId="77777777" w:rsidR="003E7BC5" w:rsidRPr="003E7BC5" w:rsidRDefault="003E7BC5" w:rsidP="003E7BC5">
      <w:pPr>
        <w:rPr>
          <w:lang w:val="en-NZ"/>
        </w:rPr>
      </w:pPr>
      <w:r w:rsidRPr="003E7BC5">
        <w:rPr>
          <w:lang w:val="en-NZ"/>
        </w:rPr>
        <w:t xml:space="preserve">The principles of Te Tiriti o Waitangi provide the framework for maternity, neonatal and paediatric care providers, general </w:t>
      </w:r>
      <w:proofErr w:type="gramStart"/>
      <w:r w:rsidRPr="003E7BC5">
        <w:rPr>
          <w:lang w:val="en-NZ"/>
        </w:rPr>
        <w:t>practitioners</w:t>
      </w:r>
      <w:proofErr w:type="gramEnd"/>
      <w:r w:rsidRPr="003E7BC5">
        <w:rPr>
          <w:lang w:val="en-NZ"/>
        </w:rPr>
        <w:t xml:space="preserve"> and health practitioners providing maternity and primary care services to Māori. How these principles apply to maternity services is supported by </w:t>
      </w:r>
      <w:proofErr w:type="spellStart"/>
      <w:r w:rsidRPr="003E7BC5">
        <w:rPr>
          <w:i/>
          <w:iCs/>
          <w:lang w:val="en-NZ"/>
        </w:rPr>
        <w:t>Ngā</w:t>
      </w:r>
      <w:proofErr w:type="spellEnd"/>
      <w:r w:rsidRPr="003E7BC5">
        <w:rPr>
          <w:i/>
          <w:iCs/>
          <w:lang w:val="en-NZ"/>
        </w:rPr>
        <w:t xml:space="preserve"> </w:t>
      </w:r>
      <w:proofErr w:type="spellStart"/>
      <w:r w:rsidRPr="003E7BC5">
        <w:rPr>
          <w:i/>
          <w:iCs/>
          <w:lang w:val="en-NZ"/>
        </w:rPr>
        <w:t>Paerewa</w:t>
      </w:r>
      <w:proofErr w:type="spellEnd"/>
      <w:proofErr w:type="gramStart"/>
      <w:r w:rsidRPr="003E7BC5">
        <w:rPr>
          <w:lang w:val="en-NZ"/>
        </w:rPr>
        <w:t>, in particular, 1.1</w:t>
      </w:r>
      <w:proofErr w:type="gramEnd"/>
      <w:r w:rsidRPr="003E7BC5">
        <w:rPr>
          <w:lang w:val="en-NZ"/>
        </w:rPr>
        <w:t xml:space="preserve"> Pae </w:t>
      </w:r>
      <w:proofErr w:type="spellStart"/>
      <w:r w:rsidRPr="003E7BC5">
        <w:rPr>
          <w:lang w:val="en-NZ"/>
        </w:rPr>
        <w:t>ora</w:t>
      </w:r>
      <w:proofErr w:type="spellEnd"/>
      <w:r w:rsidRPr="003E7BC5">
        <w:rPr>
          <w:lang w:val="en-NZ"/>
        </w:rPr>
        <w:t xml:space="preserve"> healthy futures.</w:t>
      </w:r>
    </w:p>
    <w:p w14:paraId="1C421712" w14:textId="77777777" w:rsidR="003E7BC5" w:rsidRPr="003E7BC5" w:rsidRDefault="003E7BC5" w:rsidP="003E7BC5">
      <w:pPr>
        <w:rPr>
          <w:lang w:val="en-NZ"/>
        </w:rPr>
      </w:pPr>
      <w:r w:rsidRPr="003E7BC5">
        <w:rPr>
          <w:lang w:val="en-NZ"/>
        </w:rPr>
        <w:t>The Waitangi Tribunal concluded that the persistent health inequities experienced by Māori are the consequence of failing to apply the principles of Te Tiriti o Waitangi</w:t>
      </w:r>
      <w:r w:rsidRPr="003E7BC5" w:rsidDel="00FB594B">
        <w:rPr>
          <w:lang w:val="en-NZ"/>
        </w:rPr>
        <w:t xml:space="preserve"> </w:t>
      </w:r>
      <w:r w:rsidRPr="003E7BC5">
        <w:rPr>
          <w:lang w:val="en-NZ"/>
        </w:rPr>
        <w:t>at structural, organisational and health practitioner levels of the health and disability sector. Giving effect to Te Tiriti o Waitangi</w:t>
      </w:r>
      <w:r w:rsidRPr="003E7BC5" w:rsidDel="00FB594B">
        <w:rPr>
          <w:lang w:val="en-NZ"/>
        </w:rPr>
        <w:t xml:space="preserve"> </w:t>
      </w:r>
      <w:r w:rsidRPr="003E7BC5">
        <w:rPr>
          <w:lang w:val="en-NZ"/>
        </w:rPr>
        <w:t>requires health practitioners to know and understand the principles of Te Tiriti o Waitangi</w:t>
      </w:r>
      <w:r w:rsidRPr="003E7BC5" w:rsidDel="00FB594B">
        <w:rPr>
          <w:lang w:val="en-NZ"/>
        </w:rPr>
        <w:t xml:space="preserve"> </w:t>
      </w:r>
      <w:r w:rsidRPr="003E7BC5">
        <w:rPr>
          <w:lang w:val="en-NZ"/>
        </w:rPr>
        <w:t xml:space="preserve">and be able to capably apply them in partnership with Māori in their day-to-day maternity clinical practice. </w:t>
      </w:r>
    </w:p>
    <w:p w14:paraId="2E7BE069" w14:textId="77777777" w:rsidR="003E7BC5" w:rsidRPr="003E7BC5" w:rsidRDefault="003E7BC5" w:rsidP="003E7BC5">
      <w:pPr>
        <w:rPr>
          <w:lang w:val="en-NZ"/>
        </w:rPr>
      </w:pPr>
      <w:r w:rsidRPr="003E7BC5">
        <w:rPr>
          <w:lang w:val="en-NZ"/>
        </w:rPr>
        <w:t>For the health and disability sector, the five principles of Te Tiriti o Waitangi</w:t>
      </w:r>
      <w:r w:rsidRPr="003E7BC5" w:rsidDel="00FB594B">
        <w:rPr>
          <w:lang w:val="en-NZ"/>
        </w:rPr>
        <w:t xml:space="preserve"> </w:t>
      </w:r>
      <w:r w:rsidRPr="003E7BC5">
        <w:rPr>
          <w:lang w:val="en-NZ"/>
        </w:rPr>
        <w:t>are as follows.</w:t>
      </w:r>
    </w:p>
    <w:p w14:paraId="6D497B21" w14:textId="77777777" w:rsidR="003E7BC5" w:rsidRPr="003E7BC5" w:rsidRDefault="003E7BC5" w:rsidP="003E7BC5">
      <w:pPr>
        <w:rPr>
          <w:lang w:val="en-NZ"/>
        </w:rPr>
      </w:pPr>
      <w:r w:rsidRPr="003E7BC5">
        <w:rPr>
          <w:b/>
          <w:bCs/>
          <w:lang w:val="en-NZ"/>
        </w:rPr>
        <w:t>Tino rangatiratanga</w:t>
      </w:r>
      <w:r w:rsidRPr="003E7BC5">
        <w:rPr>
          <w:lang w:val="en-NZ"/>
        </w:rPr>
        <w:t xml:space="preserve">: Supporting the right of Māori to receive effective maternity, neonatal, </w:t>
      </w:r>
      <w:proofErr w:type="gramStart"/>
      <w:r w:rsidRPr="003E7BC5">
        <w:rPr>
          <w:lang w:val="en-NZ"/>
        </w:rPr>
        <w:t>paediatric</w:t>
      </w:r>
      <w:proofErr w:type="gramEnd"/>
      <w:r w:rsidRPr="003E7BC5">
        <w:rPr>
          <w:lang w:val="en-NZ"/>
        </w:rPr>
        <w:t xml:space="preserve"> and primary care. A person’s decisions are a continuation of a much older, Māori collective endorsed practice of sovereignty over one’s health and wellbeing and the health and wellbeing of whānau.</w:t>
      </w:r>
    </w:p>
    <w:p w14:paraId="37059188" w14:textId="77777777" w:rsidR="003E7BC5" w:rsidRPr="003E7BC5" w:rsidRDefault="003E7BC5" w:rsidP="003E7BC5">
      <w:pPr>
        <w:pStyle w:val="Bulletpoints"/>
        <w:rPr>
          <w:lang w:val="en-NZ"/>
        </w:rPr>
      </w:pPr>
      <w:r w:rsidRPr="003E7BC5">
        <w:rPr>
          <w:b/>
          <w:bCs/>
          <w:lang w:val="en-NZ"/>
        </w:rPr>
        <w:t>Equity</w:t>
      </w:r>
      <w:r w:rsidRPr="003E7BC5">
        <w:rPr>
          <w:lang w:val="en-NZ"/>
        </w:rPr>
        <w:t xml:space="preserve">: Contributing to equitable maternity, neonatal and paediatric health outcomes for Māori by ensuring, at a minimum, their health outcomes match those of other New Zealanders. Equitable maternity and primary care outcomes will be achieved when the recommendations in this national consensus statement are implemented in ways that give effect to the principles of Te Tiriti o Waitangi, relevant professional competencies and </w:t>
      </w:r>
      <w:proofErr w:type="spellStart"/>
      <w:r w:rsidRPr="003E7BC5">
        <w:rPr>
          <w:i/>
          <w:iCs/>
          <w:lang w:val="en-NZ"/>
        </w:rPr>
        <w:t>Ngā</w:t>
      </w:r>
      <w:proofErr w:type="spellEnd"/>
      <w:r w:rsidRPr="003E7BC5">
        <w:rPr>
          <w:i/>
          <w:iCs/>
          <w:lang w:val="en-NZ"/>
        </w:rPr>
        <w:t xml:space="preserve"> </w:t>
      </w:r>
      <w:proofErr w:type="spellStart"/>
      <w:r w:rsidRPr="003E7BC5">
        <w:rPr>
          <w:i/>
          <w:iCs/>
          <w:lang w:val="en-NZ"/>
        </w:rPr>
        <w:t>Paerewa</w:t>
      </w:r>
      <w:proofErr w:type="spellEnd"/>
      <w:r w:rsidRPr="003E7BC5">
        <w:rPr>
          <w:lang w:val="en-NZ"/>
        </w:rPr>
        <w:t>.</w:t>
      </w:r>
    </w:p>
    <w:p w14:paraId="6BACE1A6" w14:textId="77777777" w:rsidR="003E7BC5" w:rsidRPr="003E7BC5" w:rsidRDefault="003E7BC5" w:rsidP="003E7BC5">
      <w:pPr>
        <w:pStyle w:val="Bulletpoints"/>
        <w:rPr>
          <w:lang w:val="en-NZ"/>
        </w:rPr>
      </w:pPr>
      <w:r w:rsidRPr="003E7BC5">
        <w:rPr>
          <w:b/>
          <w:bCs/>
          <w:lang w:val="en-NZ"/>
        </w:rPr>
        <w:t>Active protection</w:t>
      </w:r>
      <w:r w:rsidRPr="003E7BC5">
        <w:rPr>
          <w:lang w:val="en-NZ"/>
        </w:rPr>
        <w:t xml:space="preserve">: Sharing evidence-based information about maternity, neonatal, primary </w:t>
      </w:r>
      <w:proofErr w:type="gramStart"/>
      <w:r w:rsidRPr="003E7BC5">
        <w:rPr>
          <w:lang w:val="en-NZ"/>
        </w:rPr>
        <w:t>care</w:t>
      </w:r>
      <w:proofErr w:type="gramEnd"/>
      <w:r w:rsidRPr="003E7BC5">
        <w:rPr>
          <w:lang w:val="en-NZ"/>
        </w:rPr>
        <w:t xml:space="preserve"> and paediatric outcomes so Māori can make decisions and prepare themselves to uphold their tikanga or cultural practice (for example, </w:t>
      </w:r>
      <w:proofErr w:type="spellStart"/>
      <w:r w:rsidRPr="003E7BC5">
        <w:rPr>
          <w:lang w:val="en-NZ"/>
        </w:rPr>
        <w:t>karakia</w:t>
      </w:r>
      <w:proofErr w:type="spellEnd"/>
      <w:r w:rsidRPr="003E7BC5">
        <w:rPr>
          <w:lang w:val="en-NZ"/>
        </w:rPr>
        <w:t xml:space="preserve">, </w:t>
      </w:r>
      <w:proofErr w:type="spellStart"/>
      <w:r w:rsidRPr="003E7BC5">
        <w:rPr>
          <w:lang w:val="en-NZ"/>
        </w:rPr>
        <w:t>rongoā</w:t>
      </w:r>
      <w:proofErr w:type="spellEnd"/>
      <w:r w:rsidRPr="003E7BC5">
        <w:rPr>
          <w:lang w:val="en-NZ"/>
        </w:rPr>
        <w:t xml:space="preserve"> and support people). Health practitioners actively support Māori to make decisions by providing quality evidence-based information, free from bias and judgement.</w:t>
      </w:r>
    </w:p>
    <w:p w14:paraId="625995F0" w14:textId="77777777" w:rsidR="003E7BC5" w:rsidRPr="003E7BC5" w:rsidRDefault="003E7BC5" w:rsidP="003E7BC5">
      <w:pPr>
        <w:pStyle w:val="Bulletpoints"/>
        <w:rPr>
          <w:lang w:val="en-NZ"/>
        </w:rPr>
      </w:pPr>
      <w:r w:rsidRPr="003E7BC5">
        <w:rPr>
          <w:b/>
          <w:bCs/>
          <w:lang w:val="en-NZ"/>
        </w:rPr>
        <w:t>Options</w:t>
      </w:r>
      <w:r w:rsidRPr="003E7BC5">
        <w:rPr>
          <w:lang w:val="en-NZ"/>
        </w:rPr>
        <w:t>: Ensuring Māori have maternity, neonatal and paediatric care that enables them to uphold their tikanga or cultural practice regardless of where antenatal and primary care takes place. Processes must complement a Māori person’s mana or inherent authority and dignity, support their tikanga or cultural practice, and be culturally safe as defined by Māori.</w:t>
      </w:r>
    </w:p>
    <w:p w14:paraId="21DA031D" w14:textId="77777777" w:rsidR="003E7BC5" w:rsidRPr="003E7BC5" w:rsidRDefault="003E7BC5" w:rsidP="003E7BC5">
      <w:pPr>
        <w:pStyle w:val="Bulletpoints"/>
        <w:rPr>
          <w:lang w:val="en-NZ"/>
        </w:rPr>
      </w:pPr>
      <w:r w:rsidRPr="003E7BC5">
        <w:rPr>
          <w:b/>
          <w:bCs/>
          <w:lang w:val="en-NZ"/>
        </w:rPr>
        <w:lastRenderedPageBreak/>
        <w:t>Partnership:</w:t>
      </w:r>
      <w:r w:rsidRPr="003E7BC5">
        <w:rPr>
          <w:lang w:val="en-NZ"/>
        </w:rPr>
        <w:t xml:space="preserve"> Working in partnership with Māori, including whānau if requested. A partnered approach to the process and decision-making ensures Māori can enact their rangatiratanga or self-determine their futures while exercising mana </w:t>
      </w:r>
      <w:proofErr w:type="spellStart"/>
      <w:r w:rsidRPr="003E7BC5">
        <w:rPr>
          <w:lang w:val="en-NZ"/>
        </w:rPr>
        <w:t>motuhake</w:t>
      </w:r>
      <w:proofErr w:type="spellEnd"/>
      <w:r w:rsidRPr="003E7BC5">
        <w:rPr>
          <w:lang w:val="en-NZ"/>
        </w:rPr>
        <w:t xml:space="preserve"> or authority over their bodies.</w:t>
      </w:r>
    </w:p>
    <w:p w14:paraId="43B62ABB" w14:textId="77777777" w:rsidR="003E7BC5" w:rsidRPr="003E7BC5" w:rsidRDefault="003E7BC5" w:rsidP="003E7BC5">
      <w:pPr>
        <w:rPr>
          <w:lang w:val="en-NZ"/>
        </w:rPr>
      </w:pPr>
      <w:r w:rsidRPr="003E7BC5">
        <w:rPr>
          <w:lang w:val="en-NZ"/>
        </w:rPr>
        <w:t>Health service providers and health practitioners must consider their commitments to deliver equitable services and meet obligations under Te Tiriti o Waitangi. Further information on cultural safety is in Appendix A: Cultural safety.</w:t>
      </w:r>
    </w:p>
    <w:p w14:paraId="7132BB55" w14:textId="283792C6" w:rsidR="003E7BC5" w:rsidRDefault="003E7BC5" w:rsidP="003E7BC5">
      <w:pPr>
        <w:pStyle w:val="Heading2"/>
      </w:pPr>
      <w:bookmarkStart w:id="5" w:name="_Toc167269260"/>
      <w:r>
        <w:t>Equity</w:t>
      </w:r>
      <w:bookmarkEnd w:id="5"/>
    </w:p>
    <w:p w14:paraId="44173CF2" w14:textId="77777777" w:rsidR="003E7BC5" w:rsidRPr="003E7BC5" w:rsidRDefault="003E7BC5" w:rsidP="003E7BC5">
      <w:pPr>
        <w:rPr>
          <w:lang w:val="en-NZ"/>
        </w:rPr>
      </w:pPr>
      <w:r w:rsidRPr="003E7BC5">
        <w:rPr>
          <w:lang w:val="en-NZ"/>
        </w:rPr>
        <w:t xml:space="preserve">In Aotearoa New Zealand, people have differences in health outcomes that are not only avoidable but are unfair and unjust. Health inequities are the result of avoidable structural determinants in our communities. People have little control over the structural determinants of health and wellbeing (for example, income, employment, education, housing, and multiple forms of discrimination) yet these determinants negatively impact health and wellbeing. When health practitioners understand the structures that create inequitable health outcomes, they can use different approaches and resources to achieve equitable maternity and paediatric outcomes. Health equity is best achieved with a preventive health approach. This includes identifying those at risk of vitamin D insufficiency or deficiency and offering supplementation to prevent rickets. By identifying risk factors, vitamin D deficiency of clinical concern can be detected early and treated effectively to mitigate the most severe adverse outcomes.  </w:t>
      </w:r>
    </w:p>
    <w:p w14:paraId="4A89F85D" w14:textId="77777777" w:rsidR="003E7BC5" w:rsidRPr="003E7BC5" w:rsidRDefault="003E7BC5" w:rsidP="003E7BC5">
      <w:pPr>
        <w:rPr>
          <w:lang w:val="en-NZ"/>
        </w:rPr>
      </w:pPr>
      <w:r w:rsidRPr="003E7BC5">
        <w:rPr>
          <w:lang w:val="en-NZ"/>
        </w:rPr>
        <w:t xml:space="preserve">Achieving equitable outcomes for all population groups happens when service providers and health practitioners understand the structures that create disadvantage for Māori and others and are supported to follow the Companion Statement’s advice in ways that give effect to the principles of Te Tiriti o Waitangi, meet professional competencies, and adhere to </w:t>
      </w:r>
      <w:proofErr w:type="spellStart"/>
      <w:r w:rsidRPr="003E7BC5">
        <w:rPr>
          <w:i/>
          <w:iCs/>
          <w:lang w:val="en-NZ"/>
        </w:rPr>
        <w:t>Ngā</w:t>
      </w:r>
      <w:proofErr w:type="spellEnd"/>
      <w:r w:rsidRPr="003E7BC5">
        <w:rPr>
          <w:i/>
          <w:iCs/>
          <w:lang w:val="en-NZ"/>
        </w:rPr>
        <w:t xml:space="preserve"> </w:t>
      </w:r>
      <w:proofErr w:type="spellStart"/>
      <w:r w:rsidRPr="003E7BC5">
        <w:rPr>
          <w:i/>
          <w:iCs/>
          <w:lang w:val="en-NZ"/>
        </w:rPr>
        <w:t>Paerewa</w:t>
      </w:r>
      <w:proofErr w:type="spellEnd"/>
      <w:r w:rsidRPr="003E7BC5">
        <w:rPr>
          <w:lang w:val="en-NZ"/>
        </w:rPr>
        <w:t>.</w:t>
      </w:r>
    </w:p>
    <w:p w14:paraId="5C0843A0" w14:textId="316DCE61" w:rsidR="003E7BC5" w:rsidRDefault="003E7BC5" w:rsidP="003E7BC5">
      <w:pPr>
        <w:pStyle w:val="Heading1"/>
      </w:pPr>
      <w:bookmarkStart w:id="6" w:name="_Toc167269261"/>
      <w:r>
        <w:t>Consensus statements</w:t>
      </w:r>
      <w:bookmarkEnd w:id="6"/>
    </w:p>
    <w:p w14:paraId="7D542E1A" w14:textId="77777777" w:rsidR="003E7BC5" w:rsidRPr="003E7BC5" w:rsidRDefault="003E7BC5" w:rsidP="003E7BC5">
      <w:pPr>
        <w:rPr>
          <w:lang w:val="en-NZ"/>
        </w:rPr>
      </w:pPr>
      <w:r w:rsidRPr="003E7BC5">
        <w:rPr>
          <w:lang w:val="en-NZ"/>
        </w:rPr>
        <w:t>This section discusses:</w:t>
      </w:r>
    </w:p>
    <w:p w14:paraId="21799595" w14:textId="77777777" w:rsidR="003E7BC5" w:rsidRPr="003E7BC5" w:rsidRDefault="003E7BC5" w:rsidP="003E7BC5">
      <w:pPr>
        <w:pStyle w:val="Bulletpoints"/>
        <w:rPr>
          <w:lang w:val="en-NZ"/>
        </w:rPr>
      </w:pPr>
      <w:r w:rsidRPr="003E7BC5">
        <w:rPr>
          <w:lang w:val="en-NZ"/>
        </w:rPr>
        <w:t>prevalence of vitamin D insufficiency and deficiency in New Zealand (section 5.1)</w:t>
      </w:r>
    </w:p>
    <w:p w14:paraId="506C2B9A" w14:textId="77777777" w:rsidR="003E7BC5" w:rsidRPr="003E7BC5" w:rsidRDefault="003E7BC5" w:rsidP="003E7BC5">
      <w:pPr>
        <w:pStyle w:val="Bulletpoints"/>
        <w:rPr>
          <w:lang w:val="en-NZ"/>
        </w:rPr>
      </w:pPr>
      <w:r w:rsidRPr="003E7BC5">
        <w:rPr>
          <w:lang w:val="en-NZ"/>
        </w:rPr>
        <w:t>recommended vitamin D intake (section 5.2)</w:t>
      </w:r>
    </w:p>
    <w:p w14:paraId="60D18ECE" w14:textId="77777777" w:rsidR="003E7BC5" w:rsidRPr="003E7BC5" w:rsidRDefault="003E7BC5" w:rsidP="003E7BC5">
      <w:pPr>
        <w:pStyle w:val="Bulletpoints"/>
        <w:rPr>
          <w:lang w:val="en-NZ"/>
        </w:rPr>
      </w:pPr>
      <w:r w:rsidRPr="003E7BC5">
        <w:rPr>
          <w:lang w:val="en-NZ"/>
        </w:rPr>
        <w:t>vitamin D status during pregnancy and infancy in New Zealand (section 5.3)</w:t>
      </w:r>
    </w:p>
    <w:p w14:paraId="62606933" w14:textId="77777777" w:rsidR="003E7BC5" w:rsidRPr="003E7BC5" w:rsidRDefault="003E7BC5" w:rsidP="003E7BC5">
      <w:pPr>
        <w:pStyle w:val="Bulletpoints"/>
        <w:rPr>
          <w:lang w:val="en-NZ"/>
        </w:rPr>
      </w:pPr>
      <w:r w:rsidRPr="003E7BC5">
        <w:rPr>
          <w:lang w:val="en-NZ"/>
        </w:rPr>
        <w:t>vitamin D insufficiency and deficiency and maternal and infant health outcomes (section 5.4)</w:t>
      </w:r>
    </w:p>
    <w:p w14:paraId="27B0A6BD" w14:textId="77777777" w:rsidR="003E7BC5" w:rsidRPr="003E7BC5" w:rsidRDefault="003E7BC5" w:rsidP="003E7BC5">
      <w:pPr>
        <w:pStyle w:val="Bulletpoints"/>
        <w:rPr>
          <w:lang w:val="en-NZ"/>
        </w:rPr>
      </w:pPr>
      <w:r w:rsidRPr="003E7BC5">
        <w:rPr>
          <w:lang w:val="en-NZ"/>
        </w:rPr>
        <w:t>the role of supplementation (section 5.5)</w:t>
      </w:r>
    </w:p>
    <w:p w14:paraId="3EF97900" w14:textId="77777777" w:rsidR="003E7BC5" w:rsidRDefault="003E7BC5" w:rsidP="003E7BC5">
      <w:pPr>
        <w:pStyle w:val="Bulletpoints"/>
        <w:rPr>
          <w:lang w:val="en-NZ"/>
        </w:rPr>
      </w:pPr>
      <w:r w:rsidRPr="003E7BC5">
        <w:rPr>
          <w:lang w:val="en-NZ"/>
        </w:rPr>
        <w:t>time outdoors and incidental sun exposure (section 5.6).</w:t>
      </w:r>
    </w:p>
    <w:p w14:paraId="0168EEFF" w14:textId="77777777" w:rsidR="003E7BC5" w:rsidRPr="003E7BC5" w:rsidRDefault="003E7BC5" w:rsidP="003E7BC5">
      <w:pPr>
        <w:rPr>
          <w:lang w:val="en-NZ"/>
        </w:rPr>
      </w:pPr>
    </w:p>
    <w:p w14:paraId="165CB338" w14:textId="18CBE6FB" w:rsidR="003E7BC5" w:rsidRDefault="003E7BC5" w:rsidP="003E7BC5">
      <w:pPr>
        <w:pStyle w:val="Heading2"/>
      </w:pPr>
      <w:bookmarkStart w:id="7" w:name="_Toc167269262"/>
      <w:r w:rsidRPr="003E7BC5">
        <w:lastRenderedPageBreak/>
        <w:t>Prevalence of vitamin D insufficiency and deficiency in Aotearoa New Zealand</w:t>
      </w:r>
      <w:bookmarkEnd w:id="7"/>
    </w:p>
    <w:p w14:paraId="4714A391" w14:textId="77777777" w:rsidR="003E7BC5" w:rsidRPr="003E7BC5" w:rsidRDefault="003E7BC5" w:rsidP="003E7BC5">
      <w:pPr>
        <w:pStyle w:val="Box"/>
      </w:pPr>
      <w:r w:rsidRPr="003E7BC5">
        <w:t xml:space="preserve">This document defines maternal and infant vitamin D insufficiency as 25(OH)D less than 50 nanomoles per litre, and deficiency as 25 nanomoles per litre, which is broadly consistent with global consensus. The global consensus guideline on prevention and management of nutritional rickets defines vitamin D deficiency as 30 nanomoles per litre </w:t>
      </w:r>
      <w:r w:rsidRPr="003E7BC5">
        <w:fldChar w:fldCharType="begin"/>
      </w:r>
      <w:r w:rsidRPr="003E7BC5">
        <w:instrText xml:space="preserve"> ADDIN ZOTERO_ITEM CSL_CITATION {"citationID":"itfcgPHz","properties":{"formattedCitation":"(Munns et al., 2016)","plainCitation":"(Munns et al., 2016)","noteIndex":0},"citationItems":[{"id":1098,"uris":["http://zotero.org/groups/5078394/items/3TEESPNF"],"itemData":{"id":1098,"type":"article-journal","abstract":"Background:\nVitamin D and calcium deficiencies are common worldwide, causing nutritional rickets and osteomalacia, which have a major impact on health, growth, and development of infants, children, and adolescents; the consequences can be lethal or can last into adulthood. The goals of this evidence-based consensus document are to provide health care professionals with guidance for prevention, diagnosis, and management of nutritional rickets and to provide policy makers with a framework to work toward its eradication.\n\nEvidence:\nA systematic literature search examining the definition, diagnosis, treatment, and prevention of nutritional rickets in children was conducted. Evidence-based recommendations were developed using the Grading of Recommendations, Assessment, Development and Evaluation (GRADE) system that describe the strength of the recommendation and the quality of supporting evidence.\n\nProcess:\nThirty-three nominated experts in pediatric endocrinology, pediatrics, nutrition, epidemiology, public health, and health economics evaluated the evidence on specific questions within five working groups. The consensus group, representing 11 international scientific organizations, participated in a multiday conference in May 2014 to reach a global evidence-based consensus.\n\nResults:\nThis consensus document defines nutritional rickets and its diagnostic criteria and describes the clinical management of rickets and osteomalacia. Risk factors, particularly in mothers and infants, are ranked, and specific prevention recommendations including food fortification and supplementation are offered for both the clinical and public health contexts.\n\nConclusion:\nRickets, osteomalacia, and vitamin D and calcium deficiencies are preventable global public health problems in infants, children, and adolescents. Implementation of international rickets prevention programs, including supplementation and food fortification, is urgently required.","container-title":"The Journal of Clinical Endocrinology and Metabolism","DOI":"10.1210/jc.2015-2175","ISSN":"0021-972X","issue":"2","journalAbbreviation":"J Clin Endocrinol Metab","note":"PMID: 26745253\nPMCID: PMC4880117","page":"394-415","source":"PubMed Central","title":"Global Consensus Recommendations on Prevention and Management of Nutritional Rickets","volume":"101","author":[{"family":"Munns","given":"Craig F."},{"family":"Shaw","given":"Nick"},{"family":"Kiely","given":"Mairead"},{"family":"Specker","given":"Bonny L."},{"family":"Thacher","given":"Tom D."},{"family":"Ozono","given":"Keiichi"},{"family":"Michigami","given":"Toshimi"},{"family":"Tiosano","given":"Dov"},{"family":"Mughal","given":"M. Zulf"},{"family":"Mäkitie","given":"Outi"},{"family":"Ramos-Abad","given":"Lorna"},{"family":"Ward","given":"Leanne"},{"family":"DiMeglio","given":"Linda A."},{"family":"Atapattu","given":"Navoda"},{"family":"Cassinelli","given":"Hamilton"},{"family":"Braegger","given":"Christian"},{"family":"Pettifor","given":"John M."},{"family":"Seth","given":"Anju"},{"family":"Idris","given":"Hafsatu Wasagu"},{"family":"Bhatia","given":"Vijayalakshmi"},{"family":"Fu","given":"Junfen"},{"family":"Goldberg","given":"Gail"},{"family":"Sävendahl","given":"Lars"},{"family":"Khadgawat","given":"Rajesh"},{"family":"Pludowski","given":"Pawel"},{"family":"Maddock","given":"Jane"},{"family":"Hyppönen","given":"Elina"},{"family":"Oduwole","given":"Abiola"},{"family":"Frew","given":"Emma"},{"family":"Aguiar","given":"Magda"},{"family":"Tulchinsky","given":"Ted"},{"family":"Butler","given":"Gary"},{"family":"Högler","given":"Wolfgang"}],"issued":{"date-parts":[["2016",2]]}}}],"schema":"https://github.com/citation-style-language/schema/raw/master/csl-citation.json"} </w:instrText>
      </w:r>
      <w:r w:rsidRPr="003E7BC5">
        <w:fldChar w:fldCharType="separate"/>
      </w:r>
      <w:r w:rsidRPr="003E7BC5">
        <w:t>(Munns et al., 2016)</w:t>
      </w:r>
      <w:r w:rsidRPr="003E7BC5">
        <w:fldChar w:fldCharType="end"/>
      </w:r>
      <w:r w:rsidRPr="003E7BC5">
        <w:t>.</w:t>
      </w:r>
    </w:p>
    <w:p w14:paraId="7DD3BF99" w14:textId="77777777" w:rsidR="003E7BC5" w:rsidRPr="003E7BC5" w:rsidRDefault="003E7BC5" w:rsidP="003E7BC5">
      <w:pPr>
        <w:pStyle w:val="Box"/>
      </w:pPr>
      <w:r w:rsidRPr="003E7BC5">
        <w:t xml:space="preserve">Individuals’ vitamin D levels are influenced by a complex interaction between daily skin exposure to Ultraviolet-B (UVB), latitude and seasonality, skin tone and dietary sources. Our understanding of the clinical significance of vitamin D insufficiency and deficiency is developing. Throughout this document, where the evidence suggests insufficiency of vitamin D is associated with an outcome, this language is used. Similarly, where deficiency (and no evidence on insufficiency) is suggested to be associated with an outcome, this language is used. Where research suggests outcomes are associated with both insufficiency and deficiency, insufficiency/deficiency language is used. </w:t>
      </w:r>
    </w:p>
    <w:p w14:paraId="4F9D969B" w14:textId="77777777" w:rsidR="003E7BC5" w:rsidRPr="003E7BC5" w:rsidRDefault="003E7BC5" w:rsidP="003E7BC5">
      <w:pPr>
        <w:rPr>
          <w:lang w:val="en-NZ"/>
        </w:rPr>
      </w:pPr>
      <w:r w:rsidRPr="003E7BC5">
        <w:rPr>
          <w:lang w:val="en-NZ"/>
        </w:rPr>
        <w:t>The 2008/2009 Ministry of Health National Nutrition Survey (screened-sample survey) measured vitamin D status in Aotearoa New Zealand adults. The mean adult serum 25(OH)D level was 63 nanomoles per litre. Most adults had a serum 25(</w:t>
      </w:r>
      <w:r w:rsidRPr="003E7BC5">
        <w:rPr>
          <w:lang w:val="en-NZ"/>
        </w:rPr>
        <w:softHyphen/>
      </w:r>
      <w:proofErr w:type="gramStart"/>
      <w:r w:rsidRPr="003E7BC5">
        <w:rPr>
          <w:lang w:val="en-NZ"/>
        </w:rPr>
        <w:t>OH)D</w:t>
      </w:r>
      <w:proofErr w:type="gramEnd"/>
      <w:r w:rsidRPr="003E7BC5">
        <w:rPr>
          <w:lang w:val="en-NZ"/>
        </w:rPr>
        <w:t xml:space="preserve"> level of 50 nanomoles per litre or greater (68.1 percent). Twenty-seven percent of adults had a serum 25(OH)D between 25 to 49 nanomoles per litre, 4.9 percent had serum 25(OH)D less than 25 nanomoles per litre and 0.2 percent had 25(</w:t>
      </w:r>
      <w:r w:rsidRPr="003E7BC5">
        <w:rPr>
          <w:lang w:val="en-NZ"/>
        </w:rPr>
        <w:softHyphen/>
        <w:t xml:space="preserve">OH)D less than 12.5 nanomoles per litre </w:t>
      </w:r>
      <w:r w:rsidRPr="003E7BC5">
        <w:rPr>
          <w:lang w:val="en-NZ"/>
        </w:rPr>
        <w:fldChar w:fldCharType="begin"/>
      </w:r>
      <w:r w:rsidRPr="003E7BC5">
        <w:rPr>
          <w:lang w:val="en-NZ"/>
        </w:rPr>
        <w:instrText xml:space="preserve"> ADDIN ZOTERO_ITEM CSL_CITATION {"citationID":"7ZTYKsSd","properties":{"formattedCitation":"(Ministry of Health, 2012)","plainCitation":"(Ministry of Health, 2012)","noteIndex":0},"citationItems":[{"id":819,"uris":["http://zotero.org/groups/5078394/items/R84U9BCA"],"itemData":{"id":819,"type":"report","title":"Vitamin D Status of New Zealand Adults: Findings from the 2008/2009 New Zealand Adult Nutrition Survey","URL":"https://www.health.govt.nz/system/files/documents/publications/vit-d-status-nzadults.pdf","author":[{"literal":"Ministry of Health"}],"issued":{"date-parts":[["2012"]]}}}],"schema":"https://github.com/citation-style-language/schema/raw/master/csl-citation.json"} </w:instrText>
      </w:r>
      <w:r w:rsidRPr="003E7BC5">
        <w:rPr>
          <w:lang w:val="en-NZ"/>
        </w:rPr>
        <w:fldChar w:fldCharType="separate"/>
      </w:r>
      <w:r w:rsidRPr="003E7BC5">
        <w:rPr>
          <w:lang w:val="en-NZ"/>
        </w:rPr>
        <w:t>(Ministry of Health, 2012)</w:t>
      </w:r>
      <w:r w:rsidRPr="003E7BC5">
        <w:rPr>
          <w:lang w:val="en-NZ"/>
        </w:rPr>
        <w:fldChar w:fldCharType="end"/>
      </w:r>
      <w:r w:rsidRPr="003E7BC5">
        <w:rPr>
          <w:lang w:val="en-NZ"/>
        </w:rPr>
        <w:t>.</w:t>
      </w:r>
    </w:p>
    <w:p w14:paraId="6BA788DB" w14:textId="77777777" w:rsidR="003E7BC5" w:rsidRPr="003E7BC5" w:rsidRDefault="003E7BC5" w:rsidP="003E7BC5">
      <w:pPr>
        <w:rPr>
          <w:lang w:val="en-NZ"/>
        </w:rPr>
      </w:pPr>
      <w:r w:rsidRPr="003E7BC5">
        <w:rPr>
          <w:lang w:val="en-NZ"/>
        </w:rPr>
        <w:t xml:space="preserve">Two studies in the last 10 years have reported on the prevalence of vitamin D insufficiency in pregnancy in Aotearoa New Zealand. Compared to the national survey of the general adult population </w:t>
      </w:r>
      <w:r w:rsidRPr="003E7BC5">
        <w:rPr>
          <w:lang w:val="en-NZ"/>
        </w:rPr>
        <w:fldChar w:fldCharType="begin"/>
      </w:r>
      <w:r w:rsidRPr="003E7BC5">
        <w:rPr>
          <w:lang w:val="en-NZ"/>
        </w:rPr>
        <w:instrText xml:space="preserve"> ADDIN ZOTERO_ITEM CSL_CITATION {"citationID":"RHgQOOf5","properties":{"formattedCitation":"(Ministry of Health, 2012)","plainCitation":"(Ministry of Health, 2012)","noteIndex":0},"citationItems":[{"id":819,"uris":["http://zotero.org/groups/5078394/items/R84U9BCA"],"itemData":{"id":819,"type":"report","title":"Vitamin D Status of New Zealand Adults: Findings from the 2008/2009 New Zealand Adult Nutrition Survey","URL":"https://www.health.govt.nz/system/files/documents/publications/vit-d-status-nzadults.pdf","author":[{"literal":"Ministry of Health"}],"issued":{"date-parts":[["2012"]]}}}],"schema":"https://github.com/citation-style-language/schema/raw/master/csl-citation.json"} </w:instrText>
      </w:r>
      <w:r w:rsidRPr="003E7BC5">
        <w:rPr>
          <w:lang w:val="en-NZ"/>
        </w:rPr>
        <w:fldChar w:fldCharType="separate"/>
      </w:r>
      <w:r w:rsidRPr="003E7BC5">
        <w:rPr>
          <w:lang w:val="en-NZ"/>
        </w:rPr>
        <w:t>(Ministry of Health, 2012)</w:t>
      </w:r>
      <w:r w:rsidRPr="003E7BC5">
        <w:rPr>
          <w:lang w:val="en-NZ"/>
        </w:rPr>
        <w:fldChar w:fldCharType="end"/>
      </w:r>
      <w:r w:rsidRPr="003E7BC5">
        <w:rPr>
          <w:lang w:val="en-NZ"/>
        </w:rPr>
        <w:t xml:space="preserve">, both studies found a higher proportion of vitamin D insufficiency in pregnancy. Maternal vitamin D insufficiency in pregnancy (defined as serum 25(OH)D &lt; 50 nanomoles per litre) was reported in 42 to 65 percent of study participants </w:t>
      </w:r>
      <w:r w:rsidRPr="003E7BC5">
        <w:rPr>
          <w:lang w:val="en-NZ"/>
        </w:rPr>
        <w:fldChar w:fldCharType="begin"/>
      </w:r>
      <w:r w:rsidRPr="003E7BC5">
        <w:rPr>
          <w:lang w:val="en-NZ"/>
        </w:rPr>
        <w:instrText xml:space="preserve"> ADDIN ZOTERO_ITEM CSL_CITATION {"citationID":"LADD36Uh","properties":{"formattedCitation":"(Ekeroma et al., 2015; Wheeler et al., 2018a)","plainCitation":"(Ekeroma et al., 2015; Wheeler et al., 2018a)","noteIndex":0},"citationItems":[{"id":734,"uris":["http://zotero.org/groups/5078394/items/5SCZ52QD"],"itemData":{"id":734,"type":"article-journal","abstract":"Newborn vitamin D status is largely determined by maternal vitamin D status during pregnancy. New Zealand has a sun avoidance health policy and minimal dietary vitamin D fortification. Vitamin D deficiency (serum 25-hydroxyvitamin D (25(OH)D) concentration &lt;50 nmol/L) is present in 57% of a sample of newborns from Christchurch and Wellington. To inform vitamin D supplementation policy, our aim was to describe the frequency of, and factors associated with, vitamin D deficiency during pregnancy.\nWe enrolled an ethnically diverse sample of pregnant women from a community maternity clinic in South Auckland, New Zealand, with serum 25(OH)D concentration measured at 27 weeks gestation. We examined the associations of enrolment season, maternal demographics, health, sunlight exposure and vitamin D intake with vitamin D deficiency.\nVitamin D deficiency was present in 109/259 (42%). Enrolment season (P&lt;0.001) and ethnicity (P=0.003) were independently associated with the odds of vitamin D deficiency, but not sunlight exposure or dietary vitamin D intake. Of those enrolled in winter (June-August)/spring (September-November), vitamin D deficiency was present in 43% of European, 67% of Māori, 80% of Pacific and 59% of women of other ethnic groups.\nThese findings suggest that New Zealand's targeted strategy for vitamin D supplementation may miss up to 42% of women with vitamin D deficiency in our population. Supplementation for all pregnant women during winter/spring could be an appropriate intervention for prevention of vitamin D deficiency during pregnancy in New Zealand.","container-title":"New Zealand medical journal","ISSN":"1175-8716","issue":"1422","note":"publisher-place: New Zealand\npublisher: New Zealand Medical Association (NZMA)","page":"24-34","title":"Predictors of vitamin D status in pregnant women in New Zealand","volume":"128","author":[{"family":"Ekeroma","given":"Alec J"},{"family":"Camargo","given":"Jr","suffix":"Carlos A"},{"family":"Scragg","given":"Robert"},{"family":"Wall","given":"Clare"},{"family":"Stewart","given":"Alistair"},{"family":"Mitchell","given":"Ed"},{"family":"Crane","given":"Julian"},{"family":"Grant","given":"Cameron C"}],"issued":{"date-parts":[["2015"]]}}},{"id":821,"uris":["http://zotero.org/groups/5078394/items/3VJ6SG8G"],"itemData":{"id":821,"type":"article-journal","abstract":"Vitamin D status and associated metabolism during pregnancy and lactation have been assessed in only a limited number of longitudinal studies, all from the northern hemisphere, with no infant data concurrently reported. Therefore, we aimed to describe longitudinal maternal and infant 25-hydroxy vitamin D (25OHD) and parathyroid hormone (PTH) status during pregnancy and up to 5 months postnatal age, in New Zealand women and their infants living at 45degree S latitude. Between September 2011 and June 2013, 126 pregnant women intending to exclusively breastfeed for at least 20 weeks were recruited. Longitudinal data were collected at three time-points spanning pregnancy, and following birth and at 20 weeks postpartum. Vitamin D deficiency (25OHD &lt; 50 nmol/L) was common, found at one or more time-points in 65% and 76% of mothers and their infants, respectively. Mean cord 25OHD was 41 nmol/L, and three infants exhibited secondary hyperparathyroidism by postnatal week 20. Maternal late pregnancy 25OHD (gestation 32-38 weeks) was closely correlated with infant cord 25OHD, r2 = 0.87 (95% CI (Confidence interval) 0.8-0.91), while no correlation was seen between early pregnancy (&lt;20 weeks gestation) maternal and cord 25OHD, r2 = 0.06 (95% CI -0.16-0.28). Among other variables, pregnancy 25OHD status, and therefore infant status at birth, were influenced by season of conception. In conclusion, vitamin D deficiency in women and their infants is very common during pregnancy and lactation in New Zealand at 45degree S. These data raise questions regarding the applicability of current pregnancy and lactation policy at this latitude, particularly recommendations relating to first trimester maternal vitamin D screening and targeted supplementation for those \"at risk\".","archive":"Ovid MEDLINE(R) &lt;2018&gt;","container-title":"Nutrients","DOI":"10.3390/nu10010086","ISSN":"2072-6643","issue":"1","note":"section: Wheeler, Benjamin J. Department of Women's and Children's Health, Dunedin School of Medicine, University of Otago, Dunedin 9054, New Zealand. Ben.wheeler@otago.ac.nz. Wheeler, Benjamin J. Paediatric Endocrinology, Southern District Health Board, Dunedin 9010, New Zealand. Ben.wheeler@otago.ac.nz. Taylor, Barry J. Department of Women's and Children's Health, Dunedin School of Medicine, University of Otago, Dunedin 9054, New Zealand. barry.taylor@otago.ac.nz. de Lange, Michel. Department Preventative and Social Medicine, University of Otago, Dunedin 9054, New Zealand. michel.delange@otago.ac.nz. Harper, Michelle J. Department of Human Nutrition, University of Otago, Dunedin 9054, New Zealand. michelle.harper@otago.ac.nz. Jones, Shirley. Department of Women's and Children's Health, Dunedin School of Medicine, University of Otago, Dunedin 9054, New Zealand. shirley.jones@otago.ac.nz. Mekhail, Adel. Department of Women's and Children's Health, Dunedin School of Medicine, University of Otago, Dunedin 9054, New Zealand. adel.mekhail@southerndhb.govt.nz. Houghton, Lisa A. Department of Human Nutrition, University of Otago, Dunedin 9054, New Zealand. lisa.houghton@otago.ac.nz.","title":"A Longitudinal Study of 25-Hydroxy Vitamin D and Parathyroid Hormone Status throughout Pregnancy and Exclusive Lactation in New Zealand Mothers and Their Infants at 45degree S","URL":"http://ovidsp.ovid.com/ovidweb.cgi?T=JS&amp;PAGE=reference&amp;D=med15&amp;NEWS=N&amp;AN=29342867","volume":"10","author":[{"family":"Wheeler","given":"Benjamin J."},{"family":"Taylor","given":"Barry J."},{"family":"Lange","given":"Michel","non-dropping-particle":"de"},{"family":"Harper","given":"Michelle J."},{"family":"Jones","given":"Shirley"},{"family":"Mekhail","given":"Adel"},{"family":"Houghton","given":"Lisa A."}],"issued":{"date-parts":[["2018"]]}}}],"schema":"https://github.com/citation-style-language/schema/raw/master/csl-citation.json"} </w:instrText>
      </w:r>
      <w:r w:rsidRPr="003E7BC5">
        <w:rPr>
          <w:lang w:val="en-NZ"/>
        </w:rPr>
        <w:fldChar w:fldCharType="separate"/>
      </w:r>
      <w:r w:rsidRPr="003E7BC5">
        <w:rPr>
          <w:lang w:val="en-NZ"/>
        </w:rPr>
        <w:t>(Ekeroma et al., 2015; Wheeler et al., 2018a)</w:t>
      </w:r>
      <w:r w:rsidRPr="003E7BC5">
        <w:rPr>
          <w:lang w:val="en-NZ"/>
        </w:rPr>
        <w:fldChar w:fldCharType="end"/>
      </w:r>
      <w:r w:rsidRPr="003E7BC5">
        <w:rPr>
          <w:lang w:val="en-NZ"/>
        </w:rPr>
        <w:t xml:space="preserve">. </w:t>
      </w:r>
    </w:p>
    <w:p w14:paraId="27F88B0D" w14:textId="77777777" w:rsidR="003E7BC5" w:rsidRPr="003E7BC5" w:rsidRDefault="003E7BC5" w:rsidP="003E7BC5">
      <w:pPr>
        <w:pStyle w:val="Heading2"/>
      </w:pPr>
      <w:bookmarkStart w:id="8" w:name="_Toc161403293"/>
      <w:bookmarkStart w:id="9" w:name="_Toc167269263"/>
      <w:bookmarkStart w:id="10" w:name="_Toc143088597"/>
      <w:r w:rsidRPr="003E7BC5">
        <w:t>Recommended vitamin D intake</w:t>
      </w:r>
      <w:bookmarkEnd w:id="8"/>
      <w:bookmarkEnd w:id="9"/>
      <w:r w:rsidRPr="003E7BC5">
        <w:t xml:space="preserve"> </w:t>
      </w:r>
      <w:bookmarkEnd w:id="10"/>
    </w:p>
    <w:p w14:paraId="04FB2E32" w14:textId="77777777" w:rsidR="003E7BC5" w:rsidRPr="003E7BC5" w:rsidRDefault="003E7BC5" w:rsidP="003E7BC5">
      <w:pPr>
        <w:rPr>
          <w:lang w:val="en-NZ"/>
        </w:rPr>
      </w:pPr>
      <w:r w:rsidRPr="003E7BC5">
        <w:rPr>
          <w:lang w:val="en-NZ"/>
        </w:rPr>
        <w:t xml:space="preserve">Vitamin D comes primarily from exposure to sunlight. Vitamin D is found naturally only in a few foods such as fatty fish, mushrooms, egg yolks and liver.  A person needs to be exposed to low levels of radiation in the UVB range </w:t>
      </w:r>
      <w:proofErr w:type="gramStart"/>
      <w:r w:rsidRPr="003E7BC5">
        <w:rPr>
          <w:lang w:val="en-NZ"/>
        </w:rPr>
        <w:t>in order to</w:t>
      </w:r>
      <w:proofErr w:type="gramEnd"/>
      <w:r w:rsidRPr="003E7BC5">
        <w:rPr>
          <w:lang w:val="en-NZ"/>
        </w:rPr>
        <w:t xml:space="preserve"> synthesise vitamin D in their skin. UVA does not contribute to vitamin D production. </w:t>
      </w:r>
    </w:p>
    <w:p w14:paraId="3327D7AE" w14:textId="77777777" w:rsidR="003E7BC5" w:rsidRPr="003E7BC5" w:rsidRDefault="003E7BC5" w:rsidP="003E7BC5">
      <w:pPr>
        <w:rPr>
          <w:lang w:val="en-NZ"/>
        </w:rPr>
      </w:pPr>
      <w:r w:rsidRPr="003E7BC5">
        <w:rPr>
          <w:lang w:val="en-NZ"/>
        </w:rPr>
        <w:t xml:space="preserve">Nutrient reference values (NRVs) refer to a range of recommended dietary intakes for vitamins and minerals, including an upper level of intake defined as maximum daily intake unlikely to cause adverse health effects. The NRVs are a joint initiative of the Australian Commonwealth Department of Health and Ageing and the New Zealand Ministry of Health </w:t>
      </w:r>
      <w:r w:rsidRPr="003E7BC5">
        <w:rPr>
          <w:lang w:val="en-NZ"/>
        </w:rPr>
        <w:fldChar w:fldCharType="begin"/>
      </w:r>
      <w:r w:rsidRPr="003E7BC5">
        <w:rPr>
          <w:lang w:val="en-NZ"/>
        </w:rPr>
        <w:instrText xml:space="preserve"> ADDIN ZOTERO_ITEM CSL_CITATION {"citationID":"dz4BcuAs","properties":{"formattedCitation":"(NHMRC, 2006)","plainCitation":"(NHMRC, 2006)","noteIndex":0},"citationItems":[{"id":1058,"uris":["http://zotero.org/groups/5078394/items/B6N9G4GP"],"itemData":{"id":1058,"type":"document","publisher":"National Health and Medical Research Council","title":"Nutrient Reference Values for Australia and New Zealand Including Recommended Dietary Intakes","author":[{"literal":"NHMRC"}],"issued":{"date-parts":[["2006"]]}}}],"schema":"https://github.com/citation-style-language/schema/raw/master/csl-citation.json"} </w:instrText>
      </w:r>
      <w:r w:rsidRPr="003E7BC5">
        <w:rPr>
          <w:lang w:val="en-NZ"/>
        </w:rPr>
        <w:fldChar w:fldCharType="separate"/>
      </w:r>
      <w:r w:rsidRPr="003E7BC5">
        <w:rPr>
          <w:lang w:val="en-NZ"/>
        </w:rPr>
        <w:t>(NHMRC, 2006)</w:t>
      </w:r>
      <w:r w:rsidRPr="003E7BC5">
        <w:rPr>
          <w:lang w:val="en-NZ"/>
        </w:rPr>
        <w:fldChar w:fldCharType="end"/>
      </w:r>
      <w:r w:rsidRPr="003E7BC5">
        <w:rPr>
          <w:lang w:val="en-NZ"/>
        </w:rPr>
        <w:t xml:space="preserve">. </w:t>
      </w:r>
    </w:p>
    <w:p w14:paraId="1A8A0BCD" w14:textId="77777777" w:rsidR="003E7BC5" w:rsidRPr="003E7BC5" w:rsidRDefault="003E7BC5" w:rsidP="003E7BC5">
      <w:pPr>
        <w:rPr>
          <w:lang w:val="en-NZ"/>
        </w:rPr>
      </w:pPr>
      <w:r w:rsidRPr="003E7BC5">
        <w:rPr>
          <w:lang w:val="en-NZ"/>
        </w:rPr>
        <w:t xml:space="preserve">In Aotearoa New Zealand and Australia, the recommended adequate intake for vitamin D assumes no or minimal sunlight as sun exposure factors and environmental factors can vary widely between individuals. </w:t>
      </w:r>
    </w:p>
    <w:p w14:paraId="3CF365EE" w14:textId="77777777" w:rsidR="003E7BC5" w:rsidRPr="003E7BC5" w:rsidRDefault="003E7BC5" w:rsidP="003E7BC5">
      <w:pPr>
        <w:rPr>
          <w:lang w:val="en-NZ"/>
        </w:rPr>
      </w:pPr>
      <w:r w:rsidRPr="003E7BC5">
        <w:rPr>
          <w:lang w:val="en-NZ"/>
        </w:rPr>
        <w:t xml:space="preserve">The recommended daily intake is 200 International Units of vitamin D per day (5 micrograms per day) for infants and people aged until 50 years of age, with older adults aged 50 years and above having increased requirements </w:t>
      </w:r>
      <w:r w:rsidRPr="003E7BC5">
        <w:rPr>
          <w:lang w:val="en-NZ"/>
        </w:rPr>
        <w:fldChar w:fldCharType="begin"/>
      </w:r>
      <w:r w:rsidRPr="003E7BC5">
        <w:rPr>
          <w:lang w:val="en-NZ"/>
        </w:rPr>
        <w:instrText xml:space="preserve"> ADDIN ZOTERO_ITEM CSL_CITATION {"citationID":"WpbLTFtn","properties":{"formattedCitation":"(NHMRC, 2006)","plainCitation":"(NHMRC, 2006)","noteIndex":0},"citationItems":[{"id":1058,"uris":["http://zotero.org/groups/5078394/items/B6N9G4GP"],"itemData":{"id":1058,"type":"document","publisher":"National Health and Medical Research Council","title":"Nutrient Reference Values for Australia and New Zealand Including Recommended Dietary Intakes","author":[{"literal":"NHMRC"}],"issued":{"date-parts":[["2006"]]}}}],"schema":"https://github.com/citation-style-language/schema/raw/master/csl-citation.json"} </w:instrText>
      </w:r>
      <w:r w:rsidRPr="003E7BC5">
        <w:rPr>
          <w:lang w:val="en-NZ"/>
        </w:rPr>
        <w:fldChar w:fldCharType="separate"/>
      </w:r>
      <w:r w:rsidRPr="003E7BC5">
        <w:rPr>
          <w:lang w:val="en-NZ"/>
        </w:rPr>
        <w:t>(NHMRC, 2006)</w:t>
      </w:r>
      <w:r w:rsidRPr="003E7BC5">
        <w:rPr>
          <w:lang w:val="en-NZ"/>
        </w:rPr>
        <w:fldChar w:fldCharType="end"/>
      </w:r>
      <w:r w:rsidRPr="003E7BC5">
        <w:rPr>
          <w:lang w:val="en-NZ"/>
        </w:rPr>
        <w:t xml:space="preserve">. The upper level for infants (0-12 </w:t>
      </w:r>
      <w:r w:rsidRPr="003E7BC5">
        <w:rPr>
          <w:lang w:val="en-NZ"/>
        </w:rPr>
        <w:lastRenderedPageBreak/>
        <w:t>months) is 1,000 International Units</w:t>
      </w:r>
      <w:r w:rsidRPr="003E7BC5" w:rsidDel="00E02CA1">
        <w:rPr>
          <w:lang w:val="en-NZ"/>
        </w:rPr>
        <w:t xml:space="preserve"> </w:t>
      </w:r>
      <w:r w:rsidRPr="003E7BC5">
        <w:rPr>
          <w:lang w:val="en-NZ"/>
        </w:rPr>
        <w:t>per day (25 micrograms per day) and 3,200 International Units per day (80 micrograms per day) during pregnancy and breastfeeding.</w:t>
      </w:r>
    </w:p>
    <w:p w14:paraId="609A269D" w14:textId="77777777" w:rsidR="003E7BC5" w:rsidRPr="003E7BC5" w:rsidRDefault="003E7BC5" w:rsidP="003E7BC5">
      <w:pPr>
        <w:rPr>
          <w:lang w:val="en-NZ"/>
        </w:rPr>
      </w:pPr>
      <w:r w:rsidRPr="003E7BC5">
        <w:rPr>
          <w:lang w:val="en-NZ"/>
        </w:rPr>
        <w:t>Vitamin D supplementation is not universally recommended in the general adult population, but the NHMRC</w:t>
      </w:r>
      <w:r w:rsidRPr="003E7BC5">
        <w:rPr>
          <w:lang w:val="en-NZ"/>
        </w:rPr>
        <w:fldChar w:fldCharType="begin"/>
      </w:r>
      <w:r w:rsidRPr="003E7BC5">
        <w:rPr>
          <w:lang w:val="en-NZ"/>
        </w:rPr>
        <w:instrText xml:space="preserve"> ADDIN ZOTERO_ITEM CSL_CITATION {"citationID":"cGMJwlQV","properties":{"formattedCitation":"(NHMRC, 2006)","plainCitation":"(NHMRC, 2006)","dontUpdate":true,"noteIndex":0},"citationItems":[{"id":1058,"uris":["http://zotero.org/groups/5078394/items/B6N9G4GP"],"itemData":{"id":1058,"type":"document","publisher":"National Health and Medical Research Council","title":"Nutrient Reference Values for Australia and New Zealand Including Recommended Dietary Intakes","author":[{"literal":"NHMRC"}],"issued":{"date-parts":[["2006"]]}}}],"schema":"https://github.com/citation-style-language/schema/raw/master/csl-citation.json"} </w:instrText>
      </w:r>
      <w:r w:rsidRPr="003E7BC5">
        <w:rPr>
          <w:lang w:val="en-NZ"/>
        </w:rPr>
        <w:fldChar w:fldCharType="separate"/>
      </w:r>
      <w:r w:rsidRPr="003E7BC5">
        <w:rPr>
          <w:lang w:val="en-NZ"/>
        </w:rPr>
        <w:t xml:space="preserve"> (2006)</w:t>
      </w:r>
      <w:r w:rsidRPr="003E7BC5">
        <w:rPr>
          <w:lang w:val="en-NZ"/>
        </w:rPr>
        <w:fldChar w:fldCharType="end"/>
      </w:r>
      <w:r w:rsidRPr="003E7BC5">
        <w:rPr>
          <w:lang w:val="en-NZ"/>
        </w:rPr>
        <w:t xml:space="preserve"> recommends a supplement of 400 International Units per day (10 micrograms per day) in pregnancy or when breastfeeding if there is little exposure to daily sunlight.</w:t>
      </w:r>
    </w:p>
    <w:p w14:paraId="14C835FF" w14:textId="77777777" w:rsidR="003E7BC5" w:rsidRPr="003E7BC5" w:rsidRDefault="003E7BC5" w:rsidP="003E7BC5">
      <w:pPr>
        <w:rPr>
          <w:lang w:val="en-NZ"/>
        </w:rPr>
      </w:pPr>
      <w:r w:rsidRPr="003E7BC5">
        <w:rPr>
          <w:lang w:val="en-NZ"/>
        </w:rPr>
        <w:t xml:space="preserve">Table 1 shows the recommended intake across different countries and regulating organisations, including the upper level of intake of vitamin D set by the US Institute of Medicine. </w:t>
      </w:r>
    </w:p>
    <w:p w14:paraId="18E29256" w14:textId="16BA8A32" w:rsidR="003E7BC5" w:rsidRDefault="003E7BC5" w:rsidP="003E7BC5">
      <w:pPr>
        <w:pStyle w:val="Bold"/>
      </w:pPr>
      <w:r>
        <w:t xml:space="preserve">Table </w:t>
      </w:r>
      <w:r>
        <w:fldChar w:fldCharType="begin"/>
      </w:r>
      <w:r>
        <w:instrText xml:space="preserve"> SEQ Table \* ARABIC </w:instrText>
      </w:r>
      <w:r>
        <w:fldChar w:fldCharType="separate"/>
      </w:r>
      <w:r w:rsidR="002B0407">
        <w:rPr>
          <w:noProof/>
        </w:rPr>
        <w:t>1</w:t>
      </w:r>
      <w:r>
        <w:fldChar w:fldCharType="end"/>
      </w:r>
      <w:r>
        <w:t>: Recommended dietary intake of vitamin D</w:t>
      </w:r>
    </w:p>
    <w:tbl>
      <w:tblPr>
        <w:tblStyle w:val="TableGrid"/>
        <w:tblW w:w="5000" w:type="pct"/>
        <w:tblLook w:val="01E0" w:firstRow="1" w:lastRow="1" w:firstColumn="1" w:lastColumn="1" w:noHBand="0" w:noVBand="0"/>
      </w:tblPr>
      <w:tblGrid>
        <w:gridCol w:w="1343"/>
        <w:gridCol w:w="1548"/>
        <w:gridCol w:w="1446"/>
        <w:gridCol w:w="1237"/>
        <w:gridCol w:w="1958"/>
        <w:gridCol w:w="1484"/>
      </w:tblGrid>
      <w:tr w:rsidR="003E7BC5" w:rsidRPr="003E7BC5" w14:paraId="77542008" w14:textId="77777777" w:rsidTr="003E7BC5">
        <w:trPr>
          <w:cnfStyle w:val="100000000000" w:firstRow="1" w:lastRow="0" w:firstColumn="0" w:lastColumn="0" w:oddVBand="0" w:evenVBand="0" w:oddHBand="0" w:evenHBand="0" w:firstRowFirstColumn="0" w:firstRowLastColumn="0" w:lastRowFirstColumn="0" w:lastRowLastColumn="0"/>
          <w:trHeight w:val="1364"/>
        </w:trPr>
        <w:tc>
          <w:tcPr>
            <w:tcW w:w="744" w:type="pct"/>
          </w:tcPr>
          <w:p w14:paraId="5A1859A0" w14:textId="77777777" w:rsidR="003E7BC5" w:rsidRPr="003E7BC5" w:rsidRDefault="003E7BC5" w:rsidP="003E7BC5">
            <w:pPr>
              <w:rPr>
                <w:sz w:val="22"/>
                <w:szCs w:val="24"/>
                <w:lang w:val="en-NZ"/>
              </w:rPr>
            </w:pPr>
          </w:p>
        </w:tc>
        <w:tc>
          <w:tcPr>
            <w:tcW w:w="858" w:type="pct"/>
          </w:tcPr>
          <w:p w14:paraId="73333494" w14:textId="77777777" w:rsidR="003E7BC5" w:rsidRPr="003E7BC5" w:rsidRDefault="003E7BC5" w:rsidP="003E7BC5">
            <w:pPr>
              <w:jc w:val="center"/>
              <w:rPr>
                <w:sz w:val="22"/>
                <w:szCs w:val="24"/>
                <w:lang w:val="en-NZ"/>
              </w:rPr>
            </w:pPr>
            <w:r w:rsidRPr="003E7BC5">
              <w:rPr>
                <w:sz w:val="22"/>
                <w:szCs w:val="24"/>
                <w:lang w:val="en-NZ"/>
              </w:rPr>
              <w:t>Australia and New Zealand (NHMRC 2006)</w:t>
            </w:r>
          </w:p>
        </w:tc>
        <w:tc>
          <w:tcPr>
            <w:tcW w:w="802" w:type="pct"/>
          </w:tcPr>
          <w:p w14:paraId="0E74F4D3" w14:textId="77777777" w:rsidR="003E7BC5" w:rsidRPr="003E7BC5" w:rsidRDefault="003E7BC5" w:rsidP="003E7BC5">
            <w:pPr>
              <w:jc w:val="center"/>
              <w:rPr>
                <w:sz w:val="22"/>
                <w:szCs w:val="24"/>
                <w:lang w:val="en-NZ"/>
              </w:rPr>
            </w:pPr>
            <w:r w:rsidRPr="003E7BC5">
              <w:rPr>
                <w:sz w:val="22"/>
                <w:szCs w:val="24"/>
                <w:lang w:val="en-NZ"/>
              </w:rPr>
              <w:t>United States and Canada (Institute of Medicine 2011)</w:t>
            </w:r>
          </w:p>
        </w:tc>
        <w:tc>
          <w:tcPr>
            <w:tcW w:w="686" w:type="pct"/>
          </w:tcPr>
          <w:p w14:paraId="37E0FB39" w14:textId="4D90D7E6" w:rsidR="003E7BC5" w:rsidRPr="003E7BC5" w:rsidRDefault="003E7BC5" w:rsidP="003E7BC5">
            <w:pPr>
              <w:jc w:val="center"/>
              <w:rPr>
                <w:sz w:val="22"/>
                <w:szCs w:val="24"/>
                <w:lang w:val="en-NZ"/>
              </w:rPr>
            </w:pPr>
            <w:r w:rsidRPr="003E7BC5">
              <w:rPr>
                <w:sz w:val="22"/>
                <w:szCs w:val="24"/>
                <w:lang w:val="en-NZ"/>
              </w:rPr>
              <w:t xml:space="preserve">UK </w:t>
            </w:r>
            <w:r>
              <w:rPr>
                <w:sz w:val="22"/>
                <w:szCs w:val="24"/>
                <w:lang w:val="en-NZ"/>
              </w:rPr>
              <w:br/>
            </w:r>
            <w:r w:rsidRPr="003E7BC5">
              <w:rPr>
                <w:sz w:val="22"/>
                <w:szCs w:val="24"/>
                <w:lang w:val="en-NZ"/>
              </w:rPr>
              <w:t>(</w:t>
            </w:r>
            <w:r w:rsidRPr="003E7BC5">
              <w:rPr>
                <w:bCs/>
                <w:sz w:val="22"/>
                <w:szCs w:val="24"/>
                <w:lang w:val="en-NZ"/>
              </w:rPr>
              <w:t xml:space="preserve">SACN </w:t>
            </w:r>
            <w:r w:rsidRPr="003E7BC5">
              <w:rPr>
                <w:sz w:val="22"/>
                <w:szCs w:val="24"/>
                <w:lang w:val="en-NZ"/>
              </w:rPr>
              <w:t>2016)</w:t>
            </w:r>
          </w:p>
        </w:tc>
        <w:tc>
          <w:tcPr>
            <w:tcW w:w="1086" w:type="pct"/>
          </w:tcPr>
          <w:p w14:paraId="4D1298DE" w14:textId="77777777" w:rsidR="003E7BC5" w:rsidRPr="003E7BC5" w:rsidRDefault="003E7BC5" w:rsidP="003E7BC5">
            <w:pPr>
              <w:jc w:val="center"/>
              <w:rPr>
                <w:sz w:val="22"/>
                <w:szCs w:val="24"/>
                <w:lang w:val="en-NZ"/>
              </w:rPr>
            </w:pPr>
            <w:r w:rsidRPr="003E7BC5">
              <w:rPr>
                <w:sz w:val="22"/>
                <w:szCs w:val="24"/>
                <w:lang w:val="en-NZ"/>
              </w:rPr>
              <w:t xml:space="preserve">Germany, </w:t>
            </w:r>
            <w:proofErr w:type="gramStart"/>
            <w:r w:rsidRPr="003E7BC5">
              <w:rPr>
                <w:sz w:val="22"/>
                <w:szCs w:val="24"/>
                <w:lang w:val="en-NZ"/>
              </w:rPr>
              <w:t>Austria</w:t>
            </w:r>
            <w:proofErr w:type="gramEnd"/>
            <w:r w:rsidRPr="003E7BC5">
              <w:rPr>
                <w:sz w:val="22"/>
                <w:szCs w:val="24"/>
                <w:lang w:val="en-NZ"/>
              </w:rPr>
              <w:t xml:space="preserve"> and Switzerland (Deutsche Gesellschaft für </w:t>
            </w:r>
            <w:proofErr w:type="spellStart"/>
            <w:r w:rsidRPr="003E7BC5">
              <w:rPr>
                <w:sz w:val="22"/>
                <w:szCs w:val="24"/>
                <w:lang w:val="en-NZ"/>
              </w:rPr>
              <w:t>Ernährung</w:t>
            </w:r>
            <w:proofErr w:type="spellEnd"/>
            <w:r w:rsidRPr="003E7BC5">
              <w:rPr>
                <w:sz w:val="22"/>
                <w:szCs w:val="24"/>
                <w:lang w:val="en-NZ"/>
              </w:rPr>
              <w:t xml:space="preserve"> 2012)</w:t>
            </w:r>
          </w:p>
        </w:tc>
        <w:tc>
          <w:tcPr>
            <w:tcW w:w="823" w:type="pct"/>
          </w:tcPr>
          <w:p w14:paraId="5D7F4A59" w14:textId="77777777" w:rsidR="003E7BC5" w:rsidRPr="003E7BC5" w:rsidRDefault="003E7BC5" w:rsidP="003E7BC5">
            <w:pPr>
              <w:jc w:val="center"/>
              <w:rPr>
                <w:sz w:val="22"/>
                <w:szCs w:val="24"/>
                <w:lang w:val="en-NZ"/>
              </w:rPr>
            </w:pPr>
            <w:r w:rsidRPr="003E7BC5">
              <w:rPr>
                <w:sz w:val="22"/>
                <w:szCs w:val="24"/>
                <w:lang w:val="en-NZ"/>
              </w:rPr>
              <w:t>Tolerable upper intake level - adapted from IOM (2011)</w:t>
            </w:r>
          </w:p>
        </w:tc>
      </w:tr>
      <w:tr w:rsidR="003E7BC5" w:rsidRPr="003E7BC5" w14:paraId="78481EC7" w14:textId="77777777" w:rsidTr="003E7BC5">
        <w:trPr>
          <w:trHeight w:val="1177"/>
        </w:trPr>
        <w:tc>
          <w:tcPr>
            <w:tcW w:w="744" w:type="pct"/>
          </w:tcPr>
          <w:p w14:paraId="715DBBBA" w14:textId="77777777" w:rsidR="003E7BC5" w:rsidRPr="003E7BC5" w:rsidRDefault="003E7BC5" w:rsidP="003E7BC5">
            <w:pPr>
              <w:rPr>
                <w:b/>
                <w:bCs/>
                <w:sz w:val="22"/>
                <w:szCs w:val="24"/>
                <w:lang w:val="en-NZ"/>
              </w:rPr>
            </w:pPr>
            <w:r w:rsidRPr="003E7BC5">
              <w:rPr>
                <w:b/>
                <w:bCs/>
                <w:sz w:val="22"/>
                <w:szCs w:val="24"/>
                <w:lang w:val="en-NZ"/>
              </w:rPr>
              <w:t>Pregnancy</w:t>
            </w:r>
          </w:p>
        </w:tc>
        <w:tc>
          <w:tcPr>
            <w:tcW w:w="858" w:type="pct"/>
          </w:tcPr>
          <w:p w14:paraId="33F7D345" w14:textId="77777777" w:rsidR="003E7BC5" w:rsidRPr="003E7BC5" w:rsidRDefault="003E7BC5" w:rsidP="003E7BC5">
            <w:pPr>
              <w:jc w:val="center"/>
              <w:rPr>
                <w:sz w:val="22"/>
                <w:szCs w:val="24"/>
                <w:lang w:val="en-NZ"/>
              </w:rPr>
            </w:pPr>
            <w:r w:rsidRPr="003E7BC5">
              <w:rPr>
                <w:sz w:val="22"/>
                <w:szCs w:val="24"/>
                <w:lang w:val="en-NZ"/>
              </w:rPr>
              <w:t xml:space="preserve">200 IU/day (5 </w:t>
            </w:r>
            <w:proofErr w:type="spellStart"/>
            <w:r w:rsidRPr="003E7BC5">
              <w:rPr>
                <w:sz w:val="22"/>
                <w:szCs w:val="24"/>
                <w:lang w:val="en-NZ"/>
              </w:rPr>
              <w:t>μg</w:t>
            </w:r>
            <w:proofErr w:type="spellEnd"/>
            <w:r w:rsidRPr="003E7BC5">
              <w:rPr>
                <w:sz w:val="22"/>
                <w:szCs w:val="24"/>
                <w:lang w:val="en-NZ"/>
              </w:rPr>
              <w:t>) AI or</w:t>
            </w:r>
          </w:p>
          <w:p w14:paraId="4570CBEB" w14:textId="77777777" w:rsidR="003E7BC5" w:rsidRPr="003E7BC5" w:rsidRDefault="003E7BC5" w:rsidP="003E7BC5">
            <w:pPr>
              <w:jc w:val="center"/>
              <w:rPr>
                <w:sz w:val="22"/>
                <w:szCs w:val="24"/>
                <w:lang w:val="en-NZ"/>
              </w:rPr>
            </w:pPr>
            <w:r w:rsidRPr="003E7BC5">
              <w:rPr>
                <w:sz w:val="22"/>
                <w:szCs w:val="24"/>
                <w:lang w:val="en-NZ"/>
              </w:rPr>
              <w:t xml:space="preserve">10 </w:t>
            </w:r>
            <w:proofErr w:type="spellStart"/>
            <w:r w:rsidRPr="003E7BC5">
              <w:rPr>
                <w:sz w:val="22"/>
                <w:szCs w:val="24"/>
                <w:lang w:val="en-NZ"/>
              </w:rPr>
              <w:t>μg</w:t>
            </w:r>
            <w:proofErr w:type="spellEnd"/>
            <w:r w:rsidRPr="003E7BC5">
              <w:rPr>
                <w:sz w:val="22"/>
                <w:szCs w:val="24"/>
                <w:lang w:val="en-NZ"/>
              </w:rPr>
              <w:t>/day (400 IU) supplement</w:t>
            </w:r>
          </w:p>
        </w:tc>
        <w:tc>
          <w:tcPr>
            <w:tcW w:w="802" w:type="pct"/>
          </w:tcPr>
          <w:p w14:paraId="134BC5A6" w14:textId="77777777" w:rsidR="003E7BC5" w:rsidRPr="003E7BC5" w:rsidRDefault="003E7BC5" w:rsidP="003E7BC5">
            <w:pPr>
              <w:jc w:val="center"/>
              <w:rPr>
                <w:sz w:val="22"/>
                <w:szCs w:val="24"/>
                <w:lang w:val="en-NZ"/>
              </w:rPr>
            </w:pPr>
            <w:r w:rsidRPr="003E7BC5">
              <w:rPr>
                <w:sz w:val="22"/>
                <w:szCs w:val="24"/>
                <w:lang w:val="en-NZ"/>
              </w:rPr>
              <w:t>600 IU/day</w:t>
            </w:r>
          </w:p>
          <w:p w14:paraId="5CEA2B86" w14:textId="77777777" w:rsidR="003E7BC5" w:rsidRPr="003E7BC5" w:rsidRDefault="003E7BC5" w:rsidP="003E7BC5">
            <w:pPr>
              <w:jc w:val="center"/>
              <w:rPr>
                <w:sz w:val="22"/>
                <w:szCs w:val="24"/>
                <w:lang w:val="en-NZ"/>
              </w:rPr>
            </w:pPr>
            <w:r w:rsidRPr="003E7BC5">
              <w:rPr>
                <w:sz w:val="22"/>
                <w:szCs w:val="24"/>
                <w:lang w:val="en-NZ"/>
              </w:rPr>
              <w:t xml:space="preserve">(15 </w:t>
            </w:r>
            <w:proofErr w:type="spellStart"/>
            <w:r w:rsidRPr="003E7BC5">
              <w:rPr>
                <w:sz w:val="22"/>
                <w:szCs w:val="24"/>
                <w:lang w:val="en-NZ"/>
              </w:rPr>
              <w:t>μg</w:t>
            </w:r>
            <w:proofErr w:type="spellEnd"/>
            <w:r w:rsidRPr="003E7BC5">
              <w:rPr>
                <w:sz w:val="22"/>
                <w:szCs w:val="24"/>
                <w:lang w:val="en-NZ"/>
              </w:rPr>
              <w:t>)</w:t>
            </w:r>
          </w:p>
        </w:tc>
        <w:tc>
          <w:tcPr>
            <w:tcW w:w="686" w:type="pct"/>
          </w:tcPr>
          <w:p w14:paraId="1E9492B1" w14:textId="77777777" w:rsidR="003E7BC5" w:rsidRPr="003E7BC5" w:rsidRDefault="003E7BC5" w:rsidP="003E7BC5">
            <w:pPr>
              <w:jc w:val="center"/>
              <w:rPr>
                <w:sz w:val="22"/>
                <w:szCs w:val="24"/>
                <w:lang w:val="en-NZ"/>
              </w:rPr>
            </w:pPr>
            <w:r w:rsidRPr="003E7BC5">
              <w:rPr>
                <w:sz w:val="22"/>
                <w:szCs w:val="24"/>
                <w:lang w:val="en-NZ"/>
              </w:rPr>
              <w:t>400 IU/day</w:t>
            </w:r>
          </w:p>
          <w:p w14:paraId="44CC5011" w14:textId="77777777" w:rsidR="003E7BC5" w:rsidRPr="003E7BC5" w:rsidRDefault="003E7BC5" w:rsidP="003E7BC5">
            <w:pPr>
              <w:jc w:val="center"/>
              <w:rPr>
                <w:sz w:val="22"/>
                <w:szCs w:val="24"/>
                <w:lang w:val="en-NZ"/>
              </w:rPr>
            </w:pPr>
            <w:r w:rsidRPr="003E7BC5">
              <w:rPr>
                <w:sz w:val="22"/>
                <w:szCs w:val="24"/>
                <w:lang w:val="en-NZ"/>
              </w:rPr>
              <w:t xml:space="preserve">(10 </w:t>
            </w:r>
            <w:proofErr w:type="spellStart"/>
            <w:r w:rsidRPr="003E7BC5">
              <w:rPr>
                <w:sz w:val="22"/>
                <w:szCs w:val="24"/>
                <w:lang w:val="en-NZ"/>
              </w:rPr>
              <w:t>μg</w:t>
            </w:r>
            <w:proofErr w:type="spellEnd"/>
            <w:r w:rsidRPr="003E7BC5">
              <w:rPr>
                <w:sz w:val="22"/>
                <w:szCs w:val="24"/>
                <w:lang w:val="en-NZ"/>
              </w:rPr>
              <w:t>)</w:t>
            </w:r>
          </w:p>
        </w:tc>
        <w:tc>
          <w:tcPr>
            <w:tcW w:w="1086" w:type="pct"/>
          </w:tcPr>
          <w:p w14:paraId="6D2865C1" w14:textId="77777777" w:rsidR="003E7BC5" w:rsidRPr="003E7BC5" w:rsidRDefault="003E7BC5" w:rsidP="003E7BC5">
            <w:pPr>
              <w:jc w:val="center"/>
              <w:rPr>
                <w:sz w:val="22"/>
                <w:szCs w:val="24"/>
                <w:lang w:val="en-NZ"/>
              </w:rPr>
            </w:pPr>
            <w:r w:rsidRPr="003E7BC5">
              <w:rPr>
                <w:sz w:val="22"/>
                <w:szCs w:val="24"/>
                <w:lang w:val="en-NZ"/>
              </w:rPr>
              <w:t>800 IU/day</w:t>
            </w:r>
          </w:p>
          <w:p w14:paraId="41D48530" w14:textId="77777777" w:rsidR="003E7BC5" w:rsidRPr="003E7BC5" w:rsidRDefault="003E7BC5" w:rsidP="003E7BC5">
            <w:pPr>
              <w:jc w:val="center"/>
              <w:rPr>
                <w:sz w:val="22"/>
                <w:szCs w:val="24"/>
                <w:lang w:val="en-NZ"/>
              </w:rPr>
            </w:pPr>
            <w:r w:rsidRPr="003E7BC5">
              <w:rPr>
                <w:sz w:val="22"/>
                <w:szCs w:val="24"/>
                <w:lang w:val="en-NZ"/>
              </w:rPr>
              <w:t xml:space="preserve">(20 </w:t>
            </w:r>
            <w:proofErr w:type="spellStart"/>
            <w:r w:rsidRPr="003E7BC5">
              <w:rPr>
                <w:sz w:val="22"/>
                <w:szCs w:val="24"/>
                <w:lang w:val="en-NZ"/>
              </w:rPr>
              <w:t>μ</w:t>
            </w:r>
            <w:proofErr w:type="gramStart"/>
            <w:r w:rsidRPr="003E7BC5">
              <w:rPr>
                <w:sz w:val="22"/>
                <w:szCs w:val="24"/>
                <w:lang w:val="en-NZ"/>
              </w:rPr>
              <w:t>g</w:t>
            </w:r>
            <w:proofErr w:type="spellEnd"/>
            <w:r w:rsidRPr="003E7BC5" w:rsidDel="00E02CA1">
              <w:rPr>
                <w:sz w:val="22"/>
                <w:szCs w:val="24"/>
                <w:lang w:val="en-NZ"/>
              </w:rPr>
              <w:t xml:space="preserve"> </w:t>
            </w:r>
            <w:r w:rsidRPr="003E7BC5">
              <w:rPr>
                <w:sz w:val="22"/>
                <w:szCs w:val="24"/>
                <w:lang w:val="en-NZ"/>
              </w:rPr>
              <w:t>)</w:t>
            </w:r>
            <w:proofErr w:type="gramEnd"/>
          </w:p>
        </w:tc>
        <w:tc>
          <w:tcPr>
            <w:tcW w:w="823" w:type="pct"/>
          </w:tcPr>
          <w:p w14:paraId="110667D2" w14:textId="77777777" w:rsidR="003E7BC5" w:rsidRPr="003E7BC5" w:rsidRDefault="003E7BC5" w:rsidP="003E7BC5">
            <w:pPr>
              <w:jc w:val="center"/>
              <w:rPr>
                <w:sz w:val="22"/>
                <w:szCs w:val="24"/>
                <w:lang w:val="en-NZ"/>
              </w:rPr>
            </w:pPr>
            <w:r w:rsidRPr="003E7BC5">
              <w:rPr>
                <w:sz w:val="22"/>
                <w:szCs w:val="24"/>
                <w:lang w:val="en-NZ"/>
              </w:rPr>
              <w:t>4,000 IU/day</w:t>
            </w:r>
          </w:p>
          <w:p w14:paraId="3DC98D8D" w14:textId="77777777" w:rsidR="003E7BC5" w:rsidRPr="003E7BC5" w:rsidRDefault="003E7BC5" w:rsidP="003E7BC5">
            <w:pPr>
              <w:jc w:val="center"/>
              <w:rPr>
                <w:sz w:val="22"/>
                <w:szCs w:val="24"/>
                <w:lang w:val="en-NZ"/>
              </w:rPr>
            </w:pPr>
            <w:r w:rsidRPr="003E7BC5">
              <w:rPr>
                <w:sz w:val="22"/>
                <w:szCs w:val="24"/>
                <w:lang w:val="en-NZ"/>
              </w:rPr>
              <w:t xml:space="preserve">(100 </w:t>
            </w:r>
            <w:proofErr w:type="spellStart"/>
            <w:r w:rsidRPr="003E7BC5">
              <w:rPr>
                <w:sz w:val="22"/>
                <w:szCs w:val="24"/>
                <w:lang w:val="en-NZ"/>
              </w:rPr>
              <w:t>μg</w:t>
            </w:r>
            <w:proofErr w:type="spellEnd"/>
            <w:r w:rsidRPr="003E7BC5">
              <w:rPr>
                <w:sz w:val="22"/>
                <w:szCs w:val="24"/>
                <w:lang w:val="en-NZ"/>
              </w:rPr>
              <w:t>)</w:t>
            </w:r>
          </w:p>
        </w:tc>
      </w:tr>
      <w:tr w:rsidR="003E7BC5" w:rsidRPr="003E7BC5" w14:paraId="784A787B" w14:textId="77777777" w:rsidTr="003E7BC5">
        <w:trPr>
          <w:trHeight w:val="745"/>
        </w:trPr>
        <w:tc>
          <w:tcPr>
            <w:tcW w:w="744" w:type="pct"/>
          </w:tcPr>
          <w:p w14:paraId="01D1C038" w14:textId="77777777" w:rsidR="003E7BC5" w:rsidRPr="003E7BC5" w:rsidRDefault="003E7BC5" w:rsidP="003E7BC5">
            <w:pPr>
              <w:rPr>
                <w:b/>
                <w:bCs/>
                <w:sz w:val="22"/>
                <w:szCs w:val="24"/>
                <w:lang w:val="en-NZ"/>
              </w:rPr>
            </w:pPr>
            <w:r w:rsidRPr="003E7BC5">
              <w:rPr>
                <w:b/>
                <w:bCs/>
                <w:sz w:val="22"/>
                <w:szCs w:val="24"/>
                <w:lang w:val="en-NZ"/>
              </w:rPr>
              <w:t>Infants</w:t>
            </w:r>
          </w:p>
        </w:tc>
        <w:tc>
          <w:tcPr>
            <w:tcW w:w="858" w:type="pct"/>
          </w:tcPr>
          <w:p w14:paraId="66C7C4A3" w14:textId="77777777" w:rsidR="003E7BC5" w:rsidRPr="003E7BC5" w:rsidRDefault="003E7BC5" w:rsidP="003E7BC5">
            <w:pPr>
              <w:jc w:val="center"/>
              <w:rPr>
                <w:sz w:val="22"/>
                <w:szCs w:val="24"/>
                <w:lang w:val="en-NZ"/>
              </w:rPr>
            </w:pPr>
            <w:r w:rsidRPr="003E7BC5">
              <w:rPr>
                <w:sz w:val="22"/>
                <w:szCs w:val="24"/>
                <w:lang w:val="en-NZ"/>
              </w:rPr>
              <w:t>200 IU/day</w:t>
            </w:r>
          </w:p>
          <w:p w14:paraId="18CF8613" w14:textId="77777777" w:rsidR="003E7BC5" w:rsidRPr="003E7BC5" w:rsidRDefault="003E7BC5" w:rsidP="003E7BC5">
            <w:pPr>
              <w:jc w:val="center"/>
              <w:rPr>
                <w:sz w:val="22"/>
                <w:szCs w:val="24"/>
                <w:lang w:val="en-NZ"/>
              </w:rPr>
            </w:pPr>
            <w:r w:rsidRPr="003E7BC5">
              <w:rPr>
                <w:sz w:val="22"/>
                <w:szCs w:val="24"/>
                <w:lang w:val="en-NZ"/>
              </w:rPr>
              <w:t xml:space="preserve">(5 </w:t>
            </w:r>
            <w:proofErr w:type="spellStart"/>
            <w:r w:rsidRPr="003E7BC5">
              <w:rPr>
                <w:sz w:val="22"/>
                <w:szCs w:val="24"/>
                <w:lang w:val="en-NZ"/>
              </w:rPr>
              <w:t>μ</w:t>
            </w:r>
            <w:proofErr w:type="gramStart"/>
            <w:r w:rsidRPr="003E7BC5">
              <w:rPr>
                <w:sz w:val="22"/>
                <w:szCs w:val="24"/>
                <w:lang w:val="en-NZ"/>
              </w:rPr>
              <w:t>g</w:t>
            </w:r>
            <w:proofErr w:type="spellEnd"/>
            <w:r w:rsidRPr="003E7BC5" w:rsidDel="00031DBD">
              <w:rPr>
                <w:sz w:val="22"/>
                <w:szCs w:val="24"/>
                <w:lang w:val="en-NZ"/>
              </w:rPr>
              <w:t xml:space="preserve"> </w:t>
            </w:r>
            <w:r w:rsidRPr="003E7BC5">
              <w:rPr>
                <w:sz w:val="22"/>
                <w:szCs w:val="24"/>
                <w:lang w:val="en-NZ"/>
              </w:rPr>
              <w:t>)</w:t>
            </w:r>
            <w:proofErr w:type="gramEnd"/>
          </w:p>
        </w:tc>
        <w:tc>
          <w:tcPr>
            <w:tcW w:w="802" w:type="pct"/>
          </w:tcPr>
          <w:p w14:paraId="6C573DBF" w14:textId="77777777" w:rsidR="003E7BC5" w:rsidRPr="003E7BC5" w:rsidRDefault="003E7BC5" w:rsidP="003E7BC5">
            <w:pPr>
              <w:jc w:val="center"/>
              <w:rPr>
                <w:sz w:val="22"/>
                <w:szCs w:val="24"/>
                <w:lang w:val="en-NZ"/>
              </w:rPr>
            </w:pPr>
            <w:r w:rsidRPr="003E7BC5">
              <w:rPr>
                <w:sz w:val="22"/>
                <w:szCs w:val="24"/>
                <w:lang w:val="en-NZ"/>
              </w:rPr>
              <w:t>400 IU/day</w:t>
            </w:r>
          </w:p>
          <w:p w14:paraId="69E8C717" w14:textId="77777777" w:rsidR="003E7BC5" w:rsidRPr="003E7BC5" w:rsidRDefault="003E7BC5" w:rsidP="003E7BC5">
            <w:pPr>
              <w:jc w:val="center"/>
              <w:rPr>
                <w:sz w:val="22"/>
                <w:szCs w:val="24"/>
                <w:lang w:val="en-NZ"/>
              </w:rPr>
            </w:pPr>
            <w:r w:rsidRPr="003E7BC5">
              <w:rPr>
                <w:sz w:val="22"/>
                <w:szCs w:val="24"/>
                <w:lang w:val="en-NZ"/>
              </w:rPr>
              <w:t xml:space="preserve">(10 </w:t>
            </w:r>
            <w:proofErr w:type="spellStart"/>
            <w:r w:rsidRPr="003E7BC5">
              <w:rPr>
                <w:sz w:val="22"/>
                <w:szCs w:val="24"/>
                <w:lang w:val="en-NZ"/>
              </w:rPr>
              <w:t>μg</w:t>
            </w:r>
            <w:proofErr w:type="spellEnd"/>
            <w:r w:rsidRPr="003E7BC5">
              <w:rPr>
                <w:sz w:val="22"/>
                <w:szCs w:val="24"/>
                <w:lang w:val="en-NZ"/>
              </w:rPr>
              <w:t>)</w:t>
            </w:r>
          </w:p>
        </w:tc>
        <w:tc>
          <w:tcPr>
            <w:tcW w:w="686" w:type="pct"/>
          </w:tcPr>
          <w:p w14:paraId="222A9D31" w14:textId="77777777" w:rsidR="003E7BC5" w:rsidRPr="003E7BC5" w:rsidRDefault="003E7BC5" w:rsidP="003E7BC5">
            <w:pPr>
              <w:jc w:val="center"/>
              <w:rPr>
                <w:sz w:val="22"/>
                <w:szCs w:val="24"/>
                <w:lang w:val="en-NZ"/>
              </w:rPr>
            </w:pPr>
            <w:r w:rsidRPr="003E7BC5">
              <w:rPr>
                <w:sz w:val="22"/>
                <w:szCs w:val="24"/>
                <w:lang w:val="en-NZ"/>
              </w:rPr>
              <w:t>340–400IU/day</w:t>
            </w:r>
          </w:p>
          <w:p w14:paraId="57DD207D" w14:textId="77777777" w:rsidR="003E7BC5" w:rsidRPr="003E7BC5" w:rsidRDefault="003E7BC5" w:rsidP="003E7BC5">
            <w:pPr>
              <w:jc w:val="center"/>
              <w:rPr>
                <w:sz w:val="22"/>
                <w:szCs w:val="24"/>
                <w:lang w:val="en-NZ"/>
              </w:rPr>
            </w:pPr>
            <w:r w:rsidRPr="003E7BC5">
              <w:rPr>
                <w:sz w:val="22"/>
                <w:szCs w:val="24"/>
                <w:lang w:val="en-NZ"/>
              </w:rPr>
              <w:t xml:space="preserve">(8.5–10 </w:t>
            </w:r>
            <w:proofErr w:type="spellStart"/>
            <w:r w:rsidRPr="003E7BC5">
              <w:rPr>
                <w:sz w:val="22"/>
                <w:szCs w:val="24"/>
                <w:lang w:val="en-NZ"/>
              </w:rPr>
              <w:t>μg</w:t>
            </w:r>
            <w:proofErr w:type="spellEnd"/>
            <w:r w:rsidRPr="003E7BC5">
              <w:rPr>
                <w:sz w:val="22"/>
                <w:szCs w:val="24"/>
                <w:lang w:val="en-NZ"/>
              </w:rPr>
              <w:t>)</w:t>
            </w:r>
          </w:p>
        </w:tc>
        <w:tc>
          <w:tcPr>
            <w:tcW w:w="1086" w:type="pct"/>
          </w:tcPr>
          <w:p w14:paraId="59344462" w14:textId="77777777" w:rsidR="003E7BC5" w:rsidRPr="003E7BC5" w:rsidRDefault="003E7BC5" w:rsidP="003E7BC5">
            <w:pPr>
              <w:jc w:val="center"/>
              <w:rPr>
                <w:sz w:val="22"/>
                <w:szCs w:val="24"/>
                <w:lang w:val="en-NZ"/>
              </w:rPr>
            </w:pPr>
            <w:r w:rsidRPr="003E7BC5">
              <w:rPr>
                <w:sz w:val="22"/>
                <w:szCs w:val="24"/>
                <w:lang w:val="en-NZ"/>
              </w:rPr>
              <w:t>400 IU/day</w:t>
            </w:r>
          </w:p>
          <w:p w14:paraId="45304FCC" w14:textId="77777777" w:rsidR="003E7BC5" w:rsidRPr="003E7BC5" w:rsidRDefault="003E7BC5" w:rsidP="003E7BC5">
            <w:pPr>
              <w:jc w:val="center"/>
              <w:rPr>
                <w:sz w:val="22"/>
                <w:szCs w:val="24"/>
                <w:lang w:val="en-NZ"/>
              </w:rPr>
            </w:pPr>
            <w:r w:rsidRPr="003E7BC5">
              <w:rPr>
                <w:sz w:val="22"/>
                <w:szCs w:val="24"/>
                <w:lang w:val="en-NZ"/>
              </w:rPr>
              <w:t xml:space="preserve">(10 </w:t>
            </w:r>
            <w:proofErr w:type="spellStart"/>
            <w:r w:rsidRPr="003E7BC5">
              <w:rPr>
                <w:sz w:val="22"/>
                <w:szCs w:val="24"/>
                <w:lang w:val="en-NZ"/>
              </w:rPr>
              <w:t>μg</w:t>
            </w:r>
            <w:proofErr w:type="spellEnd"/>
            <w:r w:rsidRPr="003E7BC5">
              <w:rPr>
                <w:sz w:val="22"/>
                <w:szCs w:val="24"/>
                <w:lang w:val="en-NZ"/>
              </w:rPr>
              <w:t>)</w:t>
            </w:r>
          </w:p>
        </w:tc>
        <w:tc>
          <w:tcPr>
            <w:tcW w:w="823" w:type="pct"/>
          </w:tcPr>
          <w:p w14:paraId="69722A09" w14:textId="77777777" w:rsidR="003E7BC5" w:rsidRPr="003E7BC5" w:rsidRDefault="003E7BC5" w:rsidP="003E7BC5">
            <w:pPr>
              <w:jc w:val="center"/>
              <w:rPr>
                <w:sz w:val="22"/>
                <w:szCs w:val="24"/>
                <w:lang w:val="en-NZ"/>
              </w:rPr>
            </w:pPr>
            <w:r w:rsidRPr="003E7BC5">
              <w:rPr>
                <w:sz w:val="22"/>
                <w:szCs w:val="24"/>
                <w:lang w:val="en-NZ"/>
              </w:rPr>
              <w:t>1,000 IU/day</w:t>
            </w:r>
          </w:p>
          <w:p w14:paraId="5BC38ECF" w14:textId="77777777" w:rsidR="003E7BC5" w:rsidRPr="003E7BC5" w:rsidRDefault="003E7BC5" w:rsidP="003E7BC5">
            <w:pPr>
              <w:jc w:val="center"/>
              <w:rPr>
                <w:sz w:val="22"/>
                <w:szCs w:val="24"/>
                <w:lang w:val="en-NZ"/>
              </w:rPr>
            </w:pPr>
            <w:r w:rsidRPr="003E7BC5">
              <w:rPr>
                <w:sz w:val="22"/>
                <w:szCs w:val="24"/>
                <w:lang w:val="en-NZ"/>
              </w:rPr>
              <w:t xml:space="preserve">(25 </w:t>
            </w:r>
            <w:proofErr w:type="spellStart"/>
            <w:r w:rsidRPr="003E7BC5">
              <w:rPr>
                <w:sz w:val="22"/>
                <w:szCs w:val="24"/>
                <w:lang w:val="en-NZ"/>
              </w:rPr>
              <w:t>μg</w:t>
            </w:r>
            <w:proofErr w:type="spellEnd"/>
            <w:r w:rsidRPr="003E7BC5">
              <w:rPr>
                <w:sz w:val="22"/>
                <w:szCs w:val="24"/>
                <w:lang w:val="en-NZ"/>
              </w:rPr>
              <w:t>)</w:t>
            </w:r>
          </w:p>
        </w:tc>
      </w:tr>
    </w:tbl>
    <w:p w14:paraId="56A98369" w14:textId="77777777" w:rsidR="003E7BC5" w:rsidRPr="003E7BC5" w:rsidRDefault="003E7BC5" w:rsidP="003E7BC5">
      <w:pPr>
        <w:rPr>
          <w:b/>
          <w:lang w:val="en-NZ"/>
        </w:rPr>
      </w:pPr>
      <w:r w:rsidRPr="003E7BC5">
        <w:rPr>
          <w:lang w:val="en-NZ"/>
        </w:rPr>
        <w:t xml:space="preserve">Abbreviations: </w:t>
      </w:r>
      <w:proofErr w:type="spellStart"/>
      <w:r w:rsidRPr="003E7BC5">
        <w:rPr>
          <w:lang w:val="en-NZ"/>
        </w:rPr>
        <w:t>μg</w:t>
      </w:r>
      <w:proofErr w:type="spellEnd"/>
      <w:r w:rsidRPr="003E7BC5">
        <w:rPr>
          <w:lang w:val="en-NZ"/>
        </w:rPr>
        <w:t xml:space="preserve"> = micrograms, IU = International Units, AI = adequate intake</w:t>
      </w:r>
    </w:p>
    <w:p w14:paraId="402343D6" w14:textId="77777777" w:rsidR="003E7BC5" w:rsidRPr="003E7BC5" w:rsidRDefault="003E7BC5" w:rsidP="003E7BC5">
      <w:pPr>
        <w:rPr>
          <w:lang w:val="en-NZ"/>
        </w:rPr>
      </w:pPr>
      <w:r w:rsidRPr="003E7BC5">
        <w:rPr>
          <w:lang w:val="en-NZ"/>
        </w:rPr>
        <w:t>The NHMRC recommendation is lower than that identified by other countries and organisations (see Table 1) because those countries assume little or no exposure to sunlight when setting vitamin D levels.</w:t>
      </w:r>
    </w:p>
    <w:p w14:paraId="23EE49C7" w14:textId="77777777" w:rsidR="003E7BC5" w:rsidRPr="003E7BC5" w:rsidRDefault="003E7BC5" w:rsidP="003E7BC5">
      <w:pPr>
        <w:rPr>
          <w:lang w:val="en-NZ"/>
        </w:rPr>
      </w:pPr>
      <w:r w:rsidRPr="003E7BC5">
        <w:rPr>
          <w:lang w:val="en-NZ"/>
        </w:rPr>
        <w:t xml:space="preserve">Food fortification is a proven and cost-effective way to increase vitamin D intake in the general population, including during pregnancy. </w:t>
      </w:r>
    </w:p>
    <w:p w14:paraId="07911364" w14:textId="77777777" w:rsidR="003E7BC5" w:rsidRPr="003E7BC5" w:rsidRDefault="003E7BC5" w:rsidP="003E7BC5">
      <w:pPr>
        <w:rPr>
          <w:lang w:val="en-NZ"/>
        </w:rPr>
      </w:pPr>
      <w:r w:rsidRPr="003E7BC5">
        <w:rPr>
          <w:lang w:val="en-NZ"/>
        </w:rPr>
        <w:t>Food fortification practices also vary between countries. Unlike in many northern hemisphere countries, only a few foods in Aotearoa New Zealand are fortified with vitamin D. Foods that are permitted to be fortified with vitamin D in Aotearoa New Zealand include:</w:t>
      </w:r>
    </w:p>
    <w:p w14:paraId="63A18A5D" w14:textId="77777777" w:rsidR="003E7BC5" w:rsidRPr="003E7BC5" w:rsidRDefault="003E7BC5" w:rsidP="003E7BC5">
      <w:pPr>
        <w:pStyle w:val="Bulletpoints"/>
        <w:rPr>
          <w:lang w:val="en-NZ"/>
        </w:rPr>
      </w:pPr>
      <w:r w:rsidRPr="003E7BC5">
        <w:rPr>
          <w:lang w:val="en-NZ"/>
        </w:rPr>
        <w:t>edible oil spreads at 40 International Units per 10 grams (1.0 micrograms)</w:t>
      </w:r>
    </w:p>
    <w:p w14:paraId="474603FA" w14:textId="77777777" w:rsidR="003E7BC5" w:rsidRPr="003E7BC5" w:rsidRDefault="003E7BC5" w:rsidP="003E7BC5">
      <w:pPr>
        <w:pStyle w:val="Bulletpoints"/>
        <w:rPr>
          <w:lang w:val="en-NZ"/>
        </w:rPr>
      </w:pPr>
      <w:r w:rsidRPr="003E7BC5">
        <w:rPr>
          <w:lang w:val="en-NZ"/>
        </w:rPr>
        <w:t xml:space="preserve">dairy products (including cheese, yoghurt, modified milks and skim </w:t>
      </w:r>
      <w:proofErr w:type="gramStart"/>
      <w:r w:rsidRPr="003E7BC5">
        <w:rPr>
          <w:lang w:val="en-NZ"/>
        </w:rPr>
        <w:t>milk</w:t>
      </w:r>
      <w:proofErr w:type="gramEnd"/>
      <w:r w:rsidRPr="003E7BC5">
        <w:rPr>
          <w:lang w:val="en-NZ"/>
        </w:rPr>
        <w:t xml:space="preserve">) </w:t>
      </w:r>
    </w:p>
    <w:p w14:paraId="641360C4" w14:textId="77777777" w:rsidR="003E7BC5" w:rsidRPr="003E7BC5" w:rsidRDefault="003E7BC5" w:rsidP="003E7BC5">
      <w:pPr>
        <w:pStyle w:val="Bulletpoints"/>
        <w:rPr>
          <w:lang w:val="en-NZ"/>
        </w:rPr>
      </w:pPr>
      <w:r w:rsidRPr="003E7BC5">
        <w:rPr>
          <w:lang w:val="en-NZ"/>
        </w:rPr>
        <w:t>some analogues derived from legumes and cereals at 20 International Units per 200 millilitres (1.0 micrograms</w:t>
      </w:r>
      <w:r w:rsidRPr="003E7BC5" w:rsidDel="002A5F6E">
        <w:rPr>
          <w:lang w:val="en-NZ"/>
        </w:rPr>
        <w:t xml:space="preserve"> </w:t>
      </w:r>
      <w:r w:rsidRPr="003E7BC5">
        <w:rPr>
          <w:lang w:val="en-NZ"/>
        </w:rPr>
        <w:t xml:space="preserve">) </w:t>
      </w:r>
      <w:r w:rsidRPr="003E7BC5">
        <w:rPr>
          <w:lang w:val="en-NZ"/>
        </w:rPr>
        <w:fldChar w:fldCharType="begin"/>
      </w:r>
      <w:r w:rsidRPr="003E7BC5">
        <w:rPr>
          <w:lang w:val="en-NZ"/>
        </w:rPr>
        <w:instrText xml:space="preserve"> ADDIN ZOTERO_ITEM CSL_CITATION {"citationID":"tbiJwhLj","properties":{"formattedCitation":"(FSANZ, 2021)","plainCitation":"(FSANZ, 2021)","noteIndex":0},"citationItems":[{"id":1024,"uris":["http://zotero.org/groups/5078394/items/LTBADDPU"],"itemData":{"id":1024,"type":"standard","authority":"FSANZ","event-place":"Victoria: ANSTAT","number":"1.3.2","publisher-place":"Victoria: ANSTAT","title":"Australia and New Zealand Food Standards Code","version":"124","author":[{"family":"FSANZ","given":""}],"issued":{"date-parts":[["2021"]]}}}],"schema":"https://github.com/citation-style-language/schema/raw/master/csl-citation.json"} </w:instrText>
      </w:r>
      <w:r w:rsidRPr="003E7BC5">
        <w:rPr>
          <w:lang w:val="en-NZ"/>
        </w:rPr>
        <w:fldChar w:fldCharType="separate"/>
      </w:r>
      <w:r w:rsidRPr="003E7BC5">
        <w:rPr>
          <w:lang w:val="en-NZ"/>
        </w:rPr>
        <w:t>(FSANZ, 2021)</w:t>
      </w:r>
      <w:r w:rsidRPr="003E7BC5">
        <w:rPr>
          <w:lang w:val="en-NZ"/>
        </w:rPr>
        <w:fldChar w:fldCharType="end"/>
      </w:r>
      <w:r w:rsidRPr="003E7BC5">
        <w:rPr>
          <w:lang w:val="en-NZ"/>
        </w:rPr>
        <w:t xml:space="preserve">. </w:t>
      </w:r>
    </w:p>
    <w:p w14:paraId="56741BF7" w14:textId="77777777" w:rsidR="003E7BC5" w:rsidRPr="003E7BC5" w:rsidRDefault="003E7BC5" w:rsidP="003E7BC5">
      <w:pPr>
        <w:rPr>
          <w:lang w:val="en-NZ"/>
        </w:rPr>
      </w:pPr>
      <w:r w:rsidRPr="003E7BC5">
        <w:rPr>
          <w:lang w:val="en-NZ"/>
        </w:rPr>
        <w:t xml:space="preserve">Given that fortification is limited in Aotearoa New Zealand, it is hard to achieve an adequate intake of vitamin D from diet alone. </w:t>
      </w:r>
    </w:p>
    <w:p w14:paraId="7B71DD3B" w14:textId="77777777" w:rsidR="003E7BC5" w:rsidRDefault="003E7BC5">
      <w:pPr>
        <w:spacing w:line="259" w:lineRule="auto"/>
        <w:rPr>
          <w:b/>
          <w:bCs/>
          <w:sz w:val="20"/>
          <w:szCs w:val="14"/>
          <w:lang w:val="en-GB" w:eastAsia="en-GB"/>
        </w:rPr>
      </w:pPr>
      <w:r>
        <w:br w:type="page"/>
      </w:r>
    </w:p>
    <w:p w14:paraId="1812A335" w14:textId="1B976DB2" w:rsidR="003E7BC5" w:rsidRDefault="003E7BC5" w:rsidP="003E7BC5">
      <w:pPr>
        <w:pStyle w:val="Bold"/>
      </w:pPr>
      <w:r>
        <w:lastRenderedPageBreak/>
        <w:t xml:space="preserve">Table </w:t>
      </w:r>
      <w:r>
        <w:fldChar w:fldCharType="begin"/>
      </w:r>
      <w:r>
        <w:instrText xml:space="preserve"> SEQ Table \* ARABIC </w:instrText>
      </w:r>
      <w:r>
        <w:fldChar w:fldCharType="separate"/>
      </w:r>
      <w:r w:rsidR="002B0407">
        <w:rPr>
          <w:noProof/>
        </w:rPr>
        <w:t>2</w:t>
      </w:r>
      <w:r>
        <w:fldChar w:fldCharType="end"/>
      </w:r>
      <w:r>
        <w:t>: Sample of foods containing vitamin D</w:t>
      </w:r>
    </w:p>
    <w:tbl>
      <w:tblPr>
        <w:tblStyle w:val="TableGrid"/>
        <w:tblW w:w="0" w:type="auto"/>
        <w:tblLook w:val="04A0" w:firstRow="1" w:lastRow="0" w:firstColumn="1" w:lastColumn="0" w:noHBand="0" w:noVBand="1"/>
      </w:tblPr>
      <w:tblGrid>
        <w:gridCol w:w="4508"/>
        <w:gridCol w:w="4508"/>
      </w:tblGrid>
      <w:tr w:rsidR="003E7BC5" w:rsidRPr="00C1292F" w14:paraId="6DE4B825" w14:textId="77777777" w:rsidTr="003E7BC5">
        <w:trPr>
          <w:cnfStyle w:val="100000000000" w:firstRow="1" w:lastRow="0" w:firstColumn="0" w:lastColumn="0" w:oddVBand="0" w:evenVBand="0" w:oddHBand="0" w:evenHBand="0" w:firstRowFirstColumn="0" w:firstRowLastColumn="0" w:lastRowFirstColumn="0" w:lastRowLastColumn="0"/>
        </w:trPr>
        <w:tc>
          <w:tcPr>
            <w:tcW w:w="4508" w:type="dxa"/>
          </w:tcPr>
          <w:p w14:paraId="11965F98" w14:textId="703C9151" w:rsidR="003E7BC5" w:rsidRPr="00C1292F" w:rsidRDefault="003E7BC5" w:rsidP="003E7BC5">
            <w:pPr>
              <w:rPr>
                <w:sz w:val="22"/>
                <w:szCs w:val="24"/>
              </w:rPr>
            </w:pPr>
            <w:r w:rsidRPr="00C1292F">
              <w:rPr>
                <w:sz w:val="22"/>
                <w:szCs w:val="24"/>
              </w:rPr>
              <w:t>Food</w:t>
            </w:r>
          </w:p>
        </w:tc>
        <w:tc>
          <w:tcPr>
            <w:tcW w:w="4508" w:type="dxa"/>
          </w:tcPr>
          <w:p w14:paraId="50DDF3F4" w14:textId="23ED5274" w:rsidR="003E7BC5" w:rsidRPr="00C1292F" w:rsidRDefault="00C1292F" w:rsidP="003E7BC5">
            <w:pPr>
              <w:rPr>
                <w:sz w:val="22"/>
                <w:szCs w:val="24"/>
              </w:rPr>
            </w:pPr>
            <w:r w:rsidRPr="00C1292F">
              <w:rPr>
                <w:sz w:val="22"/>
                <w:szCs w:val="24"/>
              </w:rPr>
              <w:t>Amount of vitamin D</w:t>
            </w:r>
          </w:p>
        </w:tc>
      </w:tr>
      <w:tr w:rsidR="003E7BC5" w:rsidRPr="00C1292F" w14:paraId="58388CFE" w14:textId="77777777" w:rsidTr="003E7BC5">
        <w:tc>
          <w:tcPr>
            <w:tcW w:w="4508" w:type="dxa"/>
          </w:tcPr>
          <w:p w14:paraId="7A7961D8" w14:textId="182B7E0A" w:rsidR="003E7BC5" w:rsidRPr="00C1292F" w:rsidRDefault="003E7BC5" w:rsidP="003E7BC5">
            <w:pPr>
              <w:rPr>
                <w:sz w:val="22"/>
                <w:szCs w:val="24"/>
              </w:rPr>
            </w:pPr>
            <w:r w:rsidRPr="00C1292F">
              <w:rPr>
                <w:sz w:val="22"/>
                <w:szCs w:val="24"/>
              </w:rPr>
              <w:t>Fatty fish (for example, canned tuna, canned pink salmon, canned mackerel, canned sardines)</w:t>
            </w:r>
          </w:p>
        </w:tc>
        <w:tc>
          <w:tcPr>
            <w:tcW w:w="4508" w:type="dxa"/>
          </w:tcPr>
          <w:p w14:paraId="1DAB85CB" w14:textId="2D410683" w:rsidR="003E7BC5" w:rsidRPr="00C1292F" w:rsidRDefault="00C1292F" w:rsidP="003E7BC5">
            <w:pPr>
              <w:rPr>
                <w:sz w:val="22"/>
                <w:szCs w:val="24"/>
              </w:rPr>
            </w:pPr>
            <w:r w:rsidRPr="00C1292F">
              <w:rPr>
                <w:sz w:val="22"/>
                <w:szCs w:val="24"/>
              </w:rPr>
              <w:t>68–680 IU per 100g (1.7–17 µ</w:t>
            </w:r>
            <w:proofErr w:type="gramStart"/>
            <w:r w:rsidRPr="00C1292F">
              <w:rPr>
                <w:sz w:val="22"/>
                <w:szCs w:val="24"/>
              </w:rPr>
              <w:t>g )</w:t>
            </w:r>
            <w:proofErr w:type="gramEnd"/>
          </w:p>
        </w:tc>
      </w:tr>
      <w:tr w:rsidR="003E7BC5" w:rsidRPr="00C1292F" w14:paraId="44674293" w14:textId="77777777" w:rsidTr="003E7BC5">
        <w:tc>
          <w:tcPr>
            <w:tcW w:w="4508" w:type="dxa"/>
          </w:tcPr>
          <w:p w14:paraId="0C85DAB9" w14:textId="6F9462A4" w:rsidR="003E7BC5" w:rsidRPr="00C1292F" w:rsidRDefault="003E7BC5" w:rsidP="003E7BC5">
            <w:pPr>
              <w:rPr>
                <w:sz w:val="22"/>
                <w:szCs w:val="24"/>
              </w:rPr>
            </w:pPr>
            <w:r w:rsidRPr="00C1292F">
              <w:rPr>
                <w:sz w:val="22"/>
                <w:szCs w:val="24"/>
              </w:rPr>
              <w:t>Salmon fillet (farmed)</w:t>
            </w:r>
          </w:p>
        </w:tc>
        <w:tc>
          <w:tcPr>
            <w:tcW w:w="4508" w:type="dxa"/>
          </w:tcPr>
          <w:p w14:paraId="062494A5" w14:textId="4A85C3D6" w:rsidR="003E7BC5" w:rsidRPr="00C1292F" w:rsidRDefault="00C1292F" w:rsidP="003E7BC5">
            <w:pPr>
              <w:rPr>
                <w:sz w:val="22"/>
                <w:szCs w:val="24"/>
              </w:rPr>
            </w:pPr>
            <w:r w:rsidRPr="00C1292F">
              <w:rPr>
                <w:sz w:val="22"/>
                <w:szCs w:val="24"/>
              </w:rPr>
              <w:t>960-1040 IU per 100g (24–26 µg)</w:t>
            </w:r>
          </w:p>
        </w:tc>
      </w:tr>
      <w:tr w:rsidR="003E7BC5" w:rsidRPr="00C1292F" w14:paraId="7D41891F" w14:textId="77777777" w:rsidTr="003E7BC5">
        <w:tc>
          <w:tcPr>
            <w:tcW w:w="4508" w:type="dxa"/>
          </w:tcPr>
          <w:p w14:paraId="4871E9ED" w14:textId="6B32CB60" w:rsidR="003E7BC5" w:rsidRPr="00C1292F" w:rsidRDefault="003E7BC5" w:rsidP="003E7BC5">
            <w:pPr>
              <w:rPr>
                <w:sz w:val="22"/>
                <w:szCs w:val="24"/>
              </w:rPr>
            </w:pPr>
            <w:r w:rsidRPr="00C1292F">
              <w:rPr>
                <w:sz w:val="22"/>
                <w:szCs w:val="24"/>
              </w:rPr>
              <w:t>Yoghurt</w:t>
            </w:r>
          </w:p>
        </w:tc>
        <w:tc>
          <w:tcPr>
            <w:tcW w:w="4508" w:type="dxa"/>
          </w:tcPr>
          <w:p w14:paraId="552811D9" w14:textId="55E5C04E" w:rsidR="003E7BC5" w:rsidRPr="00C1292F" w:rsidRDefault="00C1292F" w:rsidP="003E7BC5">
            <w:pPr>
              <w:rPr>
                <w:sz w:val="22"/>
                <w:szCs w:val="24"/>
              </w:rPr>
            </w:pPr>
            <w:r w:rsidRPr="00C1292F">
              <w:rPr>
                <w:sz w:val="22"/>
                <w:szCs w:val="24"/>
              </w:rPr>
              <w:t>8–292 IU per 100g (0.2–7.3 µg)</w:t>
            </w:r>
          </w:p>
        </w:tc>
      </w:tr>
      <w:tr w:rsidR="003E7BC5" w:rsidRPr="00C1292F" w14:paraId="3C34AF11" w14:textId="77777777" w:rsidTr="003E7BC5">
        <w:tc>
          <w:tcPr>
            <w:tcW w:w="4508" w:type="dxa"/>
          </w:tcPr>
          <w:p w14:paraId="56365B8D" w14:textId="2E12F31C" w:rsidR="003E7BC5" w:rsidRPr="00C1292F" w:rsidRDefault="003E7BC5" w:rsidP="003E7BC5">
            <w:pPr>
              <w:rPr>
                <w:sz w:val="22"/>
                <w:szCs w:val="24"/>
              </w:rPr>
            </w:pPr>
            <w:r w:rsidRPr="00C1292F">
              <w:rPr>
                <w:sz w:val="22"/>
                <w:szCs w:val="24"/>
              </w:rPr>
              <w:t xml:space="preserve">Egg (equivalent to 2 </w:t>
            </w:r>
            <w:proofErr w:type="gramStart"/>
            <w:r w:rsidRPr="00C1292F">
              <w:rPr>
                <w:sz w:val="22"/>
                <w:szCs w:val="24"/>
              </w:rPr>
              <w:t>large boiled</w:t>
            </w:r>
            <w:proofErr w:type="gramEnd"/>
            <w:r w:rsidRPr="00C1292F">
              <w:rPr>
                <w:sz w:val="22"/>
                <w:szCs w:val="24"/>
              </w:rPr>
              <w:t xml:space="preserve"> eggs)</w:t>
            </w:r>
          </w:p>
        </w:tc>
        <w:tc>
          <w:tcPr>
            <w:tcW w:w="4508" w:type="dxa"/>
          </w:tcPr>
          <w:p w14:paraId="7E6322A2" w14:textId="15043602" w:rsidR="003E7BC5" w:rsidRPr="00C1292F" w:rsidRDefault="00C1292F" w:rsidP="003E7BC5">
            <w:pPr>
              <w:rPr>
                <w:sz w:val="22"/>
                <w:szCs w:val="24"/>
              </w:rPr>
            </w:pPr>
            <w:r w:rsidRPr="00C1292F">
              <w:rPr>
                <w:sz w:val="22"/>
                <w:szCs w:val="24"/>
              </w:rPr>
              <w:t>64 IU (1.6 µg)</w:t>
            </w:r>
          </w:p>
        </w:tc>
      </w:tr>
      <w:tr w:rsidR="003E7BC5" w:rsidRPr="00C1292F" w14:paraId="4CDCBA92" w14:textId="77777777" w:rsidTr="003E7BC5">
        <w:tc>
          <w:tcPr>
            <w:tcW w:w="4508" w:type="dxa"/>
          </w:tcPr>
          <w:p w14:paraId="4C2CEFB9" w14:textId="4FE4EFF3" w:rsidR="003E7BC5" w:rsidRPr="00C1292F" w:rsidRDefault="003E7BC5" w:rsidP="003E7BC5">
            <w:pPr>
              <w:rPr>
                <w:sz w:val="22"/>
                <w:szCs w:val="24"/>
              </w:rPr>
            </w:pPr>
            <w:r w:rsidRPr="00C1292F">
              <w:rPr>
                <w:sz w:val="22"/>
                <w:szCs w:val="24"/>
              </w:rPr>
              <w:t>Fortified foods (for example, margarine and some dairy products)</w:t>
            </w:r>
          </w:p>
        </w:tc>
        <w:tc>
          <w:tcPr>
            <w:tcW w:w="4508" w:type="dxa"/>
          </w:tcPr>
          <w:p w14:paraId="72F57029" w14:textId="32215C6A" w:rsidR="003E7BC5" w:rsidRPr="00C1292F" w:rsidRDefault="00C1292F" w:rsidP="003E7BC5">
            <w:pPr>
              <w:rPr>
                <w:sz w:val="22"/>
                <w:szCs w:val="24"/>
              </w:rPr>
            </w:pPr>
            <w:r w:rsidRPr="00C1292F">
              <w:rPr>
                <w:sz w:val="22"/>
                <w:szCs w:val="24"/>
              </w:rPr>
              <w:t>16–800 IU per 100g/mL (0.4–20 µg)</w:t>
            </w:r>
          </w:p>
        </w:tc>
      </w:tr>
    </w:tbl>
    <w:p w14:paraId="08B85AE5" w14:textId="77777777" w:rsidR="00C22DDA" w:rsidRPr="00C22DDA" w:rsidRDefault="00C22DDA" w:rsidP="00C22DDA">
      <w:pPr>
        <w:rPr>
          <w:b/>
          <w:lang w:val="en-NZ"/>
        </w:rPr>
      </w:pPr>
      <w:r w:rsidRPr="00C22DDA">
        <w:rPr>
          <w:lang w:val="en-NZ"/>
        </w:rPr>
        <w:t xml:space="preserve">Abbreviations: </w:t>
      </w:r>
      <w:proofErr w:type="spellStart"/>
      <w:r w:rsidRPr="00C22DDA">
        <w:rPr>
          <w:lang w:val="en-NZ"/>
        </w:rPr>
        <w:t>μg</w:t>
      </w:r>
      <w:proofErr w:type="spellEnd"/>
      <w:r w:rsidRPr="00C22DDA">
        <w:rPr>
          <w:lang w:val="en-NZ"/>
        </w:rPr>
        <w:t xml:space="preserve"> = micrograms, IU = International Units</w:t>
      </w:r>
    </w:p>
    <w:p w14:paraId="2383B9D1" w14:textId="77777777" w:rsidR="00C22DDA" w:rsidRPr="00C22DDA" w:rsidRDefault="00C22DDA" w:rsidP="00C22DDA">
      <w:pPr>
        <w:rPr>
          <w:lang w:val="en-NZ"/>
        </w:rPr>
      </w:pPr>
      <w:r w:rsidRPr="00C22DDA">
        <w:rPr>
          <w:lang w:val="en-NZ"/>
        </w:rPr>
        <w:t xml:space="preserve">Source: </w:t>
      </w:r>
      <w:r w:rsidRPr="00C22DDA">
        <w:rPr>
          <w:lang w:val="en-NZ"/>
        </w:rPr>
        <w:fldChar w:fldCharType="begin"/>
      </w:r>
      <w:r w:rsidRPr="00C22DDA">
        <w:rPr>
          <w:lang w:val="en-NZ"/>
        </w:rPr>
        <w:instrText xml:space="preserve"> ADDIN ZOTERO_ITEM CSL_CITATION {"citationID":"TLZF5pJi","properties":{"formattedCitation":"({\\i{}The Concise New Zealand Food Composition Tables: 14th Edition 2021}, 2022)","plainCitation":"(The Concise New Zealand Food Composition Tables: 14th Edition 2021, 2022)","dontUpdate":true,"noteIndex":0},"citationItems":[{"id":1057,"uris":["http://zotero.org/groups/5078394/items/VW8DRXVZ"],"itemData":{"id":1057,"type":"document","publisher":"The New Zealand Institute for Plant and Food Research Limited and Ministry of Health","title":"The Concise New Zealand Food Composition Tables: 14th Edition 2021","URL":"https://www.foodcomposition.co.nz/downloads/concise-14-edition.pdf","issued":{"date-parts":[["2022"]]}}}],"schema":"https://github.com/citation-style-language/schema/raw/master/csl-citation.json"} </w:instrText>
      </w:r>
      <w:r w:rsidR="0010208C">
        <w:rPr>
          <w:lang w:val="en-NZ"/>
        </w:rPr>
        <w:fldChar w:fldCharType="separate"/>
      </w:r>
      <w:r w:rsidRPr="00C22DDA">
        <w:rPr>
          <w:lang w:val="en-NZ"/>
        </w:rPr>
        <w:fldChar w:fldCharType="end"/>
      </w:r>
      <w:r w:rsidRPr="00C22DDA">
        <w:rPr>
          <w:lang w:val="en-NZ"/>
        </w:rPr>
        <w:fldChar w:fldCharType="begin"/>
      </w:r>
      <w:r w:rsidRPr="00C22DDA">
        <w:rPr>
          <w:lang w:val="en-NZ"/>
        </w:rPr>
        <w:instrText xml:space="preserve"> ADDIN ZOTERO_ITEM CSL_CITATION {"citationID":"SHcQ3ckw","properties":{"formattedCitation":"({\\i{}The Concise New Zealand Food Composition Tables: 14th Edition 2021}, 2022)","plainCitation":"(The Concise New Zealand Food Composition Tables: 14th Edition 2021, 2022)","noteIndex":0},"citationItems":[{"id":1057,"uris":["http://zotero.org/groups/5078394/items/VW8DRXVZ"],"itemData":{"id":1057,"type":"document","publisher":"The New Zealand Institute for Plant and Food Research Limited and Ministry of Health","title":"The Concise New Zealand Food Composition Tables: 14th Edition 2021","URL":"https://www.foodcomposition.co.nz/downloads/concise-14-edition.pdf","issued":{"date-parts":[["2022"]]}}}],"schema":"https://github.com/citation-style-language/schema/raw/master/csl-citation.json"} </w:instrText>
      </w:r>
      <w:r w:rsidRPr="00C22DDA">
        <w:rPr>
          <w:lang w:val="en-NZ"/>
        </w:rPr>
        <w:fldChar w:fldCharType="separate"/>
      </w:r>
      <w:r w:rsidRPr="00C22DDA">
        <w:rPr>
          <w:lang w:val="en-NZ"/>
        </w:rPr>
        <w:t>(</w:t>
      </w:r>
      <w:r w:rsidRPr="00C22DDA">
        <w:rPr>
          <w:i/>
          <w:iCs/>
          <w:lang w:val="en-NZ"/>
        </w:rPr>
        <w:t>The Concise New Zealand Food Composition Tables: 14th Edition 2021</w:t>
      </w:r>
      <w:r w:rsidRPr="00C22DDA">
        <w:rPr>
          <w:lang w:val="en-NZ"/>
        </w:rPr>
        <w:t>, 2022)</w:t>
      </w:r>
      <w:r w:rsidRPr="00C22DDA">
        <w:rPr>
          <w:lang w:val="en-NZ"/>
        </w:rPr>
        <w:fldChar w:fldCharType="end"/>
      </w:r>
    </w:p>
    <w:p w14:paraId="719E2707" w14:textId="4FE5F7BC" w:rsidR="00C22DDA" w:rsidRDefault="00C22DDA">
      <w:pPr>
        <w:spacing w:line="259" w:lineRule="auto"/>
        <w:rPr>
          <w:lang w:val="en-NZ"/>
        </w:rPr>
      </w:pPr>
      <w:r>
        <w:rPr>
          <w:lang w:val="en-NZ"/>
        </w:rPr>
        <w:br w:type="page"/>
      </w:r>
    </w:p>
    <w:p w14:paraId="445DCAC4" w14:textId="7B53AB54" w:rsidR="00AA614B" w:rsidRDefault="00C22DDA" w:rsidP="00C22DDA">
      <w:pPr>
        <w:pStyle w:val="Heading4"/>
      </w:pPr>
      <w:r>
        <w:lastRenderedPageBreak/>
        <w:t>Breast milk</w:t>
      </w:r>
    </w:p>
    <w:p w14:paraId="787666D9" w14:textId="77777777" w:rsidR="00C22DDA" w:rsidRPr="00C22DDA" w:rsidRDefault="00C22DDA" w:rsidP="00C22DDA">
      <w:pPr>
        <w:rPr>
          <w:lang w:val="en-NZ"/>
        </w:rPr>
      </w:pPr>
      <w:r w:rsidRPr="00C22DDA">
        <w:rPr>
          <w:lang w:val="en-NZ"/>
        </w:rPr>
        <w:t xml:space="preserve">Exclusive breastfeeding is the recommended form of infant feeding in the first six months of life to achieve optimal growth, </w:t>
      </w:r>
      <w:proofErr w:type="gramStart"/>
      <w:r w:rsidRPr="00C22DDA">
        <w:rPr>
          <w:lang w:val="en-NZ"/>
        </w:rPr>
        <w:t>development</w:t>
      </w:r>
      <w:proofErr w:type="gramEnd"/>
      <w:r w:rsidRPr="00C22DDA">
        <w:rPr>
          <w:lang w:val="en-NZ"/>
        </w:rPr>
        <w:t xml:space="preserve"> and health (Ministry of Health, 2008). After six months, infants should start on solid </w:t>
      </w:r>
      <w:proofErr w:type="gramStart"/>
      <w:r w:rsidRPr="00C22DDA">
        <w:rPr>
          <w:lang w:val="en-NZ"/>
        </w:rPr>
        <w:t>food</w:t>
      </w:r>
      <w:proofErr w:type="gramEnd"/>
      <w:r w:rsidRPr="00C22DDA">
        <w:rPr>
          <w:lang w:val="en-NZ"/>
        </w:rPr>
        <w:t xml:space="preserve"> and it is recommended they continue breastfeeding until two years old and beyond. Historically, sun exposure was the main source of vitamin D for infants, along with being born vitamin D replete due to maternal vitamin D sufficiency during pregnancy. However, sun exposure is no longer recommended for infants. The evidence for protecting, </w:t>
      </w:r>
      <w:proofErr w:type="gramStart"/>
      <w:r w:rsidRPr="00C22DDA">
        <w:rPr>
          <w:lang w:val="en-NZ"/>
        </w:rPr>
        <w:t>promoting</w:t>
      </w:r>
      <w:proofErr w:type="gramEnd"/>
      <w:r w:rsidRPr="00C22DDA">
        <w:rPr>
          <w:lang w:val="en-NZ"/>
        </w:rPr>
        <w:t xml:space="preserve"> and supporting breastfeeding is strong although breastmilk alone is not a sufficient source of vitamin D for all infants. Approximately 20 to 30 percent of maternal circulating vitamin D (in the form of 25(OH)D</w:t>
      </w:r>
      <w:r w:rsidRPr="00C22DDA">
        <w:rPr>
          <w:vertAlign w:val="subscript"/>
          <w:lang w:val="en-NZ"/>
        </w:rPr>
        <w:t>3</w:t>
      </w:r>
      <w:r w:rsidRPr="00C22DDA">
        <w:rPr>
          <w:lang w:val="en-NZ"/>
        </w:rPr>
        <w:t xml:space="preserve">) is transferred into breastmilk and oral vitamin D supplementation of the infant ensures they achieve optimal vitamin D status </w:t>
      </w:r>
      <w:r w:rsidRPr="00C22DDA">
        <w:rPr>
          <w:lang w:val="en-NZ"/>
        </w:rPr>
        <w:fldChar w:fldCharType="begin"/>
      </w:r>
      <w:r w:rsidRPr="00C22DDA">
        <w:rPr>
          <w:lang w:val="en-NZ"/>
        </w:rPr>
        <w:instrText xml:space="preserve"> ADDIN ZOTERO_ITEM CSL_CITATION {"citationID":"qoEpWvR7","properties":{"formattedCitation":"(Haggerty, 2011)","plainCitation":"(Haggerty, 2011)","noteIndex":0},"citationItems":[{"id":1025,"uris":["http://zotero.org/groups/5078394/items/H8MNFZGF"],"itemData":{"id":1025,"type":"article-journal","container-title":"Breastfeeding Medicine","issue":"6(3)","page":"137–44","title":"Maternal supplementation for prevention and treatment of vitamin D deficiency in exclusively breastfed infants","author":[{"family":"Haggerty","given":"Linda"}],"issued":{"date-parts":[["2011"]]}}}],"schema":"https://github.com/citation-style-language/schema/raw/master/csl-citation.json"} </w:instrText>
      </w:r>
      <w:r w:rsidRPr="00C22DDA">
        <w:rPr>
          <w:lang w:val="en-NZ"/>
        </w:rPr>
        <w:fldChar w:fldCharType="separate"/>
      </w:r>
      <w:r w:rsidRPr="00C22DDA">
        <w:rPr>
          <w:lang w:val="en-NZ"/>
        </w:rPr>
        <w:t>(Haggerty, 2011)</w:t>
      </w:r>
      <w:r w:rsidRPr="00C22DDA">
        <w:rPr>
          <w:lang w:val="en-NZ"/>
        </w:rPr>
        <w:fldChar w:fldCharType="end"/>
      </w:r>
      <w:r w:rsidRPr="00C22DDA">
        <w:rPr>
          <w:lang w:val="en-NZ"/>
        </w:rPr>
        <w:t xml:space="preserve">. </w:t>
      </w:r>
    </w:p>
    <w:p w14:paraId="715489F7" w14:textId="77777777" w:rsidR="00C22DDA" w:rsidRPr="00C22DDA" w:rsidRDefault="00C22DDA" w:rsidP="00C22DDA">
      <w:pPr>
        <w:rPr>
          <w:lang w:val="en-NZ"/>
        </w:rPr>
      </w:pPr>
      <w:r w:rsidRPr="00C22DDA">
        <w:rPr>
          <w:lang w:val="en-NZ"/>
        </w:rPr>
        <w:t xml:space="preserve">The content of vitamin D in breastmilk varies and is complex to measure. A systematic review and meta-analysis reported the mean vitamin D content of breastmilk as 58 International Units per litre </w:t>
      </w:r>
      <w:r w:rsidRPr="00C22DDA">
        <w:rPr>
          <w:lang w:val="en-NZ"/>
        </w:rPr>
        <w:fldChar w:fldCharType="begin"/>
      </w:r>
      <w:r w:rsidRPr="00C22DDA">
        <w:rPr>
          <w:lang w:val="en-NZ"/>
        </w:rPr>
        <w:instrText xml:space="preserve"> ADDIN ZOTERO_ITEM CSL_CITATION {"citationID":"Vd72xmJh","properties":{"formattedCitation":"(Rios-Leyvraz &amp; Yao, 2023)","plainCitation":"(Rios-Leyvraz &amp; Yao, 2023)","noteIndex":0},"citationItems":[{"id":1084,"uris":["http://zotero.org/groups/5078394/items/CQYP7PZY"],"itemData":{"id":1084,"type":"article-journal","abstract":"Global estimates of calcium, zinc and vitamin D content in breastmilk are lacking. The objective of this systematic review was to determine the calcium, zinc, and vitamin D content in breast milk.","container-title":"International Breastfeeding Journal","DOI":"10.1186/s13006-023-00564-2","ISSN":"1746-4358","issue":"1","journalAbbreviation":"International Breastfeeding Journal","page":"27","source":"BioMed Central","title":"Calcium, zinc, and vitamin D in breast milk: a systematic review and meta-analysis","title-short":"Calcium, zinc, and vitamin D in breast milk","volume":"18","author":[{"family":"Rios-Leyvraz","given":"Magali"},{"family":"Yao","given":"Qisi"}],"issued":{"date-parts":[["2023",6,1]]}}}],"schema":"https://github.com/citation-style-language/schema/raw/master/csl-citation.json"} </w:instrText>
      </w:r>
      <w:r w:rsidRPr="00C22DDA">
        <w:rPr>
          <w:lang w:val="en-NZ"/>
        </w:rPr>
        <w:fldChar w:fldCharType="separate"/>
      </w:r>
      <w:r w:rsidRPr="00C22DDA">
        <w:rPr>
          <w:lang w:val="en-NZ"/>
        </w:rPr>
        <w:t>(Rios-Leyvraz &amp; Yao, 2023)</w:t>
      </w:r>
      <w:r w:rsidRPr="00C22DDA">
        <w:rPr>
          <w:lang w:val="en-NZ"/>
        </w:rPr>
        <w:fldChar w:fldCharType="end"/>
      </w:r>
      <w:r w:rsidRPr="00C22DDA">
        <w:rPr>
          <w:lang w:val="en-NZ"/>
        </w:rPr>
        <w:t xml:space="preserve">. This varies depending on supplementation of the mother, season of testing and latitude. This amount is lower than the recommended AI of 200 International Units per day (5 micrograms per day) for infants </w:t>
      </w:r>
      <w:r w:rsidRPr="00C22DDA">
        <w:rPr>
          <w:lang w:val="en-NZ"/>
        </w:rPr>
        <w:fldChar w:fldCharType="begin"/>
      </w:r>
      <w:r w:rsidRPr="00C22DDA">
        <w:rPr>
          <w:lang w:val="en-NZ"/>
        </w:rPr>
        <w:instrText xml:space="preserve"> ADDIN ZOTERO_ITEM CSL_CITATION {"citationID":"4JgdqvOR","properties":{"formattedCitation":"(National Health and Medical Research Council, Australian Government Department &amp; of Health and Ageing, New Zealand Ministry of Health, 2006)","plainCitation":"(National Health and Medical Research Council, Australian Government Department &amp; of Health and Ageing, New Zealand Ministry of Health, 2006)","dontUpdate":true,"noteIndex":0},"citationItems":[{"id":1058,"uris":["http://zotero.org/groups/5078394/items/B6N9G4GP"],"itemData":{"id":1058,"type":"document","publisher":"National Health and Medical Research Council","title":"Nutrient Reference Values for Australia and New Zealand Including Recommended Dietary Intakes","author":[{"literal":"NHMRC"}],"issued":{"date-parts":[["2006"]]}}}],"schema":"https://github.com/citation-style-language/schema/raw/master/csl-citation.json"} </w:instrText>
      </w:r>
      <w:r w:rsidRPr="00C22DDA">
        <w:rPr>
          <w:lang w:val="en-NZ"/>
        </w:rPr>
        <w:fldChar w:fldCharType="separate"/>
      </w:r>
      <w:r w:rsidRPr="00C22DDA">
        <w:rPr>
          <w:lang w:val="en-NZ"/>
        </w:rPr>
        <w:t>(NHMRC, 2006)</w:t>
      </w:r>
      <w:r w:rsidRPr="00C22DDA">
        <w:rPr>
          <w:lang w:val="en-NZ"/>
        </w:rPr>
        <w:fldChar w:fldCharType="end"/>
      </w:r>
      <w:r w:rsidRPr="00C22DDA">
        <w:rPr>
          <w:lang w:val="en-NZ"/>
        </w:rPr>
        <w:t xml:space="preserve">. Most breastfed infants do not develop clinical vitamin D deficiency rickets. This is likely to be because they obtain adequate vitamin D through incidental sun exposure or time spent outdoors </w:t>
      </w:r>
      <w:r w:rsidRPr="00C22DDA">
        <w:rPr>
          <w:lang w:val="en-NZ"/>
        </w:rPr>
        <w:fldChar w:fldCharType="begin"/>
      </w:r>
      <w:r w:rsidRPr="00C22DDA">
        <w:rPr>
          <w:lang w:val="en-NZ"/>
        </w:rPr>
        <w:instrText xml:space="preserve"> ADDIN ZOTERO_ITEM CSL_CITATION {"citationID":"2NBqo5zS","properties":{"formattedCitation":"(Weisberg et al., 2004)","plainCitation":"(Weisberg et al., 2004)","noteIndex":0},"citationItems":[{"id":1026,"uris":["http://zotero.org/groups/5078394/items/YC35C63H"],"itemData":{"id":1026,"type":"article-journal","container-title":"American Journal of Clinical Nutrition","issue":"80 (suppl)","page":"1697S–705S","title":"Nutritional rickets among children in the United States: review of cases reported between 1986 and 20031","author":[{"family":"Weisberg","given":"P"},{"family":"Scanlon","given":"KS"},{"family":"Li","given":"R"},{"family":"Cogswell","given":"ME"}],"issued":{"date-parts":[["2004"]]}}}],"schema":"https://github.com/citation-style-language/schema/raw/master/csl-citation.json"} </w:instrText>
      </w:r>
      <w:r w:rsidRPr="00C22DDA">
        <w:rPr>
          <w:lang w:val="en-NZ"/>
        </w:rPr>
        <w:fldChar w:fldCharType="separate"/>
      </w:r>
      <w:r w:rsidRPr="00C22DDA">
        <w:rPr>
          <w:lang w:val="en-NZ"/>
        </w:rPr>
        <w:t>(Weisberg et al., 2004)</w:t>
      </w:r>
      <w:r w:rsidRPr="00C22DDA">
        <w:rPr>
          <w:lang w:val="en-NZ"/>
        </w:rPr>
        <w:fldChar w:fldCharType="end"/>
      </w:r>
      <w:r w:rsidRPr="00C22DDA">
        <w:rPr>
          <w:lang w:val="en-NZ"/>
        </w:rPr>
        <w:t xml:space="preserve">. </w:t>
      </w:r>
    </w:p>
    <w:p w14:paraId="4FE63960" w14:textId="77777777" w:rsidR="00C22DDA" w:rsidRPr="00C22DDA" w:rsidRDefault="00C22DDA" w:rsidP="00C22DDA">
      <w:pPr>
        <w:pStyle w:val="Box"/>
      </w:pPr>
      <w:r w:rsidRPr="00C22DDA">
        <w:t>Breastmilk is the ideal food for infants. It is safe and contains antibodies which protect infants against illness while providing all the energy and nutrients that the infant needs for the first six months of life. </w:t>
      </w:r>
    </w:p>
    <w:p w14:paraId="4E33E9D9" w14:textId="77777777" w:rsidR="00C22DDA" w:rsidRPr="00C22DDA" w:rsidRDefault="00C22DDA" w:rsidP="00C22DDA">
      <w:pPr>
        <w:pStyle w:val="Box"/>
      </w:pPr>
      <w:r w:rsidRPr="00C22DDA">
        <w:t xml:space="preserve">Infants should be exclusively breastfed for the first six months of life, with continued breastfeeding to age two years and beyond alongside nutritionally adequate, safe and age-appropriate complementary feeding from six months of age </w:t>
      </w:r>
      <w:r w:rsidRPr="00C22DDA">
        <w:fldChar w:fldCharType="begin"/>
      </w:r>
      <w:r w:rsidRPr="00C22DDA">
        <w:instrText xml:space="preserve"> ADDIN ZOTERO_ITEM CSL_CITATION {"citationID":"3yQUIGMN","properties":{"formattedCitation":"(World Health Organisation &amp; United Nations Children\\uc0\\u8217{}s Fund (\\uc0\\u8206{}\\uc0\\u8206{}UNICEF), 2003)","plainCitation":"(World Health Organisation &amp; United Nations Children’s Fund (‎‎UNICEF), 2003)","noteIndex":0},"citationItems":[{"id":1016,"uris":["http://zotero.org/groups/5078394/items/QG3MFWRE"],"itemData":{"id":1016,"type":"document","title":"Global Strategy for Infant and Young Child Feeding","author":[{"family":"World Health Organisation","given":""},{"family":"United Nations Children's Fund (‎‎UNICEF)","given":""}],"issued":{"date-parts":[["2003"]]}}}],"schema":"https://github.com/citation-style-language/schema/raw/master/csl-citation.json"} </w:instrText>
      </w:r>
      <w:r w:rsidRPr="00C22DDA">
        <w:fldChar w:fldCharType="separate"/>
      </w:r>
      <w:r w:rsidRPr="00C22DDA">
        <w:t>(Ministry of Health, 2020, World Health Organisation &amp; United Nations Children’s Fund, 2003)</w:t>
      </w:r>
      <w:r w:rsidRPr="00C22DDA">
        <w:fldChar w:fldCharType="end"/>
      </w:r>
      <w:r w:rsidRPr="00C22DDA">
        <w:t>.</w:t>
      </w:r>
    </w:p>
    <w:p w14:paraId="389EF8BB" w14:textId="77777777" w:rsidR="00C22DDA" w:rsidRPr="00C22DDA" w:rsidRDefault="00C22DDA" w:rsidP="00C22DDA">
      <w:pPr>
        <w:pStyle w:val="Box"/>
      </w:pPr>
      <w:r w:rsidRPr="00C22DDA">
        <w:t xml:space="preserve">Exclusive breastfeeding is one of the most significant and cost-effective ways to improve equity and increase the health and wellbeing of a population </w:t>
      </w:r>
      <w:r w:rsidRPr="00C22DDA">
        <w:fldChar w:fldCharType="begin"/>
      </w:r>
      <w:r w:rsidRPr="00C22DDA">
        <w:instrText xml:space="preserve"> ADDIN ZOTERO_ITEM CSL_CITATION {"citationID":"wHFuIvY5","properties":{"formattedCitation":"({\\i{}National Breastfeeding Strategy for New Zealand Aotearoa | Rautaki Whakamana Wh\\uc0\\u257{}ngote}, 2014)","plainCitation":"(National Breastfeeding Strategy for New Zealand Aotearoa | Rautaki Whakamana Whāngote, 2014)","noteIndex":0},"citationItems":[{"id":1015,"uris":["http://zotero.org/groups/5078394/items/ESKPYA33"],"itemData":{"id":1015,"type":"document","publisher":"Te Whatu Ora","title":"National Breastfeeding Strategy for New Zealand Aotearoa | Rautaki Whakamana Whāngote","URL":"https://www.tewhatuora.govt.nz/for-the-health-sector/specific-life-stage-health-information/breastfeeding/national-breastfeeding-strategy/introduction-he-whakatakinga/","issued":{"date-parts":[["2014"]]}}}],"schema":"https://github.com/citation-style-language/schema/raw/master/csl-citation.json"} </w:instrText>
      </w:r>
      <w:r w:rsidRPr="00C22DDA">
        <w:fldChar w:fldCharType="separate"/>
      </w:r>
      <w:r w:rsidRPr="00C22DDA">
        <w:t>(</w:t>
      </w:r>
      <w:r w:rsidRPr="00C22DDA">
        <w:rPr>
          <w:i/>
          <w:iCs/>
        </w:rPr>
        <w:t>National Breastfeeding Strategy for New Zealand Aotearoa | Rautaki Whakamana Whāngote</w:t>
      </w:r>
      <w:r w:rsidRPr="00C22DDA">
        <w:t>, 2014)</w:t>
      </w:r>
      <w:r w:rsidRPr="00C22DDA">
        <w:fldChar w:fldCharType="end"/>
      </w:r>
      <w:r w:rsidRPr="00C22DDA">
        <w:t>.</w:t>
      </w:r>
    </w:p>
    <w:p w14:paraId="45B9020A" w14:textId="77777777" w:rsidR="00C22DDA" w:rsidRPr="00C22DDA" w:rsidRDefault="00C22DDA" w:rsidP="00C22DDA">
      <w:pPr>
        <w:pStyle w:val="Box"/>
      </w:pPr>
      <w:r w:rsidRPr="00C22DDA">
        <w:t xml:space="preserve">Health professionals should support and encourage whānau to exclusively breastfeed their infants for the first six months of life wherever possible, to improve the health and wellbeing of infants, young children, breastfeeding parents and whānau, and benefit </w:t>
      </w:r>
      <w:proofErr w:type="gramStart"/>
      <w:r w:rsidRPr="00C22DDA">
        <w:t>society as a whole</w:t>
      </w:r>
      <w:proofErr w:type="gramEnd"/>
      <w:r w:rsidRPr="00C22DDA">
        <w:t>.</w:t>
      </w:r>
    </w:p>
    <w:p w14:paraId="0B9E9587" w14:textId="77777777" w:rsidR="00C22DDA" w:rsidRPr="00C22DDA" w:rsidRDefault="00C22DDA" w:rsidP="00C22DDA">
      <w:pPr>
        <w:pStyle w:val="Heading4"/>
      </w:pPr>
      <w:r w:rsidRPr="00C22DDA">
        <w:t>Infant formula and toddler milk</w:t>
      </w:r>
    </w:p>
    <w:p w14:paraId="5DDB1DE7" w14:textId="77777777" w:rsidR="00C22DDA" w:rsidRPr="00C22DDA" w:rsidRDefault="00C22DDA" w:rsidP="00C22DDA">
      <w:pPr>
        <w:rPr>
          <w:lang w:val="en-NZ"/>
        </w:rPr>
      </w:pPr>
      <w:r w:rsidRPr="00C22DDA">
        <w:rPr>
          <w:lang w:val="en-NZ"/>
        </w:rPr>
        <w:t>Infant formula and toddler milk became fortified with vitamin D in the middle of the 20</w:t>
      </w:r>
      <w:r w:rsidRPr="00C22DDA">
        <w:rPr>
          <w:vertAlign w:val="superscript"/>
          <w:lang w:val="en-NZ"/>
        </w:rPr>
        <w:t>th</w:t>
      </w:r>
      <w:r w:rsidRPr="00C22DDA">
        <w:rPr>
          <w:lang w:val="en-NZ"/>
        </w:rPr>
        <w:t xml:space="preserve"> century after rickets was recognised as a significant health problem in young children </w:t>
      </w:r>
      <w:r w:rsidRPr="00C22DDA">
        <w:rPr>
          <w:lang w:val="en-NZ"/>
        </w:rPr>
        <w:fldChar w:fldCharType="begin"/>
      </w:r>
      <w:r w:rsidRPr="00C22DDA">
        <w:rPr>
          <w:lang w:val="en-NZ"/>
        </w:rPr>
        <w:instrText xml:space="preserve"> ADDIN ZOTERO_ITEM CSL_CITATION {"citationID":"QKEgwTAZ","properties":{"formattedCitation":"(Greer, 2004)","plainCitation":"(Greer, 2004)","noteIndex":0},"citationItems":[{"id":1028,"uris":["http://zotero.org/groups/5078394/items/PZ9UVRBL"],"itemData":{"id":1028,"type":"article-journal","issue":"80(suppl)","page":"1759S–62S","title":"Issues in establishing vitamin D recommendations for infants and children. American Journal of Clinical Nutrition","author":[{"family":"Greer","given":"FR"}],"issued":{"date-parts":[["2004"]]}}}],"schema":"https://github.com/citation-style-language/schema/raw/master/csl-citation.json"} </w:instrText>
      </w:r>
      <w:r w:rsidRPr="00C22DDA">
        <w:rPr>
          <w:lang w:val="en-NZ"/>
        </w:rPr>
        <w:fldChar w:fldCharType="separate"/>
      </w:r>
      <w:r w:rsidRPr="00C22DDA">
        <w:rPr>
          <w:lang w:val="en-NZ"/>
        </w:rPr>
        <w:t>(Greer, 2004)</w:t>
      </w:r>
      <w:r w:rsidRPr="00C22DDA">
        <w:rPr>
          <w:lang w:val="en-NZ"/>
        </w:rPr>
        <w:fldChar w:fldCharType="end"/>
      </w:r>
      <w:r w:rsidRPr="00C22DDA">
        <w:rPr>
          <w:lang w:val="en-NZ"/>
        </w:rPr>
        <w:t xml:space="preserve">. </w:t>
      </w:r>
    </w:p>
    <w:p w14:paraId="3A171A29" w14:textId="77777777" w:rsidR="00C22DDA" w:rsidRPr="00C22DDA" w:rsidRDefault="00C22DDA" w:rsidP="00C22DDA">
      <w:pPr>
        <w:rPr>
          <w:lang w:val="en-NZ"/>
        </w:rPr>
      </w:pPr>
      <w:r w:rsidRPr="00C22DDA">
        <w:rPr>
          <w:lang w:val="en-NZ"/>
        </w:rPr>
        <w:t xml:space="preserve">Infant formula in Aotearoa New Zealand is fortified with vitamin D </w:t>
      </w:r>
      <w:r w:rsidRPr="00C22DDA">
        <w:rPr>
          <w:lang w:val="en-NZ"/>
        </w:rPr>
        <w:fldChar w:fldCharType="begin"/>
      </w:r>
      <w:r w:rsidRPr="00C22DDA">
        <w:rPr>
          <w:lang w:val="en-NZ"/>
        </w:rPr>
        <w:instrText xml:space="preserve"> ADDIN ZOTERO_ITEM CSL_CITATION {"citationID":"zxDoKpP6","properties":{"formattedCitation":"(FSANZ, 2021)","plainCitation":"(FSANZ, 2021)","noteIndex":0},"citationItems":[{"id":1024,"uris":["http://zotero.org/groups/5078394/items/LTBADDPU"],"itemData":{"id":1024,"type":"standard","authority":"FSANZ","event-place":"Victoria: ANSTAT","number":"1.3.2","publisher-place":"Victoria: ANSTAT","title":"Australia and New Zealand Food Standards Code","version":"124","author":[{"family":"FSANZ","given":""}],"issued":{"date-parts":[["2021"]]}}}],"schema":"https://github.com/citation-style-language/schema/raw/master/csl-citation.json"} </w:instrText>
      </w:r>
      <w:r w:rsidRPr="00C22DDA">
        <w:rPr>
          <w:lang w:val="en-NZ"/>
        </w:rPr>
        <w:fldChar w:fldCharType="separate"/>
      </w:r>
      <w:r w:rsidRPr="00C22DDA">
        <w:rPr>
          <w:lang w:val="en-NZ"/>
        </w:rPr>
        <w:t>(FSANZ, 2021)</w:t>
      </w:r>
      <w:r w:rsidRPr="00C22DDA">
        <w:rPr>
          <w:lang w:val="en-NZ"/>
        </w:rPr>
        <w:fldChar w:fldCharType="end"/>
      </w:r>
      <w:r w:rsidRPr="00C22DDA">
        <w:rPr>
          <w:lang w:val="en-NZ"/>
        </w:rPr>
        <w:t xml:space="preserve">. The compositional and labelling requirements of infant formula is defined in subclause 1(2) of Australia New Zealand Food Standard 2.9.1 </w:t>
      </w:r>
      <w:r w:rsidRPr="00C22DDA">
        <w:rPr>
          <w:lang w:val="en-NZ"/>
        </w:rPr>
        <w:fldChar w:fldCharType="begin"/>
      </w:r>
      <w:r w:rsidRPr="00C22DDA">
        <w:rPr>
          <w:lang w:val="en-NZ"/>
        </w:rPr>
        <w:instrText xml:space="preserve"> ADDIN ZOTERO_ITEM CSL_CITATION {"citationID":"QtYK1EBm","properties":{"formattedCitation":"(FSANZ, 2021)","plainCitation":"(FSANZ, 2021)","noteIndex":0},"citationItems":[{"id":1024,"uris":["http://zotero.org/groups/5078394/items/LTBADDPU"],"itemData":{"id":1024,"type":"standard","authority":"FSANZ","event-place":"Victoria: ANSTAT","number":"1.3.2","publisher-place":"Victoria: ANSTAT","title":"Australia and New Zealand Food Standards Code","version":"124","author":[{"family":"FSANZ","given":""}],"issued":{"date-parts":[["2021"]]}}}],"schema":"https://github.com/citation-style-language/schema/raw/master/csl-citation.json"} </w:instrText>
      </w:r>
      <w:r w:rsidRPr="00C22DDA">
        <w:rPr>
          <w:lang w:val="en-NZ"/>
        </w:rPr>
        <w:fldChar w:fldCharType="separate"/>
      </w:r>
      <w:r w:rsidRPr="00C22DDA">
        <w:rPr>
          <w:lang w:val="en-NZ"/>
        </w:rPr>
        <w:t>(FSANZ, 2021)</w:t>
      </w:r>
      <w:r w:rsidRPr="00C22DDA">
        <w:rPr>
          <w:lang w:val="en-NZ"/>
        </w:rPr>
        <w:fldChar w:fldCharType="end"/>
      </w:r>
      <w:r w:rsidRPr="00C22DDA">
        <w:rPr>
          <w:lang w:val="en-NZ"/>
        </w:rPr>
        <w:t xml:space="preserve">. The Standard applies to all infant formula whether in powder, liquid </w:t>
      </w:r>
      <w:proofErr w:type="gramStart"/>
      <w:r w:rsidRPr="00C22DDA">
        <w:rPr>
          <w:lang w:val="en-NZ"/>
        </w:rPr>
        <w:t>concentrate</w:t>
      </w:r>
      <w:proofErr w:type="gramEnd"/>
      <w:r w:rsidRPr="00C22DDA">
        <w:rPr>
          <w:lang w:val="en-NZ"/>
        </w:rPr>
        <w:t xml:space="preserve"> or ready-to-drink forms. The permitted minimum range established for vitamin D is 0.24 micrograms per 100 kilojoules. The permitted maximum range is up to 0.63 micrograms per 100 kilojoules for both infant formula and toddler milks. </w:t>
      </w:r>
    </w:p>
    <w:p w14:paraId="2353584F" w14:textId="77777777" w:rsidR="00C22DDA" w:rsidRPr="00C22DDA" w:rsidRDefault="00C22DDA" w:rsidP="00C22DDA">
      <w:pPr>
        <w:rPr>
          <w:lang w:val="en-NZ"/>
        </w:rPr>
      </w:pPr>
      <w:r w:rsidRPr="00C22DDA">
        <w:rPr>
          <w:lang w:val="en-NZ"/>
        </w:rPr>
        <w:lastRenderedPageBreak/>
        <w:t xml:space="preserve">An infant consuming over 500 millilitres of infant formula per day should receive the recommended adequate intake of vitamin D. </w:t>
      </w:r>
    </w:p>
    <w:p w14:paraId="499581AE" w14:textId="37D95C07" w:rsidR="00C22DDA" w:rsidRDefault="00C22DDA" w:rsidP="00C22DDA">
      <w:pPr>
        <w:pStyle w:val="Heading2"/>
      </w:pPr>
      <w:bookmarkStart w:id="11" w:name="_Toc167269264"/>
      <w:r>
        <w:t>Vitamin D status during pregnancy and infancy in New Zealand</w:t>
      </w:r>
      <w:bookmarkEnd w:id="11"/>
    </w:p>
    <w:p w14:paraId="04415028" w14:textId="77777777" w:rsidR="00C22DDA" w:rsidRPr="00C22DDA" w:rsidRDefault="00C22DDA" w:rsidP="00C22DDA">
      <w:pPr>
        <w:pStyle w:val="Heading3"/>
      </w:pPr>
      <w:bookmarkStart w:id="12" w:name="_Toc167269265"/>
      <w:r w:rsidRPr="00C22DDA">
        <w:t>Risks for vitamin D deficiency include sun avoidance, living south of Nelson/Marlborough, winter and spring season, and darker skin tone</w:t>
      </w:r>
      <w:bookmarkEnd w:id="12"/>
    </w:p>
    <w:p w14:paraId="58ACC65A" w14:textId="77777777" w:rsidR="00C22DDA" w:rsidRPr="00C22DDA" w:rsidRDefault="00C22DDA" w:rsidP="00C22DDA">
      <w:pPr>
        <w:rPr>
          <w:lang w:val="en-NZ"/>
        </w:rPr>
      </w:pPr>
      <w:r w:rsidRPr="00C22DDA">
        <w:rPr>
          <w:lang w:val="en-NZ"/>
        </w:rPr>
        <w:t xml:space="preserve">Sun exposure to low levels of radiation in the UVB range is the main activator of pre-vitamin D in the skin for most people. Primacy is given to Aotearoa New Zealand-based evidence when understanding infant and maternal risk factors for the Aotearoa New Zealand population because UVB exposure varies significantly by season, latitude/longitude, skin pigmentation, clothing choices, cultural views of sun exposure and sunscreen use. </w:t>
      </w:r>
    </w:p>
    <w:p w14:paraId="774250E5" w14:textId="77777777" w:rsidR="00C22DDA" w:rsidRPr="00C22DDA" w:rsidRDefault="00C22DDA" w:rsidP="00C22DDA">
      <w:pPr>
        <w:rPr>
          <w:lang w:val="en-NZ"/>
        </w:rPr>
      </w:pPr>
      <w:r w:rsidRPr="00C22DDA">
        <w:rPr>
          <w:lang w:val="en-NZ"/>
        </w:rPr>
        <w:t xml:space="preserve">Sun avoidance behaviours vary. Cultural practices, religious beliefs and specific clothing preferences can limit sun exposure and can reduce vitamin D photosynthesis. Health practitioners should recognise the impact of sun avoidance behaviours on vitamin D status. </w:t>
      </w:r>
    </w:p>
    <w:p w14:paraId="4AFBC45B" w14:textId="77777777" w:rsidR="00C22DDA" w:rsidRPr="00C22DDA" w:rsidRDefault="00C22DDA" w:rsidP="00C22DDA">
      <w:pPr>
        <w:pStyle w:val="Heading3"/>
      </w:pPr>
      <w:bookmarkStart w:id="13" w:name="_Toc167269266"/>
      <w:r w:rsidRPr="00C22DDA">
        <w:t>South of Nelson/Marlborough and winter/spring months</w:t>
      </w:r>
      <w:bookmarkEnd w:id="13"/>
    </w:p>
    <w:p w14:paraId="37A8ACB4" w14:textId="77777777" w:rsidR="00C22DDA" w:rsidRPr="00C22DDA" w:rsidRDefault="00C22DDA" w:rsidP="00C22DDA">
      <w:pPr>
        <w:rPr>
          <w:lang w:val="en-NZ"/>
        </w:rPr>
      </w:pPr>
      <w:r w:rsidRPr="00C22DDA">
        <w:rPr>
          <w:lang w:val="en-NZ"/>
        </w:rPr>
        <w:t>There are strong seasonal differences in vitamin D levels in Aotearoa New Zealand. Adults are more likely to be vitamin D insufficient in late winter and early spring (August to October) because of the low UV levels in winter and spring and the reduced personal exposure to UV in the cold winter months, especially in the south.</w:t>
      </w:r>
    </w:p>
    <w:p w14:paraId="5CF64078" w14:textId="77777777" w:rsidR="00C22DDA" w:rsidRPr="00C22DDA" w:rsidRDefault="00C22DDA" w:rsidP="00C22DDA">
      <w:pPr>
        <w:rPr>
          <w:lang w:val="en-NZ"/>
        </w:rPr>
      </w:pPr>
      <w:r w:rsidRPr="00C22DDA">
        <w:rPr>
          <w:lang w:val="en-NZ"/>
        </w:rPr>
        <w:t>In Aotearoa New Zealand, seasonal differences in UV are larger in the south than in the north. In the winter months, UV index levels are very low throughout NZ outside the midday period. Figure 1 shows peak the UV index in summer (left) and the peak UV index in winter (right).</w:t>
      </w:r>
    </w:p>
    <w:p w14:paraId="6E141595" w14:textId="77777777" w:rsidR="00C22DDA" w:rsidRPr="00C22DDA" w:rsidRDefault="00C22DDA" w:rsidP="00C22DDA">
      <w:pPr>
        <w:rPr>
          <w:lang w:val="en-NZ"/>
        </w:rPr>
      </w:pPr>
      <w:r w:rsidRPr="00C22DDA">
        <w:rPr>
          <w:lang w:val="en-NZ"/>
        </w:rPr>
        <w:t xml:space="preserve">The summer map shows that although the peak UV index is high in Aotearoa New Zealand compared with similar northern latitudes, it is not particularly high in the global context. In winter, the UV index in Aotearoa New Zealand remains low (less than 1 south of Taupō). The resulting large contrast between summer and winter is an additional risk factor for vitamin D production because skin that has tanned over the summer months is less efficient at transmitting UV necessary for vitamin D production. </w:t>
      </w:r>
    </w:p>
    <w:p w14:paraId="1CECF238" w14:textId="77777777" w:rsidR="002226CA" w:rsidRDefault="002226CA">
      <w:pPr>
        <w:spacing w:line="259" w:lineRule="auto"/>
        <w:rPr>
          <w:b/>
          <w:bCs/>
          <w:szCs w:val="14"/>
          <w:lang w:val="en-GB" w:eastAsia="en-GB"/>
        </w:rPr>
      </w:pPr>
      <w:r>
        <w:br w:type="page"/>
      </w:r>
    </w:p>
    <w:p w14:paraId="56047675" w14:textId="31C2E58C" w:rsidR="00C22DDA" w:rsidRDefault="002226CA" w:rsidP="002226CA">
      <w:pPr>
        <w:pStyle w:val="Bold"/>
      </w:pPr>
      <w:r>
        <w:lastRenderedPageBreak/>
        <w:t xml:space="preserve">Figure </w:t>
      </w:r>
      <w:r>
        <w:fldChar w:fldCharType="begin"/>
      </w:r>
      <w:r>
        <w:instrText xml:space="preserve"> SEQ Figure \* ARABIC </w:instrText>
      </w:r>
      <w:r>
        <w:fldChar w:fldCharType="separate"/>
      </w:r>
      <w:r>
        <w:rPr>
          <w:noProof/>
        </w:rPr>
        <w:t>1</w:t>
      </w:r>
      <w:r>
        <w:fldChar w:fldCharType="end"/>
      </w:r>
      <w:r>
        <w:t>: Comparison of UV strength over summer and winter</w:t>
      </w:r>
    </w:p>
    <w:tbl>
      <w:tblPr>
        <w:tblStyle w:val="TableGrid"/>
        <w:tblW w:w="0" w:type="auto"/>
        <w:tblLook w:val="04A0" w:firstRow="1" w:lastRow="0" w:firstColumn="1" w:lastColumn="0" w:noHBand="0" w:noVBand="1"/>
      </w:tblPr>
      <w:tblGrid>
        <w:gridCol w:w="4510"/>
        <w:gridCol w:w="4506"/>
      </w:tblGrid>
      <w:tr w:rsidR="002226CA" w14:paraId="0488E884" w14:textId="77777777" w:rsidTr="002226CA">
        <w:trPr>
          <w:cnfStyle w:val="100000000000" w:firstRow="1" w:lastRow="0" w:firstColumn="0" w:lastColumn="0" w:oddVBand="0" w:evenVBand="0" w:oddHBand="0" w:evenHBand="0" w:firstRowFirstColumn="0" w:firstRowLastColumn="0" w:lastRowFirstColumn="0" w:lastRowLastColumn="0"/>
        </w:trPr>
        <w:tc>
          <w:tcPr>
            <w:tcW w:w="4510" w:type="dxa"/>
          </w:tcPr>
          <w:p w14:paraId="1836D592" w14:textId="2E057DCE" w:rsidR="002226CA" w:rsidRDefault="002226CA" w:rsidP="002226CA">
            <w:pPr>
              <w:rPr>
                <w:lang w:val="en-NZ"/>
              </w:rPr>
            </w:pPr>
            <w:r>
              <w:rPr>
                <w:lang w:val="en-NZ"/>
              </w:rPr>
              <w:t>Peak UV Index in Summer</w:t>
            </w:r>
          </w:p>
        </w:tc>
        <w:tc>
          <w:tcPr>
            <w:tcW w:w="4506" w:type="dxa"/>
          </w:tcPr>
          <w:p w14:paraId="0AAC06AE" w14:textId="467C70E5" w:rsidR="002226CA" w:rsidRDefault="002226CA" w:rsidP="002226CA">
            <w:pPr>
              <w:rPr>
                <w:lang w:val="en-NZ"/>
              </w:rPr>
            </w:pPr>
            <w:r>
              <w:rPr>
                <w:lang w:val="en-NZ"/>
              </w:rPr>
              <w:t xml:space="preserve">Peak UV Index in </w:t>
            </w:r>
            <w:proofErr w:type="spellStart"/>
            <w:r>
              <w:rPr>
                <w:lang w:val="en-NZ"/>
              </w:rPr>
              <w:t>mid winter</w:t>
            </w:r>
            <w:proofErr w:type="spellEnd"/>
          </w:p>
        </w:tc>
      </w:tr>
      <w:tr w:rsidR="002226CA" w14:paraId="01229A18" w14:textId="77777777" w:rsidTr="002226CA">
        <w:tc>
          <w:tcPr>
            <w:tcW w:w="4510" w:type="dxa"/>
          </w:tcPr>
          <w:p w14:paraId="134CBAA1" w14:textId="41CE8285" w:rsidR="002226CA" w:rsidRDefault="002226CA" w:rsidP="002226CA">
            <w:pPr>
              <w:rPr>
                <w:lang w:val="en-NZ"/>
              </w:rPr>
            </w:pPr>
            <w:r w:rsidRPr="0082654B">
              <w:rPr>
                <w:noProof/>
              </w:rPr>
              <w:drawing>
                <wp:inline distT="0" distB="0" distL="0" distR="0" wp14:anchorId="2A7204B4" wp14:editId="73A6F4D4">
                  <wp:extent cx="2822342" cy="1998920"/>
                  <wp:effectExtent l="0" t="0" r="0" b="1905"/>
                  <wp:docPr id="1838362844" name="Picture 1838362844"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67489" name="Picture 1" descr="A map of the worl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1911" cy="2005697"/>
                          </a:xfrm>
                          <a:prstGeom prst="rect">
                            <a:avLst/>
                          </a:prstGeom>
                        </pic:spPr>
                      </pic:pic>
                    </a:graphicData>
                  </a:graphic>
                </wp:inline>
              </w:drawing>
            </w:r>
          </w:p>
        </w:tc>
        <w:tc>
          <w:tcPr>
            <w:tcW w:w="4506" w:type="dxa"/>
          </w:tcPr>
          <w:p w14:paraId="01A063D5" w14:textId="341964FC" w:rsidR="002226CA" w:rsidRDefault="002226CA" w:rsidP="002226CA">
            <w:pPr>
              <w:rPr>
                <w:lang w:val="en-NZ"/>
              </w:rPr>
            </w:pPr>
            <w:r w:rsidRPr="0082654B">
              <w:rPr>
                <w:noProof/>
              </w:rPr>
              <w:drawing>
                <wp:inline distT="0" distB="0" distL="0" distR="0" wp14:anchorId="4D43F655" wp14:editId="39D6772E">
                  <wp:extent cx="2814314" cy="2009815"/>
                  <wp:effectExtent l="0" t="0" r="5715" b="0"/>
                  <wp:docPr id="226393692" name="Picture 226393692"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17087" name="Picture 1" descr="A map of the worl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21459" cy="2014917"/>
                          </a:xfrm>
                          <a:prstGeom prst="rect">
                            <a:avLst/>
                          </a:prstGeom>
                        </pic:spPr>
                      </pic:pic>
                    </a:graphicData>
                  </a:graphic>
                </wp:inline>
              </w:drawing>
            </w:r>
          </w:p>
        </w:tc>
      </w:tr>
    </w:tbl>
    <w:p w14:paraId="49E40F4A" w14:textId="353C3C23" w:rsidR="002226CA" w:rsidRDefault="002226CA" w:rsidP="002226CA">
      <w:pPr>
        <w:rPr>
          <w:lang w:val="en-NZ"/>
        </w:rPr>
      </w:pPr>
      <w:r w:rsidRPr="002226CA">
        <w:rPr>
          <w:lang w:val="en-NZ"/>
        </w:rPr>
        <w:t>Source: Ben Liley, Richard McKenzie (NIWA)</w:t>
      </w:r>
    </w:p>
    <w:p w14:paraId="3C060184" w14:textId="77777777" w:rsidR="00D62250" w:rsidRPr="00D62250" w:rsidRDefault="00D62250" w:rsidP="00D62250">
      <w:pPr>
        <w:rPr>
          <w:lang w:val="en-NZ"/>
        </w:rPr>
      </w:pPr>
      <w:r w:rsidRPr="00D62250">
        <w:rPr>
          <w:lang w:val="en-NZ"/>
        </w:rPr>
        <w:t xml:space="preserve">Seasonal differences in UV are most marked in the South Island (excluding the Nelson Marlborough region). In the South Island between August and October, 18 percent of adults had serum 25(OH)D levels below 25 nanomoles per litre, and a further 46 percent had levels between 25 and 50 nanomoles per litre </w:t>
      </w:r>
      <w:r w:rsidRPr="00D62250">
        <w:rPr>
          <w:lang w:val="en-NZ"/>
        </w:rPr>
        <w:fldChar w:fldCharType="begin"/>
      </w:r>
      <w:r w:rsidRPr="00D62250">
        <w:rPr>
          <w:lang w:val="en-NZ"/>
        </w:rPr>
        <w:instrText xml:space="preserve"> ADDIN ZOTERO_ITEM CSL_CITATION {"citationID":"Ho0JF8hi","properties":{"formattedCitation":"(Ministry of Health, 2012)","plainCitation":"(Ministry of Health, 2012)","noteIndex":0},"citationItems":[{"id":819,"uris":["http://zotero.org/groups/5078394/items/R84U9BCA"],"itemData":{"id":819,"type":"report","title":"Vitamin D Status of New Zealand Adults: Findings from the 2008/2009 New Zealand Adult Nutrition Survey","URL":"https://www.health.govt.nz/system/files/documents/publications/vit-d-status-nzadults.pdf","author":[{"literal":"Ministry of Health"}],"issued":{"date-parts":[["2012"]]}}}],"schema":"https://github.com/citation-style-language/schema/raw/master/csl-citation.json"} </w:instrText>
      </w:r>
      <w:r w:rsidRPr="00D62250">
        <w:rPr>
          <w:lang w:val="en-NZ"/>
        </w:rPr>
        <w:fldChar w:fldCharType="separate"/>
      </w:r>
      <w:r w:rsidRPr="00D62250">
        <w:rPr>
          <w:lang w:val="en-NZ"/>
        </w:rPr>
        <w:t>(Ministry of Health, 2012)</w:t>
      </w:r>
      <w:r w:rsidRPr="00D62250">
        <w:rPr>
          <w:lang w:val="en-NZ"/>
        </w:rPr>
        <w:fldChar w:fldCharType="end"/>
      </w:r>
      <w:r w:rsidRPr="00D62250">
        <w:rPr>
          <w:lang w:val="en-NZ"/>
        </w:rPr>
        <w:t>.</w:t>
      </w:r>
    </w:p>
    <w:p w14:paraId="4D75047C" w14:textId="77777777" w:rsidR="00D62250" w:rsidRPr="00D62250" w:rsidRDefault="00D62250" w:rsidP="00D62250">
      <w:pPr>
        <w:rPr>
          <w:lang w:val="en-NZ"/>
        </w:rPr>
      </w:pPr>
      <w:r w:rsidRPr="00D62250">
        <w:rPr>
          <w:lang w:val="en-NZ"/>
        </w:rPr>
        <w:t xml:space="preserve">The 2002 Children’s Nutrition Survey also demonstrated season as a strong determinant of risk of vitamin D insufficiency. In winter months (April to September), unadjusted prevalence of deficiency for New Zealand children was 5 percent and for insufficiency 43 percent. In the summer months (October to March), unadjusted prevalence of deficiency was 2 percent and for insufficiency 16 percent </w:t>
      </w:r>
      <w:r w:rsidRPr="00D62250">
        <w:rPr>
          <w:lang w:val="en-NZ"/>
        </w:rPr>
        <w:fldChar w:fldCharType="begin"/>
      </w:r>
      <w:r w:rsidRPr="00D62250">
        <w:rPr>
          <w:lang w:val="en-NZ"/>
        </w:rPr>
        <w:instrText xml:space="preserve"> ADDIN ZOTERO_ITEM CSL_CITATION {"citationID":"dk46mOX1","properties":{"formattedCitation":"(J. E. Rockell et al., 2005)","plainCitation":"(J. E. Rockell et al., 2005)","dontUpdate":true,"noteIndex":0},"citationItems":[{"id":1087,"uris":["http://zotero.org/groups/5078394/items/PA4EYQ5S"],"itemData":{"id":1087,"type":"article-journal","abstract":"New Zealand children, particularly those of Māori and Pacific ethnicity, may be at risk for low vitamin D status because of low vitamin D intakes, the country's latitude (35–46°S), and skin color. The aim of this study was to determine 25-hydroxyvitamin D concentrations and their determinants in a national sample of New Zealand children aged 5–14 y. The 2002 National Children's Nutrition Survey was designed to survey New Zealand children, including oversampling of Māori and Pacific children to allow ethnic-specific analyses. A 2-stage recruitment process occurred using a random selection of schools, and children within each school. Serum 25-hydroxyvitamin D concentration [mean (99% CI) nmol/L] in Māori children (n = 456) was 43 (38,49), in Pacific (n = 646) 36 (31,42), and in New Zealand European and Others (NZEO) (n = 483) 53 (47,59). Among Māori, Pacific, and NZEO, the prevalence (%, 99% CI) of serum 25-hydroxyvitamin D deficiency (&lt;17.5 nmol/L) was 5 (2,12), 8 (5,14), and 3 (1,7), respectively. The prevalence of insufficiency (&lt;37.5 nmol/L) was 41 (29,53), 59 (42,75), and 25 (15,35), respectively. Multiple regression analysis found that 25-hydroxyvitamin D concentrations were lower in winter than summer [adjusted mean difference (99% CI) nmol/L; 15 (8,22)], lower in girls than boys [5 (1,10)], and lower in obese children than in those of “normal” weight [6 (1,11)]. Relative to NZEO, 25-hydroxyvitamin D concentrations were lower in Māori [9 (3,15)] and Pacific children [16 (10,22)]. Ethnicity and season are major determinants of serum 25-hydroxyvitamin D. There is a high prevalence of vitamin D insufficiency in New Zealand children, which may or may not contribute to increased risk of osteoporosis and other chronic disease. There is a pressing need for more convincing evidence concerning the health risks associated with the low vitamin D status in New Zealand children.","container-title":"The Journal of Nutrition","DOI":"10.1093/jn/135.11.2602","ISSN":"0022-3166","issue":"11","journalAbbreviation":"The Journal of Nutrition","page":"2602-2608","source":"ScienceDirect","title":"Season and Ethnicity Are Determinants of Serum 25-Hydroxyvitamin D Concentrations in New Zealand Children Aged 5–14 y12","volume":"135","author":[{"family":"Rockell","given":"Jennifer E."},{"family":"Green","given":"Timothy J."},{"family":"Skeaff","given":"C. Murray"},{"family":"Whiting","given":"Susan J."},{"family":"Taylor","given":"Rachael W."},{"family":"Williams","given":"Sheila M."},{"family":"Parnell","given":"Winsome R."},{"family":"Scragg","given":"Robert"},{"family":"Wilson","given":"Noela"},{"family":"Schaaf","given":"David"},{"family":"Fitzgerald","given":"Eljon D."},{"family":"Wohlers","given":"Mark W."}],"issued":{"date-parts":[["2005",11,1]]}}}],"schema":"https://github.com/citation-style-language/schema/raw/master/csl-citation.json"} </w:instrText>
      </w:r>
      <w:r w:rsidRPr="00D62250">
        <w:rPr>
          <w:lang w:val="en-NZ"/>
        </w:rPr>
        <w:fldChar w:fldCharType="separate"/>
      </w:r>
      <w:r w:rsidRPr="00D62250">
        <w:rPr>
          <w:lang w:val="en-NZ"/>
        </w:rPr>
        <w:t>( Rockell et al., 2005)</w:t>
      </w:r>
      <w:r w:rsidRPr="00D62250">
        <w:rPr>
          <w:lang w:val="en-NZ"/>
        </w:rPr>
        <w:fldChar w:fldCharType="end"/>
      </w:r>
      <w:r w:rsidRPr="00D62250">
        <w:rPr>
          <w:lang w:val="en-NZ"/>
        </w:rPr>
        <w:t xml:space="preserve">. </w:t>
      </w:r>
    </w:p>
    <w:p w14:paraId="1D39F997" w14:textId="77777777" w:rsidR="00D62250" w:rsidRPr="00D62250" w:rsidRDefault="00D62250" w:rsidP="00D62250">
      <w:pPr>
        <w:rPr>
          <w:lang w:val="en-NZ"/>
        </w:rPr>
      </w:pPr>
      <w:r w:rsidRPr="00D62250">
        <w:rPr>
          <w:lang w:val="en-NZ"/>
        </w:rPr>
        <w:t xml:space="preserve">The 1997 Adult Nutrition Survey found that women living in the South Island (latitude 40 to 47°S) had significantly lower mean serum 25(OH)D by 6 (3 to 9) nanomoles per litre compared with those living in the North Island (latitude 35 t0 40°S) </w:t>
      </w:r>
      <w:r w:rsidRPr="00D62250">
        <w:rPr>
          <w:lang w:val="en-NZ"/>
        </w:rPr>
        <w:fldChar w:fldCharType="begin"/>
      </w:r>
      <w:r w:rsidRPr="00D62250">
        <w:rPr>
          <w:lang w:val="en-NZ"/>
        </w:rPr>
        <w:instrText xml:space="preserve"> ADDIN ZOTERO_ITEM CSL_CITATION {"citationID":"Fm7X3nMj","properties":{"formattedCitation":"(J. E. P. Rockell et al., 2006)","plainCitation":"(J. E. P. Rockell et al., 2006)","dontUpdate":true,"noteIndex":0},"citationItems":[{"id":1090,"uris":["http://zotero.org/groups/5078394/items/ZGW7TVC6"],"itemData":{"id":1090,"type":"article-journal","abstract":"Vitamin D plays an important role in bone health. Our purpose was to measure serum 25-hydroxyvitamin D concentrations and their determinants in a national sample (n=2,946) of New Zealanders aged 15 years and over.","container-title":"Osteoporosis International","DOI":"10.1007/s00198-006-0118-x","ISSN":"1433-2965","issue":"9","journalAbbreviation":"Osteoporos Int","language":"en","page":"1382-1389","source":"Springer Link","title":"Serum 25-hydroxyvitamin D concentrations of New Zealanders aged 15 years and older","volume":"17","author":[{"family":"Rockell","given":"J. E. P."},{"family":"Skeaff","given":"C. M."},{"family":"Williams","given":"S. M."},{"family":"Green","given":"T. J."}],"issued":{"date-parts":[["2006",9,1]]}}}],"schema":"https://github.com/citation-style-language/schema/raw/master/csl-citation.json"} </w:instrText>
      </w:r>
      <w:r w:rsidRPr="00D62250">
        <w:rPr>
          <w:lang w:val="en-NZ"/>
        </w:rPr>
        <w:fldChar w:fldCharType="separate"/>
      </w:r>
      <w:r w:rsidRPr="00D62250">
        <w:rPr>
          <w:lang w:val="en-NZ"/>
        </w:rPr>
        <w:t>(Rockell et al., 2006)</w:t>
      </w:r>
      <w:r w:rsidRPr="00D62250">
        <w:rPr>
          <w:lang w:val="en-NZ"/>
        </w:rPr>
        <w:fldChar w:fldCharType="end"/>
      </w:r>
      <w:r w:rsidRPr="00D62250">
        <w:rPr>
          <w:lang w:val="en-NZ"/>
        </w:rPr>
        <w:t>.</w:t>
      </w:r>
    </w:p>
    <w:p w14:paraId="5428E8F3" w14:textId="77777777" w:rsidR="00D62250" w:rsidRPr="00D62250" w:rsidRDefault="00D62250" w:rsidP="00D62250">
      <w:pPr>
        <w:rPr>
          <w:lang w:val="en-NZ"/>
        </w:rPr>
      </w:pPr>
      <w:r w:rsidRPr="00D62250">
        <w:rPr>
          <w:lang w:val="en-NZ"/>
        </w:rPr>
        <w:t>Vitamin D insufficiency (25(OH)D &lt; 50 nanomoles per litre</w:t>
      </w:r>
      <w:r w:rsidRPr="00D62250" w:rsidDel="00E8624B">
        <w:rPr>
          <w:lang w:val="en-NZ"/>
        </w:rPr>
        <w:t>)</w:t>
      </w:r>
      <w:r w:rsidRPr="00D62250">
        <w:rPr>
          <w:lang w:val="en-NZ"/>
        </w:rPr>
        <w:t xml:space="preserve"> is common in pregnancy and in breastfed infants living south of Nelson/Marlborough. A 2018 longitudinal study of 126 women living at 45</w:t>
      </w:r>
      <w:r w:rsidRPr="00D62250">
        <w:rPr>
          <w:vertAlign w:val="superscript"/>
          <w:lang w:val="en-NZ"/>
        </w:rPr>
        <w:t>°</w:t>
      </w:r>
      <w:r w:rsidRPr="00D62250">
        <w:rPr>
          <w:lang w:val="en-NZ"/>
        </w:rPr>
        <w:t xml:space="preserve">S reported vitamin D insufficiency (25(OH)D &lt; 50 nanomoles per litre) at one or more time-points in 65 percent of pregnant women and 76 percent of their infants. Three infants (2 percent) exhibited secondary hyperparathyroidism by postnatal week 20 </w:t>
      </w:r>
      <w:r w:rsidRPr="00D62250">
        <w:rPr>
          <w:lang w:val="en-NZ"/>
        </w:rPr>
        <w:fldChar w:fldCharType="begin"/>
      </w:r>
      <w:r w:rsidRPr="00D62250">
        <w:rPr>
          <w:lang w:val="en-NZ"/>
        </w:rPr>
        <w:instrText xml:space="preserve"> ADDIN ZOTERO_ITEM CSL_CITATION {"citationID":"GL1NxPHk","properties":{"formattedCitation":"(Wheeler et al., 2018a)","plainCitation":"(Wheeler et al., 2018a)","noteIndex":0},"citationItems":[{"id":821,"uris":["http://zotero.org/groups/5078394/items/3VJ6SG8G"],"itemData":{"id":821,"type":"article-journal","abstract":"Vitamin D status and associated metabolism during pregnancy and lactation have been assessed in only a limited number of longitudinal studies, all from the northern hemisphere, with no infant data concurrently reported. Therefore, we aimed to describe longitudinal maternal and infant 25-hydroxy vitamin D (25OHD) and parathyroid hormone (PTH) status during pregnancy and up to 5 months postnatal age, in New Zealand women and their infants living at 45degree S latitude. Between September 2011 and June 2013, 126 pregnant women intending to exclusively breastfeed for at least 20 weeks were recruited. Longitudinal data were collected at three time-points spanning pregnancy, and following birth and at 20 weeks postpartum. Vitamin D deficiency (25OHD &lt; 50 nmol/L) was common, found at one or more time-points in 65% and 76% of mothers and their infants, respectively. Mean cord 25OHD was 41 nmol/L, and three infants exhibited secondary hyperparathyroidism by postnatal week 20. Maternal late pregnancy 25OHD (gestation 32-38 weeks) was closely correlated with infant cord 25OHD, r2 = 0.87 (95% CI (Confidence interval) 0.8-0.91), while no correlation was seen between early pregnancy (&lt;20 weeks gestation) maternal and cord 25OHD, r2 = 0.06 (95% CI -0.16-0.28). Among other variables, pregnancy 25OHD status, and therefore infant status at birth, were influenced by season of conception. In conclusion, vitamin D deficiency in women and their infants is very common during pregnancy and lactation in New Zealand at 45degree S. These data raise questions regarding the applicability of current pregnancy and lactation policy at this latitude, particularly recommendations relating to first trimester maternal vitamin D screening and targeted supplementation for those \"at risk\".","archive":"Ovid MEDLINE(R) &lt;2018&gt;","container-title":"Nutrients","DOI":"10.3390/nu10010086","ISSN":"2072-6643","issue":"1","note":"section: Wheeler, Benjamin J. Department of Women's and Children's Health, Dunedin School of Medicine, University of Otago, Dunedin 9054, New Zealand. Ben.wheeler@otago.ac.nz. Wheeler, Benjamin J. Paediatric Endocrinology, Southern District Health Board, Dunedin 9010, New Zealand. Ben.wheeler@otago.ac.nz. Taylor, Barry J. Department of Women's and Children's Health, Dunedin School of Medicine, University of Otago, Dunedin 9054, New Zealand. barry.taylor@otago.ac.nz. de Lange, Michel. Department Preventative and Social Medicine, University of Otago, Dunedin 9054, New Zealand. michel.delange@otago.ac.nz. Harper, Michelle J. Department of Human Nutrition, University of Otago, Dunedin 9054, New Zealand. michelle.harper@otago.ac.nz. Jones, Shirley. Department of Women's and Children's Health, Dunedin School of Medicine, University of Otago, Dunedin 9054, New Zealand. shirley.jones@otago.ac.nz. Mekhail, Adel. Department of Women's and Children's Health, Dunedin School of Medicine, University of Otago, Dunedin 9054, New Zealand. adel.mekhail@southerndhb.govt.nz. Houghton, Lisa A. Department of Human Nutrition, University of Otago, Dunedin 9054, New Zealand. lisa.houghton@otago.ac.nz.","title":"A Longitudinal Study of 25-Hydroxy Vitamin D and Parathyroid Hormone Status throughout Pregnancy and Exclusive Lactation in New Zealand Mothers and Their Infants at 45degree S","URL":"http://ovidsp.ovid.com/ovidweb.cgi?T=JS&amp;PAGE=reference&amp;D=med15&amp;NEWS=N&amp;AN=29342867","volume":"10","author":[{"family":"Wheeler","given":"Benjamin J."},{"family":"Taylor","given":"Barry J."},{"family":"Lange","given":"Michel","non-dropping-particle":"de"},{"family":"Harper","given":"Michelle J."},{"family":"Jones","given":"Shirley"},{"family":"Mekhail","given":"Adel"},{"family":"Houghton","given":"Lisa A."}],"issued":{"date-parts":[["2018"]]}}}],"schema":"https://github.com/citation-style-language/schema/raw/master/csl-citation.json"} </w:instrText>
      </w:r>
      <w:r w:rsidRPr="00D62250">
        <w:rPr>
          <w:lang w:val="en-NZ"/>
        </w:rPr>
        <w:fldChar w:fldCharType="separate"/>
      </w:r>
      <w:r w:rsidRPr="00D62250">
        <w:rPr>
          <w:lang w:val="en-NZ"/>
        </w:rPr>
        <w:t>(Wheeler et al., 2018a)</w:t>
      </w:r>
      <w:r w:rsidRPr="00D62250">
        <w:rPr>
          <w:lang w:val="en-NZ"/>
        </w:rPr>
        <w:fldChar w:fldCharType="end"/>
      </w:r>
      <w:r w:rsidRPr="00D62250">
        <w:rPr>
          <w:lang w:val="en-NZ"/>
        </w:rPr>
        <w:t xml:space="preserve">. A 2010 cohort study measuring the vitamin D levels of 929 infants living in Wellington or Christchurch reported that the median cord-blood level of 25(OH)D was 44 nanomoles per litre. Nineteen percent of newborn infants were deficient (25 (OH)D &lt; 25 nanomoles per litre), and 57 percent were insufficient (25 (OH)D &lt; 50 nanomoles per litre) in vitamin D </w:t>
      </w:r>
      <w:r w:rsidRPr="00D62250">
        <w:rPr>
          <w:lang w:val="en-NZ"/>
        </w:rPr>
        <w:fldChar w:fldCharType="begin"/>
      </w:r>
      <w:r w:rsidRPr="00D62250">
        <w:rPr>
          <w:lang w:val="en-NZ"/>
        </w:rPr>
        <w:instrText xml:space="preserve"> ADDIN ZOTERO_ITEM CSL_CITATION {"citationID":"PWt3mki2","properties":{"formattedCitation":"(Camargo et al., 2010)","plainCitation":"(Camargo et al., 2010)","noteIndex":0},"citationItems":[{"id":822,"uris":["http://zotero.org/groups/5078394/items/VBY67GVE"],"itemData":{"id":822,"type":"article-journal","abstract":"Recognition of the important non-skeletal health effects of vitamin D has focused attention on the vitamin D status of individuals across the lifespan. To examine the vitamin D status of newborns, we measured serum levels of 25-hydroxyvitamin D (25(OH)D) in the cord blood of 929 apparently healthy newborns in a population-based study in New Zealand, a country at 41°S latitude, with strong anti-skin cancer (sun avoidance) campaigns and without vitamin D food fortification. Randomly selected midwives in two regions recruited children. The median cord blood level of 25(OH)D was 44 nmol/l (interquartile range, 29-78 nmol/l). Overall, 19 % of newborns had 25(OH)D levels &lt; 25 nmol/l and 57 % had levels &lt; 50 nmol/l; only 27 % had levels of 75 nmol/l or higher, which are levels associated with optimal health in older children and adults. A multivariable ordinal logistic regression model showed that the strongest determinants of low vitamin D status were winter month of birth and non-European ethnicity. Other determinants of low cord blood 25(OH)D included longer gestational age, younger maternal age and a parental history of asthma. In summary, low levels of vitamin D are common among apparently healthy New Zealand newborns, and are independently associated with several easily identified factors. Although the optimal timing and dosage of vitamin D supplementation require further study, our findings may assist future efforts to correct low levels of 25(OH)D among New Zealand mothers and their newborn children. [PUBLICATION ABSTRACT]","archive":"Natural Science Collection; ProQuest One Academic","archive_location":"756240715; 20426893","container-title":"The British Journal of Nutrition","DOI":"10.1017/S0007114510001674","ISSN":"00071145","issue":"7","language":"English","note":"publisher-place: Cambridge\npublisher: Cambridge University Press","page":"1051-7","title":"Vitamin D status of newborns in New Zealand","volume":"104","author":[{"family":"Camargo","given":"Carlos A"},{"family":"Ingham","given":"Tristram"},{"family":"Wickens","given":"Kristin"},{"family":"Thadhani","given":"Ravi I"},{"family":"Silvers","given":"Karen M"},{"family":"Epton","given":"Michael J"},{"family":"Town","given":"G Ian"},{"family":"Espinola","given":"Janice A"},{"family":"Crane","given":"Julian"}],"issued":{"date-parts":[["2010",10,14]]}}}],"schema":"https://github.com/citation-style-language/schema/raw/master/csl-citation.json"} </w:instrText>
      </w:r>
      <w:r w:rsidRPr="00D62250">
        <w:rPr>
          <w:lang w:val="en-NZ"/>
        </w:rPr>
        <w:fldChar w:fldCharType="separate"/>
      </w:r>
      <w:r w:rsidRPr="00D62250">
        <w:rPr>
          <w:lang w:val="en-NZ"/>
        </w:rPr>
        <w:t>(Camargo et al., 2010)</w:t>
      </w:r>
      <w:r w:rsidRPr="00D62250">
        <w:rPr>
          <w:lang w:val="en-NZ"/>
        </w:rPr>
        <w:fldChar w:fldCharType="end"/>
      </w:r>
      <w:r w:rsidRPr="00D62250">
        <w:rPr>
          <w:lang w:val="en-NZ"/>
        </w:rPr>
        <w:t>.</w:t>
      </w:r>
    </w:p>
    <w:p w14:paraId="407D9CFA" w14:textId="77777777" w:rsidR="00D62250" w:rsidRPr="00D62250" w:rsidRDefault="00D62250" w:rsidP="00D62250">
      <w:pPr>
        <w:rPr>
          <w:lang w:val="en-NZ"/>
        </w:rPr>
      </w:pPr>
      <w:r w:rsidRPr="00D62250">
        <w:rPr>
          <w:lang w:val="en-NZ"/>
        </w:rPr>
        <w:t>Variance in 25(OH)D levels was largely explained by season of blood collection. Data from a Dunedin study of 193 infants aged 12 to 22 months found a mean 25(OH)D concentration of 52 nanomoles per litre</w:t>
      </w:r>
      <w:r w:rsidRPr="00D62250" w:rsidDel="00E8624B">
        <w:rPr>
          <w:lang w:val="en-NZ"/>
        </w:rPr>
        <w:t>,</w:t>
      </w:r>
      <w:r w:rsidRPr="00D62250">
        <w:rPr>
          <w:lang w:val="en-NZ"/>
        </w:rPr>
        <w:t xml:space="preserve"> which was consistent with the data from the 2002 National Children’s Nutrition Survey  (a mean of 50 nanomoles per litre</w:t>
      </w:r>
      <w:r w:rsidRPr="00D62250" w:rsidDel="00E8624B">
        <w:rPr>
          <w:lang w:val="en-NZ"/>
        </w:rPr>
        <w:t xml:space="preserve"> </w:t>
      </w:r>
      <w:r w:rsidRPr="00D62250">
        <w:rPr>
          <w:lang w:val="en-NZ"/>
        </w:rPr>
        <w:t xml:space="preserve">for children aged 5 to 14 years) </w:t>
      </w:r>
      <w:r w:rsidRPr="00D62250">
        <w:rPr>
          <w:lang w:val="en-NZ"/>
        </w:rPr>
        <w:fldChar w:fldCharType="begin"/>
      </w:r>
      <w:r w:rsidRPr="00D62250">
        <w:rPr>
          <w:lang w:val="en-NZ"/>
        </w:rPr>
        <w:instrText xml:space="preserve"> ADDIN ZOTERO_ITEM CSL_CITATION {"citationID":"RiZxLQTy","properties":{"formattedCitation":"(Ministry of Health, 2003)","plainCitation":"(Ministry of Health, 2003)","noteIndex":0},"citationItems":[{"id":1064,"uris":["http://zotero.org/groups/5078394/items/FBX7KVC9"],"itemData":{"id":1064,"type":"document","publisher":"Ministry of Health","title":"NZ Food NZ Children: Key results of the 2002 National Children’s Nutrition Survey","author":[{"family":"Ministry of Health","given":""}],"issued":{"date-parts":[["2003"]]}}}],"schema":"https://github.com/citation-style-language/schema/raw/master/csl-citation.json"} </w:instrText>
      </w:r>
      <w:r w:rsidRPr="00D62250">
        <w:rPr>
          <w:lang w:val="en-NZ"/>
        </w:rPr>
        <w:fldChar w:fldCharType="separate"/>
      </w:r>
      <w:r w:rsidRPr="00D62250">
        <w:rPr>
          <w:lang w:val="en-NZ"/>
        </w:rPr>
        <w:t>(Ministry of Health, 2003)</w:t>
      </w:r>
      <w:r w:rsidRPr="00D62250">
        <w:rPr>
          <w:lang w:val="en-NZ"/>
        </w:rPr>
        <w:fldChar w:fldCharType="end"/>
      </w:r>
      <w:r w:rsidRPr="00D62250">
        <w:rPr>
          <w:lang w:val="en-NZ"/>
        </w:rPr>
        <w:t>. In this cohort, almost 80 percent of the population of children had levels below 50 nanomoles per litre</w:t>
      </w:r>
      <w:r w:rsidRPr="00D62250" w:rsidDel="00E8624B">
        <w:rPr>
          <w:lang w:val="en-NZ"/>
        </w:rPr>
        <w:t xml:space="preserve"> </w:t>
      </w:r>
      <w:r w:rsidRPr="00D62250">
        <w:rPr>
          <w:lang w:val="en-NZ"/>
        </w:rPr>
        <w:t xml:space="preserve">in winter compared with only 6 percent in summer </w:t>
      </w:r>
      <w:r w:rsidRPr="00D62250">
        <w:rPr>
          <w:lang w:val="en-NZ"/>
        </w:rPr>
        <w:fldChar w:fldCharType="begin"/>
      </w:r>
      <w:r w:rsidRPr="00D62250">
        <w:rPr>
          <w:lang w:val="en-NZ"/>
        </w:rPr>
        <w:instrText xml:space="preserve"> ADDIN ZOTERO_ITEM CSL_CITATION {"citationID":"OjSnlR5m","properties":{"formattedCitation":"(Houghton, et al., 2010)","plainCitation":"(Houghton, et al., 2010)","noteIndex":0},"citationItems":[{"id":1030,"uris":["http://zotero.org/groups/5078394/items/YR47S9KK"],"itemData":{"id":1030,"type":"article-journal","container-title":"American Journal of Clinical Nutrition","issue":"90","page":"69–76","title":"Predictors of vitamin D status and its association with parathyroid hormone in young New Zealand children","author":[{"family":"Houghton,","given":"Lisa A"},{"family":"Szymlek","given":"EA"},{"family":"Gray","given":"AR"},{"family":"Ferguson","given":"EL"},{"family":"Deng","given":"X"},{"family":"Heath","given":"A-L M"}],"issued":{"date-parts":[["2010"]]}}}],"schema":"https://github.com/citation-style-language/schema/raw/master/csl-citation.json"} </w:instrText>
      </w:r>
      <w:r w:rsidRPr="00D62250">
        <w:rPr>
          <w:lang w:val="en-NZ"/>
        </w:rPr>
        <w:fldChar w:fldCharType="separate"/>
      </w:r>
      <w:r w:rsidRPr="00D62250">
        <w:rPr>
          <w:lang w:val="en-NZ"/>
        </w:rPr>
        <w:t>(Houghton, et al., 2010)</w:t>
      </w:r>
      <w:r w:rsidRPr="00D62250">
        <w:rPr>
          <w:lang w:val="en-NZ"/>
        </w:rPr>
        <w:fldChar w:fldCharType="end"/>
      </w:r>
      <w:r w:rsidRPr="00D62250">
        <w:rPr>
          <w:lang w:val="en-NZ"/>
        </w:rPr>
        <w:t xml:space="preserve">. </w:t>
      </w:r>
    </w:p>
    <w:p w14:paraId="2DFBEF79" w14:textId="77777777" w:rsidR="00D62250" w:rsidRPr="00D62250" w:rsidRDefault="00D62250" w:rsidP="00D62250">
      <w:pPr>
        <w:rPr>
          <w:lang w:val="en-NZ"/>
        </w:rPr>
      </w:pPr>
      <w:r w:rsidRPr="00D62250">
        <w:rPr>
          <w:lang w:val="en-NZ"/>
        </w:rPr>
        <w:t>Seasonality also affects people living in other parts of Aotearoa New Zealand. An Auckland-based study reported 25(OH)D levels below 27.5 nanomoles per litre</w:t>
      </w:r>
      <w:r w:rsidRPr="00D62250" w:rsidDel="00E8624B">
        <w:rPr>
          <w:lang w:val="en-NZ"/>
        </w:rPr>
        <w:t xml:space="preserve"> </w:t>
      </w:r>
      <w:r w:rsidRPr="00D62250">
        <w:rPr>
          <w:lang w:val="en-NZ"/>
        </w:rPr>
        <w:t xml:space="preserve">in 13 percent of infants and toddlers aged 6 to 23 months (46 out of 353 infants and toddlers). Results were strongly </w:t>
      </w:r>
      <w:r w:rsidRPr="00D62250">
        <w:rPr>
          <w:lang w:val="en-NZ"/>
        </w:rPr>
        <w:lastRenderedPageBreak/>
        <w:t>correlated to season of testing: 15 percent of those sampled in winter had low vitamin D, but only 1 percent of those sampled in summer had levels below 27.5 nanomoles per litre</w:t>
      </w:r>
      <w:r w:rsidRPr="00D62250" w:rsidDel="00E8624B">
        <w:rPr>
          <w:lang w:val="en-NZ"/>
        </w:rPr>
        <w:t xml:space="preserve"> </w:t>
      </w:r>
      <w:r w:rsidRPr="00D62250">
        <w:rPr>
          <w:lang w:val="en-NZ"/>
        </w:rPr>
        <w:fldChar w:fldCharType="begin"/>
      </w:r>
      <w:r w:rsidRPr="00D62250">
        <w:rPr>
          <w:lang w:val="en-NZ"/>
        </w:rPr>
        <w:instrText xml:space="preserve"> ADDIN ZOTERO_ITEM CSL_CITATION {"citationID":"nvfPeWPZ","properties":{"formattedCitation":"(C. Grant et al., 2009)","plainCitation":"(C. Grant et al., 2009)","dontUpdate":true,"noteIndex":0},"citationItems":[{"id":1031,"uris":["http://zotero.org/groups/5078394/items/BMPC7AJQ"],"itemData":{"id":1031,"type":"article-journal","container-title":"Public Health Nutrition","issue":"12(10)","page":"1893–1901","title":"Vitamin D deficiency in early childhood: prevalent in the sunny South Pacific","author":[{"family":"Grant","given":"CC"},{"family":"Wall","given":"CR"},{"family":"Crengle","given":"S"},{"family":"Scragg","given":"R"}],"issued":{"date-parts":[["2009"]]}}}],"schema":"https://github.com/citation-style-language/schema/raw/master/csl-citation.json"} </w:instrText>
      </w:r>
      <w:r w:rsidRPr="00D62250">
        <w:rPr>
          <w:lang w:val="en-NZ"/>
        </w:rPr>
        <w:fldChar w:fldCharType="separate"/>
      </w:r>
      <w:r w:rsidRPr="00D62250">
        <w:rPr>
          <w:lang w:val="en-NZ"/>
        </w:rPr>
        <w:t>(Grant et al., 2009)</w:t>
      </w:r>
      <w:r w:rsidRPr="00D62250">
        <w:rPr>
          <w:lang w:val="en-NZ"/>
        </w:rPr>
        <w:fldChar w:fldCharType="end"/>
      </w:r>
      <w:r w:rsidRPr="00D62250">
        <w:rPr>
          <w:lang w:val="en-NZ"/>
        </w:rPr>
        <w:t>.</w:t>
      </w:r>
    </w:p>
    <w:p w14:paraId="7F3B6AFB" w14:textId="77777777" w:rsidR="00D62250" w:rsidRPr="00D62250" w:rsidRDefault="00D62250" w:rsidP="00D62250">
      <w:pPr>
        <w:pStyle w:val="Heading3"/>
      </w:pPr>
      <w:bookmarkStart w:id="14" w:name="_Toc167269267"/>
      <w:r w:rsidRPr="00D62250">
        <w:t>Darker skin tone</w:t>
      </w:r>
      <w:bookmarkEnd w:id="14"/>
    </w:p>
    <w:p w14:paraId="2584211C" w14:textId="77777777" w:rsidR="00D62250" w:rsidRPr="00D62250" w:rsidRDefault="00D62250" w:rsidP="00D62250">
      <w:pPr>
        <w:rPr>
          <w:lang w:val="en-NZ"/>
        </w:rPr>
      </w:pPr>
      <w:r w:rsidRPr="00D62250">
        <w:rPr>
          <w:lang w:val="en-NZ"/>
        </w:rPr>
        <w:t xml:space="preserve">People with naturally dark skin tone have higher melanin pigmentation in the skin. Melanin acts as a filter for ultraviolet (UV) radiation. This reduces the production of vitamin D in the skin. Although people with naturally dark skin tone rarely burn and are better protected from skin cancer, they are at greater risk of vitamin D deficiency. </w:t>
      </w:r>
    </w:p>
    <w:p w14:paraId="58F707D0" w14:textId="77777777" w:rsidR="00D62250" w:rsidRPr="00D62250" w:rsidRDefault="00D62250" w:rsidP="00D62250">
      <w:pPr>
        <w:rPr>
          <w:lang w:val="en-NZ"/>
        </w:rPr>
      </w:pPr>
      <w:r w:rsidRPr="00D62250">
        <w:rPr>
          <w:lang w:val="en-NZ"/>
        </w:rPr>
        <w:t xml:space="preserve">A 2015 Aotearoa New Zealand prospective surveillance study investigated incidence and characteristics of vitamin D deficiency in Aotearoa New Zealand among 58 children with confirmed vitamin D deficiency rickets </w:t>
      </w:r>
      <w:r w:rsidRPr="00D62250">
        <w:rPr>
          <w:lang w:val="en-NZ"/>
        </w:rPr>
        <w:fldChar w:fldCharType="begin"/>
      </w:r>
      <w:r w:rsidRPr="00D62250">
        <w:rPr>
          <w:lang w:val="en-NZ"/>
        </w:rPr>
        <w:instrText xml:space="preserve"> ADDIN ZOTERO_ITEM CSL_CITATION {"citationID":"2tDujoJn","properties":{"formattedCitation":"(Wheeler et al., 2015)","plainCitation":"(Wheeler et al., 2015)","noteIndex":0},"citationItems":[{"id":736,"uris":["http://zotero.org/groups/5078394/items/ZX5DX8GR"],"itemData":{"id":736,"type":"article-journal","abstract":"OBJECTIVE: To investigate the incidence and characteristics of vitamin D deficiency rickets in New Zealand (NZ)., METHODS: Prospective surveillance among paediatricians of Vitamin D Deficiency Rickets was conducted by the New Zealand Paediatric Surveillance Unit (NZPSU) for 36 months, from July 2010 to June 2013, inclusive. Inclusion criteria were: children and adolescents &lt;15 years of age with vitamin D deficiency rickets (defined by low serum 25-hydroxyvitamin D and elevated alkaline phosphatase levels, and/or radiological rickets)., RESULTS: Fifty-eight children with confirmed vitamin D deficiency rickets were identified. Median age was 1.4 (range 0.3-11) years, 47% were male, and 95% of the children were born in NZ; however, the majority of the mothers (68%) were born outside NZ. Overall annual incidence of rickets in children aged &lt;15 years was 2.2/100,000 (95%CI 1.4-3.5); with incidence in those &lt;3 years being 10.5/100,000 (95%CI 6.7-16.6). Skeletal abnormalities, poor growth and motor delay were the most common presenting features, with hypocalcaemic convulsion in 16% of children. Key risk factors identified were: darker skin pigment, Indian and African ethnicity, age &lt;3 years, exclusive breast feeding, and southern latitude, particularly when combined with season (winter/spring). Of the patients reported, none had received appropriate vitamin D supplementation., CONCLUSIONS: Vitamin D deficiency rickets remains a problem for NZ children. Key risk factors remain similar to those identified in the international literature. Preventative targeted vitamin D supplementation, as per existing national guidelines, was lacking in all cases reported., IMPLICATIONS: Vitamin D deficiency rickets is the most significant manifestation of vitamin D deficiency in growing children. To reduce the incidence of this disease among those at high risk, increasing awareness and implementation of current public health policies for targeted maternal, infant and child supplementation are required. Copyright © 2015 Public Health Association of Australia.","archive":"Ovid MEDLINE(R) &lt;2015&gt;","container-title":"Australian and New Zealand journal of public health","DOI":"10.1111/1753-6405.12390","ISSN":"1753-6405 1326-0200","issue":"4","note":"section: Wheeler, Benjamin J. Department of Women's and Children's Health, Dunedin School of Medicine, University of Otago, New Zealand. Wheeler, Benjamin J. Paediatric Endocrinology, Southern District Health Board, New Zealand. Dickson, Nigel P. New Zealand Paediatric Surveillance Unit, Department of Women's and Child Health, Dunedin School of Medicine, University of Otago, New Zealand. Houghton, Lisa A. Department of Human Nutrition, University of Otago, New Zealand. Ward, Leanne M. Department of Pediatrics, University of Ottawa, Canada. Taylor, Barry J. New Zealand Paediatric Surveillance Unit, Department of Women's and Child Health, Dunedin School of Medicine, University of Otago, New Zealand.","page":"380-3","title":"Incidence and characteristics of vitamin D deficiency rickets in New Zealand children: a New Zealand Paediatric Surveillance Unit study","volume":"39","author":[{"family":"Wheeler","given":"Benjamin J."},{"family":"Dickson","given":"Nigel P."},{"family":"Houghton","given":"Lisa A."},{"family":"Ward","given":"Leanne M."},{"family":"Taylor","given":"Barry J."}],"issued":{"date-parts":[["2015"]]}}}],"schema":"https://github.com/citation-style-language/schema/raw/master/csl-citation.json"} </w:instrText>
      </w:r>
      <w:r w:rsidRPr="00D62250">
        <w:rPr>
          <w:lang w:val="en-NZ"/>
        </w:rPr>
        <w:fldChar w:fldCharType="separate"/>
      </w:r>
      <w:r w:rsidRPr="00D62250">
        <w:rPr>
          <w:lang w:val="en-NZ"/>
        </w:rPr>
        <w:t>(Wheeler et al., 2015)</w:t>
      </w:r>
      <w:r w:rsidRPr="00D62250">
        <w:rPr>
          <w:lang w:val="en-NZ"/>
        </w:rPr>
        <w:fldChar w:fldCharType="end"/>
      </w:r>
      <w:r w:rsidRPr="00D62250">
        <w:rPr>
          <w:lang w:val="en-NZ"/>
        </w:rPr>
        <w:t>. The median age was 1.4 years old from an observed range of 0.3 to 11 years.</w:t>
      </w:r>
      <w:r w:rsidRPr="00D62250" w:rsidDel="002B3679">
        <w:rPr>
          <w:lang w:val="en-NZ"/>
        </w:rPr>
        <w:t xml:space="preserve"> </w:t>
      </w:r>
      <w:r w:rsidRPr="00D62250">
        <w:rPr>
          <w:lang w:val="en-NZ"/>
        </w:rPr>
        <w:t xml:space="preserve">Key risk factors for developing vitamin D deficiency rickets were darker skin pigment, Indian and African ethnicity, age less than 3 years, exclusive </w:t>
      </w:r>
      <w:proofErr w:type="gramStart"/>
      <w:r w:rsidRPr="00D62250">
        <w:rPr>
          <w:lang w:val="en-NZ"/>
        </w:rPr>
        <w:t>breastfeeding</w:t>
      </w:r>
      <w:proofErr w:type="gramEnd"/>
      <w:r w:rsidRPr="00D62250">
        <w:rPr>
          <w:lang w:val="en-NZ"/>
        </w:rPr>
        <w:t xml:space="preserve"> and southern latitude, particularly when combined with season (winter/spring). Another study found the strongest determinants of low vitamin D status were winter month of birth and non-European ethnicity </w:t>
      </w:r>
      <w:r w:rsidRPr="00D62250">
        <w:rPr>
          <w:lang w:val="en-NZ"/>
        </w:rPr>
        <w:fldChar w:fldCharType="begin"/>
      </w:r>
      <w:r w:rsidRPr="00D62250">
        <w:rPr>
          <w:lang w:val="en-NZ"/>
        </w:rPr>
        <w:instrText xml:space="preserve"> ADDIN ZOTERO_ITEM CSL_CITATION {"citationID":"KO7srTfP","properties":{"formattedCitation":"(Camargo et al., 2010)","plainCitation":"(Camargo et al., 2010)","noteIndex":0},"citationItems":[{"id":822,"uris":["http://zotero.org/groups/5078394/items/VBY67GVE"],"itemData":{"id":822,"type":"article-journal","abstract":"Recognition of the important non-skeletal health effects of vitamin D has focused attention on the vitamin D status of individuals across the lifespan. To examine the vitamin D status of newborns, we measured serum levels of 25-hydroxyvitamin D (25(OH)D) in the cord blood of 929 apparently healthy newborns in a population-based study in New Zealand, a country at 41°S latitude, with strong anti-skin cancer (sun avoidance) campaigns and without vitamin D food fortification. Randomly selected midwives in two regions recruited children. The median cord blood level of 25(OH)D was 44 nmol/l (interquartile range, 29-78 nmol/l). Overall, 19 % of newborns had 25(OH)D levels &lt; 25 nmol/l and 57 % had levels &lt; 50 nmol/l; only 27 % had levels of 75 nmol/l or higher, which are levels associated with optimal health in older children and adults. A multivariable ordinal logistic regression model showed that the strongest determinants of low vitamin D status were winter month of birth and non-European ethnicity. Other determinants of low cord blood 25(OH)D included longer gestational age, younger maternal age and a parental history of asthma. In summary, low levels of vitamin D are common among apparently healthy New Zealand newborns, and are independently associated with several easily identified factors. Although the optimal timing and dosage of vitamin D supplementation require further study, our findings may assist future efforts to correct low levels of 25(OH)D among New Zealand mothers and their newborn children. [PUBLICATION ABSTRACT]","archive":"Natural Science Collection; ProQuest One Academic","archive_location":"756240715; 20426893","container-title":"The British Journal of Nutrition","DOI":"10.1017/S0007114510001674","ISSN":"00071145","issue":"7","language":"English","note":"publisher-place: Cambridge\npublisher: Cambridge University Press","page":"1051-7","title":"Vitamin D status of newborns in New Zealand","volume":"104","author":[{"family":"Camargo","given":"Carlos A"},{"family":"Ingham","given":"Tristram"},{"family":"Wickens","given":"Kristin"},{"family":"Thadhani","given":"Ravi I"},{"family":"Silvers","given":"Karen M"},{"family":"Epton","given":"Michael J"},{"family":"Town","given":"G Ian"},{"family":"Espinola","given":"Janice A"},{"family":"Crane","given":"Julian"}],"issued":{"date-parts":[["2010",10,14]]}}}],"schema":"https://github.com/citation-style-language/schema/raw/master/csl-citation.json"} </w:instrText>
      </w:r>
      <w:r w:rsidRPr="00D62250">
        <w:rPr>
          <w:lang w:val="en-NZ"/>
        </w:rPr>
        <w:fldChar w:fldCharType="separate"/>
      </w:r>
      <w:r w:rsidRPr="00D62250">
        <w:rPr>
          <w:lang w:val="en-NZ"/>
        </w:rPr>
        <w:t>(Camargo et al., 2010)</w:t>
      </w:r>
      <w:r w:rsidRPr="00D62250">
        <w:rPr>
          <w:lang w:val="en-NZ"/>
        </w:rPr>
        <w:fldChar w:fldCharType="end"/>
      </w:r>
      <w:r w:rsidRPr="00D62250">
        <w:rPr>
          <w:lang w:val="en-NZ"/>
        </w:rPr>
        <w:t>. While skin pigmentation appears to be the most likely explanation for the ethnic differences in vitamin D levels, the potential influence of other genetic or environmental factors merits further research.</w:t>
      </w:r>
    </w:p>
    <w:p w14:paraId="17F38BD5" w14:textId="77777777" w:rsidR="00D62250" w:rsidRPr="00D62250" w:rsidRDefault="00D62250" w:rsidP="00D62250">
      <w:pPr>
        <w:rPr>
          <w:lang w:val="en-NZ"/>
        </w:rPr>
      </w:pPr>
      <w:r w:rsidRPr="00D62250">
        <w:rPr>
          <w:lang w:val="en-NZ"/>
        </w:rPr>
        <w:t>An Aotearoa New Zealand study involving 259 ethnically diverse pregnant women (grouped into European, Māori, Pacific, and other ethnic groups) reported that vitamin D insufficiency (serum 25(OH)D &lt; 50 nanomoles per litre) was present in 42 percent of study participants. Vitamin D deficiency (serum 25(OH)D &lt; 25 nanomoles per litre) was present in 11 percent of study participants. Enrolment season (p&lt;.001) and ethnicity (Māori, Pacific, and other ethnic groups all at increased risk compared with those of European ethnicity) (p=.003) were independently associated with the likelihood of vitamin D insufficiency, but sunlight exposure or dietary vitamin D intake were not associated with deficiency. Of those enrolled in winter and spring, vitamin D deficiency</w:t>
      </w:r>
      <w:r w:rsidRPr="00D62250" w:rsidDel="00B55159">
        <w:rPr>
          <w:lang w:val="en-NZ"/>
        </w:rPr>
        <w:t xml:space="preserve"> </w:t>
      </w:r>
      <w:r w:rsidRPr="00D62250">
        <w:rPr>
          <w:lang w:val="en-NZ"/>
        </w:rPr>
        <w:t xml:space="preserve">was present in 80 percent of Pacific women, 67 percent of </w:t>
      </w:r>
      <w:proofErr w:type="spellStart"/>
      <w:r w:rsidRPr="00D62250">
        <w:rPr>
          <w:lang w:val="en-NZ"/>
        </w:rPr>
        <w:t>wāhine</w:t>
      </w:r>
      <w:proofErr w:type="spellEnd"/>
      <w:r w:rsidRPr="00D62250">
        <w:rPr>
          <w:lang w:val="en-NZ"/>
        </w:rPr>
        <w:t xml:space="preserve"> Māori, 59 percent of women of other ethnic groups, and 43 percent of European </w:t>
      </w:r>
      <w:r w:rsidRPr="00D62250">
        <w:rPr>
          <w:lang w:val="en-NZ"/>
        </w:rPr>
        <w:fldChar w:fldCharType="begin"/>
      </w:r>
      <w:r w:rsidRPr="00D62250">
        <w:rPr>
          <w:lang w:val="en-NZ"/>
        </w:rPr>
        <w:instrText xml:space="preserve"> ADDIN ZOTERO_ITEM CSL_CITATION {"citationID":"36RyzGxg","properties":{"formattedCitation":"(Ekeroma et al., 2015)","plainCitation":"(Ekeroma et al., 2015)","noteIndex":0},"citationItems":[{"id":734,"uris":["http://zotero.org/groups/5078394/items/5SCZ52QD"],"itemData":{"id":734,"type":"article-journal","abstract":"Newborn vitamin D status is largely determined by maternal vitamin D status during pregnancy. New Zealand has a sun avoidance health policy and minimal dietary vitamin D fortification. Vitamin D deficiency (serum 25-hydroxyvitamin D (25(OH)D) concentration &lt;50 nmol/L) is present in 57% of a sample of newborns from Christchurch and Wellington. To inform vitamin D supplementation policy, our aim was to describe the frequency of, and factors associated with, vitamin D deficiency during pregnancy.\nWe enrolled an ethnically diverse sample of pregnant women from a community maternity clinic in South Auckland, New Zealand, with serum 25(OH)D concentration measured at 27 weeks gestation. We examined the associations of enrolment season, maternal demographics, health, sunlight exposure and vitamin D intake with vitamin D deficiency.\nVitamin D deficiency was present in 109/259 (42%). Enrolment season (P&lt;0.001) and ethnicity (P=0.003) were independently associated with the odds of vitamin D deficiency, but not sunlight exposure or dietary vitamin D intake. Of those enrolled in winter (June-August)/spring (September-November), vitamin D deficiency was present in 43% of European, 67% of Māori, 80% of Pacific and 59% of women of other ethnic groups.\nThese findings suggest that New Zealand's targeted strategy for vitamin D supplementation may miss up to 42% of women with vitamin D deficiency in our population. Supplementation for all pregnant women during winter/spring could be an appropriate intervention for prevention of vitamin D deficiency during pregnancy in New Zealand.","container-title":"New Zealand medical journal","ISSN":"1175-8716","issue":"1422","note":"publisher-place: New Zealand\npublisher: New Zealand Medical Association (NZMA)","page":"24-34","title":"Predictors of vitamin D status in pregnant women in New Zealand","volume":"128","author":[{"family":"Ekeroma","given":"Alec J"},{"family":"Camargo","given":"Jr","suffix":"Carlos A"},{"family":"Scragg","given":"Robert"},{"family":"Wall","given":"Clare"},{"family":"Stewart","given":"Alistair"},{"family":"Mitchell","given":"Ed"},{"family":"Crane","given":"Julian"},{"family":"Grant","given":"Cameron C"}],"issued":{"date-parts":[["2015"]]}}}],"schema":"https://github.com/citation-style-language/schema/raw/master/csl-citation.json"} </w:instrText>
      </w:r>
      <w:r w:rsidRPr="00D62250">
        <w:rPr>
          <w:lang w:val="en-NZ"/>
        </w:rPr>
        <w:fldChar w:fldCharType="separate"/>
      </w:r>
      <w:r w:rsidRPr="00D62250">
        <w:rPr>
          <w:lang w:val="en-NZ"/>
        </w:rPr>
        <w:t>(Ekeroma et al., 2015)</w:t>
      </w:r>
      <w:r w:rsidRPr="00D62250">
        <w:rPr>
          <w:lang w:val="en-NZ"/>
        </w:rPr>
        <w:fldChar w:fldCharType="end"/>
      </w:r>
      <w:r w:rsidRPr="00D62250">
        <w:rPr>
          <w:lang w:val="en-NZ"/>
        </w:rPr>
        <w:t>.</w:t>
      </w:r>
    </w:p>
    <w:p w14:paraId="754838FA" w14:textId="77777777" w:rsidR="00D62250" w:rsidRPr="00D62250" w:rsidRDefault="00D62250" w:rsidP="00D62250">
      <w:pPr>
        <w:pStyle w:val="Box"/>
      </w:pPr>
      <w:r w:rsidRPr="00D62250">
        <w:t xml:space="preserve">Historical data shows that approximately 70 percent of children at risk of developing rickets are likely to belong to ethnicities including South Asian, African and Middle Eastern </w:t>
      </w:r>
      <w:r w:rsidRPr="00D62250">
        <w:fldChar w:fldCharType="begin"/>
      </w:r>
      <w:r w:rsidRPr="00D62250">
        <w:instrText xml:space="preserve"> ADDIN ZOTERO_ITEM CSL_CITATION {"citationID":"P48nTBzY","properties":{"formattedCitation":"(Wheeler et al., 2015)","plainCitation":"(Wheeler et al., 2015)","noteIndex":0},"citationItems":[{"id":736,"uris":["http://zotero.org/groups/5078394/items/ZX5DX8GR"],"itemData":{"id":736,"type":"article-journal","abstract":"OBJECTIVE: To investigate the incidence and characteristics of vitamin D deficiency rickets in New Zealand (NZ)., METHODS: Prospective surveillance among paediatricians of Vitamin D Deficiency Rickets was conducted by the New Zealand Paediatric Surveillance Unit (NZPSU) for 36 months, from July 2010 to June 2013, inclusive. Inclusion criteria were: children and adolescents &lt;15 years of age with vitamin D deficiency rickets (defined by low serum 25-hydroxyvitamin D and elevated alkaline phosphatase levels, and/or radiological rickets)., RESULTS: Fifty-eight children with confirmed vitamin D deficiency rickets were identified. Median age was 1.4 (range 0.3-11) years, 47% were male, and 95% of the children were born in NZ; however, the majority of the mothers (68%) were born outside NZ. Overall annual incidence of rickets in children aged &lt;15 years was 2.2/100,000 (95%CI 1.4-3.5); with incidence in those &lt;3 years being 10.5/100,000 (95%CI 6.7-16.6). Skeletal abnormalities, poor growth and motor delay were the most common presenting features, with hypocalcaemic convulsion in 16% of children. Key risk factors identified were: darker skin pigment, Indian and African ethnicity, age &lt;3 years, exclusive breast feeding, and southern latitude, particularly when combined with season (winter/spring). Of the patients reported, none had received appropriate vitamin D supplementation., CONCLUSIONS: Vitamin D deficiency rickets remains a problem for NZ children. Key risk factors remain similar to those identified in the international literature. Preventative targeted vitamin D supplementation, as per existing national guidelines, was lacking in all cases reported., IMPLICATIONS: Vitamin D deficiency rickets is the most significant manifestation of vitamin D deficiency in growing children. To reduce the incidence of this disease among those at high risk, increasing awareness and implementation of current public health policies for targeted maternal, infant and child supplementation are required. Copyright © 2015 Public Health Association of Australia.","archive":"Ovid MEDLINE(R) &lt;2015&gt;","container-title":"Australian and New Zealand journal of public health","DOI":"10.1111/1753-6405.12390","ISSN":"1753-6405 1326-0200","issue":"4","note":"section: Wheeler, Benjamin J. Department of Women's and Children's Health, Dunedin School of Medicine, University of Otago, New Zealand. Wheeler, Benjamin J. Paediatric Endocrinology, Southern District Health Board, New Zealand. Dickson, Nigel P. New Zealand Paediatric Surveillance Unit, Department of Women's and Child Health, Dunedin School of Medicine, University of Otago, New Zealand. Houghton, Lisa A. Department of Human Nutrition, University of Otago, New Zealand. Ward, Leanne M. Department of Pediatrics, University of Ottawa, Canada. Taylor, Barry J. New Zealand Paediatric Surveillance Unit, Department of Women's and Child Health, Dunedin School of Medicine, University of Otago, New Zealand.","page":"380-3","title":"Incidence and characteristics of vitamin D deficiency rickets in New Zealand children: a New Zealand Paediatric Surveillance Unit study","volume":"39","author":[{"family":"Wheeler","given":"Benjamin J."},{"family":"Dickson","given":"Nigel P."},{"family":"Houghton","given":"Lisa A."},{"family":"Ward","given":"Leanne M."},{"family":"Taylor","given":"Barry J."}],"issued":{"date-parts":[["2015"]]}}}],"schema":"https://github.com/citation-style-language/schema/raw/master/csl-citation.json"} </w:instrText>
      </w:r>
      <w:r w:rsidRPr="00D62250">
        <w:fldChar w:fldCharType="separate"/>
      </w:r>
      <w:r w:rsidRPr="00D62250">
        <w:t>(Wheeler et al., 2015)</w:t>
      </w:r>
      <w:r w:rsidRPr="00D62250">
        <w:fldChar w:fldCharType="end"/>
      </w:r>
      <w:r w:rsidRPr="00D62250">
        <w:t xml:space="preserve">. Numerous factors influence this including skin tone and cultural views on sun exposure. </w:t>
      </w:r>
    </w:p>
    <w:p w14:paraId="76F2C459" w14:textId="77777777" w:rsidR="007334A7" w:rsidRPr="007334A7" w:rsidRDefault="007334A7" w:rsidP="007334A7">
      <w:pPr>
        <w:pStyle w:val="Heading3"/>
      </w:pPr>
      <w:bookmarkStart w:id="15" w:name="_Toc167269268"/>
      <w:r w:rsidRPr="007334A7">
        <w:t>Testing for vitamin D insufficiency/deficiency</w:t>
      </w:r>
      <w:bookmarkEnd w:id="15"/>
    </w:p>
    <w:p w14:paraId="5A6384FD" w14:textId="77777777" w:rsidR="007334A7" w:rsidRPr="007334A7" w:rsidRDefault="007334A7" w:rsidP="007334A7">
      <w:r w:rsidRPr="007334A7">
        <w:rPr>
          <w:lang w:val="en-NZ"/>
        </w:rPr>
        <w:t xml:space="preserve">Testing asymptomatic pregnant people and infants for vitamin D insufficiency is not recommended </w:t>
      </w:r>
      <w:r w:rsidRPr="007334A7">
        <w:rPr>
          <w:lang w:val="en-NZ"/>
        </w:rPr>
        <w:fldChar w:fldCharType="begin"/>
      </w:r>
      <w:r w:rsidRPr="007334A7">
        <w:rPr>
          <w:lang w:val="en-NZ"/>
        </w:rPr>
        <w:instrText xml:space="preserve"> ADDIN ZOTERO_ITEM CSL_CITATION {"citationID":"9kGiNMhw","properties":{"formattedCitation":"(Bolland et al., 2012)","plainCitation":"(Bolland et al., 2012)","noteIndex":0},"citationItems":[{"id":1045,"uris":["http://zotero.org/groups/5078394/items/7CQPPSQS"],"itemData":{"id":1045,"type":"article-journal","abstract":"Epidemiological studies have reported associations between lower vitamin D levels and a great variety of diseases, prompting calls for widespread treatment of individuals with low vitamin D levels.","issue":"1349","language":"en","source":"Zotero","title":"Should measurement of vitamin D and treatment of vitamin D insufficiency be routine in New Zealand?","volume":"125","author":[{"family":"Bolland","given":"Mark J"},{"family":"Grey","given":"Andrew"},{"family":"Davidson","given":"James S"},{"family":"Cundy","given":"Tim"},{"family":"Reid","given":"Ian R"}],"issued":{"date-parts":[["2012"]]}}}],"schema":"https://github.com/citation-style-language/schema/raw/master/csl-citation.json"} </w:instrText>
      </w:r>
      <w:r w:rsidRPr="007334A7">
        <w:rPr>
          <w:lang w:val="en-NZ"/>
        </w:rPr>
        <w:fldChar w:fldCharType="separate"/>
      </w:r>
      <w:r w:rsidRPr="007334A7">
        <w:rPr>
          <w:lang w:val="en-NZ"/>
        </w:rPr>
        <w:t>(Bolland et al., 2012)</w:t>
      </w:r>
      <w:r w:rsidRPr="007334A7">
        <w:rPr>
          <w:lang w:val="en-NZ"/>
        </w:rPr>
        <w:fldChar w:fldCharType="end"/>
      </w:r>
      <w:r w:rsidRPr="007334A7">
        <w:rPr>
          <w:lang w:val="en-NZ"/>
        </w:rPr>
        <w:t>.</w:t>
      </w:r>
      <w:r w:rsidRPr="007334A7">
        <w:t xml:space="preserve"> </w:t>
      </w:r>
    </w:p>
    <w:p w14:paraId="36F1C516" w14:textId="77777777" w:rsidR="007334A7" w:rsidRPr="007334A7" w:rsidRDefault="007334A7" w:rsidP="007334A7">
      <w:r w:rsidRPr="007334A7">
        <w:rPr>
          <w:lang w:val="en-NZ"/>
        </w:rPr>
        <w:t>Vitamin D testing may be appropriate if symptoms of unexplained bone pain, atypical osteoporosis, or seizures where hypocalcaemia is implicated are present. This includes testing during pregnancy when there is evidence of:</w:t>
      </w:r>
    </w:p>
    <w:p w14:paraId="7422BB66" w14:textId="77777777" w:rsidR="007334A7" w:rsidRPr="007334A7" w:rsidRDefault="007334A7" w:rsidP="007334A7">
      <w:pPr>
        <w:pStyle w:val="Bulletpoints"/>
        <w:rPr>
          <w:lang w:val="en-NZ"/>
        </w:rPr>
      </w:pPr>
      <w:r w:rsidRPr="007334A7">
        <w:rPr>
          <w:lang w:val="en-NZ"/>
        </w:rPr>
        <w:t>unexplained raised serum alkaline phosphatase, or low calcium or phosphate</w:t>
      </w:r>
    </w:p>
    <w:p w14:paraId="737C3329" w14:textId="77777777" w:rsidR="007334A7" w:rsidRPr="007334A7" w:rsidRDefault="007334A7" w:rsidP="007334A7">
      <w:pPr>
        <w:pStyle w:val="Bulletpoints"/>
        <w:rPr>
          <w:lang w:val="en-NZ"/>
        </w:rPr>
      </w:pPr>
      <w:r w:rsidRPr="007334A7">
        <w:rPr>
          <w:lang w:val="en-NZ"/>
        </w:rPr>
        <w:t>atypical osteoporosis</w:t>
      </w:r>
    </w:p>
    <w:p w14:paraId="7EC39684" w14:textId="77777777" w:rsidR="007334A7" w:rsidRPr="007334A7" w:rsidRDefault="007334A7" w:rsidP="007334A7">
      <w:pPr>
        <w:pStyle w:val="Bulletpoints"/>
        <w:rPr>
          <w:lang w:val="en-NZ"/>
        </w:rPr>
      </w:pPr>
      <w:r w:rsidRPr="007334A7">
        <w:rPr>
          <w:lang w:val="en-NZ"/>
        </w:rPr>
        <w:lastRenderedPageBreak/>
        <w:t xml:space="preserve">unexplained bone pain, unusual fractures, or other evidence suggesting metabolic bone disease (consider specialist advice for people in this category) </w:t>
      </w:r>
      <w:r w:rsidRPr="007334A7">
        <w:rPr>
          <w:lang w:val="en-NZ"/>
        </w:rPr>
        <w:fldChar w:fldCharType="begin"/>
      </w:r>
      <w:r w:rsidRPr="007334A7">
        <w:rPr>
          <w:lang w:val="en-NZ"/>
        </w:rPr>
        <w:instrText xml:space="preserve"> ADDIN ZOTERO_ITEM CSL_CITATION {"citationID":"DsJWqFVy","properties":{"formattedCitation":"(Best Practice Advocacy Centre New Zealand, 2016)","plainCitation":"(Best Practice Advocacy Centre New Zealand, 2016)","noteIndex":0},"citationItems":[{"id":1066,"uris":["http://zotero.org/groups/5078394/items/5AI6JDG2"],"itemData":{"id":1066,"type":"article-journal","container-title":"Best Practice Journal","issue":"76","title":"Vitamin D and calcium supplementation in primary care: an update","URL":"https://bpac.org.nz/BPJ/2016/July/docs/BPJ76-supplementation.pdf","author":[{"family":"Best Practice Advocacy Centre New Zealand","given":""}],"issued":{"date-parts":[["2016"]]}}}],"schema":"https://github.com/citation-style-language/schema/raw/master/csl-citation.json"} </w:instrText>
      </w:r>
      <w:r w:rsidRPr="007334A7">
        <w:rPr>
          <w:lang w:val="en-NZ"/>
        </w:rPr>
        <w:fldChar w:fldCharType="separate"/>
      </w:r>
      <w:r w:rsidRPr="007334A7">
        <w:rPr>
          <w:lang w:val="en-NZ"/>
        </w:rPr>
        <w:t>(Best Practice Advocacy Centre New Zealand, 2016)</w:t>
      </w:r>
      <w:r w:rsidRPr="007334A7">
        <w:rPr>
          <w:lang w:val="en-NZ"/>
        </w:rPr>
        <w:fldChar w:fldCharType="end"/>
      </w:r>
      <w:r w:rsidRPr="007334A7">
        <w:rPr>
          <w:lang w:val="en-NZ"/>
        </w:rPr>
        <w:t>.</w:t>
      </w:r>
    </w:p>
    <w:p w14:paraId="30723213" w14:textId="77777777" w:rsidR="007334A7" w:rsidRPr="007334A7" w:rsidRDefault="007334A7" w:rsidP="007334A7">
      <w:pPr>
        <w:rPr>
          <w:lang w:val="en-NZ"/>
        </w:rPr>
      </w:pPr>
      <w:r w:rsidRPr="007334A7">
        <w:rPr>
          <w:lang w:val="en-NZ"/>
        </w:rPr>
        <w:t xml:space="preserve">It may be appropriate to test infants if they have seizures where hypocalcaemia is implicated or unexplained raised serum alkaline phosphatase. If testing is undertaken, a level of 50 nanomoles per litre or over </w:t>
      </w:r>
      <w:proofErr w:type="gramStart"/>
      <w:r w:rsidRPr="007334A7">
        <w:rPr>
          <w:lang w:val="en-NZ"/>
        </w:rPr>
        <w:t>is considered to be</w:t>
      </w:r>
      <w:proofErr w:type="gramEnd"/>
      <w:r w:rsidRPr="007334A7">
        <w:rPr>
          <w:lang w:val="en-NZ"/>
        </w:rPr>
        <w:t xml:space="preserve"> sufficient in pregnancy and for infants.</w:t>
      </w:r>
    </w:p>
    <w:p w14:paraId="27F7E0F0" w14:textId="77777777" w:rsidR="007334A7" w:rsidRPr="007334A7" w:rsidRDefault="007334A7" w:rsidP="007334A7">
      <w:pPr>
        <w:rPr>
          <w:lang w:val="en-NZ"/>
        </w:rPr>
      </w:pPr>
      <w:r w:rsidRPr="007334A7">
        <w:t>If there is clinical suspicion of severe symptomatic vitamin D deficiency, it is appropriate to investigate with serum calcium, phosphate, alkaline phosphatase, parathyroid hormone and vitamin D levels, plus other tests as indicated.</w:t>
      </w:r>
    </w:p>
    <w:tbl>
      <w:tblPr>
        <w:tblStyle w:val="TableGrid"/>
        <w:tblW w:w="5000" w:type="pct"/>
        <w:tblLayout w:type="fixed"/>
        <w:tblLook w:val="0420" w:firstRow="1" w:lastRow="0" w:firstColumn="0" w:lastColumn="0" w:noHBand="0" w:noVBand="1"/>
      </w:tblPr>
      <w:tblGrid>
        <w:gridCol w:w="539"/>
        <w:gridCol w:w="6686"/>
        <w:gridCol w:w="1791"/>
      </w:tblGrid>
      <w:tr w:rsidR="000D1893" w:rsidRPr="000D1893" w14:paraId="21D31B36" w14:textId="77777777" w:rsidTr="000D1893">
        <w:trPr>
          <w:cnfStyle w:val="100000000000" w:firstRow="1" w:lastRow="0" w:firstColumn="0" w:lastColumn="0" w:oddVBand="0" w:evenVBand="0" w:oddHBand="0" w:evenHBand="0" w:firstRowFirstColumn="0" w:firstRowLastColumn="0" w:lastRowFirstColumn="0" w:lastRowLastColumn="0"/>
        </w:trPr>
        <w:tc>
          <w:tcPr>
            <w:tcW w:w="539" w:type="dxa"/>
            <w:vAlign w:val="top"/>
          </w:tcPr>
          <w:p w14:paraId="29CD8482" w14:textId="77777777" w:rsidR="007334A7" w:rsidRPr="000D1893" w:rsidRDefault="007334A7" w:rsidP="007334A7">
            <w:pPr>
              <w:rPr>
                <w:sz w:val="22"/>
                <w:szCs w:val="24"/>
                <w:lang w:val="en-NZ"/>
              </w:rPr>
            </w:pPr>
          </w:p>
        </w:tc>
        <w:tc>
          <w:tcPr>
            <w:tcW w:w="6686" w:type="dxa"/>
            <w:vAlign w:val="top"/>
          </w:tcPr>
          <w:p w14:paraId="4C613117" w14:textId="77777777" w:rsidR="007334A7" w:rsidRPr="000D1893" w:rsidRDefault="007334A7" w:rsidP="007334A7">
            <w:pPr>
              <w:rPr>
                <w:sz w:val="22"/>
                <w:szCs w:val="24"/>
                <w:lang w:val="en-NZ"/>
              </w:rPr>
            </w:pPr>
            <w:r w:rsidRPr="000D1893">
              <w:rPr>
                <w:sz w:val="22"/>
                <w:szCs w:val="24"/>
                <w:lang w:val="en-NZ"/>
              </w:rPr>
              <w:t>Consensus Statement</w:t>
            </w:r>
          </w:p>
        </w:tc>
        <w:tc>
          <w:tcPr>
            <w:tcW w:w="1791" w:type="dxa"/>
            <w:vAlign w:val="top"/>
          </w:tcPr>
          <w:p w14:paraId="47A50C3B" w14:textId="77777777" w:rsidR="007334A7" w:rsidRPr="000D1893" w:rsidRDefault="007334A7" w:rsidP="007334A7">
            <w:pPr>
              <w:rPr>
                <w:sz w:val="22"/>
                <w:szCs w:val="24"/>
                <w:lang w:val="en-NZ"/>
              </w:rPr>
            </w:pPr>
            <w:r w:rsidRPr="000D1893">
              <w:rPr>
                <w:sz w:val="22"/>
                <w:szCs w:val="24"/>
                <w:lang w:val="en-NZ"/>
              </w:rPr>
              <w:t>Strength of statement</w:t>
            </w:r>
          </w:p>
        </w:tc>
      </w:tr>
      <w:tr w:rsidR="007334A7" w:rsidRPr="000D1893" w14:paraId="1202EBBD" w14:textId="77777777" w:rsidTr="000D1893">
        <w:tc>
          <w:tcPr>
            <w:tcW w:w="539" w:type="dxa"/>
            <w:vAlign w:val="top"/>
          </w:tcPr>
          <w:p w14:paraId="3AC7B00C" w14:textId="77777777" w:rsidR="007334A7" w:rsidRPr="000D1893" w:rsidRDefault="007334A7" w:rsidP="007334A7">
            <w:pPr>
              <w:rPr>
                <w:sz w:val="22"/>
                <w:szCs w:val="24"/>
                <w:lang w:val="en-NZ"/>
              </w:rPr>
            </w:pPr>
            <w:r w:rsidRPr="000D1893">
              <w:rPr>
                <w:sz w:val="22"/>
                <w:szCs w:val="24"/>
                <w:lang w:val="en-NZ"/>
              </w:rPr>
              <w:t>1.</w:t>
            </w:r>
          </w:p>
        </w:tc>
        <w:tc>
          <w:tcPr>
            <w:tcW w:w="6686" w:type="dxa"/>
            <w:vAlign w:val="top"/>
          </w:tcPr>
          <w:p w14:paraId="19B99680" w14:textId="77777777" w:rsidR="007334A7" w:rsidRPr="000D1893" w:rsidRDefault="007334A7" w:rsidP="007334A7">
            <w:pPr>
              <w:rPr>
                <w:sz w:val="22"/>
                <w:szCs w:val="24"/>
                <w:lang w:val="en-NZ"/>
              </w:rPr>
            </w:pPr>
            <w:r w:rsidRPr="000D1893">
              <w:rPr>
                <w:sz w:val="22"/>
                <w:szCs w:val="24"/>
                <w:lang w:val="en-NZ"/>
              </w:rPr>
              <w:t xml:space="preserve">Discuss the following risk factors for vitamin D insufficiency/deficiency with whānau: </w:t>
            </w:r>
          </w:p>
          <w:p w14:paraId="7FCF73AE" w14:textId="77777777" w:rsidR="007334A7" w:rsidRPr="000D1893" w:rsidRDefault="007334A7" w:rsidP="000D1893">
            <w:pPr>
              <w:pStyle w:val="Bulletpoints"/>
              <w:spacing w:before="60" w:after="60"/>
              <w:rPr>
                <w:sz w:val="22"/>
                <w:szCs w:val="24"/>
                <w:lang w:val="en-NZ"/>
              </w:rPr>
            </w:pPr>
            <w:r w:rsidRPr="000D1893">
              <w:rPr>
                <w:sz w:val="22"/>
                <w:szCs w:val="24"/>
                <w:lang w:val="en-NZ"/>
              </w:rPr>
              <w:t>sun avoidance</w:t>
            </w:r>
          </w:p>
          <w:p w14:paraId="5495C97B" w14:textId="77777777" w:rsidR="007334A7" w:rsidRPr="000D1893" w:rsidRDefault="007334A7" w:rsidP="000D1893">
            <w:pPr>
              <w:pStyle w:val="Bulletpoints"/>
              <w:spacing w:before="60" w:after="60"/>
              <w:rPr>
                <w:sz w:val="22"/>
                <w:szCs w:val="24"/>
                <w:lang w:val="en-NZ"/>
              </w:rPr>
            </w:pPr>
            <w:r w:rsidRPr="000D1893">
              <w:rPr>
                <w:sz w:val="22"/>
                <w:szCs w:val="24"/>
                <w:lang w:val="en-NZ"/>
              </w:rPr>
              <w:t xml:space="preserve">seasonality (winter/spring) especially if living south of Nelson/Marlborough </w:t>
            </w:r>
          </w:p>
          <w:p w14:paraId="115F437C" w14:textId="77777777" w:rsidR="007334A7" w:rsidRPr="000D1893" w:rsidRDefault="007334A7" w:rsidP="000D1893">
            <w:pPr>
              <w:pStyle w:val="Bulletpoints"/>
              <w:spacing w:before="60" w:after="60"/>
              <w:rPr>
                <w:sz w:val="22"/>
                <w:szCs w:val="24"/>
                <w:lang w:val="en-NZ"/>
              </w:rPr>
            </w:pPr>
            <w:r w:rsidRPr="000D1893">
              <w:rPr>
                <w:sz w:val="22"/>
                <w:szCs w:val="24"/>
                <w:lang w:val="en-NZ"/>
              </w:rPr>
              <w:t>darker skin tone.</w:t>
            </w:r>
          </w:p>
        </w:tc>
        <w:tc>
          <w:tcPr>
            <w:tcW w:w="1791" w:type="dxa"/>
            <w:vAlign w:val="top"/>
          </w:tcPr>
          <w:p w14:paraId="0EACB0AF" w14:textId="77777777" w:rsidR="007334A7" w:rsidRPr="000D1893" w:rsidRDefault="007334A7" w:rsidP="007334A7">
            <w:pPr>
              <w:rPr>
                <w:sz w:val="22"/>
                <w:szCs w:val="24"/>
                <w:lang w:val="en-NZ"/>
              </w:rPr>
            </w:pPr>
            <w:r w:rsidRPr="000D1893">
              <w:rPr>
                <w:sz w:val="22"/>
                <w:szCs w:val="24"/>
                <w:lang w:val="en-NZ"/>
              </w:rPr>
              <w:t>Expert consensus opinion</w:t>
            </w:r>
          </w:p>
        </w:tc>
      </w:tr>
      <w:tr w:rsidR="007334A7" w:rsidRPr="000D1893" w14:paraId="12ED201D" w14:textId="77777777" w:rsidTr="000D1893">
        <w:tc>
          <w:tcPr>
            <w:tcW w:w="539" w:type="dxa"/>
            <w:vAlign w:val="top"/>
          </w:tcPr>
          <w:p w14:paraId="151A740D" w14:textId="77777777" w:rsidR="007334A7" w:rsidRPr="000D1893" w:rsidRDefault="007334A7" w:rsidP="007334A7">
            <w:pPr>
              <w:rPr>
                <w:sz w:val="22"/>
                <w:szCs w:val="24"/>
                <w:lang w:val="en-NZ"/>
              </w:rPr>
            </w:pPr>
            <w:r w:rsidRPr="000D1893">
              <w:rPr>
                <w:sz w:val="22"/>
                <w:szCs w:val="24"/>
                <w:lang w:val="en-NZ"/>
              </w:rPr>
              <w:t>2.</w:t>
            </w:r>
          </w:p>
        </w:tc>
        <w:tc>
          <w:tcPr>
            <w:tcW w:w="6686" w:type="dxa"/>
            <w:vAlign w:val="top"/>
          </w:tcPr>
          <w:p w14:paraId="32E2C7A7" w14:textId="77777777" w:rsidR="007334A7" w:rsidRPr="000D1893" w:rsidRDefault="007334A7" w:rsidP="007334A7">
            <w:pPr>
              <w:rPr>
                <w:sz w:val="22"/>
                <w:szCs w:val="24"/>
                <w:lang w:val="en-NZ"/>
              </w:rPr>
            </w:pPr>
            <w:r w:rsidRPr="000D1893">
              <w:rPr>
                <w:sz w:val="22"/>
                <w:szCs w:val="24"/>
                <w:lang w:val="en-NZ"/>
              </w:rPr>
              <w:t>Discuss the following risk factors below for vitamin D insufficiency/deficiency with whānau who have infants aged less than 6 months:</w:t>
            </w:r>
          </w:p>
          <w:p w14:paraId="41121C99" w14:textId="77777777" w:rsidR="007334A7" w:rsidRPr="000D1893" w:rsidRDefault="007334A7" w:rsidP="000D1893">
            <w:pPr>
              <w:pStyle w:val="Bulletpoints"/>
              <w:spacing w:before="60" w:after="60"/>
              <w:rPr>
                <w:sz w:val="22"/>
                <w:szCs w:val="24"/>
                <w:lang w:val="en-NZ"/>
              </w:rPr>
            </w:pPr>
            <w:r w:rsidRPr="000D1893">
              <w:rPr>
                <w:sz w:val="22"/>
                <w:szCs w:val="24"/>
                <w:lang w:val="en-NZ"/>
              </w:rPr>
              <w:t>exclusively breastfed or partially breastfed receiving less than 500 millilitres of infant formula per day</w:t>
            </w:r>
          </w:p>
          <w:p w14:paraId="6EDFE5A2" w14:textId="77777777" w:rsidR="007334A7" w:rsidRPr="000D1893" w:rsidRDefault="007334A7" w:rsidP="000D1893">
            <w:pPr>
              <w:pStyle w:val="Bulletpoints"/>
              <w:spacing w:before="60" w:after="60"/>
              <w:rPr>
                <w:sz w:val="22"/>
                <w:szCs w:val="24"/>
                <w:lang w:val="en-NZ"/>
              </w:rPr>
            </w:pPr>
            <w:r w:rsidRPr="000D1893">
              <w:rPr>
                <w:sz w:val="22"/>
                <w:szCs w:val="24"/>
                <w:lang w:val="en-NZ"/>
              </w:rPr>
              <w:t>breastfed over winter/spring months in Aotearoa New Zealand</w:t>
            </w:r>
          </w:p>
          <w:p w14:paraId="1E795FB4" w14:textId="77777777" w:rsidR="007334A7" w:rsidRPr="000D1893" w:rsidRDefault="007334A7" w:rsidP="000D1893">
            <w:pPr>
              <w:pStyle w:val="Bulletpoints"/>
              <w:spacing w:before="60" w:after="60"/>
              <w:rPr>
                <w:sz w:val="22"/>
                <w:szCs w:val="24"/>
                <w:lang w:val="en-NZ"/>
              </w:rPr>
            </w:pPr>
            <w:r w:rsidRPr="000D1893">
              <w:rPr>
                <w:sz w:val="22"/>
                <w:szCs w:val="24"/>
                <w:lang w:val="en-NZ"/>
              </w:rPr>
              <w:t xml:space="preserve">a sibling diagnosed with rickets or </w:t>
            </w:r>
            <w:proofErr w:type="spellStart"/>
            <w:r w:rsidRPr="000D1893">
              <w:rPr>
                <w:sz w:val="22"/>
                <w:szCs w:val="24"/>
                <w:lang w:val="en-NZ"/>
              </w:rPr>
              <w:t>hypocalcaemic</w:t>
            </w:r>
            <w:proofErr w:type="spellEnd"/>
            <w:r w:rsidRPr="000D1893">
              <w:rPr>
                <w:sz w:val="22"/>
                <w:szCs w:val="24"/>
                <w:lang w:val="en-NZ"/>
              </w:rPr>
              <w:t xml:space="preserve"> seizures</w:t>
            </w:r>
          </w:p>
          <w:p w14:paraId="31594CF1" w14:textId="77777777" w:rsidR="007334A7" w:rsidRPr="000D1893" w:rsidRDefault="007334A7" w:rsidP="000D1893">
            <w:pPr>
              <w:pStyle w:val="Bulletpoints"/>
              <w:spacing w:before="60" w:after="60"/>
              <w:rPr>
                <w:sz w:val="22"/>
                <w:szCs w:val="24"/>
                <w:lang w:val="en-NZ"/>
              </w:rPr>
            </w:pPr>
            <w:r w:rsidRPr="000D1893">
              <w:rPr>
                <w:sz w:val="22"/>
                <w:szCs w:val="24"/>
                <w:lang w:val="en-NZ"/>
              </w:rPr>
              <w:t>maternal vitamin D deficiency or higher risk of maternal deficiency</w:t>
            </w:r>
          </w:p>
          <w:p w14:paraId="49E97724" w14:textId="77777777" w:rsidR="007334A7" w:rsidRPr="000D1893" w:rsidRDefault="007334A7" w:rsidP="000D1893">
            <w:pPr>
              <w:pStyle w:val="Bulletpoints"/>
              <w:spacing w:before="60" w:after="60"/>
              <w:rPr>
                <w:sz w:val="22"/>
                <w:szCs w:val="24"/>
                <w:lang w:val="en-NZ"/>
              </w:rPr>
            </w:pPr>
            <w:r w:rsidRPr="000D1893">
              <w:rPr>
                <w:sz w:val="22"/>
                <w:szCs w:val="24"/>
                <w:lang w:val="en-NZ"/>
              </w:rPr>
              <w:t>preterm infants and infants who weigh less than 2.5 kg at birth</w:t>
            </w:r>
          </w:p>
          <w:p w14:paraId="1C8C85C2" w14:textId="77777777" w:rsidR="007334A7" w:rsidRPr="000D1893" w:rsidRDefault="007334A7" w:rsidP="000D1893">
            <w:pPr>
              <w:pStyle w:val="Bulletpoints"/>
              <w:spacing w:before="60" w:after="60"/>
              <w:rPr>
                <w:sz w:val="22"/>
                <w:szCs w:val="24"/>
                <w:lang w:val="en-NZ"/>
              </w:rPr>
            </w:pPr>
            <w:r w:rsidRPr="000D1893">
              <w:rPr>
                <w:sz w:val="22"/>
                <w:szCs w:val="24"/>
                <w:lang w:val="en-NZ"/>
              </w:rPr>
              <w:t>naturally dark skin.</w:t>
            </w:r>
          </w:p>
        </w:tc>
        <w:tc>
          <w:tcPr>
            <w:tcW w:w="1791" w:type="dxa"/>
            <w:vAlign w:val="top"/>
          </w:tcPr>
          <w:p w14:paraId="55F4299C" w14:textId="77777777" w:rsidR="007334A7" w:rsidRPr="000D1893" w:rsidRDefault="007334A7" w:rsidP="007334A7">
            <w:pPr>
              <w:rPr>
                <w:sz w:val="22"/>
                <w:szCs w:val="24"/>
                <w:lang w:val="en-NZ"/>
              </w:rPr>
            </w:pPr>
            <w:r w:rsidRPr="000D1893">
              <w:rPr>
                <w:sz w:val="22"/>
                <w:szCs w:val="24"/>
                <w:lang w:val="en-NZ"/>
              </w:rPr>
              <w:t>Expert consensus opinion</w:t>
            </w:r>
            <w:r w:rsidRPr="000D1893" w:rsidDel="001D75F7">
              <w:rPr>
                <w:sz w:val="22"/>
                <w:szCs w:val="24"/>
                <w:lang w:val="en-NZ"/>
              </w:rPr>
              <w:t xml:space="preserve"> </w:t>
            </w:r>
          </w:p>
        </w:tc>
      </w:tr>
      <w:tr w:rsidR="007334A7" w:rsidRPr="000D1893" w14:paraId="263B177A" w14:textId="77777777" w:rsidTr="000D1893">
        <w:trPr>
          <w:trHeight w:val="170"/>
        </w:trPr>
        <w:tc>
          <w:tcPr>
            <w:tcW w:w="539" w:type="dxa"/>
            <w:vAlign w:val="top"/>
          </w:tcPr>
          <w:p w14:paraId="2DF5B53A" w14:textId="77777777" w:rsidR="007334A7" w:rsidRPr="000D1893" w:rsidRDefault="007334A7" w:rsidP="007334A7">
            <w:pPr>
              <w:rPr>
                <w:sz w:val="22"/>
                <w:szCs w:val="24"/>
                <w:lang w:val="en-NZ"/>
              </w:rPr>
            </w:pPr>
            <w:r w:rsidRPr="000D1893">
              <w:rPr>
                <w:sz w:val="22"/>
                <w:szCs w:val="24"/>
                <w:lang w:val="en-NZ"/>
              </w:rPr>
              <w:t>3.</w:t>
            </w:r>
          </w:p>
        </w:tc>
        <w:tc>
          <w:tcPr>
            <w:tcW w:w="6686" w:type="dxa"/>
            <w:vAlign w:val="top"/>
          </w:tcPr>
          <w:p w14:paraId="463650DB" w14:textId="77777777" w:rsidR="007334A7" w:rsidRPr="000D1893" w:rsidRDefault="007334A7" w:rsidP="007334A7">
            <w:pPr>
              <w:rPr>
                <w:sz w:val="22"/>
                <w:szCs w:val="24"/>
                <w:lang w:val="en-NZ"/>
              </w:rPr>
            </w:pPr>
            <w:r w:rsidRPr="000D1893">
              <w:rPr>
                <w:sz w:val="22"/>
                <w:szCs w:val="24"/>
                <w:lang w:val="en-NZ"/>
              </w:rPr>
              <w:t>Consider vitamin D testing:</w:t>
            </w:r>
          </w:p>
          <w:p w14:paraId="2CC8B2C8" w14:textId="77777777" w:rsidR="007334A7" w:rsidRPr="000D1893" w:rsidRDefault="007334A7" w:rsidP="000D1893">
            <w:pPr>
              <w:pStyle w:val="Bulletpoints"/>
              <w:spacing w:before="60" w:after="60"/>
              <w:rPr>
                <w:sz w:val="22"/>
                <w:szCs w:val="24"/>
                <w:lang w:val="en-NZ"/>
              </w:rPr>
            </w:pPr>
            <w:r w:rsidRPr="000D1893">
              <w:rPr>
                <w:sz w:val="22"/>
                <w:szCs w:val="24"/>
                <w:lang w:val="en-NZ"/>
              </w:rPr>
              <w:t>in pregnancy if there is:</w:t>
            </w:r>
          </w:p>
          <w:p w14:paraId="2A7F789A" w14:textId="77777777" w:rsidR="007334A7" w:rsidRPr="000D1893" w:rsidRDefault="007334A7" w:rsidP="000D1893">
            <w:pPr>
              <w:pStyle w:val="Bulletpoints"/>
              <w:numPr>
                <w:ilvl w:val="1"/>
                <w:numId w:val="4"/>
              </w:numPr>
              <w:spacing w:before="60" w:after="60"/>
              <w:ind w:left="924" w:hanging="357"/>
              <w:rPr>
                <w:sz w:val="22"/>
                <w:szCs w:val="24"/>
                <w:lang w:val="en-NZ"/>
              </w:rPr>
            </w:pPr>
            <w:r w:rsidRPr="000D1893">
              <w:rPr>
                <w:sz w:val="22"/>
                <w:szCs w:val="24"/>
                <w:lang w:val="en-NZ"/>
              </w:rPr>
              <w:t xml:space="preserve">unexplained raised serum alkaline phosphatase, or low calcium phosphate, or </w:t>
            </w:r>
          </w:p>
          <w:p w14:paraId="77426C88" w14:textId="77777777" w:rsidR="007334A7" w:rsidRPr="000D1893" w:rsidRDefault="007334A7" w:rsidP="000D1893">
            <w:pPr>
              <w:pStyle w:val="Bulletpoints"/>
              <w:numPr>
                <w:ilvl w:val="1"/>
                <w:numId w:val="4"/>
              </w:numPr>
              <w:spacing w:before="60" w:after="60"/>
              <w:ind w:left="924" w:hanging="357"/>
              <w:rPr>
                <w:sz w:val="22"/>
                <w:szCs w:val="24"/>
                <w:lang w:val="en-NZ"/>
              </w:rPr>
            </w:pPr>
            <w:r w:rsidRPr="000D1893">
              <w:rPr>
                <w:sz w:val="22"/>
                <w:szCs w:val="24"/>
                <w:lang w:val="en-NZ"/>
              </w:rPr>
              <w:t>atypical osteoporosis, or</w:t>
            </w:r>
          </w:p>
          <w:p w14:paraId="4A4A8D46" w14:textId="77777777" w:rsidR="007334A7" w:rsidRPr="000D1893" w:rsidRDefault="007334A7" w:rsidP="000D1893">
            <w:pPr>
              <w:pStyle w:val="Bulletpoints"/>
              <w:numPr>
                <w:ilvl w:val="1"/>
                <w:numId w:val="4"/>
              </w:numPr>
              <w:spacing w:before="60" w:after="60"/>
              <w:ind w:left="924" w:hanging="357"/>
              <w:rPr>
                <w:sz w:val="22"/>
                <w:szCs w:val="24"/>
                <w:lang w:val="en-NZ"/>
              </w:rPr>
            </w:pPr>
            <w:r w:rsidRPr="000D1893">
              <w:rPr>
                <w:sz w:val="22"/>
                <w:szCs w:val="24"/>
                <w:lang w:val="en-NZ"/>
              </w:rPr>
              <w:t>unexplained bone pain, unusual fractures, or other evidence suggesting metabolic bone disease (consider specialist advice for people in this category), or</w:t>
            </w:r>
          </w:p>
          <w:p w14:paraId="291A979D" w14:textId="77777777" w:rsidR="007334A7" w:rsidRPr="000D1893" w:rsidRDefault="007334A7" w:rsidP="000D1893">
            <w:pPr>
              <w:pStyle w:val="Bulletpoints"/>
              <w:numPr>
                <w:ilvl w:val="1"/>
                <w:numId w:val="4"/>
              </w:numPr>
              <w:spacing w:before="60" w:after="60"/>
              <w:ind w:left="924" w:hanging="357"/>
              <w:rPr>
                <w:sz w:val="22"/>
                <w:szCs w:val="24"/>
                <w:lang w:val="en-NZ"/>
              </w:rPr>
            </w:pPr>
            <w:r w:rsidRPr="000D1893">
              <w:rPr>
                <w:sz w:val="22"/>
                <w:szCs w:val="24"/>
                <w:lang w:val="en-NZ"/>
              </w:rPr>
              <w:t>known history of vitamin D deficiency</w:t>
            </w:r>
          </w:p>
          <w:p w14:paraId="7C372C10" w14:textId="77777777" w:rsidR="007334A7" w:rsidRPr="000D1893" w:rsidRDefault="007334A7" w:rsidP="000D1893">
            <w:pPr>
              <w:pStyle w:val="Bulletpoints"/>
              <w:spacing w:before="60" w:after="60"/>
              <w:rPr>
                <w:sz w:val="22"/>
                <w:szCs w:val="24"/>
                <w:lang w:val="en-NZ"/>
              </w:rPr>
            </w:pPr>
            <w:r w:rsidRPr="000D1893">
              <w:rPr>
                <w:sz w:val="22"/>
                <w:szCs w:val="24"/>
                <w:lang w:val="en-NZ"/>
              </w:rPr>
              <w:t>for infants with:</w:t>
            </w:r>
          </w:p>
          <w:p w14:paraId="6BA24D55" w14:textId="77777777" w:rsidR="007334A7" w:rsidRPr="000D1893" w:rsidRDefault="007334A7" w:rsidP="000D1893">
            <w:pPr>
              <w:pStyle w:val="Bulletpoints"/>
              <w:numPr>
                <w:ilvl w:val="1"/>
                <w:numId w:val="4"/>
              </w:numPr>
              <w:spacing w:before="60" w:after="60"/>
              <w:ind w:left="924" w:hanging="357"/>
              <w:rPr>
                <w:sz w:val="22"/>
                <w:szCs w:val="24"/>
                <w:lang w:val="en-NZ"/>
              </w:rPr>
            </w:pPr>
            <w:r w:rsidRPr="000D1893">
              <w:rPr>
                <w:sz w:val="22"/>
                <w:szCs w:val="24"/>
                <w:lang w:val="en-NZ"/>
              </w:rPr>
              <w:t>seizures where hypocalcaemia is implicated, or</w:t>
            </w:r>
          </w:p>
          <w:p w14:paraId="4C7DA8E5" w14:textId="77777777" w:rsidR="007334A7" w:rsidRPr="000D1893" w:rsidRDefault="007334A7" w:rsidP="000D1893">
            <w:pPr>
              <w:pStyle w:val="Bulletpoints"/>
              <w:numPr>
                <w:ilvl w:val="1"/>
                <w:numId w:val="4"/>
              </w:numPr>
              <w:spacing w:before="60" w:after="60"/>
              <w:ind w:left="924" w:hanging="357"/>
              <w:rPr>
                <w:sz w:val="22"/>
                <w:szCs w:val="24"/>
                <w:lang w:val="en-NZ"/>
              </w:rPr>
            </w:pPr>
            <w:r w:rsidRPr="000D1893">
              <w:rPr>
                <w:sz w:val="22"/>
                <w:szCs w:val="24"/>
                <w:lang w:val="en-NZ"/>
              </w:rPr>
              <w:t>unexplained raised serum alkaline phosphatase.</w:t>
            </w:r>
          </w:p>
        </w:tc>
        <w:tc>
          <w:tcPr>
            <w:tcW w:w="1791" w:type="dxa"/>
            <w:vAlign w:val="top"/>
          </w:tcPr>
          <w:p w14:paraId="0BC52C24" w14:textId="77777777" w:rsidR="007334A7" w:rsidRPr="000D1893" w:rsidDel="001D75F7" w:rsidRDefault="007334A7" w:rsidP="007334A7">
            <w:pPr>
              <w:rPr>
                <w:sz w:val="22"/>
                <w:szCs w:val="24"/>
                <w:lang w:val="en-NZ"/>
              </w:rPr>
            </w:pPr>
            <w:r w:rsidRPr="000D1893">
              <w:rPr>
                <w:sz w:val="22"/>
                <w:szCs w:val="24"/>
                <w:lang w:val="en-NZ"/>
              </w:rPr>
              <w:t>Good practice</w:t>
            </w:r>
          </w:p>
        </w:tc>
      </w:tr>
    </w:tbl>
    <w:p w14:paraId="1787E8AF" w14:textId="77777777" w:rsidR="000D1893" w:rsidRPr="000D1893" w:rsidRDefault="000D1893" w:rsidP="000D1893">
      <w:pPr>
        <w:pStyle w:val="Heading2"/>
      </w:pPr>
      <w:bookmarkStart w:id="16" w:name="_Toc161403295"/>
      <w:bookmarkStart w:id="17" w:name="_Toc167269269"/>
      <w:r w:rsidRPr="000D1893">
        <w:lastRenderedPageBreak/>
        <w:t>Vitamin D deficiency may be associated with adverse maternal and infant health outcomes</w:t>
      </w:r>
      <w:bookmarkEnd w:id="16"/>
      <w:bookmarkEnd w:id="17"/>
    </w:p>
    <w:p w14:paraId="53F63E0A" w14:textId="77777777" w:rsidR="000D1893" w:rsidRPr="000D1893" w:rsidRDefault="000D1893" w:rsidP="000D1893">
      <w:pPr>
        <w:pStyle w:val="Box"/>
      </w:pPr>
      <w:r w:rsidRPr="000D1893">
        <w:t xml:space="preserve">Vitamin D levels are influenced by a complex interaction between daily skin exposure to UVB, latitude and seasonality, skin pigmentation and dietary sources. For infants aged less than 6 months, maternal vitamin D status after 28 weeks’ gestation, gestational age at birth and family history of rickets are also important. </w:t>
      </w:r>
    </w:p>
    <w:p w14:paraId="28B6F5E1" w14:textId="77777777" w:rsidR="000D1893" w:rsidRPr="000D1893" w:rsidRDefault="000D1893" w:rsidP="000D1893">
      <w:pPr>
        <w:pStyle w:val="Box"/>
      </w:pPr>
      <w:r w:rsidRPr="000D1893">
        <w:t xml:space="preserve">Further research is needed to expand our understanding of the relationship between vitamin D status and health outcomes. Much available evidence is from observational studies (not intervention studies) meaning that causal relationships between vitamin D status and health outcomes cannot be determined with certainty. Studies use variable cut-offs for vitamin D deficiency and insufficiency. Comparing vitamin D deficiency and the effects of interventions consistently is difficult. </w:t>
      </w:r>
    </w:p>
    <w:p w14:paraId="0E036FF7" w14:textId="77777777" w:rsidR="000D1893" w:rsidRPr="000D1893" w:rsidRDefault="000D1893" w:rsidP="000D1893">
      <w:pPr>
        <w:pStyle w:val="Heading3"/>
      </w:pPr>
      <w:bookmarkStart w:id="18" w:name="_Toc167269270"/>
      <w:r w:rsidRPr="000D1893">
        <w:t>Maternal health outcomes</w:t>
      </w:r>
      <w:bookmarkEnd w:id="18"/>
    </w:p>
    <w:p w14:paraId="34EB0530" w14:textId="77777777" w:rsidR="000D1893" w:rsidRPr="000D1893" w:rsidRDefault="000D1893" w:rsidP="000D1893">
      <w:pPr>
        <w:rPr>
          <w:lang w:val="en-NZ"/>
        </w:rPr>
      </w:pPr>
      <w:r w:rsidRPr="000D1893">
        <w:rPr>
          <w:lang w:val="en-NZ"/>
        </w:rPr>
        <w:t xml:space="preserve">There is currently insufficient evidence that vitamin D status is a causative factor for gestational diabetes mellitus (GDM) or pre-eclampsia; however, evidence that vitamin D deficiency/insufficiency during pregnancy may increase the risk of these adverse outcomes is increasing </w:t>
      </w:r>
      <w:r w:rsidRPr="000D1893">
        <w:rPr>
          <w:lang w:val="en-NZ"/>
        </w:rPr>
        <w:fldChar w:fldCharType="begin"/>
      </w:r>
      <w:r w:rsidRPr="000D1893">
        <w:rPr>
          <w:lang w:val="en-NZ"/>
        </w:rPr>
        <w:instrText xml:space="preserve"> ADDIN ZOTERO_ITEM CSL_CITATION {"citationID":"94xTblUw","properties":{"formattedCitation":"(Zhang et al., 2022)","plainCitation":"(Zhang et al., 2022)","noteIndex":0},"citationItems":[{"id":1093,"uris":["http://zotero.org/groups/5078394/items/SX9QPUJ8"],"itemData":{"id":1093,"type":"article-journal","abstract":"Vitamin D (VD), a fat-soluble vitamin, has a variety of functions that are important for growth and development, including regulation of cell differentiation and apoptosis, immune system development, and brain development. As such, VD status during pregnancy is critical for maternal health, fetal skeletal growth, and optimal pregnancy outcomes. Studies have confirmed that adverse pregnancy outcomes, such as preeclampsia, low birth weight, neonatal hypocalcemia, poor postnatal growth, skeletal fragility, and increased incidence of autoimmune diseases, can be associated with low VD levels during pregnancy and infancy. Thus, there is growing interest in the role of VD during pregnancy. This review summarizes the potential adverse health outcomes of maternal VD status during pregnancy for both mother and offspring (gestational diabetes mellitus, hypertensive gestational hypertension, intrauterine growth restriction, miscarriage, stillbirth, and preterm birth) and discusses the underlying mechanisms (regulation of cytokine pathways, immune system processing, internal secretion, placental function, etc.) of VD in regulating each of the outcomes. This review aims to provide a basis for public health intervention strategies to reduce the incidence of adverse pregnancies.","container-title":"Nutrients","DOI":"10.3390/nu14204230","ISSN":"2072-6643","issue":"20","journalAbbreviation":"Nutrients","note":"PMID: 36296914\nPMCID: PMC9610169","page":"4230","source":"PubMed Central","title":"Relationship between Maternal Vitamin D Levels and Adverse Outcomes","volume":"14","author":[{"family":"Zhang","given":"Heng"},{"family":"Wang","given":"Shumin"},{"family":"Tuo","given":"Lingjin"},{"family":"Zhai","given":"Qixiao"},{"family":"Cui","given":"Jingjing"},{"family":"Chen","given":"Daozhen"},{"family":"Xu","given":"Dexiang"}],"issued":{"date-parts":[["2022",10,11]]}}}],"schema":"https://github.com/citation-style-language/schema/raw/master/csl-citation.json"} </w:instrText>
      </w:r>
      <w:r w:rsidRPr="000D1893">
        <w:rPr>
          <w:lang w:val="en-NZ"/>
        </w:rPr>
        <w:fldChar w:fldCharType="separate"/>
      </w:r>
      <w:r w:rsidRPr="000D1893">
        <w:rPr>
          <w:lang w:val="en-NZ"/>
        </w:rPr>
        <w:t>(Zhang et al., 2022)</w:t>
      </w:r>
      <w:r w:rsidRPr="000D1893">
        <w:rPr>
          <w:lang w:val="en-NZ"/>
        </w:rPr>
        <w:fldChar w:fldCharType="end"/>
      </w:r>
      <w:r w:rsidRPr="000D1893">
        <w:rPr>
          <w:lang w:val="en-NZ"/>
        </w:rPr>
        <w:t xml:space="preserve">. Many studies use differing definitions of insufficiency and deficiency of vitamin D and measure multiple outcomes. Establishing a causative link between maternal vitamin D status and GDM or pre-eclampsia is difficult to determine. </w:t>
      </w:r>
    </w:p>
    <w:p w14:paraId="3732CD97" w14:textId="77777777" w:rsidR="000D1893" w:rsidRPr="000D1893" w:rsidRDefault="000D1893" w:rsidP="000D1893">
      <w:pPr>
        <w:pStyle w:val="Heading4"/>
      </w:pPr>
      <w:r w:rsidRPr="000D1893">
        <w:t>Gestational diabetes mellitus</w:t>
      </w:r>
    </w:p>
    <w:p w14:paraId="3305FAD0" w14:textId="77777777" w:rsidR="000D1893" w:rsidRPr="000D1893" w:rsidRDefault="000D1893" w:rsidP="000D1893">
      <w:pPr>
        <w:rPr>
          <w:lang w:val="en-NZ"/>
        </w:rPr>
      </w:pPr>
      <w:r w:rsidRPr="000D1893">
        <w:rPr>
          <w:lang w:val="en-NZ"/>
        </w:rPr>
        <w:t xml:space="preserve">The aetiology of GDM is a complex mix of genetic, health, and lifestyle factors. The cause of new-onset hyperglycaemia in pregnancy is not well-understood but dysfunction of pancreatic β-cells in response to the physiological changes to glucose levels necessary to support the healthy fetal growth has been suggested as causative </w:t>
      </w:r>
      <w:r w:rsidRPr="000D1893">
        <w:rPr>
          <w:lang w:val="en-NZ"/>
        </w:rPr>
        <w:fldChar w:fldCharType="begin"/>
      </w:r>
      <w:r w:rsidRPr="000D1893">
        <w:rPr>
          <w:lang w:val="en-NZ"/>
        </w:rPr>
        <w:instrText xml:space="preserve"> ADDIN ZOTERO_ITEM CSL_CITATION {"citationID":"DVHgwKHm","properties":{"formattedCitation":"(Shamsad et al., 2023)","plainCitation":"(Shamsad et al., 2023)","noteIndex":0},"citationItems":[{"id":"Ej0KP8LN/35dpaStH","uris":["http://zotero.org/users/4627321/items/ITQKXN2U"],"itemData":{"id":"O2K0PyyC/APnGQ9Lc","type":"article-journal","abstract":"Gestational diabetes mellitus (GDM) is a medical complication of glycaemic intolerance that develops in 2nd or 3rd trimester of pregnancy. The speculative cause behind insulin resistance or chronic glycemic intolerance occurs due to pancreatic β-cell alterations during gestation. Women who have GDM are more likely to acquire type 2 diabetes mellitus (T2DM) and other metabolic problems later in life. GDM is linked to several risk factors including gestational age, diabetic family history, polycystic ovary syndrome, obesity, ethnicity, hypertension during pregnancy, and spontaneous pregnancy loss. GDM causes several adverse effects in the mother and fetus like pre-eclampsia, neonatal hypoglycemia, macrosomia, hypocalcemia, and congenital malformations. T2DM and GDM share similar pathophysiology and a common genetic background. Previous studies suggested that alterations in insulin homeostatic genes associated with T2DM could also be responsible for the development of GDM. GDM development is influenced by several placental hormones like progesterone, estrogen, and insulin insensitivity. In the past few years, there has been a significant focus on molecular biomarkers in the field of GDM prognosis/diagnosis and use for screening. The present review suggests the role of genetic and epigenetic alterations in the pathophysiology of GDM.","container-title":"Health Sciences Review","DOI":"10.1016/j.hsr.2023.100086","ISSN":"2772-6320","journalAbbreviation":"Health Sciences Review","page":"100086","title":"Pharmaco-epi-genetic and patho-physiology of gestational diabetes mellitus (GDM): An overview","volume":"7","author":[{"family":"Shamsad","given":"Amreen"},{"family":"Kushwah","given":"Atar Singh"},{"family":"Singh","given":"Renu"},{"family":"Banerjee","given":"Monisha"}],"issued":{"date-parts":[["2023",6,1]]}}}],"schema":"https://github.com/citation-style-language/schema/raw/master/csl-citation.json"} </w:instrText>
      </w:r>
      <w:r w:rsidRPr="000D1893">
        <w:rPr>
          <w:lang w:val="en-NZ"/>
        </w:rPr>
        <w:fldChar w:fldCharType="separate"/>
      </w:r>
      <w:r w:rsidRPr="000D1893">
        <w:rPr>
          <w:lang w:val="en-NZ"/>
        </w:rPr>
        <w:t>(Shamsad et al., 2023)</w:t>
      </w:r>
      <w:r w:rsidRPr="000D1893">
        <w:rPr>
          <w:lang w:val="en-NZ"/>
        </w:rPr>
        <w:fldChar w:fldCharType="end"/>
      </w:r>
      <w:r w:rsidRPr="000D1893">
        <w:rPr>
          <w:lang w:val="en-NZ"/>
        </w:rPr>
        <w:t>.</w:t>
      </w:r>
      <w:r w:rsidRPr="000D1893">
        <w:rPr>
          <w:lang w:val="en-NZ"/>
        </w:rPr>
        <w:fldChar w:fldCharType="begin"/>
      </w:r>
      <w:r w:rsidRPr="000D1893">
        <w:rPr>
          <w:lang w:val="en-NZ"/>
        </w:rPr>
        <w:instrText xml:space="preserve"> ADDIN ZOTERO_ITEM CSL_CITATION {"citationID":"oN6gHPPD","properties":{"formattedCitation":"(Shamsad et al., 2023)","plainCitation":"(Shamsad et al., 2023)","dontUpdate":true,"noteIndex":0},"citationItems":[{"id":"Ej0KP8LN/35dpaStH","uris":["http://zotero.org/users/4627321/items/ITQKXN2U"],"itemData":{"id":9401,"type":"article-journal","abstract":"Gestational diabetes mellitus (GDM) is a medical complication of glycaemic intolerance that develops in 2nd or 3rd trimester of pregnancy. The speculative cause behind insulin resistance or chronic glycemic intolerance occurs due to pancreatic β-cell alterations during gestation. Women who have GDM are more likely to acquire type 2 diabetes mellitus (T2DM) and other metabolic problems later in life. GDM is linked to several risk factors including gestational age, diabetic family history, polycystic ovary syndrome, obesity, ethnicity, hypertension during pregnancy, and spontaneous pregnancy loss. GDM causes several adverse effects in the mother and fetus like pre-eclampsia, neonatal hypoglycemia, macrosomia, hypocalcemia, and congenital malformations. T2DM and GDM share similar pathophysiology and a common genetic background. Previous studies suggested that alterations in insulin homeostatic genes associated with T2DM could also be responsible for the development of GDM. GDM development is influenced by several placental hormones like progesterone, estrogen, and insulin insensitivity. In the past few years, there has been a significant focus on molecular biomarkers in the field of GDM prognosis/diagnosis and use for screening. The present review suggests the role of genetic and epigenetic alterations in the pathophysiology of GDM.","container-title":"Health Sciences Review","DOI":"10.1016/j.hsr.2023.100086","ISSN":"2772-6320","journalAbbreviation":"Health Sciences Review","page":"100086","title":"Pharmaco-epi-genetic and patho-physiology of gestational diabetes mellitus (GDM): An overview","volume":"7","author":[{"family":"Shamsad","given":"Amreen"},{"family":"Kushwah","given":"Atar Singh"},{"family":"Singh","given":"Renu"},{"family":"Banerjee","given":"Monisha"}],"issued":{"date-parts":[["2023",6,1]]}}}],"schema":"https://github.com/citation-style-language/schema/raw/master/csl-citation.json"} </w:instrText>
      </w:r>
      <w:r w:rsidR="0010208C">
        <w:rPr>
          <w:lang w:val="en-NZ"/>
        </w:rPr>
        <w:fldChar w:fldCharType="separate"/>
      </w:r>
      <w:r w:rsidRPr="000D1893">
        <w:rPr>
          <w:lang w:val="en-NZ"/>
        </w:rPr>
        <w:fldChar w:fldCharType="end"/>
      </w:r>
      <w:r w:rsidRPr="000D1893">
        <w:rPr>
          <w:lang w:val="en-NZ"/>
        </w:rPr>
        <w:t xml:space="preserve"> </w:t>
      </w:r>
    </w:p>
    <w:p w14:paraId="0773D90E" w14:textId="77777777" w:rsidR="000D1893" w:rsidRPr="000D1893" w:rsidRDefault="000D1893" w:rsidP="000D1893">
      <w:pPr>
        <w:rPr>
          <w:lang w:val="en-NZ"/>
        </w:rPr>
      </w:pPr>
      <w:r w:rsidRPr="000D1893">
        <w:rPr>
          <w:lang w:val="en-NZ"/>
        </w:rPr>
        <w:t xml:space="preserve">There is insufficient evidence that vitamin D insufficiency/deficiency is a causative factor for GDM. Some studies suggest that maternal vitamin D deficiency or insufficiency increases the risk of </w:t>
      </w:r>
      <w:proofErr w:type="gramStart"/>
      <w:r w:rsidRPr="000D1893">
        <w:rPr>
          <w:lang w:val="en-NZ"/>
        </w:rPr>
        <w:t>GDM</w:t>
      </w:r>
      <w:proofErr w:type="gramEnd"/>
      <w:r w:rsidRPr="000D1893">
        <w:rPr>
          <w:lang w:val="en-NZ"/>
        </w:rPr>
        <w:t xml:space="preserve"> but the study definitions of vitamin D deficiency/insufficiency vary widely. A 2021 systematic review and meta-analysis reviewing 27 nested-case control trials and cohort studies reported those with vitamin D concentrations between 40 to 90 nanomoles per litre had a significantly reduced risk of GDM compared to those with vitamin D deficiency (less than 50 nanomoles per litre). Those with vitamin D less than 50 nanomoles per litre had a 26 percent greater risk of developing GDM </w:t>
      </w:r>
      <w:r w:rsidRPr="000D1893">
        <w:rPr>
          <w:lang w:val="en-NZ"/>
        </w:rPr>
        <w:fldChar w:fldCharType="begin"/>
      </w:r>
      <w:r w:rsidRPr="000D1893">
        <w:rPr>
          <w:lang w:val="en-NZ"/>
        </w:rPr>
        <w:instrText xml:space="preserve"> ADDIN ZOTERO_ITEM CSL_CITATION {"citationID":"4dLFtIiy","properties":{"formattedCitation":"(Milajerdi et al., 2021)","plainCitation":"(Milajerdi et al., 2021)","noteIndex":0},"citationItems":[{"id":804,"uris":["http://zotero.org/groups/5078394/items/NWAIER8X"],"itemData":{"id":804,"type":"article-journal","abstract":"BACKGROUND: No earlier systematic review and meta-analysis have been done on the association between maternal serum vitamin D status and risk of GDM among prospective studies. The current study was done to systematically review prospective cohort studies (with several years of follow-up) on the association between maternal serum vitamin D deficiency or insufficiency and risk of GDM., METHODS: Relevant papers published up to January 2020 were searched through PubMed, MEDLINE, SCOPUS, EMBASE, and Google Scholar using suitable keywords. All prospective cohort studies reporting Hazard Ratios (HRs) or Relative Risks (RRs) and 95% Confidence Intervals (CI) for GDM across categories of maternal serum vitamin D status were included., RESULTS: A total of 29 prospective and nested case-control studies were included in the current systematic review, of which 27 studies had sufficient data for the meta-analysis. Individuals with vitamin D deficiency had a 26% greater risk of developing GDM than those with normal serum vitamin D concentrations (OR: 1.26; 95% CI: 1.13, 1.41). In addition, a significant positive association was seen between combined vitamin D insufficiency and deficiency and risk of developing GDM (OR: 1.23; 95% CI: 1.11, 1.35). Dose-response analysis showed a significant U-shaped non-linear association between serum vitamin D concentrations and risk of developing GDM (P &lt; 0.001), such that those with serum vitamin D concentrations between 40 and 90 nmol/L had significantly reduced risk of GDM., CONCLUSIONS: We found a significant association between vitamin D deficiency and an increased risk of GDM. The lowest risk of GDM was found among those with a serum vitamin D levels of 40-90 nmol/L. Further studies, including randomized clinical trials, are needed to confirm our findings., REGISTRATION: PROSPERO (ID: 180722), https://www.crd.york.ac.uk/prospero/. Copyright © 2021. Published by Elsevier Ltd.","archive":"Ovid MEDLINE(R) &lt;2021&gt;","collection-title":"Comment in: Clin Nutr. 2021 Dec;40(12):5751-5752 PMID: 34763259 [https://www.ncbi.nlm.nih.gov/pubmed/34763259]","container-title":"Clinical nutrition (Edinburgh, Scotland)","DOI":"10.1016/j.clnu.2021.03.037","ISSN":"1532-1983 0261-5614","issue":"5","note":"section: Milajerdi, Alireza. Research Center for Biochemistry and Nutrition in Metabolic Diseases, Institute for Basic Sciences, Kashan University of Medical Sciences, Kashan, Iran; Department of Community Nutrition, School of Nutritional Sciences and Dietetics, Tehran University of Medical Sciences, Tehran, Iran; Department of Health, Science and Research Branch, AJA University of Medical Sciences, Tehran, Iran. Abbasi, Fatemeh. Department of Sports Injuries, Faculty of Physical Education and Sports Sciences, Allameh Tabataba'i University, Tehran, Iran. Mousavi, Seyed Mohammad. Department of Community Nutrition, School of Nutritional Sciences and Dietetics, Tehran University of Medical Sciences, Tehran, Iran. Esmaillzadeh, Ahmad. Obesity and Eating Habits Research Center, Endocrinology and Metabolism Molecular -Cellular Sciences Institute, Tehran University of Medical Sciences, Tehran, Iran; Department of Community Nutrition, School of Nutritional Sciences and Dietetics, Tehran University of Medical Sciences, Tehran, Iran; Food Security Research Center, Department of Community Nutrition, School of Nutrition and Food Science, Isfahan University of Medical Sciences, Isfahan, Iran. Electronic address: a-esmaillzadeh@tums.ac.ir.","page":"2576-2586","title":"Maternal vitamin D status and risk of gestational diabetes mellitus: A systematic review and meta-analysis of prospective cohort studies","volume":"40","author":[{"family":"Milajerdi","given":"Alireza"},{"family":"Abbasi","given":"Fatemeh"},{"family":"Mousavi","given":"Seyed Mohammad"},{"family":"Esmaillzadeh","given":"Ahmad"}],"issued":{"date-parts":[["2021"]]}}}],"schema":"https://github.com/citation-style-language/schema/raw/master/csl-citation.json"} </w:instrText>
      </w:r>
      <w:r w:rsidRPr="000D1893">
        <w:rPr>
          <w:lang w:val="en-NZ"/>
        </w:rPr>
        <w:fldChar w:fldCharType="separate"/>
      </w:r>
      <w:r w:rsidRPr="000D1893">
        <w:rPr>
          <w:lang w:val="en-NZ"/>
        </w:rPr>
        <w:t>(Milajerdi et al., 2021)</w:t>
      </w:r>
      <w:r w:rsidRPr="000D1893">
        <w:rPr>
          <w:lang w:val="en-NZ"/>
        </w:rPr>
        <w:fldChar w:fldCharType="end"/>
      </w:r>
      <w:r w:rsidRPr="000D1893">
        <w:rPr>
          <w:lang w:val="en-NZ"/>
        </w:rPr>
        <w:t xml:space="preserve">. </w:t>
      </w:r>
    </w:p>
    <w:p w14:paraId="025A9940" w14:textId="77777777" w:rsidR="000D1893" w:rsidRPr="000D1893" w:rsidRDefault="000D1893" w:rsidP="000D1893">
      <w:pPr>
        <w:rPr>
          <w:lang w:val="en-NZ"/>
        </w:rPr>
      </w:pPr>
      <w:r w:rsidRPr="000D1893">
        <w:rPr>
          <w:lang w:val="en-NZ"/>
        </w:rPr>
        <w:t>A 2020 systematic review and meta-analysis analysed 15 studies (40,788 participants) investigated GDM incidence and vitamin D supplementation (Sadeghian et al., 2020). Lower levels of serum 25(OH)D were associated with a higher risk of developing GDM however the level of vitamin D was not defined. The review also noted through linear analysis that for each 10 nanomole per litre increase in circulating 25(OH)D was associated with a 2 percent lower risk of developing GDM.</w:t>
      </w:r>
    </w:p>
    <w:p w14:paraId="68B5D156" w14:textId="77777777" w:rsidR="000D1893" w:rsidRPr="000D1893" w:rsidRDefault="000D1893" w:rsidP="000D1893">
      <w:pPr>
        <w:rPr>
          <w:lang w:val="en-NZ"/>
        </w:rPr>
      </w:pPr>
      <w:r w:rsidRPr="000D1893">
        <w:rPr>
          <w:lang w:val="en-NZ"/>
        </w:rPr>
        <w:t xml:space="preserve">A trans-Tasman observational cohort study compared vitamin D status at 14 to 16 weeks’ gestation in cohorts from Adelaide and Auckland to investigate the relationship between vitamin D status and pregnancy outcomes such as GDM, pre-eclampsia, gestational hypertension, preterm birth, and delivery of a small for gestational age (SGA) infant. Women in Adelaide had significantly lower levels of vitamin D than those in Auckland. This difference remained lower after adjusting for BMI and socioeconomic index (Adelaide: 58.4 +/- 50.3 vs. </w:t>
      </w:r>
      <w:r w:rsidRPr="000D1893">
        <w:rPr>
          <w:lang w:val="en-NZ"/>
        </w:rPr>
        <w:lastRenderedPageBreak/>
        <w:t xml:space="preserve">Auckland: 70.2 +/- 54.5 nanomoles per litre, p&lt;.001). There was a 53 percent decreased risk for GDM in those with high (more than 81 nanomoles per litre) vitamin D status when compared to those with moderate levels (63 to 81 nanomoles per litre) of serum 25(OH)D at 14 to 16  weeks’ gestation </w:t>
      </w:r>
      <w:r w:rsidRPr="000D1893">
        <w:rPr>
          <w:lang w:val="en-NZ"/>
        </w:rPr>
        <w:fldChar w:fldCharType="begin"/>
      </w:r>
      <w:r w:rsidRPr="000D1893">
        <w:rPr>
          <w:lang w:val="en-NZ"/>
        </w:rPr>
        <w:instrText xml:space="preserve"> ADDIN ZOTERO_ITEM CSL_CITATION {"citationID":"qE2pqSsG","properties":{"formattedCitation":"(Wilson et al., 2018)","plainCitation":"(Wilson et al., 2018)","noteIndex":0},"citationItems":[{"id":803,"uris":["http://zotero.org/groups/5078394/items/4ZNRBV2Y"],"itemData":{"id":803,"type":"article-journal","abstract":"BACKGROUND: Pregnant women are at increased susceptibility to vitamin D deficiency. Hence, there is continuing interest in determining how vitamin D influences pregnancy health. We aimed to compare vitamin D status in two distinct populations of pregnant women in Australia and New Zealand and to investigate the relationship between vitamin D status and pregnancy outcome. This included evaluating possible effect measure modifications according to fetal sex., METHODS: Serum 25-hydroxy vitamin D (25(OH)D) was measured at 15 +/- 1 weeks' gestation in 2800 women from Adelaide and Auckland who participated in the multi-centre, prospective cohort SCreening fOr Pregnancy Endpoints (SCOPE) study., RESULTS: Mean serum 25(OH)D in all women was 68.1 +/- 27.1 nmol/L and 28% (n = 772) were considered vitamin D deficient (&lt; 50 nmol/L). Serum 25(OH)D was lower in the women recruited in Adelaide when compared to the women recruited in Auckland and remained lower after adjusting for covariates including maternal body mass index and socioeconomic index (Adelaide: 58.4 +/- 50.3 vs. Auckland: 70.2 +/- 54.5 nmol/L, P &lt; 0.001). A 53% decreased risk for gestational diabetes mellitus (GDM) was observed with high (&gt; 81 nmol/L) \"standardised\" vitamin D status when compared to moderate-high (63-81 nmol/L, aRR, 0.47; 95% CI: 0.23, 0.96). Marginal sex-specific differences occurred between vitamin D status and GDM: women carrying a female fetus had a 56% decreased risk for GDM in those with low-moderate levels of standardised vitamin D (44-63 nmol/L) compared to moderate-high levels (aRR: 0.44; 95% CI: 0.20, 0.97), whilst in women carrying a male fetus, a 55% decreased risk of GDM was found with high standardised vitamin D when compared to moderately-high vitamin D, but this was not statistically significant (aRR: 0.45; 95% CI: 0.15, 1.38)., CONCLUSIONS: High serum 25(OH)D at 15 +/- 1 weeks' gestation was shown to be protective against the development of GDM. A possible association between fetal sex, vitamin D status and GDM provides further questions and encourages continual research and discussion into the role of vitamin D in pregnancy, particularly in vitamin D replete populations.","archive":"Ovid MEDLINE(R) &lt;2018&gt;","container-title":"BMC pregnancy and childbirth","DOI":"10.1186/s12884-018-1887-x","ISSN":"1471-2393","issue":"1","note":"section: Wilson, Rebecca L. Robinson Research Institute, University of Adelaide, Adelaide, South Australia, Australia. Wilson, Rebecca L. Adelaide Medical School, University of Adelaide, Adelaide, South Australia, Australia. Leviton, Alison J. Robinson Research Institute, University of Adelaide, Adelaide, South Australia, Australia. Leviton, Alison J. Adelaide Medical School, University of Adelaide, Adelaide, South Australia, Australia. Leemaqz, Shalem Y. Robinson Research Institute, University of Adelaide, Adelaide, South Australia, Australia. Leemaqz, Shalem Y. Adelaide Medical School, University of Adelaide, Adelaide, South Australia, Australia. Anderson, Paul H. School of Pharmacy and Medical Sciences, Division of Health Sciences, University of South Australia, Adelaide, South Australia, Australia. Grieger, Jessica A. Robinson Research Institute, University of Adelaide, Adelaide, South Australia, Australia. Grieger, Jessica A. Adelaide Medical School, University of Adelaide, Adelaide, South Australia, Australia. Grzeskowiak, Luke E. Robinson Research Institute, University of Adelaide, Adelaide, South Australia, Australia. Grzeskowiak, Luke E. Adelaide Medical School, University of Adelaide, Adelaide, South Australia, Australia. Verburg, Petra E. Robinson Research Institute, University of Adelaide, Adelaide, South Australia, Australia. Verburg, Petra E. Adelaide Medical School, University of Adelaide, Adelaide, South Australia, Australia. Verburg, Petra E. University Medical Center Groningen, University of Groningen, Groningen, The Netherlands. McCowan, Lesley. Department of Obstetrics and Gynaecology, University of Auckland, Auckland, New Zealand. Dekker, Gustaaf A. Robinson Research Institute, University of Adelaide, Adelaide, South Australia, Australia. Dekker, Gustaaf A. Women's and Children's Division, Lyell McEwin Hospital, Elizabeth Vale, South Australia, Australia. Bianco-Miotto, Tina. Robinson Research Institute, University of Adelaide, Adelaide, South Australia, Australia. Bianco-Miotto, Tina. Waite Research Institute &amp; School of Agriculture, Food and Wine, University of Adelaide, Adelaide, South Australia, Australia. Roberts, Claire T. Robinson Research Institute, University of Adelaide, Adelaide, South Australia, Australia. claire.roberts@adelaide.edu.au. Roberts, Claire T. Adelaide Medical School, University of Adelaide, Adelaide, South Australia, Australia. claire.roberts@adelaide.edu.au.","page":"251","title":"Vitamin D levels in an Australian and New Zealand cohort and the association with pregnancy outcome","volume":"18","author":[{"family":"Wilson","given":"Rebecca L."},{"family":"Leviton","given":"Alison J."},{"family":"Leemaqz","given":"Shalem Y."},{"family":"Anderson","given":"Paul H."},{"family":"Grieger","given":"Jessica A."},{"family":"Grzeskowiak","given":"Luke E."},{"family":"Verburg","given":"Petra E."},{"family":"McCowan","given":"Lesley"},{"family":"Dekker","given":"Gustaaf A."},{"family":"Bianco-Miotto","given":"Tina"},{"family":"Roberts","given":"Claire T."}],"issued":{"date-parts":[["2018"]]}}}],"schema":"https://github.com/citation-style-language/schema/raw/master/csl-citation.json"} </w:instrText>
      </w:r>
      <w:r w:rsidRPr="000D1893">
        <w:rPr>
          <w:lang w:val="en-NZ"/>
        </w:rPr>
        <w:fldChar w:fldCharType="separate"/>
      </w:r>
      <w:r w:rsidRPr="000D1893">
        <w:rPr>
          <w:lang w:val="en-NZ"/>
        </w:rPr>
        <w:t>(Wilson et al., 2018)</w:t>
      </w:r>
      <w:r w:rsidRPr="000D1893">
        <w:rPr>
          <w:lang w:val="en-NZ"/>
        </w:rPr>
        <w:fldChar w:fldCharType="end"/>
      </w:r>
      <w:r w:rsidRPr="000D1893">
        <w:rPr>
          <w:lang w:val="en-NZ"/>
        </w:rPr>
        <w:t>. This included both women who had vitamin D insufficiency and those who had adequate levels.</w:t>
      </w:r>
    </w:p>
    <w:p w14:paraId="222CCD14" w14:textId="77777777" w:rsidR="000D1893" w:rsidRPr="000D1893" w:rsidRDefault="000D1893" w:rsidP="000D1893">
      <w:pPr>
        <w:pStyle w:val="Heading4"/>
      </w:pPr>
      <w:r w:rsidRPr="000D1893">
        <w:t>Pre-eclampsia</w:t>
      </w:r>
      <w:r w:rsidRPr="000D1893" w:rsidDel="00582667">
        <w:t xml:space="preserve"> </w:t>
      </w:r>
    </w:p>
    <w:p w14:paraId="2BC433E9" w14:textId="77777777" w:rsidR="000D1893" w:rsidRPr="000D1893" w:rsidRDefault="000D1893" w:rsidP="000D1893">
      <w:pPr>
        <w:rPr>
          <w:lang w:val="en-NZ"/>
        </w:rPr>
      </w:pPr>
      <w:r w:rsidRPr="000D1893">
        <w:rPr>
          <w:lang w:val="en-NZ"/>
        </w:rPr>
        <w:t xml:space="preserve">Pre-eclampsia occurs in 3 to 8 percent of pregnancies in Aotearoa New Zealand </w:t>
      </w:r>
      <w:r w:rsidRPr="000D1893">
        <w:rPr>
          <w:lang w:val="en-NZ"/>
        </w:rPr>
        <w:fldChar w:fldCharType="begin"/>
      </w:r>
      <w:r w:rsidRPr="000D1893">
        <w:rPr>
          <w:lang w:val="en-NZ"/>
        </w:rPr>
        <w:instrText xml:space="preserve"> ADDIN ZOTERO_ITEM CSL_CITATION {"citationID":"xqgg10SW","properties":{"formattedCitation":"(Ministry of Health, 2021)","plainCitation":"(Ministry of Health, 2021)","noteIndex":0},"citationItems":[{"id":1107,"uris":["http://zotero.org/groups/5078394/items/9KLERS5U"],"itemData":{"id":1107,"type":"webpage","title":"National Maternity Collection","URL":"https://www.tewhatuora.govt.nz/our-health-system/data-and-statistics/nz-health-statistics/national-collections-and-surveys/collections/national-maternity-collection","author":[{"family":"Ministry of Health","given":""}],"accessed":{"date-parts":[["2024",1,25]]},"issued":{"date-parts":[["2021"]]}}}],"schema":"https://github.com/citation-style-language/schema/raw/master/csl-citation.json"} </w:instrText>
      </w:r>
      <w:r w:rsidRPr="000D1893">
        <w:rPr>
          <w:lang w:val="en-NZ"/>
        </w:rPr>
        <w:fldChar w:fldCharType="separate"/>
      </w:r>
      <w:r w:rsidRPr="000D1893">
        <w:rPr>
          <w:lang w:val="en-NZ"/>
        </w:rPr>
        <w:t>(Ministry of Health, 2021)</w:t>
      </w:r>
      <w:r w:rsidRPr="000D1893">
        <w:rPr>
          <w:lang w:val="en-NZ"/>
        </w:rPr>
        <w:fldChar w:fldCharType="end"/>
      </w:r>
      <w:r w:rsidRPr="000D1893">
        <w:rPr>
          <w:lang w:val="en-NZ"/>
        </w:rPr>
        <w:t xml:space="preserve">. There is insufficient evidence that vitamin D insufficiency is a causative factor for pre-eclampsia. This is because the definitions of vitamin D insufficiency and deficiency in these studies are inconsistent and include values that incorporate a large proportion of the pregnant population. </w:t>
      </w:r>
    </w:p>
    <w:p w14:paraId="21083B9A" w14:textId="77777777" w:rsidR="000D1893" w:rsidRPr="000D1893" w:rsidRDefault="000D1893" w:rsidP="000D1893">
      <w:pPr>
        <w:rPr>
          <w:lang w:val="en-NZ"/>
        </w:rPr>
      </w:pPr>
      <w:r w:rsidRPr="000D1893">
        <w:rPr>
          <w:lang w:val="en-NZ"/>
        </w:rPr>
        <w:t>When looking at only those studies involving participants with 25(OH)D of more than 50 nanomoles per litre, a weak relationship between vitamin D status and pre-eclampsia appears to emerge. A 2022 systematic review and meta-analysis of 22 studies (case control, cohort and cross-sectional) with a total of 25,530 participants investigated the relationship between vitamin D status in pregnant women and the risk of pre-eclampsia. When comparing vitamin D deficient women</w:t>
      </w:r>
      <w:r w:rsidRPr="000D1893" w:rsidDel="000862B5">
        <w:rPr>
          <w:lang w:val="en-NZ"/>
        </w:rPr>
        <w:t xml:space="preserve"> </w:t>
      </w:r>
      <w:r w:rsidRPr="000D1893">
        <w:rPr>
          <w:lang w:val="en-NZ"/>
        </w:rPr>
        <w:t xml:space="preserve">(defined as 25(OH)D &lt; 50 nanomoles per litre, with 4 studies using less than 37.5 nanomoles per litre) to replete levels (defined as 25(OH)D &gt; 50 nanomoles per litre), those who were deficient had a higher pre-eclampsia rate (OR=1.35; 95% CI: 1.10, 1.66) </w:t>
      </w:r>
      <w:r w:rsidRPr="000D1893">
        <w:rPr>
          <w:lang w:val="en-NZ"/>
        </w:rPr>
        <w:fldChar w:fldCharType="begin"/>
      </w:r>
      <w:r w:rsidRPr="000D1893">
        <w:rPr>
          <w:lang w:val="en-NZ"/>
        </w:rPr>
        <w:instrText xml:space="preserve"> ADDIN ZOTERO_ITEM CSL_CITATION {"citationID":"9eFfYgDN","properties":{"formattedCitation":"(Hu et al., 2022)","plainCitation":"(Hu et al., 2022)","noteIndex":0},"citationItems":[{"id":805,"uris":["http://zotero.org/groups/5078394/items/ZV5GS2S7"],"itemData":{"id":805,"type":"article-journal","abstract":"Vitamin D (VitD) shows a beneficial role in placentation, the immune system, and angiogenesis, and thus, VitD status may link to the risk of preeclampsia. A meta-analysis was conducted to investigate the association between VitD status in early and middle pregnancy and the risk of preeclampsia. A total of 22 studies with 25,530 participants were included for analysis. Women with VitD insufficiency or deficiency had a higher preeclampsia rate compared to women with replete VitD levels (OR 1.58, 95% CI 1.39-1.79). Women with VitD deficiency had a higher preeclampsia rate compared to women with replete or insufficient VitD levels (OR 1.35, 95% CI 1.10-1.66). Women with insufficient VitD levels had a higher preeclampsia rate compared to women with replete VitD levels (OR 1.44, 95% CI 1.24-1.66). Women with deficient VitD levels had a higher preeclampsia rate compared to women with replete VitD levels (OR 1.50, 95% CI 1.05-2.14). Sensitivity analysis showed the results were stable after excluding any one of the included studies. In conclusion, our systematic review suggested that VitD insufficiency or deficiency was associated with an increased risk of preeclampsia.","archive":"Ovid MEDLINE(R) &lt;2022&gt;","container-title":"Nutrients","DOI":"10.3390/nu14050999","ISSN":"2072-6643","issue":"5","note":"section: Hu, Kai-Lun. Key Laboratory of Reproductive Genetics (Ministry of Education), Department of Reproductive Endocrinology, Women's Hospital, Zhejiang University School of Medicine, Hangzhou 310006, China. Hu, Kai-Lun. Key Laboratory of Women's Reproductive Health of Zhejiang Province, Zhejiang University, Hangzhou 310006, China. Zhang, Chun-Xi. Key Laboratory of Reproductive Genetics (Ministry of Education), Department of Reproductive Endocrinology, Women's Hospital, Zhejiang University School of Medicine, Hangzhou 310006, China. Chen, Panpan. Key Laboratory of Reproductive Genetics (Ministry of Education), Department of Reproductive Endocrinology, Women's Hospital, Zhejiang University School of Medicine, Hangzhou 310006, China. Zhang, Dan. Key Laboratory of Reproductive Genetics (Ministry of Education), Department of Reproductive Endocrinology, Women's Hospital, Zhejiang University School of Medicine, Hangzhou 310006, China. Zhang, Dan. Key Laboratory of Women's Reproductive Health of Zhejiang Province, Zhejiang University, Hangzhou 310006, China. Hunt, Sarah. Department of Obstetrics and Gynaecology, Monash University, Clayton, VIC 3168, Australia.","title":"Vitamin D Levels in Early and Middle Pregnancy and Preeclampsia, a Systematic Review and Meta-Analysis","URL":"http://ovidsp.ovid.com/ovidweb.cgi?T=JS&amp;PAGE=reference&amp;D=med21&amp;NEWS=N&amp;AN=35267975","volume":"14","author":[{"family":"Hu","given":"Kai-Lun"},{"family":"Zhang","given":"Chun-Xi"},{"family":"Chen","given":"Panpan"},{"family":"Zhang","given":"Dan"},{"family":"Hunt","given":"Sarah"}],"issued":{"date-parts":[["2022"]]}}}],"schema":"https://github.com/citation-style-language/schema/raw/master/csl-citation.json"} </w:instrText>
      </w:r>
      <w:r w:rsidRPr="000D1893">
        <w:rPr>
          <w:lang w:val="en-NZ"/>
        </w:rPr>
        <w:fldChar w:fldCharType="separate"/>
      </w:r>
      <w:r w:rsidRPr="000D1893">
        <w:rPr>
          <w:lang w:val="en-NZ"/>
        </w:rPr>
        <w:t>(Hu et al., 2022)</w:t>
      </w:r>
      <w:r w:rsidRPr="000D1893">
        <w:rPr>
          <w:lang w:val="en-NZ"/>
        </w:rPr>
        <w:fldChar w:fldCharType="end"/>
      </w:r>
      <w:r w:rsidRPr="000D1893">
        <w:rPr>
          <w:lang w:val="en-NZ"/>
        </w:rPr>
        <w:t xml:space="preserve">. This finding had a moderate heterogeneity of 57 percent showing variation in individual study effect sizes among the included studies. </w:t>
      </w:r>
    </w:p>
    <w:p w14:paraId="465D565A" w14:textId="77777777" w:rsidR="000D1893" w:rsidRDefault="000D1893" w:rsidP="000D1893">
      <w:pPr>
        <w:rPr>
          <w:lang w:val="en-NZ"/>
        </w:rPr>
      </w:pPr>
      <w:r w:rsidRPr="000D1893">
        <w:rPr>
          <w:lang w:val="en-NZ"/>
        </w:rPr>
        <w:t xml:space="preserve">Similarly, a systematic review and meta-analysis of 23 studies (Morales-Suarez-Varela et al., </w:t>
      </w:r>
      <w:r w:rsidRPr="000D1893">
        <w:rPr>
          <w:lang w:val="en-NZ"/>
        </w:rPr>
        <w:fldChar w:fldCharType="begin"/>
      </w:r>
      <w:r w:rsidRPr="000D1893">
        <w:rPr>
          <w:lang w:val="en-NZ"/>
        </w:rPr>
        <w:instrText xml:space="preserve"> ADDIN ZOTERO_ITEM CSL_CITATION {"citationID":"PPW4nV5D","properties":{"formattedCitation":"(2022)","plainCitation":"(2022)","dontUpdate":true,"noteIndex":0},"citationItems":[{"id":808,"uris":["http://zotero.org/groups/5078394/items/Z9ACJVWE"],"itemData":{"id":808,"type":"article-journal","abstract":"Vitamin D deficiency (serum 25-hydroxyvitamin D [25(OH)D] levels &lt;20 ng/mL in serum) is a common health condition among pregnant women, especially in high-risk groups. Evidence has connected vitamin D levels with many health-related problems during pregnancy, including gestational diabetes and preeclampsia. Because of vitamin D's effect on both mother and fetus, we systematically review the association between 25(OH)D level and its health effects. From a total of 143 studies, 43 came from PubMed, 4 from Cochrane, and 96 from EMBASE. After screening, we identified 38 studies as candidates for inclusion. Ultimately, we limited this review to 23 articles originating from 12 countries, written in English or Spanish, and conducted between 2010 and 2022. We conducted this review according to the Preferred Reporting Items for Systematic Review and Meta-Analysis (PRISMA) guidelines and evaluated the quality and strength of the evidence by using the Navigation Guide Systematic Review Methodology (SING). These systematic reviews summarize findings that support vitamin D's role in reducing risks of multiple outcomes and the possible contribution of adequate vitamin D levels to a healthy pregnancy.","archive":"Ovid MEDLINE(R) &lt;2022&gt;","container-title":"Nutrients","DOI":"10.3390/nu14194124","ISSN":"2072-6643","issue":"19","note":"section: Morales-Suarez-Varela, Maria. Area of Preventive Medicine and Public Health, Department of Preventive Medicine and Public Health, Food Sciences, Toxicology, and Legal Medicine, School of Pharmacy, University de Valencia, 46100 Burjassot, Spain. Morales-Suarez-Varela, Maria. Biomedical Research Center Network on Epidemiology and Public Health (CIBERESP), Institute of Health Carlos III, 28029 Madrid, Spain. Ucar, Nazli. Area of Preventive Medicine and Public Health, Department of Preventive Medicine and Public Health, Food Sciences, Toxicology, and Legal Medicine, School of Pharmacy, University de Valencia, 46100 Burjassot, Spain. Soriano, Jose Miguel. Food &amp; Health Lab, Institute of Materials Science, University of Valencia, 46980 Paterna, Spain. Llopis-Morales, Agustin. Area of Preventive Medicine and Public Health, Department of Preventive Medicine and Public Health, Food Sciences, Toxicology, and Legal Medicine, School of Pharmacy, University de Valencia, 46100 Burjassot, Spain. Sanford, Beth S. College of Nursing, Rasmussen University, 4012 19th Ave S, Fargo, ND 58103, USA. Grant, William B. Sunlight, Nutrition, and Health Research Center, P.O. Box 641603, San Francisco, CA 94164, USA.","title":"Vitamin D-Related Risk Factors for Maternal Morbidity and Mortality during Pregnancy: Systematic Review and Meta-Analysis","URL":"http://ovidsp.ovid.com/ovidweb.cgi?T=JS&amp;PAGE=reference&amp;D=med22&amp;NEWS=N&amp;AN=36235776","volume":"14","author":[{"family":"Morales-Suarez-Varela","given":"Maria"},{"family":"Ucar","given":"Nazli"},{"family":"Soriano","given":"Jose Miguel"},{"family":"Llopis-Morales","given":"Agustin"},{"family":"Sanford","given":"Beth S."},{"family":"Grant","given":"William B."}],"issued":{"date-parts":[["2022"]]}},"label":"page","suppress-author":true}],"schema":"https://github.com/citation-style-language/schema/raw/master/csl-citation.json"} </w:instrText>
      </w:r>
      <w:r w:rsidRPr="000D1893">
        <w:rPr>
          <w:lang w:val="en-NZ"/>
        </w:rPr>
        <w:fldChar w:fldCharType="separate"/>
      </w:r>
      <w:r w:rsidRPr="000D1893">
        <w:rPr>
          <w:lang w:val="en-NZ"/>
        </w:rPr>
        <w:t>2022)</w:t>
      </w:r>
      <w:r w:rsidRPr="000D1893">
        <w:rPr>
          <w:lang w:val="en-NZ"/>
        </w:rPr>
        <w:fldChar w:fldCharType="end"/>
      </w:r>
      <w:r w:rsidRPr="000D1893">
        <w:rPr>
          <w:lang w:val="en-NZ"/>
        </w:rPr>
        <w:t xml:space="preserve"> reported  25(OH)D of more than 50 nanomoles per litre during pregnancy may be associated with the development of pre-eclampsia. The study reported vitamin D supplementation during pregnancy may act as a protective factor against the development of pre-eclampsia and preterm birth</w:t>
      </w:r>
      <w:r w:rsidRPr="000D1893" w:rsidDel="00025F32">
        <w:rPr>
          <w:lang w:val="en-NZ"/>
        </w:rPr>
        <w:t xml:space="preserve"> </w:t>
      </w:r>
      <w:r w:rsidRPr="000D1893">
        <w:rPr>
          <w:lang w:val="en-NZ"/>
        </w:rPr>
        <w:t xml:space="preserve">(before 37 weeks’ gestation). Moderate heterogeneity of 53 percent was reported. </w:t>
      </w:r>
    </w:p>
    <w:p w14:paraId="5046AC69" w14:textId="16EE130B" w:rsidR="000D1893" w:rsidRPr="000D1893" w:rsidRDefault="000D1893" w:rsidP="000D1893">
      <w:pPr>
        <w:rPr>
          <w:lang w:val="en-NZ"/>
        </w:rPr>
      </w:pPr>
      <w:r w:rsidRPr="000D1893">
        <w:rPr>
          <w:lang w:val="en-NZ"/>
        </w:rPr>
        <w:t xml:space="preserve">A 2019 Cochrane review suggests that taking vitamin D during pregnancy may lower the risk of pre-eclampsia, low birthweight, and preterm birth compared to not taking anything or using a placebo. It also found vitamin D supplementation in pregnancy may reduce the risk of severe postpartum haemorrhage (PPH), and likely makes little or no difference to the risk of preterm birth </w:t>
      </w:r>
      <w:r w:rsidRPr="000D1893">
        <w:rPr>
          <w:lang w:val="en-NZ"/>
        </w:rPr>
        <w:fldChar w:fldCharType="begin"/>
      </w:r>
      <w:r w:rsidRPr="000D1893">
        <w:rPr>
          <w:lang w:val="en-NZ"/>
        </w:rPr>
        <w:instrText xml:space="preserve"> ADDIN ZOTERO_ITEM CSL_CITATION {"citationID":"SH2Wj81O","properties":{"formattedCitation":"(Palacios, Kostiuk, et al., 2019)","plainCitation":"(Palacios, Kostiuk, et al., 2019)","noteIndex":0},"citationItems":[{"id":"Ej0KP8LN/mIzSaiMu","uris":["http://zotero.org/users/8039573/items/KJZ5I2XY"],"itemData":{"id":"Ej0KP8LN/mIzSaiMu","type":"article-journal","abstract":"BACKGROUND: Vitamin D supplementation during pregnancy may be needed to protect against adverse pregnancy outcomes. This is an update of a review that was first published in 2012 and then in 2016., OBJECTIVES: To examine whether vitamin D supplementation alone or in combination with calcium or other vitamins and minerals given to women during pregnancy can safely improve maternal and neonatal outcomes., SEARCH METHODS: For this update, we searched Cochrane Pregnancy and Childbirth's Trials Register (12 July 2018), contacted relevant organisations (15 May 2018), reference lists of retrieved trials and registries at clinicaltrials.gov and WHO International Clinical Trials Registry Platform (12 July 2018). Abstracts were included if they had enough information to extract the data., SELECTION CRITERIA: Randomised and quasi-randomised trials evaluating the effect of supplementation with vitamin D alone or in combination with other micronutrients for women during pregnancy in comparison to placebo or no intervention., DATA COLLECTION AND ANALYSIS: Two review authors independently i) assessed the eligibility of trials against the inclusion criteria, ii) extracted data from included trials, and iii) assessed the risk of bias of the included trials. The certainty of the evidence was assessed using the GRADE approach., MAIN RESULTS: We included 30 trials (7033 women), excluded 60 trials, identified six as ongoing/unpublished trials and two trials are awaiting assessments.Supplementation with vitamin D alone versus placebo/no interventionA total of 22 trials involving 3725 pregnant women were included in this comparison; 19 trials were assessed as having low-to-moderate risk of bias for most domains and three trials were assessed as having high risk of bias for most domains. Supplementation with vitamin D alone during pregnancy probably reduces the risk of pre-eclampsia (risk ratio (RR) 0.48, 95% confidence interval (CI) 0.30 to 0.79; 4 trials, 499 women, moderate-certainty evidence) and gestational diabetes (RR 0.51, 95% CI 0.27 to 0.97; 4 trials, 446 women, moderate-certainty evidence); and probably reduces the risk of having a baby with low birthweight (less than 2500 g) (RR 0.55, 95% CI 0.35 to 0.87; 5 trials, 697 women, moderate-certainty evidence) compared to women who received placebo or no intervention. Vitamin D supplementation may make little or no difference in the risk of having a preterm birth &lt; 37 weeks compared to no intervention or placebo (RR 0.66, 95% CI 0.34 to 1.30; 7 trials, 1640 women, low-certainty evidence). In terms of maternal adverse events, vitamin D supplementation may reduce the risk of severe postpartum haemorrhage (RR 0.68, 95% CI 0.51 to 0.91; 1 trial, 1134 women, low-certainty evidence). There were no cases of hypercalcaemia (1 trial, 1134 women, low-certainty evidence), and we are very uncertain as to whether vitamin D increases or decreases the risk of nephritic syndrome (RR 0.17, 95% CI 0.01 to 4.06; 1 trial, 135 women, very low-certainty evidence). However, given the scarcity of data in general for maternal adverse events, no firm conclusions can be drawn.Supplementation with vitamin D and calcium versus placebo/no interventionNine trials involving 1916 pregnant women were included in this comparison; three trials were assessed as having low risk of bias for allocation and blinding, four trials were assessed as having high risk of bias and two had some components having a low risk, high risk, or unclear risk. Supplementation with vitamin D and calcium during pregnancy probably reduces the risk of pre-eclampsia (RR 0.50, 95% CI 0.32 to 0.78; 4 trials, 1174 women, moderate-certainty evidence). The effect of the intervention is uncertain on gestational diabetes (RR 0.33,% CI 0.01 to 7.84; 1 trial, 54 women, very low-certainty evidence); and low birthweight (less than 2500 g) (RR 0.68, 95% CI 0.10 to 4.55; 2 trials, 110 women, very low-certainty evidence) compared to women who received placebo or no intervention. Supplementation with vitamin D and calcium during pregnancy may increase the ris of preterm birth &lt; 37 weeks in comparison to women who received placebo or no intervention (RR 1.52, 95% CI 1.01 to 2.28; 5 trials, 942 women, low-certainty evidence). No trial in this comparison reported on maternal adverse events.Supplementation with vitamin D + calcium + other vitamins and minerals versus calcium + other vitamins and minerals (but no vitamin D)One trial in 1300 participants was included in this comparison; it was assessed as having low risk of bias. Pre-eclampsia was not assessed. Supplementation with vitamin D + other nutrients may make little or no difference in the risk of preterm birth &lt; 37 weeks (RR 1.04, 95% CI 0.68 to 1.59; 1 trial, 1298 women, low-certainty evidence); or low birthweight (less than 2500 g) (RR 1.12, 95% CI 0.82 to 1.51; 1 trial, 1298 women, low-certainty evidence). It is unclear whether it makes any difference to the risk of gestational diabetes (RR 0.42, 95% CI 0.10 to 1.73) or maternal adverse events (hypercalcaemia no events; hypercalciuria RR 0.25, 95% CI 0.02 to 3.97; 1 trial, 1298 women,) because the certainty of the evidence for both outcomes was found to be very low., AUTHORS' CONCLUSIONS: We included 30 trials (7033 women) across three separate comparisons. Our GRADE assessments ranged from moderate to very low, with downgrading decisions based on limitations in study design, imprecision and indirectness.Supplementing pregnant women with vitamin D alone probably reduces the risk of pre-eclampsia, gestational diabetes, low birthweight and may reduce the risk of severe postpartum haemorrhage. It may make little or no difference in the risk of having a preterm birth &lt; 37 weeks' gestation. Supplementing pregnant women with vitamin D and calcium probably reduces the risk of pre-eclampsia but may increase the risk of preterm births &lt; 37 weeks (these findings warrant further research). Supplementing pregnant women with vitamin D and other nutrients may make little or no difference in the risk of preterm birth &lt; 37 weeks' gestation or low birthweight (less than 2500 g). Additional rigorous high quality and larger randomised trials are required to evaluate the effects of vitamin D supplementation in pregnancy, particularly in relation to the risk of maternal adverse events.","archive":"Ovid MEDLINE(R) &lt;2019&gt;","collection-title":"Update of: Cochrane Database Syst Rev. 2016 Jan 14;(1):CD008873 PMID: 26765344 [https://www.ncbi.nlm.nih.gov/pubmed/26765344]","container-title":"The Cochrane database of systematic reviews","DOI":"10.1002/14651858.CD008873.pub4","ISSN":"1469-493X 1361-6137","note":"section: Palacios, Cristina. Department of Dietetics and Nutrition, Robert Stempel College of Public Health and Social Work, Florida International University, 11200 SW 8th Street, AHC 5 - 323, Miami, Florida, USA, 33199.","page":"CD008873","title":"Vitamin D supplementation for women during pregnancy","volume":"7","author":[{"family":"Palacios","given":"Cristina"},{"family":"Kostiuk","given":"Lia K."},{"family":"Pena-Rosas","given":"Juan Pablo"}],"issued":{"date-parts":[["2019"]]}}}],"schema":"https://github.com/citation-style-language/schema/raw/master/csl-citation.json"} </w:instrText>
      </w:r>
      <w:r w:rsidRPr="000D1893">
        <w:rPr>
          <w:lang w:val="en-NZ"/>
        </w:rPr>
        <w:fldChar w:fldCharType="separate"/>
      </w:r>
      <w:r w:rsidRPr="000D1893">
        <w:rPr>
          <w:lang w:val="en-NZ"/>
        </w:rPr>
        <w:t>(Palacios et al., 2019)</w:t>
      </w:r>
      <w:r w:rsidRPr="000D1893">
        <w:rPr>
          <w:lang w:val="en-NZ"/>
        </w:rPr>
        <w:fldChar w:fldCharType="end"/>
      </w:r>
      <w:r w:rsidRPr="000D1893">
        <w:rPr>
          <w:lang w:val="en-NZ"/>
        </w:rPr>
        <w:t>.</w:t>
      </w:r>
    </w:p>
    <w:tbl>
      <w:tblPr>
        <w:tblStyle w:val="TableGrid"/>
        <w:tblW w:w="5000" w:type="pct"/>
        <w:tblLayout w:type="fixed"/>
        <w:tblLook w:val="0420" w:firstRow="1" w:lastRow="0" w:firstColumn="0" w:lastColumn="0" w:noHBand="0" w:noVBand="1"/>
      </w:tblPr>
      <w:tblGrid>
        <w:gridCol w:w="540"/>
        <w:gridCol w:w="6881"/>
        <w:gridCol w:w="1595"/>
      </w:tblGrid>
      <w:tr w:rsidR="000D1893" w:rsidRPr="000D1893" w14:paraId="212E077C" w14:textId="77777777" w:rsidTr="000D1893">
        <w:trPr>
          <w:cnfStyle w:val="100000000000" w:firstRow="1" w:lastRow="0" w:firstColumn="0" w:lastColumn="0" w:oddVBand="0" w:evenVBand="0" w:oddHBand="0" w:evenHBand="0" w:firstRowFirstColumn="0" w:firstRowLastColumn="0" w:lastRowFirstColumn="0" w:lastRowLastColumn="0"/>
        </w:trPr>
        <w:tc>
          <w:tcPr>
            <w:tcW w:w="540" w:type="dxa"/>
            <w:vAlign w:val="top"/>
          </w:tcPr>
          <w:p w14:paraId="4F71DB2C" w14:textId="77777777" w:rsidR="000D1893" w:rsidRPr="000D1893" w:rsidRDefault="000D1893" w:rsidP="000D1893">
            <w:pPr>
              <w:rPr>
                <w:sz w:val="22"/>
                <w:szCs w:val="24"/>
                <w:lang w:val="en-NZ"/>
              </w:rPr>
            </w:pPr>
          </w:p>
        </w:tc>
        <w:tc>
          <w:tcPr>
            <w:tcW w:w="6881" w:type="dxa"/>
            <w:vAlign w:val="top"/>
          </w:tcPr>
          <w:p w14:paraId="5DF207B7" w14:textId="77777777" w:rsidR="000D1893" w:rsidRPr="000D1893" w:rsidRDefault="000D1893" w:rsidP="000D1893">
            <w:pPr>
              <w:rPr>
                <w:sz w:val="22"/>
                <w:szCs w:val="24"/>
                <w:lang w:val="en-NZ"/>
              </w:rPr>
            </w:pPr>
            <w:r w:rsidRPr="000D1893">
              <w:rPr>
                <w:sz w:val="22"/>
                <w:szCs w:val="24"/>
                <w:lang w:val="en-NZ"/>
              </w:rPr>
              <w:t>Consensus Statement</w:t>
            </w:r>
          </w:p>
        </w:tc>
        <w:tc>
          <w:tcPr>
            <w:tcW w:w="1595" w:type="dxa"/>
            <w:vAlign w:val="top"/>
          </w:tcPr>
          <w:p w14:paraId="291EE46E" w14:textId="77777777" w:rsidR="000D1893" w:rsidRPr="000D1893" w:rsidRDefault="000D1893" w:rsidP="000D1893">
            <w:pPr>
              <w:rPr>
                <w:sz w:val="22"/>
                <w:szCs w:val="24"/>
                <w:lang w:val="en-NZ"/>
              </w:rPr>
            </w:pPr>
            <w:r w:rsidRPr="000D1893">
              <w:rPr>
                <w:sz w:val="22"/>
                <w:szCs w:val="24"/>
                <w:lang w:val="en-NZ"/>
              </w:rPr>
              <w:t>Strength of statement</w:t>
            </w:r>
          </w:p>
        </w:tc>
      </w:tr>
      <w:tr w:rsidR="000D1893" w:rsidRPr="000D1893" w14:paraId="46377AEF" w14:textId="77777777" w:rsidTr="000D1893">
        <w:tc>
          <w:tcPr>
            <w:tcW w:w="540" w:type="dxa"/>
            <w:vAlign w:val="top"/>
          </w:tcPr>
          <w:p w14:paraId="7DE1EA5F" w14:textId="77777777" w:rsidR="000D1893" w:rsidRPr="000D1893" w:rsidRDefault="000D1893" w:rsidP="000D1893">
            <w:pPr>
              <w:rPr>
                <w:sz w:val="22"/>
                <w:szCs w:val="24"/>
                <w:lang w:val="en-NZ"/>
              </w:rPr>
            </w:pPr>
            <w:r w:rsidRPr="000D1893">
              <w:rPr>
                <w:sz w:val="22"/>
                <w:szCs w:val="24"/>
                <w:lang w:val="en-NZ"/>
              </w:rPr>
              <w:t>4.</w:t>
            </w:r>
          </w:p>
        </w:tc>
        <w:tc>
          <w:tcPr>
            <w:tcW w:w="6881" w:type="dxa"/>
            <w:vAlign w:val="top"/>
          </w:tcPr>
          <w:p w14:paraId="5EE945E8" w14:textId="77777777" w:rsidR="000D1893" w:rsidRPr="000D1893" w:rsidRDefault="000D1893" w:rsidP="000D1893">
            <w:pPr>
              <w:rPr>
                <w:sz w:val="22"/>
                <w:szCs w:val="24"/>
                <w:lang w:val="en-NZ"/>
              </w:rPr>
            </w:pPr>
            <w:r w:rsidRPr="000D1893">
              <w:rPr>
                <w:sz w:val="22"/>
                <w:szCs w:val="24"/>
                <w:lang w:val="en-NZ"/>
              </w:rPr>
              <w:t xml:space="preserve">Advise whānau that there may be a possible role of vitamin D insufficiency/deficiency in developing GDM and pre-eclampsia. However, further studies are required to confirm this relationship and explore the potential effects of vitamin D supplementation on preventing GDM and pre-eclampsia risk. </w:t>
            </w:r>
          </w:p>
        </w:tc>
        <w:tc>
          <w:tcPr>
            <w:tcW w:w="1595" w:type="dxa"/>
            <w:vAlign w:val="top"/>
          </w:tcPr>
          <w:p w14:paraId="362BB7D0" w14:textId="77777777" w:rsidR="000D1893" w:rsidRPr="000D1893" w:rsidRDefault="000D1893" w:rsidP="000D1893">
            <w:pPr>
              <w:rPr>
                <w:sz w:val="22"/>
                <w:szCs w:val="24"/>
                <w:lang w:val="en-NZ"/>
              </w:rPr>
            </w:pPr>
            <w:r w:rsidRPr="000D1893">
              <w:rPr>
                <w:sz w:val="22"/>
                <w:szCs w:val="24"/>
                <w:lang w:val="en-NZ"/>
              </w:rPr>
              <w:t>Good practice</w:t>
            </w:r>
            <w:r w:rsidRPr="000D1893" w:rsidDel="006835BA">
              <w:rPr>
                <w:sz w:val="22"/>
                <w:szCs w:val="24"/>
                <w:lang w:val="en-NZ"/>
              </w:rPr>
              <w:t xml:space="preserve"> </w:t>
            </w:r>
          </w:p>
        </w:tc>
      </w:tr>
    </w:tbl>
    <w:p w14:paraId="7C7DE3B0" w14:textId="77777777" w:rsidR="000D1893" w:rsidRPr="000D1893" w:rsidRDefault="000D1893" w:rsidP="000D1893">
      <w:pPr>
        <w:pStyle w:val="Heading3"/>
      </w:pPr>
      <w:bookmarkStart w:id="19" w:name="_Toc143088606"/>
      <w:bookmarkStart w:id="20" w:name="_Toc167269271"/>
      <w:r w:rsidRPr="000D1893">
        <w:t>Infant health outcomes</w:t>
      </w:r>
      <w:bookmarkEnd w:id="19"/>
      <w:bookmarkEnd w:id="20"/>
    </w:p>
    <w:p w14:paraId="0494D2B9" w14:textId="77777777" w:rsidR="000D1893" w:rsidRPr="000D1893" w:rsidRDefault="000D1893" w:rsidP="000D1893">
      <w:pPr>
        <w:rPr>
          <w:lang w:val="en-NZ"/>
        </w:rPr>
      </w:pPr>
      <w:r w:rsidRPr="000D1893">
        <w:rPr>
          <w:lang w:val="en-NZ"/>
        </w:rPr>
        <w:t>There is convincing evidence that vitamin D deficiency (25(OH)D &lt; 25 or &lt; 30 nanomoles per litre) is associated with vitamin D deficiency rickets. Observational evidence suggests maternal vitamin D deficiency in pregnancy is associated with an increased risk of low birth weight. There is insufficient evidence that vitamin D insufficiency/deficiency is associated with dental caries or acute respiratory illness.</w:t>
      </w:r>
    </w:p>
    <w:p w14:paraId="5C64B961" w14:textId="77777777" w:rsidR="000D1893" w:rsidRPr="000D1893" w:rsidRDefault="000D1893" w:rsidP="000D1893">
      <w:pPr>
        <w:pStyle w:val="Heading4"/>
      </w:pPr>
      <w:r w:rsidRPr="000D1893">
        <w:lastRenderedPageBreak/>
        <w:t xml:space="preserve">Rickets </w:t>
      </w:r>
    </w:p>
    <w:p w14:paraId="1F28A498" w14:textId="77777777" w:rsidR="000D1893" w:rsidRPr="000D1893" w:rsidRDefault="000D1893" w:rsidP="000D1893">
      <w:pPr>
        <w:rPr>
          <w:lang w:val="en-NZ"/>
        </w:rPr>
      </w:pPr>
      <w:r w:rsidRPr="000D1893">
        <w:rPr>
          <w:lang w:val="en-NZ"/>
        </w:rPr>
        <w:t xml:space="preserve">Rickets is a preventable bone disorder caused by a lack of vitamin D, </w:t>
      </w:r>
      <w:proofErr w:type="gramStart"/>
      <w:r w:rsidRPr="000D1893">
        <w:rPr>
          <w:lang w:val="en-NZ"/>
        </w:rPr>
        <w:t>calcium</w:t>
      </w:r>
      <w:proofErr w:type="gramEnd"/>
      <w:r w:rsidRPr="000D1893">
        <w:rPr>
          <w:lang w:val="en-NZ"/>
        </w:rPr>
        <w:t xml:space="preserve"> or phosphate. It is associated with biochemical abnormalities, bone deformities, impaired growth, developmental delays and, late in the course of the disease, seizures. Rickets is characterised by bone changes including bowing of the legs, rachitic rosary of the rib cage, frontal bossing, and epiphyseal enlargement of the wrists and ankles </w:t>
      </w:r>
      <w:r w:rsidRPr="000D1893">
        <w:rPr>
          <w:lang w:val="en-NZ"/>
        </w:rPr>
        <w:fldChar w:fldCharType="begin"/>
      </w:r>
      <w:r w:rsidRPr="000D1893">
        <w:rPr>
          <w:lang w:val="en-NZ"/>
        </w:rPr>
        <w:instrText xml:space="preserve"> ADDIN ZOTERO_ITEM CSL_CITATION {"citationID":"5B0Nyq0N","properties":{"formattedCitation":"(Weisberg et al., 2004)","plainCitation":"(Weisberg et al., 2004)","noteIndex":0},"citationItems":[{"id":1026,"uris":["http://zotero.org/groups/5078394/items/YC35C63H"],"itemData":{"id":1026,"type":"article-journal","container-title":"American Journal of Clinical Nutrition","issue":"80 (suppl)","page":"1697S–705S","title":"Nutritional rickets among children in the United States: review of cases reported between 1986 and 20031","author":[{"family":"Weisberg","given":"P"},{"family":"Scanlon","given":"KS"},{"family":"Li","given":"R"},{"family":"Cogswell","given":"ME"}],"issued":{"date-parts":[["2004"]]}}}],"schema":"https://github.com/citation-style-language/schema/raw/master/csl-citation.json"} </w:instrText>
      </w:r>
      <w:r w:rsidRPr="000D1893">
        <w:rPr>
          <w:lang w:val="en-NZ"/>
        </w:rPr>
        <w:fldChar w:fldCharType="separate"/>
      </w:r>
      <w:r w:rsidRPr="000D1893">
        <w:rPr>
          <w:lang w:val="en-NZ"/>
        </w:rPr>
        <w:t>(Weisberg et al., 2004)</w:t>
      </w:r>
      <w:r w:rsidRPr="000D1893">
        <w:rPr>
          <w:lang w:val="en-NZ"/>
        </w:rPr>
        <w:fldChar w:fldCharType="end"/>
      </w:r>
      <w:r w:rsidRPr="000D1893">
        <w:rPr>
          <w:lang w:val="en-NZ"/>
        </w:rPr>
        <w:t xml:space="preserve">. </w:t>
      </w:r>
      <w:proofErr w:type="spellStart"/>
      <w:r w:rsidRPr="000D1893">
        <w:rPr>
          <w:lang w:val="en-NZ"/>
        </w:rPr>
        <w:t>Hypocalcaemic</w:t>
      </w:r>
      <w:proofErr w:type="spellEnd"/>
      <w:r w:rsidRPr="000D1893">
        <w:rPr>
          <w:lang w:val="en-NZ"/>
        </w:rPr>
        <w:t xml:space="preserve"> seizures in infants and young children are also linked to vitamin D deficiency and rickets. A New Zealand study found 15.5 percent of rickets cases presented with symptomatic hypocalcaemia (seizure and tetany) </w:t>
      </w:r>
      <w:r w:rsidRPr="000D1893">
        <w:rPr>
          <w:lang w:val="en-NZ"/>
        </w:rPr>
        <w:fldChar w:fldCharType="begin"/>
      </w:r>
      <w:r w:rsidRPr="000D1893">
        <w:rPr>
          <w:lang w:val="en-NZ"/>
        </w:rPr>
        <w:instrText xml:space="preserve"> ADDIN ZOTERO_ITEM CSL_CITATION {"citationID":"WrihuWz1","properties":{"formattedCitation":"(Wheeler et al., 2015)","plainCitation":"(Wheeler et al., 2015)","noteIndex":0},"citationItems":[{"id":736,"uris":["http://zotero.org/groups/5078394/items/ZX5DX8GR"],"itemData":{"id":736,"type":"article-journal","abstract":"OBJECTIVE: To investigate the incidence and characteristics of vitamin D deficiency rickets in New Zealand (NZ)., METHODS: Prospective surveillance among paediatricians of Vitamin D Deficiency Rickets was conducted by the New Zealand Paediatric Surveillance Unit (NZPSU) for 36 months, from July 2010 to June 2013, inclusive. Inclusion criteria were: children and adolescents &lt;15 years of age with vitamin D deficiency rickets (defined by low serum 25-hydroxyvitamin D and elevated alkaline phosphatase levels, and/or radiological rickets)., RESULTS: Fifty-eight children with confirmed vitamin D deficiency rickets were identified. Median age was 1.4 (range 0.3-11) years, 47% were male, and 95% of the children were born in NZ; however, the majority of the mothers (68%) were born outside NZ. Overall annual incidence of rickets in children aged &lt;15 years was 2.2/100,000 (95%CI 1.4-3.5); with incidence in those &lt;3 years being 10.5/100,000 (95%CI 6.7-16.6). Skeletal abnormalities, poor growth and motor delay were the most common presenting features, with hypocalcaemic convulsion in 16% of children. Key risk factors identified were: darker skin pigment, Indian and African ethnicity, age &lt;3 years, exclusive breast feeding, and southern latitude, particularly when combined with season (winter/spring). Of the patients reported, none had received appropriate vitamin D supplementation., CONCLUSIONS: Vitamin D deficiency rickets remains a problem for NZ children. Key risk factors remain similar to those identified in the international literature. Preventative targeted vitamin D supplementation, as per existing national guidelines, was lacking in all cases reported., IMPLICATIONS: Vitamin D deficiency rickets is the most significant manifestation of vitamin D deficiency in growing children. To reduce the incidence of this disease among those at high risk, increasing awareness and implementation of current public health policies for targeted maternal, infant and child supplementation are required. Copyright © 2015 Public Health Association of Australia.","archive":"Ovid MEDLINE(R) &lt;2015&gt;","container-title":"Australian and New Zealand journal of public health","DOI":"10.1111/1753-6405.12390","ISSN":"1753-6405 1326-0200","issue":"4","note":"section: Wheeler, Benjamin J. Department of Women's and Children's Health, Dunedin School of Medicine, University of Otago, New Zealand. Wheeler, Benjamin J. Paediatric Endocrinology, Southern District Health Board, New Zealand. Dickson, Nigel P. New Zealand Paediatric Surveillance Unit, Department of Women's and Child Health, Dunedin School of Medicine, University of Otago, New Zealand. Houghton, Lisa A. Department of Human Nutrition, University of Otago, New Zealand. Ward, Leanne M. Department of Pediatrics, University of Ottawa, Canada. Taylor, Barry J. New Zealand Paediatric Surveillance Unit, Department of Women's and Child Health, Dunedin School of Medicine, University of Otago, New Zealand.","page":"380-3","title":"Incidence and characteristics of vitamin D deficiency rickets in New Zealand children: a New Zealand Paediatric Surveillance Unit study","volume":"39","author":[{"family":"Wheeler","given":"Benjamin J."},{"family":"Dickson","given":"Nigel P."},{"family":"Houghton","given":"Lisa A."},{"family":"Ward","given":"Leanne M."},{"family":"Taylor","given":"Barry J."}],"issued":{"date-parts":[["2015"]]}}}],"schema":"https://github.com/citation-style-language/schema/raw/master/csl-citation.json"} </w:instrText>
      </w:r>
      <w:r w:rsidRPr="000D1893">
        <w:rPr>
          <w:lang w:val="en-NZ"/>
        </w:rPr>
        <w:fldChar w:fldCharType="separate"/>
      </w:r>
      <w:r w:rsidRPr="000D1893">
        <w:rPr>
          <w:lang w:val="en-NZ"/>
        </w:rPr>
        <w:t>(Wheeler et al., 2015)</w:t>
      </w:r>
      <w:r w:rsidRPr="000D1893">
        <w:rPr>
          <w:lang w:val="en-NZ"/>
        </w:rPr>
        <w:fldChar w:fldCharType="end"/>
      </w:r>
      <w:r w:rsidRPr="000D1893">
        <w:rPr>
          <w:lang w:val="en-NZ"/>
        </w:rPr>
        <w:t>.</w:t>
      </w:r>
    </w:p>
    <w:p w14:paraId="753F1356" w14:textId="77777777" w:rsidR="000D1893" w:rsidRPr="000D1893" w:rsidRDefault="000D1893" w:rsidP="000D1893">
      <w:pPr>
        <w:rPr>
          <w:lang w:val="en-NZ"/>
        </w:rPr>
      </w:pPr>
      <w:r w:rsidRPr="000D1893">
        <w:rPr>
          <w:lang w:val="en-NZ"/>
        </w:rPr>
        <w:t xml:space="preserve">Rickets is a health issue in Aotearoa New Zealand. A 2015 New Zealand prospective surveillance study investigated incidence and characteristics of vitamin D deficiency in Aotearoa New Zealand. Wheeler et al. </w:t>
      </w:r>
      <w:r w:rsidRPr="000D1893">
        <w:rPr>
          <w:lang w:val="en-NZ"/>
        </w:rPr>
        <w:fldChar w:fldCharType="begin"/>
      </w:r>
      <w:r w:rsidRPr="000D1893">
        <w:rPr>
          <w:lang w:val="en-NZ"/>
        </w:rPr>
        <w:instrText xml:space="preserve"> ADDIN ZOTERO_ITEM CSL_CITATION {"citationID":"o0A6Chcx","properties":{"formattedCitation":"(2015)","plainCitation":"(2015)","noteIndex":0},"citationItems":[{"id":736,"uris":["http://zotero.org/groups/5078394/items/ZX5DX8GR"],"itemData":{"id":736,"type":"article-journal","abstract":"OBJECTIVE: To investigate the incidence and characteristics of vitamin D deficiency rickets in New Zealand (NZ)., METHODS: Prospective surveillance among paediatricians of Vitamin D Deficiency Rickets was conducted by the New Zealand Paediatric Surveillance Unit (NZPSU) for 36 months, from July 2010 to June 2013, inclusive. Inclusion criteria were: children and adolescents &lt;15 years of age with vitamin D deficiency rickets (defined by low serum 25-hydroxyvitamin D and elevated alkaline phosphatase levels, and/or radiological rickets)., RESULTS: Fifty-eight children with confirmed vitamin D deficiency rickets were identified. Median age was 1.4 (range 0.3-11) years, 47% were male, and 95% of the children were born in NZ; however, the majority of the mothers (68%) were born outside NZ. Overall annual incidence of rickets in children aged &lt;15 years was 2.2/100,000 (95%CI 1.4-3.5); with incidence in those &lt;3 years being 10.5/100,000 (95%CI 6.7-16.6). Skeletal abnormalities, poor growth and motor delay were the most common presenting features, with hypocalcaemic convulsion in 16% of children. Key risk factors identified were: darker skin pigment, Indian and African ethnicity, age &lt;3 years, exclusive breast feeding, and southern latitude, particularly when combined with season (winter/spring). Of the patients reported, none had received appropriate vitamin D supplementation., CONCLUSIONS: Vitamin D deficiency rickets remains a problem for NZ children. Key risk factors remain similar to those identified in the international literature. Preventative targeted vitamin D supplementation, as per existing national guidelines, was lacking in all cases reported., IMPLICATIONS: Vitamin D deficiency rickets is the most significant manifestation of vitamin D deficiency in growing children. To reduce the incidence of this disease among those at high risk, increasing awareness and implementation of current public health policies for targeted maternal, infant and child supplementation are required. Copyright © 2015 Public Health Association of Australia.","archive":"Ovid MEDLINE(R) &lt;2015&gt;","container-title":"Australian and New Zealand journal of public health","DOI":"10.1111/1753-6405.12390","ISSN":"1753-6405 1326-0200","issue":"4","note":"section: Wheeler, Benjamin J. Department of Women's and Children's Health, Dunedin School of Medicine, University of Otago, New Zealand. Wheeler, Benjamin J. Paediatric Endocrinology, Southern District Health Board, New Zealand. Dickson, Nigel P. New Zealand Paediatric Surveillance Unit, Department of Women's and Child Health, Dunedin School of Medicine, University of Otago, New Zealand. Houghton, Lisa A. Department of Human Nutrition, University of Otago, New Zealand. Ward, Leanne M. Department of Pediatrics, University of Ottawa, Canada. Taylor, Barry J. New Zealand Paediatric Surveillance Unit, Department of Women's and Child Health, Dunedin School of Medicine, University of Otago, New Zealand.","page":"380-3","title":"Incidence and characteristics of vitamin D deficiency rickets in New Zealand children: a New Zealand Paediatric Surveillance Unit study","volume":"39","author":[{"family":"Wheeler","given":"Benjamin J."},{"family":"Dickson","given":"Nigel P."},{"family":"Houghton","given":"Lisa A."},{"family":"Ward","given":"Leanne M."},{"family":"Taylor","given":"Barry J."}],"issued":{"date-parts":[["2015"]]}},"label":"page","suppress-author":true}],"schema":"https://github.com/citation-style-language/schema/raw/master/csl-citation.json"} </w:instrText>
      </w:r>
      <w:r w:rsidRPr="000D1893">
        <w:rPr>
          <w:lang w:val="en-NZ"/>
        </w:rPr>
        <w:fldChar w:fldCharType="separate"/>
      </w:r>
      <w:r w:rsidRPr="000D1893">
        <w:rPr>
          <w:lang w:val="en-NZ"/>
        </w:rPr>
        <w:t>(2015)</w:t>
      </w:r>
      <w:r w:rsidRPr="000D1893">
        <w:rPr>
          <w:lang w:val="en-NZ"/>
        </w:rPr>
        <w:fldChar w:fldCharType="end"/>
      </w:r>
      <w:r w:rsidRPr="000D1893">
        <w:rPr>
          <w:lang w:val="en-NZ"/>
        </w:rPr>
        <w:t xml:space="preserve"> identified 58 children with confirmed vitamin D deficiency rickets. The median age was 1.4 years old (range 3 months to 11 years). Overall annual incidence of rickets in children aged under 15 years was 2.2 per 100,000 children (95% CI: 1.4, 3.5); with incidence in those aged under 3 years being 10.5 per 100,000 children (95% CI: 6.7, 16.6). The highest rates were among children living at the highest latitude in the South Island of New Zealand (Otago/Southland). When considering country of birth of the mother, most were born in Africa (24.0 percent) or India (22.4 percent). </w:t>
      </w:r>
    </w:p>
    <w:p w14:paraId="0FD5CC52" w14:textId="77777777" w:rsidR="000D1893" w:rsidRPr="000D1893" w:rsidRDefault="000D1893" w:rsidP="000D1893">
      <w:pPr>
        <w:pStyle w:val="Heading4"/>
      </w:pPr>
      <w:r w:rsidRPr="000D1893">
        <w:t>Bone health</w:t>
      </w:r>
    </w:p>
    <w:p w14:paraId="180C25DB" w14:textId="77777777" w:rsidR="000D1893" w:rsidRPr="000D1893" w:rsidRDefault="000D1893" w:rsidP="000D1893">
      <w:pPr>
        <w:rPr>
          <w:lang w:val="en-NZ"/>
        </w:rPr>
      </w:pPr>
      <w:r w:rsidRPr="000D1893">
        <w:rPr>
          <w:lang w:val="en-NZ"/>
        </w:rPr>
        <w:t xml:space="preserve">The IOM reviewed evidence to update dietary reference intakes (DRIs) for calcium and vitamin D in 2011, incorporating systematic evidence reviews </w:t>
      </w:r>
      <w:r w:rsidRPr="000D1893">
        <w:rPr>
          <w:lang w:val="en-NZ"/>
        </w:rPr>
        <w:fldChar w:fldCharType="begin"/>
      </w:r>
      <w:r w:rsidRPr="000D1893">
        <w:rPr>
          <w:lang w:val="en-NZ"/>
        </w:rPr>
        <w:instrText xml:space="preserve"> ADDIN ZOTERO_ITEM CSL_CITATION {"citationID":"UhLNtCfe","properties":{"formattedCitation":"(Institute of Medicine, 2011)","plainCitation":"(Institute of Medicine, 2011)","noteIndex":0},"citationItems":[{"id":"Ej0KP8LN/G0mvQhR4","uris":["http://zotero.org/users/8039573/items/ADQ3R9I5"],"itemData":{"id":9449,"type":"report","event-place":"Washington, DC","publisher":"The National Academies Press.","publisher-place":"Washington, DC","title":"Dietary Reference Intakes for Calcium and Vitamin D.","URL":"https://doi.org/10.17226/13050.","author":[{"family":"Institute of Medicine","given":""}],"issued":{"date-parts":[["2011"]]}}}],"schema":"https://github.com/citation-style-language/schema/raw/master/csl-citation.json"} </w:instrText>
      </w:r>
      <w:r w:rsidRPr="000D1893">
        <w:rPr>
          <w:lang w:val="en-NZ"/>
        </w:rPr>
        <w:fldChar w:fldCharType="separate"/>
      </w:r>
      <w:r w:rsidRPr="000D1893">
        <w:rPr>
          <w:lang w:val="en-NZ"/>
        </w:rPr>
        <w:t>(Institute of Medicine, 2011)</w:t>
      </w:r>
      <w:r w:rsidRPr="000D1893">
        <w:rPr>
          <w:lang w:val="en-NZ"/>
        </w:rPr>
        <w:fldChar w:fldCharType="end"/>
      </w:r>
      <w:r w:rsidRPr="000D1893">
        <w:rPr>
          <w:lang w:val="en-NZ"/>
        </w:rPr>
        <w:t xml:space="preserve">. The report stated that the risk of rickets increases below a serum 25(OH)D level of 30 nanomoles per litre and is minimal when serum 25(OH)D levels are between 30 and 50 nanomoles per litre (when calcium intakes are also adequate). For infants aged to 12 months, the IOM found that maintaining serum 25(OH)D levels above 30 and closer to 50 nanomoles per litre appears sufficient for most infants to maintain normal bone accretion. They found evidence to support the following vitamin D intakes for bone health, shown in Table 3 below. </w:t>
      </w:r>
    </w:p>
    <w:p w14:paraId="050F6E45" w14:textId="202FA35E" w:rsidR="00D62250" w:rsidRDefault="002B0407" w:rsidP="002B0407">
      <w:pPr>
        <w:pStyle w:val="Bold"/>
      </w:pPr>
      <w:r>
        <w:t xml:space="preserve">Table </w:t>
      </w:r>
      <w:r>
        <w:fldChar w:fldCharType="begin"/>
      </w:r>
      <w:r>
        <w:instrText xml:space="preserve"> SEQ Table \* ARABIC </w:instrText>
      </w:r>
      <w:r>
        <w:fldChar w:fldCharType="separate"/>
      </w:r>
      <w:r>
        <w:rPr>
          <w:noProof/>
        </w:rPr>
        <w:t>3</w:t>
      </w:r>
      <w:r>
        <w:fldChar w:fldCharType="end"/>
      </w:r>
      <w:r>
        <w:t xml:space="preserve">: Vitamin D dietary reference intake for infants, children aged 1-3 years, </w:t>
      </w:r>
      <w:proofErr w:type="gramStart"/>
      <w:r>
        <w:t>pregnancy</w:t>
      </w:r>
      <w:proofErr w:type="gramEnd"/>
      <w:r>
        <w:t xml:space="preserve"> and breastfeeding (IU per day) – adapted from IOM, 2011</w:t>
      </w:r>
    </w:p>
    <w:tbl>
      <w:tblPr>
        <w:tblStyle w:val="TableGrid"/>
        <w:tblW w:w="0" w:type="auto"/>
        <w:tblLayout w:type="fixed"/>
        <w:tblLook w:val="01E0" w:firstRow="1" w:lastRow="1" w:firstColumn="1" w:lastColumn="1" w:noHBand="0" w:noVBand="0"/>
      </w:tblPr>
      <w:tblGrid>
        <w:gridCol w:w="1843"/>
        <w:gridCol w:w="1701"/>
        <w:gridCol w:w="1701"/>
        <w:gridCol w:w="1701"/>
        <w:gridCol w:w="1569"/>
      </w:tblGrid>
      <w:tr w:rsidR="00A511F3" w:rsidRPr="00A511F3" w14:paraId="17373F9B" w14:textId="77777777" w:rsidTr="00A511F3">
        <w:trPr>
          <w:cnfStyle w:val="100000000000" w:firstRow="1" w:lastRow="0" w:firstColumn="0" w:lastColumn="0" w:oddVBand="0" w:evenVBand="0" w:oddHBand="0" w:evenHBand="0" w:firstRowFirstColumn="0" w:firstRowLastColumn="0" w:lastRowFirstColumn="0" w:lastRowLastColumn="0"/>
          <w:trHeight w:val="1420"/>
        </w:trPr>
        <w:tc>
          <w:tcPr>
            <w:tcW w:w="1843" w:type="dxa"/>
          </w:tcPr>
          <w:p w14:paraId="3703346E" w14:textId="77777777" w:rsidR="00A511F3" w:rsidRPr="00A511F3" w:rsidRDefault="00A511F3" w:rsidP="00A511F3">
            <w:pPr>
              <w:spacing w:before="0" w:after="160"/>
              <w:rPr>
                <w:sz w:val="22"/>
                <w:szCs w:val="24"/>
                <w:lang w:val="en-NZ"/>
              </w:rPr>
            </w:pPr>
            <w:r w:rsidRPr="00A511F3">
              <w:rPr>
                <w:sz w:val="22"/>
                <w:szCs w:val="24"/>
                <w:lang w:val="en-NZ"/>
              </w:rPr>
              <w:t>Life stage/age</w:t>
            </w:r>
          </w:p>
        </w:tc>
        <w:tc>
          <w:tcPr>
            <w:tcW w:w="1701" w:type="dxa"/>
          </w:tcPr>
          <w:p w14:paraId="10FF42A5" w14:textId="77777777" w:rsidR="00A511F3" w:rsidRPr="00A511F3" w:rsidRDefault="00A511F3" w:rsidP="00A511F3">
            <w:pPr>
              <w:spacing w:before="0" w:after="160"/>
              <w:rPr>
                <w:sz w:val="22"/>
                <w:szCs w:val="24"/>
                <w:lang w:val="en-NZ"/>
              </w:rPr>
            </w:pPr>
            <w:r w:rsidRPr="00A511F3">
              <w:rPr>
                <w:sz w:val="22"/>
                <w:szCs w:val="24"/>
                <w:lang w:val="en-NZ"/>
              </w:rPr>
              <w:t xml:space="preserve">Adequate Intake </w:t>
            </w:r>
          </w:p>
        </w:tc>
        <w:tc>
          <w:tcPr>
            <w:tcW w:w="1701" w:type="dxa"/>
          </w:tcPr>
          <w:p w14:paraId="2BAC6FE3" w14:textId="77777777" w:rsidR="00A511F3" w:rsidRPr="00A511F3" w:rsidRDefault="00A511F3" w:rsidP="00A511F3">
            <w:pPr>
              <w:spacing w:before="0" w:after="160"/>
              <w:rPr>
                <w:sz w:val="22"/>
                <w:szCs w:val="24"/>
                <w:lang w:val="en-NZ"/>
              </w:rPr>
            </w:pPr>
            <w:r w:rsidRPr="00A511F3">
              <w:rPr>
                <w:sz w:val="22"/>
                <w:szCs w:val="24"/>
                <w:lang w:val="en-NZ"/>
              </w:rPr>
              <w:t xml:space="preserve">Estimated Adequate Intake </w:t>
            </w:r>
          </w:p>
        </w:tc>
        <w:tc>
          <w:tcPr>
            <w:tcW w:w="1701" w:type="dxa"/>
          </w:tcPr>
          <w:p w14:paraId="114D16EF" w14:textId="77777777" w:rsidR="00A511F3" w:rsidRPr="00A511F3" w:rsidRDefault="00A511F3" w:rsidP="00A511F3">
            <w:pPr>
              <w:spacing w:before="0" w:after="160"/>
              <w:rPr>
                <w:sz w:val="22"/>
                <w:szCs w:val="24"/>
                <w:lang w:val="en-NZ"/>
              </w:rPr>
            </w:pPr>
            <w:r w:rsidRPr="00A511F3">
              <w:rPr>
                <w:sz w:val="22"/>
                <w:szCs w:val="24"/>
                <w:lang w:val="en-NZ"/>
              </w:rPr>
              <w:t xml:space="preserve">Recommended Dietary Allowance </w:t>
            </w:r>
          </w:p>
        </w:tc>
        <w:tc>
          <w:tcPr>
            <w:tcW w:w="1569" w:type="dxa"/>
          </w:tcPr>
          <w:p w14:paraId="55757C88" w14:textId="77777777" w:rsidR="00A511F3" w:rsidRPr="00A511F3" w:rsidRDefault="00A511F3" w:rsidP="00A511F3">
            <w:pPr>
              <w:spacing w:before="0" w:after="160"/>
              <w:rPr>
                <w:sz w:val="22"/>
                <w:szCs w:val="24"/>
                <w:lang w:val="en-NZ"/>
              </w:rPr>
            </w:pPr>
            <w:r w:rsidRPr="00A511F3">
              <w:rPr>
                <w:sz w:val="22"/>
                <w:szCs w:val="24"/>
                <w:lang w:val="en-NZ"/>
              </w:rPr>
              <w:t xml:space="preserve">Tolerable Upper Intake level </w:t>
            </w:r>
          </w:p>
        </w:tc>
      </w:tr>
      <w:tr w:rsidR="00A511F3" w:rsidRPr="00A511F3" w14:paraId="07929DA6" w14:textId="77777777" w:rsidTr="00A511F3">
        <w:trPr>
          <w:trHeight w:val="1226"/>
        </w:trPr>
        <w:tc>
          <w:tcPr>
            <w:tcW w:w="1843" w:type="dxa"/>
          </w:tcPr>
          <w:p w14:paraId="3D8FDAC0" w14:textId="77777777" w:rsidR="00A511F3" w:rsidRPr="00A511F3" w:rsidRDefault="00A511F3" w:rsidP="00A511F3">
            <w:pPr>
              <w:spacing w:before="0" w:after="160"/>
              <w:rPr>
                <w:b/>
                <w:sz w:val="22"/>
                <w:szCs w:val="24"/>
                <w:lang w:val="en-NZ"/>
              </w:rPr>
            </w:pPr>
            <w:r w:rsidRPr="00A511F3">
              <w:rPr>
                <w:b/>
                <w:sz w:val="22"/>
                <w:szCs w:val="24"/>
                <w:lang w:val="en-NZ"/>
              </w:rPr>
              <w:t>Infants 0-12 months</w:t>
            </w:r>
          </w:p>
        </w:tc>
        <w:tc>
          <w:tcPr>
            <w:tcW w:w="1701" w:type="dxa"/>
          </w:tcPr>
          <w:p w14:paraId="52C7CF7D" w14:textId="77777777" w:rsidR="00A511F3" w:rsidRPr="00A511F3" w:rsidRDefault="00A511F3" w:rsidP="00A511F3">
            <w:pPr>
              <w:spacing w:before="0" w:after="160"/>
              <w:rPr>
                <w:sz w:val="22"/>
                <w:szCs w:val="24"/>
                <w:lang w:val="en-NZ"/>
              </w:rPr>
            </w:pPr>
            <w:r w:rsidRPr="00A511F3">
              <w:rPr>
                <w:sz w:val="22"/>
                <w:szCs w:val="24"/>
                <w:lang w:val="en-NZ"/>
              </w:rPr>
              <w:t>400 IU</w:t>
            </w:r>
          </w:p>
        </w:tc>
        <w:tc>
          <w:tcPr>
            <w:tcW w:w="1701" w:type="dxa"/>
          </w:tcPr>
          <w:p w14:paraId="566FE326" w14:textId="77777777" w:rsidR="00A511F3" w:rsidRPr="00A511F3" w:rsidRDefault="00A511F3" w:rsidP="00A511F3">
            <w:pPr>
              <w:spacing w:before="0" w:after="160"/>
              <w:rPr>
                <w:sz w:val="22"/>
                <w:szCs w:val="24"/>
                <w:lang w:val="en-NZ"/>
              </w:rPr>
            </w:pPr>
            <w:r w:rsidRPr="00A511F3">
              <w:rPr>
                <w:sz w:val="22"/>
                <w:szCs w:val="24"/>
                <w:lang w:val="en-NZ"/>
              </w:rPr>
              <w:t>-</w:t>
            </w:r>
          </w:p>
        </w:tc>
        <w:tc>
          <w:tcPr>
            <w:tcW w:w="1701" w:type="dxa"/>
          </w:tcPr>
          <w:p w14:paraId="1D6A027F" w14:textId="77777777" w:rsidR="00A511F3" w:rsidRPr="00A511F3" w:rsidRDefault="00A511F3" w:rsidP="00A511F3">
            <w:pPr>
              <w:spacing w:before="0" w:after="160"/>
              <w:rPr>
                <w:sz w:val="22"/>
                <w:szCs w:val="24"/>
                <w:lang w:val="en-NZ"/>
              </w:rPr>
            </w:pPr>
            <w:r w:rsidRPr="00A511F3">
              <w:rPr>
                <w:sz w:val="22"/>
                <w:szCs w:val="24"/>
                <w:lang w:val="en-NZ"/>
              </w:rPr>
              <w:t>-</w:t>
            </w:r>
          </w:p>
        </w:tc>
        <w:tc>
          <w:tcPr>
            <w:tcW w:w="1569" w:type="dxa"/>
          </w:tcPr>
          <w:p w14:paraId="06EE85E0" w14:textId="77777777" w:rsidR="00A511F3" w:rsidRPr="00A511F3" w:rsidRDefault="00A511F3" w:rsidP="00A511F3">
            <w:pPr>
              <w:spacing w:before="0" w:after="160"/>
              <w:rPr>
                <w:sz w:val="22"/>
                <w:szCs w:val="24"/>
                <w:lang w:val="en-NZ"/>
              </w:rPr>
            </w:pPr>
            <w:r w:rsidRPr="00A511F3">
              <w:rPr>
                <w:sz w:val="22"/>
                <w:szCs w:val="24"/>
                <w:lang w:val="en-NZ"/>
              </w:rPr>
              <w:t>1,000 IU</w:t>
            </w:r>
          </w:p>
        </w:tc>
      </w:tr>
      <w:tr w:rsidR="00A511F3" w:rsidRPr="00A511F3" w14:paraId="1594DA9A" w14:textId="77777777" w:rsidTr="00A511F3">
        <w:trPr>
          <w:trHeight w:val="776"/>
        </w:trPr>
        <w:tc>
          <w:tcPr>
            <w:tcW w:w="1843" w:type="dxa"/>
          </w:tcPr>
          <w:p w14:paraId="1EB6906B" w14:textId="77777777" w:rsidR="00A511F3" w:rsidRPr="00A511F3" w:rsidRDefault="00A511F3" w:rsidP="00A511F3">
            <w:pPr>
              <w:spacing w:before="0" w:after="160"/>
              <w:rPr>
                <w:b/>
                <w:sz w:val="22"/>
                <w:szCs w:val="24"/>
                <w:lang w:val="en-NZ"/>
              </w:rPr>
            </w:pPr>
            <w:r w:rsidRPr="00A511F3">
              <w:rPr>
                <w:b/>
                <w:sz w:val="22"/>
                <w:szCs w:val="24"/>
                <w:lang w:val="en-NZ"/>
              </w:rPr>
              <w:t>Children 1-3 years</w:t>
            </w:r>
          </w:p>
        </w:tc>
        <w:tc>
          <w:tcPr>
            <w:tcW w:w="1701" w:type="dxa"/>
          </w:tcPr>
          <w:p w14:paraId="5CCF2BAA" w14:textId="77777777" w:rsidR="00A511F3" w:rsidRPr="00A511F3" w:rsidRDefault="00A511F3" w:rsidP="00A511F3">
            <w:pPr>
              <w:spacing w:before="0" w:after="160"/>
              <w:rPr>
                <w:sz w:val="22"/>
                <w:szCs w:val="24"/>
                <w:lang w:val="en-NZ"/>
              </w:rPr>
            </w:pPr>
            <w:r w:rsidRPr="00A511F3">
              <w:rPr>
                <w:sz w:val="22"/>
                <w:szCs w:val="24"/>
                <w:lang w:val="en-NZ"/>
              </w:rPr>
              <w:t>-</w:t>
            </w:r>
          </w:p>
        </w:tc>
        <w:tc>
          <w:tcPr>
            <w:tcW w:w="1701" w:type="dxa"/>
          </w:tcPr>
          <w:p w14:paraId="12CB0DF3" w14:textId="77777777" w:rsidR="00A511F3" w:rsidRPr="00A511F3" w:rsidRDefault="00A511F3" w:rsidP="00A511F3">
            <w:pPr>
              <w:spacing w:before="0" w:after="160"/>
              <w:rPr>
                <w:sz w:val="22"/>
                <w:szCs w:val="24"/>
                <w:lang w:val="en-NZ"/>
              </w:rPr>
            </w:pPr>
            <w:r w:rsidRPr="00A511F3">
              <w:rPr>
                <w:sz w:val="22"/>
                <w:szCs w:val="24"/>
                <w:lang w:val="en-NZ"/>
              </w:rPr>
              <w:t>400 IU</w:t>
            </w:r>
          </w:p>
        </w:tc>
        <w:tc>
          <w:tcPr>
            <w:tcW w:w="1701" w:type="dxa"/>
          </w:tcPr>
          <w:p w14:paraId="12E2DA0E" w14:textId="77777777" w:rsidR="00A511F3" w:rsidRPr="00A511F3" w:rsidRDefault="00A511F3" w:rsidP="00A511F3">
            <w:pPr>
              <w:spacing w:before="0" w:after="160"/>
              <w:rPr>
                <w:sz w:val="22"/>
                <w:szCs w:val="24"/>
                <w:lang w:val="en-NZ"/>
              </w:rPr>
            </w:pPr>
            <w:r w:rsidRPr="00A511F3">
              <w:rPr>
                <w:sz w:val="22"/>
                <w:szCs w:val="24"/>
                <w:lang w:val="en-NZ"/>
              </w:rPr>
              <w:t>600 IU</w:t>
            </w:r>
          </w:p>
        </w:tc>
        <w:tc>
          <w:tcPr>
            <w:tcW w:w="1569" w:type="dxa"/>
          </w:tcPr>
          <w:p w14:paraId="23D3F619" w14:textId="77777777" w:rsidR="00A511F3" w:rsidRPr="00A511F3" w:rsidRDefault="00A511F3" w:rsidP="00A511F3">
            <w:pPr>
              <w:spacing w:before="0" w:after="160"/>
              <w:rPr>
                <w:sz w:val="22"/>
                <w:szCs w:val="24"/>
                <w:lang w:val="en-NZ"/>
              </w:rPr>
            </w:pPr>
            <w:r w:rsidRPr="00A511F3">
              <w:rPr>
                <w:sz w:val="22"/>
                <w:szCs w:val="24"/>
                <w:lang w:val="en-NZ"/>
              </w:rPr>
              <w:t>2,500 IU</w:t>
            </w:r>
          </w:p>
        </w:tc>
      </w:tr>
      <w:tr w:rsidR="00A511F3" w:rsidRPr="00A511F3" w14:paraId="6BF72AE8" w14:textId="77777777" w:rsidTr="00A511F3">
        <w:trPr>
          <w:trHeight w:val="776"/>
        </w:trPr>
        <w:tc>
          <w:tcPr>
            <w:tcW w:w="1843" w:type="dxa"/>
          </w:tcPr>
          <w:p w14:paraId="0A92FE4C" w14:textId="77777777" w:rsidR="00A511F3" w:rsidRPr="00A511F3" w:rsidRDefault="00A511F3" w:rsidP="00A511F3">
            <w:pPr>
              <w:spacing w:before="0" w:after="160"/>
              <w:rPr>
                <w:b/>
                <w:sz w:val="22"/>
                <w:szCs w:val="24"/>
                <w:lang w:val="en-NZ"/>
              </w:rPr>
            </w:pPr>
            <w:r w:rsidRPr="00A511F3">
              <w:rPr>
                <w:b/>
                <w:sz w:val="22"/>
                <w:szCs w:val="24"/>
                <w:lang w:val="en-NZ"/>
              </w:rPr>
              <w:t>Pregnancy and breastfeeding</w:t>
            </w:r>
          </w:p>
        </w:tc>
        <w:tc>
          <w:tcPr>
            <w:tcW w:w="1701" w:type="dxa"/>
          </w:tcPr>
          <w:p w14:paraId="44324D80" w14:textId="77777777" w:rsidR="00A511F3" w:rsidRPr="00A511F3" w:rsidRDefault="00A511F3" w:rsidP="00A511F3">
            <w:pPr>
              <w:spacing w:before="0" w:after="160"/>
              <w:rPr>
                <w:sz w:val="22"/>
                <w:szCs w:val="24"/>
                <w:lang w:val="en-NZ"/>
              </w:rPr>
            </w:pPr>
            <w:r w:rsidRPr="00A511F3">
              <w:rPr>
                <w:sz w:val="22"/>
                <w:szCs w:val="24"/>
                <w:lang w:val="en-NZ"/>
              </w:rPr>
              <w:t>-</w:t>
            </w:r>
          </w:p>
        </w:tc>
        <w:tc>
          <w:tcPr>
            <w:tcW w:w="1701" w:type="dxa"/>
          </w:tcPr>
          <w:p w14:paraId="58D40190" w14:textId="77777777" w:rsidR="00A511F3" w:rsidRPr="00A511F3" w:rsidRDefault="00A511F3" w:rsidP="00A511F3">
            <w:pPr>
              <w:spacing w:before="0" w:after="160"/>
              <w:rPr>
                <w:sz w:val="22"/>
                <w:szCs w:val="24"/>
                <w:lang w:val="en-NZ"/>
              </w:rPr>
            </w:pPr>
            <w:r w:rsidRPr="00A511F3">
              <w:rPr>
                <w:sz w:val="22"/>
                <w:szCs w:val="24"/>
                <w:lang w:val="en-NZ"/>
              </w:rPr>
              <w:t>400 IU</w:t>
            </w:r>
          </w:p>
        </w:tc>
        <w:tc>
          <w:tcPr>
            <w:tcW w:w="1701" w:type="dxa"/>
          </w:tcPr>
          <w:p w14:paraId="584CD7E3" w14:textId="77777777" w:rsidR="00A511F3" w:rsidRPr="00A511F3" w:rsidRDefault="00A511F3" w:rsidP="00A511F3">
            <w:pPr>
              <w:spacing w:before="0" w:after="160"/>
              <w:rPr>
                <w:sz w:val="22"/>
                <w:szCs w:val="24"/>
                <w:lang w:val="en-NZ"/>
              </w:rPr>
            </w:pPr>
            <w:r w:rsidRPr="00A511F3">
              <w:rPr>
                <w:sz w:val="22"/>
                <w:szCs w:val="24"/>
                <w:lang w:val="en-NZ"/>
              </w:rPr>
              <w:t>600 IU</w:t>
            </w:r>
          </w:p>
        </w:tc>
        <w:tc>
          <w:tcPr>
            <w:tcW w:w="1569" w:type="dxa"/>
          </w:tcPr>
          <w:p w14:paraId="170312DB" w14:textId="77777777" w:rsidR="00A511F3" w:rsidRPr="00A511F3" w:rsidRDefault="00A511F3" w:rsidP="00A511F3">
            <w:pPr>
              <w:spacing w:before="0" w:after="160"/>
              <w:rPr>
                <w:sz w:val="22"/>
                <w:szCs w:val="24"/>
                <w:lang w:val="en-NZ"/>
              </w:rPr>
            </w:pPr>
            <w:r w:rsidRPr="00A511F3">
              <w:rPr>
                <w:sz w:val="22"/>
                <w:szCs w:val="24"/>
                <w:lang w:val="en-NZ"/>
              </w:rPr>
              <w:t>4,000 IU</w:t>
            </w:r>
          </w:p>
        </w:tc>
      </w:tr>
    </w:tbl>
    <w:p w14:paraId="7E25ACC1" w14:textId="4F8E6745" w:rsidR="002B0407" w:rsidRDefault="00882571" w:rsidP="002B0407">
      <w:pPr>
        <w:rPr>
          <w:lang w:val="en-NZ"/>
        </w:rPr>
      </w:pPr>
      <w:r w:rsidRPr="00882571">
        <w:rPr>
          <w:lang w:val="en-NZ"/>
        </w:rPr>
        <w:t>Abbreviations: IU = International Units</w:t>
      </w:r>
    </w:p>
    <w:p w14:paraId="058C7A73" w14:textId="77777777" w:rsidR="008E165C" w:rsidRPr="008E165C" w:rsidRDefault="008E165C" w:rsidP="008E165C">
      <w:pPr>
        <w:pStyle w:val="Heading4"/>
      </w:pPr>
      <w:r w:rsidRPr="008E165C">
        <w:lastRenderedPageBreak/>
        <w:t>Low birth weight (under 2,500 grams)</w:t>
      </w:r>
    </w:p>
    <w:p w14:paraId="79423E8D" w14:textId="77777777" w:rsidR="008E165C" w:rsidRPr="008E165C" w:rsidRDefault="008E165C" w:rsidP="008E165C">
      <w:pPr>
        <w:rPr>
          <w:lang w:val="en-NZ"/>
        </w:rPr>
      </w:pPr>
      <w:r w:rsidRPr="008E165C">
        <w:rPr>
          <w:lang w:val="en-NZ"/>
        </w:rPr>
        <w:t xml:space="preserve">Observational evidence suggests maternal vitamin D insufficiency/deficiency may be associated with an increased risk of low birth weight in infants. A 2021 systematic review and meta-analysis investigated the relationship between maternal vitamin D deficiency during pregnancy defined as 50 nanomoles per litre (20 nanograms per millilitre) and low birth weight (below 2,500 grams). Maternal vitamin D deficiency was consistently correlated with an increased risk of low birth weight. When compared with normal serum levels of vitamin D (more than 50 nanomoles per litre), maternal vitamin D deficiency had an increased risk of low birth weight (OR=2.39; 95%CI: 1.25, 4.57; p=.008). Similar results were found in the comparison of the mean: the total mean birth weight decreased by 0.08 kg (95%CI: -0.10, -0.06; p&lt;.001) </w:t>
      </w:r>
      <w:r w:rsidRPr="008E165C">
        <w:rPr>
          <w:lang w:val="en-NZ"/>
        </w:rPr>
        <w:fldChar w:fldCharType="begin"/>
      </w:r>
      <w:r w:rsidRPr="008E165C">
        <w:rPr>
          <w:lang w:val="en-NZ"/>
        </w:rPr>
        <w:instrText xml:space="preserve"> ADDIN ZOTERO_ITEM CSL_CITATION {"citationID":"cOtJM5Zw","properties":{"formattedCitation":"(Fang et al., 2021)","plainCitation":"(Fang et al., 2021)","noteIndex":0},"citationItems":[{"id":809,"uris":["http://zotero.org/groups/5078394/items/GH8PPULY"],"itemData":{"id":809,"type":"article-journal","abstract":"OBJECTIVE: The object of the present study was to estimate the relationship between maternal vitamin D deficiency during pregnancy and low birth weight by systematically review prevalence studies., METHODS: We collected data from relevant studies published up to April 2019 using predefined inclusion/exclusion criteria. And all the studies were searched in PubMed, Embase, Cochrane Library, and Web of Science., RESULTS: A total of 16 studies met the criteria and were included in the meta-analysis. When compared with normal serum levels of vitamin D, the maternal vitamin D deficiency had an increased risk of low birth weight (OR = 2.39; 95%CI 1.25-4.57; p = .008), and same results were found in the comparison of the mean (the total mean birth weight decreased by 0.08 kg; 95%CI -0.10 to -0.06; p &lt; .001)., CONCLUSION: The evidence from this meta-analysis indicates a consistent association between vitamin D deficiency during pregnancy and an increased risk of low birth weight, and preventing maternal vitamin D deficiency may be an important public health strategy to help decrease the risk of low birth weight.","archive":"Ovid MEDLINE(R) &lt;2021&gt;","container-title":"The journal of maternal-fetal &amp; neonatal medicine : the official journal of the European Association of Perinatal Medicine, the Federation of Asia and Oceania Perinatal Societies, the International Society of Perinatal Obstetricians","DOI":"10.1080/14767058.2019.1623780","ISSN":"1476-4954","issue":"7","note":"section: Fang, Kehong. Chinese Center for Disease Control and Prevention, National Institute for Nutrition and Health, Beijing, China. He, Yuna. Chinese Center for Disease Control and Prevention, National Institute for Nutrition and Health, Beijing, China. Mu, Min. College of Medicine, Anhui University of Science and Technology Huainan, China. Liu, Kai. Chinese Center for Disease Control and Prevention, National Institute of Occupation Health an Poison Control, Beijing, China.","page":"1167-1173","title":"Maternal vitamin D deficiency during pregnancy and low birth weight: a systematic review and meta-analysis","volume":"34","author":[{"family":"Fang","given":"Kehong"},{"family":"He","given":"Yuna"},{"family":"Mu","given":"Min"},{"family":"Liu","given":"Kai"}],"issued":{"date-parts":[["2021"]]}}}],"schema":"https://github.com/citation-style-language/schema/raw/master/csl-citation.json"} </w:instrText>
      </w:r>
      <w:r w:rsidRPr="008E165C">
        <w:rPr>
          <w:lang w:val="en-NZ"/>
        </w:rPr>
        <w:fldChar w:fldCharType="separate"/>
      </w:r>
      <w:r w:rsidRPr="008E165C">
        <w:rPr>
          <w:lang w:val="en-NZ"/>
        </w:rPr>
        <w:t>(Fang et al., 2021)</w:t>
      </w:r>
      <w:r w:rsidRPr="008E165C">
        <w:rPr>
          <w:lang w:val="en-NZ"/>
        </w:rPr>
        <w:fldChar w:fldCharType="end"/>
      </w:r>
      <w:r w:rsidRPr="008E165C">
        <w:rPr>
          <w:lang w:val="en-NZ"/>
        </w:rPr>
        <w:t>. This finding had high heterogeneity of 81 percent showing variation in individual study effect sizes among the included studies.</w:t>
      </w:r>
    </w:p>
    <w:p w14:paraId="7D66B0F0" w14:textId="77777777" w:rsidR="008E165C" w:rsidRPr="008E165C" w:rsidRDefault="008E165C" w:rsidP="008E165C">
      <w:pPr>
        <w:rPr>
          <w:lang w:val="en-NZ"/>
        </w:rPr>
      </w:pPr>
      <w:r w:rsidRPr="008E165C">
        <w:rPr>
          <w:lang w:val="en-NZ"/>
        </w:rPr>
        <w:t xml:space="preserve">A 2021 Western Australian cohort study assessed the effect of maternal vitamin D levels during the second trimester on the risk for GDM, pregnancy and infant outcomes including type of birth, gestational age at birth, and birth weight. A total of 890 pregnant women had vitamin D status measured at 18 weeks gestation and were grouped into serum vitamin D quartiles (25(OH)D &lt; 30, 30 to 49, 50 to 79 and &gt; 78 nanomoles per litre). Maternal vitamin D status may be positively associated with infant birth weight, (r = 0.10; p=.003), body length (r = 0.10; p=.005), and head circumference (r = 0.10; p=.007) of the infant </w:t>
      </w:r>
      <w:r w:rsidRPr="008E165C">
        <w:rPr>
          <w:lang w:val="en-NZ"/>
        </w:rPr>
        <w:fldChar w:fldCharType="begin"/>
      </w:r>
      <w:r w:rsidRPr="008E165C">
        <w:rPr>
          <w:lang w:val="en-NZ"/>
        </w:rPr>
        <w:instrText xml:space="preserve"> ADDIN ZOTERO_ITEM CSL_CITATION {"citationID":"YNGHylBq","properties":{"formattedCitation":"(Mosavat et al., 2021)","plainCitation":"(Mosavat et al., 2021)","noteIndex":0},"citationItems":[{"id":807,"uris":["http://zotero.org/groups/5078394/items/UP3B338C"],"itemData":{"id":807,"type":"article-journal","abstract":"AIMS: To assess the effect of maternal serum 25(OH)-vitamin D levels during the second trimester of pregnancy on the risk for gestational diabetes (GDM), pregnancy and infantile outcomes., METHODS: This study is based on the Western Australian Pregnancy Cohort (Raine) study. Maternal serum 25(OH)-vitamin D concentrations of 890 pregnant women were evaluated at 18 weeks pregnancy and grouped into serum Vitamin D quartiles (&gt;30, 30-49, 50-74 and &gt;75 nmol/L)., RESULTS: Participants with de-seasonalized 25 (OH)-vitamin D levels &lt;30 nmol/L were more likely to develop GDM, but not after controlling for ethnicity. Women with high body mass index (BMI) &gt;30 were at a greater risk of developing GDM. Additionally, women with GDM were at a greater risk of primary caesarean delivery. Maternal serum levels of 25(OH)-vitamin D were positively associated with birth weight, body length and head circumference of the neonate., CONCLUSION: Low maternal serum levels of 25(OH)-vitamin D are associated with GDM gestational diabetes, and race/ethnicity may modify this relationship. High pre-gestational BMI may predict GDM risk. GDM in pregnancy may increase the risk for delivery by caesarean section. Maternal 25(OH)-vitamin D is associated with anthropometric measures of the neonate. Copyright © 2021 Elsevier B.V. All rights reserved.","archive":"Ovid MEDLINE(R) &lt;2021&gt;","container-title":"Diabetes research and clinical practice","DOI":"10.1016/j.diabres.2021.108779","ISSN":"1872-8227 0168-8227","note":"section: Mosavat, Maryam. School of Nursing and Midwifery, Edith Cowan University, Joondalup Campus, Perth, Western Australia, Australia. Electronic address: m.mosavat@ecu.edu.au. Arabiat, Diana. School of Nursing and Midwifery, Edith Cowan University, Joondalup Campus, Perth, Western Australia, Australia; Maternal and Child Nursing Department, The University of Jordan, Amman, Jordan. Smyth, Aisling. School of Nursing and Midwifery, Edith Cowan University, Joondalup Campus, Perth, Western Australia, Australia. Newnham, John. Obstetrics and Gynaecology Division, The University of Western Australia, Perth, Western Australia, Australia. Whitehead, Lisa. School of Nursing and Midwifery, Edith Cowan University, Joondalup Campus, Perth, Western Australia, Australia.","page":"108779","title":"Second-trimester maternal serum vitamin D and pregnancy outcome: The Western Australian Raine cohort study","volume":"175","author":[{"family":"Mosavat","given":"Maryam"},{"family":"Arabiat","given":"Diana"},{"family":"Smyth","given":"Aisling"},{"family":"Newnham","given":"John"},{"family":"Whitehead","given":"Lisa"}],"issued":{"date-parts":[["2021"]]}}}],"schema":"https://github.com/citation-style-language/schema/raw/master/csl-citation.json"} </w:instrText>
      </w:r>
      <w:r w:rsidRPr="008E165C">
        <w:rPr>
          <w:lang w:val="en-NZ"/>
        </w:rPr>
        <w:fldChar w:fldCharType="separate"/>
      </w:r>
      <w:r w:rsidRPr="008E165C">
        <w:rPr>
          <w:lang w:val="en-NZ"/>
        </w:rPr>
        <w:t>(Mosavat et al., 2021)</w:t>
      </w:r>
      <w:r w:rsidRPr="008E165C">
        <w:rPr>
          <w:lang w:val="en-NZ"/>
        </w:rPr>
        <w:fldChar w:fldCharType="end"/>
      </w:r>
      <w:r w:rsidRPr="008E165C">
        <w:rPr>
          <w:lang w:val="en-NZ"/>
        </w:rPr>
        <w:t>. Despite reporting an association with birthweight, using binary logistic regression, no association was found between maternal vitamin D and the risk for low birth weight (under 2,500 grams).</w:t>
      </w:r>
    </w:p>
    <w:p w14:paraId="679EE1FE" w14:textId="77777777" w:rsidR="008E165C" w:rsidRPr="008E165C" w:rsidRDefault="008E165C" w:rsidP="008E165C">
      <w:pPr>
        <w:pStyle w:val="Heading4"/>
      </w:pPr>
      <w:r w:rsidRPr="008E165C">
        <w:t>Dental caries</w:t>
      </w:r>
    </w:p>
    <w:p w14:paraId="5550C263" w14:textId="77777777" w:rsidR="008E165C" w:rsidRPr="008E165C" w:rsidRDefault="008E165C" w:rsidP="008E165C">
      <w:pPr>
        <w:rPr>
          <w:lang w:val="en-NZ"/>
        </w:rPr>
      </w:pPr>
      <w:r w:rsidRPr="008E165C">
        <w:rPr>
          <w:lang w:val="en-NZ"/>
        </w:rPr>
        <w:t xml:space="preserve">Dental enamel is the most mineralised tissue in the human body, with calcium and phosphate identified as important for enamel mineralisation during early tooth development. As with bone, vitamin D deficiency can induce defective tooth mineralisation, resulting in dentin and enamel defects which may increase the risk of the onset and progression of dental caries </w:t>
      </w:r>
      <w:r w:rsidRPr="008E165C">
        <w:rPr>
          <w:lang w:val="en-NZ"/>
        </w:rPr>
        <w:fldChar w:fldCharType="begin"/>
      </w:r>
      <w:r w:rsidRPr="008E165C">
        <w:rPr>
          <w:lang w:val="en-NZ"/>
        </w:rPr>
        <w:instrText xml:space="preserve"> ADDIN ZOTERO_ITEM CSL_CITATION {"citationID":"XFFQ4jNr","properties":{"formattedCitation":"(Beckett et al., 2022)","plainCitation":"(Beckett et al., 2022)","noteIndex":0},"citationItems":[{"id":810,"uris":["http://zotero.org/groups/5078394/items/CW45I5B5"],"itemData":{"id":810,"type":"article-journal","abstract":"Vitamin D (25OHD) status during pregnancy is closely correlated with foetal and new-born 25OHD. Calcification for primary teeth begins from the fourth month of intrauterine life and from birth for permanent teeth. Dental consequences of severe 25OHD deficiency are well documented; however, consequences are less documented for milder degrees of 25OHD deficiency. This study examined the dental consequences of vitamin D deficiency/insufficiency during gestation and infancy in a cohort of 81 New Zealand children. Pregnancy and birth data for the children and their mothers and 25OHD status during gestation, birth and at five months were obtained, and dental examinations were conducted. Associations between 25OHD and enamel defects or caries experience were investigated. Of the 81 children, 55% had experienced dental caries and 64% had at least one enamel defect present. Vitamin D insufficiency (25OHD &amp;lt; 50 nmol/L) at all timepoints was not associated with enamel defect prevalence, but during third trimester pregnancy it was associated with an increased caries risk IRR of 3.55 (CI 1.15&amp;ndash;10.92) by age 6. In conclusion, maternal 25OHD insufficiency during the third trimester of pregnancy was associated with greater caries experience in primary dentition. No association was found between early life 25OHD and enamel defect prevalence or severity.","container-title":"International Journal of Environmental Research and Public Health","DOI":"10.3390/ijerph19041932","ISSN":"1660-4601","issue":"4","title":"Dental Consequences of Vitamin D Deficiency during Pregnancy and Early Infancy—An Observational Study","volume":"19","author":[{"family":"Beckett","given":"Deanna M."},{"family":"Broadbent","given":"Jonathan M."},{"family":"Loch","given":"Carolina"},{"family":"Mahoney","given":"Erin K."},{"family":"Drummond","given":"Bernadette K."},{"family":"Wheeler","given":"Benjamin J."}],"issued":{"date-parts":[["2022"]]}}}],"schema":"https://github.com/citation-style-language/schema/raw/master/csl-citation.json"} </w:instrText>
      </w:r>
      <w:r w:rsidRPr="008E165C">
        <w:rPr>
          <w:lang w:val="en-NZ"/>
        </w:rPr>
        <w:fldChar w:fldCharType="separate"/>
      </w:r>
      <w:r w:rsidRPr="008E165C">
        <w:rPr>
          <w:lang w:val="en-NZ"/>
        </w:rPr>
        <w:t>(Beckett et al., 2022)</w:t>
      </w:r>
      <w:r w:rsidRPr="008E165C">
        <w:rPr>
          <w:lang w:val="en-NZ"/>
        </w:rPr>
        <w:fldChar w:fldCharType="end"/>
      </w:r>
      <w:r w:rsidRPr="008E165C">
        <w:rPr>
          <w:lang w:val="en-NZ"/>
        </w:rPr>
        <w:t xml:space="preserve">. </w:t>
      </w:r>
    </w:p>
    <w:p w14:paraId="163E2623" w14:textId="77777777" w:rsidR="008E165C" w:rsidRPr="008E165C" w:rsidRDefault="008E165C" w:rsidP="008E165C">
      <w:pPr>
        <w:rPr>
          <w:lang w:val="en-NZ"/>
        </w:rPr>
      </w:pPr>
      <w:r w:rsidRPr="008E165C">
        <w:rPr>
          <w:lang w:val="en-NZ"/>
        </w:rPr>
        <w:t xml:space="preserve">A 2022 Aotearoa New Zealand cohort study examined the dental consequences of vitamin D insufficiency/deficiency during pregnancy and infancy in a cohort of 81 New Zealand children </w:t>
      </w:r>
      <w:r w:rsidRPr="008E165C">
        <w:rPr>
          <w:lang w:val="en-NZ"/>
        </w:rPr>
        <w:fldChar w:fldCharType="begin"/>
      </w:r>
      <w:r w:rsidRPr="008E165C">
        <w:rPr>
          <w:lang w:val="en-NZ"/>
        </w:rPr>
        <w:instrText xml:space="preserve"> ADDIN ZOTERO_ITEM CSL_CITATION {"citationID":"Fs7Vy3Gk","properties":{"formattedCitation":"(Beckett et al., 2022)","plainCitation":"(Beckett et al., 2022)","noteIndex":0},"citationItems":[{"id":810,"uris":["http://zotero.org/groups/5078394/items/CW45I5B5"],"itemData":{"id":810,"type":"article-journal","abstract":"Vitamin D (25OHD) status during pregnancy is closely correlated with foetal and new-born 25OHD. Calcification for primary teeth begins from the fourth month of intrauterine life and from birth for permanent teeth. Dental consequences of severe 25OHD deficiency are well documented; however, consequences are less documented for milder degrees of 25OHD deficiency. This study examined the dental consequences of vitamin D deficiency/insufficiency during gestation and infancy in a cohort of 81 New Zealand children. Pregnancy and birth data for the children and their mothers and 25OHD status during gestation, birth and at five months were obtained, and dental examinations were conducted. Associations between 25OHD and enamel defects or caries experience were investigated. Of the 81 children, 55% had experienced dental caries and 64% had at least one enamel defect present. Vitamin D insufficiency (25OHD &amp;lt; 50 nmol/L) at all timepoints was not associated with enamel defect prevalence, but during third trimester pregnancy it was associated with an increased caries risk IRR of 3.55 (CI 1.15&amp;ndash;10.92) by age 6. In conclusion, maternal 25OHD insufficiency during the third trimester of pregnancy was associated with greater caries experience in primary dentition. No association was found between early life 25OHD and enamel defect prevalence or severity.","container-title":"International Journal of Environmental Research and Public Health","DOI":"10.3390/ijerph19041932","ISSN":"1660-4601","issue":"4","title":"Dental Consequences of Vitamin D Deficiency during Pregnancy and Early Infancy—An Observational Study","volume":"19","author":[{"family":"Beckett","given":"Deanna M."},{"family":"Broadbent","given":"Jonathan M."},{"family":"Loch","given":"Carolina"},{"family":"Mahoney","given":"Erin K."},{"family":"Drummond","given":"Bernadette K."},{"family":"Wheeler","given":"Benjamin J."}],"issued":{"date-parts":[["2022"]]}}}],"schema":"https://github.com/citation-style-language/schema/raw/master/csl-citation.json"} </w:instrText>
      </w:r>
      <w:r w:rsidRPr="008E165C">
        <w:rPr>
          <w:lang w:val="en-NZ"/>
        </w:rPr>
        <w:fldChar w:fldCharType="separate"/>
      </w:r>
      <w:r w:rsidRPr="008E165C">
        <w:rPr>
          <w:lang w:val="en-NZ"/>
        </w:rPr>
        <w:t>(Beckett et al., 2022)</w:t>
      </w:r>
      <w:r w:rsidRPr="008E165C">
        <w:rPr>
          <w:lang w:val="en-NZ"/>
        </w:rPr>
        <w:fldChar w:fldCharType="end"/>
      </w:r>
      <w:r w:rsidRPr="008E165C">
        <w:rPr>
          <w:lang w:val="en-NZ"/>
        </w:rPr>
        <w:t xml:space="preserve">. Maternal vitamin D insufficiency (25(OH)D &lt; 50 nanomoles per litre) during the third trimester of pregnancy was associated with more dental caries experienced in primary dentition. Study participants were largely from a homogenous European ethnicity. </w:t>
      </w:r>
    </w:p>
    <w:p w14:paraId="6949BBD8" w14:textId="77777777" w:rsidR="008E165C" w:rsidRPr="008E165C" w:rsidRDefault="008E165C" w:rsidP="008E165C">
      <w:pPr>
        <w:pStyle w:val="Heading4"/>
      </w:pPr>
      <w:r w:rsidRPr="008E165C">
        <w:t>Acute respiratory infections</w:t>
      </w:r>
    </w:p>
    <w:p w14:paraId="4CB830F9" w14:textId="77777777" w:rsidR="008E165C" w:rsidRPr="008E165C" w:rsidRDefault="008E165C" w:rsidP="008E165C">
      <w:pPr>
        <w:rPr>
          <w:lang w:val="en-NZ"/>
        </w:rPr>
      </w:pPr>
      <w:r w:rsidRPr="008E165C">
        <w:rPr>
          <w:lang w:val="en-NZ"/>
        </w:rPr>
        <w:t xml:space="preserve">The burden of acute respiratory infection (ARI) hospitalisation in young children in Aotearoa New Zealand is high, with the highest incidence among children aged under three months </w:t>
      </w:r>
      <w:r w:rsidRPr="008E165C">
        <w:rPr>
          <w:lang w:val="en-NZ"/>
        </w:rPr>
        <w:fldChar w:fldCharType="begin"/>
      </w:r>
      <w:r w:rsidRPr="008E165C">
        <w:rPr>
          <w:lang w:val="en-NZ"/>
        </w:rPr>
        <w:instrText xml:space="preserve"> ADDIN ZOTERO_ITEM CSL_CITATION {"citationID":"tAHAl9BY","properties":{"formattedCitation":"(Prasad et al., 2019)","plainCitation":"(Prasad et al., 2019)","noteIndex":0},"citationItems":[{"id":1050,"uris":["http://zotero.org/groups/5078394/items/LCP8MQSX"],"itemData":{"id":1050,"type":"article-journal","abstract":"We aimed to provide comprehensive estimates of laboratory-confirmed respiratory syncytial virus (RSV)-associated hospitalisations. Between 2012 and 2015, active surveillance of acute respiratory infection (ARI) hospitalisations during winter seasons was used to estimate the seasonal incidence of laboratory-confirmed RSV hospitalisations in children aged &lt;5 years in Auckland, New Zealand (NZ). Incidence rates were estimated by fine age group, ethnicity and socio-economic status (SES) strata. Additionally, RSV disease estimates determined through active surveillance were compared to rates estimated from hospital discharge codes. There were 5309 ARI hospitalisations among children during the study period, of which 3923 (73.9%) were tested for RSV and 1597 (40.7%) were RSV-positive. The seasonal incidence of RSV-associated ARI hospitalisations, once corrected for non-testing, was 6.1 (95% confidence intervals 5.8–6.4) per 1000 children &lt;5 years old. The highest incidence was among children aged &lt;3 months. Being of indigenous Māori or Pacific ethnicity or living in a neighbourhood with low SES independently increased the risk of an RSV-associated hospitalisation. RSV hospital discharge codes had a sensitivity of 71% for identifying laboratory-confirmed RSV cases. RSV infection is a leading cause of hospitalisation among children in NZ, with significant disparities by ethnicity and SES. Our findings highlight the need for effective RSV vaccines and therapies.","container-title":"Epidemiology and Infection","DOI":"10.1017/S0950268819001377","ISSN":"0950-2688","journalAbbreviation":"Epidemiol Infect","note":"PMID: 31364578\nPMCID: PMC6805750","page":"e246","source":"PubMed Central","title":"Respiratory syncytial virus hospitalisations among young children: a data linkage study","title-short":"Respiratory syncytial virus hospitalisations among young children","volume":"147","author":[{"family":"Prasad","given":"Namrata"},{"family":"Newbern","given":"E. Claire"},{"family":"Trenholme","given":"Adrian A."},{"family":"Wood","given":"Tim"},{"family":"Thompson","given":"Mark G."},{"family":"Aminisani","given":"Nayyereh"},{"family":"Huang","given":"Q. Sue"},{"family":"Grant","given":"Cameron C."}],"issued":{"date-parts":[["2019",7,29]]}}}],"schema":"https://github.com/citation-style-language/schema/raw/master/csl-citation.json"} </w:instrText>
      </w:r>
      <w:r w:rsidRPr="008E165C">
        <w:rPr>
          <w:lang w:val="en-NZ"/>
        </w:rPr>
        <w:fldChar w:fldCharType="separate"/>
      </w:r>
      <w:r w:rsidRPr="008E165C">
        <w:rPr>
          <w:lang w:val="en-NZ"/>
        </w:rPr>
        <w:t>(Prasad et al., 2019)</w:t>
      </w:r>
      <w:r w:rsidRPr="008E165C">
        <w:rPr>
          <w:lang w:val="en-NZ"/>
        </w:rPr>
        <w:fldChar w:fldCharType="end"/>
      </w:r>
      <w:r w:rsidRPr="008E165C">
        <w:rPr>
          <w:lang w:val="en-NZ"/>
        </w:rPr>
        <w:t xml:space="preserve">. There is limited evidence to suggest vitamin D insufficiency/deficiency may be associated with ARI. </w:t>
      </w:r>
    </w:p>
    <w:p w14:paraId="513BA2B0" w14:textId="77777777" w:rsidR="008E165C" w:rsidRPr="008E165C" w:rsidRDefault="008E165C" w:rsidP="008E165C">
      <w:pPr>
        <w:rPr>
          <w:lang w:val="en-NZ"/>
        </w:rPr>
      </w:pPr>
      <w:r w:rsidRPr="008E165C">
        <w:rPr>
          <w:lang w:val="en-NZ"/>
        </w:rPr>
        <w:t xml:space="preserve">A 2021 nested case control study in Aotearoa New Zealand assessed if vitamin D deficiency at birth is associated with ARI hospitalisation during infancy. Study participants were 384 infants aged between 0 to 12 months with more than one ARI hospitalisation, measured against 1,536 controls. Median 25(OH)D levels were lower among ARI cases (46 nanomoles per litre) than controls (61 nanomoles per litre). After adjustment for season of birth and covariates describing demographic, antenatal, perinatal, and infant characteristics, vitamin D insufficiency at birth (25(OH)D &lt; 50 nanomoles per litre) was associated with increased odds of ARI hospitalisation during infancy (OR = 2.20, 95% CI: 1.48, 2.91) </w:t>
      </w:r>
      <w:r w:rsidRPr="008E165C">
        <w:rPr>
          <w:lang w:val="en-NZ"/>
        </w:rPr>
        <w:fldChar w:fldCharType="begin"/>
      </w:r>
      <w:r w:rsidRPr="008E165C">
        <w:rPr>
          <w:lang w:val="en-NZ"/>
        </w:rPr>
        <w:instrText xml:space="preserve"> ADDIN ZOTERO_ITEM CSL_CITATION {"citationID":"gBo9gNLZ","properties":{"formattedCitation":"(Saraf et al., 2021)","plainCitation":"(Saraf et al., 2021)","noteIndex":0},"citationItems":[{"id":801,"uris":["http://zotero.org/groups/5078394/items/HATRHDGM"],"itemData":{"id":801,"type":"article-journal","abstract":"BACKGROUND: Hospital admission for acute respiratory infections (ARIs) during early childhood is a global public health concern. Vitamin D deficiency is prevalent during pregnancy and infancy. Evidence indicates that vitamin D supplementation prevents ARIs., OBJECTIVES: To determine whether vitamin D deficiency at birth is associated with ARI hospitalisations during infancy., METHODS: We performed a nested case-control study in children aged 0-12 months. Cases had &gt;=1 ARI hospitalisation and 4 controls were individually matched to each case. Newborn 25(OH)D concentration was measured on dried blood spots using two-dimensional liquid chromatography-tandem mass spectrometry. Hospital admissions were measured using health care records. Median serum 25(OH)D concentration in cases and controls was compared, and covariates of ARI hospitalisation during infancy were assessed using conditional logistic regression analysis., RESULTS: Six per cent of the cohort (n = 384) had an ARI hospitalisation during infancy, and 1536 controls were matched to cases. Median DBS [25(OH)D] was lower among ARI cases than controls (46 nmol/l vs. 61 nmol/L). Median 25(OH)D levels were lower for those hospitalised &gt;=2 times (47, IQR 36, 58) vs. those hospitalised once (52, IQR 42, 62) vs. the controls and also lower for those who stayed in the hospital for &gt;=3 days (45, IQR 36, 54) vs 1-2 days (48, IQR 38, 59) compared to the controls. After adjustment for season of birth and covariates describing demographic, antenatal, perinatal, and infant characteristics, DBS 25(OH)D concentration (&lt;50 nmol/L) at birth was associated with increased odds of ARI hospitalisation during infancy (odds ratio 2.20, 95% confidence interval 1.48, 2.91)., CONCLUSIONS: Vitamin D deficiency at birth is associated with increased odds of ARI hospitalisations in infants. The findings have implications for a developed country like New Zealand where vitamin D supplementation is not routinely recommended and the burden of ARI hospitalisation in young children is high. Copyright © 2021 John Wiley &amp; Sons Ltd.","archive":"Ovid MEDLINE(R) &lt;2021&gt;","container-title":"Paediatric and perinatal epidemiology","DOI":"10.1111/ppe.12755","ISSN":"1365-3016 0269-5022","issue":"5","note":"section: Saraf, Rajneeta. Department of Paediatrics, Child and Youth Health, The University of Auckland, Auckland, New Zealand. Jensen, Berit P. Specialist Biochemistry, Canterbury Health Laboratories, Christchurch, New Zealand. Camargo, Carlos A Jr. Department of Emergency Medicine, Massachusetts General Hospital, Harvard Medical School, Boston, MA, USA. Morton, Susan M B. Centre for Longitudinal Research-He Ara ki Mua, The University of Auckland, Auckland, New Zealand. Jing, Ma. Specialist Biochemistry, Canterbury Health Laboratories, Christchurch, New Zealand. Sies, Chris W. Specialist Biochemistry, Canterbury Health Laboratories, Christchurch, New Zealand. Grant, Cameron C. Department of Paediatrics, Child and Youth Health, The University of Auckland, Auckland, New Zealand. Grant, Cameron C. Centre for Longitudinal Research-He Ara ki Mua, The University of Auckland, Auckland, New Zealand. Grant, Cameron C. General Paediatrics, Starship Children's Hospital, Auckland District Health Board, Auckland, New Zealand.","page":"540-548","title":"Vitamin D status at birth and acute respiratory infection hospitalisation during infancy","volume":"35","author":[{"family":"Saraf","given":"Rajneeta"},{"family":"Jensen","given":"Berit P."},{"family":"Camargo","given":"Carlos A.","suffix":"Jr."},{"family":"Morton","given":"Susan M. B."},{"family":"Jing","given":"Ma"},{"family":"Sies","given":"Chris W."},{"family":"Grant","given":"Cameron C."}],"issued":{"date-parts":[["2021"]]}}}],"schema":"https://github.com/citation-style-language/schema/raw/master/csl-citation.json"} </w:instrText>
      </w:r>
      <w:r w:rsidRPr="008E165C">
        <w:rPr>
          <w:lang w:val="en-NZ"/>
        </w:rPr>
        <w:fldChar w:fldCharType="separate"/>
      </w:r>
      <w:r w:rsidRPr="008E165C">
        <w:rPr>
          <w:lang w:val="en-NZ"/>
        </w:rPr>
        <w:t>(Saraf et al., 2021)</w:t>
      </w:r>
      <w:r w:rsidRPr="008E165C">
        <w:rPr>
          <w:lang w:val="en-NZ"/>
        </w:rPr>
        <w:fldChar w:fldCharType="end"/>
      </w:r>
      <w:r w:rsidRPr="008E165C">
        <w:rPr>
          <w:lang w:val="en-NZ"/>
        </w:rPr>
        <w:t xml:space="preserve">. The study noted that in comparison to children included in the analysis, the mothers of the excluded children were living in more socioeconomically deprived areas during pregnancy, </w:t>
      </w:r>
      <w:r w:rsidRPr="008E165C">
        <w:rPr>
          <w:lang w:val="en-NZ"/>
        </w:rPr>
        <w:lastRenderedPageBreak/>
        <w:t>which may underestimate the strength of association of low vitamin D status at birth with the odds of ARI hospital admission during infancy.</w:t>
      </w:r>
    </w:p>
    <w:tbl>
      <w:tblPr>
        <w:tblStyle w:val="TableGrid"/>
        <w:tblW w:w="5000" w:type="pct"/>
        <w:tblLayout w:type="fixed"/>
        <w:tblLook w:val="0420" w:firstRow="1" w:lastRow="0" w:firstColumn="0" w:lastColumn="0" w:noHBand="0" w:noVBand="1"/>
      </w:tblPr>
      <w:tblGrid>
        <w:gridCol w:w="539"/>
        <w:gridCol w:w="6486"/>
        <w:gridCol w:w="1991"/>
      </w:tblGrid>
      <w:tr w:rsidR="00EF6E37" w:rsidRPr="00EF6E37" w14:paraId="0B096DFC" w14:textId="77777777" w:rsidTr="000F2648">
        <w:trPr>
          <w:cnfStyle w:val="100000000000" w:firstRow="1" w:lastRow="0" w:firstColumn="0" w:lastColumn="0" w:oddVBand="0" w:evenVBand="0" w:oddHBand="0" w:evenHBand="0" w:firstRowFirstColumn="0" w:firstRowLastColumn="0" w:lastRowFirstColumn="0" w:lastRowLastColumn="0"/>
        </w:trPr>
        <w:tc>
          <w:tcPr>
            <w:tcW w:w="539" w:type="dxa"/>
            <w:vAlign w:val="top"/>
          </w:tcPr>
          <w:p w14:paraId="15034792" w14:textId="77777777" w:rsidR="00EF6E37" w:rsidRPr="00EF6E37" w:rsidRDefault="00EF6E37" w:rsidP="00EF6E37">
            <w:pPr>
              <w:rPr>
                <w:sz w:val="22"/>
                <w:szCs w:val="24"/>
                <w:lang w:val="en-NZ"/>
              </w:rPr>
            </w:pPr>
          </w:p>
        </w:tc>
        <w:tc>
          <w:tcPr>
            <w:tcW w:w="6486" w:type="dxa"/>
            <w:vAlign w:val="top"/>
          </w:tcPr>
          <w:p w14:paraId="39DD77DE" w14:textId="77777777" w:rsidR="00EF6E37" w:rsidRPr="00EF6E37" w:rsidRDefault="00EF6E37" w:rsidP="00EF6E37">
            <w:pPr>
              <w:rPr>
                <w:bCs/>
                <w:sz w:val="22"/>
                <w:szCs w:val="24"/>
                <w:lang w:val="en-NZ"/>
              </w:rPr>
            </w:pPr>
            <w:r w:rsidRPr="00EF6E37">
              <w:rPr>
                <w:sz w:val="22"/>
                <w:szCs w:val="24"/>
                <w:lang w:val="en-NZ"/>
              </w:rPr>
              <w:t xml:space="preserve"> </w:t>
            </w:r>
            <w:r w:rsidRPr="00EF6E37">
              <w:rPr>
                <w:bCs/>
                <w:sz w:val="22"/>
                <w:szCs w:val="24"/>
                <w:lang w:val="en-NZ"/>
              </w:rPr>
              <w:t>Consensus Statement</w:t>
            </w:r>
          </w:p>
        </w:tc>
        <w:tc>
          <w:tcPr>
            <w:tcW w:w="1991" w:type="dxa"/>
            <w:vAlign w:val="top"/>
          </w:tcPr>
          <w:p w14:paraId="004C5299" w14:textId="77777777" w:rsidR="00EF6E37" w:rsidRPr="00EF6E37" w:rsidRDefault="00EF6E37" w:rsidP="00EF6E37">
            <w:pPr>
              <w:rPr>
                <w:bCs/>
                <w:sz w:val="22"/>
                <w:szCs w:val="24"/>
                <w:lang w:val="en-NZ"/>
              </w:rPr>
            </w:pPr>
            <w:r w:rsidRPr="00EF6E37">
              <w:rPr>
                <w:bCs/>
                <w:sz w:val="22"/>
                <w:szCs w:val="24"/>
                <w:lang w:val="en-NZ"/>
              </w:rPr>
              <w:t>Strength of statement</w:t>
            </w:r>
          </w:p>
        </w:tc>
      </w:tr>
      <w:tr w:rsidR="00EF6E37" w:rsidRPr="00EF6E37" w14:paraId="57162D99" w14:textId="77777777" w:rsidTr="000F2648">
        <w:tc>
          <w:tcPr>
            <w:tcW w:w="539" w:type="dxa"/>
            <w:vAlign w:val="top"/>
          </w:tcPr>
          <w:p w14:paraId="03CD0B15" w14:textId="77777777" w:rsidR="00EF6E37" w:rsidRPr="00EF6E37" w:rsidRDefault="00EF6E37" w:rsidP="00EF6E37">
            <w:pPr>
              <w:rPr>
                <w:sz w:val="22"/>
                <w:szCs w:val="24"/>
                <w:lang w:val="en-NZ"/>
              </w:rPr>
            </w:pPr>
            <w:r w:rsidRPr="00EF6E37">
              <w:rPr>
                <w:sz w:val="22"/>
                <w:szCs w:val="24"/>
                <w:lang w:val="en-NZ"/>
              </w:rPr>
              <w:t>5.</w:t>
            </w:r>
          </w:p>
        </w:tc>
        <w:tc>
          <w:tcPr>
            <w:tcW w:w="6486" w:type="dxa"/>
            <w:vAlign w:val="top"/>
          </w:tcPr>
          <w:p w14:paraId="6C2EDEC3" w14:textId="77777777" w:rsidR="00EF6E37" w:rsidRPr="00EF6E37" w:rsidRDefault="00EF6E37" w:rsidP="00EF6E37">
            <w:pPr>
              <w:rPr>
                <w:sz w:val="22"/>
                <w:szCs w:val="24"/>
                <w:lang w:val="en-NZ"/>
              </w:rPr>
            </w:pPr>
            <w:r w:rsidRPr="00EF6E37">
              <w:rPr>
                <w:sz w:val="22"/>
                <w:szCs w:val="24"/>
                <w:lang w:val="en-NZ"/>
              </w:rPr>
              <w:t xml:space="preserve">Discuss the importance of maternal vitamin D levels during pregnancy. </w:t>
            </w:r>
          </w:p>
          <w:p w14:paraId="5D24CDFC" w14:textId="77777777" w:rsidR="00EF6E37" w:rsidRPr="00EF6E37" w:rsidRDefault="00EF6E37" w:rsidP="00EF6E37">
            <w:pPr>
              <w:rPr>
                <w:sz w:val="22"/>
                <w:szCs w:val="24"/>
                <w:lang w:val="en-NZ"/>
              </w:rPr>
            </w:pPr>
            <w:r w:rsidRPr="00EF6E37">
              <w:rPr>
                <w:sz w:val="22"/>
                <w:szCs w:val="24"/>
                <w:lang w:val="en-NZ"/>
              </w:rPr>
              <w:t>Key points:</w:t>
            </w:r>
          </w:p>
          <w:p w14:paraId="67FF2C1D" w14:textId="77777777" w:rsidR="00EF6E37" w:rsidRPr="00EF6E37" w:rsidRDefault="00EF6E37" w:rsidP="00EF6E37">
            <w:pPr>
              <w:pStyle w:val="Bulletpoints"/>
              <w:spacing w:before="60" w:after="60"/>
              <w:rPr>
                <w:sz w:val="22"/>
                <w:szCs w:val="24"/>
                <w:lang w:val="en-NZ"/>
              </w:rPr>
            </w:pPr>
            <w:r w:rsidRPr="00EF6E37">
              <w:rPr>
                <w:sz w:val="22"/>
                <w:szCs w:val="24"/>
                <w:lang w:val="en-NZ"/>
              </w:rPr>
              <w:t>it is important the infant is born with sufficient levels of vitamin D</w:t>
            </w:r>
          </w:p>
          <w:p w14:paraId="434C4022" w14:textId="77777777" w:rsidR="00EF6E37" w:rsidRPr="00EF6E37" w:rsidRDefault="00EF6E37" w:rsidP="00EF6E37">
            <w:pPr>
              <w:pStyle w:val="Bulletpoints"/>
              <w:spacing w:before="60" w:after="60"/>
              <w:rPr>
                <w:sz w:val="22"/>
                <w:szCs w:val="24"/>
                <w:lang w:val="en-NZ"/>
              </w:rPr>
            </w:pPr>
            <w:r w:rsidRPr="00EF6E37">
              <w:rPr>
                <w:sz w:val="22"/>
                <w:szCs w:val="24"/>
                <w:lang w:val="en-NZ"/>
              </w:rPr>
              <w:t>infants are likely to be born with insufficient vitamin D levels if their mothers had insufficient levels of vitamin D during pregnancy, especially during the 3</w:t>
            </w:r>
            <w:r w:rsidRPr="00EF6E37">
              <w:rPr>
                <w:sz w:val="22"/>
                <w:szCs w:val="24"/>
                <w:vertAlign w:val="superscript"/>
                <w:lang w:val="en-NZ"/>
              </w:rPr>
              <w:t>rd</w:t>
            </w:r>
            <w:r w:rsidRPr="00EF6E37">
              <w:rPr>
                <w:sz w:val="22"/>
                <w:szCs w:val="24"/>
                <w:lang w:val="en-NZ"/>
              </w:rPr>
              <w:t xml:space="preserve"> trimester</w:t>
            </w:r>
          </w:p>
          <w:p w14:paraId="5F452BE5" w14:textId="77777777" w:rsidR="00EF6E37" w:rsidRPr="00EF6E37" w:rsidRDefault="00EF6E37" w:rsidP="00EF6E37">
            <w:pPr>
              <w:pStyle w:val="Bulletpoints"/>
              <w:spacing w:before="60" w:after="60"/>
              <w:rPr>
                <w:sz w:val="22"/>
                <w:szCs w:val="24"/>
                <w:lang w:val="en-NZ"/>
              </w:rPr>
            </w:pPr>
            <w:r w:rsidRPr="00EF6E37">
              <w:rPr>
                <w:sz w:val="22"/>
                <w:szCs w:val="24"/>
                <w:lang w:val="en-NZ"/>
              </w:rPr>
              <w:t>maternal vitamin D deficiency increases the risk of developing of vitamin D deficiency rickets in infant</w:t>
            </w:r>
          </w:p>
          <w:p w14:paraId="7BB1DE55" w14:textId="77777777" w:rsidR="00EF6E37" w:rsidRPr="00EF6E37" w:rsidRDefault="00EF6E37" w:rsidP="00EF6E37">
            <w:pPr>
              <w:pStyle w:val="Bulletpoints"/>
              <w:spacing w:before="60" w:after="60"/>
              <w:rPr>
                <w:lang w:val="en-NZ"/>
              </w:rPr>
            </w:pPr>
            <w:r w:rsidRPr="00EF6E37">
              <w:rPr>
                <w:sz w:val="22"/>
                <w:szCs w:val="24"/>
                <w:lang w:val="en-NZ"/>
              </w:rPr>
              <w:t xml:space="preserve">vitamin D insufficiency/deficiency may play a role in the development of low birth weight, dental </w:t>
            </w:r>
            <w:proofErr w:type="gramStart"/>
            <w:r w:rsidRPr="00EF6E37">
              <w:rPr>
                <w:sz w:val="22"/>
                <w:szCs w:val="24"/>
                <w:lang w:val="en-NZ"/>
              </w:rPr>
              <w:t>caries</w:t>
            </w:r>
            <w:proofErr w:type="gramEnd"/>
            <w:r w:rsidRPr="00EF6E37">
              <w:rPr>
                <w:sz w:val="22"/>
                <w:szCs w:val="24"/>
                <w:lang w:val="en-NZ"/>
              </w:rPr>
              <w:t xml:space="preserve"> and acute respiratory infection the infant. However, further studies are required to confirm this relationship and explore the potential effects of vitamin D supplementation on preventing these adverse health outcomes.   </w:t>
            </w:r>
          </w:p>
        </w:tc>
        <w:tc>
          <w:tcPr>
            <w:tcW w:w="1991" w:type="dxa"/>
            <w:vAlign w:val="top"/>
          </w:tcPr>
          <w:p w14:paraId="71AB6387" w14:textId="77777777" w:rsidR="00EF6E37" w:rsidRPr="00EF6E37" w:rsidRDefault="00EF6E37" w:rsidP="00EF6E37">
            <w:pPr>
              <w:rPr>
                <w:sz w:val="22"/>
                <w:szCs w:val="24"/>
                <w:lang w:val="en-NZ"/>
              </w:rPr>
            </w:pPr>
            <w:r w:rsidRPr="00EF6E37">
              <w:rPr>
                <w:sz w:val="22"/>
                <w:szCs w:val="24"/>
                <w:lang w:val="en-NZ"/>
              </w:rPr>
              <w:t>Expert consensus opinion</w:t>
            </w:r>
          </w:p>
        </w:tc>
      </w:tr>
    </w:tbl>
    <w:p w14:paraId="0FC0F0E1" w14:textId="77777777" w:rsidR="000F2648" w:rsidRPr="000F2648" w:rsidRDefault="000F2648" w:rsidP="000F2648">
      <w:pPr>
        <w:pStyle w:val="Heading2"/>
      </w:pPr>
      <w:bookmarkStart w:id="21" w:name="_Toc143088617"/>
      <w:bookmarkStart w:id="22" w:name="_Toc161403296"/>
      <w:bookmarkStart w:id="23" w:name="_Toc167269272"/>
      <w:r w:rsidRPr="000F2648">
        <w:t xml:space="preserve">Supplementation may help to improve maternal and infant vitamin D levels and </w:t>
      </w:r>
      <w:bookmarkStart w:id="24" w:name="supplementation"/>
      <w:r w:rsidRPr="000F2648">
        <w:t>is unlikely to cause harm</w:t>
      </w:r>
      <w:bookmarkStart w:id="25" w:name="_Toc143088618"/>
      <w:bookmarkEnd w:id="21"/>
      <w:bookmarkEnd w:id="22"/>
      <w:bookmarkEnd w:id="23"/>
      <w:bookmarkEnd w:id="24"/>
      <w:bookmarkEnd w:id="25"/>
    </w:p>
    <w:p w14:paraId="77E5AED8" w14:textId="77777777" w:rsidR="000F2648" w:rsidRPr="000F2648" w:rsidRDefault="000F2648" w:rsidP="000F2648">
      <w:pPr>
        <w:pStyle w:val="Heading4"/>
      </w:pPr>
      <w:r w:rsidRPr="000F2648">
        <w:t xml:space="preserve">Supplementation during pregnancy </w:t>
      </w:r>
    </w:p>
    <w:p w14:paraId="41717CC5" w14:textId="77777777" w:rsidR="000F2648" w:rsidRPr="000F2648" w:rsidRDefault="000F2648" w:rsidP="000F2648">
      <w:pPr>
        <w:pStyle w:val="Box"/>
      </w:pPr>
      <w:r w:rsidRPr="000F2648">
        <w:t>Available evidence focuses on different populations with varying baseline levels of vitamin D. Variable dosages of vitamin D supplementation were used in the studies. This highlights the both the complexities and uncertainty of causation of outcomes, as well as showing the importance of further evidence to strengthen the statements related to the effect of vitamin D supplementation on health outcomes in infants and during pregnancy.</w:t>
      </w:r>
    </w:p>
    <w:p w14:paraId="39CC6569" w14:textId="77777777" w:rsidR="000F2648" w:rsidRPr="000F2648" w:rsidRDefault="000F2648" w:rsidP="000F2648">
      <w:pPr>
        <w:rPr>
          <w:lang w:val="en-NZ"/>
        </w:rPr>
      </w:pPr>
      <w:r w:rsidRPr="000F2648">
        <w:rPr>
          <w:lang w:val="en-NZ"/>
        </w:rPr>
        <w:t xml:space="preserve">The main aim of vitamin D supplementation in pregnancy is to ensure that the foetus has sufficient vitamin D and that the infant is not born vitamin D deficient. Sufficient vitamin D in-utero may allow for bone health and prevention of rickets in infants. Vitamin D supplementation during pregnancy is likely to increase maternal and infant vitamin D status (serum and cord blood 25(OH)D). </w:t>
      </w:r>
    </w:p>
    <w:p w14:paraId="715B50CC" w14:textId="77777777" w:rsidR="000F2648" w:rsidRPr="000F2648" w:rsidRDefault="000F2648" w:rsidP="000F2648">
      <w:pPr>
        <w:rPr>
          <w:lang w:val="en-NZ"/>
        </w:rPr>
      </w:pPr>
      <w:r w:rsidRPr="000F2648">
        <w:rPr>
          <w:lang w:val="en-NZ"/>
        </w:rPr>
        <w:t>As transplacental passage of maternal 25(OH)D is the only source of vitamin D for the foetus in-utero, infants born to those deficient in vitamin D are at risk of vitamin D deficiency. Ensuring sufficient levels of vitamin D in pregnancy reduces the likelihood of the infant being at risk of vitamin D deficiency.</w:t>
      </w:r>
    </w:p>
    <w:p w14:paraId="57379247" w14:textId="77777777" w:rsidR="000F2648" w:rsidRPr="000F2648" w:rsidRDefault="000F2648" w:rsidP="000F2648">
      <w:pPr>
        <w:rPr>
          <w:lang w:val="en-NZ"/>
        </w:rPr>
      </w:pPr>
      <w:r w:rsidRPr="000F2648">
        <w:rPr>
          <w:lang w:val="en-NZ"/>
        </w:rPr>
        <w:t xml:space="preserve">A 2019 Cochrane review found, based on a small number of trials, that vitamin D supplementation during pregnancy probably reduces the risk of pre-eclampsia, low birthweight and preterm birth compared to no treatment or placebo. The Cochrane review found that supplementation with vitamin D in combination with calcium supplementation may increase the risk of preterm birth, as shown in three studies. The level of calcium provided </w:t>
      </w:r>
      <w:r w:rsidRPr="000F2648">
        <w:rPr>
          <w:lang w:val="en-NZ"/>
        </w:rPr>
        <w:lastRenderedPageBreak/>
        <w:t xml:space="preserve">alongside vitamin D in these studies ranged from 300 to 1,200 micrograms per day </w:t>
      </w:r>
      <w:r w:rsidRPr="000F2648">
        <w:rPr>
          <w:lang w:val="en-NZ"/>
        </w:rPr>
        <w:fldChar w:fldCharType="begin"/>
      </w:r>
      <w:r w:rsidRPr="000F2648">
        <w:rPr>
          <w:lang w:val="en-NZ"/>
        </w:rPr>
        <w:instrText xml:space="preserve"> ADDIN ZOTERO_ITEM CSL_CITATION {"citationID":"XVXvuuZ4","properties":{"formattedCitation":"(Palacios, Kostiuk, et al., 2019)","plainCitation":"(Palacios, Kostiuk, et al., 2019)","dontUpdate":true,"noteIndex":0},"citationItems":[{"id":"Ej0KP8LN/mIzSaiMu","uris":["http://zotero.org/users/8039573/items/KJZ5I2XY"],"itemData":{"id":"fN0v658h/Pnmyan2A","type":"article-journal","abstract":"BACKGROUND: Vitamin D supplementation during pregnancy may be needed to protect against adverse pregnancy outcomes. This is an update of a review that was first published in 2012 and then in 2016., OBJECTIVES: To examine whether vitamin D supplementation alone or in combination with calcium or other vitamins and minerals given to women during pregnancy can safely improve maternal and neonatal outcomes., SEARCH METHODS: For this update, we searched Cochrane Pregnancy and Childbirth's Trials Register (12 July 2018), contacted relevant organisations (15 May 2018), reference lists of retrieved trials and registries at clinicaltrials.gov and WHO International Clinical Trials Registry Platform (12 July 2018). Abstracts were included if they had enough information to extract the data., SELECTION CRITERIA: Randomised and quasi-randomised trials evaluating the effect of supplementation with vitamin D alone or in combination with other micronutrients for women during pregnancy in comparison to placebo or no intervention., DATA COLLECTION AND ANALYSIS: Two review authors independently i) assessed the eligibility of trials against the inclusion criteria, ii) extracted data from included trials, and iii) assessed the risk of bias of the included trials. The certainty of the evidence was assessed using the GRADE approach., MAIN RESULTS: We included 30 trials (7033 women), excluded 60 trials, identified six as ongoing/unpublished trials and two trials are awaiting assessments.Supplementation with vitamin D alone versus placebo/no interventionA total of 22 trials involving 3725 pregnant women were included in this comparison; 19 trials were assessed as having low-to-moderate risk of bias for most domains and three trials were assessed as having high risk of bias for most domains. Supplementation with vitamin D alone during pregnancy probably reduces the risk of pre-eclampsia (risk ratio (RR) 0.48, 95% confidence interval (CI) 0.30 to 0.79; 4 trials, 499 women, moderate-certainty evidence) and gestational diabetes (RR 0.51, 95% CI 0.27 to 0.97; 4 trials, 446 women, moderate-certainty evidence); and probably reduces the risk of having a baby with low birthweight (less than 2500 g) (RR 0.55, 95% CI 0.35 to 0.87; 5 trials, 697 women, moderate-certainty evidence) compared to women who received placebo or no intervention. Vitamin D supplementation may make little or no difference in the risk of having a preterm birth &lt; 37 weeks compared to no intervention or placebo (RR 0.66, 95% CI 0.34 to 1.30; 7 trials, 1640 women, low-certainty evidence). In terms of maternal adverse events, vitamin D supplementation may reduce the risk of severe postpartum haemorrhage (RR 0.68, 95% CI 0.51 to 0.91; 1 trial, 1134 women, low-certainty evidence). There were no cases of hypercalcaemia (1 trial, 1134 women, low-certainty evidence), and we are very uncertain as to whether vitamin D increases or decreases the risk of nephritic syndrome (RR 0.17, 95% CI 0.01 to 4.06; 1 trial, 135 women, very low-certainty evidence). However, given the scarcity of data in general for maternal adverse events, no firm conclusions can be drawn.Supplementation with vitamin D and calcium versus placebo/no interventionNine trials involving 1916 pregnant women were included in this comparison; three trials were assessed as having low risk of bias for allocation and blinding, four trials were assessed as having high risk of bias and two had some components having a low risk, high risk, or unclear risk. Supplementation with vitamin D and calcium during pregnancy probably reduces the risk of pre-eclampsia (RR 0.50, 95% CI 0.32 to 0.78; 4 trials, 1174 women, moderate-certainty evidence). The effect of the intervention is uncertain on gestational diabetes (RR 0.33,% CI 0.01 to 7.84; 1 trial, 54 women, very low-certainty evidence); and low birthweight (less than 2500 g) (RR 0.68, 95% CI 0.10 to 4.55; 2 trials, 110 women, very low-certainty evidence) compared to women who received placebo or no intervention. Supplementation with vitamin D and calcium during pregnancy may increase the ris of preterm birth &lt; 37 weeks in comparison to women who received placebo or no intervention (RR 1.52, 95% CI 1.01 to 2.28; 5 trials, 942 women, low-certainty evidence). No trial in this comparison reported on maternal adverse events.Supplementation with vitamin D + calcium + other vitamins and minerals versus calcium + other vitamins and minerals (but no vitamin D)One trial in 1300 participants was included in this comparison; it was assessed as having low risk of bias. Pre-eclampsia was not assessed. Supplementation with vitamin D + other nutrients may make little or no difference in the risk of preterm birth &lt; 37 weeks (RR 1.04, 95% CI 0.68 to 1.59; 1 trial, 1298 women, low-certainty evidence); or low birthweight (less than 2500 g) (RR 1.12, 95% CI 0.82 to 1.51; 1 trial, 1298 women, low-certainty evidence). It is unclear whether it makes any difference to the risk of gestational diabetes (RR 0.42, 95% CI 0.10 to 1.73) or maternal adverse events (hypercalcaemia no events; hypercalciuria RR 0.25, 95% CI 0.02 to 3.97; 1 trial, 1298 women,) because the certainty of the evidence for both outcomes was found to be very low., AUTHORS' CONCLUSIONS: We included 30 trials (7033 women) across three separate comparisons. Our GRADE assessments ranged from moderate to very low, with downgrading decisions based on limitations in study design, imprecision and indirectness.Supplementing pregnant women with vitamin D alone probably reduces the risk of pre-eclampsia, gestational diabetes, low birthweight and may reduce the risk of severe postpartum haemorrhage. It may make little or no difference in the risk of having a preterm birth &lt; 37 weeks' gestation. Supplementing pregnant women with vitamin D and calcium probably reduces the risk of pre-eclampsia but may increase the risk of preterm births &lt; 37 weeks (these findings warrant further research). Supplementing pregnant women with vitamin D and other nutrients may make little or no difference in the risk of preterm birth &lt; 37 weeks' gestation or low birthweight (less than 2500 g). Additional rigorous high quality and larger randomised trials are required to evaluate the effects of vitamin D supplementation in pregnancy, particularly in relation to the risk of maternal adverse events.","archive":"Ovid MEDLINE(R) &lt;2019&gt;","collection-title":"Update of: Cochrane Database Syst Rev. 2016 Jan 14;(1):CD008873 PMID: 26765344 [https://www.ncbi.nlm.nih.gov/pubmed/26765344]","container-title":"The Cochrane database of systematic reviews","DOI":"10.1002/14651858.CD008873.pub4","ISSN":"1469-493X 1361-6137","note":"section: Palacios, Cristina. Department of Dietetics and Nutrition, Robert Stempel College of Public Health and Social Work, Florida International University, 11200 SW 8th Street, AHC 5 - 323, Miami, Florida, USA, 33199.","page":"CD008873","title":"Vitamin D supplementation for women during pregnancy","volume":"7","author":[{"family":"Palacios","given":"Cristina"},{"family":"Kostiuk","given":"Lia K."},{"family":"Pena-Rosas","given":"Juan Pablo"}],"issued":{"date-parts":[["2019"]]}}}],"schema":"https://github.com/citation-style-language/schema/raw/master/csl-citation.json"} </w:instrText>
      </w:r>
      <w:r w:rsidRPr="000F2648">
        <w:rPr>
          <w:lang w:val="en-NZ"/>
        </w:rPr>
        <w:fldChar w:fldCharType="separate"/>
      </w:r>
      <w:r w:rsidRPr="000F2648">
        <w:rPr>
          <w:lang w:val="en-NZ"/>
        </w:rPr>
        <w:t>(Palacios et al., 2019)</w:t>
      </w:r>
      <w:r w:rsidRPr="000F2648">
        <w:rPr>
          <w:lang w:val="en-NZ"/>
        </w:rPr>
        <w:fldChar w:fldCharType="end"/>
      </w:r>
      <w:r w:rsidRPr="000F2648">
        <w:rPr>
          <w:lang w:val="en-NZ"/>
        </w:rPr>
        <w:t xml:space="preserve">. </w:t>
      </w:r>
    </w:p>
    <w:p w14:paraId="09F3847D" w14:textId="77777777" w:rsidR="000F2648" w:rsidRPr="000F2648" w:rsidRDefault="000F2648" w:rsidP="000F2648">
      <w:pPr>
        <w:rPr>
          <w:lang w:val="en-NZ"/>
        </w:rPr>
      </w:pPr>
      <w:r w:rsidRPr="000F2648">
        <w:rPr>
          <w:lang w:val="en-NZ"/>
        </w:rPr>
        <w:t xml:space="preserve">This review included studies involving vitamin D supplementation during pregnancy irrespective of the regimen (dose, frequency, duration, or time of commencement of supplementation during pregnancy). Additionally, the duration of supplementation in included trials varied with many not specifying how long supplementation lasted. </w:t>
      </w:r>
    </w:p>
    <w:p w14:paraId="5E2E68F4" w14:textId="77777777" w:rsidR="000F2648" w:rsidRPr="000F2648" w:rsidRDefault="000F2648" w:rsidP="000F2648">
      <w:pPr>
        <w:rPr>
          <w:lang w:val="en-NZ"/>
        </w:rPr>
      </w:pPr>
      <w:r w:rsidRPr="000F2648">
        <w:rPr>
          <w:lang w:val="en-NZ"/>
        </w:rPr>
        <w:t xml:space="preserve">Another systematic review with meta-analysis conducted since 2019 that considered the dose of supplementation has shown a reduced risk of GDM at vitamin D doses more than 2,000 International Units per day (seven randomised controlled trials; risk ratio = 0.70, 95% CI: 0.51–0.95, </w:t>
      </w:r>
      <w:r w:rsidRPr="000F2648">
        <w:rPr>
          <w:i/>
          <w:iCs/>
          <w:lang w:val="en-NZ"/>
        </w:rPr>
        <w:t>I</w:t>
      </w:r>
      <w:r w:rsidRPr="000F2648">
        <w:rPr>
          <w:vertAlign w:val="superscript"/>
          <w:lang w:val="en-NZ"/>
        </w:rPr>
        <w:t>2</w:t>
      </w:r>
      <w:r w:rsidRPr="000F2648">
        <w:rPr>
          <w:lang w:val="en-NZ"/>
        </w:rPr>
        <w:t xml:space="preserve"> = 0) and pre-eclampsia at doses of ≤ 2,000 International Units per day during pregnancy (three randomised controlled trials; risk ratio = 0.29, 95% CI: 0.09–0.95, </w:t>
      </w:r>
      <w:r w:rsidRPr="000F2648">
        <w:rPr>
          <w:i/>
          <w:iCs/>
          <w:lang w:val="en-NZ"/>
        </w:rPr>
        <w:t>I</w:t>
      </w:r>
      <w:r w:rsidRPr="000F2648">
        <w:rPr>
          <w:vertAlign w:val="superscript"/>
          <w:lang w:val="en-NZ"/>
        </w:rPr>
        <w:t>2</w:t>
      </w:r>
      <w:r w:rsidRPr="000F2648">
        <w:rPr>
          <w:lang w:val="en-NZ"/>
        </w:rPr>
        <w:t xml:space="preserve"> = 0). No effect on birth weight of either a lower (≤ 2,000 International Units per day) or higher dose (more than 2,000 International Units per day) vitamin D supplement was found </w:t>
      </w:r>
      <w:r w:rsidRPr="000F2648">
        <w:rPr>
          <w:lang w:val="en-NZ"/>
        </w:rPr>
        <w:fldChar w:fldCharType="begin"/>
      </w:r>
      <w:r w:rsidRPr="000F2648">
        <w:rPr>
          <w:lang w:val="en-NZ"/>
        </w:rPr>
        <w:instrText xml:space="preserve"> ADDIN ZOTERO_ITEM CSL_CITATION {"citationID":"76cPNGoH","properties":{"formattedCitation":"(Irwinda et al., 2022)","plainCitation":"(Irwinda et al., 2022)","noteIndex":0},"citationItems":[{"id":"Ej0KP8LN/2zXmVdYn","uris":["http://zotero.org/users/8039573/items/3PND4MHS"],"itemData":{"id":8172,"type":"article-journal","abstract":"INTRODUCTION: Although vitamin D is widely known as an essential micronutrient during pregnancy, the exact supplementation dose to prevent maternal-fetal outcomes remains a question. This study aims to provide a systematic review and a meta-analysis of data from randomized controlled trial on &gt; 2000 IU/day vitamin D supplementation compared to 2000 IU/day; and 2000 IU/day compared to placebo, on their effects on the incidence of preeclampsia, gestational diabetes mellitus, preterm birth, and differences on birth weight., METHODS: A systematic literature search on PubMed, EBSCO-MEDLINE, EMBASE, and Cochrane Central Register of Controlled Trials databases was carried out to evaluate randomized controlled trial studies on the effects of oral vitamin D &gt; 2000 IU/day versus 2000 IU/day; and 2000 IU/day versus placebo, on preeclampsia, gestational diabetes mellitus, preterm birth and birth weight. Risk ratio, mean difference, and 95% confidence interval were calculated., RESULTS: There were a total of 27 randomized controlled trials selected. Maternal vitamin D supplementation &gt; 2000 IU/day had a positive effect only on gestational diabetes mellitus (seven randomized controlled trials; risk ratio = 0.70, 95% confidence interval: 0.51-0.95, I2 = 0). Vitamin D supplementation 2000 IU/day has reduced the risk of preeclampsia (three randomized controlled trials; risk ratio = 0.29, 95% confidence interval: 0.09-0.95, I2 = 0), with no significant difference when compared to &gt; 2000 IU/day (eight randomized controlled trials; risk ratio = 0.80, 95% confidence interval: 0.51-1.24, I2 = 31). No difference in preterm birth risk and birth weight after vitamin D supplementation. The quality of evidence varies from moderate to very low certainty. The risk of preeclampsia and gestational diabetes mellitus after high-dose versus low-dose vitamin D supplementation was the ones with moderate certainty., CONCLUSION: Vitamin D supplementation &gt; 2000 IU/day might be important to reduce the risk of gestational diabetes mellitus. Lower dose vitamin D supplementation ( 2000 IU/day) seemed adequate to reduce the risk of preeclampsia, with no significant difference compared to the higher dose.","archive":"Ovid MEDLINE(R) &lt;2022&gt;","container-title":"Women's health (London, England)","DOI":"10.1177/17455057221111066","ISSN":"1745-5065 1745-5057","note":"section: Irwinda, Rima. Maternal Fetal Division, Department of Obstetrics and Gynaecology, Faculty of Medicine, Universitas Indonesia, Dr. Cipto Mangunkusumo Hospital, Jakarta, Indonesia. Hiksas, Rabbania. Department of Obstetrics and Gynaecology, Faculty of Medicine, Universitas Indonesia, Dr. Cipto Mangunkusumo Hospital, Jakarta, Indonesia. Lokeswara, Angga Wiratama. Faculty of Medicine, Universitas Indonesia, Dr. Cipto Mangunkusumo Hospital, Jakarta, Indonesia. Wibowo, Noroyono. Maternal Fetal Division, Department of Obstetrics and Gynaecology, Faculty of Medicine, Universitas Indonesia, Dr. Cipto Mangunkusumo Hospital, Jakarta, Indonesia.","page":"17455057221111066","title":"Vitamin D supplementation higher than 2000 IU/day compared to lower dose on maternal-fetal outcome: Systematic review and meta-analysis","volume":"18","author":[{"family":"Irwinda","given":"Rima"},{"family":"Hiksas","given":"Rabbania"},{"family":"Lokeswara","given":"Angga Wiratama"},{"family":"Wibowo","given":"Noroyono"}],"issued":{"date-parts":[["2022"]]}}}],"schema":"https://github.com/citation-style-language/schema/raw/master/csl-citation.json"} </w:instrText>
      </w:r>
      <w:r w:rsidRPr="000F2648">
        <w:rPr>
          <w:lang w:val="en-NZ"/>
        </w:rPr>
        <w:fldChar w:fldCharType="separate"/>
      </w:r>
      <w:r w:rsidRPr="000F2648">
        <w:rPr>
          <w:lang w:val="en-NZ"/>
        </w:rPr>
        <w:t>(Irwinda et al., 2022)</w:t>
      </w:r>
      <w:r w:rsidRPr="000F2648">
        <w:rPr>
          <w:lang w:val="en-NZ"/>
        </w:rPr>
        <w:fldChar w:fldCharType="end"/>
      </w:r>
      <w:r w:rsidRPr="000F2648">
        <w:rPr>
          <w:lang w:val="en-NZ"/>
        </w:rPr>
        <w:t xml:space="preserve">. </w:t>
      </w:r>
    </w:p>
    <w:p w14:paraId="357D45AA" w14:textId="77777777" w:rsidR="000F2648" w:rsidRPr="000F2648" w:rsidRDefault="000F2648" w:rsidP="000F2648">
      <w:pPr>
        <w:pStyle w:val="Heading4"/>
      </w:pPr>
      <w:r w:rsidRPr="000F2648">
        <w:t>Increasing vitamin D levels</w:t>
      </w:r>
    </w:p>
    <w:p w14:paraId="21E64940" w14:textId="77777777" w:rsidR="000F2648" w:rsidRPr="000F2648" w:rsidRDefault="000F2648" w:rsidP="000F2648">
      <w:pPr>
        <w:rPr>
          <w:lang w:val="en-NZ"/>
        </w:rPr>
      </w:pPr>
      <w:r w:rsidRPr="000F2648">
        <w:rPr>
          <w:lang w:val="en-NZ"/>
        </w:rPr>
        <w:t xml:space="preserve">A 2020 Cochrane review found that vitamin D supplementation (daily doses of 500 to 6400 International Units per day, or monthly doses of 50,000 International Units per dose to 120,000 International Units per dose) provided to </w:t>
      </w:r>
      <w:r w:rsidRPr="000F2648">
        <w:rPr>
          <w:lang w:val="mi-NZ"/>
        </w:rPr>
        <w:t xml:space="preserve">breastfeeding women who were vitamin D deficient (25(OH)D &lt; 30 nanomoles per litre) and insufficient (25(OH)D &lt; 50 nanomoles per litre) </w:t>
      </w:r>
      <w:r w:rsidRPr="000F2648">
        <w:rPr>
          <w:lang w:val="en-NZ"/>
        </w:rPr>
        <w:t xml:space="preserve">may increase vitamin D levels and prevent maternal deficiency </w:t>
      </w:r>
      <w:r w:rsidRPr="000F2648">
        <w:rPr>
          <w:lang w:val="en-NZ"/>
        </w:rPr>
        <w:fldChar w:fldCharType="begin"/>
      </w:r>
      <w:r w:rsidRPr="000F2648">
        <w:rPr>
          <w:lang w:val="en-NZ"/>
        </w:rPr>
        <w:instrText xml:space="preserve"> ADDIN ZOTERO_ITEM CSL_CITATION {"citationID":"wLg2u07x","properties":{"formattedCitation":"(Tan et al., 2020)","plainCitation":"(Tan et al., 2020)","noteIndex":0},"citationItems":[{"id":"Ej0KP8LN/5taKLLIa","uris":["http://zotero.org/users/8039573/items/NTE3LMAZ"],"itemData":{"id":6791,"type":"article-journal","abstract":"BACKGROUND: Vitamin D deficiency is common worldwide, contributing to nutritional rickets and osteomalacia which have a major impact on health, growth, and development of infants, children and adolescents. Vitamin D levels are low in breast milk and exclusively breastfed infants are at risk of vitamin D insufficiency or deficiency., OBJECTIVES: To determine the effect of vitamin D supplementation given to infants, or lactating mothers, on vitamin D deficiency, bone density and growth in healthy term breastfed infants., SEARCH METHODS: We used the standard search strategy of Cochrane Neonatal to 29 May 2020 supplemented by searches of clinical trials databases, conference proceedings, and citations., SELECTION CRITERIA: Randomised controlled trials (RCTs) and quasi-RCTs in breastfeeding mother-infant pairs comparing vitamin D supplementation given to infants or lactating mothers compared to placebo or no intervention, or sunlight, or that compare vitamin D supplementation of infants to supplementation of mothers., DATA COLLECTION AND ANALYSIS: Two review authors assessed trial eligibility and risk of bias and independently extracted data. We used the GRADE approach to assess the certainty of evidence., MAIN RESULTS: We included 19 studies with 2837 mother-infant pairs assessing vitamin D given to infants (nine studies), to lactating mothers (eight studies), and to infants versus lactating mothers (six studies). No studies compared vitamin D given to infants versus periods of infant sun exposure. Vitamin D supplementation given to infants: vitamin D at 400 IU/day may increase 25-OH vitamin D levels (MD 22.63 nmol/L, 95% CI 17.05 to 28.21; participants = 334; studies = 6; low-certainty) and may reduce the incidence of vitamin D insufficiency (25-OH vitamin D &lt; 50 nmol/L) (RR 0.57, 95% CI 0.41 to 0.80; participants = 274; studies = 4; low-certainty). However, there was insufficient evidence to determine if vitamin D given to the infant reduces the risk of vitamin D deficiency (25-OH vitamin D &lt; 30 nmol/L) up till six months of age (RR 0.41, 95% CI 0.16 to 1.05; participants = 122; studies = 2), affects bone mineral content (BMC), or the incidence of biochemical or radiological rickets (all very-low certainty). We are uncertain about adverse effects including hypercalcaemia. There were no studies of higher doses of infant vitamin D (&gt; 400 IU/day) compared to placebo. Vitamin D supplementation given to lactating mothers: vitamin D supplementation given to lactating mothers may increase infant 25-OH vitamin D levels (MD 24.60 nmol/L, 95% CI 21.59 to 27.60; participants = 597; studies = 7; low-certainty), may reduce the incidences of vitamin D insufficiency (RR 0.47, 95% CI 0.39 to 0.57; participants = 512; studies = 5; low-certainty), vitamin D deficiency (RR 0.15, 95% CI 0.09 to 0.24; participants = 512; studies = 5; low-certainty) and biochemical rickets (RR 0.06, 95% CI 0.01 to 0.44; participants = 229; studies = 2; low-certainty). The two studies that reported biochemical rickets used maternal dosages of oral D3 60,000 IU/day for 10 days and oral D3 60,000 IU postpartum and at 6, 10, and 14 weeks. However, infant BMC was not reported and there was insufficient evidence to determine if maternal supplementation has an effect on radiological rickets (RR 0.76, 95% CI 0.18 to 3.31; participants = 536; studies = 3; very low-certainty). All studies of maternal supplementation enrolled populations at high risk of vitamin D deficiency. We are uncertain of the effects of maternal supplementation on infant growth and adverse effects including hypercalcaemia. Vitamin D supplementation given to infants compared with supplementation given to lactating mothers: infant vitamin D supplementation compared to lactating mother supplementation may increase infant 25-OH vitamin D levels (MD 14.35 nmol/L, 95% CI 9.64 to 19.06; participants = 269; studies = 4; low-certainty). Infant vitamin D supplementation may reduce the incidence of vitamin D insufficiency (RR 0.61, 95% CI 0.40 to 0.94; participants = 334; studies = 4) and may reduce vita in D deficiency (RR 0.35, 95% CI 0.17 to 0.72; participants = 334; studies = 4) but the evidence is very uncertain. Infant BMC and radiological rickets were not reported and there was insufficient evidence to determine if maternal supplementation has an effect on infant biochemical rickets. All studies enrolled patient populations at high risk of vitamin D deficiency. Studies compared an infant dose of vitamin D 400 IU/day with varying maternal vitamin D doses from 400 IU/day to &gt; 4000 IU/day. We are uncertain about adverse effects including hypercalcaemia., AUTHORS' CONCLUSIONS: For breastfed infants, vitamin D supplementation 400 IU/day for up to six months increases 25-OH vitamin D levels and reduces vitamin D insufficiency, but there was insufficient evidence to assess its effect on vitamin D deficiency and bone health. For higher-risk infants who are breastfeeding, maternal vitamin D supplementation reduces vitamin D insufficiency and vitamin D deficiency, but there was insufficient evidence to determine an effect on bone health. In populations at higher risk of vitamin D deficiency, vitamin D supplementation of infants led to greater increases in infant 25-OH vitamin D levels, reductions in vitamin D insufficiency and vitamin D deficiency compared to supplementation of lactating mothers. However, the evidence is very uncertain for markers of bone health. Maternal higher dose supplementation (&gt;= 4000 IU/day) produced similar infant 25-OH vitamin D levels as infant supplementation of 400 IU/day. The certainty of evidence was graded as low to very low for all outcomes. Copyright © 2020 The Cochrane Collaboration. Published by John Wiley &amp; Sons, Ltd.","archive":"Ovid MEDLINE(R) &lt;2020&gt;","container-title":"The Cochrane database of systematic reviews","DOI":"10.1002/14651858.CD013046.pub2","ISSN":"1469-493X 1361-6137","note":"section: Tan, May Loong. Department of Paediatrics, RCSI &amp; UCD Malaysia Campus (formerly Penang Medical College), George Town, Malaysia. Abrams, Steven A. Department of Pediatrics, Dell Medical School, The University of Texas at Austin, Austin, Texas, USA. Osborn, David A. Central Clinical School, School of Medicine, The University of Sydney, Sydney, Australia.","page":"CD013046","title":"Vitamin D supplementation for term breastfed infants to prevent vitamin D deficiency and improve bone health","volume":"12","author":[{"family":"Tan","given":"May Loong"},{"family":"Abrams","given":"Steven A."},{"family":"Osborn","given":"David A."}],"issued":{"date-parts":[["2020"]]}}}],"schema":"https://github.com/citation-style-language/schema/raw/master/csl-citation.json"} </w:instrText>
      </w:r>
      <w:r w:rsidRPr="000F2648">
        <w:rPr>
          <w:lang w:val="en-NZ"/>
        </w:rPr>
        <w:fldChar w:fldCharType="separate"/>
      </w:r>
      <w:r w:rsidRPr="000F2648">
        <w:rPr>
          <w:lang w:val="en-NZ"/>
        </w:rPr>
        <w:t>(Tan et al., 2020)</w:t>
      </w:r>
      <w:r w:rsidRPr="000F2648">
        <w:rPr>
          <w:lang w:val="en-NZ"/>
        </w:rPr>
        <w:fldChar w:fldCharType="end"/>
      </w:r>
      <w:r w:rsidRPr="000F2648">
        <w:rPr>
          <w:lang w:val="en-NZ"/>
        </w:rPr>
        <w:t xml:space="preserve">.  </w:t>
      </w:r>
    </w:p>
    <w:p w14:paraId="1A94E276" w14:textId="77777777" w:rsidR="000F2648" w:rsidRPr="000F2648" w:rsidRDefault="000F2648" w:rsidP="000F2648">
      <w:pPr>
        <w:rPr>
          <w:lang w:val="en-NZ"/>
        </w:rPr>
      </w:pPr>
      <w:r w:rsidRPr="000F2648">
        <w:rPr>
          <w:lang w:val="en-NZ"/>
        </w:rPr>
        <w:t xml:space="preserve">In a 2022 systematic review with meta-analysis, doses of vitamin D supplementation provided to pregnant women higher than 4,000 to 6,000 International Units per day were associated with an increase in vitamin D concentration in newborns of supplemented mothers compared to placebo </w:t>
      </w:r>
      <w:r w:rsidRPr="000F2648">
        <w:rPr>
          <w:lang w:val="en-NZ"/>
        </w:rPr>
        <w:fldChar w:fldCharType="begin"/>
      </w:r>
      <w:r w:rsidRPr="000F2648">
        <w:rPr>
          <w:lang w:val="en-NZ"/>
        </w:rPr>
        <w:instrText xml:space="preserve"> ADDIN ZOTERO_ITEM CSL_CITATION {"citationID":"bpKxRfgr","properties":{"formattedCitation":"(Colonetti et al., 2022)","plainCitation":"(Colonetti et al., 2022)","noteIndex":0},"citationItems":[{"id":"Ej0KP8LN/aKcn8hcV","uris":["http://zotero.org/users/8039573/items/29PHHIJC"],"itemData":{"id":6122,"type":"article-journal","abstract":"Objectives: to assess the effects of vitamin D supplementation during pregnancy on the outcomes of vitamin D concentration in newborns, length at birth, overall health (Apgar), birth weight and maternal vitamin D concentration after childbirth. Methods: this research was conducted in the electronic databases of MEDLINE, LILACS, EMBASE and Cochrane Library until December 2020, using the terms “vitamin D”, “pregnancy”, “vitamin D deficiency”, “infant”, “newborn” and their synonyms. Randomized controlled trials were searched by evaluating the effects of maternal vitamin D supplementation in neonates. The data was analyzed on RevMan 5.4 software and the quality of evidence on GRADE. Results: the newborn’s overall health condition was presented as Apgar, with a mean difference (MD) of 0.15 (CI95%=0.06-0.25; p=0.002; I²=0%, two studies, 648 participants, moderate quality evidence) at the first minute and 0.11 (CI95%=0.04-0.17; p=0.001; I²=0%, two studies, 648 participants, moderate quality evidence) at the fifth minute. Significant effects were also presented at the length at birth considering any supplemented dose (MD=0.19; CI95%=0.08-0.30; p=0.0010; I²=0%, 1452 participants, low quality evidence) and birth weight in doses higher than 4000IU/day (MD=257.05 (CI95%=137.81-376.29; p&lt;0.0001; I²=14%, 176 participants, moderate quality evidence). Conclusion: vitamin D supplementation during pregnancy improves serum 25 (OH) D concentration and suggests positive effects on overall health condition, length at birth and birth weight.","archive":"Embase","container-title":"Revista Brasileira de Saude Materno Infantil","DOI":"10.1590/1806-9304202200020002","ISSN":"1519-3829","issue":"2","language":"English","page":"199-211","title":"Vitamin D supplementation during pregnancy to prevent vitamin D deficiency in newborns: a systematic review and meta-analysis","volume":"22","author":[{"family":"Colonetti","given":"T."},{"family":"Paulino","given":"A. S."},{"family":"Sartor","given":"J. P."},{"family":"Grande","given":"A. J."},{"family":"Colonetti","given":"L."},{"family":"Rosa","given":"M. I.","non-dropping-particle":"da"}],"issued":{"date-parts":[["2022"]]}}}],"schema":"https://github.com/citation-style-language/schema/raw/master/csl-citation.json"} </w:instrText>
      </w:r>
      <w:r w:rsidRPr="000F2648">
        <w:rPr>
          <w:lang w:val="en-NZ"/>
        </w:rPr>
        <w:fldChar w:fldCharType="separate"/>
      </w:r>
      <w:r w:rsidRPr="000F2648">
        <w:rPr>
          <w:lang w:val="en-NZ"/>
        </w:rPr>
        <w:t>(Colonetti et al., 2022)</w:t>
      </w:r>
      <w:r w:rsidRPr="000F2648">
        <w:rPr>
          <w:lang w:val="en-NZ"/>
        </w:rPr>
        <w:fldChar w:fldCharType="end"/>
      </w:r>
      <w:r w:rsidRPr="000F2648">
        <w:rPr>
          <w:lang w:val="en-NZ"/>
        </w:rPr>
        <w:t xml:space="preserve">. </w:t>
      </w:r>
    </w:p>
    <w:p w14:paraId="5CC083E9" w14:textId="77777777" w:rsidR="000F2648" w:rsidRPr="000F2648" w:rsidRDefault="000F2648" w:rsidP="000F2648">
      <w:pPr>
        <w:rPr>
          <w:lang w:val="en-NZ"/>
        </w:rPr>
      </w:pPr>
      <w:r w:rsidRPr="000F2648">
        <w:rPr>
          <w:lang w:val="en-NZ"/>
        </w:rPr>
        <w:t xml:space="preserve">A 2018 systematic review found that maternal vitamin D supplementation during pregnancy was associated with reduced risk of neonatal mortality and small for gestational age </w:t>
      </w:r>
      <w:r w:rsidRPr="000F2648">
        <w:rPr>
          <w:lang w:val="en-NZ"/>
        </w:rPr>
        <w:fldChar w:fldCharType="begin"/>
      </w:r>
      <w:r w:rsidRPr="000F2648">
        <w:rPr>
          <w:lang w:val="en-NZ"/>
        </w:rPr>
        <w:instrText xml:space="preserve"> ADDIN ZOTERO_ITEM CSL_CITATION {"citationID":"7Gx9ecwz","properties":{"formattedCitation":"(Bi &amp; Wei, 2018)","plainCitation":"(Bi &amp; Wei, 2018)","noteIndex":0},"citationItems":[{"id":"Ej0KP8LN/sJnWItbh","uris":["http://zotero.org/users/8039573/items/5WPXC9CE"],"itemData":{"id":7808,"type":"article-journal","abstract":"OBJECTIVE: To assess the effect of vitamin D supplementation during pregnancy on offspring morbidity and mortality. STUDY DESIGN: Systematic review and meta-analysis of randomized controlled trials that have evaluated the effect of vitamin D supplementation during pregnancy on offspring outcomes. We searched electronic databases in PubMed, Embase and the Cochrane Central Register of Controlled Trials up to July 2017. The quality of eligible studies was assessed according to the Cochrane Risk Assessment Tool. Data were pooled, where possible, using a fixed effect model, or a random effects model when heterogeneity between studies appeared substantial. We used the GRADE approach to evaluate the quality of evidence. RESULTS: Twenty-four RCTs involving 5363 participants met the inclusion criteria. Vitamin D supplementation during pregnancy was not associated with risk of fetal or neonatal mortality [risk ratio (RR): 0.72, 95% confidence interval (CI) 0.47 to 1.11)]. Subgroup analysis shows that vitamin D supplementation in third trimester of pregnancy was associated with reduced risk of fetal or neonatal mortality (RR 0.25, 95% CI 0.07 to 0.85). Neonates with prenatal vitamin D supplementation had higher mean levels of 25-hydroxyvitamin D [25(OH)D] (nmol/L) [mean difference (MD): 29.10, 95% CI 20.48 to 37.73] and a greater proportion achieving 25(OH)D 50 nmol/L (RR 2.42, 95% CI 1.96 to 2.98). Newborns with prenatal vitamin D supplements had significantly higher Apgar scores at 1 minute (MD: 0.09, 95% CI 0.01 to 0.17) and at 5 minutes (MD: 0.08, 95% CI 0.02 to 0.14). Vitamin D supplementation during pregnancy had no effect on offspring congenital malformation (RR 0.94, 95% CI 0.61 to 1.43) or neonatal hospitalization (RR 1.11, 95% CI 0.82 to 1.51). Maternal vitamin D supplementation during pregnancy decreased risk of small for gestational age (SGA) (RR 0.72, 95%CI 0.52 to 0.99). The number needed to treat (NNT) was 18: for every 18 pregnant women treated by vitamin D supplementation, one SGA is avoided. Maternal vitamin D supplementation during pregnancy decreased risk of wheezing (RR 0.80, 95% CI 0.65 to 0.97) but not asthma (RR 0.63, 95% CI 0.36 to 1.11) in offspring at age 3 years. CONCLUSION: Vitamin D supplementation during pregnancy reduces risk of fetal or neonatal mortality, SGA and wheezing in the offspring at age 3 years.","archive":"Embase","container-title":"American Journal of Obstetrics and Gynecology","ISSN":"1097-6868","issue":"1","language":"English","page":"S442","title":"Vitamin D supplementation during pregnancy and offspring mortality and morbidity: A systematic review","volume":"218","author":[{"family":"Bi","given":"W. G."},{"family":"Wei","given":"S. Q."}],"issued":{"date-parts":[["2018"]]}}}],"schema":"https://github.com/citation-style-language/schema/raw/master/csl-citation.json"} </w:instrText>
      </w:r>
      <w:r w:rsidRPr="000F2648">
        <w:rPr>
          <w:lang w:val="en-NZ"/>
        </w:rPr>
        <w:fldChar w:fldCharType="separate"/>
      </w:r>
      <w:r w:rsidRPr="000F2648">
        <w:rPr>
          <w:lang w:val="en-NZ"/>
        </w:rPr>
        <w:t>(Bi &amp; Wei, 2018)</w:t>
      </w:r>
      <w:r w:rsidRPr="000F2648">
        <w:rPr>
          <w:lang w:val="en-NZ"/>
        </w:rPr>
        <w:fldChar w:fldCharType="end"/>
      </w:r>
      <w:r w:rsidRPr="000F2648">
        <w:rPr>
          <w:lang w:val="en-NZ"/>
        </w:rPr>
        <w:t xml:space="preserve">. It is still unclear what the optimal maternal vitamin D supplementation dose or ideal time to begin supplementation, as studies use variable dosages and timings. </w:t>
      </w:r>
    </w:p>
    <w:p w14:paraId="60916094" w14:textId="77777777" w:rsidR="000F2648" w:rsidRPr="000F2648" w:rsidRDefault="000F2648" w:rsidP="000F2648">
      <w:pPr>
        <w:rPr>
          <w:lang w:val="en-NZ"/>
        </w:rPr>
      </w:pPr>
      <w:r w:rsidRPr="000F2648">
        <w:rPr>
          <w:lang w:val="en-NZ"/>
        </w:rPr>
        <w:t xml:space="preserve">Maternal vitamin D supplementation has also been assessed in an Aotearoa New Zealand context with a high-quality randomised controlled trial (RCT) </w:t>
      </w:r>
      <w:r w:rsidRPr="000F2648">
        <w:rPr>
          <w:lang w:val="en-NZ"/>
        </w:rPr>
        <w:fldChar w:fldCharType="begin"/>
      </w:r>
      <w:r w:rsidRPr="000F2648">
        <w:rPr>
          <w:lang w:val="en-NZ"/>
        </w:rPr>
        <w:instrText xml:space="preserve"> ADDIN ZOTERO_ITEM CSL_CITATION {"citationID":"lKeh0Tcx","properties":{"formattedCitation":"(Wheeler et al., 2016)","plainCitation":"(Wheeler et al., 2016)","noteIndex":0},"citationItems":[{"id":"Ej0KP8LN/yCfMowyt","uris":["http://zotero.org/users/8039573/items/4QBUSPTG"],"itemData":{"id":5900,"type":"article-journal","abstract":"Background: Many countries recommend daily infant vitamin D supplementation during breastfeeding, but compliance is often poor. A monthly, high-dose maternal regimen may offer an alternative strategy, but its efficacy is unknown.Objective: The objective of the study was to determine the effect of 2 different monthly maternal doses of cholecalciferol on maternal and infant 25-hydroxyvitamin D [25(OH)D] status during the first 5 mo of breastfeeding.Methods: With the use of a randomized, double-blind, placebo-controlled design, women who were planning to exclusively breastfeed for 6 mo (n = 90; mean age: 32.1 y; 71% exclusively breastfeeding at week 20) were randomly assigned to receive either cholecalciferol (50,000 or 100,000 IU) or a placebo monthly from week 4 to week 20 postpartum. The treatment effects relative to placebo were estimated as changes in maternal and infant serum 25(OH)D from baseline to week 20 postpartum by using a linear fixed-effects regression model. Additional secondary analyses, adjusted for potential confounders such as season of birth, vitamin D–fortified formula intake, and infant or maternal skin color, were also conducted.Results: After 16 wk of supplementation, changes in maternal serum 25(OH)D were significantly higher in the 50,000-IU/mo (12.8 nmol/L; 95% CI: 0.4, 25.2 nmol/L) and 100,000-IU/mo (21.5 nmol/L; 95% CI: 9.2, 33.8 nmol/L) groups than in the placebo group (P = 0.43 and P &amp;lt; 0.001, respectively). For infants, the unadjusted mean changes in serum 25(OH)D were 4.5 nmol/L (95% CI: −16.2, 25.0 nmol/L) for the 50,000-IU/mo group and 15.8 nmol/L (95% CI: −4.7, 36.4 nmol/L) for the 100,000-IU/mo group, but the changes did not differ from the placebo reference group. However, after adjustment for season of birth, vitamin D–fortified formula intake, and infant skin color, the mean change effect size for the 100,000-IU/mo group was 19.1 nmol/L (95% CI: 2.5, 35.6 nmol/L; P = 0.025) higher than that in the placebo group.Conclusions: Maternal cholecalciferol supplementation at a dose of 100,000 IU/mo during the first 5 mo of breastfeeding potentially benefits infant vitamin D status. Further studies are required to determine optimum dose and dosing frequency. This trial was registered at www.anzctr.org.au as ACTRN12611000108910.","container-title":"The Journal of Nutrition","DOI":"10.3945/jn.116.236679","ISSN":"0022-3166","issue":"10","journalAbbreviation":"The Journal of Nutrition","page":"1999-2006","title":"High-Dose Monthly Maternal Cholecalciferol Supplementation during Breastfeeding Affects Maternal and Infant Vitamin D Status at 5 Months Postpartum: A Randomized Controlled Trial","volume":"146","author":[{"family":"Wheeler","given":"Benjamin J"},{"family":"Taylor","given":"Barry J"},{"family":"Herbison","given":"Peter"},{"family":"Haszard","given":"Jillian J"},{"family":"Mikhail","given":"Adel"},{"family":"Jones","given":"Shirley"},{"family":"Harper","given":"Michelle J"},{"family":"Houghton","given":"Lisa A"}],"issued":{"date-parts":[["2016",10,1]]}}}],"schema":"https://github.com/citation-style-language/schema/raw/master/csl-citation.json"} </w:instrText>
      </w:r>
      <w:r w:rsidRPr="000F2648">
        <w:rPr>
          <w:lang w:val="en-NZ"/>
        </w:rPr>
        <w:fldChar w:fldCharType="separate"/>
      </w:r>
      <w:r w:rsidRPr="000F2648">
        <w:rPr>
          <w:lang w:val="en-NZ"/>
        </w:rPr>
        <w:t>(Wheeler et al., 2016)</w:t>
      </w:r>
      <w:r w:rsidRPr="000F2648">
        <w:rPr>
          <w:lang w:val="en-NZ"/>
        </w:rPr>
        <w:fldChar w:fldCharType="end"/>
      </w:r>
      <w:r w:rsidRPr="000F2648">
        <w:rPr>
          <w:lang w:val="en-NZ"/>
        </w:rPr>
        <w:t xml:space="preserve">. Women planning to exclusively breastfeed were provided with either a dose of 50,000 International Units per month,100,000 International Units per month or a placebo monthly from weeks 4 to 20 postpartum. Changes in maternal serum 25(OH)D at 20 weeks were higher in the 50,000 International Units per month and 100,000 International Units per month group compared to placebo. Unadjusted changes in infant serum 25(OH)D were no different between supplementation arms and placebo group. However, when adjusted for potential confounders including season of birth, formula intake and infant skin colour, the mean change effect size for the breastfed infant 25(OH)D for mothers supplemented with 100,000 International Units per month group was significantly higher than the placebo group. </w:t>
      </w:r>
    </w:p>
    <w:p w14:paraId="1267B970" w14:textId="77777777" w:rsidR="00B67037" w:rsidRPr="00B67037" w:rsidRDefault="00B67037" w:rsidP="00B67037">
      <w:pPr>
        <w:pStyle w:val="Heading4"/>
      </w:pPr>
      <w:r w:rsidRPr="00B67037">
        <w:t>Infancy</w:t>
      </w:r>
    </w:p>
    <w:p w14:paraId="3041BC1B" w14:textId="77777777" w:rsidR="00B67037" w:rsidRPr="00B67037" w:rsidRDefault="00B67037" w:rsidP="00B67037">
      <w:pPr>
        <w:rPr>
          <w:lang w:val="en-NZ"/>
        </w:rPr>
      </w:pPr>
      <w:r w:rsidRPr="00B67037">
        <w:rPr>
          <w:lang w:val="en-NZ"/>
        </w:rPr>
        <w:t xml:space="preserve">A Cochrane review and meta-analysis including 19 randomised controlled trials determined the effect of vitamin D supplementation on infant vitamin D status (deficiency and insufficiency), nutritional rickets and adverse effects such as  hypercalcaemia </w:t>
      </w:r>
      <w:r w:rsidRPr="00B67037">
        <w:rPr>
          <w:lang w:val="en-NZ"/>
        </w:rPr>
        <w:fldChar w:fldCharType="begin"/>
      </w:r>
      <w:r w:rsidRPr="00B67037">
        <w:rPr>
          <w:lang w:val="en-NZ"/>
        </w:rPr>
        <w:instrText xml:space="preserve"> ADDIN ZOTERO_ITEM CSL_CITATION {"citationID":"5p0mlDUx","properties":{"formattedCitation":"(Tan et al., 2020)","plainCitation":"(Tan et al., 2020)","noteIndex":0},"citationItems":[{"id":"Ej0KP8LN/5taKLLIa","uris":["http://zotero.org/users/8039573/items/NTE3LMAZ"],"itemData":{"id":"Fkgi5dOG/PQbBCABM","type":"article-journal","abstract":"BACKGROUND: Vitamin D deficiency is common worldwide, contributing to nutritional rickets and osteomalacia which have a major impact on health, growth, and development of infants, children and adolescents. Vitamin D levels are low in breast milk and exclusively breastfed infants are at risk of vitamin D insufficiency or deficiency., OBJECTIVES: To determine the effect of vitamin D supplementation given to infants, or lactating mothers, on vitamin D deficiency, bone density and growth in healthy term breastfed infants., SEARCH METHODS: We used the standard search strategy of Cochrane Neonatal to 29 May 2020 supplemented by searches of clinical trials databases, conference proceedings, and citations., SELECTION CRITERIA: Randomised controlled trials (RCTs) and quasi-RCTs in breastfeeding mother-infant pairs comparing vitamin D supplementation given to infants or lactating mothers compared to placebo or no intervention, or sunlight, or that compare vitamin D supplementation of infants to supplementation of mothers., DATA COLLECTION AND ANALYSIS: Two review authors assessed trial eligibility and risk of bias and independently extracted data. We used the GRADE approach to assess the certainty of evidence., MAIN RESULTS: We included 19 studies with 2837 mother-infant pairs assessing vitamin D given to infants (nine studies), to lactating mothers (eight studies), and to infants versus lactating mothers (six studies). No studies compared vitamin D given to infants versus periods of infant sun exposure. Vitamin D supplementation given to infants: vitamin D at 400 IU/day may increase 25-OH vitamin D levels (MD 22.63 nmol/L, 95% CI 17.05 to 28.21; participants = 334; studies = 6; low-certainty) and may reduce the incidence of vitamin D insufficiency (25-OH vitamin D &lt; 50 nmol/L) (RR 0.57, 95% CI 0.41 to 0.80; participants = 274; studies = 4; low-certainty). However, there was insufficient evidence to determine if vitamin D given to the infant reduces the risk of vitamin D deficiency (25-OH vitamin D &lt; 30 nmol/L) up till six months of age (RR 0.41, 95% CI 0.16 to 1.05; participants = 122; studies = 2), affects bone mineral content (BMC), or the incidence of biochemical or radiological rickets (all very-low certainty). We are uncertain about adverse effects including hypercalcaemia. There were no studies of higher doses of infant vitamin D (&gt; 400 IU/day) compared to placebo. Vitamin D supplementation given to lactating mothers: vitamin D supplementation given to lactating mothers may increase infant 25-OH vitamin D levels (MD 24.60 nmol/L, 95% CI 21.59 to 27.60; participants = 597; studies = 7; low-certainty), may reduce the incidences of vitamin D insufficiency (RR 0.47, 95% CI 0.39 to 0.57; participants = 512; studies = 5; low-certainty), vitamin D deficiency (RR 0.15, 95% CI 0.09 to 0.24; participants = 512; studies = 5; low-certainty) and biochemical rickets (RR 0.06, 95% CI 0.01 to 0.44; participants = 229; studies = 2; low-certainty). The two studies that reported biochemical rickets used maternal dosages of oral D3 60,000 IU/day for 10 days and oral D3 60,000 IU postpartum and at 6, 10, and 14 weeks. However, infant BMC was not reported and there was insufficient evidence to determine if maternal supplementation has an effect on radiological rickets (RR 0.76, 95% CI 0.18 to 3.31; participants = 536; studies = 3; very low-certainty). All studies of maternal supplementation enrolled populations at high risk of vitamin D deficiency. We are uncertain of the effects of maternal supplementation on infant growth and adverse effects including hypercalcaemia. Vitamin D supplementation given to infants compared with supplementation given to lactating mothers: infant vitamin D supplementation compared to lactating mother supplementation may increase infant 25-OH vitamin D levels (MD 14.35 nmol/L, 95% CI 9.64 to 19.06; participants = 269; studies = 4; low-certainty). Infant vitamin D supplementation may reduce the incidence of vitamin D insufficiency (RR 0.61, 95% CI 0.40 to 0.94; participants = 334; studies = 4) and may reduce vita in D deficiency (RR 0.35, 95% CI 0.17 to 0.72; participants = 334; studies = 4) but the evidence is very uncertain. Infant BMC and radiological rickets were not reported and there was insufficient evidence to determine if maternal supplementation has an effect on infant biochemical rickets. All studies enrolled patient populations at high risk of vitamin D deficiency. Studies compared an infant dose of vitamin D 400 IU/day with varying maternal vitamin D doses from 400 IU/day to &gt; 4000 IU/day. We are uncertain about adverse effects including hypercalcaemia., AUTHORS' CONCLUSIONS: For breastfed infants, vitamin D supplementation 400 IU/day for up to six months increases 25-OH vitamin D levels and reduces vitamin D insufficiency, but there was insufficient evidence to assess its effect on vitamin D deficiency and bone health. For higher-risk infants who are breastfeeding, maternal vitamin D supplementation reduces vitamin D insufficiency and vitamin D deficiency, but there was insufficient evidence to determine an effect on bone health. In populations at higher risk of vitamin D deficiency, vitamin D supplementation of infants led to greater increases in infant 25-OH vitamin D levels, reductions in vitamin D insufficiency and vitamin D deficiency compared to supplementation of lactating mothers. However, the evidence is very uncertain for markers of bone health. Maternal higher dose supplementation (&gt;= 4000 IU/day) produced similar infant 25-OH vitamin D levels as infant supplementation of 400 IU/day. The certainty of evidence was graded as low to very low for all outcomes. Copyright © 2020 The Cochrane Collaboration. Published by John Wiley &amp; Sons, Ltd.","archive":"Ovid MEDLINE(R) &lt;2020&gt;","container-title":"The Cochrane database of systematic reviews","DOI":"10.1002/14651858.CD013046.pub2","ISSN":"1469-493X 1361-6137","note":"section: Tan, May Loong. Department of Paediatrics, RCSI &amp; UCD Malaysia Campus (formerly Penang Medical College), George Town, Malaysia. Abrams, Steven A. Department of Pediatrics, Dell Medical School, The University of Texas at Austin, Austin, Texas, USA. Osborn, David A. Central Clinical School, School of Medicine, The University of Sydney, Sydney, Australia.","page":"CD013046","title":"Vitamin D supplementation for term breastfed infants to prevent vitamin D deficiency and improve bone health","volume":"12","author":[{"family":"Tan","given":"May Loong"},{"family":"Abrams","given":"Steven A."},{"family":"Osborn","given":"David A."}],"issued":{"date-parts":[["2020"]]}}}],"schema":"https://github.com/citation-style-language/schema/raw/master/csl-citation.json"} </w:instrText>
      </w:r>
      <w:r w:rsidRPr="00B67037">
        <w:rPr>
          <w:lang w:val="en-NZ"/>
        </w:rPr>
        <w:fldChar w:fldCharType="separate"/>
      </w:r>
      <w:r w:rsidRPr="00B67037">
        <w:rPr>
          <w:lang w:val="en-NZ"/>
        </w:rPr>
        <w:t>(Tan et al., 2020)</w:t>
      </w:r>
      <w:r w:rsidRPr="00B67037">
        <w:rPr>
          <w:lang w:val="en-NZ"/>
        </w:rPr>
        <w:fldChar w:fldCharType="end"/>
      </w:r>
      <w:r w:rsidRPr="00B67037">
        <w:rPr>
          <w:lang w:val="en-NZ"/>
        </w:rPr>
        <w:t>. Healthy term infants and breastfeeding mothers were included (n = 2,837 infant-mother pairs) and the effect of vitamin D supplementation to each group were considered. The review found that for breastfed infants up to six months of age, compared to placebo vitamin D supplementation at 400 International Units per day may:</w:t>
      </w:r>
    </w:p>
    <w:p w14:paraId="64DA256A" w14:textId="77777777" w:rsidR="00B67037" w:rsidRPr="00B67037" w:rsidRDefault="00B67037" w:rsidP="00B67037">
      <w:pPr>
        <w:pStyle w:val="Bulletpoints"/>
        <w:rPr>
          <w:lang w:val="en-NZ"/>
        </w:rPr>
      </w:pPr>
      <w:r w:rsidRPr="00B67037">
        <w:rPr>
          <w:lang w:val="en-NZ"/>
        </w:rPr>
        <w:lastRenderedPageBreak/>
        <w:t xml:space="preserve">increase 25(OH)D levels: mean difference: 22.63 nanomoles per litre; 95% CI: 17.05, 28.21; participants = 334; studies = 6; </w:t>
      </w:r>
      <w:proofErr w:type="gramStart"/>
      <w:r w:rsidRPr="00B67037">
        <w:rPr>
          <w:lang w:val="en-NZ"/>
        </w:rPr>
        <w:t>low</w:t>
      </w:r>
      <w:r w:rsidRPr="00B67037">
        <w:rPr>
          <w:rFonts w:ascii="Cambria Math" w:hAnsi="Cambria Math" w:cs="Cambria Math"/>
          <w:lang w:val="en-NZ"/>
        </w:rPr>
        <w:t>‐</w:t>
      </w:r>
      <w:r w:rsidRPr="00B67037">
        <w:rPr>
          <w:lang w:val="en-NZ"/>
        </w:rPr>
        <w:t>certainty</w:t>
      </w:r>
      <w:proofErr w:type="gramEnd"/>
      <w:r w:rsidRPr="00B67037">
        <w:rPr>
          <w:lang w:val="en-NZ"/>
        </w:rPr>
        <w:t xml:space="preserve"> (upper and lower levels not reported) </w:t>
      </w:r>
    </w:p>
    <w:p w14:paraId="1FDA3C1C" w14:textId="77777777" w:rsidR="00B67037" w:rsidRPr="00B67037" w:rsidRDefault="00B67037" w:rsidP="00B67037">
      <w:pPr>
        <w:pStyle w:val="Bulletpoints"/>
        <w:rPr>
          <w:lang w:val="en-NZ"/>
        </w:rPr>
      </w:pPr>
      <w:r w:rsidRPr="00B67037">
        <w:rPr>
          <w:lang w:val="en-NZ"/>
        </w:rPr>
        <w:t xml:space="preserve">reduce vitamin D insufficiency: RR=0.57; 95% CI: 0.41, 0.8. </w:t>
      </w:r>
    </w:p>
    <w:p w14:paraId="1240C788" w14:textId="77777777" w:rsidR="00B67037" w:rsidRPr="00B67037" w:rsidRDefault="00B67037" w:rsidP="00B67037">
      <w:pPr>
        <w:rPr>
          <w:lang w:val="en-NZ"/>
        </w:rPr>
      </w:pPr>
      <w:r w:rsidRPr="00B67037">
        <w:rPr>
          <w:lang w:val="en-NZ"/>
        </w:rPr>
        <w:t>Infant supplementation at 400 International Units per day may increase vitamin D levels to a point that reduces the incidence of insufficiency (25(OH)D &lt; 50 nanomoles per litre).</w:t>
      </w:r>
    </w:p>
    <w:p w14:paraId="5A335936" w14:textId="77777777" w:rsidR="00B67037" w:rsidRPr="00B67037" w:rsidRDefault="00B67037" w:rsidP="00B67037">
      <w:pPr>
        <w:rPr>
          <w:lang w:val="en-NZ"/>
        </w:rPr>
      </w:pPr>
      <w:r w:rsidRPr="00B67037">
        <w:rPr>
          <w:lang w:val="en-NZ"/>
        </w:rPr>
        <w:t xml:space="preserve">High-dose maternal supplementation of ≥ 4,000 International Units per day provided similar infant vitamin D levels to infant supplementation of 400 International Units per day, suggesting both maternal and infant supplementation are effective at increasing levels of vitamin D at these dosages.  </w:t>
      </w:r>
    </w:p>
    <w:p w14:paraId="7EF25E48" w14:textId="77777777" w:rsidR="00B67037" w:rsidRPr="00B67037" w:rsidRDefault="00B67037" w:rsidP="00B67037">
      <w:pPr>
        <w:rPr>
          <w:lang w:val="en-NZ"/>
        </w:rPr>
      </w:pPr>
      <w:r w:rsidRPr="00B67037">
        <w:rPr>
          <w:lang w:val="en-NZ"/>
        </w:rPr>
        <w:t xml:space="preserve">A systematic review and meta-analysis considered the effects of vitamin D supplementation during pregnancy on bone health and growth </w:t>
      </w:r>
      <w:r w:rsidRPr="00B67037">
        <w:rPr>
          <w:lang w:val="en-NZ"/>
        </w:rPr>
        <w:fldChar w:fldCharType="begin"/>
      </w:r>
      <w:r w:rsidRPr="00B67037">
        <w:rPr>
          <w:lang w:val="en-NZ"/>
        </w:rPr>
        <w:instrText xml:space="preserve"> ADDIN ZOTERO_ITEM CSL_CITATION {"citationID":"OtDfpAjd","properties":{"formattedCitation":"(Luo et al., 2022)","plainCitation":"(Luo et al., 2022)","noteIndex":0},"citationItems":[{"id":"Ej0KP8LN/PRGwR85M","uris":["http://zotero.org/users/8039573/items/JWNPY8RF"],"itemData":{"id":6463,"type":"article-journal","abstract":"BACKGROUND: Whether vitamin D supplementation during pregnancy is beneficial to bone health and offspring growth remains controversial. Moreover, there is no universal agreement regarding the appropriate dose and the time of commencement of vitamin D supplementation during pregnancy., OBJECTIVE: We aimed to systematically review the effects of vitamin D supplementation during pregnancy on bone development and offspring growth., METHODS: A literature search for randomized controlled trials (RCTs) was performed in 7 electronic databases to identify relevant studies about the effects of vitamin D supplementation during pregnancy on bone development and offspring growth from inception to May 22, 2022. A Cochrane Risk Assessment Tool was used for quality assessment. Vitamin D supplementation was compared with placebo or standard supplements. The effects are presented as the mean differences (MDs) with 95% CIs. The outcomes include bone mineral content (BMC), bone mineral density (BMD), bone area (BA), femur length (FL) and humeral length (HL); measurement indicators of growth, including length, weight and head circumference; and secondary outcome measures, including biochemical indicators of bone health, such as the serum 25(OH)D concentration. Additionally, subgroup analyses were carried out to evaluate the impact of different doses and different initiation times of supplementation with vitamin D., RESULTS: Twenty-three studies with 5390 participants met our inclusion criteria. Vitamin D supplementation during pregnancy was associated with increased humeral length (HL) (MD 0.13, 95% CI 0.06, 0.21, I2 = 0, P = 0.0007) during the fetal period (third trimester). Vitamin D supplementation during pregnancy was associated with a significantly increased length at birth (MD 0.14, 95% CI 0.04, 0.24, I2 = 24%, P = 0.005) and was associated with a higher cord blood 25(OH)D concentration (MD 48.74, 95% CI 8.47, 89.01, I2 = 100%, P = 0.02). Additionally, subgroup analysis revealed that birth length was significantly higher in the vitamin D intervention groups of &lt;=1000 IU/day and &gt;=4001 IU/day compared with the control group. Prenatal (third trimester) vitamin D supplementation was associated with a significant increase in birth length, while prenatal (second trimester) vitamin D supplementation was associated with a significant increase in birth weight., CONCLUSION: Vitamin D supplementation during pregnancy may be associated with increased humeral length (HL) in the uterus, increased body length at birth and higher cord blood 25(OH)D concentration. Evidence of its effect on long-term growth in children is lacking. Additional rigorous high-quality, long-term and larger randomized trials are required to more fully investigate the effects of vitamin D supplementation during pregnancy.","archive":"Ovid MEDLINE(R) &lt;2022&gt;","container-title":"PloS one","DOI":"10.1371/journal.pone.0276016","ISSN":"1932-6203","issue":"10","note":"section: Luo, Ting. Department of Pharmacy, West China Second University Hospital, Sichuan University, Chengdu, People's Republic of China. Luo, Ting. Evidence-Based Pharmacy Center, West China Second University Hospital, Sichuan University, Chengdu, People's Republic of China. Luo, Ting. Key Laboratory of Birth Defects and Related Diseases of Women and Children, Ministry of Education, Sichuan University, Chengdu, People's Republic of China. Lin, Yunzhu. Department of Pharmacy, West China Second University Hospital, Sichuan University, Chengdu, People's Republic of China. Lin, Yunzhu. Evidence-Based Pharmacy Center, West China Second University Hospital, Sichuan University, Chengdu, People's Republic of China. Lin, Yunzhu. Key Laboratory of Birth Defects and Related Diseases of Women and Children, Ministry of Education, Sichuan University, Chengdu, People's Republic of China. Lu, Jiayue. Department of Pharmacy, West China Second University Hospital, Sichuan University, Chengdu, People's Republic of China. Lu, Jiayue. Evidence-Based Pharmacy Center, West China Second University Hospital, Sichuan University, Chengdu, People's Republic of China. Lu, Jiayue. Key Laboratory of Birth Defects and Related Diseases of Women and Children, Ministry of Education, Sichuan University, Chengdu, People's Republic of China. Lian, Xianghong. Department of Pharmacy, West China Second University Hospital, Sichuan University, Chengdu, People's Republic of China. Lian, Xianghong. Evidence-Based Pharmacy Center, West China Second University Hospital, Sichuan University, Chengdu, People's Republic of China. Lian, Xianghong. Key Laboratory of Birth Defects and Related Diseases of Women and Children, Ministry of Education, Sichuan University, Chengdu, People's Republic of China. Guo, Yuanchao. Department of Pharmacy, West China Second University Hospital, Sichuan University, Chengdu, People's Republic of China. Guo, Yuanchao. Evidence-Based Pharmacy Center, West China Second University Hospital, Sichuan University, Chengdu, People's Republic of China. Guo, Yuanchao. Key Laboratory of Birth Defects and Related Diseases of Women and Children, Ministry of Education, Sichuan University, Chengdu, People's Republic of China. Han, Lu. Department of Pharmacy, West China Second University Hospital, Sichuan University, Chengdu, People's Republic of China. Han, Lu. Evidence-Based Pharmacy Center, West China Second University Hospital, Sichuan University, Chengdu, People's Republic of China. Han, Lu. Key Laboratory of Birth Defects and Related Diseases of Women and Children, Ministry of Education, Sichuan University, Chengdu, People's Republic of China. Guo, Yixin. Department of Pharmacy, West China Second University Hospital, Sichuan University, Chengdu, People's Republic of China. Guo, Yixin. Evidence-Based Pharmacy Center, West China Second University Hospital, Sichuan University, Chengdu, People's Republic of China. Guo, Yixin. Key Laboratory of Birth Defects and Related Diseases of Women and Children, Ministry of Education, Sichuan University, Chengdu, People's Republic of China.","page":"e0276016","title":"Effects of vitamin D supplementation during pregnancy on bone health and offspring growth: A systematic review and meta-analysis of randomized controlled trials","volume":"17","author":[{"family":"Luo","given":"Ting"},{"family":"Lin","given":"Yunzhu"},{"family":"Lu","given":"Jiayue"},{"family":"Lian","given":"Xianghong"},{"family":"Guo","given":"Yuanchao"},{"family":"Han","given":"Lu"},{"family":"Guo","given":"Yixin"}],"issued":{"date-parts":[["2022"]]}}}],"schema":"https://github.com/citation-style-language/schema/raw/master/csl-citation.json"} </w:instrText>
      </w:r>
      <w:r w:rsidRPr="00B67037">
        <w:rPr>
          <w:lang w:val="en-NZ"/>
        </w:rPr>
        <w:fldChar w:fldCharType="separate"/>
      </w:r>
      <w:r w:rsidRPr="00B67037">
        <w:rPr>
          <w:lang w:val="en-NZ"/>
        </w:rPr>
        <w:t>(Luo et al., 2022)</w:t>
      </w:r>
      <w:r w:rsidRPr="00B67037">
        <w:rPr>
          <w:lang w:val="en-NZ"/>
        </w:rPr>
        <w:fldChar w:fldCharType="end"/>
      </w:r>
      <w:r w:rsidRPr="00B67037">
        <w:rPr>
          <w:lang w:val="en-NZ"/>
        </w:rPr>
        <w:t xml:space="preserve">. It found maternal supplementation during pregnancy (at a range of doses from 400 to 4,400 International Units per day, plus fortnightly, and monthly doses) was associated with increased humeral length in the uterus and body length at birth, as well as higher cord blood 25(OH)D concentration.  </w:t>
      </w:r>
    </w:p>
    <w:p w14:paraId="3317DF0D" w14:textId="77777777" w:rsidR="00B67037" w:rsidRPr="00B67037" w:rsidRDefault="00B67037" w:rsidP="00B67037">
      <w:pPr>
        <w:rPr>
          <w:lang w:val="en-NZ"/>
        </w:rPr>
      </w:pPr>
      <w:r w:rsidRPr="00B67037">
        <w:rPr>
          <w:lang w:val="en-NZ"/>
        </w:rPr>
        <w:t xml:space="preserve">An Aotearoa New Zealand randomised control trial provided daily vitamin D supplement to pregnant women from 27 weeks’ gestation and their infants from birth until 6 months of age compared to placebo. It found positive effects on both reduction in primary care visits due to ARIs, the proportion of infants with serum 25(OH)D ≥ 50 nanomoles per millilitre </w:t>
      </w:r>
      <w:r w:rsidRPr="00B67037">
        <w:rPr>
          <w:lang w:val="en-NZ"/>
        </w:rPr>
        <w:fldChar w:fldCharType="begin"/>
      </w:r>
      <w:r w:rsidRPr="00B67037">
        <w:rPr>
          <w:lang w:val="en-NZ"/>
        </w:rPr>
        <w:instrText xml:space="preserve"> ADDIN ZOTERO_ITEM CSL_CITATION {"citationID":"TgOX76kC","properties":{"formattedCitation":"(C. C. Grant et al., 2014)","plainCitation":"(C. C. Grant et al., 2014)","dontUpdate":true,"noteIndex":0},"citationItems":[{"id":"Ej0KP8LN/4a9d82Lm","uris":["http://zotero.org/users/8039573/items/DGFBAJPU"],"itemData":{"id":5811,"type":"article-journal","abstract":"To determine the vitamin D dose necessary to achieve serum 25-hydroxyvitamin D (25(OH)D) concentration ≥ 20 ng/mL during infancy.\nA randomized, double-blind, placebo-controlled trial in New Zealand. Pregnant mothers, from 27 weeks' gestation to birth, and then their infants, from birth to age 6 months, were randomly assigned to 1 of 3 mother/infant groups: placebo/placebo, vitamin D3 1000/400 IU, or vitamin D3 2000/800 IU. Serum 25(OH)D and calcium concentrations were measured at enrollment, 36 weeks' gestation, in cord blood, and in infants at 2, 4, and 6 months of age.\nTwo-hundred-and-sixty pregnant women were randomized. At enrollment, the proportions with serum 25(OH)D ≥ 20 ng/mL for placebo, lower-dose, and higher-dose groups were 54%, 64%, and 55%, respectively. The proportion with 25(OH)D ≥ 20 ng/mL was larger in both intervention groups at 36 weeks' gestation (50%, 91%, 89%, P &lt; .001). In comparison with placebo, the proportion of infants with 25(OH)D ≥ 20 ng/mL was larger in both intervention groups to age 4 months: cord blood (22%, 72%, 71%, P &lt; .001), 2 months (50%, 82%, 92%, P &lt; .001), and 4 months (66%, 87%, 87%, P = .004), but only in the higher-dose group at age 6 months (74%, 82%, 89%, P = .07; higher dose versus placebo P = .03, lower dose versus placebo P = .21).\nDaily vitamin D supplementation during pregnancy and then infancy with 1000/400 IU or 2000/800 IU increases the proportion of infants with 25(OH)D ≥ 20 ng/mL, with the higher dose sustaining this increase for longer.","container-title":"Pediatrics (Evanston)","DOI":"10.1542/peds.2013-2602","ISSN":"0031-4005","issue":"1","note":"publisher-place: United States\npublisher: American Academy of Pediatrics","page":"e143-e153","title":"Vitamin D during pregnancy and infancy and infant serum 25-hydroxyvitamin D concentration","volume":"133","author":[{"family":"Grant","given":"Cameron C"},{"family":"Stewart","given":"Alistair W"},{"family":"Scragg","given":"Robert"},{"family":"Milne","given":"Tania"},{"family":"Rowden","given":"Judy"},{"family":"Ekeroma","given":"Alec"},{"family":"Wall","given":"Clare"},{"family":"Mitchell","given":"Edwin A"},{"family":"Crengle","given":"Sue"},{"family":"Trenholme","given":"Adrian"},{"family":"Crane","given":"Julian"},{"family":"Camargo","given":"Jr","suffix":"Carlos A"}],"issued":{"date-parts":[["2014"]]}}}],"schema":"https://github.com/citation-style-language/schema/raw/master/csl-citation.json"} </w:instrText>
      </w:r>
      <w:r w:rsidRPr="00B67037">
        <w:rPr>
          <w:lang w:val="en-NZ"/>
        </w:rPr>
        <w:fldChar w:fldCharType="separate"/>
      </w:r>
      <w:r w:rsidRPr="00B67037">
        <w:rPr>
          <w:lang w:val="en-NZ"/>
        </w:rPr>
        <w:t>(Grant et al., 2014)</w:t>
      </w:r>
      <w:r w:rsidRPr="00B67037">
        <w:rPr>
          <w:lang w:val="en-NZ"/>
        </w:rPr>
        <w:fldChar w:fldCharType="end"/>
      </w:r>
      <w:r w:rsidRPr="00B67037">
        <w:rPr>
          <w:lang w:val="en-NZ"/>
        </w:rPr>
        <w:t xml:space="preserve">, and the proportion of children sensitised to dust mites at age 18 months </w:t>
      </w:r>
      <w:r w:rsidRPr="00B67037">
        <w:rPr>
          <w:lang w:val="en-NZ"/>
        </w:rPr>
        <w:fldChar w:fldCharType="begin"/>
      </w:r>
      <w:r w:rsidRPr="00B67037">
        <w:rPr>
          <w:lang w:val="en-NZ"/>
        </w:rPr>
        <w:instrText xml:space="preserve"> ADDIN ZOTERO_ITEM CSL_CITATION {"citationID":"yn6eeAAG","properties":{"formattedCitation":"(C. C. Grant et al., 2016)","plainCitation":"(C. C. Grant et al., 2016)","dontUpdate":true,"noteIndex":0},"citationItems":[{"id":"Ej0KP8LN/SUB4eHrq","uris":["http://zotero.org/users/8039573/items/YWCDXA7U"],"itemData":{"id":5812,"type":"article-journal","abstract":"Background\nVitamin D has immune</w:instrText>
      </w:r>
      <w:r w:rsidRPr="00B67037">
        <w:rPr>
          <w:rFonts w:ascii="Cambria Math" w:hAnsi="Cambria Math" w:cs="Cambria Math"/>
          <w:lang w:val="en-NZ"/>
        </w:rPr>
        <w:instrText>‐</w:instrText>
      </w:r>
      <w:r w:rsidRPr="00B67037">
        <w:rPr>
          <w:lang w:val="en-NZ"/>
        </w:rPr>
        <w:instrText>modulating effects. We determined whether vitamin D supplementation during pregnancy and infancy prevents aeroallergen sensitization and primary care respiratory illness presentations.\nMethods\nA randomized, double</w:instrText>
      </w:r>
      <w:r w:rsidRPr="00B67037">
        <w:rPr>
          <w:rFonts w:ascii="Cambria Math" w:hAnsi="Cambria Math" w:cs="Cambria Math"/>
          <w:lang w:val="en-NZ"/>
        </w:rPr>
        <w:instrText>‐</w:instrText>
      </w:r>
      <w:r w:rsidRPr="00B67037">
        <w:rPr>
          <w:lang w:val="en-NZ"/>
        </w:rPr>
        <w:instrText>blind, placebo</w:instrText>
      </w:r>
      <w:r w:rsidRPr="00B67037">
        <w:rPr>
          <w:rFonts w:ascii="Cambria Math" w:hAnsi="Cambria Math" w:cs="Cambria Math"/>
          <w:lang w:val="en-NZ"/>
        </w:rPr>
        <w:instrText>‐</w:instrText>
      </w:r>
      <w:r w:rsidRPr="00B67037">
        <w:rPr>
          <w:lang w:val="en-NZ"/>
        </w:rPr>
        <w:instrText>controlled parallel</w:instrText>
      </w:r>
      <w:r w:rsidRPr="00B67037">
        <w:rPr>
          <w:rFonts w:ascii="Cambria Math" w:hAnsi="Cambria Math" w:cs="Cambria Math"/>
          <w:lang w:val="en-NZ"/>
        </w:rPr>
        <w:instrText>‐</w:instrText>
      </w:r>
      <w:r w:rsidRPr="00B67037">
        <w:rPr>
          <w:lang w:val="en-NZ"/>
        </w:rPr>
        <w:instrText>group trial. We assigned pregnant women, from 27</w:instrText>
      </w:r>
      <w:r w:rsidRPr="00B67037">
        <w:rPr>
          <w:rFonts w:ascii="Cambria Math" w:hAnsi="Cambria Math" w:cs="Cambria Math"/>
          <w:lang w:val="en-NZ"/>
        </w:rPr>
        <w:instrText>‐</w:instrText>
      </w:r>
      <w:r w:rsidRPr="00B67037">
        <w:rPr>
          <w:lang w:val="en-NZ"/>
        </w:rPr>
        <w:instrText>week gestation to birth, and then their infants, from birth to 6 months, to placebo or one of two dosages of daily oral vitamin D. Woman/infant pairs were randomized to: placebo/placebo, 1000 IU/400 IU or 2000 IU/800 IU. When the children were 18 months old, we measured serum</w:instrText>
      </w:r>
      <w:r w:rsidRPr="00B67037">
        <w:rPr>
          <w:rFonts w:ascii="Cambria Math" w:hAnsi="Cambria Math" w:cs="Cambria Math"/>
          <w:lang w:val="en-NZ"/>
        </w:rPr>
        <w:instrText>‐</w:instrText>
      </w:r>
      <w:r w:rsidRPr="00B67037">
        <w:rPr>
          <w:lang w:val="en-NZ"/>
        </w:rPr>
        <w:instrText>specific IgE antibodies and identified acute primary care visits described by the doctor to be due to a cold, otitis media, an upper respiratory infection, croup, asthma, bronchitis, bronchiolitis, a wheezy lower respiratory infection or fever and cough.\nResults\nSpecific IgE was measured on 185 of 260 (71%) enrolled children. The proportion of children sensitized differed by study group for four mite antigens: Dermatophagoides farinae (Der</w:instrText>
      </w:r>
      <w:r w:rsidRPr="00B67037">
        <w:rPr>
          <w:rFonts w:ascii="Cambria Math" w:hAnsi="Cambria Math" w:cs="Cambria Math"/>
          <w:lang w:val="en-NZ"/>
        </w:rPr>
        <w:instrText>‐</w:instrText>
      </w:r>
      <w:r w:rsidRPr="00B67037">
        <w:rPr>
          <w:lang w:val="en-NZ"/>
        </w:rPr>
        <w:instrText>f1, Der</w:instrText>
      </w:r>
      <w:r w:rsidRPr="00B67037">
        <w:rPr>
          <w:rFonts w:ascii="Cambria Math" w:hAnsi="Cambria Math" w:cs="Cambria Math"/>
          <w:lang w:val="en-NZ"/>
        </w:rPr>
        <w:instrText>‐</w:instrText>
      </w:r>
      <w:r w:rsidRPr="00B67037">
        <w:rPr>
          <w:lang w:val="en-NZ"/>
        </w:rPr>
        <w:instrText>f2) and Dermatophagoides pteronyssinus (Der</w:instrText>
      </w:r>
      <w:r w:rsidRPr="00B67037">
        <w:rPr>
          <w:rFonts w:ascii="Cambria Math" w:hAnsi="Cambria Math" w:cs="Cambria Math"/>
          <w:lang w:val="en-NZ"/>
        </w:rPr>
        <w:instrText>‐</w:instrText>
      </w:r>
      <w:r w:rsidRPr="00B67037">
        <w:rPr>
          <w:lang w:val="en-NZ"/>
        </w:rPr>
        <w:instrText>p1, Der</w:instrText>
      </w:r>
      <w:r w:rsidRPr="00B67037">
        <w:rPr>
          <w:rFonts w:ascii="Cambria Math" w:hAnsi="Cambria Math" w:cs="Cambria Math"/>
          <w:lang w:val="en-NZ"/>
        </w:rPr>
        <w:instrText>‐</w:instrText>
      </w:r>
      <w:r w:rsidRPr="00B67037">
        <w:rPr>
          <w:lang w:val="en-NZ"/>
        </w:rPr>
        <w:instrText>p2). With results presented for placebo, lower dose, and higher dose vitamin D, respectively (all P &lt; 0.05): Der</w:instrText>
      </w:r>
      <w:r w:rsidRPr="00B67037">
        <w:rPr>
          <w:rFonts w:ascii="Cambria Math" w:hAnsi="Cambria Math" w:cs="Cambria Math"/>
          <w:lang w:val="en-NZ"/>
        </w:rPr>
        <w:instrText>‐</w:instrText>
      </w:r>
      <w:r w:rsidRPr="00B67037">
        <w:rPr>
          <w:lang w:val="en-NZ"/>
        </w:rPr>
        <w:instrText>f1 (18%, 10%, 2%), Der</w:instrText>
      </w:r>
      <w:r w:rsidRPr="00B67037">
        <w:rPr>
          <w:rFonts w:ascii="Cambria Math" w:hAnsi="Cambria Math" w:cs="Cambria Math"/>
          <w:lang w:val="en-NZ"/>
        </w:rPr>
        <w:instrText>‐</w:instrText>
      </w:r>
      <w:r w:rsidRPr="00B67037">
        <w:rPr>
          <w:lang w:val="en-NZ"/>
        </w:rPr>
        <w:instrText>f2 (14%, 3%, 2%), Der</w:instrText>
      </w:r>
      <w:r w:rsidRPr="00B67037">
        <w:rPr>
          <w:rFonts w:ascii="Cambria Math" w:hAnsi="Cambria Math" w:cs="Cambria Math"/>
          <w:lang w:val="en-NZ"/>
        </w:rPr>
        <w:instrText>‐</w:instrText>
      </w:r>
      <w:r w:rsidRPr="00B67037">
        <w:rPr>
          <w:lang w:val="en-NZ"/>
        </w:rPr>
        <w:instrText>p1 (19%, 14%, 3%) and Der</w:instrText>
      </w:r>
      <w:r w:rsidRPr="00B67037">
        <w:rPr>
          <w:rFonts w:ascii="Cambria Math" w:hAnsi="Cambria Math" w:cs="Cambria Math"/>
          <w:lang w:val="en-NZ"/>
        </w:rPr>
        <w:instrText>‐</w:instrText>
      </w:r>
      <w:r w:rsidRPr="00B67037">
        <w:rPr>
          <w:lang w:val="en-NZ"/>
        </w:rPr>
        <w:instrText xml:space="preserve">p2 (12%, 2%, 3%). There were study group differences in the proportion of children with primary care visits described by the doctor as being for asthma (11%, 0%, 4%, P = 0.002), but not for the other respiratory diagnoses.\nConclusions\nVitamin D supplementation during pregnancy and infancy reduces the proportion of children sensitized to mites at age 18 months. Preliminary data indicate a possible effect on primary care visits where asthma is diagnosed.","container-title":"Allergy (Copenhagen)","DOI":"10.1111/all.12909","ISSN":"0105-4538","issue":"9","note":"publisher-place: Denmark\npublisher: Wiley Subscription Services, Inc","page":"1325-1334","title":"Vitamin D supplementation during pregnancy and infancy reduces aeroallergen sensitization: a randomized controlled trial","volume":"71","author":[{"family":"Grant","given":"C. C."},{"family":"Crane","given":"J."},{"family":"Mitchell","given":"E. A."},{"family":"Sinclair","given":"J."},{"family":"Stewart","given":"A."},{"family":"Milne","given":"T."},{"family":"Knight","given":"J."},{"family":"Gilchrist","given":"C."},{"family":"Camargo","given":"C. A."}],"issued":{"date-parts":[["2016"]]}}}],"schema":"https://github.com/citation-style-language/schema/raw/master/csl-citation.json"} </w:instrText>
      </w:r>
      <w:r w:rsidRPr="00B67037">
        <w:rPr>
          <w:lang w:val="en-NZ"/>
        </w:rPr>
        <w:fldChar w:fldCharType="separate"/>
      </w:r>
      <w:r w:rsidRPr="00B67037">
        <w:rPr>
          <w:lang w:val="en-NZ"/>
        </w:rPr>
        <w:t>(Grant et al., 2016)</w:t>
      </w:r>
      <w:r w:rsidRPr="00B67037">
        <w:rPr>
          <w:lang w:val="en-NZ"/>
        </w:rPr>
        <w:fldChar w:fldCharType="end"/>
      </w:r>
      <w:r w:rsidRPr="00B67037">
        <w:rPr>
          <w:lang w:val="en-NZ"/>
        </w:rPr>
        <w:t>.</w:t>
      </w:r>
    </w:p>
    <w:p w14:paraId="35D4C8F8" w14:textId="77777777" w:rsidR="00B67037" w:rsidRPr="00B67037" w:rsidRDefault="00B67037" w:rsidP="00B67037">
      <w:pPr>
        <w:rPr>
          <w:lang w:val="en-NZ"/>
        </w:rPr>
      </w:pPr>
      <w:r w:rsidRPr="00B67037">
        <w:rPr>
          <w:lang w:val="en-NZ"/>
        </w:rPr>
        <w:t xml:space="preserve">Establishing breastfeeding can be difficult and often an infant will spill its feed or is unwell. Unless an infant is suffering from </w:t>
      </w:r>
      <w:proofErr w:type="spellStart"/>
      <w:r w:rsidRPr="00B67037">
        <w:rPr>
          <w:lang w:val="en-NZ"/>
        </w:rPr>
        <w:t>hypocalcaemic</w:t>
      </w:r>
      <w:proofErr w:type="spellEnd"/>
      <w:r w:rsidRPr="00B67037">
        <w:rPr>
          <w:lang w:val="en-NZ"/>
        </w:rPr>
        <w:t xml:space="preserve"> seizures or are very deficient, missing a dose of supplements due to spillage from a feed will cause no harm. </w:t>
      </w:r>
    </w:p>
    <w:p w14:paraId="3F2EA45E" w14:textId="77777777" w:rsidR="00B67037" w:rsidRPr="00B67037" w:rsidRDefault="00B67037" w:rsidP="00B67037">
      <w:pPr>
        <w:rPr>
          <w:lang w:val="en-NZ"/>
        </w:rPr>
      </w:pPr>
      <w:r w:rsidRPr="00B67037">
        <w:rPr>
          <w:lang w:val="en-NZ"/>
        </w:rPr>
        <w:t>A national audit of infant vitamin D supplementation across four infant groups (breastfed, born in winter months, southern latitude, and low birth weight) in Aotearoa New Zealand found that currently there is under-dispensing of supplements for breastfed infants at a southern latitude, born in winter months, and with darker skin tone (ethnicity as a proxy) with only 8 to 10 percent of infants in these groups being prescribed the recommended vitamin D supplement. The audit observed dispensing rates for low birthweight infants (under 2,500 grams) was higher at 70 percent. (Jelleyman, Personal communication, 4 August 2023)</w:t>
      </w:r>
    </w:p>
    <w:p w14:paraId="7B646E8E" w14:textId="77777777" w:rsidR="00B67037" w:rsidRPr="00B67037" w:rsidRDefault="00B67037" w:rsidP="00B67037">
      <w:pPr>
        <w:pStyle w:val="Heading4"/>
      </w:pPr>
      <w:r w:rsidRPr="00B67037">
        <w:t xml:space="preserve">Dosage of vitamin D supplementation </w:t>
      </w:r>
    </w:p>
    <w:p w14:paraId="56F23791" w14:textId="77777777" w:rsidR="00B67037" w:rsidRPr="00B67037" w:rsidRDefault="00B67037" w:rsidP="00B67037">
      <w:pPr>
        <w:rPr>
          <w:lang w:val="en-NZ"/>
        </w:rPr>
      </w:pPr>
      <w:r w:rsidRPr="00B67037">
        <w:rPr>
          <w:lang w:val="en-NZ"/>
        </w:rPr>
        <w:t xml:space="preserve">There is no universal consensus on the optimal dose or timing of vitamin D supplementation during pregnancy or when breastfeeding; however, adequate intakes and upper limits to avoid poor bone health outcomes have been set out by IOM </w:t>
      </w:r>
      <w:r w:rsidRPr="00B67037">
        <w:rPr>
          <w:lang w:val="en-NZ"/>
        </w:rPr>
        <w:fldChar w:fldCharType="begin"/>
      </w:r>
      <w:r w:rsidRPr="00B67037">
        <w:rPr>
          <w:lang w:val="en-NZ"/>
        </w:rPr>
        <w:instrText xml:space="preserve"> ADDIN ZOTERO_ITEM CSL_CITATION {"citationID":"bmSPHJmu","properties":{"formattedCitation":"(Institute of Medicine, 2011)","plainCitation":"(Institute of Medicine, 2011)","noteIndex":0},"citationItems":[{"id":"Ej0KP8LN/G0mvQhR4","uris":["http://zotero.org/users/8039573/items/ADQ3R9I5"],"itemData":{"id":9449,"type":"report","event-place":"Washington, DC","publisher":"The National Academies Press.","publisher-place":"Washington, DC","title":"Dietary Reference Intakes for Calcium and Vitamin D.","URL":"https://doi.org/10.17226/13050.","author":[{"family":"Institute of Medicine","given":""}],"issued":{"date-parts":[["2011"]]}}}],"schema":"https://github.com/citation-style-language/schema/raw/master/csl-citation.json"} </w:instrText>
      </w:r>
      <w:r w:rsidRPr="00B67037">
        <w:rPr>
          <w:lang w:val="en-NZ"/>
        </w:rPr>
        <w:fldChar w:fldCharType="separate"/>
      </w:r>
      <w:r w:rsidRPr="00B67037">
        <w:rPr>
          <w:lang w:val="en-NZ"/>
        </w:rPr>
        <w:t>(Institute of Medicine, 2011)</w:t>
      </w:r>
      <w:r w:rsidRPr="00B67037">
        <w:rPr>
          <w:lang w:val="en-NZ"/>
        </w:rPr>
        <w:fldChar w:fldCharType="end"/>
      </w:r>
      <w:r w:rsidRPr="00B67037">
        <w:rPr>
          <w:lang w:val="en-NZ"/>
        </w:rPr>
        <w:t xml:space="preserve"> and other international bodies (see Table 1). </w:t>
      </w:r>
    </w:p>
    <w:p w14:paraId="254AAACA" w14:textId="77777777" w:rsidR="00B67037" w:rsidRPr="00B67037" w:rsidRDefault="00B67037" w:rsidP="00B67037">
      <w:pPr>
        <w:rPr>
          <w:lang w:val="en-NZ"/>
        </w:rPr>
      </w:pPr>
      <w:r w:rsidRPr="00B67037">
        <w:rPr>
          <w:lang w:val="en-NZ"/>
        </w:rPr>
        <w:t xml:space="preserve">Data from a 2019 Cochrane review considered dosing regimens in pregnancy comparing the effect of doses of 601 International Units per day or more to 600 International Units per day or less, and 4,000 International Units per day or more to 3,999 International Units per day or less on pregnancy and neonatal outcomes </w:t>
      </w:r>
      <w:r w:rsidRPr="00B67037">
        <w:rPr>
          <w:lang w:val="en-NZ"/>
        </w:rPr>
        <w:fldChar w:fldCharType="begin"/>
      </w:r>
      <w:r w:rsidRPr="00B67037">
        <w:rPr>
          <w:lang w:val="en-NZ"/>
        </w:rPr>
        <w:instrText xml:space="preserve"> ADDIN ZOTERO_ITEM CSL_CITATION {"citationID":"ceYcSTTJ","properties":{"formattedCitation":"(Palacios, Trak-Fellermeier, et al., 2019)","plainCitation":"(Palacios, Trak-Fellermeier, et al., 2019)","dontUpdate":true,"noteIndex":0},"citationItems":[{"id":"Ej0KP8LN/8ort7CLo","uris":["http://zotero.org/users/8039573/items/X4WFTAK5"],"itemData":{"id":6623,"type":"article-journal","abstract":"Background Vitamin D deficiency during pregnancy increases the risk of pre-eclampsia, gestational diabetes, preterm birth, and low birthweight. In a previous Cochrane Review we found that supplementing pregnant women with vitamin D alone compared to no vitamin D supplementation may reduce the risk of pre-eclampsia, gestational diabetes, and low birthweight and may increase the risk of preterm births if it is combined with calcium. However the effects of different vitamin D regimens are not yet clear. Objectives To assess the effects and safety of different regimens of vitamin D supplementation alone or in combination with calcium or other vitamins, minerals or nutrients during pregnancy, specifically doses of 601 international units per day (IU/d) or more versus 600 IU/d or less; and 4000 IU/d or more versus 3999 IU/d or less. Search methods We searched the Cochrane Pregnancy and Childbirth’s Trials Register, ClinicalTrials.gov, the WHO International Clinical Trials Registry Platform (ICTRP) (12 July 2018), and the reference lists of retrieved studies. Selection criteria Randomised trials evaluating the effect of different vitamin D regimens (dose, frequency, duration, and time of commencement of supplementation during pregnancy), alone or in combination with other nutrients on pregnancy and neonatal health outcomes. We only included trials that compared 601 IU/d or more versus 600 IU/d or less and 4000 IU/d or more versus 3999 IU/d or less. We did not include in the analysis groups that received no vitamin D, as that comparison is assessed in another Cochrane Review. Data collection and analysis Two review authors independently: i) assessed the eligibility of studies against the inclusion criteria; ii) extracted data from included studies, and iii) assessed the risk of bias of the included studies. Our primary maternal outcomes were: pre-eclampsia, gestational diabetes, and any adverse effects; our primary infant outcomes were preterm birth and low birthweight. Data were checked for accuracy. The certainty of the evidence was assessed using the GRADE approach. Main results In this review, we included data from 30 trials involving 7289 women. We excluded 11 trials, identified 16 ongoing/unpublished trials and two trials are awaiting classification. Overall risk of bias for the trials was mixed. Comparison 1. 601 IU/d or more versus 600 IU/d or less of vitamin D alone or with any other nutrient (19 trials; 5214 participants) Supplementation with 601 IU/d or more of vitamin D during pregnancy may make little or no difference to the risk of pre-eclampsia (risk ratio (RR) 0.96, 95% confidence interval (CI) 0.65 to 1.42); 5 trials; 1553 participants,low-certainty evidence), may reduce the risk of gestational diabetes (RR 0.54, 95% CI 0.34 to 0.86; 5 trials; 1846 participants; moderate-certainty evidence), may make little or no difference to the risk of preterm birth (RR 1.25, 95% CI 0.92 to 1.69; 4 trials; 2294 participants; low-certainty evidence); and may make little or no difference to the risk of low birthweight (RR 0.90, 95% CI 0.66 to 1.24; 4 trials; 1550 participants; very low-certainty evidence) compared to women receiving 600 IU/d or less. Comparison 2. 4000 IU or more versus 3999 IU or less of vitamin D alone (15 trials; 4763 participants) Supplementation with 4000 IU/d or more of vitamin D during pregnancy may make little or no difference to the risk of: pre-eclampsia (RR 0.87, 95% CI 0.62 to 1.22; 4 trials, 1903 participants, low-certainty evidence); gestational diabetes (RR 0.89, 95% CI 0.56 to 1.42; 5 trials, 2276 participants; low-certainty evidence); preterm birth (RR 0.85, 95% CI 0.64 to 1.12; 6 trials, 2948 participants, low-certainty evidence); and low birthweight (RR 0.92, 95% CI 0.49 to 1.70; 2 trials; 1099 participants; low-certainty evidence) compared to women receiving 3999 IU/d or less. Adverse events (such as hypercalcaemia, hypocalcaemia, hypercalciuria, and hypovitaminosis D) were reported differently in most trials; however, in general, there was little to no side effects reported or simil r cases between groups. Authors' conclusions Supplementing pregnant women with more than the current vitamin D recommendation may reduce the risk of gestational diabetes; however, it may make little or no difference to the risk of pre-eclampsia, preterm birth and low birthweight. Supplementing pregnant women with more than the current upper limit for vitamin D seems not to increase the risk of the outcomes evaluated. In general, the GRADE was considered low certainty for most of the primary outcomes due to serious risk of bias and imprecision of results. With respect to safety, it appears that vitamin D supplementation is a safe intervention during pregnancy, although the parameters used to determine this were either not reported or not consistent between trials. Future trials should be consistent in their reports of adverse events. There are 16 ongoing trials that when published, will increase the body of knowledge.","archive":"Embase Medline","container-title":"Cochrane Database of Systematic Reviews","DOI":"10.1002/14651858.CD013446","ISSN":"1465-1858","issue":"10","language":"English","title":"Regimens of vitamin D supplementation for women during pregnancy","URL":"https://www.embase.com/search/results?subaction=viewrecord&amp;id=L629500176&amp;from=export http://dx.doi.org/10.1002/14651858.CD013446","volume":"2019","author":[{"family":"Palacios","given":"C."},{"family":"Trak-Fellermeier","given":"M. A."},{"family":"Martinez","given":"R. X."},{"family":"Lopez-Perez","given":"L."},{"family":"Lips","given":"P."},{"family":"Salisi","given":"J. A."},{"family":"John","given":"J. C."},{"family":"Peña-Rosas","given":"J. P."}],"issued":{"date-parts":[["2019"]]}}}],"schema":"https://github.com/citation-style-language/schema/raw/master/csl-citation.json"} </w:instrText>
      </w:r>
      <w:r w:rsidRPr="00B67037">
        <w:rPr>
          <w:lang w:val="en-NZ"/>
        </w:rPr>
        <w:fldChar w:fldCharType="separate"/>
      </w:r>
      <w:r w:rsidRPr="00B67037">
        <w:rPr>
          <w:lang w:val="en-NZ"/>
        </w:rPr>
        <w:t>(Palacios et al., 2019)</w:t>
      </w:r>
      <w:r w:rsidRPr="00B67037">
        <w:rPr>
          <w:lang w:val="en-NZ"/>
        </w:rPr>
        <w:fldChar w:fldCharType="end"/>
      </w:r>
      <w:r w:rsidRPr="00B67037">
        <w:rPr>
          <w:lang w:val="en-NZ"/>
        </w:rPr>
        <w:t xml:space="preserve">. It found little evidence that doses of 601 International Units per day or more of vitamin D supplementation in pregnancy had a different effect on the risk of pre-eclampsia, preterm birth or low birthweight compared to dose of 600 International Units per day or less, but that higher doses may further reduce the risk of GDM compared to the lower dose. Doses of 4,000 International Units per day or more vitamin D during pregnancy made no difference to the risk of any of the outcomes compared with a supplement of 3,999 International Units per day or less.  </w:t>
      </w:r>
    </w:p>
    <w:p w14:paraId="14DE8A13" w14:textId="77777777" w:rsidR="003D1D81" w:rsidRPr="003D1D81" w:rsidRDefault="003D1D81" w:rsidP="003D1D81">
      <w:pPr>
        <w:pStyle w:val="Heading4"/>
      </w:pPr>
      <w:r w:rsidRPr="003D1D81">
        <w:lastRenderedPageBreak/>
        <w:t>Contraindications and precautions for vitamin D supplements</w:t>
      </w:r>
    </w:p>
    <w:p w14:paraId="3863A8C2" w14:textId="77777777" w:rsidR="003D1D81" w:rsidRPr="003D1D81" w:rsidRDefault="003D1D81" w:rsidP="003D1D81">
      <w:pPr>
        <w:rPr>
          <w:lang w:val="en-NZ"/>
        </w:rPr>
      </w:pPr>
      <w:r w:rsidRPr="003D1D81">
        <w:rPr>
          <w:lang w:val="en-NZ"/>
        </w:rPr>
        <w:t xml:space="preserve">Supplementation is not recommended when hypercalcaemia, hypervitaminosis D or renal osteodystrophy with </w:t>
      </w:r>
      <w:proofErr w:type="spellStart"/>
      <w:r w:rsidRPr="003D1D81">
        <w:rPr>
          <w:lang w:val="en-NZ"/>
        </w:rPr>
        <w:t>hyperphosphataemia</w:t>
      </w:r>
      <w:proofErr w:type="spellEnd"/>
      <w:r w:rsidRPr="003D1D81">
        <w:rPr>
          <w:lang w:val="en-NZ"/>
        </w:rPr>
        <w:t xml:space="preserve"> are present. Care should be taken when considering supplementation in the presence of atherosclerosis or cardiac function impairment, hypersensitivity to vitamin D, renal function impairment, or sarcoidosis </w:t>
      </w:r>
      <w:r w:rsidRPr="003D1D81">
        <w:rPr>
          <w:lang w:val="en-NZ"/>
        </w:rPr>
        <w:fldChar w:fldCharType="begin"/>
      </w:r>
      <w:r w:rsidRPr="003D1D81">
        <w:rPr>
          <w:lang w:val="en-NZ"/>
        </w:rPr>
        <w:instrText xml:space="preserve"> ADDIN ZOTERO_ITEM CSL_CITATION {"citationID":"lOghISeS","properties":{"formattedCitation":"(Medsafe, 2018)","plainCitation":"(Medsafe, 2018)","noteIndex":0},"citationItems":[{"id":1092,"uris":["http://zotero.org/groups/5078394/items/D2RVXT58"],"itemData":{"id":1092,"type":"dataset","title":"New Zealand Data Sheet","URL":"https://www.medsafe.govt.nz/profs/datasheet/v/vitd3cap.pdf","author":[{"family":"Medsafe","given":""}],"accessed":{"date-parts":[["2023",9,25]]},"issued":{"date-parts":[["2018",4]]}}}],"schema":"https://github.com/citation-style-language/schema/raw/master/csl-citation.json"} </w:instrText>
      </w:r>
      <w:r w:rsidRPr="003D1D81">
        <w:rPr>
          <w:lang w:val="en-NZ"/>
        </w:rPr>
        <w:fldChar w:fldCharType="separate"/>
      </w:r>
      <w:r w:rsidRPr="003D1D81">
        <w:rPr>
          <w:lang w:val="en-NZ"/>
        </w:rPr>
        <w:t>(Medsafe, 2018)</w:t>
      </w:r>
      <w:r w:rsidRPr="003D1D81">
        <w:rPr>
          <w:lang w:val="en-NZ"/>
        </w:rPr>
        <w:fldChar w:fldCharType="end"/>
      </w:r>
      <w:r w:rsidRPr="003D1D81">
        <w:rPr>
          <w:lang w:val="en-NZ"/>
        </w:rPr>
        <w:t>.</w:t>
      </w:r>
    </w:p>
    <w:p w14:paraId="624DFA9C" w14:textId="77777777" w:rsidR="003D1D81" w:rsidRPr="003D1D81" w:rsidRDefault="003D1D81" w:rsidP="003D1D81">
      <w:pPr>
        <w:rPr>
          <w:lang w:val="en-NZ"/>
        </w:rPr>
      </w:pPr>
      <w:r w:rsidRPr="003D1D81">
        <w:rPr>
          <w:lang w:val="en-NZ"/>
        </w:rPr>
        <w:t xml:space="preserve">There are no documented problems with intake of </w:t>
      </w:r>
      <w:proofErr w:type="spellStart"/>
      <w:r w:rsidRPr="003D1D81">
        <w:rPr>
          <w:lang w:val="en-NZ"/>
        </w:rPr>
        <w:t>colecalciferol</w:t>
      </w:r>
      <w:proofErr w:type="spellEnd"/>
      <w:r w:rsidRPr="003D1D81">
        <w:rPr>
          <w:lang w:val="en-NZ"/>
        </w:rPr>
        <w:t xml:space="preserve"> (vitamin D3) to the level of normal daily requirements in pregnancy; however, maternal hypercalcaemia during pregnancy may be associated with increased sensitivity to the effects of vitamin D, suppression of parathyroid function, or a syndrome of elfin faces, mental </w:t>
      </w:r>
      <w:proofErr w:type="gramStart"/>
      <w:r w:rsidRPr="003D1D81">
        <w:rPr>
          <w:lang w:val="en-NZ"/>
        </w:rPr>
        <w:t>retardation</w:t>
      </w:r>
      <w:proofErr w:type="gramEnd"/>
      <w:r w:rsidRPr="003D1D81">
        <w:rPr>
          <w:lang w:val="en-NZ"/>
        </w:rPr>
        <w:t xml:space="preserve"> and congenital aortic stenosis in infants. </w:t>
      </w:r>
    </w:p>
    <w:p w14:paraId="1EF2EC4A" w14:textId="45B0E108" w:rsidR="003D1D81" w:rsidRPr="003D1D81" w:rsidRDefault="003D1D81" w:rsidP="003D1D81">
      <w:pPr>
        <w:rPr>
          <w:b/>
          <w:iCs/>
          <w:lang w:val="en-NZ"/>
        </w:rPr>
      </w:pPr>
      <w:r w:rsidRPr="003D1D81">
        <w:rPr>
          <w:lang w:val="en-NZ"/>
        </w:rPr>
        <w:t xml:space="preserve">Animal reproduction studies have shown an adverse fetal effect when given in doses 4 and 15 times the dose recommended for human use. There are no adequate and well-controlled studies in humans, but potential benefits may warrant use of the drug in pregnant women despite potential risks. </w:t>
      </w:r>
      <w:proofErr w:type="spellStart"/>
      <w:r w:rsidRPr="003D1D81">
        <w:rPr>
          <w:lang w:val="en-NZ"/>
        </w:rPr>
        <w:t>Colecalciferol</w:t>
      </w:r>
      <w:proofErr w:type="spellEnd"/>
      <w:r w:rsidRPr="003D1D81">
        <w:rPr>
          <w:lang w:val="en-NZ"/>
        </w:rPr>
        <w:t xml:space="preserve"> is Food and Drug Administration (FDA) Pregnancy Category C </w:t>
      </w:r>
      <w:r w:rsidRPr="003D1D81">
        <w:rPr>
          <w:lang w:val="en-NZ"/>
        </w:rPr>
        <w:fldChar w:fldCharType="begin"/>
      </w:r>
      <w:r w:rsidRPr="003D1D81">
        <w:rPr>
          <w:lang w:val="en-NZ"/>
        </w:rPr>
        <w:instrText xml:space="preserve"> ADDIN ZOTERO_ITEM CSL_CITATION {"citationID":"9wBOfZgT","properties":{"formattedCitation":"(Medsafe, 2018)","plainCitation":"(Medsafe, 2018)","noteIndex":0},"citationItems":[{"id":1092,"uris":["http://zotero.org/groups/5078394/items/D2RVXT58"],"itemData":{"id":1092,"type":"dataset","title":"New Zealand Data Sheet","URL":"https://www.medsafe.govt.nz/profs/datasheet/v/vitd3cap.pdf","author":[{"family":"Medsafe","given":""}],"accessed":{"date-parts":[["2023",9,25]]},"issued":{"date-parts":[["2018",4]]}}}],"schema":"https://github.com/citation-style-language/schema/raw/master/csl-citation.json"} </w:instrText>
      </w:r>
      <w:r w:rsidRPr="003D1D81">
        <w:rPr>
          <w:lang w:val="en-NZ"/>
        </w:rPr>
        <w:fldChar w:fldCharType="separate"/>
      </w:r>
      <w:r w:rsidRPr="003D1D81">
        <w:rPr>
          <w:lang w:val="en-NZ"/>
        </w:rPr>
        <w:t>(Medsafe, 2018)</w:t>
      </w:r>
      <w:r w:rsidRPr="003D1D81">
        <w:rPr>
          <w:lang w:val="en-NZ"/>
        </w:rPr>
        <w:fldChar w:fldCharType="end"/>
      </w:r>
      <w:r w:rsidRPr="003D1D81">
        <w:rPr>
          <w:lang w:val="en-NZ"/>
        </w:rPr>
        <w:t>.</w:t>
      </w:r>
    </w:p>
    <w:p w14:paraId="685F9A36" w14:textId="77777777" w:rsidR="003D1D81" w:rsidRPr="003D1D81" w:rsidDel="00CB740A" w:rsidRDefault="003D1D81" w:rsidP="003D1D81">
      <w:pPr>
        <w:pStyle w:val="Heading4"/>
      </w:pPr>
      <w:r w:rsidRPr="003D1D81" w:rsidDel="00CB740A">
        <w:t xml:space="preserve">Toxicity </w:t>
      </w:r>
    </w:p>
    <w:p w14:paraId="36AC06D3" w14:textId="77777777" w:rsidR="003D1D81" w:rsidRPr="003D1D81" w:rsidDel="00CB740A" w:rsidRDefault="003D1D81" w:rsidP="003D1D81">
      <w:pPr>
        <w:rPr>
          <w:lang w:val="en-NZ"/>
        </w:rPr>
      </w:pPr>
      <w:r w:rsidRPr="003D1D81" w:rsidDel="00CB740A">
        <w:rPr>
          <w:lang w:val="en-NZ"/>
        </w:rPr>
        <w:t xml:space="preserve">Vitamin D is a fat-soluble vitamin. While the therapeutic index (the range of doses at which a medication is effective without unacceptable adverse events) is wide, vitamin D toxicity (hypervitaminosis D) can occur through excessive oral intake of vitamin D (through supplementation or fortification). Hypervitaminosis D usually presents as signs of hypercalcaemia including poor appetite, </w:t>
      </w:r>
      <w:proofErr w:type="gramStart"/>
      <w:r w:rsidRPr="003D1D81" w:rsidDel="00CB740A">
        <w:rPr>
          <w:lang w:val="en-NZ"/>
        </w:rPr>
        <w:t>nausea</w:t>
      </w:r>
      <w:proofErr w:type="gramEnd"/>
      <w:r w:rsidRPr="003D1D81" w:rsidDel="00CB740A">
        <w:rPr>
          <w:lang w:val="en-NZ"/>
        </w:rPr>
        <w:t xml:space="preserve"> and vomiting. Weakness, frequent </w:t>
      </w:r>
      <w:proofErr w:type="gramStart"/>
      <w:r w:rsidRPr="003D1D81" w:rsidDel="00CB740A">
        <w:rPr>
          <w:lang w:val="en-NZ"/>
        </w:rPr>
        <w:t>urination</w:t>
      </w:r>
      <w:proofErr w:type="gramEnd"/>
      <w:r w:rsidRPr="003D1D81" w:rsidDel="00CB740A">
        <w:rPr>
          <w:lang w:val="en-NZ"/>
        </w:rPr>
        <w:t xml:space="preserve"> and kidney problems may also occur. Hypervitaminosis D does not occur by prolonged exposure of the skin to UV light.</w:t>
      </w:r>
    </w:p>
    <w:p w14:paraId="008E9423" w14:textId="77777777" w:rsidR="003D1D81" w:rsidRPr="003D1D81" w:rsidDel="00CB740A" w:rsidRDefault="003D1D81" w:rsidP="003D1D81">
      <w:pPr>
        <w:rPr>
          <w:lang w:val="en-NZ"/>
        </w:rPr>
      </w:pPr>
      <w:r w:rsidRPr="003D1D81" w:rsidDel="00CB740A">
        <w:rPr>
          <w:lang w:val="en-NZ"/>
        </w:rPr>
        <w:t xml:space="preserve">The Institute of Medicine  states the tolerable upper levels of vitamin D intake as 1,000 International Units per day for infants, 2,500 International Units per day for children aged 1 to 3 years, and 4,000 International Units per day in pregnancy and when breastfeeding </w:t>
      </w:r>
      <w:r w:rsidRPr="003D1D81" w:rsidDel="00CB740A">
        <w:rPr>
          <w:lang w:val="en-NZ"/>
        </w:rPr>
        <w:fldChar w:fldCharType="begin"/>
      </w:r>
      <w:r w:rsidRPr="003D1D81" w:rsidDel="00CB740A">
        <w:rPr>
          <w:lang w:val="en-NZ"/>
        </w:rPr>
        <w:instrText xml:space="preserve"> ADDIN ZOTERO_ITEM CSL_CITATION {"citationID":"BxmdESgC","properties":{"formattedCitation":"(Institute of Medicine, 2011)","plainCitation":"(Institute of Medicine, 2011)","noteIndex":0},"citationItems":[{"id":"Ej0KP8LN/G0mvQhR4","uris":["http://zotero.org/users/8039573/items/ADQ3R9I5"],"itemData":{"id":9449,"type":"report","event-place":"Washington, DC","publisher":"The National Academies Press.","publisher-place":"Washington, DC","title":"Dietary Reference Intakes for Calcium and Vitamin D.","URL":"https://doi.org/10.17226/13050.","author":[{"family":"Institute of Medicine","given":""}],"issued":{"date-parts":[["2011"]]}}}],"schema":"https://github.com/citation-style-language/schema/raw/master/csl-citation.json"} </w:instrText>
      </w:r>
      <w:r w:rsidRPr="003D1D81" w:rsidDel="00CB740A">
        <w:rPr>
          <w:lang w:val="en-NZ"/>
        </w:rPr>
        <w:fldChar w:fldCharType="separate"/>
      </w:r>
      <w:r w:rsidRPr="003D1D81" w:rsidDel="00CB740A">
        <w:rPr>
          <w:lang w:val="en-NZ"/>
        </w:rPr>
        <w:t>(Institute of Medicine, 2011)</w:t>
      </w:r>
      <w:r w:rsidRPr="003D1D81" w:rsidDel="00CB740A">
        <w:rPr>
          <w:lang w:val="en-NZ"/>
        </w:rPr>
        <w:fldChar w:fldCharType="end"/>
      </w:r>
      <w:r w:rsidRPr="003D1D81" w:rsidDel="00CB740A">
        <w:rPr>
          <w:lang w:val="en-NZ"/>
        </w:rPr>
        <w:t xml:space="preserve">. These reference values assume minimal sun exposure. For children and adolescents aged 1 to 18 years, estimate average </w:t>
      </w:r>
      <w:proofErr w:type="gramStart"/>
      <w:r w:rsidRPr="003D1D81" w:rsidDel="00CB740A">
        <w:rPr>
          <w:lang w:val="en-NZ"/>
        </w:rPr>
        <w:t>requirements</w:t>
      </w:r>
      <w:proofErr w:type="gramEnd"/>
      <w:r w:rsidRPr="003D1D81" w:rsidDel="00CB740A">
        <w:rPr>
          <w:lang w:val="en-NZ"/>
        </w:rPr>
        <w:t xml:space="preserve"> and recommended daily allowances are based on a serum 25(OH)D concentration of 40 and 50 nanomoles per litre. These intakes are higher than the indicated adequate intake of 400 International Units per day, suggesting vitamin D supplementation is safe and significant intake of vitamin D supplements or fortified foods would be required to elicit a toxic dose.</w:t>
      </w:r>
    </w:p>
    <w:p w14:paraId="78D5C121" w14:textId="77777777" w:rsidR="003D1D81" w:rsidRPr="003D1D81" w:rsidRDefault="003D1D81" w:rsidP="003D1D81">
      <w:r w:rsidRPr="003D1D81" w:rsidDel="00CB740A">
        <w:rPr>
          <w:lang w:val="en-NZ"/>
        </w:rPr>
        <w:t xml:space="preserve">Recommendations about supplementation assume an adequate intake of calcium. Health practitioners could </w:t>
      </w:r>
      <w:r w:rsidRPr="003D1D81">
        <w:rPr>
          <w:lang w:val="en-NZ"/>
        </w:rPr>
        <w:t xml:space="preserve">offer supplementation with calcium during pregnancy for those who </w:t>
      </w:r>
      <w:r w:rsidRPr="003D1D81" w:rsidDel="00CB740A">
        <w:t>have a major risk factor for pre-eclampsia</w:t>
      </w:r>
      <w:r w:rsidRPr="003D1D81">
        <w:rPr>
          <w:lang w:val="en-NZ"/>
        </w:rPr>
        <w:t>, particularly those with low dietary intake of calcium, from booking to birth</w:t>
      </w:r>
      <w:r w:rsidRPr="003D1D81" w:rsidDel="00CB740A">
        <w:t xml:space="preserve"> (</w:t>
      </w:r>
      <w:r w:rsidRPr="003D1D81">
        <w:rPr>
          <w:lang w:val="en-NZ"/>
        </w:rPr>
        <w:t>1.5 to 2.0 grams oral elemental calcium is recommended</w:t>
      </w:r>
      <w:r w:rsidRPr="003D1D81" w:rsidDel="00CB740A">
        <w:t>).</w:t>
      </w:r>
    </w:p>
    <w:p w14:paraId="3B5EF498" w14:textId="77777777" w:rsidR="003D1D81" w:rsidRPr="003D1D81" w:rsidRDefault="003D1D81" w:rsidP="004009E6">
      <w:pPr>
        <w:pStyle w:val="Box"/>
      </w:pPr>
      <w:r w:rsidRPr="003D1D81">
        <w:t>Appropriate advice on vitamin D supplementation must balance the benefits of breastfeeding, and the risks and benefits of vitamin D supplementation.</w:t>
      </w:r>
    </w:p>
    <w:tbl>
      <w:tblPr>
        <w:tblStyle w:val="TableGrid"/>
        <w:tblW w:w="5000" w:type="pct"/>
        <w:tblLayout w:type="fixed"/>
        <w:tblLook w:val="0420" w:firstRow="1" w:lastRow="0" w:firstColumn="0" w:lastColumn="0" w:noHBand="0" w:noVBand="1"/>
      </w:tblPr>
      <w:tblGrid>
        <w:gridCol w:w="539"/>
        <w:gridCol w:w="6486"/>
        <w:gridCol w:w="1991"/>
      </w:tblGrid>
      <w:tr w:rsidR="00A72AC2" w:rsidRPr="00A72AC2" w14:paraId="37BE8C8D" w14:textId="77777777" w:rsidTr="00A72AC2">
        <w:trPr>
          <w:cnfStyle w:val="100000000000" w:firstRow="1" w:lastRow="0" w:firstColumn="0" w:lastColumn="0" w:oddVBand="0" w:evenVBand="0" w:oddHBand="0" w:evenHBand="0" w:firstRowFirstColumn="0" w:firstRowLastColumn="0" w:lastRowFirstColumn="0" w:lastRowLastColumn="0"/>
        </w:trPr>
        <w:tc>
          <w:tcPr>
            <w:tcW w:w="562" w:type="dxa"/>
            <w:vAlign w:val="top"/>
          </w:tcPr>
          <w:p w14:paraId="5A2B4704" w14:textId="77777777" w:rsidR="00A72AC2" w:rsidRPr="00A72AC2" w:rsidRDefault="00A72AC2" w:rsidP="00A72AC2">
            <w:pPr>
              <w:rPr>
                <w:sz w:val="22"/>
                <w:szCs w:val="24"/>
                <w:lang w:val="en-NZ"/>
              </w:rPr>
            </w:pPr>
          </w:p>
        </w:tc>
        <w:tc>
          <w:tcPr>
            <w:tcW w:w="6946" w:type="dxa"/>
            <w:vAlign w:val="top"/>
          </w:tcPr>
          <w:p w14:paraId="495051A0" w14:textId="77777777" w:rsidR="00A72AC2" w:rsidRPr="00A72AC2" w:rsidRDefault="00A72AC2" w:rsidP="00A72AC2">
            <w:pPr>
              <w:rPr>
                <w:bCs/>
                <w:sz w:val="22"/>
                <w:szCs w:val="24"/>
                <w:lang w:val="en-NZ"/>
              </w:rPr>
            </w:pPr>
            <w:r w:rsidRPr="00A72AC2">
              <w:rPr>
                <w:sz w:val="22"/>
                <w:szCs w:val="24"/>
                <w:lang w:val="en-NZ"/>
              </w:rPr>
              <w:t xml:space="preserve"> </w:t>
            </w:r>
            <w:r w:rsidRPr="00A72AC2">
              <w:rPr>
                <w:bCs/>
                <w:sz w:val="22"/>
                <w:szCs w:val="24"/>
                <w:lang w:val="en-NZ"/>
              </w:rPr>
              <w:t>Consensus Statement</w:t>
            </w:r>
          </w:p>
        </w:tc>
        <w:tc>
          <w:tcPr>
            <w:tcW w:w="2120" w:type="dxa"/>
            <w:vAlign w:val="top"/>
          </w:tcPr>
          <w:p w14:paraId="2958338E" w14:textId="77777777" w:rsidR="00A72AC2" w:rsidRPr="00A72AC2" w:rsidRDefault="00A72AC2" w:rsidP="00A72AC2">
            <w:pPr>
              <w:rPr>
                <w:bCs/>
                <w:sz w:val="22"/>
                <w:szCs w:val="24"/>
                <w:lang w:val="en-NZ"/>
              </w:rPr>
            </w:pPr>
            <w:r w:rsidRPr="00A72AC2">
              <w:rPr>
                <w:bCs/>
                <w:sz w:val="22"/>
                <w:szCs w:val="24"/>
                <w:lang w:val="en-NZ"/>
              </w:rPr>
              <w:t>Strength of statement</w:t>
            </w:r>
          </w:p>
        </w:tc>
      </w:tr>
      <w:tr w:rsidR="00A72AC2" w:rsidRPr="00A72AC2" w14:paraId="68E06421" w14:textId="77777777" w:rsidTr="00A72AC2">
        <w:tc>
          <w:tcPr>
            <w:tcW w:w="9628" w:type="dxa"/>
            <w:gridSpan w:val="3"/>
            <w:vAlign w:val="top"/>
          </w:tcPr>
          <w:p w14:paraId="2422DF61" w14:textId="77777777" w:rsidR="00A72AC2" w:rsidRPr="00A72AC2" w:rsidRDefault="00A72AC2" w:rsidP="00A72AC2">
            <w:pPr>
              <w:rPr>
                <w:sz w:val="22"/>
                <w:szCs w:val="24"/>
                <w:lang w:val="en-NZ"/>
              </w:rPr>
            </w:pPr>
            <w:r w:rsidRPr="00A72AC2">
              <w:rPr>
                <w:sz w:val="22"/>
                <w:szCs w:val="24"/>
                <w:lang w:val="en-NZ"/>
              </w:rPr>
              <w:t>Supplementation during pregnancy</w:t>
            </w:r>
          </w:p>
        </w:tc>
      </w:tr>
      <w:tr w:rsidR="00A72AC2" w:rsidRPr="00A72AC2" w14:paraId="2C1CD077" w14:textId="77777777" w:rsidTr="00A72AC2">
        <w:tc>
          <w:tcPr>
            <w:tcW w:w="562" w:type="dxa"/>
            <w:vAlign w:val="top"/>
          </w:tcPr>
          <w:p w14:paraId="036E224E" w14:textId="77777777" w:rsidR="00A72AC2" w:rsidRPr="00A72AC2" w:rsidRDefault="00A72AC2" w:rsidP="00A72AC2">
            <w:pPr>
              <w:rPr>
                <w:sz w:val="22"/>
                <w:szCs w:val="24"/>
                <w:lang w:val="en-NZ"/>
              </w:rPr>
            </w:pPr>
            <w:r w:rsidRPr="00A72AC2">
              <w:rPr>
                <w:sz w:val="22"/>
                <w:szCs w:val="24"/>
                <w:lang w:val="en-NZ"/>
              </w:rPr>
              <w:t>6.</w:t>
            </w:r>
          </w:p>
        </w:tc>
        <w:tc>
          <w:tcPr>
            <w:tcW w:w="6946" w:type="dxa"/>
            <w:vAlign w:val="top"/>
          </w:tcPr>
          <w:p w14:paraId="3326B56C" w14:textId="77777777" w:rsidR="00A72AC2" w:rsidRPr="00A72AC2" w:rsidRDefault="00A72AC2" w:rsidP="00A72AC2">
            <w:pPr>
              <w:rPr>
                <w:sz w:val="22"/>
                <w:szCs w:val="24"/>
                <w:lang w:val="en-NZ"/>
              </w:rPr>
            </w:pPr>
            <w:r w:rsidRPr="00A72AC2">
              <w:rPr>
                <w:sz w:val="22"/>
                <w:szCs w:val="24"/>
                <w:lang w:val="en-NZ"/>
              </w:rPr>
              <w:t>Discuss vitamin D supplementation during pregnancy, noting that vitamin D:</w:t>
            </w:r>
          </w:p>
          <w:p w14:paraId="6F0AB4B7" w14:textId="77777777" w:rsidR="00A72AC2" w:rsidRPr="00A72AC2" w:rsidRDefault="00A72AC2" w:rsidP="00A72AC2">
            <w:pPr>
              <w:pStyle w:val="Bulletpoints"/>
              <w:spacing w:before="60" w:after="60"/>
              <w:rPr>
                <w:sz w:val="22"/>
                <w:szCs w:val="24"/>
                <w:lang w:val="en-NZ"/>
              </w:rPr>
            </w:pPr>
            <w:r w:rsidRPr="00A72AC2">
              <w:rPr>
                <w:sz w:val="22"/>
                <w:szCs w:val="24"/>
                <w:lang w:val="en-NZ"/>
              </w:rPr>
              <w:lastRenderedPageBreak/>
              <w:t>stores are predominantly laid down in infants during the third trimester of pregnancy</w:t>
            </w:r>
          </w:p>
          <w:p w14:paraId="08C3D170" w14:textId="77777777" w:rsidR="00A72AC2" w:rsidRPr="00A72AC2" w:rsidRDefault="00A72AC2" w:rsidP="00A72AC2">
            <w:pPr>
              <w:pStyle w:val="Bulletpoints"/>
              <w:spacing w:before="60" w:after="60"/>
              <w:rPr>
                <w:sz w:val="22"/>
                <w:szCs w:val="24"/>
                <w:lang w:val="en-NZ"/>
              </w:rPr>
            </w:pPr>
            <w:r w:rsidRPr="00A72AC2">
              <w:rPr>
                <w:sz w:val="22"/>
                <w:szCs w:val="24"/>
                <w:lang w:val="en-NZ"/>
              </w:rPr>
              <w:t xml:space="preserve">supplementation in pregnancy aims to ensure that the infant is born with sufficient stores of vitamin D in order to support infant bone health and prevention of </w:t>
            </w:r>
            <w:proofErr w:type="gramStart"/>
            <w:r w:rsidRPr="00A72AC2">
              <w:rPr>
                <w:sz w:val="22"/>
                <w:szCs w:val="24"/>
                <w:lang w:val="en-NZ"/>
              </w:rPr>
              <w:t>rickets</w:t>
            </w:r>
            <w:proofErr w:type="gramEnd"/>
          </w:p>
          <w:p w14:paraId="5B465A07" w14:textId="77777777" w:rsidR="00A72AC2" w:rsidRPr="00A72AC2" w:rsidRDefault="00A72AC2" w:rsidP="00A72AC2">
            <w:pPr>
              <w:pStyle w:val="Bulletpoints"/>
              <w:spacing w:before="60" w:after="60"/>
              <w:rPr>
                <w:sz w:val="22"/>
                <w:szCs w:val="24"/>
                <w:lang w:val="en-NZ"/>
              </w:rPr>
            </w:pPr>
            <w:r w:rsidRPr="00A72AC2">
              <w:rPr>
                <w:sz w:val="22"/>
                <w:szCs w:val="24"/>
                <w:lang w:val="en-NZ"/>
              </w:rPr>
              <w:t>supplementation during pregnancy may reduce the risk of adverse pregnancy outcomes (such as pre-eclampsia and gestational diabetes)</w:t>
            </w:r>
          </w:p>
          <w:p w14:paraId="34F89C0E" w14:textId="77777777" w:rsidR="00A72AC2" w:rsidRPr="00A72AC2" w:rsidRDefault="00A72AC2" w:rsidP="00A72AC2">
            <w:pPr>
              <w:pStyle w:val="Bulletpoints"/>
              <w:spacing w:before="60" w:after="60"/>
              <w:rPr>
                <w:lang w:val="en-NZ"/>
              </w:rPr>
            </w:pPr>
            <w:r w:rsidRPr="00A72AC2">
              <w:rPr>
                <w:sz w:val="22"/>
                <w:szCs w:val="24"/>
                <w:lang w:val="en-NZ"/>
              </w:rPr>
              <w:t xml:space="preserve">levels are influenced by presence of risk </w:t>
            </w:r>
            <w:proofErr w:type="gramStart"/>
            <w:r w:rsidRPr="00A72AC2">
              <w:rPr>
                <w:sz w:val="22"/>
                <w:szCs w:val="24"/>
                <w:lang w:val="en-NZ"/>
              </w:rPr>
              <w:t>factors..</w:t>
            </w:r>
            <w:proofErr w:type="gramEnd"/>
          </w:p>
        </w:tc>
        <w:tc>
          <w:tcPr>
            <w:tcW w:w="2120" w:type="dxa"/>
            <w:vAlign w:val="top"/>
          </w:tcPr>
          <w:p w14:paraId="408792F0" w14:textId="77777777" w:rsidR="00A72AC2" w:rsidRPr="00A72AC2" w:rsidRDefault="00A72AC2" w:rsidP="00A72AC2">
            <w:pPr>
              <w:rPr>
                <w:sz w:val="22"/>
                <w:szCs w:val="24"/>
                <w:lang w:val="en-NZ"/>
              </w:rPr>
            </w:pPr>
            <w:r w:rsidRPr="00A72AC2">
              <w:rPr>
                <w:sz w:val="22"/>
                <w:szCs w:val="24"/>
                <w:lang w:val="en-NZ"/>
              </w:rPr>
              <w:lastRenderedPageBreak/>
              <w:t>Good practice</w:t>
            </w:r>
          </w:p>
        </w:tc>
      </w:tr>
      <w:tr w:rsidR="00A72AC2" w:rsidRPr="00A72AC2" w14:paraId="25CC5163" w14:textId="77777777" w:rsidTr="00A72AC2">
        <w:tc>
          <w:tcPr>
            <w:tcW w:w="562" w:type="dxa"/>
            <w:vAlign w:val="top"/>
          </w:tcPr>
          <w:p w14:paraId="68761F73" w14:textId="77777777" w:rsidR="00A72AC2" w:rsidRPr="00A72AC2" w:rsidRDefault="00A72AC2" w:rsidP="00A72AC2">
            <w:pPr>
              <w:rPr>
                <w:sz w:val="22"/>
                <w:szCs w:val="24"/>
                <w:lang w:val="en-NZ"/>
              </w:rPr>
            </w:pPr>
            <w:r w:rsidRPr="00A72AC2">
              <w:rPr>
                <w:sz w:val="22"/>
                <w:szCs w:val="24"/>
                <w:lang w:val="en-NZ"/>
              </w:rPr>
              <w:t>7.</w:t>
            </w:r>
          </w:p>
        </w:tc>
        <w:tc>
          <w:tcPr>
            <w:tcW w:w="6946" w:type="dxa"/>
            <w:vAlign w:val="top"/>
          </w:tcPr>
          <w:p w14:paraId="16A15DCA" w14:textId="77777777" w:rsidR="00A72AC2" w:rsidRPr="00A72AC2" w:rsidRDefault="00A72AC2" w:rsidP="00A72AC2">
            <w:pPr>
              <w:rPr>
                <w:sz w:val="22"/>
                <w:szCs w:val="24"/>
                <w:lang w:val="en-NZ"/>
              </w:rPr>
            </w:pPr>
            <w:r w:rsidRPr="00A72AC2">
              <w:rPr>
                <w:sz w:val="22"/>
                <w:szCs w:val="24"/>
                <w:lang w:val="en-NZ"/>
              </w:rPr>
              <w:t>Advise people at lower risk of vitamin D deficiency during pregnancy that they may benefit (and are unlikely to suffer harm) from vitamin D supplementation of between 400 IU per day (10 micrograms/day) and 800 IU per day (20 micrograms/day) throughout their pregnancy, particularly in the third trimester.</w:t>
            </w:r>
          </w:p>
        </w:tc>
        <w:tc>
          <w:tcPr>
            <w:tcW w:w="2120" w:type="dxa"/>
            <w:vAlign w:val="top"/>
          </w:tcPr>
          <w:p w14:paraId="4797CE26" w14:textId="77777777" w:rsidR="00A72AC2" w:rsidRPr="00A72AC2" w:rsidRDefault="00A72AC2" w:rsidP="00A72AC2">
            <w:pPr>
              <w:rPr>
                <w:sz w:val="22"/>
                <w:szCs w:val="24"/>
                <w:lang w:val="en-NZ"/>
              </w:rPr>
            </w:pPr>
            <w:r w:rsidRPr="00A72AC2">
              <w:rPr>
                <w:sz w:val="22"/>
                <w:szCs w:val="24"/>
                <w:lang w:val="en-NZ"/>
              </w:rPr>
              <w:t>Expert consensus opinion</w:t>
            </w:r>
          </w:p>
        </w:tc>
      </w:tr>
      <w:tr w:rsidR="00A72AC2" w:rsidRPr="00A72AC2" w14:paraId="1E6DC474" w14:textId="77777777" w:rsidTr="00A72AC2">
        <w:tc>
          <w:tcPr>
            <w:tcW w:w="562" w:type="dxa"/>
            <w:vAlign w:val="top"/>
          </w:tcPr>
          <w:p w14:paraId="2A5B04AE" w14:textId="77777777" w:rsidR="00A72AC2" w:rsidRPr="00A72AC2" w:rsidRDefault="00A72AC2" w:rsidP="00A72AC2">
            <w:pPr>
              <w:rPr>
                <w:sz w:val="22"/>
                <w:szCs w:val="24"/>
                <w:lang w:val="en-NZ"/>
              </w:rPr>
            </w:pPr>
            <w:r w:rsidRPr="00A72AC2">
              <w:rPr>
                <w:sz w:val="22"/>
                <w:szCs w:val="24"/>
                <w:lang w:val="en-NZ"/>
              </w:rPr>
              <w:t>8.</w:t>
            </w:r>
          </w:p>
        </w:tc>
        <w:tc>
          <w:tcPr>
            <w:tcW w:w="6946" w:type="dxa"/>
            <w:vAlign w:val="top"/>
          </w:tcPr>
          <w:p w14:paraId="00CF4628" w14:textId="77777777" w:rsidR="00A72AC2" w:rsidRPr="00A72AC2" w:rsidRDefault="00A72AC2" w:rsidP="00A72AC2">
            <w:pPr>
              <w:rPr>
                <w:sz w:val="22"/>
                <w:szCs w:val="24"/>
                <w:u w:val="single"/>
                <w:lang w:val="en-NZ"/>
              </w:rPr>
            </w:pPr>
            <w:r w:rsidRPr="00A72AC2">
              <w:rPr>
                <w:sz w:val="22"/>
                <w:szCs w:val="24"/>
                <w:lang w:val="en-NZ"/>
              </w:rPr>
              <w:t xml:space="preserve">Advise pregnant people who are at risk of vitamin D deficiency (according to the risk factors stated in </w:t>
            </w:r>
            <w:hyperlink w:anchor="risks_for_deficiency" w:history="1">
              <w:r w:rsidRPr="00A72AC2">
                <w:rPr>
                  <w:rStyle w:val="Hyperlink"/>
                  <w:b/>
                  <w:sz w:val="22"/>
                  <w:szCs w:val="24"/>
                  <w:lang w:val="en-NZ"/>
                </w:rPr>
                <w:t>section 5.3</w:t>
              </w:r>
            </w:hyperlink>
            <w:r w:rsidRPr="00A72AC2">
              <w:rPr>
                <w:bCs/>
                <w:sz w:val="22"/>
                <w:szCs w:val="24"/>
                <w:lang w:val="en-NZ"/>
              </w:rPr>
              <w:t>) that they</w:t>
            </w:r>
            <w:r w:rsidRPr="00A72AC2">
              <w:rPr>
                <w:sz w:val="22"/>
                <w:szCs w:val="24"/>
                <w:lang w:val="en-NZ"/>
              </w:rPr>
              <w:t xml:space="preserve"> are likely to benefit from supplementation and offer to prescribe vitamin D.</w:t>
            </w:r>
            <w:r w:rsidRPr="00A72AC2">
              <w:rPr>
                <w:sz w:val="22"/>
                <w:szCs w:val="24"/>
                <w:u w:val="single"/>
                <w:lang w:val="en-NZ"/>
              </w:rPr>
              <w:t xml:space="preserve"> </w:t>
            </w:r>
          </w:p>
          <w:p w14:paraId="2AC30FD3" w14:textId="77777777" w:rsidR="00A72AC2" w:rsidRPr="00A72AC2" w:rsidRDefault="00A72AC2" w:rsidP="00A72AC2">
            <w:pPr>
              <w:rPr>
                <w:bCs/>
                <w:sz w:val="22"/>
                <w:szCs w:val="24"/>
                <w:u w:val="single"/>
                <w:lang w:val="en-NZ"/>
              </w:rPr>
            </w:pPr>
            <w:r w:rsidRPr="00A72AC2">
              <w:rPr>
                <w:bCs/>
                <w:sz w:val="22"/>
                <w:szCs w:val="24"/>
                <w:u w:val="single"/>
                <w:lang w:val="en-NZ"/>
              </w:rPr>
              <w:t xml:space="preserve">Offer vitamin D supplementation during pregnancy if they have any of the following risk factors: </w:t>
            </w:r>
          </w:p>
          <w:p w14:paraId="1842DA56" w14:textId="77777777" w:rsidR="00A72AC2" w:rsidRPr="00A72AC2" w:rsidRDefault="00A72AC2" w:rsidP="00A72AC2">
            <w:pPr>
              <w:pStyle w:val="Bulletpoints"/>
              <w:rPr>
                <w:sz w:val="22"/>
                <w:szCs w:val="24"/>
                <w:lang w:val="en-NZ"/>
              </w:rPr>
            </w:pPr>
            <w:r w:rsidRPr="00A72AC2">
              <w:rPr>
                <w:sz w:val="22"/>
                <w:szCs w:val="24"/>
                <w:lang w:val="en-NZ"/>
              </w:rPr>
              <w:t xml:space="preserve">naturally darker skin pigmentation and/or are of South Asian, </w:t>
            </w:r>
            <w:proofErr w:type="gramStart"/>
            <w:r w:rsidRPr="00A72AC2">
              <w:rPr>
                <w:sz w:val="22"/>
                <w:szCs w:val="24"/>
                <w:lang w:val="en-NZ"/>
              </w:rPr>
              <w:t>African</w:t>
            </w:r>
            <w:proofErr w:type="gramEnd"/>
            <w:r w:rsidRPr="00A72AC2">
              <w:rPr>
                <w:sz w:val="22"/>
                <w:szCs w:val="24"/>
                <w:lang w:val="en-NZ"/>
              </w:rPr>
              <w:t xml:space="preserve"> or Middle Eastern heritage.</w:t>
            </w:r>
          </w:p>
          <w:p w14:paraId="57BEDB90" w14:textId="77777777" w:rsidR="00A72AC2" w:rsidRPr="00A72AC2" w:rsidRDefault="00A72AC2" w:rsidP="00A72AC2">
            <w:pPr>
              <w:pStyle w:val="Bulletpoints"/>
              <w:rPr>
                <w:sz w:val="22"/>
                <w:szCs w:val="24"/>
                <w:lang w:val="en-NZ"/>
              </w:rPr>
            </w:pPr>
            <w:r w:rsidRPr="00A72AC2">
              <w:rPr>
                <w:sz w:val="22"/>
                <w:szCs w:val="24"/>
                <w:lang w:val="en-NZ"/>
              </w:rPr>
              <w:t>live south of Nelson/Marlborough during winter or spring.</w:t>
            </w:r>
          </w:p>
          <w:p w14:paraId="4FF9FBFD" w14:textId="77777777" w:rsidR="00A72AC2" w:rsidRPr="00A72AC2" w:rsidRDefault="00A72AC2" w:rsidP="00A72AC2">
            <w:pPr>
              <w:pStyle w:val="Bulletpoints"/>
              <w:rPr>
                <w:sz w:val="22"/>
                <w:szCs w:val="24"/>
                <w:lang w:val="en-NZ"/>
              </w:rPr>
            </w:pPr>
            <w:r w:rsidRPr="00A72AC2">
              <w:rPr>
                <w:sz w:val="22"/>
                <w:szCs w:val="24"/>
                <w:lang w:val="en-NZ"/>
              </w:rPr>
              <w:t xml:space="preserve">are sun avoidant and/or spend limited time outdoors for religious, </w:t>
            </w:r>
            <w:proofErr w:type="gramStart"/>
            <w:r w:rsidRPr="00A72AC2">
              <w:rPr>
                <w:sz w:val="22"/>
                <w:szCs w:val="24"/>
                <w:lang w:val="en-NZ"/>
              </w:rPr>
              <w:t>personal</w:t>
            </w:r>
            <w:proofErr w:type="gramEnd"/>
            <w:r w:rsidRPr="00A72AC2">
              <w:rPr>
                <w:sz w:val="22"/>
                <w:szCs w:val="24"/>
                <w:lang w:val="en-NZ"/>
              </w:rPr>
              <w:t xml:space="preserve"> or medical reasons. </w:t>
            </w:r>
          </w:p>
          <w:p w14:paraId="444504CF" w14:textId="77777777" w:rsidR="00A72AC2" w:rsidRPr="00A72AC2" w:rsidRDefault="00A72AC2" w:rsidP="00A72AC2">
            <w:pPr>
              <w:rPr>
                <w:sz w:val="22"/>
                <w:szCs w:val="24"/>
                <w:u w:val="single"/>
                <w:lang w:val="en-NZ"/>
              </w:rPr>
            </w:pPr>
            <w:r w:rsidRPr="00A72AC2">
              <w:rPr>
                <w:sz w:val="22"/>
                <w:szCs w:val="24"/>
                <w:lang w:val="en-NZ"/>
              </w:rPr>
              <w:t xml:space="preserve">Prescribe 400 to 800 IU (1 to 2 drops) </w:t>
            </w:r>
            <w:proofErr w:type="spellStart"/>
            <w:r w:rsidRPr="00A72AC2">
              <w:rPr>
                <w:sz w:val="22"/>
                <w:szCs w:val="24"/>
                <w:lang w:val="en-NZ"/>
              </w:rPr>
              <w:t>colecalciferol</w:t>
            </w:r>
            <w:proofErr w:type="spellEnd"/>
            <w:r w:rsidRPr="00A72AC2">
              <w:rPr>
                <w:sz w:val="22"/>
                <w:szCs w:val="24"/>
                <w:lang w:val="en-NZ"/>
              </w:rPr>
              <w:t xml:space="preserve"> oral liquid (7,500 IU per millilitre/188 micrograms per millilitre) vitamin D drops per day for prevention. Discuss the availability of subsidised Clinicians® 188 microgram/mL oral liquid vitamin D drops. See </w:t>
            </w:r>
            <w:hyperlink r:id="rId25" w:history="1">
              <w:r w:rsidRPr="00A72AC2">
                <w:rPr>
                  <w:rStyle w:val="Hyperlink"/>
                  <w:b/>
                  <w:sz w:val="22"/>
                  <w:szCs w:val="24"/>
                  <w:lang w:val="en-NZ"/>
                </w:rPr>
                <w:t xml:space="preserve">New Zealand Formulary: </w:t>
              </w:r>
              <w:proofErr w:type="spellStart"/>
              <w:r w:rsidRPr="00A72AC2">
                <w:rPr>
                  <w:rStyle w:val="Hyperlink"/>
                  <w:b/>
                  <w:sz w:val="22"/>
                  <w:szCs w:val="24"/>
                  <w:lang w:val="en-NZ"/>
                </w:rPr>
                <w:t>colecalciferol</w:t>
              </w:r>
              <w:proofErr w:type="spellEnd"/>
            </w:hyperlink>
            <w:r w:rsidRPr="00A72AC2">
              <w:rPr>
                <w:sz w:val="22"/>
                <w:szCs w:val="24"/>
                <w:u w:val="single"/>
                <w:lang w:val="en-NZ"/>
              </w:rPr>
              <w:t>.</w:t>
            </w:r>
          </w:p>
          <w:p w14:paraId="26D64242" w14:textId="77777777" w:rsidR="00A72AC2" w:rsidRPr="00A72AC2" w:rsidRDefault="00A72AC2" w:rsidP="00A72AC2">
            <w:pPr>
              <w:rPr>
                <w:sz w:val="22"/>
                <w:szCs w:val="24"/>
                <w:lang w:val="en-NZ"/>
              </w:rPr>
            </w:pPr>
            <w:r w:rsidRPr="00A72AC2">
              <w:rPr>
                <w:bCs/>
                <w:sz w:val="22"/>
                <w:szCs w:val="24"/>
                <w:lang w:val="en-NZ"/>
              </w:rPr>
              <w:t>Individuals with all three risk factors in pregnancy may be at higher risk of vitamin D deficiency and blood testing may be considered. Where vitamin D insufficiency or deficiency is confirmed through testing, follow the advice from New Zealand Formulary (</w:t>
            </w:r>
            <w:hyperlink r:id="rId26" w:history="1">
              <w:r w:rsidRPr="00A72AC2">
                <w:rPr>
                  <w:rStyle w:val="Hyperlink"/>
                  <w:b/>
                  <w:sz w:val="22"/>
                  <w:szCs w:val="24"/>
                  <w:lang w:val="en-NZ"/>
                </w:rPr>
                <w:t xml:space="preserve">New Zealand Formulary: </w:t>
              </w:r>
              <w:proofErr w:type="spellStart"/>
              <w:r w:rsidRPr="00A72AC2">
                <w:rPr>
                  <w:rStyle w:val="Hyperlink"/>
                  <w:b/>
                  <w:sz w:val="22"/>
                  <w:szCs w:val="24"/>
                  <w:lang w:val="en-NZ"/>
                </w:rPr>
                <w:t>colecalciferol</w:t>
              </w:r>
              <w:proofErr w:type="spellEnd"/>
            </w:hyperlink>
            <w:r w:rsidRPr="00A72AC2">
              <w:rPr>
                <w:sz w:val="22"/>
                <w:szCs w:val="24"/>
                <w:lang w:val="en-NZ"/>
              </w:rPr>
              <w:t xml:space="preserve">.) </w:t>
            </w:r>
          </w:p>
          <w:p w14:paraId="04B89547" w14:textId="77777777" w:rsidR="00A72AC2" w:rsidRPr="00A72AC2" w:rsidRDefault="00A72AC2" w:rsidP="00A72AC2">
            <w:pPr>
              <w:rPr>
                <w:sz w:val="22"/>
                <w:szCs w:val="24"/>
                <w:lang w:val="en-NZ"/>
              </w:rPr>
            </w:pPr>
            <w:r w:rsidRPr="00A72AC2">
              <w:rPr>
                <w:sz w:val="22"/>
                <w:szCs w:val="24"/>
                <w:lang w:val="en-NZ"/>
              </w:rPr>
              <w:t xml:space="preserve">Explain: </w:t>
            </w:r>
          </w:p>
          <w:p w14:paraId="38437A38" w14:textId="77777777" w:rsidR="00A72AC2" w:rsidRPr="00A72AC2" w:rsidRDefault="00A72AC2" w:rsidP="00A72AC2">
            <w:pPr>
              <w:pStyle w:val="Bulletpoints"/>
              <w:rPr>
                <w:sz w:val="22"/>
                <w:szCs w:val="24"/>
                <w:lang w:val="en-NZ"/>
              </w:rPr>
            </w:pPr>
            <w:r w:rsidRPr="00A72AC2">
              <w:rPr>
                <w:sz w:val="22"/>
                <w:szCs w:val="24"/>
                <w:lang w:val="en-NZ"/>
              </w:rPr>
              <w:t xml:space="preserve">Each drop provides approximately 400 IU (10 micrograms) </w:t>
            </w:r>
          </w:p>
          <w:p w14:paraId="0FB47D61" w14:textId="77777777" w:rsidR="00A72AC2" w:rsidRPr="00A72AC2" w:rsidRDefault="00A72AC2" w:rsidP="00A72AC2">
            <w:pPr>
              <w:pStyle w:val="Bulletpoints"/>
              <w:rPr>
                <w:sz w:val="22"/>
                <w:szCs w:val="24"/>
                <w:lang w:val="en-NZ"/>
              </w:rPr>
            </w:pPr>
            <w:r w:rsidRPr="00A72AC2">
              <w:rPr>
                <w:sz w:val="22"/>
                <w:szCs w:val="24"/>
                <w:lang w:val="en-NZ"/>
              </w:rPr>
              <w:t>Explain that supplementation at this low dose cannot cause toxicity and people are unlikely to suffer harm from supplementation during pregnancy.</w:t>
            </w:r>
          </w:p>
          <w:p w14:paraId="1A3AAD36" w14:textId="77777777" w:rsidR="00A72AC2" w:rsidRPr="00A72AC2" w:rsidRDefault="00A72AC2" w:rsidP="00A72AC2">
            <w:pPr>
              <w:pStyle w:val="Bulletpoints"/>
              <w:rPr>
                <w:sz w:val="22"/>
                <w:szCs w:val="24"/>
                <w:lang w:val="en-NZ"/>
              </w:rPr>
            </w:pPr>
            <w:r w:rsidRPr="00A72AC2">
              <w:rPr>
                <w:sz w:val="22"/>
                <w:szCs w:val="24"/>
                <w:lang w:val="en-NZ"/>
              </w:rPr>
              <w:t>For severe deficiency, an individualised treatment programme will be required initially.</w:t>
            </w:r>
          </w:p>
          <w:p w14:paraId="5813A238" w14:textId="77777777" w:rsidR="00A72AC2" w:rsidRPr="00A72AC2" w:rsidRDefault="00A72AC2" w:rsidP="00A72AC2">
            <w:pPr>
              <w:rPr>
                <w:sz w:val="22"/>
                <w:szCs w:val="24"/>
                <w:lang w:val="en-NZ"/>
              </w:rPr>
            </w:pPr>
            <w:r w:rsidRPr="00A72AC2">
              <w:rPr>
                <w:sz w:val="22"/>
                <w:szCs w:val="24"/>
                <w:lang w:val="en-NZ"/>
              </w:rPr>
              <w:lastRenderedPageBreak/>
              <w:t>Always check what, if any, other supplements are being taken, especially if they contain vitamin D, and adjust advice/dose accordingly.</w:t>
            </w:r>
          </w:p>
        </w:tc>
        <w:tc>
          <w:tcPr>
            <w:tcW w:w="2120" w:type="dxa"/>
            <w:vAlign w:val="top"/>
          </w:tcPr>
          <w:p w14:paraId="044321A1" w14:textId="77777777" w:rsidR="00A72AC2" w:rsidRPr="00A72AC2" w:rsidRDefault="00A72AC2" w:rsidP="00A72AC2">
            <w:pPr>
              <w:rPr>
                <w:sz w:val="22"/>
                <w:szCs w:val="24"/>
                <w:lang w:val="en-NZ"/>
              </w:rPr>
            </w:pPr>
            <w:r w:rsidRPr="00A72AC2">
              <w:rPr>
                <w:sz w:val="22"/>
                <w:szCs w:val="24"/>
                <w:lang w:val="en-NZ"/>
              </w:rPr>
              <w:lastRenderedPageBreak/>
              <w:t>Expert consensus opinion</w:t>
            </w:r>
          </w:p>
        </w:tc>
      </w:tr>
      <w:tr w:rsidR="00A72AC2" w:rsidRPr="00A72AC2" w14:paraId="16888A79" w14:textId="77777777" w:rsidTr="00A72AC2">
        <w:tc>
          <w:tcPr>
            <w:tcW w:w="562" w:type="dxa"/>
            <w:vAlign w:val="top"/>
          </w:tcPr>
          <w:p w14:paraId="74165AFF" w14:textId="77777777" w:rsidR="00A72AC2" w:rsidRPr="00A72AC2" w:rsidRDefault="00A72AC2" w:rsidP="00A72AC2">
            <w:pPr>
              <w:rPr>
                <w:sz w:val="22"/>
                <w:szCs w:val="24"/>
                <w:lang w:val="en-NZ"/>
              </w:rPr>
            </w:pPr>
            <w:r w:rsidRPr="00A72AC2">
              <w:rPr>
                <w:sz w:val="22"/>
                <w:szCs w:val="24"/>
                <w:lang w:val="en-NZ"/>
              </w:rPr>
              <w:t>9.</w:t>
            </w:r>
          </w:p>
        </w:tc>
        <w:tc>
          <w:tcPr>
            <w:tcW w:w="6946" w:type="dxa"/>
            <w:vAlign w:val="top"/>
          </w:tcPr>
          <w:p w14:paraId="18ADE612" w14:textId="77777777" w:rsidR="00A72AC2" w:rsidRPr="00A72AC2" w:rsidRDefault="00A72AC2" w:rsidP="00A72AC2">
            <w:pPr>
              <w:rPr>
                <w:sz w:val="22"/>
                <w:szCs w:val="24"/>
                <w:lang w:val="en-NZ"/>
              </w:rPr>
            </w:pPr>
            <w:r w:rsidRPr="00A72AC2">
              <w:rPr>
                <w:sz w:val="22"/>
                <w:szCs w:val="24"/>
                <w:lang w:val="en-NZ"/>
              </w:rPr>
              <w:t>Healthcare practitioners should be attentive to cultural nuances, employing a culturally sensitive approach to education and preventive measures that consider the historical and traditional factors influencing sun exposure behaviours in these communities.</w:t>
            </w:r>
          </w:p>
        </w:tc>
        <w:tc>
          <w:tcPr>
            <w:tcW w:w="2120" w:type="dxa"/>
            <w:vAlign w:val="top"/>
          </w:tcPr>
          <w:p w14:paraId="625FF6B6" w14:textId="77777777" w:rsidR="00A72AC2" w:rsidRPr="00A72AC2" w:rsidRDefault="00A72AC2" w:rsidP="00A72AC2">
            <w:pPr>
              <w:rPr>
                <w:sz w:val="22"/>
                <w:szCs w:val="24"/>
                <w:lang w:val="en-NZ"/>
              </w:rPr>
            </w:pPr>
            <w:r w:rsidRPr="00A72AC2">
              <w:rPr>
                <w:sz w:val="22"/>
                <w:szCs w:val="24"/>
                <w:lang w:val="en-NZ"/>
              </w:rPr>
              <w:t>Good practice</w:t>
            </w:r>
          </w:p>
        </w:tc>
      </w:tr>
    </w:tbl>
    <w:p w14:paraId="16682C5E" w14:textId="77777777" w:rsidR="00882571" w:rsidRDefault="00882571" w:rsidP="002B0407">
      <w:pPr>
        <w:rPr>
          <w:lang w:val="en-NZ"/>
        </w:rPr>
      </w:pPr>
    </w:p>
    <w:tbl>
      <w:tblPr>
        <w:tblStyle w:val="TableGrid"/>
        <w:tblW w:w="5000" w:type="pct"/>
        <w:tblLayout w:type="fixed"/>
        <w:tblLook w:val="0420" w:firstRow="1" w:lastRow="0" w:firstColumn="0" w:lastColumn="0" w:noHBand="0" w:noVBand="1"/>
      </w:tblPr>
      <w:tblGrid>
        <w:gridCol w:w="539"/>
        <w:gridCol w:w="6486"/>
        <w:gridCol w:w="1991"/>
      </w:tblGrid>
      <w:tr w:rsidR="00D63B3C" w:rsidRPr="00D63B3C" w14:paraId="6E89819B" w14:textId="77777777" w:rsidTr="008B3604">
        <w:trPr>
          <w:cnfStyle w:val="100000000000" w:firstRow="1" w:lastRow="0" w:firstColumn="0" w:lastColumn="0" w:oddVBand="0" w:evenVBand="0" w:oddHBand="0" w:evenHBand="0" w:firstRowFirstColumn="0" w:firstRowLastColumn="0" w:lastRowFirstColumn="0" w:lastRowLastColumn="0"/>
        </w:trPr>
        <w:tc>
          <w:tcPr>
            <w:tcW w:w="539" w:type="dxa"/>
            <w:vAlign w:val="top"/>
          </w:tcPr>
          <w:p w14:paraId="31E6D55E" w14:textId="77777777" w:rsidR="00D63B3C" w:rsidRPr="00D63B3C" w:rsidRDefault="00D63B3C" w:rsidP="00D63B3C">
            <w:pPr>
              <w:rPr>
                <w:sz w:val="22"/>
                <w:szCs w:val="24"/>
                <w:lang w:val="en-NZ"/>
              </w:rPr>
            </w:pPr>
          </w:p>
        </w:tc>
        <w:tc>
          <w:tcPr>
            <w:tcW w:w="6486" w:type="dxa"/>
            <w:vAlign w:val="top"/>
          </w:tcPr>
          <w:p w14:paraId="7F945315" w14:textId="77777777" w:rsidR="00D63B3C" w:rsidRPr="00D63B3C" w:rsidRDefault="00D63B3C" w:rsidP="00D63B3C">
            <w:pPr>
              <w:rPr>
                <w:bCs/>
                <w:sz w:val="22"/>
                <w:szCs w:val="24"/>
                <w:lang w:val="en-NZ"/>
              </w:rPr>
            </w:pPr>
            <w:r w:rsidRPr="00D63B3C">
              <w:rPr>
                <w:sz w:val="22"/>
                <w:szCs w:val="24"/>
                <w:lang w:val="en-NZ"/>
              </w:rPr>
              <w:t xml:space="preserve"> </w:t>
            </w:r>
            <w:r w:rsidRPr="00D63B3C">
              <w:rPr>
                <w:bCs/>
                <w:sz w:val="22"/>
                <w:szCs w:val="24"/>
                <w:lang w:val="en-NZ"/>
              </w:rPr>
              <w:t>Consensus Statement</w:t>
            </w:r>
          </w:p>
        </w:tc>
        <w:tc>
          <w:tcPr>
            <w:tcW w:w="1991" w:type="dxa"/>
            <w:vAlign w:val="top"/>
          </w:tcPr>
          <w:p w14:paraId="784447F5" w14:textId="77777777" w:rsidR="00D63B3C" w:rsidRPr="00D63B3C" w:rsidRDefault="00D63B3C" w:rsidP="00D63B3C">
            <w:pPr>
              <w:rPr>
                <w:bCs/>
                <w:sz w:val="22"/>
                <w:szCs w:val="24"/>
                <w:lang w:val="en-NZ"/>
              </w:rPr>
            </w:pPr>
            <w:r w:rsidRPr="00D63B3C">
              <w:rPr>
                <w:bCs/>
                <w:sz w:val="22"/>
                <w:szCs w:val="24"/>
                <w:lang w:val="en-NZ"/>
              </w:rPr>
              <w:t>Strength of statement</w:t>
            </w:r>
          </w:p>
        </w:tc>
      </w:tr>
      <w:tr w:rsidR="00D63B3C" w:rsidRPr="00D63B3C" w14:paraId="61477A4E" w14:textId="77777777" w:rsidTr="008B3604">
        <w:tc>
          <w:tcPr>
            <w:tcW w:w="9016" w:type="dxa"/>
            <w:gridSpan w:val="3"/>
            <w:vAlign w:val="top"/>
          </w:tcPr>
          <w:p w14:paraId="2C3DFE09" w14:textId="77777777" w:rsidR="00D63B3C" w:rsidRPr="00D63B3C" w:rsidRDefault="00D63B3C" w:rsidP="00D63B3C">
            <w:pPr>
              <w:rPr>
                <w:sz w:val="22"/>
                <w:szCs w:val="24"/>
                <w:lang w:val="en-NZ"/>
              </w:rPr>
            </w:pPr>
            <w:r w:rsidRPr="00D63B3C">
              <w:rPr>
                <w:bCs/>
                <w:sz w:val="22"/>
                <w:szCs w:val="24"/>
                <w:lang w:val="en-NZ"/>
              </w:rPr>
              <w:t>Supplementation for breastfed infants</w:t>
            </w:r>
          </w:p>
        </w:tc>
      </w:tr>
      <w:tr w:rsidR="00D63B3C" w:rsidRPr="00D63B3C" w14:paraId="1E278F7A" w14:textId="77777777" w:rsidTr="008B3604">
        <w:tc>
          <w:tcPr>
            <w:tcW w:w="539" w:type="dxa"/>
            <w:vAlign w:val="top"/>
          </w:tcPr>
          <w:p w14:paraId="0E2BF6C7" w14:textId="77777777" w:rsidR="00D63B3C" w:rsidRPr="00D63B3C" w:rsidRDefault="00D63B3C" w:rsidP="00D63B3C">
            <w:pPr>
              <w:rPr>
                <w:sz w:val="22"/>
                <w:szCs w:val="24"/>
                <w:lang w:val="en-NZ"/>
              </w:rPr>
            </w:pPr>
            <w:r w:rsidRPr="00D63B3C">
              <w:rPr>
                <w:sz w:val="22"/>
                <w:szCs w:val="24"/>
                <w:lang w:val="en-NZ"/>
              </w:rPr>
              <w:t>10.</w:t>
            </w:r>
          </w:p>
        </w:tc>
        <w:tc>
          <w:tcPr>
            <w:tcW w:w="6486" w:type="dxa"/>
            <w:vAlign w:val="top"/>
          </w:tcPr>
          <w:p w14:paraId="47A6EE1C" w14:textId="77777777" w:rsidR="00D63B3C" w:rsidRPr="00D63B3C" w:rsidRDefault="00D63B3C" w:rsidP="00D63B3C">
            <w:pPr>
              <w:rPr>
                <w:sz w:val="22"/>
                <w:szCs w:val="24"/>
                <w:lang w:val="en-NZ"/>
              </w:rPr>
            </w:pPr>
            <w:r w:rsidRPr="00D63B3C">
              <w:rPr>
                <w:sz w:val="22"/>
                <w:szCs w:val="24"/>
                <w:lang w:val="en-NZ"/>
              </w:rPr>
              <w:t>Advise whānau that all exclusively or partially breastfed infants may benefit from vitamin D supplementation to reduce the risk of rickets and support bone health.</w:t>
            </w:r>
          </w:p>
          <w:p w14:paraId="6A097C64" w14:textId="77777777" w:rsidR="00D63B3C" w:rsidRPr="00D63B3C" w:rsidRDefault="00D63B3C" w:rsidP="00D63B3C">
            <w:pPr>
              <w:pStyle w:val="Bulletpoints"/>
              <w:rPr>
                <w:sz w:val="22"/>
                <w:szCs w:val="24"/>
                <w:lang w:val="en-NZ"/>
              </w:rPr>
            </w:pPr>
            <w:r w:rsidRPr="00D63B3C">
              <w:rPr>
                <w:sz w:val="22"/>
                <w:szCs w:val="24"/>
                <w:lang w:val="en-NZ"/>
              </w:rPr>
              <w:t>Explain that breastmilk is the ideal food for infants and encourage breastfeeding by discussing the benefits of breastfeeding for both infants and mothers, including protection against common illness and decreasing the chances of adverse health outcomes later in life in infants, as well as reducing the risk of mothers developing ovarian cancer and breast cancer.</w:t>
            </w:r>
          </w:p>
          <w:p w14:paraId="08F5E877" w14:textId="77777777" w:rsidR="00D63B3C" w:rsidRPr="00D63B3C" w:rsidRDefault="00D63B3C" w:rsidP="00D63B3C">
            <w:pPr>
              <w:pStyle w:val="Bulletpoints"/>
              <w:rPr>
                <w:sz w:val="22"/>
                <w:szCs w:val="24"/>
                <w:lang w:val="en-NZ"/>
              </w:rPr>
            </w:pPr>
            <w:r w:rsidRPr="00D63B3C">
              <w:rPr>
                <w:sz w:val="22"/>
                <w:szCs w:val="24"/>
                <w:lang w:val="en-NZ"/>
              </w:rPr>
              <w:t>Explain that vitamin D supplementation is appropriate until the infant is mobile, or up to 12 months of age.</w:t>
            </w:r>
          </w:p>
          <w:p w14:paraId="5CE3D26E" w14:textId="77777777" w:rsidR="00D63B3C" w:rsidRPr="00D63B3C" w:rsidRDefault="00D63B3C" w:rsidP="00D63B3C">
            <w:pPr>
              <w:pStyle w:val="Bulletpoints"/>
              <w:rPr>
                <w:lang w:val="en-NZ"/>
              </w:rPr>
            </w:pPr>
            <w:r w:rsidRPr="00D63B3C">
              <w:rPr>
                <w:sz w:val="22"/>
                <w:szCs w:val="24"/>
                <w:lang w:val="en-NZ"/>
              </w:rPr>
              <w:t xml:space="preserve">Discuss that the need for vitamin D supplementation has come from a change in human behaviour and lifestyles which has led to a decrease in sunlight exposure to our skin, and subsequently increased risk of vitamin D deficiency. </w:t>
            </w:r>
          </w:p>
        </w:tc>
        <w:tc>
          <w:tcPr>
            <w:tcW w:w="1991" w:type="dxa"/>
            <w:vAlign w:val="top"/>
          </w:tcPr>
          <w:p w14:paraId="2B0C9E74" w14:textId="77777777" w:rsidR="00D63B3C" w:rsidRPr="00D63B3C" w:rsidRDefault="00D63B3C" w:rsidP="00D63B3C">
            <w:pPr>
              <w:rPr>
                <w:sz w:val="22"/>
                <w:szCs w:val="24"/>
                <w:lang w:val="en-NZ"/>
              </w:rPr>
            </w:pPr>
            <w:r w:rsidRPr="00D63B3C">
              <w:rPr>
                <w:sz w:val="22"/>
                <w:szCs w:val="24"/>
                <w:lang w:val="en-NZ"/>
              </w:rPr>
              <w:t>Expert consensus opinion</w:t>
            </w:r>
          </w:p>
        </w:tc>
      </w:tr>
      <w:tr w:rsidR="00D63B3C" w:rsidRPr="00D63B3C" w14:paraId="480EFAED" w14:textId="77777777" w:rsidTr="008B3604">
        <w:tc>
          <w:tcPr>
            <w:tcW w:w="539" w:type="dxa"/>
            <w:vAlign w:val="top"/>
          </w:tcPr>
          <w:p w14:paraId="6EB7EBCC" w14:textId="77777777" w:rsidR="00D63B3C" w:rsidRPr="00D63B3C" w:rsidRDefault="00D63B3C" w:rsidP="00D63B3C">
            <w:pPr>
              <w:rPr>
                <w:sz w:val="22"/>
                <w:szCs w:val="24"/>
                <w:lang w:val="en-NZ"/>
              </w:rPr>
            </w:pPr>
            <w:r w:rsidRPr="00D63B3C">
              <w:rPr>
                <w:sz w:val="22"/>
                <w:szCs w:val="24"/>
                <w:lang w:val="en-NZ"/>
              </w:rPr>
              <w:t>11.</w:t>
            </w:r>
          </w:p>
        </w:tc>
        <w:tc>
          <w:tcPr>
            <w:tcW w:w="6486" w:type="dxa"/>
            <w:vAlign w:val="top"/>
          </w:tcPr>
          <w:p w14:paraId="20DDDEF5" w14:textId="77777777" w:rsidR="00D63B3C" w:rsidRPr="00D63B3C" w:rsidRDefault="00D63B3C" w:rsidP="00D63B3C">
            <w:pPr>
              <w:rPr>
                <w:sz w:val="22"/>
                <w:szCs w:val="24"/>
                <w:lang w:val="en-NZ"/>
              </w:rPr>
            </w:pPr>
            <w:r w:rsidRPr="00D63B3C">
              <w:rPr>
                <w:sz w:val="22"/>
                <w:szCs w:val="24"/>
                <w:lang w:val="en-NZ"/>
              </w:rPr>
              <w:t xml:space="preserve">Following this discussion, offer to prescribe vitamin D supplements to all exclusively or partially breastfed infants as soon as practical, but by 4 weeks until 12 months of age. </w:t>
            </w:r>
          </w:p>
          <w:p w14:paraId="7ABF1B91" w14:textId="77777777" w:rsidR="00D63B3C" w:rsidRPr="00D63B3C" w:rsidRDefault="00D63B3C" w:rsidP="00D63B3C">
            <w:pPr>
              <w:rPr>
                <w:sz w:val="22"/>
                <w:szCs w:val="24"/>
                <w:lang w:val="en-NZ"/>
              </w:rPr>
            </w:pPr>
            <w:r w:rsidRPr="00D63B3C">
              <w:rPr>
                <w:sz w:val="22"/>
                <w:szCs w:val="24"/>
                <w:lang w:val="en-NZ"/>
              </w:rPr>
              <w:t xml:space="preserve">Prescribe </w:t>
            </w:r>
            <w:proofErr w:type="spellStart"/>
            <w:r w:rsidRPr="00D63B3C">
              <w:rPr>
                <w:sz w:val="22"/>
                <w:szCs w:val="24"/>
                <w:lang w:val="en-NZ"/>
              </w:rPr>
              <w:t>colecalciferol</w:t>
            </w:r>
            <w:proofErr w:type="spellEnd"/>
            <w:r w:rsidRPr="00D63B3C">
              <w:rPr>
                <w:sz w:val="22"/>
                <w:szCs w:val="24"/>
                <w:lang w:val="en-NZ"/>
              </w:rPr>
              <w:t xml:space="preserve"> oral liquid (188 micrograms per millilitre/7,500 international units per millilitre), vitamin D drops, one drop per day. See </w:t>
            </w:r>
            <w:hyperlink r:id="rId27" w:history="1">
              <w:r w:rsidRPr="00D63B3C">
                <w:rPr>
                  <w:rStyle w:val="Hyperlink"/>
                  <w:b/>
                  <w:sz w:val="22"/>
                  <w:szCs w:val="24"/>
                  <w:lang w:val="en-NZ"/>
                </w:rPr>
                <w:t xml:space="preserve">New Zealand Formulary for Children: </w:t>
              </w:r>
              <w:proofErr w:type="spellStart"/>
              <w:r w:rsidRPr="00D63B3C">
                <w:rPr>
                  <w:rStyle w:val="Hyperlink"/>
                  <w:b/>
                  <w:sz w:val="22"/>
                  <w:szCs w:val="24"/>
                  <w:lang w:val="en-NZ"/>
                </w:rPr>
                <w:t>colecalciferol</w:t>
              </w:r>
              <w:proofErr w:type="spellEnd"/>
              <w:r w:rsidRPr="00D63B3C">
                <w:rPr>
                  <w:rStyle w:val="Hyperlink"/>
                  <w:b/>
                  <w:sz w:val="22"/>
                  <w:szCs w:val="24"/>
                  <w:lang w:val="en-NZ"/>
                </w:rPr>
                <w:t>.</w:t>
              </w:r>
            </w:hyperlink>
            <w:r w:rsidRPr="00D63B3C">
              <w:rPr>
                <w:sz w:val="22"/>
                <w:szCs w:val="24"/>
                <w:lang w:val="en-NZ"/>
              </w:rPr>
              <w:t xml:space="preserve"> </w:t>
            </w:r>
          </w:p>
          <w:p w14:paraId="10917D38" w14:textId="77777777" w:rsidR="00D63B3C" w:rsidRPr="00D63B3C" w:rsidRDefault="00D63B3C" w:rsidP="00D63B3C">
            <w:pPr>
              <w:rPr>
                <w:sz w:val="22"/>
                <w:szCs w:val="24"/>
                <w:lang w:val="en-NZ"/>
              </w:rPr>
            </w:pPr>
            <w:r w:rsidRPr="00D63B3C">
              <w:rPr>
                <w:sz w:val="22"/>
                <w:szCs w:val="24"/>
                <w:lang w:val="en-NZ"/>
              </w:rPr>
              <w:t>Explain:</w:t>
            </w:r>
          </w:p>
          <w:p w14:paraId="387D846B" w14:textId="77777777" w:rsidR="00D63B3C" w:rsidRPr="00D63B3C" w:rsidRDefault="00D63B3C" w:rsidP="00D63B3C">
            <w:pPr>
              <w:pStyle w:val="Bulletpoints"/>
              <w:rPr>
                <w:sz w:val="22"/>
                <w:szCs w:val="24"/>
                <w:lang w:val="en-NZ"/>
              </w:rPr>
            </w:pPr>
            <w:r w:rsidRPr="00D63B3C">
              <w:rPr>
                <w:sz w:val="22"/>
                <w:szCs w:val="24"/>
                <w:lang w:val="en-NZ"/>
              </w:rPr>
              <w:t xml:space="preserve">Each drop provides approximately 400 IU (10 micrograms) </w:t>
            </w:r>
          </w:p>
          <w:p w14:paraId="424DC3C1" w14:textId="77777777" w:rsidR="00D63B3C" w:rsidRPr="00D63B3C" w:rsidRDefault="00D63B3C" w:rsidP="00D63B3C">
            <w:pPr>
              <w:pStyle w:val="Bulletpoints"/>
              <w:rPr>
                <w:sz w:val="22"/>
                <w:szCs w:val="24"/>
                <w:lang w:val="en-NZ"/>
              </w:rPr>
            </w:pPr>
            <w:r w:rsidRPr="00D63B3C">
              <w:rPr>
                <w:sz w:val="22"/>
                <w:szCs w:val="24"/>
                <w:lang w:val="en-NZ"/>
              </w:rPr>
              <w:t>Infants are unlikely to suffer harm from supplementation.</w:t>
            </w:r>
          </w:p>
          <w:p w14:paraId="3C5B9682" w14:textId="77777777" w:rsidR="00D63B3C" w:rsidRPr="00D63B3C" w:rsidRDefault="00D63B3C" w:rsidP="00D63B3C">
            <w:pPr>
              <w:pStyle w:val="Bulletpoints"/>
              <w:rPr>
                <w:sz w:val="22"/>
                <w:szCs w:val="24"/>
                <w:lang w:val="en-NZ"/>
              </w:rPr>
            </w:pPr>
            <w:r w:rsidRPr="00D63B3C">
              <w:rPr>
                <w:sz w:val="22"/>
                <w:szCs w:val="24"/>
                <w:lang w:val="en-NZ"/>
              </w:rPr>
              <w:t>Explain that infant formula is fortified with vitamin D so fully formula fed babies should receive adequate vitamin D and do not require supplementation.</w:t>
            </w:r>
          </w:p>
          <w:p w14:paraId="20A9D970" w14:textId="77777777" w:rsidR="00D63B3C" w:rsidRPr="00D63B3C" w:rsidRDefault="00D63B3C" w:rsidP="00D63B3C">
            <w:pPr>
              <w:pStyle w:val="Bulletpoints"/>
              <w:rPr>
                <w:lang w:val="en-NZ"/>
              </w:rPr>
            </w:pPr>
            <w:r w:rsidRPr="00D63B3C">
              <w:rPr>
                <w:sz w:val="22"/>
                <w:szCs w:val="24"/>
                <w:lang w:val="en-NZ"/>
              </w:rPr>
              <w:lastRenderedPageBreak/>
              <w:t xml:space="preserve">Additionally, infants receiving 500mL of formula per day should receive sufficient vitamin D and do not require supplementation. </w:t>
            </w:r>
          </w:p>
        </w:tc>
        <w:tc>
          <w:tcPr>
            <w:tcW w:w="1991" w:type="dxa"/>
            <w:vAlign w:val="top"/>
          </w:tcPr>
          <w:p w14:paraId="2F0759DB" w14:textId="77777777" w:rsidR="00D63B3C" w:rsidRPr="00D63B3C" w:rsidRDefault="00D63B3C" w:rsidP="00D63B3C">
            <w:pPr>
              <w:rPr>
                <w:sz w:val="22"/>
                <w:szCs w:val="24"/>
                <w:lang w:val="en-NZ"/>
              </w:rPr>
            </w:pPr>
            <w:r w:rsidRPr="00D63B3C">
              <w:rPr>
                <w:sz w:val="22"/>
                <w:szCs w:val="24"/>
                <w:lang w:val="en-NZ"/>
              </w:rPr>
              <w:lastRenderedPageBreak/>
              <w:t>Expert consensus opinion</w:t>
            </w:r>
          </w:p>
        </w:tc>
      </w:tr>
    </w:tbl>
    <w:p w14:paraId="55BDAEC2" w14:textId="77777777" w:rsidR="008B3604" w:rsidRPr="008B3604" w:rsidRDefault="008B3604" w:rsidP="008B3604">
      <w:pPr>
        <w:pStyle w:val="Heading2"/>
      </w:pPr>
      <w:bookmarkStart w:id="26" w:name="_Toc161403297"/>
      <w:bookmarkStart w:id="27" w:name="_Toc167269273"/>
      <w:bookmarkStart w:id="28" w:name="_Toc143088621"/>
      <w:r w:rsidRPr="008B3604">
        <w:t>Time outdoors and incidental sun exposure</w:t>
      </w:r>
      <w:bookmarkEnd w:id="26"/>
      <w:bookmarkEnd w:id="27"/>
    </w:p>
    <w:bookmarkEnd w:id="28"/>
    <w:p w14:paraId="68E63D4A" w14:textId="77777777" w:rsidR="008B3604" w:rsidRPr="008B3604" w:rsidRDefault="008B3604" w:rsidP="008B3604">
      <w:pPr>
        <w:rPr>
          <w:lang w:val="en-NZ"/>
        </w:rPr>
      </w:pPr>
      <w:r w:rsidRPr="008B3604">
        <w:rPr>
          <w:lang w:val="en-NZ"/>
        </w:rPr>
        <w:t xml:space="preserve">Refer to the </w:t>
      </w:r>
      <w:hyperlink r:id="rId28" w:history="1">
        <w:r w:rsidRPr="008B3604">
          <w:rPr>
            <w:rStyle w:val="Hyperlink"/>
            <w:b/>
            <w:lang w:val="en-NZ"/>
          </w:rPr>
          <w:t>Consensus Statement</w:t>
        </w:r>
      </w:hyperlink>
      <w:r w:rsidRPr="008B3604">
        <w:rPr>
          <w:lang w:val="en-NZ"/>
        </w:rPr>
        <w:t xml:space="preserve"> for advice on sun exposure for the general population.</w:t>
      </w:r>
    </w:p>
    <w:p w14:paraId="63CA208A" w14:textId="77777777" w:rsidR="008B3604" w:rsidRPr="008B3604" w:rsidRDefault="008B3604" w:rsidP="008B3604">
      <w:pPr>
        <w:rPr>
          <w:lang w:val="en-NZ"/>
        </w:rPr>
      </w:pPr>
      <w:r w:rsidRPr="008B3604">
        <w:rPr>
          <w:lang w:val="en-NZ"/>
        </w:rPr>
        <w:t xml:space="preserve">UV radiation from the sun has both beneficial and harmful health effects. High UV radiation in summer contributes to skin cancer, while low radiation in winter contributes to vitamin D deficiency. Exposure to UV radiation (both UVA and UVB) is the likely cause of over 90 percent of all skin cancer cases in countries with high levels of UV exposure in summer </w:t>
      </w:r>
      <w:r w:rsidRPr="008B3604">
        <w:rPr>
          <w:lang w:val="en-NZ"/>
        </w:rPr>
        <w:fldChar w:fldCharType="begin"/>
      </w:r>
      <w:r w:rsidRPr="008B3604">
        <w:rPr>
          <w:lang w:val="en-NZ"/>
        </w:rPr>
        <w:instrText xml:space="preserve"> ADDIN ZOTERO_ITEM CSL_CITATION {"citationID":"d7CZ4DL0","properties":{"formattedCitation":"(Armstrong, 2004; IARC, 2012)","plainCitation":"(Armstrong, 2004; IARC, 2012)","noteIndex":0},"citationItems":[{"id":1075,"uris":["http://zotero.org/groups/5078394/items/RU94FT2X"],"itemData":{"id":1075,"type":"chapter","abstract":"It has been widely accepted since early in the 20th Century that sun exposure is a cause of BCC and SCC in humans [1]. That human melanoma is also caused by sun exposure was not suggested until the early 1950s, and is still not accepted by some, or the relationship is described as controversial or complex [2,3]. Nevertheless, an expert working group of the International Agency for Research on Cancer concluded, in 1992, “There is sufficient evidence in humans for the carcinogenicity of solar radiation. Solar radiation causes cutaneous malignant melanoma and non-melanocytic skin cancer” [4].","collection-title":"Cancer Prevention — Cancer Causes","container-title":"Prevention of Skin Cancer","event-place":"Dordrecht","ISBN":"978-94-017-0511-0","language":"en","note":"DOI: 10.1007/978-94-017-0511-0_6","page":"89-116","publisher":"Springer Netherlands","publisher-place":"Dordrecht","source":"Springer Link","title":"How sun exposure causes skin cancer: an epidemiological perspective","title-short":"How sun exposure causes skin cancer","URL":"https://doi.org/10.1007/978-94-017-0511-0_6","author":[{"family":"Armstrong","given":"Bruce K."}],"editor":[{"family":"Hill","given":"David"},{"family":"Elwood","given":"J. Mark"},{"family":"English","given":"Dallas R."}],"accessed":{"date-parts":[["2023",8,25]]},"issued":{"date-parts":[["2004"]]}}},{"id":1067,"uris":["http://zotero.org/groups/5078394/items/JMM8BSPM"],"itemData":{"id":1067,"type":"book","ISBN":"978-92-832-1321-5","language":"en","publisher":"International Agency for Research on Cancer","source":"publications.iarc.fr","title":"Monographs on the Evaluation of Carcinogenic Risks to Humans: A review of human carcinogens: Radiation","URL":"https://publications.iarc.fr/Book-And-Report-Series/Iarc-Monographs-On-The-Identification-Of-Carcinogenic-Hazards-To-Humans/Radiation-2012","volume":"100D","author":[{"family":"IARC","given":""}],"accessed":{"date-parts":[["2023",8,24]]},"issued":{"date-parts":[["2012"]]}}}],"schema":"https://github.com/citation-style-language/schema/raw/master/csl-citation.json"} </w:instrText>
      </w:r>
      <w:r w:rsidRPr="008B3604">
        <w:rPr>
          <w:lang w:val="en-NZ"/>
        </w:rPr>
        <w:fldChar w:fldCharType="separate"/>
      </w:r>
      <w:r w:rsidRPr="008B3604">
        <w:rPr>
          <w:lang w:val="en-NZ"/>
        </w:rPr>
        <w:t>(Armstrong, 2004; IARC, 2012)</w:t>
      </w:r>
      <w:r w:rsidRPr="008B3604">
        <w:rPr>
          <w:lang w:val="en-NZ"/>
        </w:rPr>
        <w:fldChar w:fldCharType="end"/>
      </w:r>
      <w:r w:rsidRPr="008B3604">
        <w:rPr>
          <w:lang w:val="en-NZ"/>
        </w:rPr>
        <w:t xml:space="preserve">. Aotearoa New Zealand has among the highest rates of melanoma in the world </w:t>
      </w:r>
      <w:r w:rsidRPr="008B3604">
        <w:rPr>
          <w:lang w:val="en-NZ"/>
        </w:rPr>
        <w:fldChar w:fldCharType="begin"/>
      </w:r>
      <w:r w:rsidRPr="008B3604">
        <w:rPr>
          <w:lang w:val="en-NZ"/>
        </w:rPr>
        <w:instrText xml:space="preserve"> ADDIN ZOTERO_ITEM CSL_CITATION {"citationID":"p4CRgMP7","properties":{"formattedCitation":"(Arnold et al., 2022)","plainCitation":"(Arnold et al., 2022)","noteIndex":0},"citationItems":[{"id":1096,"uris":["http://zotero.org/groups/5078394/items/4YJY86WV"],"itemData":{"id":1096,"type":"article-journal","abstract":"IMPORTANCE: Despite many cases being preventable, cutaneous melanoma remains the most serious skin cancer worldwide. Understanding the scale and profile of the disease is vital to concentrate and reinforce global prevention efforts.\nOBJECTIVE: To examine global patterns of cutaneous melanoma in 2020 and to provide projected estimates of cases and deaths by 2040.\nDESIGN, SETTING, AND PARTICIPANTS: This population-based study used the GLOBOCAN 2020 database for global epidemiological assessment of new cases and deaths due to invasive melanoma.\nMAIN OUTCOMES AND MEASURES: Age-standardized incidence and mortality rates were calculated per 100 000 person-years by country, world region, and 4-tier level of human development. Estimated numbers of cases and deaths were calculated for the year 2040.\nRESULTS: A worldwide total of 325 000 new melanoma cases (174 000 males, 151 000 females) and 57 000 deaths (32 000 males, 25 000 females) was estimated for 2020. Large geographic variations existed across countries and world regions, with the highest incidence rates among males (42 per 100 000 person-years) and females (31 per 100 000 person-years) observed in Australia/New Zealand, followed by Western Europe (19 per 100 000 person-years for males and females), North America (18 per 100 000 person-years for males, 14 per 100 000 person-years for females), and Northern Europe (17 per 100 000 person-years for males, 18 per 100 000 person-years for females). Melanoma continued to be rare in most African and Asian countries, with incidence rates commonly less than 1 per 100 000 person-years. Mortality rates peaked at 5 per 100 000 person-years in New Zealand, and geographic variations were less pronounced than for incidence. Melanoma was more frequent among males than females in most world regions. If 2020 rates continue, the burden from melanoma is estimated to increase to 510 000 new cases (a roughly 50% increase) and to 96 000 deaths (a 68% increase) by 2040.\nCONCLUSIONS AND RELEVANCE: This epidemiological assessment suggests that melanoma remains an important challenge to cancer control and public health globally, especially in fair-skinned populations of European descent.","container-title":"JAMA dermatology","DOI":"10.1001/jamadermatol.2022.0160","ISSN":"2168-6084","issue":"5","journalAbbreviation":"JAMA Dermatol","language":"eng","note":"PMID: 35353115\nPMCID: PMC8968696","page":"495-503","source":"PubMed","title":"Global Burden of Cutaneous Melanoma in 2020 and Projections to 2040","volume":"158","author":[{"family":"Arnold","given":"Melina"},{"family":"Singh","given":"Deependra"},{"family":"Laversanne","given":"Mathieu"},{"family":"Vignat","given":"Jerome"},{"family":"Vaccarella","given":"Salvatore"},{"family":"Meheus","given":"Filip"},{"family":"Cust","given":"Anne E."},{"family":"Vries","given":"Esther","non-dropping-particle":"de"},{"family":"Whiteman","given":"David C."},{"family":"Bray","given":"Freddie"}],"issued":{"date-parts":[["2022",5,1]]}}}],"schema":"https://github.com/citation-style-language/schema/raw/master/csl-citation.json"} </w:instrText>
      </w:r>
      <w:r w:rsidRPr="008B3604">
        <w:rPr>
          <w:lang w:val="en-NZ"/>
        </w:rPr>
        <w:fldChar w:fldCharType="separate"/>
      </w:r>
      <w:r w:rsidRPr="008B3604">
        <w:rPr>
          <w:lang w:val="en-NZ"/>
        </w:rPr>
        <w:t>(Arnold et al., 2022)</w:t>
      </w:r>
      <w:r w:rsidRPr="008B3604">
        <w:rPr>
          <w:lang w:val="en-NZ"/>
        </w:rPr>
        <w:fldChar w:fldCharType="end"/>
      </w:r>
      <w:r w:rsidRPr="008B3604">
        <w:rPr>
          <w:lang w:val="en-NZ"/>
        </w:rPr>
        <w:t xml:space="preserve">. UV radiation is also the major contributor to photoaging of the skin. A balance is required to avoid excessive sun exposure which increases the risk of skin cancer and spending enough time outdoors to maintain adequate vitamin D levels. </w:t>
      </w:r>
    </w:p>
    <w:p w14:paraId="5C4F341C" w14:textId="77777777" w:rsidR="008B3604" w:rsidRPr="008B3604" w:rsidRDefault="008B3604" w:rsidP="008B3604">
      <w:pPr>
        <w:rPr>
          <w:lang w:val="en-NZ"/>
        </w:rPr>
      </w:pPr>
      <w:r w:rsidRPr="008B3604">
        <w:rPr>
          <w:lang w:val="en-NZ"/>
        </w:rPr>
        <w:t>The intensity of UVA rays remains relatively consistent during all daylight hours throughout the year. UVA can penetrate clouds and glass. UVB intensity varies throughout the year and time of day (refer to Figure 1). The peak UVB period (that is, the time of greatest risk from sun exposure) is between 10 am and 4 pm from September to April. This is largely when the UVB levels are 3 or above on the Ultraviolet Index, which measures UV radiation. UVB rays can burn and damage the skin year-round, especially at high altitudes and on reflective surfaces such as snow or ice, which can reflect up to 80 percent of the rays. UVB rays do not significantly penetrate glass.</w:t>
      </w:r>
    </w:p>
    <w:p w14:paraId="658EF82D" w14:textId="77777777" w:rsidR="008B3604" w:rsidRPr="008B3604" w:rsidRDefault="008B3604" w:rsidP="008B3604">
      <w:pPr>
        <w:rPr>
          <w:lang w:val="en-NZ"/>
        </w:rPr>
      </w:pPr>
      <w:r w:rsidRPr="008B3604">
        <w:rPr>
          <w:lang w:val="en-NZ"/>
        </w:rPr>
        <w:t xml:space="preserve">An infant’s skin barrier remains immature throughout at least the first two years of life. Accumulation of UV radiation-induced changes in the skin may begin as early as the first summer of life (Paller et al., 2011). There is international agreement that infants should not be exposed to direct sunlight for at least the first six months of life. In Aotearoa New Zealand, infants should not be left in direct sunlight. This approach balances the risks (skin cancer later in life), benefits (predominantly vitamin D and outdoor physical activity) and practicality as, once independently mobile, it is difficult to keep an active toddler out of direct sun. </w:t>
      </w:r>
    </w:p>
    <w:p w14:paraId="38D3C6AA" w14:textId="77777777" w:rsidR="008B3604" w:rsidRPr="008B3604" w:rsidRDefault="008B3604" w:rsidP="008B3604">
      <w:pPr>
        <w:rPr>
          <w:lang w:val="en-NZ"/>
        </w:rPr>
      </w:pPr>
      <w:r w:rsidRPr="008B3604">
        <w:rPr>
          <w:lang w:val="en-NZ"/>
        </w:rPr>
        <w:t>Caution is also required when infants and young children are travelling in vehicles for long periods as side and rear windows are usually made from non-laminated glass which allows significant UVA (but not UVB) exposure.</w:t>
      </w:r>
    </w:p>
    <w:p w14:paraId="2F794C50" w14:textId="77777777" w:rsidR="008B3604" w:rsidRPr="008B3604" w:rsidRDefault="008B3604" w:rsidP="008B3604">
      <w:pPr>
        <w:rPr>
          <w:lang w:val="en-NZ"/>
        </w:rPr>
      </w:pPr>
      <w:r w:rsidRPr="008B3604">
        <w:rPr>
          <w:lang w:val="en-NZ"/>
        </w:rPr>
        <w:t>The first-line choices for sun protection are shade, protective clothing, broad-brimmed hats, sunglasses, and for adults and adolescents, sunscreen. When additional sun protection is required for infants, a 50+ broad spectrum sunscreen is considered safe for use. For infants and children with sensitive skin, a chemically inert sunscreen (</w:t>
      </w:r>
      <w:proofErr w:type="spellStart"/>
      <w:r w:rsidRPr="008B3604">
        <w:rPr>
          <w:lang w:val="en-NZ"/>
        </w:rPr>
        <w:t>micronised</w:t>
      </w:r>
      <w:proofErr w:type="spellEnd"/>
      <w:r w:rsidRPr="008B3604">
        <w:rPr>
          <w:lang w:val="en-NZ"/>
        </w:rPr>
        <w:t xml:space="preserve"> titanium dioxide and/or zinc oxide) is recommended. The Cancer Society recommends testing a patch of skin before applying a previously untried sunscreen to all exposed skin </w:t>
      </w:r>
      <w:r w:rsidRPr="008B3604">
        <w:rPr>
          <w:lang w:val="en-NZ"/>
        </w:rPr>
        <w:fldChar w:fldCharType="begin"/>
      </w:r>
      <w:r w:rsidRPr="008B3604">
        <w:rPr>
          <w:lang w:val="en-NZ"/>
        </w:rPr>
        <w:instrText xml:space="preserve"> ADDIN ZOTERO_ITEM CSL_CITATION {"citationID":"lTANgq9u","properties":{"formattedCitation":"({\\i{}SunSmart}, 2021)","plainCitation":"(SunSmart, 2021)","noteIndex":0},"citationItems":[{"id":1109,"uris":["http://zotero.org/groups/5078394/items/LFKJ8Q8K"],"itemData":{"id":1109,"type":"webpage","abstract":"Learn how to be SunSmart by enjoying the sun safely.","container-title":"Cancer Society NZ","language":"en-US","title":"SunSmart","URL":"https://www.cancer.org.nz/cancer/reduce-your-risk-of-cancer/sunsmart/","accessed":{"date-parts":[["2024",1,25]]},"issued":{"date-parts":[["2021",2,25]]}}}],"schema":"https://github.com/citation-style-language/schema/raw/master/csl-citation.json"} </w:instrText>
      </w:r>
      <w:r w:rsidRPr="008B3604">
        <w:rPr>
          <w:lang w:val="en-NZ"/>
        </w:rPr>
        <w:fldChar w:fldCharType="separate"/>
      </w:r>
      <w:r w:rsidRPr="008B3604">
        <w:rPr>
          <w:lang w:val="en-NZ"/>
        </w:rPr>
        <w:t>(</w:t>
      </w:r>
      <w:r w:rsidRPr="008B3604">
        <w:rPr>
          <w:i/>
          <w:iCs/>
          <w:lang w:val="en-NZ"/>
        </w:rPr>
        <w:t>SunSmart</w:t>
      </w:r>
      <w:r w:rsidRPr="008B3604">
        <w:rPr>
          <w:lang w:val="en-NZ"/>
        </w:rPr>
        <w:t>, 2021)</w:t>
      </w:r>
      <w:r w:rsidRPr="008B3604">
        <w:rPr>
          <w:lang w:val="en-NZ"/>
        </w:rPr>
        <w:fldChar w:fldCharType="end"/>
      </w:r>
      <w:r w:rsidRPr="008B3604">
        <w:rPr>
          <w:lang w:val="en-NZ"/>
        </w:rPr>
        <w:t xml:space="preserve">. It does not recommend use of sunscreen on infants under six months because they should be kept in the shade as much as possible.  </w:t>
      </w:r>
    </w:p>
    <w:p w14:paraId="28F3295F" w14:textId="77777777" w:rsidR="008B3604" w:rsidRPr="008B3604" w:rsidRDefault="008B3604" w:rsidP="008B3604">
      <w:pPr>
        <w:pStyle w:val="Heading4"/>
      </w:pPr>
      <w:r w:rsidRPr="008B3604">
        <w:t>UV information</w:t>
      </w:r>
    </w:p>
    <w:p w14:paraId="1386D896" w14:textId="77777777" w:rsidR="008B3604" w:rsidRPr="008B3604" w:rsidRDefault="008B3604" w:rsidP="008B3604">
      <w:pPr>
        <w:rPr>
          <w:lang w:val="en-NZ"/>
        </w:rPr>
      </w:pPr>
      <w:r w:rsidRPr="008B3604">
        <w:rPr>
          <w:lang w:val="en-NZ"/>
        </w:rPr>
        <w:t>Sources of advice to the public on the Ultraviolet Index include:</w:t>
      </w:r>
    </w:p>
    <w:p w14:paraId="372FB960" w14:textId="77777777" w:rsidR="008B3604" w:rsidRPr="008B3604" w:rsidRDefault="008B3604" w:rsidP="008B3604">
      <w:pPr>
        <w:pStyle w:val="Bulletpoints"/>
        <w:rPr>
          <w:lang w:val="en-NZ"/>
        </w:rPr>
      </w:pPr>
      <w:r w:rsidRPr="008B3604">
        <w:rPr>
          <w:lang w:val="en-NZ"/>
        </w:rPr>
        <w:t>Sun Protection Alert (</w:t>
      </w:r>
      <w:hyperlink r:id="rId29" w:history="1">
        <w:r w:rsidRPr="008B3604">
          <w:rPr>
            <w:rStyle w:val="Hyperlink"/>
            <w:b/>
            <w:lang w:val="en-NZ"/>
          </w:rPr>
          <w:t>www.sunsmart.org.nz</w:t>
        </w:r>
      </w:hyperlink>
      <w:r w:rsidRPr="008B3604">
        <w:rPr>
          <w:lang w:val="en-NZ"/>
        </w:rPr>
        <w:t>), which outlines the times of day when the Ultraviolet Index is over 3.</w:t>
      </w:r>
    </w:p>
    <w:p w14:paraId="3CE76B45" w14:textId="77777777" w:rsidR="008B3604" w:rsidRPr="008B3604" w:rsidRDefault="008B3604" w:rsidP="008B3604">
      <w:pPr>
        <w:pStyle w:val="Bulletpoints"/>
        <w:rPr>
          <w:lang w:val="en-NZ"/>
        </w:rPr>
      </w:pPr>
      <w:r w:rsidRPr="008B3604">
        <w:rPr>
          <w:lang w:val="en-NZ"/>
        </w:rPr>
        <w:lastRenderedPageBreak/>
        <w:t xml:space="preserve">The Ultraviolet Index regional forecast service for Aotearoa New Zealand </w:t>
      </w:r>
      <w:hyperlink r:id="rId30" w:history="1">
        <w:r w:rsidRPr="008B3604">
          <w:rPr>
            <w:rStyle w:val="Hyperlink"/>
            <w:b/>
            <w:lang w:val="en-NZ"/>
          </w:rPr>
          <w:t>www.niwa.co.nz/our-services/online-services/uv-and-ozone/forecasts)</w:t>
        </w:r>
      </w:hyperlink>
      <w:r w:rsidRPr="008B3604">
        <w:rPr>
          <w:b/>
          <w:u w:val="single"/>
          <w:lang w:val="en-NZ"/>
        </w:rPr>
        <w:t>.</w:t>
      </w:r>
    </w:p>
    <w:p w14:paraId="150B1647" w14:textId="7B3BB314" w:rsidR="008B3604" w:rsidRPr="008B3604" w:rsidRDefault="008B3604" w:rsidP="008B3604">
      <w:pPr>
        <w:pStyle w:val="Bulletpoints"/>
        <w:rPr>
          <w:lang w:val="en-NZ"/>
        </w:rPr>
      </w:pPr>
      <w:r w:rsidRPr="008B3604">
        <w:rPr>
          <w:lang w:val="en-NZ"/>
        </w:rPr>
        <w:t>UVI smartphone apps (</w:t>
      </w:r>
      <w:hyperlink r:id="rId31" w:history="1">
        <w:r w:rsidRPr="008B3604">
          <w:rPr>
            <w:rStyle w:val="Hyperlink"/>
            <w:b/>
            <w:bCs/>
            <w:lang w:val="en-NZ"/>
          </w:rPr>
          <w:t>https://niwa.co.nz/our-services/online-services/uv-ozone/uvi-smartphone-apps</w:t>
        </w:r>
      </w:hyperlink>
      <w:r w:rsidRPr="008B3604">
        <w:rPr>
          <w:lang w:val="en-NZ"/>
        </w:rPr>
        <w:t>).</w:t>
      </w:r>
    </w:p>
    <w:tbl>
      <w:tblPr>
        <w:tblStyle w:val="TableGrid"/>
        <w:tblW w:w="5000" w:type="pct"/>
        <w:tblLayout w:type="fixed"/>
        <w:tblLook w:val="0420" w:firstRow="1" w:lastRow="0" w:firstColumn="0" w:lastColumn="0" w:noHBand="0" w:noVBand="1"/>
      </w:tblPr>
      <w:tblGrid>
        <w:gridCol w:w="540"/>
        <w:gridCol w:w="6353"/>
        <w:gridCol w:w="2123"/>
      </w:tblGrid>
      <w:tr w:rsidR="00FE005D" w:rsidRPr="00FE005D" w14:paraId="18CCAF7F" w14:textId="77777777" w:rsidTr="00412217">
        <w:trPr>
          <w:cnfStyle w:val="100000000000" w:firstRow="1" w:lastRow="0" w:firstColumn="0" w:lastColumn="0" w:oddVBand="0" w:evenVBand="0" w:oddHBand="0" w:evenHBand="0" w:firstRowFirstColumn="0" w:firstRowLastColumn="0" w:lastRowFirstColumn="0" w:lastRowLastColumn="0"/>
        </w:trPr>
        <w:tc>
          <w:tcPr>
            <w:tcW w:w="540" w:type="dxa"/>
            <w:vAlign w:val="top"/>
          </w:tcPr>
          <w:p w14:paraId="3291904B" w14:textId="77777777" w:rsidR="00FE005D" w:rsidRPr="00FE005D" w:rsidRDefault="00FE005D" w:rsidP="00FE005D">
            <w:pPr>
              <w:rPr>
                <w:sz w:val="22"/>
                <w:szCs w:val="24"/>
                <w:lang w:val="en-NZ"/>
              </w:rPr>
            </w:pPr>
          </w:p>
        </w:tc>
        <w:tc>
          <w:tcPr>
            <w:tcW w:w="6353" w:type="dxa"/>
            <w:vAlign w:val="top"/>
          </w:tcPr>
          <w:p w14:paraId="15596C55" w14:textId="77777777" w:rsidR="00FE005D" w:rsidRPr="00FE005D" w:rsidRDefault="00FE005D" w:rsidP="00FE005D">
            <w:pPr>
              <w:rPr>
                <w:sz w:val="22"/>
                <w:szCs w:val="24"/>
                <w:lang w:val="en-NZ"/>
              </w:rPr>
            </w:pPr>
            <w:r w:rsidRPr="00FE005D">
              <w:rPr>
                <w:sz w:val="22"/>
                <w:szCs w:val="24"/>
                <w:lang w:val="en-NZ"/>
              </w:rPr>
              <w:t>Consensus Statement</w:t>
            </w:r>
          </w:p>
        </w:tc>
        <w:tc>
          <w:tcPr>
            <w:tcW w:w="2123" w:type="dxa"/>
            <w:vAlign w:val="top"/>
          </w:tcPr>
          <w:p w14:paraId="229DBF9D" w14:textId="77777777" w:rsidR="00FE005D" w:rsidRPr="00FE005D" w:rsidRDefault="00FE005D" w:rsidP="00FE005D">
            <w:pPr>
              <w:rPr>
                <w:sz w:val="22"/>
                <w:szCs w:val="24"/>
                <w:lang w:val="en-NZ"/>
              </w:rPr>
            </w:pPr>
            <w:r w:rsidRPr="00FE005D">
              <w:rPr>
                <w:sz w:val="22"/>
                <w:szCs w:val="24"/>
                <w:lang w:val="en-NZ"/>
              </w:rPr>
              <w:t>Strength of statement</w:t>
            </w:r>
          </w:p>
        </w:tc>
      </w:tr>
      <w:tr w:rsidR="00FE005D" w:rsidRPr="00FE005D" w14:paraId="29277B11" w14:textId="77777777" w:rsidTr="00412217">
        <w:tc>
          <w:tcPr>
            <w:tcW w:w="540" w:type="dxa"/>
            <w:vAlign w:val="top"/>
          </w:tcPr>
          <w:p w14:paraId="7F755D38" w14:textId="77777777" w:rsidR="00FE005D" w:rsidRPr="00FE005D" w:rsidRDefault="00FE005D" w:rsidP="00FE005D">
            <w:pPr>
              <w:rPr>
                <w:sz w:val="22"/>
                <w:szCs w:val="24"/>
                <w:lang w:val="en-NZ"/>
              </w:rPr>
            </w:pPr>
            <w:r w:rsidRPr="00FE005D">
              <w:rPr>
                <w:sz w:val="22"/>
                <w:szCs w:val="24"/>
                <w:lang w:val="en-NZ"/>
              </w:rPr>
              <w:t>12.</w:t>
            </w:r>
          </w:p>
        </w:tc>
        <w:tc>
          <w:tcPr>
            <w:tcW w:w="6353" w:type="dxa"/>
            <w:vAlign w:val="top"/>
          </w:tcPr>
          <w:p w14:paraId="5486357D" w14:textId="77777777" w:rsidR="00FE005D" w:rsidRPr="00FE005D" w:rsidRDefault="00FE005D" w:rsidP="00FE005D">
            <w:pPr>
              <w:rPr>
                <w:sz w:val="22"/>
                <w:szCs w:val="24"/>
                <w:lang w:val="en-NZ"/>
              </w:rPr>
            </w:pPr>
            <w:r w:rsidRPr="00FE005D">
              <w:rPr>
                <w:sz w:val="22"/>
                <w:szCs w:val="24"/>
                <w:lang w:val="en-NZ"/>
              </w:rPr>
              <w:t xml:space="preserve">Discuss sun safety messages with all adults including during pregnancy (see the </w:t>
            </w:r>
            <w:r w:rsidRPr="00FE005D">
              <w:rPr>
                <w:i/>
                <w:iCs/>
                <w:sz w:val="22"/>
                <w:szCs w:val="24"/>
                <w:lang w:val="en-NZ"/>
              </w:rPr>
              <w:t>Consensus Statement</w:t>
            </w:r>
            <w:r w:rsidRPr="00FE005D">
              <w:rPr>
                <w:sz w:val="22"/>
                <w:szCs w:val="24"/>
                <w:lang w:val="en-NZ"/>
              </w:rPr>
              <w:t xml:space="preserve">): </w:t>
            </w:r>
          </w:p>
          <w:p w14:paraId="3BBED7E6" w14:textId="77777777" w:rsidR="00FE005D" w:rsidRPr="00FE005D" w:rsidRDefault="00FE005D" w:rsidP="00FE005D">
            <w:pPr>
              <w:pStyle w:val="Bulletpoints"/>
              <w:rPr>
                <w:sz w:val="22"/>
                <w:szCs w:val="24"/>
                <w:lang w:val="en-NZ"/>
              </w:rPr>
            </w:pPr>
            <w:r w:rsidRPr="00FE005D">
              <w:rPr>
                <w:sz w:val="22"/>
                <w:szCs w:val="24"/>
                <w:lang w:val="en-NZ"/>
              </w:rPr>
              <w:t>always avoid sunburn</w:t>
            </w:r>
          </w:p>
          <w:p w14:paraId="236D6414" w14:textId="77777777" w:rsidR="00FE005D" w:rsidRPr="00FE005D" w:rsidRDefault="00FE005D" w:rsidP="00FE005D">
            <w:pPr>
              <w:pStyle w:val="Bulletpoints"/>
              <w:rPr>
                <w:sz w:val="22"/>
                <w:szCs w:val="24"/>
                <w:lang w:val="en-NZ"/>
              </w:rPr>
            </w:pPr>
            <w:r w:rsidRPr="00FE005D">
              <w:rPr>
                <w:sz w:val="22"/>
                <w:szCs w:val="24"/>
                <w:lang w:val="en-NZ"/>
              </w:rPr>
              <w:t>there is no safe threshold level of UV exposure from the sun that both avoids skin damage and ensures sufficient vitamin D synthesis</w:t>
            </w:r>
          </w:p>
          <w:p w14:paraId="36A51EB8" w14:textId="77777777" w:rsidR="00FE005D" w:rsidRPr="00FE005D" w:rsidRDefault="00FE005D" w:rsidP="00FE005D">
            <w:pPr>
              <w:pStyle w:val="Bulletpoints"/>
              <w:rPr>
                <w:sz w:val="22"/>
                <w:szCs w:val="24"/>
                <w:lang w:val="en-NZ"/>
              </w:rPr>
            </w:pPr>
            <w:r w:rsidRPr="00FE005D">
              <w:rPr>
                <w:sz w:val="22"/>
                <w:szCs w:val="24"/>
                <w:lang w:val="en-NZ"/>
              </w:rPr>
              <w:t>when people are exposing themselves to the sun for vitamin D, this should always be done with sunscreen as we know that sun exposure correlates with DNA damage without sunscreen.</w:t>
            </w:r>
          </w:p>
        </w:tc>
        <w:tc>
          <w:tcPr>
            <w:tcW w:w="2123" w:type="dxa"/>
            <w:vAlign w:val="top"/>
          </w:tcPr>
          <w:p w14:paraId="77984F4F" w14:textId="77777777" w:rsidR="00FE005D" w:rsidRPr="00FE005D" w:rsidRDefault="00FE005D" w:rsidP="00FE005D">
            <w:pPr>
              <w:rPr>
                <w:sz w:val="22"/>
                <w:szCs w:val="24"/>
                <w:lang w:val="en-NZ"/>
              </w:rPr>
            </w:pPr>
            <w:r w:rsidRPr="00FE005D">
              <w:rPr>
                <w:sz w:val="22"/>
                <w:szCs w:val="24"/>
                <w:lang w:val="en-NZ"/>
              </w:rPr>
              <w:t>Good practice</w:t>
            </w:r>
          </w:p>
        </w:tc>
      </w:tr>
      <w:tr w:rsidR="00FE005D" w:rsidRPr="00FE005D" w14:paraId="10692F07" w14:textId="77777777" w:rsidTr="00412217">
        <w:tc>
          <w:tcPr>
            <w:tcW w:w="540" w:type="dxa"/>
            <w:vAlign w:val="top"/>
          </w:tcPr>
          <w:p w14:paraId="6AA90E45" w14:textId="77777777" w:rsidR="00FE005D" w:rsidRPr="00FE005D" w:rsidRDefault="00FE005D" w:rsidP="00FE005D">
            <w:pPr>
              <w:rPr>
                <w:sz w:val="22"/>
                <w:szCs w:val="24"/>
                <w:lang w:val="en-NZ"/>
              </w:rPr>
            </w:pPr>
            <w:r w:rsidRPr="00FE005D">
              <w:rPr>
                <w:sz w:val="22"/>
                <w:szCs w:val="24"/>
                <w:lang w:val="en-NZ"/>
              </w:rPr>
              <w:t>13.</w:t>
            </w:r>
          </w:p>
        </w:tc>
        <w:tc>
          <w:tcPr>
            <w:tcW w:w="6353" w:type="dxa"/>
            <w:vAlign w:val="top"/>
          </w:tcPr>
          <w:p w14:paraId="729557C3" w14:textId="77777777" w:rsidR="00FE005D" w:rsidRPr="00FE005D" w:rsidRDefault="00FE005D" w:rsidP="00FE005D">
            <w:pPr>
              <w:rPr>
                <w:sz w:val="22"/>
                <w:szCs w:val="24"/>
                <w:lang w:val="en-NZ"/>
              </w:rPr>
            </w:pPr>
            <w:r w:rsidRPr="00FE005D">
              <w:rPr>
                <w:sz w:val="22"/>
                <w:szCs w:val="24"/>
                <w:lang w:val="en-NZ"/>
              </w:rPr>
              <w:t xml:space="preserve">Discuss the following infant sun safety messages with whānau: </w:t>
            </w:r>
          </w:p>
          <w:p w14:paraId="6654C6DA" w14:textId="77777777" w:rsidR="00FE005D" w:rsidRPr="00FE005D" w:rsidRDefault="00FE005D" w:rsidP="00FE005D">
            <w:pPr>
              <w:pStyle w:val="Bulletpoints"/>
              <w:rPr>
                <w:sz w:val="22"/>
                <w:szCs w:val="24"/>
                <w:lang w:val="en-NZ"/>
              </w:rPr>
            </w:pPr>
            <w:r w:rsidRPr="00FE005D">
              <w:rPr>
                <w:sz w:val="22"/>
                <w:szCs w:val="24"/>
                <w:lang w:val="en-NZ"/>
              </w:rPr>
              <w:t>infants should not be exposed to direct sunlight, particularly between 10 am and 4 pm from September to April</w:t>
            </w:r>
          </w:p>
          <w:p w14:paraId="5D5D9281" w14:textId="77777777" w:rsidR="00FE005D" w:rsidRPr="00FE005D" w:rsidRDefault="00FE005D" w:rsidP="00FE005D">
            <w:pPr>
              <w:pStyle w:val="Bulletpoints"/>
              <w:rPr>
                <w:sz w:val="22"/>
                <w:szCs w:val="24"/>
                <w:lang w:val="en-NZ"/>
              </w:rPr>
            </w:pPr>
            <w:r w:rsidRPr="00FE005D">
              <w:rPr>
                <w:sz w:val="22"/>
                <w:szCs w:val="24"/>
                <w:lang w:val="en-NZ"/>
              </w:rPr>
              <w:t>first use shade, protective clothing, broad-brimmed hats, broad-spectrum sunscreen for young children over 6 months, and sunglasses when infants and young children are outdoors</w:t>
            </w:r>
          </w:p>
          <w:p w14:paraId="69CA3B9F" w14:textId="77777777" w:rsidR="00FE005D" w:rsidRPr="00FE005D" w:rsidRDefault="00FE005D" w:rsidP="00FE005D">
            <w:pPr>
              <w:pStyle w:val="Bulletpoints"/>
              <w:rPr>
                <w:sz w:val="22"/>
                <w:szCs w:val="24"/>
                <w:lang w:val="en-NZ"/>
              </w:rPr>
            </w:pPr>
            <w:r w:rsidRPr="00FE005D">
              <w:rPr>
                <w:sz w:val="22"/>
                <w:szCs w:val="24"/>
                <w:lang w:val="en-NZ"/>
              </w:rPr>
              <w:t xml:space="preserve">sunscreen should only be used on small areas of an infant's skin and should not be the only form of protection from the sun.  </w:t>
            </w:r>
          </w:p>
          <w:p w14:paraId="0E5E3E06" w14:textId="77777777" w:rsidR="00FE005D" w:rsidRPr="00FE005D" w:rsidRDefault="00FE005D" w:rsidP="00FE005D">
            <w:pPr>
              <w:pStyle w:val="Bulletpoints"/>
              <w:rPr>
                <w:sz w:val="22"/>
                <w:szCs w:val="24"/>
                <w:lang w:val="en-NZ"/>
              </w:rPr>
            </w:pPr>
            <w:r w:rsidRPr="00FE005D">
              <w:rPr>
                <w:sz w:val="22"/>
                <w:szCs w:val="24"/>
                <w:lang w:val="en-NZ"/>
              </w:rPr>
              <w:t>advise whānau that young children, once mobile, should follow the same sun prevention advice as for the general population</w:t>
            </w:r>
          </w:p>
        </w:tc>
        <w:tc>
          <w:tcPr>
            <w:tcW w:w="2123" w:type="dxa"/>
            <w:vAlign w:val="top"/>
          </w:tcPr>
          <w:p w14:paraId="507E17F0" w14:textId="77777777" w:rsidR="00FE005D" w:rsidRPr="00FE005D" w:rsidRDefault="00FE005D" w:rsidP="00FE005D">
            <w:pPr>
              <w:rPr>
                <w:sz w:val="22"/>
                <w:szCs w:val="24"/>
                <w:lang w:val="en-NZ"/>
              </w:rPr>
            </w:pPr>
            <w:r w:rsidRPr="00FE005D">
              <w:rPr>
                <w:sz w:val="22"/>
                <w:szCs w:val="24"/>
                <w:lang w:val="en-NZ"/>
              </w:rPr>
              <w:t>Expert consensus opinion</w:t>
            </w:r>
          </w:p>
        </w:tc>
      </w:tr>
      <w:tr w:rsidR="00FE005D" w:rsidRPr="00FE005D" w14:paraId="68C1EAFA" w14:textId="77777777" w:rsidTr="00412217">
        <w:trPr>
          <w:trHeight w:val="1296"/>
        </w:trPr>
        <w:tc>
          <w:tcPr>
            <w:tcW w:w="540" w:type="dxa"/>
            <w:vAlign w:val="top"/>
          </w:tcPr>
          <w:p w14:paraId="2E3DD50B" w14:textId="77777777" w:rsidR="00FE005D" w:rsidRPr="00FE005D" w:rsidRDefault="00FE005D" w:rsidP="00FE005D">
            <w:pPr>
              <w:rPr>
                <w:sz w:val="22"/>
                <w:szCs w:val="24"/>
                <w:lang w:val="en-NZ"/>
              </w:rPr>
            </w:pPr>
            <w:r w:rsidRPr="00FE005D">
              <w:rPr>
                <w:sz w:val="22"/>
                <w:szCs w:val="24"/>
                <w:lang w:val="en-NZ"/>
              </w:rPr>
              <w:t>15.</w:t>
            </w:r>
          </w:p>
        </w:tc>
        <w:tc>
          <w:tcPr>
            <w:tcW w:w="6353" w:type="dxa"/>
            <w:vAlign w:val="top"/>
          </w:tcPr>
          <w:p w14:paraId="1522D500" w14:textId="77777777" w:rsidR="00FE005D" w:rsidRPr="00FE005D" w:rsidRDefault="00FE005D" w:rsidP="00FE005D">
            <w:pPr>
              <w:rPr>
                <w:sz w:val="22"/>
                <w:szCs w:val="24"/>
                <w:lang w:val="en-NZ"/>
              </w:rPr>
            </w:pPr>
            <w:r w:rsidRPr="00FE005D">
              <w:rPr>
                <w:sz w:val="22"/>
                <w:szCs w:val="24"/>
                <w:lang w:val="en-NZ"/>
              </w:rPr>
              <w:t xml:space="preserve">Discuss time spent outdoors (in the shade as opposed to direct sunlight) with whānau as this may allow sufficient vitamin D synthesis for infants without risk factors (see </w:t>
            </w:r>
            <w:hyperlink w:anchor="risks" w:history="1">
              <w:r w:rsidRPr="00FE005D">
                <w:rPr>
                  <w:rStyle w:val="Hyperlink"/>
                  <w:b/>
                  <w:sz w:val="22"/>
                  <w:szCs w:val="24"/>
                  <w:lang w:val="en-NZ"/>
                </w:rPr>
                <w:t>section 5.3</w:t>
              </w:r>
            </w:hyperlink>
            <w:r w:rsidRPr="00FE005D">
              <w:rPr>
                <w:sz w:val="22"/>
                <w:szCs w:val="24"/>
                <w:lang w:val="en-NZ"/>
              </w:rPr>
              <w:t>)</w:t>
            </w:r>
          </w:p>
          <w:p w14:paraId="745217D8" w14:textId="77777777" w:rsidR="00FE005D" w:rsidRPr="00FE005D" w:rsidRDefault="00FE005D" w:rsidP="00FE005D">
            <w:pPr>
              <w:pStyle w:val="Bulletpoints"/>
              <w:rPr>
                <w:sz w:val="22"/>
                <w:szCs w:val="24"/>
                <w:lang w:val="en-NZ"/>
              </w:rPr>
            </w:pPr>
            <w:r w:rsidRPr="00FE005D">
              <w:rPr>
                <w:sz w:val="22"/>
                <w:szCs w:val="24"/>
                <w:lang w:val="en-NZ"/>
              </w:rPr>
              <w:t xml:space="preserve">Note the denser the shade the better the sun protection and less vitamin D produced. </w:t>
            </w:r>
          </w:p>
          <w:p w14:paraId="0C69B82D" w14:textId="77777777" w:rsidR="00FE005D" w:rsidRPr="00FE005D" w:rsidRDefault="00FE005D" w:rsidP="00FE005D">
            <w:pPr>
              <w:pStyle w:val="Bulletpoints"/>
              <w:rPr>
                <w:sz w:val="22"/>
                <w:szCs w:val="24"/>
                <w:lang w:val="en-NZ"/>
              </w:rPr>
            </w:pPr>
            <w:r w:rsidRPr="00FE005D">
              <w:rPr>
                <w:sz w:val="22"/>
                <w:szCs w:val="24"/>
                <w:lang w:val="en-NZ"/>
              </w:rPr>
              <w:t>Sitting in the peripheral edge of shade or in dappled shade will offer considerably less protection from the sun than sitting in the centre of a large area of intense shade.</w:t>
            </w:r>
          </w:p>
        </w:tc>
        <w:tc>
          <w:tcPr>
            <w:tcW w:w="2123" w:type="dxa"/>
            <w:vAlign w:val="top"/>
          </w:tcPr>
          <w:p w14:paraId="4ECB4FD1" w14:textId="77777777" w:rsidR="00FE005D" w:rsidRPr="00FE005D" w:rsidRDefault="00FE005D" w:rsidP="00FE005D">
            <w:pPr>
              <w:rPr>
                <w:sz w:val="22"/>
                <w:szCs w:val="24"/>
                <w:lang w:val="en-NZ"/>
              </w:rPr>
            </w:pPr>
            <w:r w:rsidRPr="00FE005D">
              <w:rPr>
                <w:sz w:val="22"/>
                <w:szCs w:val="24"/>
                <w:lang w:val="en-NZ"/>
              </w:rPr>
              <w:t>Expert consensus opinion</w:t>
            </w:r>
          </w:p>
        </w:tc>
      </w:tr>
    </w:tbl>
    <w:p w14:paraId="7E2A3EE2" w14:textId="77777777" w:rsidR="00412217" w:rsidRPr="00412217" w:rsidRDefault="00412217" w:rsidP="00412217">
      <w:pPr>
        <w:pStyle w:val="Heading1"/>
      </w:pPr>
      <w:bookmarkStart w:id="29" w:name="_Toc143088622"/>
      <w:bookmarkStart w:id="30" w:name="_Toc161403298"/>
      <w:bookmarkStart w:id="31" w:name="_Toc167269274"/>
      <w:r w:rsidRPr="00412217">
        <w:lastRenderedPageBreak/>
        <w:t>Audit and research</w:t>
      </w:r>
      <w:bookmarkEnd w:id="29"/>
      <w:bookmarkEnd w:id="30"/>
      <w:bookmarkEnd w:id="31"/>
    </w:p>
    <w:p w14:paraId="35BB6AF9" w14:textId="77777777" w:rsidR="00412217" w:rsidRPr="00412217" w:rsidRDefault="00412217" w:rsidP="00412217">
      <w:pPr>
        <w:rPr>
          <w:lang w:val="en-NZ"/>
        </w:rPr>
      </w:pPr>
      <w:r w:rsidRPr="00412217">
        <w:rPr>
          <w:lang w:val="en-NZ"/>
        </w:rPr>
        <w:t xml:space="preserve">Advice on vitamin D and sun exposure in pregnancy and infancy has been available since 2013 together with targeted supplementation recommendations for pregnancy and infancy </w:t>
      </w:r>
      <w:r w:rsidRPr="00412217">
        <w:rPr>
          <w:lang w:val="en-NZ"/>
        </w:rPr>
        <w:fldChar w:fldCharType="begin"/>
      </w:r>
      <w:r w:rsidRPr="00412217">
        <w:rPr>
          <w:lang w:val="en-NZ"/>
        </w:rPr>
        <w:instrText xml:space="preserve"> ADDIN ZOTERO_ITEM CSL_CITATION {"citationID":"zmLzaCxy","properties":{"formattedCitation":"(Ministry of Health, 2013)","plainCitation":"(Ministry of Health, 2013)","noteIndex":0},"citationItems":[{"id":1102,"uris":["http://zotero.org/groups/5078394/items/STIQFI9Y"],"itemData":{"id":1102,"type":"article-journal","language":"en","source":"Zotero","title":"Companion Statement on Vitamin D and Sun Exposure in Pregnancy and Infancy in New Zealand","author":[{"family":"Ministry of Health","given":""}],"issued":{"date-parts":[["2013"]]}}}],"schema":"https://github.com/citation-style-language/schema/raw/master/csl-citation.json"} </w:instrText>
      </w:r>
      <w:r w:rsidRPr="00412217">
        <w:rPr>
          <w:lang w:val="en-NZ"/>
        </w:rPr>
        <w:fldChar w:fldCharType="separate"/>
      </w:r>
      <w:r w:rsidRPr="00412217">
        <w:rPr>
          <w:lang w:val="en-NZ"/>
        </w:rPr>
        <w:t>(Ministry of Health, 2013)</w:t>
      </w:r>
      <w:r w:rsidRPr="00412217">
        <w:rPr>
          <w:lang w:val="en-NZ"/>
        </w:rPr>
        <w:fldChar w:fldCharType="end"/>
      </w:r>
      <w:r w:rsidRPr="00412217">
        <w:rPr>
          <w:lang w:val="en-NZ"/>
        </w:rPr>
        <w:t xml:space="preserve">. There is little data on how existing guidance on vitamin D and sun exposure has been implemented and no evidence for interventions aimed at increasing uptake of vitamin D supplements (for example, training for health professionals, increasing awareness of the importance of optimal vitamin D status during pregnancy and breastfeeding). Moreover, the limited evidence available points to low dispensing rates of vitamin D supplements for infants.    </w:t>
      </w:r>
    </w:p>
    <w:p w14:paraId="7203AA7F" w14:textId="77777777" w:rsidR="00412217" w:rsidRPr="00412217" w:rsidRDefault="00412217" w:rsidP="00412217">
      <w:pPr>
        <w:rPr>
          <w:lang w:val="en-NZ"/>
        </w:rPr>
      </w:pPr>
      <w:r w:rsidRPr="00412217">
        <w:rPr>
          <w:lang w:val="en-NZ"/>
        </w:rPr>
        <w:t xml:space="preserve">Ongoing monitoring and evaluation of awareness, </w:t>
      </w:r>
      <w:proofErr w:type="gramStart"/>
      <w:r w:rsidRPr="00412217">
        <w:rPr>
          <w:lang w:val="en-NZ"/>
        </w:rPr>
        <w:t>availability</w:t>
      </w:r>
      <w:proofErr w:type="gramEnd"/>
      <w:r w:rsidRPr="00412217">
        <w:rPr>
          <w:lang w:val="en-NZ"/>
        </w:rPr>
        <w:t xml:space="preserve"> and uptake of vitamin D supplements among high-risk pregnant people and breastfeeding infants, is important at a national level. Monitoring and evaluation data will support effective implementation. </w:t>
      </w:r>
    </w:p>
    <w:p w14:paraId="11B0B463" w14:textId="77777777" w:rsidR="00412217" w:rsidRPr="00412217" w:rsidRDefault="00412217" w:rsidP="00412217">
      <w:pPr>
        <w:rPr>
          <w:lang w:val="en-NZ"/>
        </w:rPr>
      </w:pPr>
      <w:proofErr w:type="gramStart"/>
      <w:r w:rsidRPr="00412217">
        <w:rPr>
          <w:lang w:val="en-NZ"/>
        </w:rPr>
        <w:t>Taking into account</w:t>
      </w:r>
      <w:proofErr w:type="gramEnd"/>
      <w:r w:rsidRPr="00412217">
        <w:rPr>
          <w:lang w:val="en-NZ"/>
        </w:rPr>
        <w:t xml:space="preserve"> the above factors and issues, the following recommendations for research to support practice improvements should be addressed in conjunction with regular review of ongoing international science and policy developments. </w:t>
      </w:r>
    </w:p>
    <w:p w14:paraId="43050352" w14:textId="77777777" w:rsidR="00412217" w:rsidRPr="00412217" w:rsidRDefault="00412217" w:rsidP="00412217">
      <w:pPr>
        <w:rPr>
          <w:lang w:val="en-NZ"/>
        </w:rPr>
      </w:pPr>
      <w:r w:rsidRPr="00412217">
        <w:rPr>
          <w:lang w:val="en-NZ"/>
        </w:rPr>
        <w:t>The aim of the recommendations is to provide high-quality evidence to inform clinical practice and public health efforts to ensure appropriate advice on vitamin D and sun exposure in pregnancy and infancy, and ultimately improve the health and well-being of mothers and babies.</w:t>
      </w:r>
    </w:p>
    <w:p w14:paraId="325D33F6" w14:textId="77777777" w:rsidR="00412217" w:rsidRPr="00412217" w:rsidRDefault="00412217" w:rsidP="00412217">
      <w:pPr>
        <w:rPr>
          <w:lang w:val="en-NZ"/>
        </w:rPr>
      </w:pPr>
      <w:r w:rsidRPr="00412217">
        <w:rPr>
          <w:lang w:val="en-NZ"/>
        </w:rPr>
        <w:t xml:space="preserve">All the recommendations should aim to apply the principles of Te Tiriti o Waitangi in partnership with Māori, identify the structures that create inequitable health outcomes, and examine different approaches and resources to achieve equitable maternity and paediatric outcomes. </w:t>
      </w:r>
    </w:p>
    <w:p w14:paraId="3C9F2FAC" w14:textId="77777777" w:rsidR="00412217" w:rsidRPr="00412217" w:rsidRDefault="00412217" w:rsidP="00412217">
      <w:pPr>
        <w:rPr>
          <w:lang w:val="en-NZ"/>
        </w:rPr>
      </w:pPr>
      <w:r w:rsidRPr="00412217">
        <w:rPr>
          <w:lang w:val="en-NZ"/>
        </w:rPr>
        <w:t xml:space="preserve">Recommendations for research to support practice improvements are: </w:t>
      </w:r>
    </w:p>
    <w:p w14:paraId="41F4A204" w14:textId="77777777" w:rsidR="00412217" w:rsidRPr="00412217" w:rsidRDefault="00412217" w:rsidP="00AB7101">
      <w:pPr>
        <w:pStyle w:val="Bulletpoints"/>
        <w:spacing w:after="120"/>
        <w:rPr>
          <w:lang w:val="en-NZ"/>
        </w:rPr>
      </w:pPr>
      <w:r w:rsidRPr="00412217">
        <w:rPr>
          <w:lang w:val="en-NZ"/>
        </w:rPr>
        <w:t xml:space="preserve">Review the effectiveness of interventions to increase vitamin D awareness, access, </w:t>
      </w:r>
      <w:proofErr w:type="gramStart"/>
      <w:r w:rsidRPr="00412217">
        <w:rPr>
          <w:lang w:val="en-NZ"/>
        </w:rPr>
        <w:t>uptake</w:t>
      </w:r>
      <w:proofErr w:type="gramEnd"/>
      <w:r w:rsidRPr="00412217">
        <w:rPr>
          <w:lang w:val="en-NZ"/>
        </w:rPr>
        <w:t xml:space="preserve"> and adherence (including vitamin D status) among high-risk pregnant people and infants.</w:t>
      </w:r>
    </w:p>
    <w:p w14:paraId="60F846B2" w14:textId="77777777" w:rsidR="00412217" w:rsidRPr="00412217" w:rsidRDefault="00412217" w:rsidP="00AB7101">
      <w:pPr>
        <w:pStyle w:val="Bulletpoints"/>
        <w:spacing w:after="120"/>
        <w:rPr>
          <w:lang w:val="en-NZ"/>
        </w:rPr>
      </w:pPr>
      <w:r w:rsidRPr="00412217">
        <w:rPr>
          <w:lang w:val="en-NZ"/>
        </w:rPr>
        <w:t>Continue to monitor and evaluate the uptake of vitamin D supplements among the target population groups, at a national and local level.</w:t>
      </w:r>
    </w:p>
    <w:p w14:paraId="2FBD134D" w14:textId="77777777" w:rsidR="00412217" w:rsidRPr="00412217" w:rsidRDefault="00412217" w:rsidP="00AB7101">
      <w:pPr>
        <w:pStyle w:val="Bulletpoints"/>
        <w:spacing w:after="120"/>
        <w:rPr>
          <w:lang w:val="en-NZ"/>
        </w:rPr>
      </w:pPr>
      <w:r w:rsidRPr="00412217">
        <w:rPr>
          <w:lang w:val="en-NZ"/>
        </w:rPr>
        <w:t xml:space="preserve">Data reporting the current annual incidence of health determinants arising from vitamin D deficiency in Aotearoa New Zealand. </w:t>
      </w:r>
    </w:p>
    <w:p w14:paraId="039A3563" w14:textId="77777777" w:rsidR="00412217" w:rsidRPr="00412217" w:rsidRDefault="00412217" w:rsidP="00AB7101">
      <w:pPr>
        <w:pStyle w:val="Bulletpoints"/>
        <w:spacing w:after="120"/>
        <w:rPr>
          <w:lang w:val="en-NZ"/>
        </w:rPr>
      </w:pPr>
      <w:r w:rsidRPr="00412217">
        <w:rPr>
          <w:lang w:val="en-NZ"/>
        </w:rPr>
        <w:t xml:space="preserve">Monitor the implementation of this national Companion Statement, including a review of how a multi-agency approach can improve awareness, availability and uptake of vitamin D and sun exposure in pregnancy and infancy best be established, </w:t>
      </w:r>
      <w:proofErr w:type="gramStart"/>
      <w:r w:rsidRPr="00412217">
        <w:rPr>
          <w:lang w:val="en-NZ"/>
        </w:rPr>
        <w:t>improved</w:t>
      </w:r>
      <w:proofErr w:type="gramEnd"/>
      <w:r w:rsidRPr="00412217">
        <w:rPr>
          <w:lang w:val="en-NZ"/>
        </w:rPr>
        <w:t xml:space="preserve"> and sustained. </w:t>
      </w:r>
    </w:p>
    <w:p w14:paraId="4DFEC439" w14:textId="77777777" w:rsidR="00412217" w:rsidRPr="00412217" w:rsidRDefault="00412217" w:rsidP="00AB7101">
      <w:pPr>
        <w:pStyle w:val="Bulletpoints"/>
        <w:spacing w:after="120"/>
        <w:rPr>
          <w:lang w:val="en-NZ"/>
        </w:rPr>
      </w:pPr>
      <w:r w:rsidRPr="00412217">
        <w:rPr>
          <w:lang w:val="en-NZ"/>
        </w:rPr>
        <w:t>Further review of interventional studies that show how supplementation impacts clinical outcomes, including studies that explore the efficacy of post-partum supplementation during breastfeeding to boost vitamin D levels in exclusively breastfed infants.</w:t>
      </w:r>
    </w:p>
    <w:p w14:paraId="41BA8D75" w14:textId="77777777" w:rsidR="00412217" w:rsidRPr="00412217" w:rsidRDefault="00412217" w:rsidP="00AB7101">
      <w:pPr>
        <w:pStyle w:val="Bulletpoints"/>
        <w:spacing w:after="120"/>
        <w:rPr>
          <w:lang w:val="en-NZ"/>
        </w:rPr>
      </w:pPr>
      <w:r w:rsidRPr="00412217">
        <w:rPr>
          <w:lang w:val="en-NZ"/>
        </w:rPr>
        <w:t>National nutrition survey to establish population levels of vitamin D especially amongst people of childbearing age.</w:t>
      </w:r>
    </w:p>
    <w:p w14:paraId="2CD197AC" w14:textId="77777777" w:rsidR="00412217" w:rsidRPr="00412217" w:rsidRDefault="00412217" w:rsidP="00AB7101">
      <w:pPr>
        <w:pStyle w:val="Bulletpoints"/>
        <w:spacing w:after="120"/>
        <w:rPr>
          <w:lang w:val="en-NZ"/>
        </w:rPr>
      </w:pPr>
      <w:r w:rsidRPr="00412217">
        <w:rPr>
          <w:lang w:val="en-NZ"/>
        </w:rPr>
        <w:t xml:space="preserve">The estimated relative risk reduction in an outcome by the intervention compared to placebo, along with the confidence intervals and p-value. </w:t>
      </w:r>
    </w:p>
    <w:p w14:paraId="49453853" w14:textId="77777777" w:rsidR="00412217" w:rsidRPr="00412217" w:rsidRDefault="00412217" w:rsidP="00412217">
      <w:pPr>
        <w:rPr>
          <w:lang w:val="en-NZ"/>
        </w:rPr>
      </w:pPr>
      <w:r w:rsidRPr="00412217">
        <w:rPr>
          <w:lang w:val="en-NZ"/>
        </w:rPr>
        <w:t>This national Companion Statement should be reviewed in 2027.</w:t>
      </w:r>
    </w:p>
    <w:p w14:paraId="22DA733E" w14:textId="77777777" w:rsidR="00EC27A9" w:rsidRPr="00EC27A9" w:rsidRDefault="00EC27A9" w:rsidP="00EC27A9">
      <w:pPr>
        <w:pStyle w:val="Heading1"/>
        <w:numPr>
          <w:ilvl w:val="0"/>
          <w:numId w:val="0"/>
        </w:numPr>
        <w:ind w:left="432" w:hanging="432"/>
      </w:pPr>
      <w:bookmarkStart w:id="32" w:name="_Toc143088623"/>
      <w:bookmarkStart w:id="33" w:name="_Toc161403299"/>
      <w:bookmarkStart w:id="34" w:name="_Toc167269275"/>
      <w:r w:rsidRPr="00EC27A9">
        <w:lastRenderedPageBreak/>
        <w:t>Acknowledgements</w:t>
      </w:r>
      <w:bookmarkEnd w:id="32"/>
      <w:bookmarkEnd w:id="33"/>
      <w:bookmarkEnd w:id="34"/>
    </w:p>
    <w:p w14:paraId="3183D5C9" w14:textId="77777777" w:rsidR="00EC27A9" w:rsidRPr="00EC27A9" w:rsidRDefault="00EC27A9" w:rsidP="00EC27A9">
      <w:pPr>
        <w:rPr>
          <w:lang w:val="en-NZ"/>
        </w:rPr>
      </w:pPr>
      <w:r w:rsidRPr="00EC27A9">
        <w:rPr>
          <w:lang w:val="en-NZ"/>
        </w:rPr>
        <w:t xml:space="preserve">Te Whatu Ora Health New Zealand contracted </w:t>
      </w:r>
      <w:r w:rsidRPr="00EC27A9">
        <w:rPr>
          <w:i/>
          <w:iCs/>
          <w:lang w:val="en-NZ"/>
        </w:rPr>
        <w:t>Allen + Clarke</w:t>
      </w:r>
      <w:r w:rsidRPr="00EC27A9">
        <w:rPr>
          <w:lang w:val="en-NZ"/>
        </w:rPr>
        <w:t xml:space="preserve"> to review and update the advice on vitamin D and sun exposure in pregnancy and infancy in Aotearoa New Zealand.  </w:t>
      </w:r>
    </w:p>
    <w:p w14:paraId="29AD45B4" w14:textId="77777777" w:rsidR="00EC27A9" w:rsidRPr="00EC27A9" w:rsidRDefault="00EC27A9" w:rsidP="00EC27A9">
      <w:pPr>
        <w:rPr>
          <w:lang w:val="en-NZ"/>
        </w:rPr>
      </w:pPr>
      <w:r w:rsidRPr="00EC27A9">
        <w:rPr>
          <w:lang w:val="en-NZ"/>
        </w:rPr>
        <w:t xml:space="preserve">Our project team (Anna Gribble, Carly </w:t>
      </w:r>
      <w:proofErr w:type="gramStart"/>
      <w:r w:rsidRPr="00EC27A9">
        <w:rPr>
          <w:lang w:val="en-NZ"/>
        </w:rPr>
        <w:t>Woodham</w:t>
      </w:r>
      <w:proofErr w:type="gramEnd"/>
      <w:r w:rsidRPr="00EC27A9">
        <w:rPr>
          <w:lang w:val="en-NZ"/>
        </w:rPr>
        <w:t xml:space="preserve"> and Kate Copeland) is grateful for the advice received from the Companion Statement Steering Group on the scope of the work, the terms of reference and findings of the evidence review on the vitamin D in pregnancy and infancy, participation in a stakeholder workshop, and the application of the evidence to the review and update of the Companion Statement. </w:t>
      </w:r>
    </w:p>
    <w:p w14:paraId="7757E161" w14:textId="77777777" w:rsidR="00EC27A9" w:rsidRPr="00EC27A9" w:rsidRDefault="00EC27A9" w:rsidP="00EC27A9">
      <w:pPr>
        <w:rPr>
          <w:lang w:val="en-NZ"/>
        </w:rPr>
      </w:pPr>
      <w:r w:rsidRPr="00EC27A9">
        <w:rPr>
          <w:lang w:val="en-NZ"/>
        </w:rPr>
        <w:t>Members of the Companion Statement Steering Group were:</w:t>
      </w:r>
    </w:p>
    <w:p w14:paraId="016E4206" w14:textId="77777777" w:rsidR="00EC27A9" w:rsidRPr="00EC27A9" w:rsidRDefault="00EC27A9" w:rsidP="00EC27A9">
      <w:pPr>
        <w:pStyle w:val="Bulletpoints"/>
        <w:spacing w:after="120"/>
        <w:rPr>
          <w:lang w:val="en-NZ"/>
        </w:rPr>
      </w:pPr>
      <w:r w:rsidRPr="00EC27A9">
        <w:rPr>
          <w:lang w:val="en-NZ"/>
        </w:rPr>
        <w:t>Dr Karl Cole (co-chair, Royal New Zealand College of General Practitioners)</w:t>
      </w:r>
    </w:p>
    <w:p w14:paraId="7DE79659" w14:textId="77777777" w:rsidR="00EC27A9" w:rsidRPr="00EC27A9" w:rsidRDefault="00EC27A9" w:rsidP="00EC27A9">
      <w:pPr>
        <w:pStyle w:val="Bulletpoints"/>
        <w:spacing w:after="120"/>
        <w:rPr>
          <w:lang w:val="en-NZ"/>
        </w:rPr>
      </w:pPr>
      <w:r w:rsidRPr="00EC27A9">
        <w:rPr>
          <w:lang w:val="en-NZ"/>
        </w:rPr>
        <w:t>Violet Clapham (co-chair, New Zealand College of Midwives)</w:t>
      </w:r>
    </w:p>
    <w:p w14:paraId="387FE10D" w14:textId="77777777" w:rsidR="00EC27A9" w:rsidRPr="00EC27A9" w:rsidRDefault="00EC27A9" w:rsidP="00EC27A9">
      <w:pPr>
        <w:pStyle w:val="Bulletpoints"/>
        <w:spacing w:after="120"/>
        <w:rPr>
          <w:lang w:val="en-NZ"/>
        </w:rPr>
      </w:pPr>
      <w:r w:rsidRPr="00EC27A9">
        <w:rPr>
          <w:lang w:val="en-NZ"/>
        </w:rPr>
        <w:t>Professor Ben Wheeler (Paediatric Society of New Zealand)</w:t>
      </w:r>
    </w:p>
    <w:p w14:paraId="1CE97363" w14:textId="77777777" w:rsidR="00EC27A9" w:rsidRPr="00EC27A9" w:rsidRDefault="00EC27A9" w:rsidP="00EC27A9">
      <w:pPr>
        <w:pStyle w:val="Bulletpoints"/>
        <w:spacing w:after="120"/>
        <w:rPr>
          <w:lang w:val="en-NZ"/>
        </w:rPr>
      </w:pPr>
      <w:r w:rsidRPr="00EC27A9">
        <w:rPr>
          <w:lang w:val="en-NZ"/>
        </w:rPr>
        <w:t>Chloe Taylor (Ngā Maia Māori Midwives)</w:t>
      </w:r>
    </w:p>
    <w:p w14:paraId="42FC5144" w14:textId="77777777" w:rsidR="00EC27A9" w:rsidRPr="00EC27A9" w:rsidRDefault="00EC27A9" w:rsidP="00EC27A9">
      <w:pPr>
        <w:pStyle w:val="Bulletpoints"/>
        <w:spacing w:after="120"/>
        <w:rPr>
          <w:lang w:val="en-NZ"/>
        </w:rPr>
      </w:pPr>
      <w:r w:rsidRPr="00EC27A9">
        <w:rPr>
          <w:lang w:val="en-NZ"/>
        </w:rPr>
        <w:t>Isis McKay (Women’s Health Action)</w:t>
      </w:r>
    </w:p>
    <w:p w14:paraId="64C66F4C" w14:textId="77777777" w:rsidR="00EC27A9" w:rsidRPr="00EC27A9" w:rsidRDefault="00EC27A9" w:rsidP="00EC27A9">
      <w:pPr>
        <w:pStyle w:val="Bulletpoints"/>
        <w:spacing w:after="120"/>
        <w:rPr>
          <w:lang w:val="en-NZ"/>
        </w:rPr>
      </w:pPr>
      <w:r w:rsidRPr="00EC27A9">
        <w:rPr>
          <w:lang w:val="en-NZ"/>
        </w:rPr>
        <w:t>Jeshua Manu (Women’s Health Action)</w:t>
      </w:r>
    </w:p>
    <w:p w14:paraId="2BA8AF65" w14:textId="77777777" w:rsidR="00EC27A9" w:rsidRPr="00EC27A9" w:rsidRDefault="00EC27A9" w:rsidP="00EC27A9">
      <w:pPr>
        <w:pStyle w:val="Bulletpoints"/>
        <w:spacing w:after="120"/>
        <w:rPr>
          <w:lang w:val="en-NZ"/>
        </w:rPr>
      </w:pPr>
      <w:r w:rsidRPr="00EC27A9">
        <w:rPr>
          <w:lang w:val="en-NZ"/>
        </w:rPr>
        <w:t>Jo Purea-Anand (Pasifika Midwives Aotearoa)</w:t>
      </w:r>
    </w:p>
    <w:p w14:paraId="015D880B" w14:textId="77777777" w:rsidR="00EC27A9" w:rsidRPr="00EC27A9" w:rsidRDefault="00EC27A9" w:rsidP="00EC27A9">
      <w:pPr>
        <w:pStyle w:val="Bulletpoints"/>
        <w:spacing w:after="120"/>
        <w:rPr>
          <w:lang w:val="en-NZ"/>
        </w:rPr>
      </w:pPr>
      <w:r w:rsidRPr="00EC27A9">
        <w:rPr>
          <w:lang w:val="en-NZ"/>
        </w:rPr>
        <w:t>Professor Lisa Houghton (Nutrition Society of New Zealand)</w:t>
      </w:r>
    </w:p>
    <w:p w14:paraId="7C38B302" w14:textId="77777777" w:rsidR="00EC27A9" w:rsidRPr="00EC27A9" w:rsidRDefault="00EC27A9" w:rsidP="00EC27A9">
      <w:pPr>
        <w:pStyle w:val="Bulletpoints"/>
        <w:spacing w:after="120"/>
        <w:rPr>
          <w:lang w:val="en-NZ"/>
        </w:rPr>
      </w:pPr>
      <w:r w:rsidRPr="00EC27A9">
        <w:rPr>
          <w:lang w:val="en-NZ"/>
        </w:rPr>
        <w:t>Karen Magrath (Whānau Awhina Plunket)</w:t>
      </w:r>
    </w:p>
    <w:p w14:paraId="26384998" w14:textId="77777777" w:rsidR="00EC27A9" w:rsidRPr="00EC27A9" w:rsidRDefault="00EC27A9" w:rsidP="00EC27A9">
      <w:pPr>
        <w:pStyle w:val="Bulletpoints"/>
        <w:spacing w:after="120"/>
        <w:rPr>
          <w:lang w:val="en-NZ"/>
        </w:rPr>
      </w:pPr>
      <w:r w:rsidRPr="00EC27A9">
        <w:rPr>
          <w:lang w:val="en-NZ"/>
        </w:rPr>
        <w:t>Dr Meera Sood (Royal Australian and New Zealand College of Obstetricians and Gynaecologists)</w:t>
      </w:r>
    </w:p>
    <w:p w14:paraId="586C0098" w14:textId="77777777" w:rsidR="00EC27A9" w:rsidRPr="00EC27A9" w:rsidRDefault="00EC27A9" w:rsidP="00EC27A9">
      <w:pPr>
        <w:pStyle w:val="Bulletpoints"/>
        <w:spacing w:after="120"/>
        <w:rPr>
          <w:lang w:val="en-NZ"/>
        </w:rPr>
      </w:pPr>
      <w:r w:rsidRPr="00EC27A9">
        <w:rPr>
          <w:lang w:val="en-NZ"/>
        </w:rPr>
        <w:t xml:space="preserve">Dr Harriette Carr (ex-officio, Public Health Agency, </w:t>
      </w:r>
      <w:proofErr w:type="spellStart"/>
      <w:r w:rsidRPr="00EC27A9">
        <w:rPr>
          <w:lang w:val="en-NZ"/>
        </w:rPr>
        <w:t>Manatū</w:t>
      </w:r>
      <w:proofErr w:type="spellEnd"/>
      <w:r w:rsidRPr="00EC27A9">
        <w:rPr>
          <w:lang w:val="en-NZ"/>
        </w:rPr>
        <w:t xml:space="preserve"> Hauora)</w:t>
      </w:r>
    </w:p>
    <w:p w14:paraId="425F9FC9" w14:textId="77777777" w:rsidR="00EC27A9" w:rsidRPr="00EC27A9" w:rsidRDefault="00EC27A9" w:rsidP="00EC27A9">
      <w:pPr>
        <w:pStyle w:val="Bulletpoints"/>
        <w:spacing w:after="120"/>
        <w:rPr>
          <w:lang w:val="en-NZ"/>
        </w:rPr>
      </w:pPr>
      <w:r w:rsidRPr="00EC27A9">
        <w:rPr>
          <w:lang w:val="en-NZ"/>
        </w:rPr>
        <w:t xml:space="preserve">Dr Tim Jelleyman (ex-officio, Office of Chief Clinical Officers, </w:t>
      </w:r>
      <w:proofErr w:type="spellStart"/>
      <w:r w:rsidRPr="00EC27A9">
        <w:rPr>
          <w:lang w:val="en-NZ"/>
        </w:rPr>
        <w:t>Manatū</w:t>
      </w:r>
      <w:proofErr w:type="spellEnd"/>
      <w:r w:rsidRPr="00EC27A9">
        <w:rPr>
          <w:lang w:val="en-NZ"/>
        </w:rPr>
        <w:t xml:space="preserve"> Hauora).</w:t>
      </w:r>
    </w:p>
    <w:p w14:paraId="6981B051" w14:textId="77777777" w:rsidR="00EC27A9" w:rsidRPr="00EC27A9" w:rsidRDefault="00EC27A9" w:rsidP="00EC27A9">
      <w:pPr>
        <w:pStyle w:val="Bulletpoints"/>
        <w:spacing w:after="120"/>
        <w:rPr>
          <w:lang w:val="en-NZ"/>
        </w:rPr>
      </w:pPr>
      <w:r w:rsidRPr="00EC27A9">
        <w:rPr>
          <w:lang w:val="en-NZ"/>
        </w:rPr>
        <w:t>Nicky Nelson (ex-officio, Te Aka Whai Ora)</w:t>
      </w:r>
    </w:p>
    <w:p w14:paraId="2F560C83" w14:textId="77777777" w:rsidR="00EC27A9" w:rsidRPr="00EC27A9" w:rsidRDefault="00EC27A9" w:rsidP="00EC27A9">
      <w:pPr>
        <w:pStyle w:val="Bulletpoints"/>
        <w:spacing w:after="120"/>
        <w:rPr>
          <w:lang w:val="en-NZ"/>
        </w:rPr>
      </w:pPr>
      <w:r w:rsidRPr="00EC27A9">
        <w:rPr>
          <w:lang w:val="en-NZ"/>
        </w:rPr>
        <w:t xml:space="preserve">Waimarie Onekawa (ex-officio, Te Whatu Ora) </w:t>
      </w:r>
    </w:p>
    <w:p w14:paraId="132AC573" w14:textId="77777777" w:rsidR="00EC27A9" w:rsidRPr="00EC27A9" w:rsidRDefault="00EC27A9" w:rsidP="00EC27A9">
      <w:pPr>
        <w:rPr>
          <w:lang w:val="en-NZ"/>
        </w:rPr>
      </w:pPr>
      <w:r w:rsidRPr="00EC27A9">
        <w:rPr>
          <w:lang w:val="en-NZ"/>
        </w:rPr>
        <w:t>Additional advice was gratefully received via a stakeholder workshop attended by:</w:t>
      </w:r>
    </w:p>
    <w:p w14:paraId="6AE587AB" w14:textId="77777777" w:rsidR="00EC27A9" w:rsidRPr="00EC27A9" w:rsidRDefault="00EC27A9" w:rsidP="00EC27A9">
      <w:pPr>
        <w:pStyle w:val="Bulletpoints"/>
        <w:spacing w:after="120"/>
        <w:rPr>
          <w:lang w:val="en-NZ"/>
        </w:rPr>
      </w:pPr>
      <w:r w:rsidRPr="00EC27A9">
        <w:rPr>
          <w:lang w:val="en-NZ"/>
        </w:rPr>
        <w:t xml:space="preserve"> Ben Liley (NIWA) </w:t>
      </w:r>
    </w:p>
    <w:p w14:paraId="0292A27C" w14:textId="77777777" w:rsidR="00EC27A9" w:rsidRPr="00EC27A9" w:rsidRDefault="00EC27A9" w:rsidP="00EC27A9">
      <w:pPr>
        <w:pStyle w:val="Bulletpoints"/>
        <w:spacing w:after="120"/>
        <w:rPr>
          <w:bCs/>
          <w:lang w:val="en-NZ"/>
        </w:rPr>
      </w:pPr>
      <w:r w:rsidRPr="00EC27A9">
        <w:rPr>
          <w:lang w:val="en-NZ"/>
        </w:rPr>
        <w:t>Billy Allen (</w:t>
      </w:r>
      <w:r w:rsidRPr="00EC27A9">
        <w:rPr>
          <w:bCs/>
          <w:lang w:val="en-NZ"/>
        </w:rPr>
        <w:t xml:space="preserve">Pharmacy, </w:t>
      </w:r>
      <w:proofErr w:type="spellStart"/>
      <w:r w:rsidRPr="00EC27A9">
        <w:rPr>
          <w:bCs/>
          <w:lang w:val="en-NZ"/>
        </w:rPr>
        <w:t>Manatū</w:t>
      </w:r>
      <w:proofErr w:type="spellEnd"/>
      <w:r w:rsidRPr="00EC27A9">
        <w:rPr>
          <w:bCs/>
          <w:lang w:val="en-NZ"/>
        </w:rPr>
        <w:t xml:space="preserve"> Hauora</w:t>
      </w:r>
      <w:r w:rsidRPr="00EC27A9">
        <w:rPr>
          <w:lang w:val="en-NZ"/>
        </w:rPr>
        <w:t>)</w:t>
      </w:r>
    </w:p>
    <w:p w14:paraId="4E703029" w14:textId="77777777" w:rsidR="00EC27A9" w:rsidRPr="00EC27A9" w:rsidRDefault="00EC27A9" w:rsidP="00EC27A9">
      <w:pPr>
        <w:pStyle w:val="Bulletpoints"/>
        <w:spacing w:after="120"/>
        <w:rPr>
          <w:bCs/>
          <w:lang w:val="en-NZ"/>
        </w:rPr>
      </w:pPr>
      <w:r w:rsidRPr="00EC27A9">
        <w:rPr>
          <w:lang w:val="en-NZ"/>
        </w:rPr>
        <w:t xml:space="preserve">Bronwen </w:t>
      </w:r>
      <w:proofErr w:type="spellStart"/>
      <w:r w:rsidRPr="00EC27A9">
        <w:rPr>
          <w:lang w:val="en-NZ"/>
        </w:rPr>
        <w:t>McNoe</w:t>
      </w:r>
      <w:proofErr w:type="spellEnd"/>
      <w:r w:rsidRPr="00EC27A9">
        <w:rPr>
          <w:lang w:val="en-NZ"/>
        </w:rPr>
        <w:t xml:space="preserve"> (</w:t>
      </w:r>
      <w:proofErr w:type="spellStart"/>
      <w:r w:rsidRPr="00EC27A9">
        <w:rPr>
          <w:bCs/>
          <w:lang w:val="en-NZ"/>
        </w:rPr>
        <w:t>Melnet</w:t>
      </w:r>
      <w:proofErr w:type="spellEnd"/>
      <w:r w:rsidRPr="00EC27A9">
        <w:rPr>
          <w:lang w:val="en-NZ"/>
        </w:rPr>
        <w:t>)</w:t>
      </w:r>
    </w:p>
    <w:p w14:paraId="40F468D1" w14:textId="77777777" w:rsidR="00EC27A9" w:rsidRPr="00EC27A9" w:rsidRDefault="00EC27A9" w:rsidP="00EC27A9">
      <w:pPr>
        <w:pStyle w:val="Bulletpoints"/>
        <w:spacing w:after="120"/>
        <w:rPr>
          <w:lang w:val="en-NZ"/>
        </w:rPr>
      </w:pPr>
      <w:r w:rsidRPr="00EC27A9">
        <w:rPr>
          <w:lang w:val="en-NZ"/>
        </w:rPr>
        <w:t>Professor Cameron Grant (Department of Paediatrics, Auckland University)</w:t>
      </w:r>
    </w:p>
    <w:p w14:paraId="7B65F52F" w14:textId="77777777" w:rsidR="00EC27A9" w:rsidRPr="00EC27A9" w:rsidRDefault="00EC27A9" w:rsidP="00EC27A9">
      <w:pPr>
        <w:pStyle w:val="Bulletpoints"/>
        <w:spacing w:after="120"/>
        <w:rPr>
          <w:bCs/>
          <w:lang w:val="en-NZ"/>
        </w:rPr>
      </w:pPr>
      <w:r w:rsidRPr="00EC27A9">
        <w:rPr>
          <w:lang w:val="en-NZ"/>
        </w:rPr>
        <w:t>Professor Clare Wall (</w:t>
      </w:r>
      <w:r w:rsidRPr="00EC27A9">
        <w:rPr>
          <w:bCs/>
          <w:lang w:val="en-NZ"/>
        </w:rPr>
        <w:t>Department of Nutrition, Auckland University</w:t>
      </w:r>
      <w:r w:rsidRPr="00EC27A9">
        <w:rPr>
          <w:lang w:val="en-NZ"/>
        </w:rPr>
        <w:t>)</w:t>
      </w:r>
    </w:p>
    <w:p w14:paraId="117C156C" w14:textId="77777777" w:rsidR="00EC27A9" w:rsidRPr="00EC27A9" w:rsidRDefault="00EC27A9" w:rsidP="00EC27A9">
      <w:pPr>
        <w:pStyle w:val="Bulletpoints"/>
        <w:spacing w:after="120"/>
        <w:rPr>
          <w:bCs/>
          <w:lang w:val="en-NZ"/>
        </w:rPr>
      </w:pPr>
      <w:r w:rsidRPr="00EC27A9">
        <w:rPr>
          <w:lang w:val="en-NZ"/>
        </w:rPr>
        <w:t>Jenny Kim (</w:t>
      </w:r>
      <w:r w:rsidRPr="00EC27A9">
        <w:rPr>
          <w:bCs/>
          <w:lang w:val="en-NZ"/>
        </w:rPr>
        <w:t>Cancer Society of New Zealand</w:t>
      </w:r>
      <w:r w:rsidRPr="00EC27A9">
        <w:rPr>
          <w:lang w:val="en-NZ"/>
        </w:rPr>
        <w:t>)</w:t>
      </w:r>
    </w:p>
    <w:p w14:paraId="604E81C3" w14:textId="77777777" w:rsidR="00EC27A9" w:rsidRPr="00EC27A9" w:rsidRDefault="00EC27A9" w:rsidP="00EC27A9">
      <w:pPr>
        <w:pStyle w:val="Bulletpoints"/>
        <w:spacing w:after="120"/>
        <w:rPr>
          <w:bCs/>
          <w:lang w:val="en-NZ"/>
        </w:rPr>
      </w:pPr>
      <w:r w:rsidRPr="00EC27A9">
        <w:rPr>
          <w:lang w:val="en-NZ"/>
        </w:rPr>
        <w:t>Dr Pamela van Hurst (</w:t>
      </w:r>
      <w:r w:rsidRPr="00EC27A9">
        <w:rPr>
          <w:bCs/>
          <w:lang w:val="en-NZ"/>
        </w:rPr>
        <w:t>Human Nutrition, Massey University</w:t>
      </w:r>
      <w:r w:rsidRPr="00EC27A9">
        <w:rPr>
          <w:lang w:val="en-NZ"/>
        </w:rPr>
        <w:t>)</w:t>
      </w:r>
    </w:p>
    <w:p w14:paraId="3ED4F227" w14:textId="77777777" w:rsidR="00EC27A9" w:rsidRPr="00EC27A9" w:rsidRDefault="00EC27A9" w:rsidP="00EC27A9">
      <w:pPr>
        <w:pStyle w:val="Bulletpoints"/>
        <w:spacing w:after="120"/>
        <w:rPr>
          <w:bCs/>
          <w:lang w:val="en-NZ"/>
        </w:rPr>
      </w:pPr>
      <w:r w:rsidRPr="00EC27A9">
        <w:rPr>
          <w:lang w:val="en-NZ"/>
        </w:rPr>
        <w:t>Professor Robert Scragg (</w:t>
      </w:r>
      <w:r w:rsidRPr="00EC27A9">
        <w:rPr>
          <w:bCs/>
          <w:lang w:val="en-NZ"/>
        </w:rPr>
        <w:t>School of Population Health, Auckland</w:t>
      </w:r>
      <w:r w:rsidRPr="00EC27A9">
        <w:rPr>
          <w:lang w:val="en-NZ"/>
        </w:rPr>
        <w:t xml:space="preserve">) </w:t>
      </w:r>
    </w:p>
    <w:p w14:paraId="0A5A939E" w14:textId="77777777" w:rsidR="00EC27A9" w:rsidRPr="00EC27A9" w:rsidRDefault="00EC27A9" w:rsidP="00EC27A9">
      <w:pPr>
        <w:pStyle w:val="Bulletpoints"/>
        <w:spacing w:after="120"/>
        <w:rPr>
          <w:lang w:val="en-NZ"/>
        </w:rPr>
      </w:pPr>
      <w:r w:rsidRPr="00EC27A9">
        <w:rPr>
          <w:lang w:val="en-NZ"/>
        </w:rPr>
        <w:t>Stephanie Swallow (</w:t>
      </w:r>
      <w:proofErr w:type="spellStart"/>
      <w:r w:rsidRPr="00EC27A9">
        <w:rPr>
          <w:bCs/>
          <w:lang w:val="en-NZ"/>
        </w:rPr>
        <w:t>Manatū</w:t>
      </w:r>
      <w:proofErr w:type="spellEnd"/>
      <w:r w:rsidRPr="00EC27A9">
        <w:rPr>
          <w:bCs/>
          <w:lang w:val="en-NZ"/>
        </w:rPr>
        <w:t xml:space="preserve"> Hauora</w:t>
      </w:r>
      <w:r w:rsidRPr="00EC27A9">
        <w:rPr>
          <w:lang w:val="en-NZ"/>
        </w:rPr>
        <w:t>).</w:t>
      </w:r>
    </w:p>
    <w:p w14:paraId="34DA3317" w14:textId="77777777" w:rsidR="00D63B3C" w:rsidRDefault="00D63B3C" w:rsidP="002B0407">
      <w:pPr>
        <w:rPr>
          <w:lang w:val="en-NZ"/>
        </w:rPr>
      </w:pPr>
    </w:p>
    <w:p w14:paraId="1665CC07" w14:textId="77777777" w:rsidR="009605B7" w:rsidRPr="009605B7" w:rsidRDefault="009605B7" w:rsidP="009605B7">
      <w:pPr>
        <w:pStyle w:val="Heading1"/>
        <w:numPr>
          <w:ilvl w:val="0"/>
          <w:numId w:val="0"/>
        </w:numPr>
        <w:ind w:left="432" w:hanging="432"/>
      </w:pPr>
      <w:bookmarkStart w:id="35" w:name="_Toc161403300"/>
      <w:bookmarkStart w:id="36" w:name="_Toc167269276"/>
      <w:r w:rsidRPr="009605B7">
        <w:lastRenderedPageBreak/>
        <w:t>Appendix A: Cultural safety</w:t>
      </w:r>
      <w:bookmarkEnd w:id="35"/>
      <w:bookmarkEnd w:id="36"/>
    </w:p>
    <w:p w14:paraId="5A50E083" w14:textId="77777777" w:rsidR="009605B7" w:rsidRPr="009605B7" w:rsidRDefault="009605B7" w:rsidP="009605B7">
      <w:pPr>
        <w:rPr>
          <w:lang w:val="en-NZ"/>
        </w:rPr>
      </w:pPr>
      <w:r w:rsidRPr="009605B7">
        <w:rPr>
          <w:lang w:val="en-NZ"/>
        </w:rPr>
        <w:t xml:space="preserve">Practising in a culturally safe way is important and a requirement of Te Tiriti o Waitangi, particularly the principles of active protection, </w:t>
      </w:r>
      <w:proofErr w:type="gramStart"/>
      <w:r w:rsidRPr="009605B7">
        <w:rPr>
          <w:lang w:val="en-NZ"/>
        </w:rPr>
        <w:t>options</w:t>
      </w:r>
      <w:proofErr w:type="gramEnd"/>
      <w:r w:rsidRPr="009605B7">
        <w:rPr>
          <w:lang w:val="en-NZ"/>
        </w:rPr>
        <w:t xml:space="preserve"> and partnership. It is important health practitioners know tikanga or correct protocols and practices are often specific to whānau, hapū, </w:t>
      </w:r>
      <w:proofErr w:type="spellStart"/>
      <w:r w:rsidRPr="009605B7">
        <w:rPr>
          <w:lang w:val="en-NZ"/>
        </w:rPr>
        <w:t>rūnanga</w:t>
      </w:r>
      <w:proofErr w:type="spellEnd"/>
      <w:r w:rsidRPr="009605B7">
        <w:rPr>
          <w:lang w:val="en-NZ"/>
        </w:rPr>
        <w:t xml:space="preserve"> and iwi and that tikanga is not ‘one size fits all’. Similarly, </w:t>
      </w:r>
      <w:proofErr w:type="spellStart"/>
      <w:r w:rsidRPr="009605B7">
        <w:rPr>
          <w:lang w:val="en-NZ"/>
        </w:rPr>
        <w:t>mātauranga</w:t>
      </w:r>
      <w:proofErr w:type="spellEnd"/>
      <w:r w:rsidRPr="009605B7">
        <w:rPr>
          <w:lang w:val="en-NZ"/>
        </w:rPr>
        <w:t xml:space="preserve"> Māori or Māori knowledge is not a single entity; rather there are both traditional and contemporary. </w:t>
      </w:r>
      <w:proofErr w:type="spellStart"/>
      <w:r w:rsidRPr="009605B7">
        <w:rPr>
          <w:lang w:val="en-NZ"/>
        </w:rPr>
        <w:t>Mātauranga</w:t>
      </w:r>
      <w:proofErr w:type="spellEnd"/>
      <w:r w:rsidRPr="009605B7">
        <w:rPr>
          <w:lang w:val="en-NZ"/>
        </w:rPr>
        <w:t xml:space="preserve"> Māori that is specific to hapū and iwi environments includes land, seas, waterways, weather systems, the stars, flora and fauna, and things seen and unseen. Well-known forms of </w:t>
      </w:r>
      <w:proofErr w:type="spellStart"/>
      <w:r w:rsidRPr="009605B7">
        <w:rPr>
          <w:lang w:val="en-NZ"/>
        </w:rPr>
        <w:t>mātauranga</w:t>
      </w:r>
      <w:proofErr w:type="spellEnd"/>
      <w:r w:rsidRPr="009605B7">
        <w:rPr>
          <w:lang w:val="en-NZ"/>
        </w:rPr>
        <w:t xml:space="preserve"> Māori have been somewhat protected from colonisation by virtue of having been composed or narrated in </w:t>
      </w:r>
      <w:proofErr w:type="spellStart"/>
      <w:r w:rsidRPr="009605B7">
        <w:rPr>
          <w:lang w:val="en-NZ"/>
        </w:rPr>
        <w:t>te</w:t>
      </w:r>
      <w:proofErr w:type="spellEnd"/>
      <w:r w:rsidRPr="009605B7">
        <w:rPr>
          <w:lang w:val="en-NZ"/>
        </w:rPr>
        <w:t xml:space="preserve"> </w:t>
      </w:r>
      <w:proofErr w:type="spellStart"/>
      <w:r w:rsidRPr="009605B7">
        <w:rPr>
          <w:lang w:val="en-NZ"/>
        </w:rPr>
        <w:t>reo</w:t>
      </w:r>
      <w:proofErr w:type="spellEnd"/>
      <w:r w:rsidRPr="009605B7">
        <w:rPr>
          <w:lang w:val="en-NZ"/>
        </w:rPr>
        <w:t xml:space="preserve"> Māori.</w:t>
      </w:r>
    </w:p>
    <w:p w14:paraId="6BC1F5BA" w14:textId="77777777" w:rsidR="009605B7" w:rsidRPr="009605B7" w:rsidRDefault="009605B7" w:rsidP="009605B7">
      <w:pPr>
        <w:rPr>
          <w:lang w:val="en-NZ"/>
        </w:rPr>
      </w:pPr>
      <w:r w:rsidRPr="009605B7">
        <w:rPr>
          <w:lang w:val="en-NZ"/>
        </w:rPr>
        <w:t xml:space="preserve">Rangatiratanga or self-determining rights over tikanga and </w:t>
      </w:r>
      <w:proofErr w:type="spellStart"/>
      <w:r w:rsidRPr="009605B7">
        <w:rPr>
          <w:lang w:val="en-NZ"/>
        </w:rPr>
        <w:t>mātauranga</w:t>
      </w:r>
      <w:proofErr w:type="spellEnd"/>
      <w:r w:rsidRPr="009605B7">
        <w:rPr>
          <w:lang w:val="en-NZ"/>
        </w:rPr>
        <w:t xml:space="preserve"> Māori is crucial to Māori safety and survival. For this reason, health practitioners should be careful not to impose their understanding of tikanga or </w:t>
      </w:r>
      <w:proofErr w:type="spellStart"/>
      <w:r w:rsidRPr="009605B7">
        <w:rPr>
          <w:lang w:val="en-NZ"/>
        </w:rPr>
        <w:t>mātauranga</w:t>
      </w:r>
      <w:proofErr w:type="spellEnd"/>
      <w:r w:rsidRPr="009605B7">
        <w:rPr>
          <w:lang w:val="en-NZ"/>
        </w:rPr>
        <w:t xml:space="preserve"> Māori onto Māori through maternity and primary care; nor should they assume all Māori are familiar with terms such as tikanga, </w:t>
      </w:r>
      <w:proofErr w:type="spellStart"/>
      <w:r w:rsidRPr="009605B7">
        <w:rPr>
          <w:lang w:val="en-NZ"/>
        </w:rPr>
        <w:t>mātauranga</w:t>
      </w:r>
      <w:proofErr w:type="spellEnd"/>
      <w:r w:rsidRPr="009605B7">
        <w:rPr>
          <w:lang w:val="en-NZ"/>
        </w:rPr>
        <w:t xml:space="preserve"> and Te Tiriti o Waitangi. Unfamiliarity with such terms can be experienced by Māori as a diminishment of their mana as expressed by Te Tiriti o Waitangi; an outcome that is antithetical to Te Tiriti o Waitangi, this Companion Statement and </w:t>
      </w:r>
      <w:proofErr w:type="spellStart"/>
      <w:r w:rsidRPr="009605B7">
        <w:rPr>
          <w:i/>
          <w:iCs/>
          <w:lang w:val="en-NZ"/>
        </w:rPr>
        <w:t>Ngā</w:t>
      </w:r>
      <w:proofErr w:type="spellEnd"/>
      <w:r w:rsidRPr="009605B7">
        <w:rPr>
          <w:i/>
          <w:iCs/>
          <w:lang w:val="en-NZ"/>
        </w:rPr>
        <w:t xml:space="preserve"> </w:t>
      </w:r>
      <w:proofErr w:type="spellStart"/>
      <w:r w:rsidRPr="009605B7">
        <w:rPr>
          <w:i/>
          <w:iCs/>
          <w:lang w:val="en-NZ"/>
        </w:rPr>
        <w:t>Paerewa</w:t>
      </w:r>
      <w:proofErr w:type="spellEnd"/>
      <w:r w:rsidRPr="009605B7">
        <w:rPr>
          <w:lang w:val="en-NZ"/>
        </w:rPr>
        <w:t>.</w:t>
      </w:r>
    </w:p>
    <w:p w14:paraId="0AFCCF3E" w14:textId="77777777" w:rsidR="009605B7" w:rsidRPr="009605B7" w:rsidRDefault="009605B7" w:rsidP="009605B7">
      <w:pPr>
        <w:rPr>
          <w:lang w:val="en-NZ"/>
        </w:rPr>
      </w:pPr>
      <w:r w:rsidRPr="009605B7">
        <w:rPr>
          <w:lang w:val="en-NZ"/>
        </w:rPr>
        <w:t>Health practitioners may find advice from their professional association to be helpful in terms of giving effect to the principles of Te Tiriti o Waitangi. Sources of advice may include:</w:t>
      </w:r>
    </w:p>
    <w:p w14:paraId="1FA73BF1" w14:textId="77777777" w:rsidR="009605B7" w:rsidRPr="009605B7" w:rsidRDefault="009605B7" w:rsidP="009605B7">
      <w:pPr>
        <w:pStyle w:val="Bulletpoints"/>
        <w:rPr>
          <w:lang w:val="en-NZ"/>
        </w:rPr>
      </w:pPr>
      <w:r w:rsidRPr="009605B7">
        <w:rPr>
          <w:lang w:val="en-NZ"/>
        </w:rPr>
        <w:t xml:space="preserve">Medical Council of New Zealand: He Ara Hauora Māori: A Pathway to Māori Health Equity </w:t>
      </w:r>
      <w:r w:rsidRPr="009605B7">
        <w:rPr>
          <w:lang w:val="en-NZ"/>
        </w:rPr>
        <w:fldChar w:fldCharType="begin"/>
      </w:r>
      <w:r w:rsidRPr="009605B7">
        <w:rPr>
          <w:lang w:val="en-NZ"/>
        </w:rPr>
        <w:instrText xml:space="preserve"> ADDIN ZOTERO_ITEM CSL_CITATION {"citationID":"T3Y4DD1f","properties":{"formattedCitation":"(Medical Council of New Zealand, 2019)","plainCitation":"(Medical Council of New Zealand, 2019)","noteIndex":0},"citationItems":[{"id":1114,"uris":["http://zotero.org/groups/5078394/items/BE4IGCK8"],"itemData":{"id":1114,"type":"document","title":"He Ara Hauora Māori: A Pathway to Māori Health Equity","URL":"https://www.mcnz.org.nz/assets/standards/6c2ece58e8/He-Ara-Hauora-Maori-A-Pathway-to-Maori-Health-Equity.pdf","author":[{"family":"Medical Council of New Zealand","given":""}],"accessed":{"date-parts":[["2024",1,26]]},"issued":{"date-parts":[["2019",10]]}}}],"schema":"https://github.com/citation-style-language/schema/raw/master/csl-citation.json"} </w:instrText>
      </w:r>
      <w:r w:rsidRPr="009605B7">
        <w:rPr>
          <w:lang w:val="en-NZ"/>
        </w:rPr>
        <w:fldChar w:fldCharType="separate"/>
      </w:r>
      <w:r w:rsidRPr="009605B7">
        <w:rPr>
          <w:lang w:val="en-NZ"/>
        </w:rPr>
        <w:t>(Medical Council of New Zealand, 2019)</w:t>
      </w:r>
      <w:r w:rsidRPr="009605B7">
        <w:rPr>
          <w:lang w:val="en-NZ"/>
        </w:rPr>
        <w:fldChar w:fldCharType="end"/>
      </w:r>
      <w:r w:rsidRPr="009605B7">
        <w:rPr>
          <w:lang w:val="en-NZ"/>
        </w:rPr>
        <w:t xml:space="preserve"> </w:t>
      </w:r>
    </w:p>
    <w:p w14:paraId="6DB34BCA" w14:textId="77777777" w:rsidR="009605B7" w:rsidRPr="009605B7" w:rsidRDefault="009605B7" w:rsidP="009605B7">
      <w:pPr>
        <w:pStyle w:val="Bulletpoints"/>
        <w:rPr>
          <w:lang w:val="en-NZ"/>
        </w:rPr>
      </w:pPr>
      <w:r w:rsidRPr="009605B7">
        <w:rPr>
          <w:lang w:val="en-NZ"/>
        </w:rPr>
        <w:t xml:space="preserve">Midwifery Council of New Zealand: Statement on Cultural Competence for Midwives </w:t>
      </w:r>
      <w:r w:rsidRPr="009605B7">
        <w:rPr>
          <w:lang w:val="en-NZ"/>
        </w:rPr>
        <w:fldChar w:fldCharType="begin"/>
      </w:r>
      <w:r w:rsidRPr="009605B7">
        <w:rPr>
          <w:lang w:val="en-NZ"/>
        </w:rPr>
        <w:instrText xml:space="preserve"> ADDIN ZOTERO_ITEM CSL_CITATION {"citationID":"nNLhELF8","properties":{"formattedCitation":"(Midwifery Council of New Zealand, ND)","plainCitation":"(Midwifery Council of New Zealand, ND)","noteIndex":0},"citationItems":[{"id":1116,"uris":["http://zotero.org/groups/5078394/items/9HSX74H2"],"itemData":{"id":1116,"type":"document","title":"Statement on Cultural Competence for Midwives","URL":"https://midwiferycouncil.health.nz/common/Uploaded%20files/About%20Us/Statement%20on%20cultural%20competence.pdf","author":[{"family":"Midwifery Council of New Zealand","given":""}],"accessed":{"date-parts":[["2024",1,26]]},"issued":{"literal":"ND"}}}],"schema":"https://github.com/citation-style-language/schema/raw/master/csl-citation.json"} </w:instrText>
      </w:r>
      <w:r w:rsidRPr="009605B7">
        <w:rPr>
          <w:lang w:val="en-NZ"/>
        </w:rPr>
        <w:fldChar w:fldCharType="separate"/>
      </w:r>
      <w:r w:rsidRPr="009605B7">
        <w:rPr>
          <w:lang w:val="en-NZ"/>
        </w:rPr>
        <w:t>(Midwifery Council of New Zealand, ND)</w:t>
      </w:r>
      <w:r w:rsidRPr="009605B7">
        <w:rPr>
          <w:lang w:val="en-NZ"/>
        </w:rPr>
        <w:fldChar w:fldCharType="end"/>
      </w:r>
    </w:p>
    <w:p w14:paraId="126F69EA" w14:textId="77777777" w:rsidR="009605B7" w:rsidRPr="009605B7" w:rsidRDefault="009605B7" w:rsidP="009605B7">
      <w:pPr>
        <w:pStyle w:val="Bulletpoints"/>
        <w:rPr>
          <w:lang w:val="en-NZ"/>
        </w:rPr>
      </w:pPr>
      <w:proofErr w:type="spellStart"/>
      <w:r w:rsidRPr="009605B7">
        <w:rPr>
          <w:lang w:val="en-NZ"/>
        </w:rPr>
        <w:t>Ngā</w:t>
      </w:r>
      <w:proofErr w:type="spellEnd"/>
      <w:r w:rsidRPr="009605B7">
        <w:rPr>
          <w:lang w:val="en-NZ"/>
        </w:rPr>
        <w:t xml:space="preserve"> Maia </w:t>
      </w:r>
      <w:proofErr w:type="spellStart"/>
      <w:r w:rsidRPr="009605B7">
        <w:rPr>
          <w:lang w:val="en-NZ"/>
        </w:rPr>
        <w:t>Turanga</w:t>
      </w:r>
      <w:proofErr w:type="spellEnd"/>
      <w:r w:rsidRPr="009605B7">
        <w:rPr>
          <w:lang w:val="en-NZ"/>
        </w:rPr>
        <w:t xml:space="preserve"> Kaupapa: principles that give life and meaning to the midwifery profession’s recognition of Māori as </w:t>
      </w:r>
      <w:proofErr w:type="spellStart"/>
      <w:r w:rsidRPr="009605B7">
        <w:rPr>
          <w:lang w:val="en-NZ"/>
        </w:rPr>
        <w:t>tangata</w:t>
      </w:r>
      <w:proofErr w:type="spellEnd"/>
      <w:r w:rsidRPr="009605B7">
        <w:rPr>
          <w:lang w:val="en-NZ"/>
        </w:rPr>
        <w:t xml:space="preserve"> whenua and the profession’s obligations under Te Tiriti (developed by </w:t>
      </w:r>
      <w:proofErr w:type="spellStart"/>
      <w:r w:rsidRPr="009605B7">
        <w:rPr>
          <w:lang w:val="en-NZ"/>
        </w:rPr>
        <w:t>Ngā</w:t>
      </w:r>
      <w:proofErr w:type="spellEnd"/>
      <w:r w:rsidRPr="009605B7">
        <w:rPr>
          <w:lang w:val="en-NZ"/>
        </w:rPr>
        <w:t xml:space="preserve"> Maia, and formally adopted by </w:t>
      </w:r>
      <w:r w:rsidRPr="009605B7">
        <w:rPr>
          <w:i/>
          <w:iCs/>
          <w:lang w:val="en-NZ"/>
        </w:rPr>
        <w:t xml:space="preserve">Midwifery Council of New Zealand); see Midwives’ Handbook for Practice </w:t>
      </w:r>
      <w:r w:rsidRPr="009605B7">
        <w:rPr>
          <w:i/>
          <w:iCs/>
          <w:lang w:val="en-NZ"/>
        </w:rPr>
        <w:fldChar w:fldCharType="begin"/>
      </w:r>
      <w:r w:rsidRPr="009605B7">
        <w:rPr>
          <w:i/>
          <w:iCs/>
          <w:lang w:val="en-NZ"/>
        </w:rPr>
        <w:instrText xml:space="preserve"> ADDIN ZOTERO_ITEM CSL_CITATION {"citationID":"OxxSmRWs","properties":{"formattedCitation":"(New Zealand College of Midwives, ND)","plainCitation":"(New Zealand College of Midwives, ND)","noteIndex":0},"citationItems":[{"id":1117,"uris":["http://zotero.org/groups/5078394/items/HI3BQDFW"],"itemData":{"id":1117,"type":"book","event-place":"Christchurch","publisher":"New Zealand College of Midwives","publisher-place":"Christchurch","title":"Midwives’ Handbook for Practice 5th Edition","author":[{"family":"New Zealand College of Midwives","given":""}],"issued":{"literal":"ND"}}}],"schema":"https://github.com/citation-style-language/schema/raw/master/csl-citation.json"} </w:instrText>
      </w:r>
      <w:r w:rsidRPr="009605B7">
        <w:rPr>
          <w:i/>
          <w:iCs/>
          <w:lang w:val="en-NZ"/>
        </w:rPr>
        <w:fldChar w:fldCharType="separate"/>
      </w:r>
      <w:r w:rsidRPr="009605B7">
        <w:rPr>
          <w:lang w:val="en-NZ"/>
        </w:rPr>
        <w:t>(New Zealand College of Midwives, ND)</w:t>
      </w:r>
      <w:r w:rsidRPr="009605B7">
        <w:rPr>
          <w:lang w:val="en-NZ"/>
        </w:rPr>
        <w:fldChar w:fldCharType="end"/>
      </w:r>
    </w:p>
    <w:p w14:paraId="573EEE47" w14:textId="77777777" w:rsidR="009605B7" w:rsidRPr="009605B7" w:rsidRDefault="009605B7" w:rsidP="009605B7">
      <w:pPr>
        <w:pStyle w:val="Bulletpoints"/>
        <w:rPr>
          <w:lang w:val="en-NZ"/>
        </w:rPr>
      </w:pPr>
      <w:r w:rsidRPr="009605B7">
        <w:rPr>
          <w:lang w:val="en-NZ"/>
        </w:rPr>
        <w:t xml:space="preserve">Royal Australasian College of Physicians: </w:t>
      </w:r>
      <w:r w:rsidRPr="009605B7">
        <w:rPr>
          <w:i/>
          <w:iCs/>
          <w:lang w:val="en-NZ"/>
        </w:rPr>
        <w:t>Guideline commentary on consulting with Māori and their whānau</w:t>
      </w:r>
      <w:r w:rsidRPr="009605B7">
        <w:rPr>
          <w:lang w:val="en-NZ"/>
        </w:rPr>
        <w:t xml:space="preserve"> </w:t>
      </w:r>
      <w:r w:rsidRPr="009605B7">
        <w:rPr>
          <w:lang w:val="en-NZ"/>
        </w:rPr>
        <w:fldChar w:fldCharType="begin"/>
      </w:r>
      <w:r w:rsidRPr="009605B7">
        <w:rPr>
          <w:lang w:val="en-NZ"/>
        </w:rPr>
        <w:instrText xml:space="preserve"> ADDIN ZOTERO_ITEM CSL_CITATION {"citationID":"vud81aFN","properties":{"formattedCitation":"(Royal Australasian College of Physicians, ND)","plainCitation":"(Royal Australasian College of Physicians, ND)","noteIndex":0},"citationItems":[{"id":1119,"uris":["http://zotero.org/groups/5078394/items/I3SWGVTN"],"itemData":{"id":1119,"type":"document","publisher":"RACP","title":"Guideline commentary on consulting with Māori and their whānau","URL":"https://www.racp.edu.au/docs/default-source/policy-and-adv/guideline-commentary-on-care-and-support-of-maori-and-their-whanau-around-the-time-of-death.pdf?sfvrsn=8a312c1a_5","author":[{"family":"Royal Australasian College of Physicians","given":""}],"accessed":{"date-parts":[["2024",1,26]]},"issued":{"literal":"ND"}}}],"schema":"https://github.com/citation-style-language/schema/raw/master/csl-citation.json"} </w:instrText>
      </w:r>
      <w:r w:rsidRPr="009605B7">
        <w:rPr>
          <w:lang w:val="en-NZ"/>
        </w:rPr>
        <w:fldChar w:fldCharType="separate"/>
      </w:r>
      <w:r w:rsidRPr="009605B7">
        <w:rPr>
          <w:lang w:val="en-NZ"/>
        </w:rPr>
        <w:t>(Royal Australasian College of Physicians, ND)</w:t>
      </w:r>
      <w:r w:rsidRPr="009605B7">
        <w:rPr>
          <w:lang w:val="en-NZ"/>
        </w:rPr>
        <w:fldChar w:fldCharType="end"/>
      </w:r>
    </w:p>
    <w:p w14:paraId="24480372" w14:textId="77777777" w:rsidR="009605B7" w:rsidRPr="009605B7" w:rsidRDefault="009605B7" w:rsidP="009605B7">
      <w:pPr>
        <w:pStyle w:val="Bulletpoints"/>
        <w:rPr>
          <w:lang w:val="en-NZ"/>
        </w:rPr>
      </w:pPr>
      <w:r w:rsidRPr="009605B7">
        <w:rPr>
          <w:lang w:val="en-NZ"/>
        </w:rPr>
        <w:t xml:space="preserve">Nursing Council of New Zealand: Te Tiriti o Waitangi Policy Statement </w:t>
      </w:r>
      <w:r w:rsidRPr="009605B7">
        <w:rPr>
          <w:lang w:val="en-NZ"/>
        </w:rPr>
        <w:fldChar w:fldCharType="begin"/>
      </w:r>
      <w:r w:rsidRPr="009605B7">
        <w:rPr>
          <w:lang w:val="en-NZ"/>
        </w:rPr>
        <w:instrText xml:space="preserve"> ADDIN ZOTERO_ITEM CSL_CITATION {"citationID":"8oHKIisG","properties":{"formattedCitation":"(Nursing Council of New Zealand, 2020)","plainCitation":"(Nursing Council of New Zealand, 2020)","noteIndex":0},"citationItems":[{"id":1120,"uris":["http://zotero.org/groups/5078394/items/P9ZMVSL9"],"itemData":{"id":1120,"type":"document","publisher":"Nursing Council of New Zealand","title":"Te Tiriti o Waitangi Policy Statement","author":[{"family":"Nursing Council of New Zealand","given":""}],"issued":{"date-parts":[["2020"]]}}}],"schema":"https://github.com/citation-style-language/schema/raw/master/csl-citation.json"} </w:instrText>
      </w:r>
      <w:r w:rsidRPr="009605B7">
        <w:rPr>
          <w:lang w:val="en-NZ"/>
        </w:rPr>
        <w:fldChar w:fldCharType="separate"/>
      </w:r>
      <w:r w:rsidRPr="009605B7">
        <w:rPr>
          <w:lang w:val="en-NZ"/>
        </w:rPr>
        <w:t>(Nursing Council of New Zealand, 2020)</w:t>
      </w:r>
      <w:r w:rsidRPr="009605B7">
        <w:rPr>
          <w:lang w:val="en-NZ"/>
        </w:rPr>
        <w:fldChar w:fldCharType="end"/>
      </w:r>
    </w:p>
    <w:p w14:paraId="79B8E43C" w14:textId="77777777" w:rsidR="009605B7" w:rsidRPr="009605B7" w:rsidRDefault="009605B7" w:rsidP="009605B7">
      <w:pPr>
        <w:rPr>
          <w:lang w:val="en-NZ"/>
        </w:rPr>
      </w:pPr>
      <w:r w:rsidRPr="009605B7">
        <w:rPr>
          <w:lang w:val="en-NZ"/>
        </w:rPr>
        <w:t xml:space="preserve">Health practitioners may also find value in familiarising themselves with: </w:t>
      </w:r>
    </w:p>
    <w:p w14:paraId="4518B800" w14:textId="77777777" w:rsidR="009605B7" w:rsidRPr="009605B7" w:rsidRDefault="009605B7" w:rsidP="009605B7">
      <w:pPr>
        <w:pStyle w:val="Bulletpoints"/>
        <w:rPr>
          <w:lang w:val="en-NZ"/>
        </w:rPr>
      </w:pPr>
      <w:proofErr w:type="spellStart"/>
      <w:r w:rsidRPr="009605B7">
        <w:rPr>
          <w:lang w:val="en-NZ"/>
        </w:rPr>
        <w:t>Māuri</w:t>
      </w:r>
      <w:proofErr w:type="spellEnd"/>
      <w:r w:rsidRPr="009605B7">
        <w:rPr>
          <w:lang w:val="en-NZ"/>
        </w:rPr>
        <w:t xml:space="preserve"> Ora Associates: Best health outcomes for Māori: Practice implications </w:t>
      </w:r>
      <w:r w:rsidRPr="009605B7">
        <w:rPr>
          <w:lang w:val="en-NZ"/>
        </w:rPr>
        <w:fldChar w:fldCharType="begin"/>
      </w:r>
      <w:r w:rsidRPr="009605B7">
        <w:rPr>
          <w:lang w:val="en-NZ"/>
        </w:rPr>
        <w:instrText xml:space="preserve"> ADDIN ZOTERO_ITEM CSL_CITATION {"citationID":"Qwx0vfhd","properties":{"formattedCitation":"(Medical Council of New Zealand, 2008)","plainCitation":"(Medical Council of New Zealand, 2008)","noteIndex":0},"citationItems":[{"id":1123,"uris":["http://zotero.org/groups/5078394/items/3NRDDPPZ"],"itemData":{"id":1123,"type":"document","publisher":"Medical Council of New Zealand","title":"Best health outcomes for Māori: Practice implications","URL":"https://www.indigenouspsych.org/Resources/Best_Health_Outcomes_for_Maori.pdf","author":[{"family":"Medical Council of New Zealand","given":""}],"accessed":{"date-parts":[["2024",1,26]]},"issued":{"date-parts":[["2008"]]}}}],"schema":"https://github.com/citation-style-language/schema/raw/master/csl-citation.json"} </w:instrText>
      </w:r>
      <w:r w:rsidRPr="009605B7">
        <w:rPr>
          <w:lang w:val="en-NZ"/>
        </w:rPr>
        <w:fldChar w:fldCharType="separate"/>
      </w:r>
      <w:r w:rsidRPr="009605B7">
        <w:rPr>
          <w:lang w:val="en-NZ"/>
        </w:rPr>
        <w:t>(Medical Council of New Zealand, 2008)</w:t>
      </w:r>
      <w:r w:rsidRPr="009605B7">
        <w:rPr>
          <w:lang w:val="en-NZ"/>
        </w:rPr>
        <w:fldChar w:fldCharType="end"/>
      </w:r>
    </w:p>
    <w:p w14:paraId="6057A88C" w14:textId="77777777" w:rsidR="009605B7" w:rsidRPr="009605B7" w:rsidRDefault="009605B7" w:rsidP="009605B7">
      <w:pPr>
        <w:pStyle w:val="Bulletpoints"/>
        <w:rPr>
          <w:lang w:val="en-NZ"/>
        </w:rPr>
      </w:pPr>
      <w:r w:rsidRPr="009605B7">
        <w:rPr>
          <w:lang w:val="en-NZ"/>
        </w:rPr>
        <w:t xml:space="preserve">New Zealand Medical Association: Improving Māori health through clinical assessment: </w:t>
      </w:r>
      <w:proofErr w:type="spellStart"/>
      <w:r w:rsidRPr="009605B7">
        <w:rPr>
          <w:lang w:val="en-NZ"/>
        </w:rPr>
        <w:t>Waikare</w:t>
      </w:r>
      <w:proofErr w:type="spellEnd"/>
      <w:r w:rsidRPr="009605B7">
        <w:rPr>
          <w:lang w:val="en-NZ"/>
        </w:rPr>
        <w:t xml:space="preserve"> o </w:t>
      </w:r>
      <w:proofErr w:type="spellStart"/>
      <w:r w:rsidRPr="009605B7">
        <w:rPr>
          <w:lang w:val="en-NZ"/>
        </w:rPr>
        <w:t>te</w:t>
      </w:r>
      <w:proofErr w:type="spellEnd"/>
      <w:r w:rsidRPr="009605B7">
        <w:rPr>
          <w:lang w:val="en-NZ"/>
        </w:rPr>
        <w:t xml:space="preserve"> Waka o </w:t>
      </w:r>
      <w:proofErr w:type="spellStart"/>
      <w:r w:rsidRPr="009605B7">
        <w:rPr>
          <w:lang w:val="en-NZ"/>
        </w:rPr>
        <w:t>Meihana</w:t>
      </w:r>
      <w:proofErr w:type="spellEnd"/>
      <w:r w:rsidRPr="009605B7">
        <w:rPr>
          <w:lang w:val="en-NZ"/>
        </w:rPr>
        <w:t xml:space="preserve"> </w:t>
      </w:r>
      <w:r w:rsidRPr="009605B7">
        <w:rPr>
          <w:lang w:val="en-NZ"/>
        </w:rPr>
        <w:fldChar w:fldCharType="begin"/>
      </w:r>
      <w:r w:rsidRPr="009605B7">
        <w:rPr>
          <w:lang w:val="en-NZ"/>
        </w:rPr>
        <w:instrText xml:space="preserve"> ADDIN ZOTERO_ITEM CSL_CITATION {"citationID":"8CBE6bEm","properties":{"formattedCitation":"(Pitama et al., 2014)","plainCitation":"(Pitama et al., 2014)","noteIndex":0},"citationItems":[{"id":1124,"uris":["http://zotero.org/groups/5078394/items/DANUAC4A"],"itemData":{"id":1124,"type":"article-journal","abstract":"Health professionals play an important role in addressing indigenous health inequalities. This paper describes the further development and a new conceptualisation of the Meihana model (2007) and the Hui process (2011), which together have formed the indigenous health framework in the University of Otago, Christchurch undergraduate medical education programme for 4th-6th year medical students over the past 5 years. The components of the framework are defined followed by description of their application to clinical assessment. The indigenous health framework has been evaluated by medical students, health practitioners, Maori patients and whanau over this time and has been rated favourably as a clinically relevant framework that supports health practitioners to work effectively with Maori patients and whanau.","container-title":"The New Zealand Medical Journal","ISSN":"1175-8716","issue":"1393","journalAbbreviation":"N Z Med J","language":"eng","note":"PMID: 24816961","page":"107-119","source":"PubMed","title":"Improving Maori health through clinical assessment: Waikare o te Waka o Meihana","title-short":"Improving Maori health through clinical assessment","volume":"127","author":[{"family":"Pitama","given":"Suzanne"},{"family":"Huria","given":"Tania"},{"family":"Lacey","given":"Cameron"}],"issued":{"date-parts":[["2014",5,2]]}}}],"schema":"https://github.com/citation-style-language/schema/raw/master/csl-citation.json"} </w:instrText>
      </w:r>
      <w:r w:rsidRPr="009605B7">
        <w:rPr>
          <w:lang w:val="en-NZ"/>
        </w:rPr>
        <w:fldChar w:fldCharType="separate"/>
      </w:r>
      <w:r w:rsidRPr="009605B7">
        <w:rPr>
          <w:lang w:val="en-NZ"/>
        </w:rPr>
        <w:t>(</w:t>
      </w:r>
      <w:proofErr w:type="spellStart"/>
      <w:r w:rsidRPr="009605B7">
        <w:rPr>
          <w:lang w:val="en-NZ"/>
        </w:rPr>
        <w:t>Pitama</w:t>
      </w:r>
      <w:proofErr w:type="spellEnd"/>
      <w:r w:rsidRPr="009605B7">
        <w:rPr>
          <w:lang w:val="en-NZ"/>
        </w:rPr>
        <w:t xml:space="preserve"> et al., 2014)</w:t>
      </w:r>
      <w:r w:rsidRPr="009605B7">
        <w:rPr>
          <w:lang w:val="en-NZ"/>
        </w:rPr>
        <w:fldChar w:fldCharType="end"/>
      </w:r>
    </w:p>
    <w:p w14:paraId="1DE9E6D1" w14:textId="77777777" w:rsidR="009605B7" w:rsidRPr="009605B7" w:rsidRDefault="009605B7" w:rsidP="009605B7">
      <w:pPr>
        <w:pStyle w:val="Bulletpoints"/>
        <w:rPr>
          <w:lang w:val="en-NZ"/>
        </w:rPr>
      </w:pPr>
      <w:r w:rsidRPr="009605B7">
        <w:rPr>
          <w:lang w:val="en-NZ"/>
        </w:rPr>
        <w:t xml:space="preserve">University of Otago MIHI 501 Health Professionals Course: Application of Hui Process and </w:t>
      </w:r>
      <w:proofErr w:type="spellStart"/>
      <w:r w:rsidRPr="009605B7">
        <w:rPr>
          <w:lang w:val="en-NZ"/>
        </w:rPr>
        <w:t>Meihana</w:t>
      </w:r>
      <w:proofErr w:type="spellEnd"/>
      <w:r w:rsidRPr="009605B7">
        <w:rPr>
          <w:lang w:val="en-NZ"/>
        </w:rPr>
        <w:t xml:space="preserve"> Model to Clinical Practice </w:t>
      </w:r>
      <w:r w:rsidRPr="009605B7">
        <w:rPr>
          <w:lang w:val="en-NZ"/>
        </w:rPr>
        <w:fldChar w:fldCharType="begin"/>
      </w:r>
      <w:r w:rsidRPr="009605B7">
        <w:rPr>
          <w:lang w:val="en-NZ"/>
        </w:rPr>
        <w:instrText xml:space="preserve"> ADDIN ZOTERO_ITEM CSL_CITATION {"citationID":"1nhTPq3R","properties":{"formattedCitation":"(The University of Otago, 2022)","plainCitation":"(The University of Otago, 2022)","noteIndex":0},"citationItems":[{"id":1126,"uris":["http://zotero.org/groups/5078394/items/YWFHGAGY"],"itemData":{"id":1126,"type":"webpage","abstract":"An evidence-based framework for enhancing clinical assessment skills with Māori patients.","language":"en","note":"Last Modified: 2024-01-24T11:10:17+13:00","title":"MIHI 501 ANZCA: Application of Hui Process/Meihana Model to the Australian and New Zealand College of Anaesthetists 2021","URL":"https://www.otago.ac.nz/continuingeducation/mihi-501-and-mihi-online-courses","author":[{"family":"The University of Otago","given":""}],"accessed":{"date-parts":[["2024",1,26]]},"issued":{"date-parts":[["2022",11,1]]}}}],"schema":"https://github.com/citation-style-language/schema/raw/master/csl-citation.json"} </w:instrText>
      </w:r>
      <w:r w:rsidRPr="009605B7">
        <w:rPr>
          <w:lang w:val="en-NZ"/>
        </w:rPr>
        <w:fldChar w:fldCharType="separate"/>
      </w:r>
      <w:r w:rsidRPr="009605B7">
        <w:rPr>
          <w:lang w:val="en-NZ"/>
        </w:rPr>
        <w:t>(The University of Otago, 2022)</w:t>
      </w:r>
      <w:r w:rsidRPr="009605B7">
        <w:rPr>
          <w:lang w:val="en-NZ"/>
        </w:rPr>
        <w:fldChar w:fldCharType="end"/>
      </w:r>
      <w:r w:rsidRPr="009605B7">
        <w:rPr>
          <w:lang w:val="en-NZ"/>
        </w:rPr>
        <w:t>.</w:t>
      </w:r>
    </w:p>
    <w:p w14:paraId="243167BF" w14:textId="77777777" w:rsidR="009605B7" w:rsidRDefault="009605B7" w:rsidP="002B0407">
      <w:pPr>
        <w:rPr>
          <w:lang w:val="en-NZ"/>
        </w:rPr>
      </w:pPr>
    </w:p>
    <w:p w14:paraId="77FCA484" w14:textId="77777777" w:rsidR="006F52AE" w:rsidRPr="006F52AE" w:rsidRDefault="006F52AE" w:rsidP="006F52AE">
      <w:pPr>
        <w:pStyle w:val="Heading1"/>
        <w:numPr>
          <w:ilvl w:val="0"/>
          <w:numId w:val="0"/>
        </w:numPr>
        <w:ind w:left="432" w:hanging="432"/>
      </w:pPr>
      <w:bookmarkStart w:id="37" w:name="_Toc143088625"/>
      <w:bookmarkStart w:id="38" w:name="_Toc161403301"/>
      <w:bookmarkStart w:id="39" w:name="_Toc167269277"/>
      <w:r w:rsidRPr="006F52AE">
        <w:lastRenderedPageBreak/>
        <w:t>References</w:t>
      </w:r>
      <w:bookmarkEnd w:id="37"/>
      <w:bookmarkEnd w:id="38"/>
      <w:bookmarkEnd w:id="39"/>
    </w:p>
    <w:p w14:paraId="324053C4" w14:textId="77777777" w:rsidR="006F52AE" w:rsidRPr="006F52AE" w:rsidRDefault="006F52AE" w:rsidP="006F52AE">
      <w:pPr>
        <w:rPr>
          <w:lang w:val="en-NZ"/>
        </w:rPr>
      </w:pPr>
      <w:r w:rsidRPr="006F52AE">
        <w:rPr>
          <w:lang w:val="en-NZ"/>
        </w:rPr>
        <w:fldChar w:fldCharType="begin"/>
      </w:r>
      <w:r w:rsidRPr="006F52AE">
        <w:rPr>
          <w:lang w:val="en-NZ"/>
        </w:rPr>
        <w:instrText xml:space="preserve"> ADDIN ZOTERO_BIBL {"uncited":[],"omitted":[],"custom":[]} CSL_BIBLIOGRAPHY </w:instrText>
      </w:r>
      <w:r w:rsidRPr="006F52AE">
        <w:rPr>
          <w:lang w:val="en-NZ"/>
        </w:rPr>
        <w:fldChar w:fldCharType="separate"/>
      </w:r>
      <w:r w:rsidRPr="006F52AE">
        <w:rPr>
          <w:lang w:val="en-NZ"/>
        </w:rPr>
        <w:t xml:space="preserve">Armstrong, B. K. (2004). How sun exposure causes skin cancer: An epidemiological perspective. In D. Hill, J. M. Elwood, &amp; D. R. English (Eds.), </w:t>
      </w:r>
      <w:r w:rsidRPr="006F52AE">
        <w:rPr>
          <w:i/>
          <w:iCs/>
          <w:lang w:val="en-NZ"/>
        </w:rPr>
        <w:t>Prevention of Skin Cancer</w:t>
      </w:r>
      <w:r w:rsidRPr="006F52AE">
        <w:rPr>
          <w:lang w:val="en-NZ"/>
        </w:rPr>
        <w:t xml:space="preserve"> (pp. 89–116). Springer Netherlands. https://doi.org/10.1007/978-94-017-0511-0_6</w:t>
      </w:r>
    </w:p>
    <w:p w14:paraId="68DA4AC3" w14:textId="77777777" w:rsidR="006F52AE" w:rsidRPr="006F52AE" w:rsidRDefault="006F52AE" w:rsidP="006F52AE">
      <w:pPr>
        <w:rPr>
          <w:lang w:val="en-NZ"/>
        </w:rPr>
      </w:pPr>
      <w:r w:rsidRPr="006F52AE">
        <w:rPr>
          <w:lang w:val="en-NZ"/>
        </w:rPr>
        <w:t xml:space="preserve">Arnold, M., Singh, D., Laversanne, M., Vignat, J., Vaccarella, S., Meheus, F., Cust, A. E., de Vries, E., Whiteman, D. C., &amp; Bray, F. (2022). Global Burden of Cutaneous Melanoma in 2020 and Projections to 2040. </w:t>
      </w:r>
      <w:r w:rsidRPr="006F52AE">
        <w:rPr>
          <w:i/>
          <w:iCs/>
          <w:lang w:val="en-NZ"/>
        </w:rPr>
        <w:t>JAMA Dermatology</w:t>
      </w:r>
      <w:r w:rsidRPr="006F52AE">
        <w:rPr>
          <w:lang w:val="en-NZ"/>
        </w:rPr>
        <w:t xml:space="preserve">, </w:t>
      </w:r>
      <w:r w:rsidRPr="006F52AE">
        <w:rPr>
          <w:i/>
          <w:iCs/>
          <w:lang w:val="en-NZ"/>
        </w:rPr>
        <w:t>158</w:t>
      </w:r>
      <w:r w:rsidRPr="006F52AE">
        <w:rPr>
          <w:lang w:val="en-NZ"/>
        </w:rPr>
        <w:t>(5), 495–503. https://doi.org/10.1001/jamadermatol.2022.0160</w:t>
      </w:r>
    </w:p>
    <w:p w14:paraId="1972FC66" w14:textId="77777777" w:rsidR="006F52AE" w:rsidRPr="006F52AE" w:rsidRDefault="006F52AE" w:rsidP="006F52AE">
      <w:pPr>
        <w:rPr>
          <w:lang w:val="en-NZ"/>
        </w:rPr>
      </w:pPr>
      <w:r w:rsidRPr="006F52AE">
        <w:rPr>
          <w:lang w:val="en-NZ"/>
        </w:rPr>
        <w:t xml:space="preserve">Beckett, D. M., Broadbent, J. M., Loch, C., Mahoney, E. K., Drummond, B. K., &amp; Wheeler, B. J. (2022). Dental Consequences of Vitamin D Deficiency during Pregnancy and Early Infancy—An Observational Study. </w:t>
      </w:r>
      <w:r w:rsidRPr="006F52AE">
        <w:rPr>
          <w:i/>
          <w:iCs/>
          <w:lang w:val="en-NZ"/>
        </w:rPr>
        <w:t>International Journal of Environmental Research and Public Health</w:t>
      </w:r>
      <w:r w:rsidRPr="006F52AE">
        <w:rPr>
          <w:lang w:val="en-NZ"/>
        </w:rPr>
        <w:t xml:space="preserve">, </w:t>
      </w:r>
      <w:r w:rsidRPr="006F52AE">
        <w:rPr>
          <w:i/>
          <w:iCs/>
          <w:lang w:val="en-NZ"/>
        </w:rPr>
        <w:t>19</w:t>
      </w:r>
      <w:r w:rsidRPr="006F52AE">
        <w:rPr>
          <w:lang w:val="en-NZ"/>
        </w:rPr>
        <w:t>(4). https://doi.org/10.3390/ijerph19041932</w:t>
      </w:r>
    </w:p>
    <w:p w14:paraId="6B499B8F" w14:textId="77777777" w:rsidR="006F52AE" w:rsidRPr="006F52AE" w:rsidRDefault="006F52AE" w:rsidP="006F52AE">
      <w:pPr>
        <w:rPr>
          <w:lang w:val="en-NZ"/>
        </w:rPr>
      </w:pPr>
      <w:r w:rsidRPr="006F52AE">
        <w:rPr>
          <w:lang w:val="en-NZ"/>
        </w:rPr>
        <w:t xml:space="preserve">Best Practice Advocacy Centre New Zealand. (2016). Vitamin D and calcium supplementation in primary care: An update. </w:t>
      </w:r>
      <w:r w:rsidRPr="006F52AE">
        <w:rPr>
          <w:i/>
          <w:iCs/>
          <w:lang w:val="en-NZ"/>
        </w:rPr>
        <w:t>Best Practice Journal</w:t>
      </w:r>
      <w:r w:rsidRPr="006F52AE">
        <w:rPr>
          <w:lang w:val="en-NZ"/>
        </w:rPr>
        <w:t xml:space="preserve">, </w:t>
      </w:r>
      <w:r w:rsidRPr="006F52AE">
        <w:rPr>
          <w:i/>
          <w:iCs/>
          <w:lang w:val="en-NZ"/>
        </w:rPr>
        <w:t>76</w:t>
      </w:r>
      <w:r w:rsidRPr="006F52AE">
        <w:rPr>
          <w:lang w:val="en-NZ"/>
        </w:rPr>
        <w:t>. https://bpac.org.nz/BPJ/2016/July/docs/BPJ76-supplementation.pdf</w:t>
      </w:r>
    </w:p>
    <w:p w14:paraId="01E1BA3C" w14:textId="77777777" w:rsidR="006F52AE" w:rsidRPr="006F52AE" w:rsidRDefault="006F52AE" w:rsidP="006F52AE">
      <w:pPr>
        <w:rPr>
          <w:lang w:val="en-NZ"/>
        </w:rPr>
      </w:pPr>
      <w:r w:rsidRPr="006F52AE">
        <w:rPr>
          <w:lang w:val="en-NZ"/>
        </w:rPr>
        <w:t xml:space="preserve">Bi, W. G., &amp; Wei, S. Q. (2018). Vitamin D supplementation during pregnancy and offspring mortality and morbidity: A systematic review. </w:t>
      </w:r>
      <w:r w:rsidRPr="006F52AE">
        <w:rPr>
          <w:i/>
          <w:iCs/>
          <w:lang w:val="en-NZ"/>
        </w:rPr>
        <w:t>American Journal of Obstetrics and Gynecology</w:t>
      </w:r>
      <w:r w:rsidRPr="006F52AE">
        <w:rPr>
          <w:lang w:val="en-NZ"/>
        </w:rPr>
        <w:t xml:space="preserve">, </w:t>
      </w:r>
      <w:r w:rsidRPr="006F52AE">
        <w:rPr>
          <w:i/>
          <w:iCs/>
          <w:lang w:val="en-NZ"/>
        </w:rPr>
        <w:t>218</w:t>
      </w:r>
      <w:r w:rsidRPr="006F52AE">
        <w:rPr>
          <w:lang w:val="en-NZ"/>
        </w:rPr>
        <w:t>(1), S442. Embase.</w:t>
      </w:r>
    </w:p>
    <w:p w14:paraId="4BB237E2" w14:textId="77777777" w:rsidR="006F52AE" w:rsidRPr="006F52AE" w:rsidRDefault="006F52AE" w:rsidP="006F52AE">
      <w:pPr>
        <w:rPr>
          <w:lang w:val="en-NZ"/>
        </w:rPr>
      </w:pPr>
      <w:r w:rsidRPr="006F52AE">
        <w:rPr>
          <w:lang w:val="en-NZ"/>
        </w:rPr>
        <w:t xml:space="preserve">Bolland, M. J., Grey, A., Davidson, J. S., Cundy, T., &amp; Reid, I. R. (2012). </w:t>
      </w:r>
      <w:r w:rsidRPr="006F52AE">
        <w:rPr>
          <w:i/>
          <w:iCs/>
          <w:lang w:val="en-NZ"/>
        </w:rPr>
        <w:t>Should measurement of vitamin D and treatment of vitamin D insufficiency be routine in New Zealand?</w:t>
      </w:r>
      <w:r w:rsidRPr="006F52AE">
        <w:rPr>
          <w:lang w:val="en-NZ"/>
        </w:rPr>
        <w:t xml:space="preserve"> </w:t>
      </w:r>
      <w:r w:rsidRPr="006F52AE">
        <w:rPr>
          <w:i/>
          <w:iCs/>
          <w:lang w:val="en-NZ"/>
        </w:rPr>
        <w:t>125</w:t>
      </w:r>
      <w:r w:rsidRPr="006F52AE">
        <w:rPr>
          <w:lang w:val="en-NZ"/>
        </w:rPr>
        <w:t>(1349).</w:t>
      </w:r>
    </w:p>
    <w:p w14:paraId="0F16B9C4" w14:textId="77777777" w:rsidR="006F52AE" w:rsidRPr="006F52AE" w:rsidRDefault="006F52AE" w:rsidP="006F52AE">
      <w:pPr>
        <w:rPr>
          <w:lang w:val="en-NZ"/>
        </w:rPr>
      </w:pPr>
      <w:r w:rsidRPr="006F52AE">
        <w:rPr>
          <w:lang w:val="en-NZ"/>
        </w:rPr>
        <w:t xml:space="preserve">Camargo, C. A., Ingham, T., Wickens, K., Thadhani, R. I., Silvers, K. M., Epton, M. J., Town, G. I., Espinola, J. A., &amp; Crane, J. (2010). Vitamin D status of newborns in New Zealand. </w:t>
      </w:r>
      <w:r w:rsidRPr="006F52AE">
        <w:rPr>
          <w:i/>
          <w:iCs/>
          <w:lang w:val="en-NZ"/>
        </w:rPr>
        <w:t>The British Journal of Nutrition</w:t>
      </w:r>
      <w:r w:rsidRPr="006F52AE">
        <w:rPr>
          <w:lang w:val="en-NZ"/>
        </w:rPr>
        <w:t xml:space="preserve">, </w:t>
      </w:r>
      <w:r w:rsidRPr="006F52AE">
        <w:rPr>
          <w:i/>
          <w:iCs/>
          <w:lang w:val="en-NZ"/>
        </w:rPr>
        <w:t>104</w:t>
      </w:r>
      <w:r w:rsidRPr="006F52AE">
        <w:rPr>
          <w:lang w:val="en-NZ"/>
        </w:rPr>
        <w:t>(7), 1051–1057. Natural Science Collection; ProQuest One Academic. https://doi.org/10.1017/S0007114510001674</w:t>
      </w:r>
    </w:p>
    <w:p w14:paraId="75E14474" w14:textId="77777777" w:rsidR="006F52AE" w:rsidRPr="006F52AE" w:rsidRDefault="006F52AE" w:rsidP="006F52AE">
      <w:pPr>
        <w:rPr>
          <w:lang w:val="en-NZ"/>
        </w:rPr>
      </w:pPr>
      <w:r w:rsidRPr="006F52AE">
        <w:rPr>
          <w:lang w:val="en-NZ"/>
        </w:rPr>
        <w:t xml:space="preserve">Colonetti, T., Paulino, A. S., Sartor, J. P., Grande, A. J., Colonetti, L., &amp; da Rosa, M. I. (2022). Vitamin D supplementation during pregnancy to prevent vitamin D deficiency in newborns: A systematic review and meta-analysis. </w:t>
      </w:r>
      <w:r w:rsidRPr="006F52AE">
        <w:rPr>
          <w:i/>
          <w:iCs/>
          <w:lang w:val="en-NZ"/>
        </w:rPr>
        <w:t>Revista Brasileira de Saude Materno Infantil</w:t>
      </w:r>
      <w:r w:rsidRPr="006F52AE">
        <w:rPr>
          <w:lang w:val="en-NZ"/>
        </w:rPr>
        <w:t xml:space="preserve">, </w:t>
      </w:r>
      <w:r w:rsidRPr="006F52AE">
        <w:rPr>
          <w:i/>
          <w:iCs/>
          <w:lang w:val="en-NZ"/>
        </w:rPr>
        <w:t>22</w:t>
      </w:r>
      <w:r w:rsidRPr="006F52AE">
        <w:rPr>
          <w:lang w:val="en-NZ"/>
        </w:rPr>
        <w:t>(2), 199–211. Embase. https://doi.org/10.1590/1806-9304202200020002</w:t>
      </w:r>
    </w:p>
    <w:p w14:paraId="5E0C1571" w14:textId="77777777" w:rsidR="006F52AE" w:rsidRPr="006F52AE" w:rsidRDefault="006F52AE" w:rsidP="006F52AE">
      <w:pPr>
        <w:rPr>
          <w:lang w:val="en-NZ"/>
        </w:rPr>
      </w:pPr>
      <w:r w:rsidRPr="006F52AE">
        <w:rPr>
          <w:lang w:val="en-NZ"/>
        </w:rPr>
        <w:t xml:space="preserve">Ekeroma, A. J., Camargo, J., Carlos A., Scragg, R., Wall, C., Stewart, A., Mitchell, E., Crane, J., &amp; Grant, C. C. (2015). Predictors of vitamin D status in pregnant women in New Zealand. </w:t>
      </w:r>
      <w:r w:rsidRPr="006F52AE">
        <w:rPr>
          <w:i/>
          <w:iCs/>
          <w:lang w:val="en-NZ"/>
        </w:rPr>
        <w:t>New Zealand Medical Journal</w:t>
      </w:r>
      <w:r w:rsidRPr="006F52AE">
        <w:rPr>
          <w:lang w:val="en-NZ"/>
        </w:rPr>
        <w:t xml:space="preserve">, </w:t>
      </w:r>
      <w:r w:rsidRPr="006F52AE">
        <w:rPr>
          <w:i/>
          <w:iCs/>
          <w:lang w:val="en-NZ"/>
        </w:rPr>
        <w:t>128</w:t>
      </w:r>
      <w:r w:rsidRPr="006F52AE">
        <w:rPr>
          <w:lang w:val="en-NZ"/>
        </w:rPr>
        <w:t>(1422), 24–34.</w:t>
      </w:r>
    </w:p>
    <w:p w14:paraId="109F8145" w14:textId="77777777" w:rsidR="006F52AE" w:rsidRPr="006F52AE" w:rsidRDefault="006F52AE" w:rsidP="006F52AE">
      <w:pPr>
        <w:rPr>
          <w:lang w:val="en-NZ"/>
        </w:rPr>
      </w:pPr>
      <w:r w:rsidRPr="006F52AE">
        <w:rPr>
          <w:lang w:val="en-NZ"/>
        </w:rPr>
        <w:t xml:space="preserve">Fang, K., He, Y., Mu, M., &amp; Liu, K. (2021). Maternal vitamin D deficiency during pregnancy and low birth weight: A systematic review and meta-analysis. </w:t>
      </w:r>
      <w:r w:rsidRPr="006F52AE">
        <w:rPr>
          <w:i/>
          <w:iCs/>
          <w:lang w:val="en-NZ"/>
        </w:rPr>
        <w:t>The Journal of Maternal-Fetal &amp; Neonatal Medicine : The Official Journal of the European Association of Perinatal Medicine, the Federation of Asia and Oceania Perinatal Societies, the International Society of Perinatal Obstetricians</w:t>
      </w:r>
      <w:r w:rsidRPr="006F52AE">
        <w:rPr>
          <w:lang w:val="en-NZ"/>
        </w:rPr>
        <w:t xml:space="preserve">, </w:t>
      </w:r>
      <w:r w:rsidRPr="006F52AE">
        <w:rPr>
          <w:i/>
          <w:iCs/>
          <w:lang w:val="en-NZ"/>
        </w:rPr>
        <w:t>34</w:t>
      </w:r>
      <w:r w:rsidRPr="006F52AE">
        <w:rPr>
          <w:lang w:val="en-NZ"/>
        </w:rPr>
        <w:t>(7), 1167–1173. https://doi.org/10.1080/14767058.2019.1623780</w:t>
      </w:r>
    </w:p>
    <w:p w14:paraId="522EF926" w14:textId="77777777" w:rsidR="006F52AE" w:rsidRPr="006F52AE" w:rsidRDefault="006F52AE" w:rsidP="006F52AE">
      <w:pPr>
        <w:rPr>
          <w:lang w:val="en-NZ"/>
        </w:rPr>
      </w:pPr>
      <w:r w:rsidRPr="006F52AE">
        <w:rPr>
          <w:lang w:val="en-NZ"/>
        </w:rPr>
        <w:t xml:space="preserve">FSANZ. (2021). </w:t>
      </w:r>
      <w:r w:rsidRPr="006F52AE">
        <w:rPr>
          <w:i/>
          <w:iCs/>
          <w:lang w:val="en-NZ"/>
        </w:rPr>
        <w:t>Australia and New Zealand Food Standards Code</w:t>
      </w:r>
      <w:r w:rsidRPr="006F52AE">
        <w:rPr>
          <w:lang w:val="en-NZ"/>
        </w:rPr>
        <w:t xml:space="preserve"> (1.3.2; Version 124).</w:t>
      </w:r>
    </w:p>
    <w:p w14:paraId="6F1912C6" w14:textId="77777777" w:rsidR="006F52AE" w:rsidRPr="006F52AE" w:rsidRDefault="006F52AE" w:rsidP="006F52AE">
      <w:pPr>
        <w:rPr>
          <w:lang w:val="en-NZ"/>
        </w:rPr>
      </w:pPr>
      <w:r w:rsidRPr="006F52AE">
        <w:rPr>
          <w:lang w:val="en-NZ"/>
        </w:rPr>
        <w:t xml:space="preserve">Grant, C. C., Crane, J., Mitchell, E. A., Sinclair, J., Stewart, A., Milne, T., Knight, J., Gilchrist, C., &amp; Camargo, C. A. (2016). Vitamin D supplementation during pregnancy and infancy reduces aeroallergen sensitization: A randomized controlled trial. </w:t>
      </w:r>
      <w:r w:rsidRPr="006F52AE">
        <w:rPr>
          <w:i/>
          <w:iCs/>
          <w:lang w:val="en-NZ"/>
        </w:rPr>
        <w:t>Allergy (Copenhagen)</w:t>
      </w:r>
      <w:r w:rsidRPr="006F52AE">
        <w:rPr>
          <w:lang w:val="en-NZ"/>
        </w:rPr>
        <w:t xml:space="preserve">, </w:t>
      </w:r>
      <w:r w:rsidRPr="006F52AE">
        <w:rPr>
          <w:i/>
          <w:iCs/>
          <w:lang w:val="en-NZ"/>
        </w:rPr>
        <w:t>71</w:t>
      </w:r>
      <w:r w:rsidRPr="006F52AE">
        <w:rPr>
          <w:lang w:val="en-NZ"/>
        </w:rPr>
        <w:t>(9), 1325–1334. https://doi.org/10.1111/all.12909</w:t>
      </w:r>
    </w:p>
    <w:p w14:paraId="2FF22C51" w14:textId="77777777" w:rsidR="006F52AE" w:rsidRPr="006F52AE" w:rsidRDefault="006F52AE" w:rsidP="006F52AE">
      <w:pPr>
        <w:rPr>
          <w:lang w:val="en-NZ"/>
        </w:rPr>
      </w:pPr>
      <w:r w:rsidRPr="006F52AE">
        <w:rPr>
          <w:lang w:val="en-NZ"/>
        </w:rPr>
        <w:lastRenderedPageBreak/>
        <w:t xml:space="preserve">Grant, C. C., Stewart, A. W., Scragg, R., Milne, T., Rowden, J., Ekeroma, A., Wall, C., Mitchell, E. A., Crengle, S., Trenholme, A., Crane, J., &amp; Camargo, J., Carlos A. (2014). Vitamin D during pregnancy and infancy and infant serum 25-hydroxyvitamin D concentration. </w:t>
      </w:r>
      <w:r w:rsidRPr="006F52AE">
        <w:rPr>
          <w:i/>
          <w:iCs/>
          <w:lang w:val="en-NZ"/>
        </w:rPr>
        <w:t>Pediatrics (Evanston)</w:t>
      </w:r>
      <w:r w:rsidRPr="006F52AE">
        <w:rPr>
          <w:lang w:val="en-NZ"/>
        </w:rPr>
        <w:t xml:space="preserve">, </w:t>
      </w:r>
      <w:r w:rsidRPr="006F52AE">
        <w:rPr>
          <w:i/>
          <w:iCs/>
          <w:lang w:val="en-NZ"/>
        </w:rPr>
        <w:t>133</w:t>
      </w:r>
      <w:r w:rsidRPr="006F52AE">
        <w:rPr>
          <w:lang w:val="en-NZ"/>
        </w:rPr>
        <w:t>(1), e143–e153. https://doi.org/10.1542/peds.2013-2602</w:t>
      </w:r>
    </w:p>
    <w:p w14:paraId="789AF8F6" w14:textId="77777777" w:rsidR="006F52AE" w:rsidRPr="006F52AE" w:rsidRDefault="006F52AE" w:rsidP="006F52AE">
      <w:pPr>
        <w:rPr>
          <w:lang w:val="en-NZ"/>
        </w:rPr>
      </w:pPr>
      <w:r w:rsidRPr="006F52AE">
        <w:rPr>
          <w:lang w:val="en-NZ"/>
        </w:rPr>
        <w:t xml:space="preserve">Grant, C., Wall, C., Crengle, S., &amp; Scragg, R. (2009). Vitamin D deficiency in early childhood: Prevalent in the sunny South Pacific. </w:t>
      </w:r>
      <w:r w:rsidRPr="006F52AE">
        <w:rPr>
          <w:i/>
          <w:iCs/>
          <w:lang w:val="en-NZ"/>
        </w:rPr>
        <w:t>Public Health Nutrition</w:t>
      </w:r>
      <w:r w:rsidRPr="006F52AE">
        <w:rPr>
          <w:lang w:val="en-NZ"/>
        </w:rPr>
        <w:t xml:space="preserve">, </w:t>
      </w:r>
      <w:r w:rsidRPr="006F52AE">
        <w:rPr>
          <w:i/>
          <w:iCs/>
          <w:lang w:val="en-NZ"/>
        </w:rPr>
        <w:t>12(10)</w:t>
      </w:r>
      <w:r w:rsidRPr="006F52AE">
        <w:rPr>
          <w:lang w:val="en-NZ"/>
        </w:rPr>
        <w:t>, 1893–1901.</w:t>
      </w:r>
    </w:p>
    <w:p w14:paraId="6C4DF7E4" w14:textId="77777777" w:rsidR="006F52AE" w:rsidRPr="006F52AE" w:rsidRDefault="006F52AE" w:rsidP="006F52AE">
      <w:pPr>
        <w:rPr>
          <w:lang w:val="en-NZ"/>
        </w:rPr>
      </w:pPr>
      <w:r w:rsidRPr="006F52AE">
        <w:rPr>
          <w:lang w:val="en-NZ"/>
        </w:rPr>
        <w:t xml:space="preserve">Greer, F. (2004). </w:t>
      </w:r>
      <w:r w:rsidRPr="006F52AE">
        <w:rPr>
          <w:i/>
          <w:iCs/>
          <w:lang w:val="en-NZ"/>
        </w:rPr>
        <w:t>Issues in establishing vitamin D recommendations for infants and children. American Journal of Clinical Nutrition</w:t>
      </w:r>
      <w:r w:rsidRPr="006F52AE">
        <w:rPr>
          <w:lang w:val="en-NZ"/>
        </w:rPr>
        <w:t xml:space="preserve">. </w:t>
      </w:r>
      <w:r w:rsidRPr="006F52AE">
        <w:rPr>
          <w:i/>
          <w:iCs/>
          <w:lang w:val="en-NZ"/>
        </w:rPr>
        <w:t>80(suppl)</w:t>
      </w:r>
      <w:r w:rsidRPr="006F52AE">
        <w:rPr>
          <w:lang w:val="en-NZ"/>
        </w:rPr>
        <w:t>, 1759S-62S.</w:t>
      </w:r>
    </w:p>
    <w:p w14:paraId="062BCFDB" w14:textId="77777777" w:rsidR="006F52AE" w:rsidRPr="006F52AE" w:rsidRDefault="006F52AE" w:rsidP="006F52AE">
      <w:pPr>
        <w:rPr>
          <w:lang w:val="en-NZ"/>
        </w:rPr>
      </w:pPr>
      <w:r w:rsidRPr="006F52AE">
        <w:rPr>
          <w:lang w:val="en-NZ"/>
        </w:rPr>
        <w:t xml:space="preserve">Haggerty, L. (2011). Maternal supplementation for prevention and treatment of vitamin D deficiency in exclusively breastfed infants. </w:t>
      </w:r>
      <w:r w:rsidRPr="006F52AE">
        <w:rPr>
          <w:i/>
          <w:iCs/>
          <w:lang w:val="en-NZ"/>
        </w:rPr>
        <w:t>Breastfeeding Medicine</w:t>
      </w:r>
      <w:r w:rsidRPr="006F52AE">
        <w:rPr>
          <w:lang w:val="en-NZ"/>
        </w:rPr>
        <w:t xml:space="preserve">, </w:t>
      </w:r>
      <w:r w:rsidRPr="006F52AE">
        <w:rPr>
          <w:i/>
          <w:iCs/>
          <w:lang w:val="en-NZ"/>
        </w:rPr>
        <w:t>6(3)</w:t>
      </w:r>
      <w:r w:rsidRPr="006F52AE">
        <w:rPr>
          <w:lang w:val="en-NZ"/>
        </w:rPr>
        <w:t>, 137–144.</w:t>
      </w:r>
    </w:p>
    <w:p w14:paraId="59D1B8EF" w14:textId="77777777" w:rsidR="006F52AE" w:rsidRPr="006F52AE" w:rsidRDefault="006F52AE" w:rsidP="006F52AE">
      <w:pPr>
        <w:rPr>
          <w:lang w:val="en-NZ"/>
        </w:rPr>
      </w:pPr>
      <w:r w:rsidRPr="006F52AE">
        <w:rPr>
          <w:lang w:val="en-NZ"/>
        </w:rPr>
        <w:t xml:space="preserve">Hollis, B. W. (2007). Vitamin D Requirement During Pregnancy and Lactation. </w:t>
      </w:r>
      <w:r w:rsidRPr="006F52AE">
        <w:rPr>
          <w:i/>
          <w:iCs/>
          <w:lang w:val="en-NZ"/>
        </w:rPr>
        <w:t>Journal of Bone and Mineral Research</w:t>
      </w:r>
      <w:r w:rsidRPr="006F52AE">
        <w:rPr>
          <w:lang w:val="en-NZ"/>
        </w:rPr>
        <w:t xml:space="preserve">, </w:t>
      </w:r>
      <w:r w:rsidRPr="006F52AE">
        <w:rPr>
          <w:i/>
          <w:iCs/>
          <w:lang w:val="en-NZ"/>
        </w:rPr>
        <w:t>22</w:t>
      </w:r>
      <w:r w:rsidRPr="006F52AE">
        <w:rPr>
          <w:lang w:val="en-NZ"/>
        </w:rPr>
        <w:t>, V39-44.</w:t>
      </w:r>
    </w:p>
    <w:p w14:paraId="5DB08163" w14:textId="77777777" w:rsidR="006F52AE" w:rsidRPr="006F52AE" w:rsidRDefault="006F52AE" w:rsidP="006F52AE">
      <w:pPr>
        <w:rPr>
          <w:lang w:val="en-NZ"/>
        </w:rPr>
      </w:pPr>
      <w:r w:rsidRPr="006F52AE">
        <w:rPr>
          <w:lang w:val="en-NZ"/>
        </w:rPr>
        <w:t xml:space="preserve">Houghton, L. A., Szymlek, E., Gray, A., Ferguson, E., Deng, X., &amp; Heath, A.-L. M. (2010). Predictors of vitamin D status and its association with parathyroid hormone in young New Zealand children. </w:t>
      </w:r>
      <w:r w:rsidRPr="006F52AE">
        <w:rPr>
          <w:i/>
          <w:iCs/>
          <w:lang w:val="en-NZ"/>
        </w:rPr>
        <w:t>American Journal of Clinical Nutrition</w:t>
      </w:r>
      <w:r w:rsidRPr="006F52AE">
        <w:rPr>
          <w:lang w:val="en-NZ"/>
        </w:rPr>
        <w:t xml:space="preserve">, </w:t>
      </w:r>
      <w:r w:rsidRPr="006F52AE">
        <w:rPr>
          <w:i/>
          <w:iCs/>
          <w:lang w:val="en-NZ"/>
        </w:rPr>
        <w:t>90</w:t>
      </w:r>
      <w:r w:rsidRPr="006F52AE">
        <w:rPr>
          <w:lang w:val="en-NZ"/>
        </w:rPr>
        <w:t>, 69–76.</w:t>
      </w:r>
    </w:p>
    <w:p w14:paraId="5760A7A1" w14:textId="77777777" w:rsidR="006F52AE" w:rsidRPr="006F52AE" w:rsidRDefault="006F52AE" w:rsidP="006F52AE">
      <w:pPr>
        <w:rPr>
          <w:lang w:val="en-NZ"/>
        </w:rPr>
      </w:pPr>
      <w:r w:rsidRPr="006F52AE">
        <w:rPr>
          <w:lang w:val="en-NZ"/>
        </w:rPr>
        <w:t xml:space="preserve">Hu, K.-L., Zhang, C.-X., Chen, P., Zhang, D., &amp; Hunt, S. (2022). Vitamin D Levels in Early and Middle Pregnancy and Preeclampsia, a Systematic Review and Meta-Analysis. </w:t>
      </w:r>
      <w:r w:rsidRPr="006F52AE">
        <w:rPr>
          <w:i/>
          <w:iCs/>
          <w:lang w:val="en-NZ"/>
        </w:rPr>
        <w:t>Nutrients</w:t>
      </w:r>
      <w:r w:rsidRPr="006F52AE">
        <w:rPr>
          <w:lang w:val="en-NZ"/>
        </w:rPr>
        <w:t xml:space="preserve">, </w:t>
      </w:r>
      <w:r w:rsidRPr="006F52AE">
        <w:rPr>
          <w:i/>
          <w:iCs/>
          <w:lang w:val="en-NZ"/>
        </w:rPr>
        <w:t>14</w:t>
      </w:r>
      <w:r w:rsidRPr="006F52AE">
        <w:rPr>
          <w:lang w:val="en-NZ"/>
        </w:rPr>
        <w:t>(5). https://doi.org/10.3390/nu14050999</w:t>
      </w:r>
    </w:p>
    <w:p w14:paraId="320B9E36" w14:textId="77777777" w:rsidR="006F52AE" w:rsidRPr="006F52AE" w:rsidRDefault="006F52AE" w:rsidP="006F52AE">
      <w:pPr>
        <w:rPr>
          <w:lang w:val="en-NZ"/>
        </w:rPr>
      </w:pPr>
      <w:r w:rsidRPr="006F52AE">
        <w:rPr>
          <w:lang w:val="en-NZ"/>
        </w:rPr>
        <w:t xml:space="preserve">IARC. (2012). </w:t>
      </w:r>
      <w:r w:rsidRPr="006F52AE">
        <w:rPr>
          <w:i/>
          <w:iCs/>
          <w:lang w:val="en-NZ"/>
        </w:rPr>
        <w:t>Monographs on the Evaluation of Carcinogenic Risks to Humans: A review of human carcinogens: Radiation</w:t>
      </w:r>
      <w:r w:rsidRPr="006F52AE">
        <w:rPr>
          <w:lang w:val="en-NZ"/>
        </w:rPr>
        <w:t xml:space="preserve"> (Vol. 100D). International Agency for Research on Cancer. </w:t>
      </w:r>
    </w:p>
    <w:p w14:paraId="02C1457A" w14:textId="77777777" w:rsidR="006F52AE" w:rsidRPr="006F52AE" w:rsidRDefault="006F52AE" w:rsidP="006F52AE">
      <w:pPr>
        <w:rPr>
          <w:lang w:val="en-NZ"/>
        </w:rPr>
      </w:pPr>
      <w:r w:rsidRPr="006F52AE">
        <w:rPr>
          <w:lang w:val="en-NZ"/>
        </w:rPr>
        <w:t xml:space="preserve">Institute of Medicine. (2011). </w:t>
      </w:r>
      <w:r w:rsidRPr="006F52AE">
        <w:rPr>
          <w:i/>
          <w:iCs/>
          <w:lang w:val="en-NZ"/>
        </w:rPr>
        <w:t>Dietary Reference Intakes for Calcium and Vitamin D.</w:t>
      </w:r>
      <w:r w:rsidRPr="006F52AE">
        <w:rPr>
          <w:lang w:val="en-NZ"/>
        </w:rPr>
        <w:t xml:space="preserve"> The National Academies Press. https://doi.org/10.17226/13050.</w:t>
      </w:r>
    </w:p>
    <w:p w14:paraId="4B931437" w14:textId="77777777" w:rsidR="006F52AE" w:rsidRPr="006F52AE" w:rsidRDefault="006F52AE" w:rsidP="006F52AE">
      <w:pPr>
        <w:rPr>
          <w:lang w:val="en-NZ"/>
        </w:rPr>
      </w:pPr>
      <w:r w:rsidRPr="006F52AE">
        <w:rPr>
          <w:lang w:val="en-NZ"/>
        </w:rPr>
        <w:t xml:space="preserve">Irwinda, R., Hiksas, R., Lokeswara, A. W., &amp; Wibowo, N. (2022). Vitamin D supplementation higher than 2000 IU/day compared to lower dose on maternal-fetal outcome: Systematic review and meta-analysis. </w:t>
      </w:r>
      <w:r w:rsidRPr="006F52AE">
        <w:rPr>
          <w:i/>
          <w:iCs/>
          <w:lang w:val="en-NZ"/>
        </w:rPr>
        <w:t>Women’s Health (London, England)</w:t>
      </w:r>
      <w:r w:rsidRPr="006F52AE">
        <w:rPr>
          <w:lang w:val="en-NZ"/>
        </w:rPr>
        <w:t xml:space="preserve">, </w:t>
      </w:r>
      <w:r w:rsidRPr="006F52AE">
        <w:rPr>
          <w:i/>
          <w:iCs/>
          <w:lang w:val="en-NZ"/>
        </w:rPr>
        <w:t>18</w:t>
      </w:r>
      <w:r w:rsidRPr="006F52AE">
        <w:rPr>
          <w:lang w:val="en-NZ"/>
        </w:rPr>
        <w:t>, 17455057221111066. https://doi.org/10.1177/17455057221111066</w:t>
      </w:r>
    </w:p>
    <w:p w14:paraId="647B52FA" w14:textId="77777777" w:rsidR="006F52AE" w:rsidRPr="006F52AE" w:rsidRDefault="006F52AE" w:rsidP="006F52AE">
      <w:pPr>
        <w:rPr>
          <w:lang w:val="en-NZ"/>
        </w:rPr>
      </w:pPr>
      <w:r w:rsidRPr="006F52AE">
        <w:rPr>
          <w:lang w:val="en-NZ"/>
        </w:rPr>
        <w:t xml:space="preserve">Luo, T., Lin, Y., Lu, J., Lian, X., Guo, Y., Han, L., &amp; Guo, Y. (2022). Effects of vitamin D supplementation during pregnancy on bone health and offspring growth: A systematic review and meta-analysis of randomized controlled trials. </w:t>
      </w:r>
      <w:r w:rsidRPr="006F52AE">
        <w:rPr>
          <w:i/>
          <w:iCs/>
          <w:lang w:val="en-NZ"/>
        </w:rPr>
        <w:t>PloS One</w:t>
      </w:r>
      <w:r w:rsidRPr="006F52AE">
        <w:rPr>
          <w:lang w:val="en-NZ"/>
        </w:rPr>
        <w:t xml:space="preserve">, </w:t>
      </w:r>
      <w:r w:rsidRPr="006F52AE">
        <w:rPr>
          <w:i/>
          <w:iCs/>
          <w:lang w:val="en-NZ"/>
        </w:rPr>
        <w:t>17</w:t>
      </w:r>
      <w:r w:rsidRPr="006F52AE">
        <w:rPr>
          <w:lang w:val="en-NZ"/>
        </w:rPr>
        <w:t>(10), e0276016. https://doi.org/10.1371/journal.pone.0276016</w:t>
      </w:r>
    </w:p>
    <w:p w14:paraId="6A2B3F39" w14:textId="77777777" w:rsidR="006F52AE" w:rsidRPr="006F52AE" w:rsidRDefault="006F52AE" w:rsidP="006F52AE">
      <w:pPr>
        <w:rPr>
          <w:lang w:val="en-NZ"/>
        </w:rPr>
      </w:pPr>
      <w:r w:rsidRPr="006F52AE">
        <w:rPr>
          <w:lang w:val="en-NZ"/>
        </w:rPr>
        <w:t xml:space="preserve">Medical Council of New Zealand. (2008). </w:t>
      </w:r>
      <w:r w:rsidRPr="006F52AE">
        <w:rPr>
          <w:i/>
          <w:iCs/>
          <w:lang w:val="en-NZ"/>
        </w:rPr>
        <w:t>Best health outcomes for Māori: Practice implications</w:t>
      </w:r>
      <w:r w:rsidRPr="006F52AE">
        <w:rPr>
          <w:lang w:val="en-NZ"/>
        </w:rPr>
        <w:t xml:space="preserve">. Wellington: Medical Council of New Zealand. </w:t>
      </w:r>
    </w:p>
    <w:p w14:paraId="182557F5" w14:textId="77777777" w:rsidR="006F52AE" w:rsidRPr="006F52AE" w:rsidRDefault="006F52AE" w:rsidP="006F52AE">
      <w:pPr>
        <w:rPr>
          <w:lang w:val="en-NZ"/>
        </w:rPr>
      </w:pPr>
      <w:r w:rsidRPr="006F52AE">
        <w:rPr>
          <w:lang w:val="en-NZ"/>
        </w:rPr>
        <w:t xml:space="preserve">Medical Council of New Zealand. (2019). </w:t>
      </w:r>
      <w:r w:rsidRPr="006F52AE">
        <w:rPr>
          <w:i/>
          <w:iCs/>
          <w:lang w:val="en-NZ"/>
        </w:rPr>
        <w:t>He Ara Hauora Māori: A Pathway to Māori Health Equity</w:t>
      </w:r>
      <w:r w:rsidRPr="006F52AE">
        <w:rPr>
          <w:lang w:val="en-NZ"/>
        </w:rPr>
        <w:t>. Wellington: New Zealand Medical Council.</w:t>
      </w:r>
    </w:p>
    <w:p w14:paraId="6BAC1B35" w14:textId="77777777" w:rsidR="006F52AE" w:rsidRPr="006F52AE" w:rsidRDefault="006F52AE" w:rsidP="006F52AE">
      <w:pPr>
        <w:rPr>
          <w:lang w:val="en-NZ"/>
        </w:rPr>
      </w:pPr>
      <w:r w:rsidRPr="006F52AE">
        <w:rPr>
          <w:lang w:val="en-NZ"/>
        </w:rPr>
        <w:t xml:space="preserve">Medsafe. (2018). </w:t>
      </w:r>
      <w:r w:rsidRPr="006F52AE">
        <w:rPr>
          <w:i/>
          <w:iCs/>
          <w:lang w:val="en-NZ"/>
        </w:rPr>
        <w:t>New Zealand Data Sheet</w:t>
      </w:r>
      <w:r w:rsidRPr="006F52AE">
        <w:rPr>
          <w:lang w:val="en-NZ"/>
        </w:rPr>
        <w:t xml:space="preserve"> [dataset]. https://www.medsafe.govt.nz/profs/datasheet/v/vitd3cap.pdf</w:t>
      </w:r>
    </w:p>
    <w:p w14:paraId="449CABDA" w14:textId="77777777" w:rsidR="006F52AE" w:rsidRPr="006F52AE" w:rsidRDefault="006F52AE" w:rsidP="006F52AE">
      <w:pPr>
        <w:rPr>
          <w:lang w:val="en-NZ"/>
        </w:rPr>
      </w:pPr>
      <w:r w:rsidRPr="006F52AE">
        <w:rPr>
          <w:lang w:val="en-NZ"/>
        </w:rPr>
        <w:t xml:space="preserve">Midwifery Council of New Zealand. (ND). </w:t>
      </w:r>
      <w:r w:rsidRPr="006F52AE">
        <w:rPr>
          <w:i/>
          <w:iCs/>
          <w:lang w:val="en-NZ"/>
        </w:rPr>
        <w:t>Statement on Cultural Competence for Midwives</w:t>
      </w:r>
      <w:r w:rsidRPr="006F52AE">
        <w:rPr>
          <w:lang w:val="en-NZ"/>
        </w:rPr>
        <w:t xml:space="preserve">. Wellington: Midwifery Council. </w:t>
      </w:r>
    </w:p>
    <w:p w14:paraId="49799DBD" w14:textId="77777777" w:rsidR="006F52AE" w:rsidRPr="006F52AE" w:rsidRDefault="006F52AE" w:rsidP="006F52AE">
      <w:pPr>
        <w:rPr>
          <w:lang w:val="en-NZ"/>
        </w:rPr>
      </w:pPr>
      <w:r w:rsidRPr="006F52AE">
        <w:rPr>
          <w:lang w:val="en-NZ"/>
        </w:rPr>
        <w:t xml:space="preserve">Milajerdi, A., Abbasi, F., Mousavi, S. M., &amp; Esmaillzadeh, A. (2021). Maternal vitamin D status and risk of gestational diabetes mellitus: A systematic review and meta-analysis of prospective cohort studies. </w:t>
      </w:r>
      <w:r w:rsidRPr="006F52AE">
        <w:rPr>
          <w:i/>
          <w:iCs/>
          <w:lang w:val="en-NZ"/>
        </w:rPr>
        <w:t>Clinical Nutrition (Edinburgh, Scotland)</w:t>
      </w:r>
      <w:r w:rsidRPr="006F52AE">
        <w:rPr>
          <w:lang w:val="en-NZ"/>
        </w:rPr>
        <w:t xml:space="preserve">, </w:t>
      </w:r>
      <w:r w:rsidRPr="006F52AE">
        <w:rPr>
          <w:i/>
          <w:iCs/>
          <w:lang w:val="en-NZ"/>
        </w:rPr>
        <w:t>40</w:t>
      </w:r>
      <w:r w:rsidRPr="006F52AE">
        <w:rPr>
          <w:lang w:val="en-NZ"/>
        </w:rPr>
        <w:t>(5), 2576–2586. https://doi.org/10.1016/j.clnu.2021.03.037</w:t>
      </w:r>
    </w:p>
    <w:p w14:paraId="59A549CE" w14:textId="77777777" w:rsidR="006F52AE" w:rsidRPr="006F52AE" w:rsidRDefault="006F52AE" w:rsidP="006F52AE">
      <w:pPr>
        <w:rPr>
          <w:lang w:val="en-NZ"/>
        </w:rPr>
      </w:pPr>
      <w:r w:rsidRPr="006F52AE">
        <w:rPr>
          <w:lang w:val="en-NZ"/>
        </w:rPr>
        <w:lastRenderedPageBreak/>
        <w:t xml:space="preserve">Ministry of Health. (2003). </w:t>
      </w:r>
      <w:r w:rsidRPr="006F52AE">
        <w:rPr>
          <w:i/>
          <w:iCs/>
          <w:lang w:val="en-NZ"/>
        </w:rPr>
        <w:t>NZ Food NZ Children: Key results of the 2002 National Children’s Nutrition Survey</w:t>
      </w:r>
      <w:r w:rsidRPr="006F52AE">
        <w:rPr>
          <w:lang w:val="en-NZ"/>
        </w:rPr>
        <w:t>. Ministry of Health.</w:t>
      </w:r>
    </w:p>
    <w:p w14:paraId="350D3E20" w14:textId="77777777" w:rsidR="006F52AE" w:rsidRPr="006F52AE" w:rsidRDefault="006F52AE" w:rsidP="006F52AE">
      <w:pPr>
        <w:rPr>
          <w:lang w:val="en-NZ"/>
        </w:rPr>
      </w:pPr>
      <w:r w:rsidRPr="006F52AE">
        <w:rPr>
          <w:lang w:val="en-NZ"/>
        </w:rPr>
        <w:t xml:space="preserve">Ministry of Health. (2012). </w:t>
      </w:r>
      <w:r w:rsidRPr="006F52AE">
        <w:rPr>
          <w:i/>
          <w:iCs/>
          <w:lang w:val="en-NZ"/>
        </w:rPr>
        <w:t>Vitamin D Status of New Zealand Adults: Findings from the 2008/2009 New Zealand Adult Nutrition Survey</w:t>
      </w:r>
      <w:r w:rsidRPr="006F52AE">
        <w:rPr>
          <w:lang w:val="en-NZ"/>
        </w:rPr>
        <w:t>. https://www.health.govt.nz/system/files/documents/publications/vit-d-status-nzadults.pdf</w:t>
      </w:r>
    </w:p>
    <w:p w14:paraId="581526BE" w14:textId="77777777" w:rsidR="006F52AE" w:rsidRPr="006F52AE" w:rsidRDefault="006F52AE" w:rsidP="006F52AE">
      <w:pPr>
        <w:rPr>
          <w:lang w:val="en-NZ"/>
        </w:rPr>
      </w:pPr>
      <w:r w:rsidRPr="006F52AE">
        <w:rPr>
          <w:lang w:val="en-NZ"/>
        </w:rPr>
        <w:t xml:space="preserve">Ministry of Health. (2013). </w:t>
      </w:r>
      <w:r w:rsidRPr="006F52AE">
        <w:rPr>
          <w:i/>
          <w:iCs/>
          <w:lang w:val="en-NZ"/>
        </w:rPr>
        <w:t>Companion Statement on Vitamin D and Sun Exposure in Pregnancy and Infancy in New Zealand</w:t>
      </w:r>
      <w:r w:rsidRPr="006F52AE">
        <w:rPr>
          <w:lang w:val="en-NZ"/>
        </w:rPr>
        <w:t>.</w:t>
      </w:r>
    </w:p>
    <w:p w14:paraId="3E7C2E0D" w14:textId="77777777" w:rsidR="006F52AE" w:rsidRPr="006F52AE" w:rsidRDefault="006F52AE" w:rsidP="006F52AE">
      <w:pPr>
        <w:rPr>
          <w:lang w:val="en-NZ"/>
        </w:rPr>
      </w:pPr>
      <w:r w:rsidRPr="006F52AE">
        <w:rPr>
          <w:lang w:val="en-NZ"/>
        </w:rPr>
        <w:t xml:space="preserve">Ministry of Health. (2021). </w:t>
      </w:r>
      <w:r w:rsidRPr="006F52AE">
        <w:rPr>
          <w:i/>
          <w:iCs/>
          <w:lang w:val="en-NZ"/>
        </w:rPr>
        <w:t>National Maternity Collection</w:t>
      </w:r>
      <w:r w:rsidRPr="006F52AE">
        <w:rPr>
          <w:lang w:val="en-NZ"/>
        </w:rPr>
        <w:t>. https://www.tewhatuora.govt.nz/our-health-system/data-and-statistics/nz-health-statistics/national-collections-and-surveys/collections/national-maternity-collection</w:t>
      </w:r>
    </w:p>
    <w:p w14:paraId="3CFF7932" w14:textId="77777777" w:rsidR="006F52AE" w:rsidRPr="006F52AE" w:rsidRDefault="006F52AE" w:rsidP="006F52AE">
      <w:pPr>
        <w:rPr>
          <w:lang w:val="en-NZ"/>
        </w:rPr>
      </w:pPr>
      <w:r w:rsidRPr="006F52AE">
        <w:rPr>
          <w:lang w:val="en-NZ"/>
        </w:rPr>
        <w:t xml:space="preserve">Ministry of Health and Cancer Society. (2012). </w:t>
      </w:r>
      <w:r w:rsidRPr="006F52AE">
        <w:rPr>
          <w:i/>
          <w:iCs/>
          <w:lang w:val="en-NZ"/>
        </w:rPr>
        <w:t>Consensus Statement on Vitamin D and Sun Exposure in New Zealand</w:t>
      </w:r>
      <w:r w:rsidRPr="006F52AE">
        <w:rPr>
          <w:lang w:val="en-NZ"/>
        </w:rPr>
        <w:t>.</w:t>
      </w:r>
    </w:p>
    <w:p w14:paraId="2FD95027" w14:textId="77777777" w:rsidR="006F52AE" w:rsidRPr="006F52AE" w:rsidRDefault="006F52AE" w:rsidP="006F52AE">
      <w:pPr>
        <w:rPr>
          <w:lang w:val="en-NZ"/>
        </w:rPr>
      </w:pPr>
      <w:r w:rsidRPr="006F52AE">
        <w:rPr>
          <w:lang w:val="en-NZ"/>
        </w:rPr>
        <w:t xml:space="preserve">Morales-Suarez-Varela, M., Ucar, N., Soriano, J. M., Llopis-Morales, A., Sanford, B. S., &amp; Grant, W. B. (2022). Vitamin D-Related Risk Factors for Maternal Morbidity and Mortality during Pregnancy: Systematic Review and Meta-Analysis. </w:t>
      </w:r>
      <w:r w:rsidRPr="006F52AE">
        <w:rPr>
          <w:i/>
          <w:iCs/>
          <w:lang w:val="en-NZ"/>
        </w:rPr>
        <w:t>Nutrients</w:t>
      </w:r>
      <w:r w:rsidRPr="006F52AE">
        <w:rPr>
          <w:lang w:val="en-NZ"/>
        </w:rPr>
        <w:t xml:space="preserve">, </w:t>
      </w:r>
      <w:r w:rsidRPr="006F52AE">
        <w:rPr>
          <w:i/>
          <w:iCs/>
          <w:lang w:val="en-NZ"/>
        </w:rPr>
        <w:t>14</w:t>
      </w:r>
      <w:r w:rsidRPr="006F52AE">
        <w:rPr>
          <w:lang w:val="en-NZ"/>
        </w:rPr>
        <w:t>(19). https://doi.org/10.3390/nu14194124</w:t>
      </w:r>
    </w:p>
    <w:p w14:paraId="3EE4AB9B" w14:textId="77777777" w:rsidR="006F52AE" w:rsidRPr="006F52AE" w:rsidRDefault="006F52AE" w:rsidP="006F52AE">
      <w:pPr>
        <w:rPr>
          <w:lang w:val="en-NZ"/>
        </w:rPr>
      </w:pPr>
      <w:r w:rsidRPr="006F52AE">
        <w:rPr>
          <w:lang w:val="en-NZ"/>
        </w:rPr>
        <w:t xml:space="preserve">Mosavat, M., Arabiat, D., Smyth, A., Newnham, J., &amp; Whitehead, L. (2021). Second-trimester maternal serum vitamin D and pregnancy outcome: The Western Australian Raine cohort study. </w:t>
      </w:r>
      <w:r w:rsidRPr="006F52AE">
        <w:rPr>
          <w:i/>
          <w:iCs/>
          <w:lang w:val="en-NZ"/>
        </w:rPr>
        <w:t>Diabetes Research and Clinical Practice</w:t>
      </w:r>
      <w:r w:rsidRPr="006F52AE">
        <w:rPr>
          <w:lang w:val="en-NZ"/>
        </w:rPr>
        <w:t xml:space="preserve">, </w:t>
      </w:r>
      <w:r w:rsidRPr="006F52AE">
        <w:rPr>
          <w:i/>
          <w:iCs/>
          <w:lang w:val="en-NZ"/>
        </w:rPr>
        <w:t>175</w:t>
      </w:r>
      <w:r w:rsidRPr="006F52AE">
        <w:rPr>
          <w:lang w:val="en-NZ"/>
        </w:rPr>
        <w:t>, 108779. https://doi.org/10.1016/j.diabres.2021.108779</w:t>
      </w:r>
    </w:p>
    <w:p w14:paraId="65981F11" w14:textId="77777777" w:rsidR="006F52AE" w:rsidRPr="006F52AE" w:rsidRDefault="006F52AE" w:rsidP="006F52AE">
      <w:pPr>
        <w:rPr>
          <w:lang w:val="en-NZ"/>
        </w:rPr>
      </w:pPr>
      <w:r w:rsidRPr="006F52AE">
        <w:rPr>
          <w:lang w:val="en-NZ"/>
        </w:rPr>
        <w:t xml:space="preserve">Munns, C. F., Shaw, N., Kiely, M., Specker, B. L., Thacher, T. D., Ozono, K., Michigami, T., Tiosano, D., Mughal, M. Z., Mäkitie, O., Ramos-Abad, L., Ward, L., DiMeglio, L. A., Atapattu, N., Cassinelli, H., Braegger, C., Pettifor, J. M., Seth, A., Idris, H. W., … Högler, W. (2016). Global Consensus Recommendations on Prevention and Management of Nutritional Rickets. </w:t>
      </w:r>
      <w:r w:rsidRPr="006F52AE">
        <w:rPr>
          <w:i/>
          <w:iCs/>
          <w:lang w:val="en-NZ"/>
        </w:rPr>
        <w:t>The Journal of Clinical Endocrinology and Metabolism</w:t>
      </w:r>
      <w:r w:rsidRPr="006F52AE">
        <w:rPr>
          <w:lang w:val="en-NZ"/>
        </w:rPr>
        <w:t xml:space="preserve">, </w:t>
      </w:r>
      <w:r w:rsidRPr="006F52AE">
        <w:rPr>
          <w:i/>
          <w:iCs/>
          <w:lang w:val="en-NZ"/>
        </w:rPr>
        <w:t>101</w:t>
      </w:r>
      <w:r w:rsidRPr="006F52AE">
        <w:rPr>
          <w:lang w:val="en-NZ"/>
        </w:rPr>
        <w:t>(2), 394–415. https://doi.org/10.1210/jc.2015-2175</w:t>
      </w:r>
    </w:p>
    <w:p w14:paraId="17ECAD23" w14:textId="77777777" w:rsidR="006F52AE" w:rsidRPr="006F52AE" w:rsidRDefault="006F52AE" w:rsidP="006F52AE">
      <w:pPr>
        <w:rPr>
          <w:lang w:val="en-NZ"/>
        </w:rPr>
      </w:pPr>
      <w:r w:rsidRPr="006F52AE">
        <w:rPr>
          <w:lang w:val="en-NZ"/>
        </w:rPr>
        <w:t xml:space="preserve">New Zealand College of Midwives. (ND). </w:t>
      </w:r>
      <w:r w:rsidRPr="006F52AE">
        <w:rPr>
          <w:i/>
          <w:iCs/>
          <w:lang w:val="en-NZ"/>
        </w:rPr>
        <w:t>Midwives’ Handbook for Practice 5th Edition</w:t>
      </w:r>
      <w:r w:rsidRPr="006F52AE">
        <w:rPr>
          <w:lang w:val="en-NZ"/>
        </w:rPr>
        <w:t>. New Zealand College of Midwives. Christchurch: New Zealand College of Midwives.</w:t>
      </w:r>
    </w:p>
    <w:p w14:paraId="6DBAE902" w14:textId="77777777" w:rsidR="006F52AE" w:rsidRPr="006F52AE" w:rsidRDefault="006F52AE" w:rsidP="006F52AE">
      <w:pPr>
        <w:rPr>
          <w:lang w:val="en-NZ"/>
        </w:rPr>
      </w:pPr>
      <w:r w:rsidRPr="006F52AE">
        <w:rPr>
          <w:lang w:val="en-NZ"/>
        </w:rPr>
        <w:t xml:space="preserve">NHMRC. (2006). </w:t>
      </w:r>
      <w:r w:rsidRPr="006F52AE">
        <w:rPr>
          <w:i/>
          <w:iCs/>
          <w:lang w:val="en-NZ"/>
        </w:rPr>
        <w:t>Nutrient Reference Values for Australia and New Zealand Including Recommended Dietary Intakes</w:t>
      </w:r>
      <w:r w:rsidRPr="006F52AE">
        <w:rPr>
          <w:lang w:val="en-NZ"/>
        </w:rPr>
        <w:t>. National Health and Medical Research Council.</w:t>
      </w:r>
    </w:p>
    <w:p w14:paraId="3689F500" w14:textId="77777777" w:rsidR="006F52AE" w:rsidRPr="006F52AE" w:rsidRDefault="006F52AE" w:rsidP="006F52AE">
      <w:pPr>
        <w:rPr>
          <w:lang w:val="en-NZ"/>
        </w:rPr>
      </w:pPr>
      <w:r w:rsidRPr="006F52AE">
        <w:rPr>
          <w:lang w:val="en-NZ"/>
        </w:rPr>
        <w:t xml:space="preserve">Nursing Council of New Zealand. (2020). </w:t>
      </w:r>
      <w:r w:rsidRPr="006F52AE">
        <w:rPr>
          <w:i/>
          <w:iCs/>
          <w:lang w:val="en-NZ"/>
        </w:rPr>
        <w:t>Te Tiriti o Waitangi Policy Statement</w:t>
      </w:r>
      <w:r w:rsidRPr="006F52AE">
        <w:rPr>
          <w:lang w:val="en-NZ"/>
        </w:rPr>
        <w:t>. Nursing Council of New Zealand.</w:t>
      </w:r>
    </w:p>
    <w:p w14:paraId="6588E3D4" w14:textId="77777777" w:rsidR="006F52AE" w:rsidRPr="006F52AE" w:rsidRDefault="006F52AE" w:rsidP="006F52AE">
      <w:pPr>
        <w:rPr>
          <w:lang w:val="en-NZ"/>
        </w:rPr>
      </w:pPr>
      <w:r w:rsidRPr="006F52AE">
        <w:rPr>
          <w:lang w:val="en-NZ"/>
        </w:rPr>
        <w:t xml:space="preserve">Palacios, C., Kostiuk, L. K., &amp; Pena-Rosas, J. P. (2019). Vitamin D supplementation for women during pregnancy. </w:t>
      </w:r>
      <w:r w:rsidRPr="006F52AE">
        <w:rPr>
          <w:i/>
          <w:iCs/>
          <w:lang w:val="en-NZ"/>
        </w:rPr>
        <w:t>The Cochrane Database of Systematic Reviews</w:t>
      </w:r>
      <w:r w:rsidRPr="006F52AE">
        <w:rPr>
          <w:lang w:val="en-NZ"/>
        </w:rPr>
        <w:t xml:space="preserve">, </w:t>
      </w:r>
      <w:r w:rsidRPr="006F52AE">
        <w:rPr>
          <w:i/>
          <w:iCs/>
          <w:lang w:val="en-NZ"/>
        </w:rPr>
        <w:t>7</w:t>
      </w:r>
      <w:r w:rsidRPr="006F52AE">
        <w:rPr>
          <w:lang w:val="en-NZ"/>
        </w:rPr>
        <w:t>, CD008873. https://doi.org/10.1002/14651858.CD008873.pub4</w:t>
      </w:r>
    </w:p>
    <w:p w14:paraId="4F992C42" w14:textId="77777777" w:rsidR="006F52AE" w:rsidRPr="006F52AE" w:rsidRDefault="006F52AE" w:rsidP="006F52AE">
      <w:pPr>
        <w:rPr>
          <w:lang w:val="en-NZ"/>
        </w:rPr>
      </w:pPr>
      <w:r w:rsidRPr="006F52AE">
        <w:rPr>
          <w:lang w:val="en-NZ"/>
        </w:rPr>
        <w:t xml:space="preserve">Palacios, C., Trak-Fellermeier, M. A., Martinez, R. X., Lopez-Perez, L., Lips, P., Salisi, J. A., John, J. C., &amp; Peña-Rosas, J. P. (2019). Regimens of vitamin D supplementation for women during pregnancy. </w:t>
      </w:r>
      <w:r w:rsidRPr="006F52AE">
        <w:rPr>
          <w:i/>
          <w:iCs/>
          <w:lang w:val="en-NZ"/>
        </w:rPr>
        <w:t>Cochrane Database of Systematic Reviews</w:t>
      </w:r>
      <w:r w:rsidRPr="006F52AE">
        <w:rPr>
          <w:lang w:val="en-NZ"/>
        </w:rPr>
        <w:t xml:space="preserve">, </w:t>
      </w:r>
      <w:r w:rsidRPr="006F52AE">
        <w:rPr>
          <w:i/>
          <w:iCs/>
          <w:lang w:val="en-NZ"/>
        </w:rPr>
        <w:t>2019</w:t>
      </w:r>
      <w:r w:rsidRPr="006F52AE">
        <w:rPr>
          <w:lang w:val="en-NZ"/>
        </w:rPr>
        <w:t>(10). Embase Medline. https://doi.org/10.1002/14651858.CD013446</w:t>
      </w:r>
    </w:p>
    <w:p w14:paraId="4243BD90" w14:textId="77777777" w:rsidR="006F52AE" w:rsidRPr="006F52AE" w:rsidRDefault="006F52AE" w:rsidP="006F52AE">
      <w:pPr>
        <w:rPr>
          <w:lang w:val="en-NZ"/>
        </w:rPr>
      </w:pPr>
      <w:r w:rsidRPr="006F52AE">
        <w:rPr>
          <w:lang w:val="en-NZ"/>
        </w:rPr>
        <w:t xml:space="preserve">Pitama, S., Huria, T., &amp; Lacey, C. (2014). Improving Maori health through clinical assessment: Waikare o te Waka o Meihana. </w:t>
      </w:r>
      <w:r w:rsidRPr="006F52AE">
        <w:rPr>
          <w:i/>
          <w:iCs/>
          <w:lang w:val="en-NZ"/>
        </w:rPr>
        <w:t>The New Zealand Medical Journal</w:t>
      </w:r>
      <w:r w:rsidRPr="006F52AE">
        <w:rPr>
          <w:lang w:val="en-NZ"/>
        </w:rPr>
        <w:t xml:space="preserve">, </w:t>
      </w:r>
      <w:r w:rsidRPr="006F52AE">
        <w:rPr>
          <w:i/>
          <w:iCs/>
          <w:lang w:val="en-NZ"/>
        </w:rPr>
        <w:t>127</w:t>
      </w:r>
      <w:r w:rsidRPr="006F52AE">
        <w:rPr>
          <w:lang w:val="en-NZ"/>
        </w:rPr>
        <w:t>(1393), 107–119.</w:t>
      </w:r>
    </w:p>
    <w:p w14:paraId="3BCC1222" w14:textId="77777777" w:rsidR="006F52AE" w:rsidRPr="006F52AE" w:rsidRDefault="006F52AE" w:rsidP="006F52AE">
      <w:pPr>
        <w:rPr>
          <w:lang w:val="en-NZ"/>
        </w:rPr>
      </w:pPr>
      <w:r w:rsidRPr="006F52AE">
        <w:rPr>
          <w:lang w:val="en-NZ"/>
        </w:rPr>
        <w:t xml:space="preserve">Prasad, N., Newbern, E. C., Trenholme, A. A., Wood, T., Thompson, M. G., Aminisani, N., Huang, Q. S., &amp; Grant, C. C. (2019). Respiratory syncytial virus hospitalisations among </w:t>
      </w:r>
      <w:r w:rsidRPr="006F52AE">
        <w:rPr>
          <w:lang w:val="en-NZ"/>
        </w:rPr>
        <w:lastRenderedPageBreak/>
        <w:t xml:space="preserve">young children: A data linkage study. </w:t>
      </w:r>
      <w:r w:rsidRPr="006F52AE">
        <w:rPr>
          <w:i/>
          <w:iCs/>
          <w:lang w:val="en-NZ"/>
        </w:rPr>
        <w:t>Epidemiology and Infection</w:t>
      </w:r>
      <w:r w:rsidRPr="006F52AE">
        <w:rPr>
          <w:lang w:val="en-NZ"/>
        </w:rPr>
        <w:t xml:space="preserve">, </w:t>
      </w:r>
      <w:r w:rsidRPr="006F52AE">
        <w:rPr>
          <w:i/>
          <w:iCs/>
          <w:lang w:val="en-NZ"/>
        </w:rPr>
        <w:t>147</w:t>
      </w:r>
      <w:r w:rsidRPr="006F52AE">
        <w:rPr>
          <w:lang w:val="en-NZ"/>
        </w:rPr>
        <w:t>, e246. https://doi.org/10.1017/S0950268819001377</w:t>
      </w:r>
    </w:p>
    <w:p w14:paraId="1EE06D82" w14:textId="77777777" w:rsidR="006F52AE" w:rsidRPr="006F52AE" w:rsidRDefault="006F52AE" w:rsidP="006F52AE">
      <w:pPr>
        <w:rPr>
          <w:lang w:val="en-NZ"/>
        </w:rPr>
      </w:pPr>
      <w:r w:rsidRPr="006F52AE">
        <w:rPr>
          <w:lang w:val="en-NZ"/>
        </w:rPr>
        <w:t xml:space="preserve">Rios-Leyvraz, M., &amp; Yao, Q. (2023). Calcium, zinc, and vitamin D in breast milk: A systematic review and meta-analysis. </w:t>
      </w:r>
      <w:r w:rsidRPr="006F52AE">
        <w:rPr>
          <w:i/>
          <w:iCs/>
          <w:lang w:val="en-NZ"/>
        </w:rPr>
        <w:t>International Breastfeeding Journal</w:t>
      </w:r>
      <w:r w:rsidRPr="006F52AE">
        <w:rPr>
          <w:lang w:val="en-NZ"/>
        </w:rPr>
        <w:t xml:space="preserve">, </w:t>
      </w:r>
      <w:r w:rsidRPr="006F52AE">
        <w:rPr>
          <w:i/>
          <w:iCs/>
          <w:lang w:val="en-NZ"/>
        </w:rPr>
        <w:t>18</w:t>
      </w:r>
      <w:r w:rsidRPr="006F52AE">
        <w:rPr>
          <w:lang w:val="en-NZ"/>
        </w:rPr>
        <w:t>(1), 27. https://doi.org/10.1186/s13006-023-00564-2</w:t>
      </w:r>
    </w:p>
    <w:p w14:paraId="22D5CED3" w14:textId="77777777" w:rsidR="006F52AE" w:rsidRPr="006F52AE" w:rsidRDefault="006F52AE" w:rsidP="006F52AE">
      <w:pPr>
        <w:rPr>
          <w:lang w:val="en-NZ"/>
        </w:rPr>
      </w:pPr>
      <w:r w:rsidRPr="006F52AE">
        <w:rPr>
          <w:lang w:val="en-NZ"/>
        </w:rPr>
        <w:t xml:space="preserve">Rockell, J. E., Green, T. J., Skeaff, C. M., Whiting, S. J., Taylor, R. W., Williams, S. M., Parnell, W. R., Scragg, R., Wilson, N., Schaaf, D., Fitzgerald, E. D., &amp; Wohlers, M. W. (2005). Season and Ethnicity Are Determinants of Serum 25-Hydroxyvitamin D Concentrations in New Zealand Children Aged 5–14 y12. </w:t>
      </w:r>
      <w:r w:rsidRPr="006F52AE">
        <w:rPr>
          <w:i/>
          <w:iCs/>
          <w:lang w:val="en-NZ"/>
        </w:rPr>
        <w:t>The Journal of Nutrition</w:t>
      </w:r>
      <w:r w:rsidRPr="006F52AE">
        <w:rPr>
          <w:lang w:val="en-NZ"/>
        </w:rPr>
        <w:t xml:space="preserve">, </w:t>
      </w:r>
      <w:r w:rsidRPr="006F52AE">
        <w:rPr>
          <w:i/>
          <w:iCs/>
          <w:lang w:val="en-NZ"/>
        </w:rPr>
        <w:t>135</w:t>
      </w:r>
      <w:r w:rsidRPr="006F52AE">
        <w:rPr>
          <w:lang w:val="en-NZ"/>
        </w:rPr>
        <w:t>(11), 2602–2608. https://doi.org/10.1093/jn/135.11.2602</w:t>
      </w:r>
    </w:p>
    <w:p w14:paraId="7F6C29C6" w14:textId="77777777" w:rsidR="006F52AE" w:rsidRPr="006F52AE" w:rsidRDefault="006F52AE" w:rsidP="006F52AE">
      <w:pPr>
        <w:rPr>
          <w:lang w:val="en-NZ"/>
        </w:rPr>
      </w:pPr>
      <w:r w:rsidRPr="006F52AE">
        <w:rPr>
          <w:lang w:val="en-NZ"/>
        </w:rPr>
        <w:t xml:space="preserve">Rockell, J. E. P., Skeaff, C. M., Williams, S. M., &amp; Green, T. J. (2006). Serum 25-hydroxyvitamin D concentrations of New Zealanders aged 15 years and older. </w:t>
      </w:r>
      <w:r w:rsidRPr="006F52AE">
        <w:rPr>
          <w:i/>
          <w:iCs/>
          <w:lang w:val="en-NZ"/>
        </w:rPr>
        <w:t>Osteoporosis International</w:t>
      </w:r>
      <w:r w:rsidRPr="006F52AE">
        <w:rPr>
          <w:lang w:val="en-NZ"/>
        </w:rPr>
        <w:t xml:space="preserve">, </w:t>
      </w:r>
      <w:r w:rsidRPr="006F52AE">
        <w:rPr>
          <w:i/>
          <w:iCs/>
          <w:lang w:val="en-NZ"/>
        </w:rPr>
        <w:t>17</w:t>
      </w:r>
      <w:r w:rsidRPr="006F52AE">
        <w:rPr>
          <w:lang w:val="en-NZ"/>
        </w:rPr>
        <w:t>(9), 1382–1389. https://doi.org/10.1007/s00198-006-0118-x</w:t>
      </w:r>
    </w:p>
    <w:p w14:paraId="738B88D0" w14:textId="77777777" w:rsidR="006F52AE" w:rsidRPr="006F52AE" w:rsidRDefault="006F52AE" w:rsidP="006F52AE">
      <w:pPr>
        <w:rPr>
          <w:lang w:val="en-NZ"/>
        </w:rPr>
      </w:pPr>
      <w:r w:rsidRPr="006F52AE">
        <w:rPr>
          <w:lang w:val="en-NZ"/>
        </w:rPr>
        <w:t xml:space="preserve">Royal Australasian College of Physicians. (ND). </w:t>
      </w:r>
      <w:r w:rsidRPr="006F52AE">
        <w:rPr>
          <w:i/>
          <w:iCs/>
          <w:lang w:val="en-NZ"/>
        </w:rPr>
        <w:t>Guideline commentary on consulting with Māori and their whānau</w:t>
      </w:r>
      <w:r w:rsidRPr="006F52AE">
        <w:rPr>
          <w:lang w:val="en-NZ"/>
        </w:rPr>
        <w:t xml:space="preserve">. Wellington: RACP. </w:t>
      </w:r>
    </w:p>
    <w:p w14:paraId="4B0C8561" w14:textId="77777777" w:rsidR="006F52AE" w:rsidRPr="006F52AE" w:rsidRDefault="006F52AE" w:rsidP="006F52AE">
      <w:pPr>
        <w:rPr>
          <w:lang w:val="en-NZ"/>
        </w:rPr>
      </w:pPr>
      <w:r w:rsidRPr="006F52AE">
        <w:rPr>
          <w:lang w:val="en-NZ"/>
        </w:rPr>
        <w:t xml:space="preserve">Saraf, R., Jensen, B. P., Camargo, C. A., Jr., Morton, S. M. B., Jing, M., Sies, C. W., &amp; Grant, C. C. (2021). Vitamin D status at birth and acute respiratory infection hospitalisation during infancy. </w:t>
      </w:r>
      <w:r w:rsidRPr="006F52AE">
        <w:rPr>
          <w:i/>
          <w:iCs/>
          <w:lang w:val="en-NZ"/>
        </w:rPr>
        <w:t>Paediatric and Perinatal Epidemiology</w:t>
      </w:r>
      <w:r w:rsidRPr="006F52AE">
        <w:rPr>
          <w:lang w:val="en-NZ"/>
        </w:rPr>
        <w:t xml:space="preserve">, </w:t>
      </w:r>
      <w:r w:rsidRPr="006F52AE">
        <w:rPr>
          <w:i/>
          <w:iCs/>
          <w:lang w:val="en-NZ"/>
        </w:rPr>
        <w:t>35</w:t>
      </w:r>
      <w:r w:rsidRPr="006F52AE">
        <w:rPr>
          <w:lang w:val="en-NZ"/>
        </w:rPr>
        <w:t>(5), 540–548. https://doi.org/10.1111/ppe.12755</w:t>
      </w:r>
    </w:p>
    <w:p w14:paraId="3A65B0C8" w14:textId="77777777" w:rsidR="006F52AE" w:rsidRPr="006F52AE" w:rsidRDefault="006F52AE" w:rsidP="006F52AE">
      <w:pPr>
        <w:rPr>
          <w:lang w:val="en-NZ"/>
        </w:rPr>
      </w:pPr>
      <w:r w:rsidRPr="006F52AE">
        <w:rPr>
          <w:lang w:val="en-NZ"/>
        </w:rPr>
        <w:t xml:space="preserve">Shamsad, A., Kushwah, A. S., Singh, R., &amp; Banerjee, M. (2023). Pharmaco-epi-genetic and patho-physiology of gestational diabetes mellitus (GDM): An overview. </w:t>
      </w:r>
      <w:r w:rsidRPr="006F52AE">
        <w:rPr>
          <w:i/>
          <w:iCs/>
          <w:lang w:val="en-NZ"/>
        </w:rPr>
        <w:t>Health Sciences Review</w:t>
      </w:r>
      <w:r w:rsidRPr="006F52AE">
        <w:rPr>
          <w:lang w:val="en-NZ"/>
        </w:rPr>
        <w:t xml:space="preserve">, </w:t>
      </w:r>
      <w:r w:rsidRPr="006F52AE">
        <w:rPr>
          <w:i/>
          <w:iCs/>
          <w:lang w:val="en-NZ"/>
        </w:rPr>
        <w:t>7</w:t>
      </w:r>
      <w:r w:rsidRPr="006F52AE">
        <w:rPr>
          <w:lang w:val="en-NZ"/>
        </w:rPr>
        <w:t>, 100086. https://doi.org/10.1016/j.hsr.2023.100086</w:t>
      </w:r>
    </w:p>
    <w:p w14:paraId="6A3BBAA0" w14:textId="77777777" w:rsidR="006F52AE" w:rsidRPr="006F52AE" w:rsidRDefault="006F52AE" w:rsidP="006F52AE">
      <w:pPr>
        <w:rPr>
          <w:lang w:val="en-NZ"/>
        </w:rPr>
      </w:pPr>
      <w:r w:rsidRPr="006F52AE">
        <w:rPr>
          <w:lang w:val="en-NZ"/>
        </w:rPr>
        <w:t xml:space="preserve">Specker, B. 2004. (2004). Vitamin D requirements during pregnancy. </w:t>
      </w:r>
      <w:r w:rsidRPr="006F52AE">
        <w:rPr>
          <w:i/>
          <w:iCs/>
          <w:lang w:val="en-NZ"/>
        </w:rPr>
        <w:t>American Journal of Clinical Nutrition</w:t>
      </w:r>
      <w:r w:rsidRPr="006F52AE">
        <w:rPr>
          <w:lang w:val="en-NZ"/>
        </w:rPr>
        <w:t xml:space="preserve">, </w:t>
      </w:r>
      <w:r w:rsidRPr="006F52AE">
        <w:rPr>
          <w:i/>
          <w:iCs/>
          <w:lang w:val="en-NZ"/>
        </w:rPr>
        <w:t>80(6): 1740S–47S.</w:t>
      </w:r>
    </w:p>
    <w:p w14:paraId="10738164" w14:textId="77777777" w:rsidR="006F52AE" w:rsidRPr="006F52AE" w:rsidRDefault="006F52AE" w:rsidP="006F52AE">
      <w:pPr>
        <w:rPr>
          <w:lang w:val="en-NZ"/>
        </w:rPr>
      </w:pPr>
      <w:r w:rsidRPr="006F52AE">
        <w:rPr>
          <w:lang w:val="en-NZ"/>
        </w:rPr>
        <w:t xml:space="preserve">Standards New Zealand. (2021). </w:t>
      </w:r>
      <w:r w:rsidRPr="006F52AE">
        <w:rPr>
          <w:i/>
          <w:iCs/>
          <w:lang w:val="en-NZ"/>
        </w:rPr>
        <w:t>Ngā Paerewa Health and Disability Services Standard 8134:2021</w:t>
      </w:r>
      <w:r w:rsidRPr="006F52AE">
        <w:rPr>
          <w:lang w:val="en-NZ"/>
        </w:rPr>
        <w:t>. Ministry of Health.</w:t>
      </w:r>
    </w:p>
    <w:p w14:paraId="3A379712" w14:textId="77777777" w:rsidR="006F52AE" w:rsidRPr="006F52AE" w:rsidRDefault="006F52AE" w:rsidP="006F52AE">
      <w:pPr>
        <w:rPr>
          <w:lang w:val="en-NZ"/>
        </w:rPr>
      </w:pPr>
      <w:r w:rsidRPr="006F52AE">
        <w:rPr>
          <w:i/>
          <w:iCs/>
          <w:lang w:val="en-NZ"/>
        </w:rPr>
        <w:t>SunSmart</w:t>
      </w:r>
      <w:r w:rsidRPr="006F52AE">
        <w:rPr>
          <w:lang w:val="en-NZ"/>
        </w:rPr>
        <w:t>. (2021). Cancer Society NZ. https://www.cancer.org.nz/cancer/reduce-your-risk-of-cancer/sunsmart/</w:t>
      </w:r>
    </w:p>
    <w:p w14:paraId="01AB5ACB" w14:textId="77777777" w:rsidR="006F52AE" w:rsidRPr="006F52AE" w:rsidRDefault="006F52AE" w:rsidP="006F52AE">
      <w:pPr>
        <w:rPr>
          <w:lang w:val="en-NZ"/>
        </w:rPr>
      </w:pPr>
      <w:r w:rsidRPr="006F52AE">
        <w:rPr>
          <w:lang w:val="en-NZ"/>
        </w:rPr>
        <w:t xml:space="preserve">Tan, M. L., Abrams, S. A., &amp; Osborn, D. A. (2020). Vitamin D supplementation for term breastfed infants to prevent vitamin D deficiency and improve bone health. </w:t>
      </w:r>
      <w:r w:rsidRPr="006F52AE">
        <w:rPr>
          <w:i/>
          <w:iCs/>
          <w:lang w:val="en-NZ"/>
        </w:rPr>
        <w:t>The Cochrane Database of Systematic Reviews</w:t>
      </w:r>
      <w:r w:rsidRPr="006F52AE">
        <w:rPr>
          <w:lang w:val="en-NZ"/>
        </w:rPr>
        <w:t xml:space="preserve">, </w:t>
      </w:r>
      <w:r w:rsidRPr="006F52AE">
        <w:rPr>
          <w:i/>
          <w:iCs/>
          <w:lang w:val="en-NZ"/>
        </w:rPr>
        <w:t>12</w:t>
      </w:r>
      <w:r w:rsidRPr="006F52AE">
        <w:rPr>
          <w:lang w:val="en-NZ"/>
        </w:rPr>
        <w:t>, CD013046. https://doi.org/10.1002/14651858.CD013046.pub2</w:t>
      </w:r>
    </w:p>
    <w:p w14:paraId="25C6DBA4" w14:textId="77777777" w:rsidR="006F52AE" w:rsidRPr="006F52AE" w:rsidRDefault="006F52AE" w:rsidP="006F52AE">
      <w:pPr>
        <w:rPr>
          <w:lang w:val="en-NZ"/>
        </w:rPr>
      </w:pPr>
      <w:r w:rsidRPr="006F52AE">
        <w:rPr>
          <w:i/>
          <w:iCs/>
          <w:lang w:val="en-NZ"/>
        </w:rPr>
        <w:t>The Concise New Zealand Food Composition Tables: 14th Edition 2021</w:t>
      </w:r>
      <w:r w:rsidRPr="006F52AE">
        <w:rPr>
          <w:lang w:val="en-NZ"/>
        </w:rPr>
        <w:t>. (2022). The New Zealand Institute for Plant and Food Research Limited and Ministry of Health. https://www.foodcomposition.co.nz/downloads/concise-14-edition.pdf</w:t>
      </w:r>
    </w:p>
    <w:p w14:paraId="58E4D767" w14:textId="77777777" w:rsidR="006F52AE" w:rsidRPr="006F52AE" w:rsidRDefault="006F52AE" w:rsidP="006F52AE">
      <w:pPr>
        <w:rPr>
          <w:lang w:val="en-NZ"/>
        </w:rPr>
      </w:pPr>
      <w:r w:rsidRPr="006F52AE">
        <w:rPr>
          <w:lang w:val="en-NZ"/>
        </w:rPr>
        <w:t xml:space="preserve">The University of Otago. </w:t>
      </w:r>
      <w:r w:rsidRPr="006F52AE">
        <w:rPr>
          <w:i/>
          <w:iCs/>
          <w:lang w:val="en-NZ"/>
        </w:rPr>
        <w:t>MIHI 501 ANZCA: Application of Hui Process/Meihana Model to the Australian and New Zealand College of Anaesthetists 2021</w:t>
      </w:r>
      <w:r w:rsidRPr="006F52AE">
        <w:rPr>
          <w:lang w:val="en-NZ"/>
        </w:rPr>
        <w:t>. Available at: https://www.otago.ac.nz/continuingeducation/mihi-501-and-mihi-online-courses</w:t>
      </w:r>
    </w:p>
    <w:p w14:paraId="5E287D6E" w14:textId="77777777" w:rsidR="006F52AE" w:rsidRPr="006F52AE" w:rsidRDefault="006F52AE" w:rsidP="006F52AE">
      <w:pPr>
        <w:rPr>
          <w:lang w:val="en-NZ"/>
        </w:rPr>
      </w:pPr>
      <w:r w:rsidRPr="006F52AE">
        <w:rPr>
          <w:lang w:val="en-NZ"/>
        </w:rPr>
        <w:t xml:space="preserve">Ward, W. H., Lambreton, F., Goel, N., Yu, J. Q., &amp; Farma, J. M. (2017). Clinical Presentation and Staging of Melanoma. In W. H. Ward &amp; J. M. Farma (Eds.), </w:t>
      </w:r>
      <w:r w:rsidRPr="006F52AE">
        <w:rPr>
          <w:i/>
          <w:iCs/>
          <w:lang w:val="en-NZ"/>
        </w:rPr>
        <w:t>Cutaneous Melanoma: Etiology and Therapy</w:t>
      </w:r>
      <w:r w:rsidRPr="006F52AE">
        <w:rPr>
          <w:lang w:val="en-NZ"/>
        </w:rPr>
        <w:t xml:space="preserve">. Codon Publications. </w:t>
      </w:r>
    </w:p>
    <w:p w14:paraId="5260DE32" w14:textId="77777777" w:rsidR="006F52AE" w:rsidRPr="006F52AE" w:rsidRDefault="006F52AE" w:rsidP="006F52AE">
      <w:pPr>
        <w:rPr>
          <w:lang w:val="en-NZ"/>
        </w:rPr>
      </w:pPr>
      <w:r w:rsidRPr="006F52AE">
        <w:rPr>
          <w:lang w:val="en-NZ"/>
        </w:rPr>
        <w:t xml:space="preserve">Weisberg, P., Scanlon, K., Li, R., &amp; Cogswell, M. (2004). Nutritional rickets among children in the United States: Review of cases reported between 1986 and 20031. </w:t>
      </w:r>
      <w:r w:rsidRPr="006F52AE">
        <w:rPr>
          <w:i/>
          <w:iCs/>
          <w:lang w:val="en-NZ"/>
        </w:rPr>
        <w:t>American Journal of Clinical Nutrition</w:t>
      </w:r>
      <w:r w:rsidRPr="006F52AE">
        <w:rPr>
          <w:lang w:val="en-NZ"/>
        </w:rPr>
        <w:t xml:space="preserve">, </w:t>
      </w:r>
      <w:r w:rsidRPr="006F52AE">
        <w:rPr>
          <w:i/>
          <w:iCs/>
          <w:lang w:val="en-NZ"/>
        </w:rPr>
        <w:t>80 (suppl)</w:t>
      </w:r>
      <w:r w:rsidRPr="006F52AE">
        <w:rPr>
          <w:lang w:val="en-NZ"/>
        </w:rPr>
        <w:t>, 1697S-705S.</w:t>
      </w:r>
    </w:p>
    <w:p w14:paraId="6938F9F4" w14:textId="77777777" w:rsidR="006F52AE" w:rsidRPr="006F52AE" w:rsidRDefault="006F52AE" w:rsidP="006F52AE">
      <w:pPr>
        <w:rPr>
          <w:lang w:val="en-NZ"/>
        </w:rPr>
      </w:pPr>
      <w:r w:rsidRPr="006F52AE">
        <w:rPr>
          <w:lang w:val="en-NZ"/>
        </w:rPr>
        <w:lastRenderedPageBreak/>
        <w:t xml:space="preserve">Wheeler, B. J., Dickson, N. P., Houghton, L. A., Ward, L. M., &amp; Taylor, B. J. (2015). Incidence and characteristics of vitamin D deficiency rickets in New Zealand children: A New Zealand Paediatric Surveillance Unit study. </w:t>
      </w:r>
      <w:r w:rsidRPr="006F52AE">
        <w:rPr>
          <w:i/>
          <w:iCs/>
          <w:lang w:val="en-NZ"/>
        </w:rPr>
        <w:t>Australian and New Zealand Journal of Public Health</w:t>
      </w:r>
      <w:r w:rsidRPr="006F52AE">
        <w:rPr>
          <w:lang w:val="en-NZ"/>
        </w:rPr>
        <w:t xml:space="preserve">, </w:t>
      </w:r>
      <w:r w:rsidRPr="006F52AE">
        <w:rPr>
          <w:i/>
          <w:iCs/>
          <w:lang w:val="en-NZ"/>
        </w:rPr>
        <w:t>39</w:t>
      </w:r>
      <w:r w:rsidRPr="006F52AE">
        <w:rPr>
          <w:lang w:val="en-NZ"/>
        </w:rPr>
        <w:t>(4), 380–383. https://doi.org/10.1111/1753-6405.12390</w:t>
      </w:r>
    </w:p>
    <w:p w14:paraId="49DA0505" w14:textId="77777777" w:rsidR="006F52AE" w:rsidRPr="006F52AE" w:rsidRDefault="006F52AE" w:rsidP="006F52AE">
      <w:pPr>
        <w:rPr>
          <w:lang w:val="en-NZ"/>
        </w:rPr>
      </w:pPr>
      <w:r w:rsidRPr="006F52AE">
        <w:rPr>
          <w:lang w:val="en-NZ"/>
        </w:rPr>
        <w:t xml:space="preserve">Wheeler, B. J., Taylor, B. J., de Lange, M., Harper, M. J., Jones, S., Mekhail, A., &amp; Houghton, L. A. (2018a). A Longitudinal Study of 25-Hydroxy Vitamin D and Parathyroid Hormone Status throughout Pregnancy and Exclusive Lactation in New Zealand Mothers and Their Infants at 45degree S. </w:t>
      </w:r>
      <w:r w:rsidRPr="006F52AE">
        <w:rPr>
          <w:i/>
          <w:iCs/>
          <w:lang w:val="en-NZ"/>
        </w:rPr>
        <w:t>Nutrients</w:t>
      </w:r>
      <w:r w:rsidRPr="006F52AE">
        <w:rPr>
          <w:lang w:val="en-NZ"/>
        </w:rPr>
        <w:t xml:space="preserve">, </w:t>
      </w:r>
      <w:r w:rsidRPr="006F52AE">
        <w:rPr>
          <w:i/>
          <w:iCs/>
          <w:lang w:val="en-NZ"/>
        </w:rPr>
        <w:t>10</w:t>
      </w:r>
      <w:r w:rsidRPr="006F52AE">
        <w:rPr>
          <w:lang w:val="en-NZ"/>
        </w:rPr>
        <w:t>(1). https://doi.org/10.3390/nu10010086</w:t>
      </w:r>
    </w:p>
    <w:p w14:paraId="4BFF6290" w14:textId="77777777" w:rsidR="006F52AE" w:rsidRPr="006F52AE" w:rsidRDefault="006F52AE" w:rsidP="006F52AE">
      <w:pPr>
        <w:rPr>
          <w:lang w:val="en-NZ"/>
        </w:rPr>
      </w:pPr>
      <w:r w:rsidRPr="006F52AE">
        <w:rPr>
          <w:lang w:val="en-NZ"/>
        </w:rPr>
        <w:t xml:space="preserve">Wheeler, B. J., Taylor, B. J., de Lange, M., Harper, M. J., Jones, S., Mekhail, A., &amp; Houghton, L. A. (2018b). A Longitudinal Study of 25-Hydroxy Vitamin D and Parathyroid Hormone Status throughout Pregnancy and Exclusive Lactation in New Zealand Mothers and Their Infants at 45degree S. </w:t>
      </w:r>
      <w:r w:rsidRPr="006F52AE">
        <w:rPr>
          <w:i/>
          <w:iCs/>
          <w:lang w:val="en-NZ"/>
        </w:rPr>
        <w:t>Nutrients</w:t>
      </w:r>
      <w:r w:rsidRPr="006F52AE">
        <w:rPr>
          <w:lang w:val="en-NZ"/>
        </w:rPr>
        <w:t xml:space="preserve">, </w:t>
      </w:r>
      <w:r w:rsidRPr="006F52AE">
        <w:rPr>
          <w:i/>
          <w:iCs/>
          <w:lang w:val="en-NZ"/>
        </w:rPr>
        <w:t>10</w:t>
      </w:r>
      <w:r w:rsidRPr="006F52AE">
        <w:rPr>
          <w:lang w:val="en-NZ"/>
        </w:rPr>
        <w:t>(1). https://doi.org/10.3390/nu10010086</w:t>
      </w:r>
    </w:p>
    <w:p w14:paraId="1F750EAC" w14:textId="77777777" w:rsidR="006F52AE" w:rsidRPr="006F52AE" w:rsidRDefault="006F52AE" w:rsidP="006F52AE">
      <w:pPr>
        <w:rPr>
          <w:lang w:val="en-NZ"/>
        </w:rPr>
      </w:pPr>
      <w:r w:rsidRPr="006F52AE">
        <w:rPr>
          <w:lang w:val="en-NZ"/>
        </w:rPr>
        <w:t xml:space="preserve">Wheeler, B. J., Taylor, B. J., Herbison, P., Haszard, J. J., Mikhail, A., Jones, S., Harper, M. J., &amp; Houghton, L. A. (2016). High-Dose Monthly Maternal Cholecalciferol Supplementation during Breastfeeding Affects Maternal and Infant Vitamin D Status at 5 Months Postpartum: A Randomized Controlled Trial. </w:t>
      </w:r>
      <w:r w:rsidRPr="006F52AE">
        <w:rPr>
          <w:i/>
          <w:iCs/>
          <w:lang w:val="en-NZ"/>
        </w:rPr>
        <w:t>The Journal of Nutrition</w:t>
      </w:r>
      <w:r w:rsidRPr="006F52AE">
        <w:rPr>
          <w:lang w:val="en-NZ"/>
        </w:rPr>
        <w:t xml:space="preserve">, </w:t>
      </w:r>
      <w:r w:rsidRPr="006F52AE">
        <w:rPr>
          <w:i/>
          <w:iCs/>
          <w:lang w:val="en-NZ"/>
        </w:rPr>
        <w:t>146</w:t>
      </w:r>
      <w:r w:rsidRPr="006F52AE">
        <w:rPr>
          <w:lang w:val="en-NZ"/>
        </w:rPr>
        <w:t>(10), 1999–2006. https://doi.org/10.3945/jn.116.236679</w:t>
      </w:r>
    </w:p>
    <w:p w14:paraId="68C0A696" w14:textId="77777777" w:rsidR="006F52AE" w:rsidRPr="006F52AE" w:rsidRDefault="006F52AE" w:rsidP="006F52AE">
      <w:pPr>
        <w:rPr>
          <w:lang w:val="en-NZ"/>
        </w:rPr>
      </w:pPr>
      <w:r w:rsidRPr="006F52AE">
        <w:rPr>
          <w:lang w:val="en-NZ"/>
        </w:rPr>
        <w:t xml:space="preserve">Wilson, R. L., Leviton, A. J., Leemaqz, S. Y., Anderson, P. H., Grieger, J. A., Grzeskowiak, L. E., Verburg, P. E., McCowan, L., Dekker, G. A., Bianco-Miotto, T., &amp; Roberts, C. T. (2018). Vitamin D levels in an Australian and New Zealand cohort and the association with pregnancy outcome. </w:t>
      </w:r>
      <w:r w:rsidRPr="006F52AE">
        <w:rPr>
          <w:i/>
          <w:iCs/>
          <w:lang w:val="en-NZ"/>
        </w:rPr>
        <w:t>BMC Pregnancy and Childbirth</w:t>
      </w:r>
      <w:r w:rsidRPr="006F52AE">
        <w:rPr>
          <w:lang w:val="en-NZ"/>
        </w:rPr>
        <w:t xml:space="preserve">, </w:t>
      </w:r>
      <w:r w:rsidRPr="006F52AE">
        <w:rPr>
          <w:i/>
          <w:iCs/>
          <w:lang w:val="en-NZ"/>
        </w:rPr>
        <w:t>18</w:t>
      </w:r>
      <w:r w:rsidRPr="006F52AE">
        <w:rPr>
          <w:lang w:val="en-NZ"/>
        </w:rPr>
        <w:t>(1), 251. https://doi.org/10.1186/s12884-018-1887-x</w:t>
      </w:r>
    </w:p>
    <w:p w14:paraId="41C3BAFC" w14:textId="77777777" w:rsidR="006F52AE" w:rsidRPr="006F52AE" w:rsidRDefault="006F52AE" w:rsidP="006F52AE">
      <w:pPr>
        <w:rPr>
          <w:lang w:val="en-NZ"/>
        </w:rPr>
      </w:pPr>
      <w:r w:rsidRPr="006F52AE">
        <w:rPr>
          <w:lang w:val="en-NZ"/>
        </w:rPr>
        <w:t xml:space="preserve">Wong, R. S., Tung, K. T. S., Mak, R. T. W., Leung, W. C., Yam, J. C., Chua, G. T., Fung, G. P. G., Ho, M. H. K., Wong, I. C. K., &amp; Ip, P. (2022). Vitamin D concentrations during pregnancy and in cord blood: A systematic review and meta-analysis. </w:t>
      </w:r>
      <w:r w:rsidRPr="006F52AE">
        <w:rPr>
          <w:i/>
          <w:iCs/>
          <w:lang w:val="en-NZ"/>
        </w:rPr>
        <w:t>Nutrition Reviews</w:t>
      </w:r>
      <w:r w:rsidRPr="006F52AE">
        <w:rPr>
          <w:lang w:val="en-NZ"/>
        </w:rPr>
        <w:t xml:space="preserve">, </w:t>
      </w:r>
      <w:r w:rsidRPr="006F52AE">
        <w:rPr>
          <w:i/>
          <w:iCs/>
          <w:lang w:val="en-NZ"/>
        </w:rPr>
        <w:t>80</w:t>
      </w:r>
      <w:r w:rsidRPr="006F52AE">
        <w:rPr>
          <w:lang w:val="en-NZ"/>
        </w:rPr>
        <w:t>(12), 2225–2236. https://doi.org/10.1093/nutrit/nuac023</w:t>
      </w:r>
    </w:p>
    <w:p w14:paraId="0CE91E02" w14:textId="77777777" w:rsidR="006F52AE" w:rsidRPr="006F52AE" w:rsidRDefault="006F52AE" w:rsidP="006F52AE">
      <w:pPr>
        <w:rPr>
          <w:lang w:val="en-NZ"/>
        </w:rPr>
      </w:pPr>
      <w:r w:rsidRPr="006F52AE">
        <w:rPr>
          <w:lang w:val="en-NZ"/>
        </w:rPr>
        <w:t xml:space="preserve">Zhang, H., Wang, S., Tuo, L., Zhai, Q., Cui, J., Chen, D., &amp; Xu, D. (2022). Relationship between Maternal Vitamin D Levels and Adverse Outcomes. </w:t>
      </w:r>
      <w:r w:rsidRPr="006F52AE">
        <w:rPr>
          <w:i/>
          <w:iCs/>
          <w:lang w:val="en-NZ"/>
        </w:rPr>
        <w:t>Nutrients</w:t>
      </w:r>
      <w:r w:rsidRPr="006F52AE">
        <w:rPr>
          <w:lang w:val="en-NZ"/>
        </w:rPr>
        <w:t xml:space="preserve">, </w:t>
      </w:r>
      <w:r w:rsidRPr="006F52AE">
        <w:rPr>
          <w:i/>
          <w:iCs/>
          <w:lang w:val="en-NZ"/>
        </w:rPr>
        <w:t>14</w:t>
      </w:r>
      <w:r w:rsidRPr="006F52AE">
        <w:rPr>
          <w:lang w:val="en-NZ"/>
        </w:rPr>
        <w:t>(20), 4230. https://doi.org/10.3390/nu14204230</w:t>
      </w:r>
    </w:p>
    <w:p w14:paraId="73BB6AC9" w14:textId="6630D8A3" w:rsidR="006F52AE" w:rsidRPr="002B0407" w:rsidRDefault="006F52AE" w:rsidP="006F52AE">
      <w:pPr>
        <w:rPr>
          <w:lang w:val="en-NZ"/>
        </w:rPr>
      </w:pPr>
      <w:r w:rsidRPr="006F52AE">
        <w:rPr>
          <w:lang w:val="en-NZ"/>
        </w:rPr>
        <w:fldChar w:fldCharType="end"/>
      </w:r>
    </w:p>
    <w:sectPr w:rsidR="006F52AE" w:rsidRPr="002B0407" w:rsidSect="0007559D">
      <w:headerReference w:type="default" r:id="rId32"/>
      <w:headerReference w:type="first" r:id="rId33"/>
      <w:footerReference w:type="first" r:id="rId34"/>
      <w:pgSz w:w="11906" w:h="16838"/>
      <w:pgMar w:top="1530" w:right="1440" w:bottom="1702" w:left="1440" w:header="851" w:footer="1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F0CF1E" w14:textId="77777777" w:rsidR="00D97E4B" w:rsidRDefault="00D97E4B" w:rsidP="001D3387">
      <w:r>
        <w:separator/>
      </w:r>
    </w:p>
  </w:endnote>
  <w:endnote w:type="continuationSeparator" w:id="0">
    <w:p w14:paraId="6DF31445" w14:textId="77777777" w:rsidR="00D97E4B" w:rsidRDefault="00D97E4B" w:rsidP="001D3387">
      <w:r>
        <w:continuationSeparator/>
      </w:r>
    </w:p>
  </w:endnote>
  <w:endnote w:type="continuationNotice" w:id="1">
    <w:p w14:paraId="1F7393E2" w14:textId="77777777" w:rsidR="00D97E4B" w:rsidRDefault="00D97E4B" w:rsidP="001D33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Roboto">
    <w:altName w:val="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GillSans">
    <w:altName w:val="Calibri"/>
    <w:panose1 w:val="00000000000000000000"/>
    <w:charset w:val="00"/>
    <w:family w:val="moder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2449008"/>
      <w:docPartObj>
        <w:docPartGallery w:val="Page Numbers (Bottom of Page)"/>
        <w:docPartUnique/>
      </w:docPartObj>
    </w:sdtPr>
    <w:sdtEndPr>
      <w:rPr>
        <w:noProof/>
      </w:rPr>
    </w:sdtEndPr>
    <w:sdtContent>
      <w:p w14:paraId="3FFF51FE" w14:textId="03D442E7" w:rsidR="00431323" w:rsidRDefault="00920CB3" w:rsidP="00A32AA1">
        <w:pPr>
          <w:pStyle w:val="Footerbody"/>
          <w:tabs>
            <w:tab w:val="left" w:pos="8789"/>
          </w:tabs>
          <w:spacing w:after="100" w:afterAutospacing="1"/>
          <w:rPr>
            <w:noProof/>
          </w:rPr>
        </w:pPr>
        <w:r w:rsidRPr="001D3387">
          <w:tab/>
        </w:r>
        <w:r w:rsidR="0007559D">
          <w:ptab w:relativeTo="margin" w:alignment="right" w:leader="none"/>
        </w:r>
        <w:r w:rsidR="00A32AA1">
          <w:fldChar w:fldCharType="begin"/>
        </w:r>
        <w:r w:rsidR="00A32AA1">
          <w:instrText xml:space="preserve"> PAGE   \* MERGEFORMAT </w:instrText>
        </w:r>
        <w:r w:rsidR="00A32AA1">
          <w:fldChar w:fldCharType="separate"/>
        </w:r>
        <w:r w:rsidR="00A32AA1">
          <w:rPr>
            <w:noProof/>
          </w:rPr>
          <w:t>1</w:t>
        </w:r>
        <w:r w:rsidR="00A32AA1">
          <w:rPr>
            <w:noProof/>
          </w:rPr>
          <w:fldChar w:fldCharType="end"/>
        </w:r>
      </w:p>
    </w:sdtContent>
  </w:sdt>
  <w:p w14:paraId="40F96520" w14:textId="77777777" w:rsidR="0011702E" w:rsidRDefault="0011702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E6A5F" w14:textId="77777777" w:rsidR="00684CAC" w:rsidRDefault="00684CAC" w:rsidP="001D3387">
    <w:pPr>
      <w:pStyle w:val="Footer"/>
    </w:pPr>
  </w:p>
  <w:p w14:paraId="1593C682" w14:textId="77777777" w:rsidR="003A10C8" w:rsidRDefault="00A92D1C" w:rsidP="001D3387">
    <w:pPr>
      <w:pStyle w:val="Footer"/>
    </w:pPr>
    <w:r>
      <w:rPr>
        <w:noProof/>
      </w:rPr>
      <w:drawing>
        <wp:anchor distT="0" distB="0" distL="114300" distR="114300" simplePos="0" relativeHeight="251658240" behindDoc="1" locked="0" layoutInCell="1" allowOverlap="1" wp14:anchorId="5ADC4B93" wp14:editId="504C2569">
          <wp:simplePos x="0" y="0"/>
          <wp:positionH relativeFrom="page">
            <wp:posOffset>7699375</wp:posOffset>
          </wp:positionH>
          <wp:positionV relativeFrom="paragraph">
            <wp:posOffset>161925</wp:posOffset>
          </wp:positionV>
          <wp:extent cx="7539990" cy="942340"/>
          <wp:effectExtent l="0" t="0" r="3810" b="0"/>
          <wp:wrapNone/>
          <wp:docPr id="1557057507" name="Picture 1557057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9990" cy="9423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03642" w14:textId="77777777" w:rsidR="0007559D" w:rsidRDefault="0007559D" w:rsidP="001D3387">
    <w:pPr>
      <w:pStyle w:val="Footer"/>
    </w:pPr>
  </w:p>
  <w:p w14:paraId="39CE5AEB" w14:textId="009F8C41" w:rsidR="0007559D" w:rsidRDefault="0007559D" w:rsidP="001D33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2E2A2" w14:textId="77777777" w:rsidR="0007559D" w:rsidRDefault="0007559D" w:rsidP="001D3387">
    <w:pPr>
      <w:pStyle w:val="Footer"/>
    </w:pPr>
  </w:p>
  <w:p w14:paraId="4A9D6480" w14:textId="77777777" w:rsidR="0007559D" w:rsidRDefault="0007559D" w:rsidP="001D3387">
    <w:pPr>
      <w:pStyle w:val="Footer"/>
    </w:pPr>
    <w:r>
      <w:rPr>
        <w:noProof/>
      </w:rPr>
      <w:drawing>
        <wp:anchor distT="0" distB="0" distL="114300" distR="114300" simplePos="0" relativeHeight="251658245" behindDoc="1" locked="0" layoutInCell="1" allowOverlap="1" wp14:anchorId="132561E3" wp14:editId="1C28FDB6">
          <wp:simplePos x="0" y="0"/>
          <wp:positionH relativeFrom="page">
            <wp:posOffset>7699375</wp:posOffset>
          </wp:positionH>
          <wp:positionV relativeFrom="paragraph">
            <wp:posOffset>161925</wp:posOffset>
          </wp:positionV>
          <wp:extent cx="7539990" cy="942340"/>
          <wp:effectExtent l="0" t="0" r="3810" b="0"/>
          <wp:wrapNone/>
          <wp:docPr id="2050323654" name="Picture 205032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9990" cy="9423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BFC97B" w14:textId="77777777" w:rsidR="00D97E4B" w:rsidRDefault="00D97E4B" w:rsidP="001D3387">
      <w:r>
        <w:separator/>
      </w:r>
    </w:p>
  </w:footnote>
  <w:footnote w:type="continuationSeparator" w:id="0">
    <w:p w14:paraId="6BC8D81B" w14:textId="77777777" w:rsidR="00D97E4B" w:rsidRDefault="00D97E4B" w:rsidP="001D3387">
      <w:r>
        <w:continuationSeparator/>
      </w:r>
    </w:p>
  </w:footnote>
  <w:footnote w:type="continuationNotice" w:id="1">
    <w:p w14:paraId="080DBA64" w14:textId="77777777" w:rsidR="00D97E4B" w:rsidRDefault="00D97E4B" w:rsidP="001D33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9CF24" w14:textId="77777777" w:rsidR="0011702E" w:rsidRDefault="001E1669" w:rsidP="00167DCB">
    <w:r w:rsidRPr="001E1669">
      <w:rPr>
        <w:noProof/>
      </w:rPr>
      <w:drawing>
        <wp:anchor distT="0" distB="0" distL="114300" distR="114300" simplePos="0" relativeHeight="251658241" behindDoc="1" locked="0" layoutInCell="1" allowOverlap="1" wp14:anchorId="392AEC27" wp14:editId="11BB5A49">
          <wp:simplePos x="0" y="0"/>
          <wp:positionH relativeFrom="page">
            <wp:posOffset>6985</wp:posOffset>
          </wp:positionH>
          <wp:positionV relativeFrom="paragraph">
            <wp:posOffset>-560705</wp:posOffset>
          </wp:positionV>
          <wp:extent cx="7543800" cy="1000125"/>
          <wp:effectExtent l="0" t="0" r="0" b="0"/>
          <wp:wrapNone/>
          <wp:docPr id="2119876795" name="Picture 2119876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3800" cy="1000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CB533" w14:textId="77777777" w:rsidR="001218E6" w:rsidRDefault="001218E6">
    <w:pPr>
      <w:pStyle w:val="Header"/>
    </w:pPr>
    <w:r w:rsidRPr="001E1669">
      <w:rPr>
        <w:rFonts w:ascii="Poppins" w:hAnsi="Poppins" w:cs="Poppins"/>
        <w:b/>
        <w:bCs/>
        <w:noProof/>
        <w:kern w:val="22"/>
        <w:sz w:val="20"/>
        <w:szCs w:val="20"/>
      </w:rPr>
      <w:drawing>
        <wp:anchor distT="0" distB="0" distL="114300" distR="114300" simplePos="0" relativeHeight="251658242" behindDoc="1" locked="0" layoutInCell="1" allowOverlap="1" wp14:anchorId="5EBFEE0F" wp14:editId="041CAB17">
          <wp:simplePos x="0" y="0"/>
          <wp:positionH relativeFrom="page">
            <wp:align>left</wp:align>
          </wp:positionH>
          <wp:positionV relativeFrom="paragraph">
            <wp:posOffset>-540688</wp:posOffset>
          </wp:positionV>
          <wp:extent cx="7543800" cy="927100"/>
          <wp:effectExtent l="0" t="0" r="0" b="0"/>
          <wp:wrapNone/>
          <wp:docPr id="1906713400" name="Picture 190671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3800" cy="9271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B5DB1" w14:textId="77777777" w:rsidR="0007559D" w:rsidRDefault="0007559D" w:rsidP="00167DCB">
    <w:r w:rsidRPr="001E1669">
      <w:rPr>
        <w:noProof/>
      </w:rPr>
      <w:drawing>
        <wp:anchor distT="0" distB="0" distL="114300" distR="114300" simplePos="0" relativeHeight="251658246" behindDoc="1" locked="0" layoutInCell="1" allowOverlap="1" wp14:anchorId="06A63EF3" wp14:editId="4B4E3BEF">
          <wp:simplePos x="0" y="0"/>
          <wp:positionH relativeFrom="page">
            <wp:posOffset>13647</wp:posOffset>
          </wp:positionH>
          <wp:positionV relativeFrom="paragraph">
            <wp:posOffset>-554033</wp:posOffset>
          </wp:positionV>
          <wp:extent cx="10658901" cy="1413112"/>
          <wp:effectExtent l="0" t="0" r="0" b="0"/>
          <wp:wrapNone/>
          <wp:docPr id="1153602745" name="Picture 115360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737805" cy="1423573"/>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D7840" w14:textId="77777777" w:rsidR="0007559D" w:rsidRDefault="0007559D">
    <w:pPr>
      <w:pStyle w:val="Header"/>
    </w:pPr>
    <w:r w:rsidRPr="001E1669">
      <w:rPr>
        <w:rFonts w:ascii="Poppins" w:hAnsi="Poppins" w:cs="Poppins"/>
        <w:b/>
        <w:bCs/>
        <w:noProof/>
        <w:kern w:val="22"/>
        <w:sz w:val="20"/>
        <w:szCs w:val="20"/>
      </w:rPr>
      <w:drawing>
        <wp:anchor distT="0" distB="0" distL="114300" distR="114300" simplePos="0" relativeHeight="251658243" behindDoc="1" locked="0" layoutInCell="1" allowOverlap="1" wp14:anchorId="642AFF32" wp14:editId="608D1A19">
          <wp:simplePos x="0" y="0"/>
          <wp:positionH relativeFrom="page">
            <wp:align>left</wp:align>
          </wp:positionH>
          <wp:positionV relativeFrom="paragraph">
            <wp:posOffset>-540688</wp:posOffset>
          </wp:positionV>
          <wp:extent cx="7543800" cy="927100"/>
          <wp:effectExtent l="0" t="0" r="0" b="0"/>
          <wp:wrapNone/>
          <wp:docPr id="579196778" name="Picture 579196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3800" cy="9271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A8948" w14:textId="77777777" w:rsidR="0007559D" w:rsidRDefault="0007559D" w:rsidP="00167DCB">
    <w:r w:rsidRPr="001E1669">
      <w:rPr>
        <w:noProof/>
      </w:rPr>
      <w:drawing>
        <wp:anchor distT="0" distB="0" distL="114300" distR="114300" simplePos="0" relativeHeight="251658247" behindDoc="1" locked="0" layoutInCell="1" allowOverlap="1" wp14:anchorId="3CD17463" wp14:editId="4A6ABCA7">
          <wp:simplePos x="0" y="0"/>
          <wp:positionH relativeFrom="page">
            <wp:posOffset>6985</wp:posOffset>
          </wp:positionH>
          <wp:positionV relativeFrom="paragraph">
            <wp:posOffset>-560705</wp:posOffset>
          </wp:positionV>
          <wp:extent cx="7543800" cy="1000125"/>
          <wp:effectExtent l="0" t="0" r="0" b="0"/>
          <wp:wrapNone/>
          <wp:docPr id="2100844425" name="Picture 210084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3800" cy="1000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9871C" w14:textId="77777777" w:rsidR="0007559D" w:rsidRDefault="0007559D">
    <w:pPr>
      <w:pStyle w:val="Header"/>
    </w:pPr>
    <w:r w:rsidRPr="001E1669">
      <w:rPr>
        <w:rFonts w:ascii="Poppins" w:hAnsi="Poppins" w:cs="Poppins"/>
        <w:b/>
        <w:bCs/>
        <w:noProof/>
        <w:kern w:val="22"/>
        <w:sz w:val="20"/>
        <w:szCs w:val="20"/>
      </w:rPr>
      <w:drawing>
        <wp:anchor distT="0" distB="0" distL="114300" distR="114300" simplePos="0" relativeHeight="251658244" behindDoc="1" locked="0" layoutInCell="1" allowOverlap="1" wp14:anchorId="5FB0DB71" wp14:editId="1EDF6694">
          <wp:simplePos x="0" y="0"/>
          <wp:positionH relativeFrom="page">
            <wp:align>left</wp:align>
          </wp:positionH>
          <wp:positionV relativeFrom="paragraph">
            <wp:posOffset>-540688</wp:posOffset>
          </wp:positionV>
          <wp:extent cx="7543800" cy="927100"/>
          <wp:effectExtent l="0" t="0" r="0" b="0"/>
          <wp:wrapNone/>
          <wp:docPr id="1319164810" name="Picture 131916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3800" cy="9271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D4924"/>
    <w:multiLevelType w:val="hybridMultilevel"/>
    <w:tmpl w:val="38407052"/>
    <w:lvl w:ilvl="0" w:tplc="FFFFFFFF">
      <w:start w:val="1"/>
      <w:numFmt w:val="decimal"/>
      <w:lvlText w:val="%1."/>
      <w:lvlJc w:val="left"/>
      <w:pPr>
        <w:ind w:left="-351" w:hanging="360"/>
      </w:pPr>
      <w:rPr>
        <w:rFonts w:hint="default"/>
      </w:rPr>
    </w:lvl>
    <w:lvl w:ilvl="1" w:tplc="FFFFFFFF">
      <w:start w:val="1"/>
      <w:numFmt w:val="lowerLetter"/>
      <w:lvlText w:val="%2."/>
      <w:lvlJc w:val="left"/>
      <w:pPr>
        <w:ind w:left="369" w:hanging="360"/>
      </w:pPr>
    </w:lvl>
    <w:lvl w:ilvl="2" w:tplc="14090017">
      <w:start w:val="1"/>
      <w:numFmt w:val="lowerLetter"/>
      <w:lvlText w:val="%3)"/>
      <w:lvlJc w:val="left"/>
      <w:pPr>
        <w:ind w:left="1269" w:hanging="360"/>
      </w:pPr>
    </w:lvl>
    <w:lvl w:ilvl="3" w:tplc="FFFFFFFF" w:tentative="1">
      <w:start w:val="1"/>
      <w:numFmt w:val="decimal"/>
      <w:lvlText w:val="%4."/>
      <w:lvlJc w:val="left"/>
      <w:pPr>
        <w:ind w:left="1809" w:hanging="360"/>
      </w:pPr>
    </w:lvl>
    <w:lvl w:ilvl="4" w:tplc="FFFFFFFF" w:tentative="1">
      <w:start w:val="1"/>
      <w:numFmt w:val="lowerLetter"/>
      <w:lvlText w:val="%5."/>
      <w:lvlJc w:val="left"/>
      <w:pPr>
        <w:ind w:left="2529" w:hanging="360"/>
      </w:pPr>
    </w:lvl>
    <w:lvl w:ilvl="5" w:tplc="FFFFFFFF" w:tentative="1">
      <w:start w:val="1"/>
      <w:numFmt w:val="lowerRoman"/>
      <w:lvlText w:val="%6."/>
      <w:lvlJc w:val="right"/>
      <w:pPr>
        <w:ind w:left="3249" w:hanging="180"/>
      </w:pPr>
    </w:lvl>
    <w:lvl w:ilvl="6" w:tplc="FFFFFFFF" w:tentative="1">
      <w:start w:val="1"/>
      <w:numFmt w:val="decimal"/>
      <w:lvlText w:val="%7."/>
      <w:lvlJc w:val="left"/>
      <w:pPr>
        <w:ind w:left="3969" w:hanging="360"/>
      </w:pPr>
    </w:lvl>
    <w:lvl w:ilvl="7" w:tplc="FFFFFFFF" w:tentative="1">
      <w:start w:val="1"/>
      <w:numFmt w:val="lowerLetter"/>
      <w:lvlText w:val="%8."/>
      <w:lvlJc w:val="left"/>
      <w:pPr>
        <w:ind w:left="4689" w:hanging="360"/>
      </w:pPr>
    </w:lvl>
    <w:lvl w:ilvl="8" w:tplc="FFFFFFFF" w:tentative="1">
      <w:start w:val="1"/>
      <w:numFmt w:val="lowerRoman"/>
      <w:lvlText w:val="%9."/>
      <w:lvlJc w:val="right"/>
      <w:pPr>
        <w:ind w:left="5409" w:hanging="180"/>
      </w:pPr>
    </w:lvl>
  </w:abstractNum>
  <w:abstractNum w:abstractNumId="1" w15:restartNumberingAfterBreak="0">
    <w:nsid w:val="07F73799"/>
    <w:multiLevelType w:val="hybridMultilevel"/>
    <w:tmpl w:val="4F480B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D4139CB"/>
    <w:multiLevelType w:val="hybridMultilevel"/>
    <w:tmpl w:val="CF6CE4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22721A4"/>
    <w:multiLevelType w:val="hybridMultilevel"/>
    <w:tmpl w:val="8014F9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39318F4"/>
    <w:multiLevelType w:val="hybridMultilevel"/>
    <w:tmpl w:val="0F80F3A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5243581"/>
    <w:multiLevelType w:val="hybridMultilevel"/>
    <w:tmpl w:val="8FB20BA0"/>
    <w:lvl w:ilvl="0" w:tplc="1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B524295"/>
    <w:multiLevelType w:val="hybridMultilevel"/>
    <w:tmpl w:val="13FE78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C1C22CD"/>
    <w:multiLevelType w:val="hybridMultilevel"/>
    <w:tmpl w:val="7A3859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C5764BE"/>
    <w:multiLevelType w:val="hybridMultilevel"/>
    <w:tmpl w:val="1F9640EA"/>
    <w:lvl w:ilvl="0" w:tplc="14090001">
      <w:start w:val="1"/>
      <w:numFmt w:val="bullet"/>
      <w:lvlText w:val=""/>
      <w:lvlJc w:val="left"/>
      <w:pPr>
        <w:ind w:left="790" w:hanging="360"/>
      </w:pPr>
      <w:rPr>
        <w:rFonts w:ascii="Symbol" w:hAnsi="Symbol" w:hint="default"/>
      </w:rPr>
    </w:lvl>
    <w:lvl w:ilvl="1" w:tplc="14090003" w:tentative="1">
      <w:start w:val="1"/>
      <w:numFmt w:val="bullet"/>
      <w:lvlText w:val="o"/>
      <w:lvlJc w:val="left"/>
      <w:pPr>
        <w:ind w:left="1510" w:hanging="360"/>
      </w:pPr>
      <w:rPr>
        <w:rFonts w:ascii="Courier New" w:hAnsi="Courier New" w:cs="Courier New" w:hint="default"/>
      </w:rPr>
    </w:lvl>
    <w:lvl w:ilvl="2" w:tplc="14090005" w:tentative="1">
      <w:start w:val="1"/>
      <w:numFmt w:val="bullet"/>
      <w:lvlText w:val=""/>
      <w:lvlJc w:val="left"/>
      <w:pPr>
        <w:ind w:left="2230" w:hanging="360"/>
      </w:pPr>
      <w:rPr>
        <w:rFonts w:ascii="Wingdings" w:hAnsi="Wingdings" w:hint="default"/>
      </w:rPr>
    </w:lvl>
    <w:lvl w:ilvl="3" w:tplc="14090001" w:tentative="1">
      <w:start w:val="1"/>
      <w:numFmt w:val="bullet"/>
      <w:lvlText w:val=""/>
      <w:lvlJc w:val="left"/>
      <w:pPr>
        <w:ind w:left="2950" w:hanging="360"/>
      </w:pPr>
      <w:rPr>
        <w:rFonts w:ascii="Symbol" w:hAnsi="Symbol" w:hint="default"/>
      </w:rPr>
    </w:lvl>
    <w:lvl w:ilvl="4" w:tplc="14090003" w:tentative="1">
      <w:start w:val="1"/>
      <w:numFmt w:val="bullet"/>
      <w:lvlText w:val="o"/>
      <w:lvlJc w:val="left"/>
      <w:pPr>
        <w:ind w:left="3670" w:hanging="360"/>
      </w:pPr>
      <w:rPr>
        <w:rFonts w:ascii="Courier New" w:hAnsi="Courier New" w:cs="Courier New" w:hint="default"/>
      </w:rPr>
    </w:lvl>
    <w:lvl w:ilvl="5" w:tplc="14090005" w:tentative="1">
      <w:start w:val="1"/>
      <w:numFmt w:val="bullet"/>
      <w:lvlText w:val=""/>
      <w:lvlJc w:val="left"/>
      <w:pPr>
        <w:ind w:left="4390" w:hanging="360"/>
      </w:pPr>
      <w:rPr>
        <w:rFonts w:ascii="Wingdings" w:hAnsi="Wingdings" w:hint="default"/>
      </w:rPr>
    </w:lvl>
    <w:lvl w:ilvl="6" w:tplc="14090001" w:tentative="1">
      <w:start w:val="1"/>
      <w:numFmt w:val="bullet"/>
      <w:lvlText w:val=""/>
      <w:lvlJc w:val="left"/>
      <w:pPr>
        <w:ind w:left="5110" w:hanging="360"/>
      </w:pPr>
      <w:rPr>
        <w:rFonts w:ascii="Symbol" w:hAnsi="Symbol" w:hint="default"/>
      </w:rPr>
    </w:lvl>
    <w:lvl w:ilvl="7" w:tplc="14090003" w:tentative="1">
      <w:start w:val="1"/>
      <w:numFmt w:val="bullet"/>
      <w:lvlText w:val="o"/>
      <w:lvlJc w:val="left"/>
      <w:pPr>
        <w:ind w:left="5830" w:hanging="360"/>
      </w:pPr>
      <w:rPr>
        <w:rFonts w:ascii="Courier New" w:hAnsi="Courier New" w:cs="Courier New" w:hint="default"/>
      </w:rPr>
    </w:lvl>
    <w:lvl w:ilvl="8" w:tplc="14090005" w:tentative="1">
      <w:start w:val="1"/>
      <w:numFmt w:val="bullet"/>
      <w:lvlText w:val=""/>
      <w:lvlJc w:val="left"/>
      <w:pPr>
        <w:ind w:left="6550" w:hanging="360"/>
      </w:pPr>
      <w:rPr>
        <w:rFonts w:ascii="Wingdings" w:hAnsi="Wingdings" w:hint="default"/>
      </w:rPr>
    </w:lvl>
  </w:abstractNum>
  <w:abstractNum w:abstractNumId="9" w15:restartNumberingAfterBreak="0">
    <w:nsid w:val="1C977DCD"/>
    <w:multiLevelType w:val="hybridMultilevel"/>
    <w:tmpl w:val="E2BCE84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DF612C0"/>
    <w:multiLevelType w:val="hybridMultilevel"/>
    <w:tmpl w:val="09CAC538"/>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27D5109"/>
    <w:multiLevelType w:val="hybridMultilevel"/>
    <w:tmpl w:val="0C64D1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4307228"/>
    <w:multiLevelType w:val="hybridMultilevel"/>
    <w:tmpl w:val="303E03EC"/>
    <w:lvl w:ilvl="0" w:tplc="14090001">
      <w:start w:val="1"/>
      <w:numFmt w:val="bullet"/>
      <w:lvlText w:val=""/>
      <w:lvlJc w:val="left"/>
      <w:pPr>
        <w:ind w:left="904" w:hanging="284"/>
      </w:pPr>
      <w:rPr>
        <w:rFonts w:ascii="Symbol" w:hAnsi="Symbol" w:hint="default"/>
        <w:w w:val="100"/>
        <w:sz w:val="20"/>
        <w:szCs w:val="20"/>
        <w:lang w:val="en-US" w:eastAsia="en-US" w:bidi="ar-SA"/>
      </w:rPr>
    </w:lvl>
    <w:lvl w:ilvl="1" w:tplc="FFFFFFFF">
      <w:numFmt w:val="bullet"/>
      <w:lvlText w:val="–"/>
      <w:lvlJc w:val="left"/>
      <w:pPr>
        <w:ind w:left="1187" w:hanging="284"/>
      </w:pPr>
      <w:rPr>
        <w:rFonts w:ascii="Noto Sans" w:eastAsia="Noto Sans" w:hAnsi="Noto Sans" w:cs="Noto Sans" w:hint="default"/>
        <w:w w:val="100"/>
        <w:sz w:val="20"/>
        <w:szCs w:val="20"/>
        <w:lang w:val="en-US" w:eastAsia="en-US" w:bidi="ar-SA"/>
      </w:rPr>
    </w:lvl>
    <w:lvl w:ilvl="2" w:tplc="FFFFFFFF">
      <w:numFmt w:val="bullet"/>
      <w:lvlText w:val="•"/>
      <w:lvlJc w:val="left"/>
      <w:pPr>
        <w:ind w:left="2076" w:hanging="284"/>
      </w:pPr>
      <w:rPr>
        <w:rFonts w:hint="default"/>
        <w:lang w:val="en-US" w:eastAsia="en-US" w:bidi="ar-SA"/>
      </w:rPr>
    </w:lvl>
    <w:lvl w:ilvl="3" w:tplc="FFFFFFFF">
      <w:numFmt w:val="bullet"/>
      <w:lvlText w:val="•"/>
      <w:lvlJc w:val="left"/>
      <w:pPr>
        <w:ind w:left="2972" w:hanging="284"/>
      </w:pPr>
      <w:rPr>
        <w:rFonts w:hint="default"/>
        <w:lang w:val="en-US" w:eastAsia="en-US" w:bidi="ar-SA"/>
      </w:rPr>
    </w:lvl>
    <w:lvl w:ilvl="4" w:tplc="FFFFFFFF">
      <w:numFmt w:val="bullet"/>
      <w:lvlText w:val="•"/>
      <w:lvlJc w:val="left"/>
      <w:pPr>
        <w:ind w:left="3868" w:hanging="284"/>
      </w:pPr>
      <w:rPr>
        <w:rFonts w:hint="default"/>
        <w:lang w:val="en-US" w:eastAsia="en-US" w:bidi="ar-SA"/>
      </w:rPr>
    </w:lvl>
    <w:lvl w:ilvl="5" w:tplc="FFFFFFFF">
      <w:numFmt w:val="bullet"/>
      <w:lvlText w:val="•"/>
      <w:lvlJc w:val="left"/>
      <w:pPr>
        <w:ind w:left="4764" w:hanging="284"/>
      </w:pPr>
      <w:rPr>
        <w:rFonts w:hint="default"/>
        <w:lang w:val="en-US" w:eastAsia="en-US" w:bidi="ar-SA"/>
      </w:rPr>
    </w:lvl>
    <w:lvl w:ilvl="6" w:tplc="FFFFFFFF">
      <w:numFmt w:val="bullet"/>
      <w:lvlText w:val="•"/>
      <w:lvlJc w:val="left"/>
      <w:pPr>
        <w:ind w:left="5660" w:hanging="284"/>
      </w:pPr>
      <w:rPr>
        <w:rFonts w:hint="default"/>
        <w:lang w:val="en-US" w:eastAsia="en-US" w:bidi="ar-SA"/>
      </w:rPr>
    </w:lvl>
    <w:lvl w:ilvl="7" w:tplc="FFFFFFFF">
      <w:numFmt w:val="bullet"/>
      <w:lvlText w:val="•"/>
      <w:lvlJc w:val="left"/>
      <w:pPr>
        <w:ind w:left="6557" w:hanging="284"/>
      </w:pPr>
      <w:rPr>
        <w:rFonts w:hint="default"/>
        <w:lang w:val="en-US" w:eastAsia="en-US" w:bidi="ar-SA"/>
      </w:rPr>
    </w:lvl>
    <w:lvl w:ilvl="8" w:tplc="FFFFFFFF">
      <w:numFmt w:val="bullet"/>
      <w:lvlText w:val="•"/>
      <w:lvlJc w:val="left"/>
      <w:pPr>
        <w:ind w:left="7453" w:hanging="284"/>
      </w:pPr>
      <w:rPr>
        <w:rFonts w:hint="default"/>
        <w:lang w:val="en-US" w:eastAsia="en-US" w:bidi="ar-SA"/>
      </w:rPr>
    </w:lvl>
  </w:abstractNum>
  <w:abstractNum w:abstractNumId="13" w15:restartNumberingAfterBreak="0">
    <w:nsid w:val="2891058B"/>
    <w:multiLevelType w:val="hybridMultilevel"/>
    <w:tmpl w:val="9FF88A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9F9795A"/>
    <w:multiLevelType w:val="hybridMultilevel"/>
    <w:tmpl w:val="968E5ED6"/>
    <w:lvl w:ilvl="0" w:tplc="14090001">
      <w:start w:val="1"/>
      <w:numFmt w:val="bullet"/>
      <w:lvlText w:val=""/>
      <w:lvlJc w:val="left"/>
      <w:pPr>
        <w:ind w:left="1125" w:hanging="360"/>
      </w:pPr>
      <w:rPr>
        <w:rFonts w:ascii="Symbol" w:hAnsi="Symbol" w:hint="default"/>
      </w:rPr>
    </w:lvl>
    <w:lvl w:ilvl="1" w:tplc="14090003" w:tentative="1">
      <w:start w:val="1"/>
      <w:numFmt w:val="bullet"/>
      <w:lvlText w:val="o"/>
      <w:lvlJc w:val="left"/>
      <w:pPr>
        <w:ind w:left="1845" w:hanging="360"/>
      </w:pPr>
      <w:rPr>
        <w:rFonts w:ascii="Courier New" w:hAnsi="Courier New" w:cs="Courier New" w:hint="default"/>
      </w:rPr>
    </w:lvl>
    <w:lvl w:ilvl="2" w:tplc="14090005" w:tentative="1">
      <w:start w:val="1"/>
      <w:numFmt w:val="bullet"/>
      <w:lvlText w:val=""/>
      <w:lvlJc w:val="left"/>
      <w:pPr>
        <w:ind w:left="2565" w:hanging="360"/>
      </w:pPr>
      <w:rPr>
        <w:rFonts w:ascii="Wingdings" w:hAnsi="Wingdings" w:hint="default"/>
      </w:rPr>
    </w:lvl>
    <w:lvl w:ilvl="3" w:tplc="14090001" w:tentative="1">
      <w:start w:val="1"/>
      <w:numFmt w:val="bullet"/>
      <w:lvlText w:val=""/>
      <w:lvlJc w:val="left"/>
      <w:pPr>
        <w:ind w:left="3285" w:hanging="360"/>
      </w:pPr>
      <w:rPr>
        <w:rFonts w:ascii="Symbol" w:hAnsi="Symbol" w:hint="default"/>
      </w:rPr>
    </w:lvl>
    <w:lvl w:ilvl="4" w:tplc="14090003" w:tentative="1">
      <w:start w:val="1"/>
      <w:numFmt w:val="bullet"/>
      <w:lvlText w:val="o"/>
      <w:lvlJc w:val="left"/>
      <w:pPr>
        <w:ind w:left="4005" w:hanging="360"/>
      </w:pPr>
      <w:rPr>
        <w:rFonts w:ascii="Courier New" w:hAnsi="Courier New" w:cs="Courier New" w:hint="default"/>
      </w:rPr>
    </w:lvl>
    <w:lvl w:ilvl="5" w:tplc="14090005" w:tentative="1">
      <w:start w:val="1"/>
      <w:numFmt w:val="bullet"/>
      <w:lvlText w:val=""/>
      <w:lvlJc w:val="left"/>
      <w:pPr>
        <w:ind w:left="4725" w:hanging="360"/>
      </w:pPr>
      <w:rPr>
        <w:rFonts w:ascii="Wingdings" w:hAnsi="Wingdings" w:hint="default"/>
      </w:rPr>
    </w:lvl>
    <w:lvl w:ilvl="6" w:tplc="14090001" w:tentative="1">
      <w:start w:val="1"/>
      <w:numFmt w:val="bullet"/>
      <w:lvlText w:val=""/>
      <w:lvlJc w:val="left"/>
      <w:pPr>
        <w:ind w:left="5445" w:hanging="360"/>
      </w:pPr>
      <w:rPr>
        <w:rFonts w:ascii="Symbol" w:hAnsi="Symbol" w:hint="default"/>
      </w:rPr>
    </w:lvl>
    <w:lvl w:ilvl="7" w:tplc="14090003" w:tentative="1">
      <w:start w:val="1"/>
      <w:numFmt w:val="bullet"/>
      <w:lvlText w:val="o"/>
      <w:lvlJc w:val="left"/>
      <w:pPr>
        <w:ind w:left="6165" w:hanging="360"/>
      </w:pPr>
      <w:rPr>
        <w:rFonts w:ascii="Courier New" w:hAnsi="Courier New" w:cs="Courier New" w:hint="default"/>
      </w:rPr>
    </w:lvl>
    <w:lvl w:ilvl="8" w:tplc="14090005" w:tentative="1">
      <w:start w:val="1"/>
      <w:numFmt w:val="bullet"/>
      <w:lvlText w:val=""/>
      <w:lvlJc w:val="left"/>
      <w:pPr>
        <w:ind w:left="6885" w:hanging="360"/>
      </w:pPr>
      <w:rPr>
        <w:rFonts w:ascii="Wingdings" w:hAnsi="Wingdings" w:hint="default"/>
      </w:rPr>
    </w:lvl>
  </w:abstractNum>
  <w:abstractNum w:abstractNumId="15" w15:restartNumberingAfterBreak="0">
    <w:nsid w:val="2CA0303B"/>
    <w:multiLevelType w:val="hybridMultilevel"/>
    <w:tmpl w:val="859E8C28"/>
    <w:lvl w:ilvl="0" w:tplc="77905282">
      <w:start w:val="1"/>
      <w:numFmt w:val="bullet"/>
      <w:pStyle w:val="Bulletpoints"/>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0A97292"/>
    <w:multiLevelType w:val="hybridMultilevel"/>
    <w:tmpl w:val="592C6E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3AF02C8"/>
    <w:multiLevelType w:val="hybridMultilevel"/>
    <w:tmpl w:val="CC1CDBC0"/>
    <w:lvl w:ilvl="0" w:tplc="E264C090">
      <w:numFmt w:val="bullet"/>
      <w:lvlText w:val=""/>
      <w:lvlJc w:val="left"/>
      <w:pPr>
        <w:ind w:left="478" w:hanging="358"/>
      </w:pPr>
      <w:rPr>
        <w:rFonts w:ascii="Symbol" w:eastAsia="Symbol" w:hAnsi="Symbol" w:cs="Symbol" w:hint="default"/>
        <w:b w:val="0"/>
        <w:bCs w:val="0"/>
        <w:i w:val="0"/>
        <w:iCs w:val="0"/>
        <w:spacing w:val="0"/>
        <w:w w:val="100"/>
        <w:sz w:val="22"/>
        <w:szCs w:val="22"/>
        <w:lang w:val="en-US" w:eastAsia="en-US" w:bidi="ar-SA"/>
      </w:rPr>
    </w:lvl>
    <w:lvl w:ilvl="1" w:tplc="E83E1BA2">
      <w:numFmt w:val="bullet"/>
      <w:lvlText w:val=""/>
      <w:lvlJc w:val="left"/>
      <w:pPr>
        <w:ind w:left="840" w:hanging="360"/>
      </w:pPr>
      <w:rPr>
        <w:rFonts w:ascii="Symbol" w:eastAsia="Symbol" w:hAnsi="Symbol" w:cs="Symbol" w:hint="default"/>
        <w:b w:val="0"/>
        <w:bCs w:val="0"/>
        <w:i w:val="0"/>
        <w:iCs w:val="0"/>
        <w:spacing w:val="0"/>
        <w:w w:val="100"/>
        <w:sz w:val="22"/>
        <w:szCs w:val="22"/>
        <w:lang w:val="en-US" w:eastAsia="en-US" w:bidi="ar-SA"/>
      </w:rPr>
    </w:lvl>
    <w:lvl w:ilvl="2" w:tplc="7584AD54">
      <w:numFmt w:val="bullet"/>
      <w:lvlText w:val="•"/>
      <w:lvlJc w:val="left"/>
      <w:pPr>
        <w:ind w:left="1814" w:hanging="360"/>
      </w:pPr>
      <w:rPr>
        <w:rFonts w:hint="default"/>
        <w:lang w:val="en-US" w:eastAsia="en-US" w:bidi="ar-SA"/>
      </w:rPr>
    </w:lvl>
    <w:lvl w:ilvl="3" w:tplc="E13423CE">
      <w:numFmt w:val="bullet"/>
      <w:lvlText w:val="•"/>
      <w:lvlJc w:val="left"/>
      <w:pPr>
        <w:ind w:left="2788" w:hanging="360"/>
      </w:pPr>
      <w:rPr>
        <w:rFonts w:hint="default"/>
        <w:lang w:val="en-US" w:eastAsia="en-US" w:bidi="ar-SA"/>
      </w:rPr>
    </w:lvl>
    <w:lvl w:ilvl="4" w:tplc="EB18A9C8">
      <w:numFmt w:val="bullet"/>
      <w:lvlText w:val="•"/>
      <w:lvlJc w:val="left"/>
      <w:pPr>
        <w:ind w:left="3762" w:hanging="360"/>
      </w:pPr>
      <w:rPr>
        <w:rFonts w:hint="default"/>
        <w:lang w:val="en-US" w:eastAsia="en-US" w:bidi="ar-SA"/>
      </w:rPr>
    </w:lvl>
    <w:lvl w:ilvl="5" w:tplc="0B0C0FD4">
      <w:numFmt w:val="bullet"/>
      <w:lvlText w:val="•"/>
      <w:lvlJc w:val="left"/>
      <w:pPr>
        <w:ind w:left="4736" w:hanging="360"/>
      </w:pPr>
      <w:rPr>
        <w:rFonts w:hint="default"/>
        <w:lang w:val="en-US" w:eastAsia="en-US" w:bidi="ar-SA"/>
      </w:rPr>
    </w:lvl>
    <w:lvl w:ilvl="6" w:tplc="99A0F75E">
      <w:numFmt w:val="bullet"/>
      <w:lvlText w:val="•"/>
      <w:lvlJc w:val="left"/>
      <w:pPr>
        <w:ind w:left="5710" w:hanging="360"/>
      </w:pPr>
      <w:rPr>
        <w:rFonts w:hint="default"/>
        <w:lang w:val="en-US" w:eastAsia="en-US" w:bidi="ar-SA"/>
      </w:rPr>
    </w:lvl>
    <w:lvl w:ilvl="7" w:tplc="872066BC">
      <w:numFmt w:val="bullet"/>
      <w:lvlText w:val="•"/>
      <w:lvlJc w:val="left"/>
      <w:pPr>
        <w:ind w:left="6684" w:hanging="360"/>
      </w:pPr>
      <w:rPr>
        <w:rFonts w:hint="default"/>
        <w:lang w:val="en-US" w:eastAsia="en-US" w:bidi="ar-SA"/>
      </w:rPr>
    </w:lvl>
    <w:lvl w:ilvl="8" w:tplc="96861A56">
      <w:numFmt w:val="bullet"/>
      <w:lvlText w:val="•"/>
      <w:lvlJc w:val="left"/>
      <w:pPr>
        <w:ind w:left="7658" w:hanging="360"/>
      </w:pPr>
      <w:rPr>
        <w:rFonts w:hint="default"/>
        <w:lang w:val="en-US" w:eastAsia="en-US" w:bidi="ar-SA"/>
      </w:rPr>
    </w:lvl>
  </w:abstractNum>
  <w:abstractNum w:abstractNumId="18" w15:restartNumberingAfterBreak="0">
    <w:nsid w:val="33D7081A"/>
    <w:multiLevelType w:val="hybridMultilevel"/>
    <w:tmpl w:val="0144C572"/>
    <w:lvl w:ilvl="0" w:tplc="08090019">
      <w:start w:val="1"/>
      <w:numFmt w:val="lowerLetter"/>
      <w:lvlText w:val="%1."/>
      <w:lvlJc w:val="left"/>
      <w:pPr>
        <w:ind w:left="1004" w:hanging="360"/>
      </w:pPr>
      <w:rPr>
        <w:rFonts w:hint="default"/>
        <w:w w:val="100"/>
        <w:sz w:val="20"/>
        <w:szCs w:val="20"/>
        <w:lang w:val="en-US" w:eastAsia="en-US" w:bidi="ar-SA"/>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9" w15:restartNumberingAfterBreak="0">
    <w:nsid w:val="3AB6205A"/>
    <w:multiLevelType w:val="hybridMultilevel"/>
    <w:tmpl w:val="9D542B7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3C7D3516"/>
    <w:multiLevelType w:val="hybridMultilevel"/>
    <w:tmpl w:val="9B406908"/>
    <w:lvl w:ilvl="0" w:tplc="02084884">
      <w:start w:val="1"/>
      <w:numFmt w:val="decimal"/>
      <w:pStyle w:val="Numberedbullets"/>
      <w:lvlText w:val="%1."/>
      <w:lvlJc w:val="left"/>
      <w:pPr>
        <w:ind w:left="720" w:hanging="360"/>
      </w:pPr>
      <w:rPr>
        <w:rFonts w:ascii="Roboto" w:hAnsi="Roboto" w:hint="default"/>
        <w:b w:val="0"/>
        <w:color w:val="auto"/>
        <w:sz w:val="22"/>
      </w:rPr>
    </w:lvl>
    <w:lvl w:ilvl="1" w:tplc="EC02A6B6">
      <w:start w:val="1"/>
      <w:numFmt w:val="lowerLetter"/>
      <w:pStyle w:val="Letteredbullets"/>
      <w:lvlText w:val="%2)"/>
      <w:lvlJc w:val="left"/>
      <w:pPr>
        <w:ind w:left="644"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E2B46C8"/>
    <w:multiLevelType w:val="hybridMultilevel"/>
    <w:tmpl w:val="44BC626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3FD92634"/>
    <w:multiLevelType w:val="hybridMultilevel"/>
    <w:tmpl w:val="7FC292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0513048"/>
    <w:multiLevelType w:val="hybridMultilevel"/>
    <w:tmpl w:val="139492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05955E9"/>
    <w:multiLevelType w:val="hybridMultilevel"/>
    <w:tmpl w:val="9C7250DE"/>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1B803F3"/>
    <w:multiLevelType w:val="multilevel"/>
    <w:tmpl w:val="342AAD8E"/>
    <w:lvl w:ilvl="0">
      <w:start w:val="1"/>
      <w:numFmt w:val="decimal"/>
      <w:lvlText w:val="%1."/>
      <w:lvlJc w:val="left"/>
      <w:pPr>
        <w:ind w:left="360" w:hanging="360"/>
      </w:pPr>
      <w:rPr>
        <w:rFonts w:ascii="Arial" w:eastAsia="Roboto"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2880DDE"/>
    <w:multiLevelType w:val="hybridMultilevel"/>
    <w:tmpl w:val="476A41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7C632AB"/>
    <w:multiLevelType w:val="hybridMultilevel"/>
    <w:tmpl w:val="2E9A25DE"/>
    <w:lvl w:ilvl="0" w:tplc="DEC61348">
      <w:numFmt w:val="bullet"/>
      <w:lvlText w:val="-"/>
      <w:lvlJc w:val="left"/>
      <w:pPr>
        <w:ind w:left="1080" w:hanging="720"/>
      </w:pPr>
      <w:rPr>
        <w:rFonts w:ascii="Arial" w:eastAsia="Roboto"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E6E0996"/>
    <w:multiLevelType w:val="multilevel"/>
    <w:tmpl w:val="4538C5B4"/>
    <w:lvl w:ilvl="0">
      <w:start w:val="1"/>
      <w:numFmt w:val="bullet"/>
      <w:lvlText w:val=""/>
      <w:lvlJc w:val="left"/>
      <w:pPr>
        <w:ind w:left="567" w:hanging="567"/>
      </w:pPr>
      <w:rPr>
        <w:rFonts w:ascii="Symbol" w:hAnsi="Symbol" w:hint="default"/>
        <w:color w:val="15284C" w:themeColor="text2"/>
        <w:sz w:val="22"/>
      </w:rPr>
    </w:lvl>
    <w:lvl w:ilvl="1">
      <w:start w:val="1"/>
      <w:numFmt w:val="bullet"/>
      <w:lvlText w:val="-"/>
      <w:lvlJc w:val="left"/>
      <w:pPr>
        <w:ind w:left="1134" w:hanging="567"/>
      </w:pPr>
      <w:rPr>
        <w:rFonts w:ascii="Calibri" w:hAnsi="Calibri" w:hint="default"/>
        <w:color w:val="15284C" w:themeColor="text2"/>
        <w:sz w:val="24"/>
      </w:rPr>
    </w:lvl>
    <w:lvl w:ilvl="2">
      <w:start w:val="1"/>
      <w:numFmt w:val="bullet"/>
      <w:lvlText w:val=""/>
      <w:lvlJc w:val="left"/>
      <w:pPr>
        <w:ind w:left="1701" w:hanging="567"/>
      </w:pPr>
      <w:rPr>
        <w:rFonts w:ascii="Symbol" w:hAnsi="Symbol" w:hint="default"/>
        <w:color w:val="15284C" w:themeColor="text2"/>
        <w:sz w:val="18"/>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9" w15:restartNumberingAfterBreak="0">
    <w:nsid w:val="4F4D7DBF"/>
    <w:multiLevelType w:val="hybridMultilevel"/>
    <w:tmpl w:val="0596C052"/>
    <w:lvl w:ilvl="0" w:tplc="A6C45220">
      <w:numFmt w:val="bullet"/>
      <w:lvlText w:val="•"/>
      <w:lvlJc w:val="left"/>
      <w:pPr>
        <w:ind w:left="1080" w:hanging="720"/>
      </w:pPr>
      <w:rPr>
        <w:rFonts w:ascii="Arial" w:eastAsia="Roboto"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F9431B6"/>
    <w:multiLevelType w:val="hybridMultilevel"/>
    <w:tmpl w:val="A25C54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FAC45B4"/>
    <w:multiLevelType w:val="hybridMultilevel"/>
    <w:tmpl w:val="ABDCA13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0616356"/>
    <w:multiLevelType w:val="hybridMultilevel"/>
    <w:tmpl w:val="383231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2AC5DF4"/>
    <w:multiLevelType w:val="hybridMultilevel"/>
    <w:tmpl w:val="247C0E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FDB0FE9"/>
    <w:multiLevelType w:val="hybridMultilevel"/>
    <w:tmpl w:val="4232D7AC"/>
    <w:lvl w:ilvl="0" w:tplc="14090001">
      <w:start w:val="1"/>
      <w:numFmt w:val="bullet"/>
      <w:lvlText w:val=""/>
      <w:lvlJc w:val="left"/>
      <w:pPr>
        <w:ind w:left="790" w:hanging="360"/>
      </w:pPr>
      <w:rPr>
        <w:rFonts w:ascii="Symbol" w:hAnsi="Symbol" w:hint="default"/>
      </w:rPr>
    </w:lvl>
    <w:lvl w:ilvl="1" w:tplc="14090003" w:tentative="1">
      <w:start w:val="1"/>
      <w:numFmt w:val="bullet"/>
      <w:lvlText w:val="o"/>
      <w:lvlJc w:val="left"/>
      <w:pPr>
        <w:ind w:left="1510" w:hanging="360"/>
      </w:pPr>
      <w:rPr>
        <w:rFonts w:ascii="Courier New" w:hAnsi="Courier New" w:cs="Courier New" w:hint="default"/>
      </w:rPr>
    </w:lvl>
    <w:lvl w:ilvl="2" w:tplc="14090005" w:tentative="1">
      <w:start w:val="1"/>
      <w:numFmt w:val="bullet"/>
      <w:lvlText w:val=""/>
      <w:lvlJc w:val="left"/>
      <w:pPr>
        <w:ind w:left="2230" w:hanging="360"/>
      </w:pPr>
      <w:rPr>
        <w:rFonts w:ascii="Wingdings" w:hAnsi="Wingdings" w:hint="default"/>
      </w:rPr>
    </w:lvl>
    <w:lvl w:ilvl="3" w:tplc="14090001" w:tentative="1">
      <w:start w:val="1"/>
      <w:numFmt w:val="bullet"/>
      <w:lvlText w:val=""/>
      <w:lvlJc w:val="left"/>
      <w:pPr>
        <w:ind w:left="2950" w:hanging="360"/>
      </w:pPr>
      <w:rPr>
        <w:rFonts w:ascii="Symbol" w:hAnsi="Symbol" w:hint="default"/>
      </w:rPr>
    </w:lvl>
    <w:lvl w:ilvl="4" w:tplc="14090003" w:tentative="1">
      <w:start w:val="1"/>
      <w:numFmt w:val="bullet"/>
      <w:lvlText w:val="o"/>
      <w:lvlJc w:val="left"/>
      <w:pPr>
        <w:ind w:left="3670" w:hanging="360"/>
      </w:pPr>
      <w:rPr>
        <w:rFonts w:ascii="Courier New" w:hAnsi="Courier New" w:cs="Courier New" w:hint="default"/>
      </w:rPr>
    </w:lvl>
    <w:lvl w:ilvl="5" w:tplc="14090005" w:tentative="1">
      <w:start w:val="1"/>
      <w:numFmt w:val="bullet"/>
      <w:lvlText w:val=""/>
      <w:lvlJc w:val="left"/>
      <w:pPr>
        <w:ind w:left="4390" w:hanging="360"/>
      </w:pPr>
      <w:rPr>
        <w:rFonts w:ascii="Wingdings" w:hAnsi="Wingdings" w:hint="default"/>
      </w:rPr>
    </w:lvl>
    <w:lvl w:ilvl="6" w:tplc="14090001" w:tentative="1">
      <w:start w:val="1"/>
      <w:numFmt w:val="bullet"/>
      <w:lvlText w:val=""/>
      <w:lvlJc w:val="left"/>
      <w:pPr>
        <w:ind w:left="5110" w:hanging="360"/>
      </w:pPr>
      <w:rPr>
        <w:rFonts w:ascii="Symbol" w:hAnsi="Symbol" w:hint="default"/>
      </w:rPr>
    </w:lvl>
    <w:lvl w:ilvl="7" w:tplc="14090003" w:tentative="1">
      <w:start w:val="1"/>
      <w:numFmt w:val="bullet"/>
      <w:lvlText w:val="o"/>
      <w:lvlJc w:val="left"/>
      <w:pPr>
        <w:ind w:left="5830" w:hanging="360"/>
      </w:pPr>
      <w:rPr>
        <w:rFonts w:ascii="Courier New" w:hAnsi="Courier New" w:cs="Courier New" w:hint="default"/>
      </w:rPr>
    </w:lvl>
    <w:lvl w:ilvl="8" w:tplc="14090005" w:tentative="1">
      <w:start w:val="1"/>
      <w:numFmt w:val="bullet"/>
      <w:lvlText w:val=""/>
      <w:lvlJc w:val="left"/>
      <w:pPr>
        <w:ind w:left="6550" w:hanging="360"/>
      </w:pPr>
      <w:rPr>
        <w:rFonts w:ascii="Wingdings" w:hAnsi="Wingdings" w:hint="default"/>
      </w:rPr>
    </w:lvl>
  </w:abstractNum>
  <w:abstractNum w:abstractNumId="35" w15:restartNumberingAfterBreak="0">
    <w:nsid w:val="62B87DA1"/>
    <w:multiLevelType w:val="hybridMultilevel"/>
    <w:tmpl w:val="A0AEC754"/>
    <w:lvl w:ilvl="0" w:tplc="83FE075C">
      <w:start w:val="1"/>
      <w:numFmt w:val="bullet"/>
      <w:lvlText w:val="•"/>
      <w:lvlJc w:val="left"/>
      <w:pPr>
        <w:tabs>
          <w:tab w:val="num" w:pos="720"/>
        </w:tabs>
        <w:ind w:left="720" w:hanging="360"/>
      </w:pPr>
      <w:rPr>
        <w:rFonts w:ascii="Arial" w:hAnsi="Arial" w:hint="default"/>
      </w:rPr>
    </w:lvl>
    <w:lvl w:ilvl="1" w:tplc="A07C543E" w:tentative="1">
      <w:start w:val="1"/>
      <w:numFmt w:val="bullet"/>
      <w:lvlText w:val="•"/>
      <w:lvlJc w:val="left"/>
      <w:pPr>
        <w:tabs>
          <w:tab w:val="num" w:pos="1440"/>
        </w:tabs>
        <w:ind w:left="1440" w:hanging="360"/>
      </w:pPr>
      <w:rPr>
        <w:rFonts w:ascii="Arial" w:hAnsi="Arial" w:hint="default"/>
      </w:rPr>
    </w:lvl>
    <w:lvl w:ilvl="2" w:tplc="45E6E944" w:tentative="1">
      <w:start w:val="1"/>
      <w:numFmt w:val="bullet"/>
      <w:lvlText w:val="•"/>
      <w:lvlJc w:val="left"/>
      <w:pPr>
        <w:tabs>
          <w:tab w:val="num" w:pos="2160"/>
        </w:tabs>
        <w:ind w:left="2160" w:hanging="360"/>
      </w:pPr>
      <w:rPr>
        <w:rFonts w:ascii="Arial" w:hAnsi="Arial" w:hint="default"/>
      </w:rPr>
    </w:lvl>
    <w:lvl w:ilvl="3" w:tplc="5F4E8894" w:tentative="1">
      <w:start w:val="1"/>
      <w:numFmt w:val="bullet"/>
      <w:lvlText w:val="•"/>
      <w:lvlJc w:val="left"/>
      <w:pPr>
        <w:tabs>
          <w:tab w:val="num" w:pos="2880"/>
        </w:tabs>
        <w:ind w:left="2880" w:hanging="360"/>
      </w:pPr>
      <w:rPr>
        <w:rFonts w:ascii="Arial" w:hAnsi="Arial" w:hint="default"/>
      </w:rPr>
    </w:lvl>
    <w:lvl w:ilvl="4" w:tplc="33629084" w:tentative="1">
      <w:start w:val="1"/>
      <w:numFmt w:val="bullet"/>
      <w:lvlText w:val="•"/>
      <w:lvlJc w:val="left"/>
      <w:pPr>
        <w:tabs>
          <w:tab w:val="num" w:pos="3600"/>
        </w:tabs>
        <w:ind w:left="3600" w:hanging="360"/>
      </w:pPr>
      <w:rPr>
        <w:rFonts w:ascii="Arial" w:hAnsi="Arial" w:hint="default"/>
      </w:rPr>
    </w:lvl>
    <w:lvl w:ilvl="5" w:tplc="9A54F31E" w:tentative="1">
      <w:start w:val="1"/>
      <w:numFmt w:val="bullet"/>
      <w:lvlText w:val="•"/>
      <w:lvlJc w:val="left"/>
      <w:pPr>
        <w:tabs>
          <w:tab w:val="num" w:pos="4320"/>
        </w:tabs>
        <w:ind w:left="4320" w:hanging="360"/>
      </w:pPr>
      <w:rPr>
        <w:rFonts w:ascii="Arial" w:hAnsi="Arial" w:hint="default"/>
      </w:rPr>
    </w:lvl>
    <w:lvl w:ilvl="6" w:tplc="8EDE66B4" w:tentative="1">
      <w:start w:val="1"/>
      <w:numFmt w:val="bullet"/>
      <w:lvlText w:val="•"/>
      <w:lvlJc w:val="left"/>
      <w:pPr>
        <w:tabs>
          <w:tab w:val="num" w:pos="5040"/>
        </w:tabs>
        <w:ind w:left="5040" w:hanging="360"/>
      </w:pPr>
      <w:rPr>
        <w:rFonts w:ascii="Arial" w:hAnsi="Arial" w:hint="default"/>
      </w:rPr>
    </w:lvl>
    <w:lvl w:ilvl="7" w:tplc="7C507C78" w:tentative="1">
      <w:start w:val="1"/>
      <w:numFmt w:val="bullet"/>
      <w:lvlText w:val="•"/>
      <w:lvlJc w:val="left"/>
      <w:pPr>
        <w:tabs>
          <w:tab w:val="num" w:pos="5760"/>
        </w:tabs>
        <w:ind w:left="5760" w:hanging="360"/>
      </w:pPr>
      <w:rPr>
        <w:rFonts w:ascii="Arial" w:hAnsi="Arial" w:hint="default"/>
      </w:rPr>
    </w:lvl>
    <w:lvl w:ilvl="8" w:tplc="9468050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40E2E65"/>
    <w:multiLevelType w:val="hybridMultilevel"/>
    <w:tmpl w:val="23723ED0"/>
    <w:lvl w:ilvl="0" w:tplc="766CB242">
      <w:numFmt w:val="bullet"/>
      <w:lvlText w:val="-"/>
      <w:lvlJc w:val="left"/>
      <w:pPr>
        <w:ind w:left="720" w:hanging="360"/>
      </w:pPr>
      <w:rPr>
        <w:rFonts w:ascii="Arial" w:eastAsia="Arial"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8013E94"/>
    <w:multiLevelType w:val="hybridMultilevel"/>
    <w:tmpl w:val="027C92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AF92926"/>
    <w:multiLevelType w:val="hybridMultilevel"/>
    <w:tmpl w:val="8812BDE0"/>
    <w:lvl w:ilvl="0" w:tplc="14090001">
      <w:start w:val="1"/>
      <w:numFmt w:val="bullet"/>
      <w:lvlText w:val=""/>
      <w:lvlJc w:val="left"/>
      <w:pPr>
        <w:ind w:left="790" w:hanging="360"/>
      </w:pPr>
      <w:rPr>
        <w:rFonts w:ascii="Symbol" w:hAnsi="Symbol" w:hint="default"/>
      </w:rPr>
    </w:lvl>
    <w:lvl w:ilvl="1" w:tplc="14090003" w:tentative="1">
      <w:start w:val="1"/>
      <w:numFmt w:val="bullet"/>
      <w:lvlText w:val="o"/>
      <w:lvlJc w:val="left"/>
      <w:pPr>
        <w:ind w:left="1510" w:hanging="360"/>
      </w:pPr>
      <w:rPr>
        <w:rFonts w:ascii="Courier New" w:hAnsi="Courier New" w:cs="Courier New" w:hint="default"/>
      </w:rPr>
    </w:lvl>
    <w:lvl w:ilvl="2" w:tplc="14090005" w:tentative="1">
      <w:start w:val="1"/>
      <w:numFmt w:val="bullet"/>
      <w:lvlText w:val=""/>
      <w:lvlJc w:val="left"/>
      <w:pPr>
        <w:ind w:left="2230" w:hanging="360"/>
      </w:pPr>
      <w:rPr>
        <w:rFonts w:ascii="Wingdings" w:hAnsi="Wingdings" w:hint="default"/>
      </w:rPr>
    </w:lvl>
    <w:lvl w:ilvl="3" w:tplc="14090001" w:tentative="1">
      <w:start w:val="1"/>
      <w:numFmt w:val="bullet"/>
      <w:lvlText w:val=""/>
      <w:lvlJc w:val="left"/>
      <w:pPr>
        <w:ind w:left="2950" w:hanging="360"/>
      </w:pPr>
      <w:rPr>
        <w:rFonts w:ascii="Symbol" w:hAnsi="Symbol" w:hint="default"/>
      </w:rPr>
    </w:lvl>
    <w:lvl w:ilvl="4" w:tplc="14090003" w:tentative="1">
      <w:start w:val="1"/>
      <w:numFmt w:val="bullet"/>
      <w:lvlText w:val="o"/>
      <w:lvlJc w:val="left"/>
      <w:pPr>
        <w:ind w:left="3670" w:hanging="360"/>
      </w:pPr>
      <w:rPr>
        <w:rFonts w:ascii="Courier New" w:hAnsi="Courier New" w:cs="Courier New" w:hint="default"/>
      </w:rPr>
    </w:lvl>
    <w:lvl w:ilvl="5" w:tplc="14090005" w:tentative="1">
      <w:start w:val="1"/>
      <w:numFmt w:val="bullet"/>
      <w:lvlText w:val=""/>
      <w:lvlJc w:val="left"/>
      <w:pPr>
        <w:ind w:left="4390" w:hanging="360"/>
      </w:pPr>
      <w:rPr>
        <w:rFonts w:ascii="Wingdings" w:hAnsi="Wingdings" w:hint="default"/>
      </w:rPr>
    </w:lvl>
    <w:lvl w:ilvl="6" w:tplc="14090001" w:tentative="1">
      <w:start w:val="1"/>
      <w:numFmt w:val="bullet"/>
      <w:lvlText w:val=""/>
      <w:lvlJc w:val="left"/>
      <w:pPr>
        <w:ind w:left="5110" w:hanging="360"/>
      </w:pPr>
      <w:rPr>
        <w:rFonts w:ascii="Symbol" w:hAnsi="Symbol" w:hint="default"/>
      </w:rPr>
    </w:lvl>
    <w:lvl w:ilvl="7" w:tplc="14090003" w:tentative="1">
      <w:start w:val="1"/>
      <w:numFmt w:val="bullet"/>
      <w:lvlText w:val="o"/>
      <w:lvlJc w:val="left"/>
      <w:pPr>
        <w:ind w:left="5830" w:hanging="360"/>
      </w:pPr>
      <w:rPr>
        <w:rFonts w:ascii="Courier New" w:hAnsi="Courier New" w:cs="Courier New" w:hint="default"/>
      </w:rPr>
    </w:lvl>
    <w:lvl w:ilvl="8" w:tplc="14090005" w:tentative="1">
      <w:start w:val="1"/>
      <w:numFmt w:val="bullet"/>
      <w:lvlText w:val=""/>
      <w:lvlJc w:val="left"/>
      <w:pPr>
        <w:ind w:left="6550" w:hanging="360"/>
      </w:pPr>
      <w:rPr>
        <w:rFonts w:ascii="Wingdings" w:hAnsi="Wingdings" w:hint="default"/>
      </w:rPr>
    </w:lvl>
  </w:abstractNum>
  <w:abstractNum w:abstractNumId="39" w15:restartNumberingAfterBreak="0">
    <w:nsid w:val="6E393CD4"/>
    <w:multiLevelType w:val="hybridMultilevel"/>
    <w:tmpl w:val="C05E91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6F7E0A88"/>
    <w:multiLevelType w:val="hybridMultilevel"/>
    <w:tmpl w:val="AF4C7BE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0750C32"/>
    <w:multiLevelType w:val="hybridMultilevel"/>
    <w:tmpl w:val="6A220452"/>
    <w:lvl w:ilvl="0" w:tplc="1409000F">
      <w:start w:val="1"/>
      <w:numFmt w:val="decimal"/>
      <w:lvlText w:val="%1."/>
      <w:lvlJc w:val="left"/>
      <w:pPr>
        <w:ind w:left="2487" w:hanging="360"/>
      </w:pPr>
      <w:rPr>
        <w:rFonts w:hint="default"/>
      </w:rPr>
    </w:lvl>
    <w:lvl w:ilvl="1" w:tplc="14090019">
      <w:start w:val="1"/>
      <w:numFmt w:val="lowerLetter"/>
      <w:lvlText w:val="%2."/>
      <w:lvlJc w:val="left"/>
      <w:pPr>
        <w:ind w:left="369" w:hanging="360"/>
      </w:pPr>
    </w:lvl>
    <w:lvl w:ilvl="2" w:tplc="1409001B">
      <w:start w:val="1"/>
      <w:numFmt w:val="lowerRoman"/>
      <w:lvlText w:val="%3."/>
      <w:lvlJc w:val="right"/>
      <w:pPr>
        <w:ind w:left="1089" w:hanging="180"/>
      </w:pPr>
    </w:lvl>
    <w:lvl w:ilvl="3" w:tplc="1409000F" w:tentative="1">
      <w:start w:val="1"/>
      <w:numFmt w:val="decimal"/>
      <w:lvlText w:val="%4."/>
      <w:lvlJc w:val="left"/>
      <w:pPr>
        <w:ind w:left="1809" w:hanging="360"/>
      </w:pPr>
    </w:lvl>
    <w:lvl w:ilvl="4" w:tplc="14090019" w:tentative="1">
      <w:start w:val="1"/>
      <w:numFmt w:val="lowerLetter"/>
      <w:lvlText w:val="%5."/>
      <w:lvlJc w:val="left"/>
      <w:pPr>
        <w:ind w:left="2529" w:hanging="360"/>
      </w:pPr>
    </w:lvl>
    <w:lvl w:ilvl="5" w:tplc="1409001B" w:tentative="1">
      <w:start w:val="1"/>
      <w:numFmt w:val="lowerRoman"/>
      <w:lvlText w:val="%6."/>
      <w:lvlJc w:val="right"/>
      <w:pPr>
        <w:ind w:left="3249" w:hanging="180"/>
      </w:pPr>
    </w:lvl>
    <w:lvl w:ilvl="6" w:tplc="1409000F" w:tentative="1">
      <w:start w:val="1"/>
      <w:numFmt w:val="decimal"/>
      <w:lvlText w:val="%7."/>
      <w:lvlJc w:val="left"/>
      <w:pPr>
        <w:ind w:left="3969" w:hanging="360"/>
      </w:pPr>
    </w:lvl>
    <w:lvl w:ilvl="7" w:tplc="14090019" w:tentative="1">
      <w:start w:val="1"/>
      <w:numFmt w:val="lowerLetter"/>
      <w:lvlText w:val="%8."/>
      <w:lvlJc w:val="left"/>
      <w:pPr>
        <w:ind w:left="4689" w:hanging="360"/>
      </w:pPr>
    </w:lvl>
    <w:lvl w:ilvl="8" w:tplc="1409001B" w:tentative="1">
      <w:start w:val="1"/>
      <w:numFmt w:val="lowerRoman"/>
      <w:lvlText w:val="%9."/>
      <w:lvlJc w:val="right"/>
      <w:pPr>
        <w:ind w:left="5409" w:hanging="180"/>
      </w:pPr>
    </w:lvl>
  </w:abstractNum>
  <w:abstractNum w:abstractNumId="42" w15:restartNumberingAfterBreak="0">
    <w:nsid w:val="71871BAB"/>
    <w:multiLevelType w:val="hybridMultilevel"/>
    <w:tmpl w:val="3DBE2BE0"/>
    <w:lvl w:ilvl="0" w:tplc="14090001">
      <w:start w:val="1"/>
      <w:numFmt w:val="bullet"/>
      <w:lvlText w:val=""/>
      <w:lvlJc w:val="left"/>
      <w:pPr>
        <w:ind w:left="790" w:hanging="360"/>
      </w:pPr>
      <w:rPr>
        <w:rFonts w:ascii="Symbol" w:hAnsi="Symbol" w:hint="default"/>
      </w:rPr>
    </w:lvl>
    <w:lvl w:ilvl="1" w:tplc="14090003" w:tentative="1">
      <w:start w:val="1"/>
      <w:numFmt w:val="bullet"/>
      <w:lvlText w:val="o"/>
      <w:lvlJc w:val="left"/>
      <w:pPr>
        <w:ind w:left="1510" w:hanging="360"/>
      </w:pPr>
      <w:rPr>
        <w:rFonts w:ascii="Courier New" w:hAnsi="Courier New" w:cs="Courier New" w:hint="default"/>
      </w:rPr>
    </w:lvl>
    <w:lvl w:ilvl="2" w:tplc="14090005" w:tentative="1">
      <w:start w:val="1"/>
      <w:numFmt w:val="bullet"/>
      <w:lvlText w:val=""/>
      <w:lvlJc w:val="left"/>
      <w:pPr>
        <w:ind w:left="2230" w:hanging="360"/>
      </w:pPr>
      <w:rPr>
        <w:rFonts w:ascii="Wingdings" w:hAnsi="Wingdings" w:hint="default"/>
      </w:rPr>
    </w:lvl>
    <w:lvl w:ilvl="3" w:tplc="14090001" w:tentative="1">
      <w:start w:val="1"/>
      <w:numFmt w:val="bullet"/>
      <w:lvlText w:val=""/>
      <w:lvlJc w:val="left"/>
      <w:pPr>
        <w:ind w:left="2950" w:hanging="360"/>
      </w:pPr>
      <w:rPr>
        <w:rFonts w:ascii="Symbol" w:hAnsi="Symbol" w:hint="default"/>
      </w:rPr>
    </w:lvl>
    <w:lvl w:ilvl="4" w:tplc="14090003" w:tentative="1">
      <w:start w:val="1"/>
      <w:numFmt w:val="bullet"/>
      <w:lvlText w:val="o"/>
      <w:lvlJc w:val="left"/>
      <w:pPr>
        <w:ind w:left="3670" w:hanging="360"/>
      </w:pPr>
      <w:rPr>
        <w:rFonts w:ascii="Courier New" w:hAnsi="Courier New" w:cs="Courier New" w:hint="default"/>
      </w:rPr>
    </w:lvl>
    <w:lvl w:ilvl="5" w:tplc="14090005" w:tentative="1">
      <w:start w:val="1"/>
      <w:numFmt w:val="bullet"/>
      <w:lvlText w:val=""/>
      <w:lvlJc w:val="left"/>
      <w:pPr>
        <w:ind w:left="4390" w:hanging="360"/>
      </w:pPr>
      <w:rPr>
        <w:rFonts w:ascii="Wingdings" w:hAnsi="Wingdings" w:hint="default"/>
      </w:rPr>
    </w:lvl>
    <w:lvl w:ilvl="6" w:tplc="14090001" w:tentative="1">
      <w:start w:val="1"/>
      <w:numFmt w:val="bullet"/>
      <w:lvlText w:val=""/>
      <w:lvlJc w:val="left"/>
      <w:pPr>
        <w:ind w:left="5110" w:hanging="360"/>
      </w:pPr>
      <w:rPr>
        <w:rFonts w:ascii="Symbol" w:hAnsi="Symbol" w:hint="default"/>
      </w:rPr>
    </w:lvl>
    <w:lvl w:ilvl="7" w:tplc="14090003" w:tentative="1">
      <w:start w:val="1"/>
      <w:numFmt w:val="bullet"/>
      <w:lvlText w:val="o"/>
      <w:lvlJc w:val="left"/>
      <w:pPr>
        <w:ind w:left="5830" w:hanging="360"/>
      </w:pPr>
      <w:rPr>
        <w:rFonts w:ascii="Courier New" w:hAnsi="Courier New" w:cs="Courier New" w:hint="default"/>
      </w:rPr>
    </w:lvl>
    <w:lvl w:ilvl="8" w:tplc="14090005" w:tentative="1">
      <w:start w:val="1"/>
      <w:numFmt w:val="bullet"/>
      <w:lvlText w:val=""/>
      <w:lvlJc w:val="left"/>
      <w:pPr>
        <w:ind w:left="6550" w:hanging="360"/>
      </w:pPr>
      <w:rPr>
        <w:rFonts w:ascii="Wingdings" w:hAnsi="Wingdings" w:hint="default"/>
      </w:rPr>
    </w:lvl>
  </w:abstractNum>
  <w:abstractNum w:abstractNumId="43" w15:restartNumberingAfterBreak="0">
    <w:nsid w:val="71DD7FE1"/>
    <w:multiLevelType w:val="hybridMultilevel"/>
    <w:tmpl w:val="4A0649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24A4DE1"/>
    <w:multiLevelType w:val="hybridMultilevel"/>
    <w:tmpl w:val="B560BA58"/>
    <w:lvl w:ilvl="0" w:tplc="3CCA973E">
      <w:start w:val="1"/>
      <w:numFmt w:val="bullet"/>
      <w:pStyle w:val="Bulletpoints2"/>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41359D1"/>
    <w:multiLevelType w:val="hybridMultilevel"/>
    <w:tmpl w:val="E8A49E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741C39C6"/>
    <w:multiLevelType w:val="hybridMultilevel"/>
    <w:tmpl w:val="C03080AA"/>
    <w:lvl w:ilvl="0" w:tplc="5E8469C4">
      <w:start w:val="1"/>
      <w:numFmt w:val="lowerLetter"/>
      <w:lvlText w:val="%1)"/>
      <w:lvlJc w:val="left"/>
      <w:pPr>
        <w:ind w:left="720" w:hanging="360"/>
      </w:pPr>
      <w:rPr>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7A61238A"/>
    <w:multiLevelType w:val="multilevel"/>
    <w:tmpl w:val="1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8" w15:restartNumberingAfterBreak="0">
    <w:nsid w:val="7C1750F5"/>
    <w:multiLevelType w:val="hybridMultilevel"/>
    <w:tmpl w:val="D1041A1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7E4C77B6"/>
    <w:multiLevelType w:val="hybridMultilevel"/>
    <w:tmpl w:val="8A1E4664"/>
    <w:lvl w:ilvl="0" w:tplc="14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818692977">
    <w:abstractNumId w:val="1"/>
  </w:num>
  <w:num w:numId="2" w16cid:durableId="1714039771">
    <w:abstractNumId w:val="20"/>
  </w:num>
  <w:num w:numId="3" w16cid:durableId="812597907">
    <w:abstractNumId w:val="14"/>
  </w:num>
  <w:num w:numId="4" w16cid:durableId="341250523">
    <w:abstractNumId w:val="15"/>
  </w:num>
  <w:num w:numId="5" w16cid:durableId="23755561">
    <w:abstractNumId w:val="41"/>
  </w:num>
  <w:num w:numId="6" w16cid:durableId="519969438">
    <w:abstractNumId w:val="17"/>
  </w:num>
  <w:num w:numId="7" w16cid:durableId="857237123">
    <w:abstractNumId w:val="48"/>
  </w:num>
  <w:num w:numId="8" w16cid:durableId="1695425852">
    <w:abstractNumId w:val="36"/>
  </w:num>
  <w:num w:numId="9" w16cid:durableId="1562641435">
    <w:abstractNumId w:val="35"/>
  </w:num>
  <w:num w:numId="10" w16cid:durableId="274869275">
    <w:abstractNumId w:val="24"/>
  </w:num>
  <w:num w:numId="11" w16cid:durableId="327367973">
    <w:abstractNumId w:val="10"/>
  </w:num>
  <w:num w:numId="12" w16cid:durableId="1225681407">
    <w:abstractNumId w:val="19"/>
  </w:num>
  <w:num w:numId="13" w16cid:durableId="1226644416">
    <w:abstractNumId w:val="26"/>
  </w:num>
  <w:num w:numId="14" w16cid:durableId="1794398640">
    <w:abstractNumId w:val="27"/>
  </w:num>
  <w:num w:numId="15" w16cid:durableId="1502356527">
    <w:abstractNumId w:val="5"/>
  </w:num>
  <w:num w:numId="16" w16cid:durableId="1246256618">
    <w:abstractNumId w:val="4"/>
  </w:num>
  <w:num w:numId="17" w16cid:durableId="1099107890">
    <w:abstractNumId w:val="29"/>
  </w:num>
  <w:num w:numId="18" w16cid:durableId="220604159">
    <w:abstractNumId w:val="25"/>
  </w:num>
  <w:num w:numId="19" w16cid:durableId="1132944597">
    <w:abstractNumId w:val="6"/>
  </w:num>
  <w:num w:numId="20" w16cid:durableId="2123958905">
    <w:abstractNumId w:val="46"/>
  </w:num>
  <w:num w:numId="21" w16cid:durableId="36204782">
    <w:abstractNumId w:val="13"/>
  </w:num>
  <w:num w:numId="22" w16cid:durableId="532426798">
    <w:abstractNumId w:val="0"/>
  </w:num>
  <w:num w:numId="23" w16cid:durableId="1415973325">
    <w:abstractNumId w:val="21"/>
  </w:num>
  <w:num w:numId="24" w16cid:durableId="1843886657">
    <w:abstractNumId w:val="32"/>
  </w:num>
  <w:num w:numId="25" w16cid:durableId="1840611001">
    <w:abstractNumId w:val="33"/>
  </w:num>
  <w:num w:numId="26" w16cid:durableId="1384251727">
    <w:abstractNumId w:val="49"/>
  </w:num>
  <w:num w:numId="27" w16cid:durableId="1710832687">
    <w:abstractNumId w:val="2"/>
  </w:num>
  <w:num w:numId="28" w16cid:durableId="1969318558">
    <w:abstractNumId w:val="43"/>
  </w:num>
  <w:num w:numId="29" w16cid:durableId="22677790">
    <w:abstractNumId w:val="44"/>
  </w:num>
  <w:num w:numId="30" w16cid:durableId="394015060">
    <w:abstractNumId w:val="9"/>
  </w:num>
  <w:num w:numId="31" w16cid:durableId="944851852">
    <w:abstractNumId w:val="47"/>
  </w:num>
  <w:num w:numId="32" w16cid:durableId="775096369">
    <w:abstractNumId w:val="42"/>
  </w:num>
  <w:num w:numId="33" w16cid:durableId="1394232078">
    <w:abstractNumId w:val="8"/>
  </w:num>
  <w:num w:numId="34" w16cid:durableId="505874202">
    <w:abstractNumId w:val="16"/>
  </w:num>
  <w:num w:numId="35" w16cid:durableId="693310941">
    <w:abstractNumId w:val="28"/>
  </w:num>
  <w:num w:numId="36" w16cid:durableId="1192498464">
    <w:abstractNumId w:val="31"/>
  </w:num>
  <w:num w:numId="37" w16cid:durableId="1031415670">
    <w:abstractNumId w:val="12"/>
  </w:num>
  <w:num w:numId="38" w16cid:durableId="1525703449">
    <w:abstractNumId w:val="3"/>
  </w:num>
  <w:num w:numId="39" w16cid:durableId="1659453623">
    <w:abstractNumId w:val="38"/>
  </w:num>
  <w:num w:numId="40" w16cid:durableId="1927418219">
    <w:abstractNumId w:val="37"/>
  </w:num>
  <w:num w:numId="41" w16cid:durableId="268195901">
    <w:abstractNumId w:val="34"/>
  </w:num>
  <w:num w:numId="42" w16cid:durableId="2098474145">
    <w:abstractNumId w:val="30"/>
  </w:num>
  <w:num w:numId="43" w16cid:durableId="390151402">
    <w:abstractNumId w:val="7"/>
  </w:num>
  <w:num w:numId="44" w16cid:durableId="848760617">
    <w:abstractNumId w:val="22"/>
  </w:num>
  <w:num w:numId="45" w16cid:durableId="177433689">
    <w:abstractNumId w:val="45"/>
  </w:num>
  <w:num w:numId="46" w16cid:durableId="906571277">
    <w:abstractNumId w:val="39"/>
  </w:num>
  <w:num w:numId="47" w16cid:durableId="958222942">
    <w:abstractNumId w:val="11"/>
  </w:num>
  <w:num w:numId="48" w16cid:durableId="431632391">
    <w:abstractNumId w:val="23"/>
  </w:num>
  <w:num w:numId="49" w16cid:durableId="194467401">
    <w:abstractNumId w:val="40"/>
  </w:num>
  <w:num w:numId="50" w16cid:durableId="3239158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59D"/>
    <w:rsid w:val="000277A9"/>
    <w:rsid w:val="00040F8D"/>
    <w:rsid w:val="000676FD"/>
    <w:rsid w:val="0007559D"/>
    <w:rsid w:val="000808CA"/>
    <w:rsid w:val="00084131"/>
    <w:rsid w:val="000872AB"/>
    <w:rsid w:val="00087E84"/>
    <w:rsid w:val="0009073F"/>
    <w:rsid w:val="000B02CD"/>
    <w:rsid w:val="000B5E00"/>
    <w:rsid w:val="000C69E1"/>
    <w:rsid w:val="000D1893"/>
    <w:rsid w:val="000E4D03"/>
    <w:rsid w:val="000F2648"/>
    <w:rsid w:val="0010208C"/>
    <w:rsid w:val="0011702E"/>
    <w:rsid w:val="001218E6"/>
    <w:rsid w:val="00132CF1"/>
    <w:rsid w:val="00146D79"/>
    <w:rsid w:val="0014761F"/>
    <w:rsid w:val="001534C7"/>
    <w:rsid w:val="00155CA1"/>
    <w:rsid w:val="00167DCB"/>
    <w:rsid w:val="00173CD9"/>
    <w:rsid w:val="00175D0F"/>
    <w:rsid w:val="00186E74"/>
    <w:rsid w:val="001B23B4"/>
    <w:rsid w:val="001C3E27"/>
    <w:rsid w:val="001C5B33"/>
    <w:rsid w:val="001D3387"/>
    <w:rsid w:val="001E1669"/>
    <w:rsid w:val="001E5EE1"/>
    <w:rsid w:val="00217972"/>
    <w:rsid w:val="002226CA"/>
    <w:rsid w:val="0022577B"/>
    <w:rsid w:val="002353A8"/>
    <w:rsid w:val="0026281E"/>
    <w:rsid w:val="002718AB"/>
    <w:rsid w:val="00274634"/>
    <w:rsid w:val="00287032"/>
    <w:rsid w:val="00296559"/>
    <w:rsid w:val="002A47FD"/>
    <w:rsid w:val="002B0407"/>
    <w:rsid w:val="002B3468"/>
    <w:rsid w:val="002D0EB9"/>
    <w:rsid w:val="002E4650"/>
    <w:rsid w:val="002F6315"/>
    <w:rsid w:val="00330D13"/>
    <w:rsid w:val="003324AB"/>
    <w:rsid w:val="00337327"/>
    <w:rsid w:val="00340C19"/>
    <w:rsid w:val="0035070D"/>
    <w:rsid w:val="00361E53"/>
    <w:rsid w:val="0038790A"/>
    <w:rsid w:val="003A10C8"/>
    <w:rsid w:val="003A2AD0"/>
    <w:rsid w:val="003B5FD4"/>
    <w:rsid w:val="003C602B"/>
    <w:rsid w:val="003D1D81"/>
    <w:rsid w:val="003D4243"/>
    <w:rsid w:val="003D6E29"/>
    <w:rsid w:val="003E7BC5"/>
    <w:rsid w:val="004009E6"/>
    <w:rsid w:val="004079F7"/>
    <w:rsid w:val="00407E17"/>
    <w:rsid w:val="00412217"/>
    <w:rsid w:val="00412293"/>
    <w:rsid w:val="00413F56"/>
    <w:rsid w:val="00422C3A"/>
    <w:rsid w:val="00431323"/>
    <w:rsid w:val="00436439"/>
    <w:rsid w:val="004555CE"/>
    <w:rsid w:val="0046219A"/>
    <w:rsid w:val="00485610"/>
    <w:rsid w:val="0049276C"/>
    <w:rsid w:val="004B3401"/>
    <w:rsid w:val="004B7053"/>
    <w:rsid w:val="004C0200"/>
    <w:rsid w:val="004C505E"/>
    <w:rsid w:val="004C7AD6"/>
    <w:rsid w:val="004D1A43"/>
    <w:rsid w:val="004E2440"/>
    <w:rsid w:val="004F7DAE"/>
    <w:rsid w:val="0051016C"/>
    <w:rsid w:val="005247D4"/>
    <w:rsid w:val="0053772C"/>
    <w:rsid w:val="005442C4"/>
    <w:rsid w:val="00554C10"/>
    <w:rsid w:val="00570EFD"/>
    <w:rsid w:val="00582921"/>
    <w:rsid w:val="005B0B55"/>
    <w:rsid w:val="005B3124"/>
    <w:rsid w:val="005C5D62"/>
    <w:rsid w:val="005D7B3A"/>
    <w:rsid w:val="005E4A5F"/>
    <w:rsid w:val="005F72E8"/>
    <w:rsid w:val="00602474"/>
    <w:rsid w:val="00602A3B"/>
    <w:rsid w:val="00625943"/>
    <w:rsid w:val="00644EA3"/>
    <w:rsid w:val="00652BA8"/>
    <w:rsid w:val="00655F51"/>
    <w:rsid w:val="0067272F"/>
    <w:rsid w:val="00676FAE"/>
    <w:rsid w:val="00684CAC"/>
    <w:rsid w:val="006A041E"/>
    <w:rsid w:val="006B049F"/>
    <w:rsid w:val="006B1CA8"/>
    <w:rsid w:val="006B51AA"/>
    <w:rsid w:val="006D3B16"/>
    <w:rsid w:val="006E09AD"/>
    <w:rsid w:val="006F52AE"/>
    <w:rsid w:val="00705FEE"/>
    <w:rsid w:val="00721E36"/>
    <w:rsid w:val="007253A7"/>
    <w:rsid w:val="007305C6"/>
    <w:rsid w:val="007334A7"/>
    <w:rsid w:val="00747E5E"/>
    <w:rsid w:val="00752CEE"/>
    <w:rsid w:val="00754138"/>
    <w:rsid w:val="00754DB3"/>
    <w:rsid w:val="00764802"/>
    <w:rsid w:val="00767762"/>
    <w:rsid w:val="00774486"/>
    <w:rsid w:val="007F223B"/>
    <w:rsid w:val="0080534C"/>
    <w:rsid w:val="00805F54"/>
    <w:rsid w:val="0082409D"/>
    <w:rsid w:val="00840ABD"/>
    <w:rsid w:val="00847C6B"/>
    <w:rsid w:val="00851316"/>
    <w:rsid w:val="0085713E"/>
    <w:rsid w:val="00863572"/>
    <w:rsid w:val="008658FE"/>
    <w:rsid w:val="00874134"/>
    <w:rsid w:val="00882571"/>
    <w:rsid w:val="008A5C6E"/>
    <w:rsid w:val="008B3604"/>
    <w:rsid w:val="008D59FE"/>
    <w:rsid w:val="008D5FCD"/>
    <w:rsid w:val="008E165C"/>
    <w:rsid w:val="00901440"/>
    <w:rsid w:val="0090293E"/>
    <w:rsid w:val="00906192"/>
    <w:rsid w:val="00912092"/>
    <w:rsid w:val="00920CB3"/>
    <w:rsid w:val="00954B31"/>
    <w:rsid w:val="009605B7"/>
    <w:rsid w:val="0097074D"/>
    <w:rsid w:val="00973704"/>
    <w:rsid w:val="009B6180"/>
    <w:rsid w:val="009E4A54"/>
    <w:rsid w:val="009F195F"/>
    <w:rsid w:val="009F4132"/>
    <w:rsid w:val="009F61BD"/>
    <w:rsid w:val="00A03619"/>
    <w:rsid w:val="00A12BD6"/>
    <w:rsid w:val="00A1605D"/>
    <w:rsid w:val="00A25298"/>
    <w:rsid w:val="00A25806"/>
    <w:rsid w:val="00A3188A"/>
    <w:rsid w:val="00A32AA1"/>
    <w:rsid w:val="00A4427B"/>
    <w:rsid w:val="00A511F3"/>
    <w:rsid w:val="00A54046"/>
    <w:rsid w:val="00A62D53"/>
    <w:rsid w:val="00A70F41"/>
    <w:rsid w:val="00A71908"/>
    <w:rsid w:val="00A72AC2"/>
    <w:rsid w:val="00A779DC"/>
    <w:rsid w:val="00A92B1B"/>
    <w:rsid w:val="00A92D1C"/>
    <w:rsid w:val="00AA088B"/>
    <w:rsid w:val="00AA31C9"/>
    <w:rsid w:val="00AA614B"/>
    <w:rsid w:val="00AB7101"/>
    <w:rsid w:val="00AC7906"/>
    <w:rsid w:val="00AD2B0C"/>
    <w:rsid w:val="00B15CAC"/>
    <w:rsid w:val="00B26BC2"/>
    <w:rsid w:val="00B368D3"/>
    <w:rsid w:val="00B41E8A"/>
    <w:rsid w:val="00B62593"/>
    <w:rsid w:val="00B67037"/>
    <w:rsid w:val="00B67393"/>
    <w:rsid w:val="00B73C43"/>
    <w:rsid w:val="00B86F54"/>
    <w:rsid w:val="00B975A2"/>
    <w:rsid w:val="00BB2C1B"/>
    <w:rsid w:val="00BE01D5"/>
    <w:rsid w:val="00BF167C"/>
    <w:rsid w:val="00C120F2"/>
    <w:rsid w:val="00C1292F"/>
    <w:rsid w:val="00C22DDA"/>
    <w:rsid w:val="00C458E7"/>
    <w:rsid w:val="00C47F08"/>
    <w:rsid w:val="00C50B10"/>
    <w:rsid w:val="00C558F3"/>
    <w:rsid w:val="00C639EB"/>
    <w:rsid w:val="00C657FB"/>
    <w:rsid w:val="00CA0C05"/>
    <w:rsid w:val="00CA2155"/>
    <w:rsid w:val="00CA591B"/>
    <w:rsid w:val="00CA72FB"/>
    <w:rsid w:val="00CB689F"/>
    <w:rsid w:val="00CD5F8D"/>
    <w:rsid w:val="00CE0C50"/>
    <w:rsid w:val="00CF03EA"/>
    <w:rsid w:val="00CF2763"/>
    <w:rsid w:val="00CF2D03"/>
    <w:rsid w:val="00CF594C"/>
    <w:rsid w:val="00D02837"/>
    <w:rsid w:val="00D121C1"/>
    <w:rsid w:val="00D21B04"/>
    <w:rsid w:val="00D30ED3"/>
    <w:rsid w:val="00D32769"/>
    <w:rsid w:val="00D3333B"/>
    <w:rsid w:val="00D34C13"/>
    <w:rsid w:val="00D60075"/>
    <w:rsid w:val="00D62250"/>
    <w:rsid w:val="00D63B3C"/>
    <w:rsid w:val="00D85052"/>
    <w:rsid w:val="00D86684"/>
    <w:rsid w:val="00D97D3B"/>
    <w:rsid w:val="00D97E4B"/>
    <w:rsid w:val="00DA144D"/>
    <w:rsid w:val="00DA5378"/>
    <w:rsid w:val="00DC0CCF"/>
    <w:rsid w:val="00DC5F8B"/>
    <w:rsid w:val="00DF0755"/>
    <w:rsid w:val="00E2054F"/>
    <w:rsid w:val="00E532F4"/>
    <w:rsid w:val="00E64D9A"/>
    <w:rsid w:val="00E922D8"/>
    <w:rsid w:val="00E92AC9"/>
    <w:rsid w:val="00EB10D9"/>
    <w:rsid w:val="00EB3422"/>
    <w:rsid w:val="00EB7710"/>
    <w:rsid w:val="00EC27A9"/>
    <w:rsid w:val="00EC5AC0"/>
    <w:rsid w:val="00ED77B0"/>
    <w:rsid w:val="00EF3A29"/>
    <w:rsid w:val="00EF6E37"/>
    <w:rsid w:val="00F03012"/>
    <w:rsid w:val="00F320B5"/>
    <w:rsid w:val="00F47124"/>
    <w:rsid w:val="00F536A3"/>
    <w:rsid w:val="00F55FAB"/>
    <w:rsid w:val="00F57AEA"/>
    <w:rsid w:val="00F724E3"/>
    <w:rsid w:val="00F81537"/>
    <w:rsid w:val="00F961E3"/>
    <w:rsid w:val="00FA3238"/>
    <w:rsid w:val="00FB49B7"/>
    <w:rsid w:val="00FB5BC3"/>
    <w:rsid w:val="00FE005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5B9030"/>
  <w15:chartTrackingRefBased/>
  <w15:docId w15:val="{0F3BB7B3-B8A7-435B-9429-BF5809A48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387"/>
    <w:pPr>
      <w:spacing w:line="240" w:lineRule="auto"/>
    </w:pPr>
    <w:rPr>
      <w:rFonts w:ascii="Arial" w:eastAsia="Roboto" w:hAnsi="Arial" w:cs="Arial"/>
      <w:lang w:val="en-US"/>
    </w:rPr>
  </w:style>
  <w:style w:type="paragraph" w:styleId="Heading1">
    <w:name w:val="heading 1"/>
    <w:basedOn w:val="Normal"/>
    <w:next w:val="Normal"/>
    <w:link w:val="Heading1Char"/>
    <w:uiPriority w:val="9"/>
    <w:qFormat/>
    <w:rsid w:val="00EB7710"/>
    <w:pPr>
      <w:keepNext/>
      <w:keepLines/>
      <w:numPr>
        <w:numId w:val="31"/>
      </w:numPr>
      <w:spacing w:after="120"/>
      <w:outlineLvl w:val="0"/>
    </w:pPr>
    <w:rPr>
      <w:rFonts w:eastAsiaTheme="majorEastAsia"/>
      <w:b/>
      <w:bCs/>
      <w:noProof/>
      <w:sz w:val="48"/>
      <w:szCs w:val="120"/>
      <w:lang w:val="en-NZ"/>
    </w:rPr>
  </w:style>
  <w:style w:type="paragraph" w:styleId="Heading2">
    <w:name w:val="heading 2"/>
    <w:basedOn w:val="Heading1"/>
    <w:next w:val="Normal"/>
    <w:link w:val="Heading2Char"/>
    <w:uiPriority w:val="9"/>
    <w:unhideWhenUsed/>
    <w:qFormat/>
    <w:rsid w:val="00C22DDA"/>
    <w:pPr>
      <w:numPr>
        <w:ilvl w:val="1"/>
      </w:numPr>
      <w:tabs>
        <w:tab w:val="left" w:pos="737"/>
      </w:tabs>
      <w:spacing w:before="240" w:after="240"/>
      <w:ind w:left="737" w:hanging="737"/>
      <w:outlineLvl w:val="1"/>
    </w:pPr>
    <w:rPr>
      <w:color w:val="0C818F" w:themeColor="accent3"/>
      <w:sz w:val="32"/>
    </w:rPr>
  </w:style>
  <w:style w:type="paragraph" w:styleId="Heading3">
    <w:name w:val="heading 3"/>
    <w:basedOn w:val="Heading1"/>
    <w:next w:val="Normal"/>
    <w:link w:val="Heading3Char"/>
    <w:uiPriority w:val="9"/>
    <w:unhideWhenUsed/>
    <w:qFormat/>
    <w:rsid w:val="00C22DDA"/>
    <w:pPr>
      <w:numPr>
        <w:ilvl w:val="2"/>
      </w:numPr>
      <w:tabs>
        <w:tab w:val="left" w:pos="737"/>
      </w:tabs>
      <w:spacing w:before="360" w:after="240"/>
      <w:ind w:left="737" w:hanging="737"/>
      <w:outlineLvl w:val="2"/>
    </w:pPr>
    <w:rPr>
      <w:color w:val="0C818F" w:themeColor="accent3"/>
      <w:sz w:val="28"/>
      <w:szCs w:val="28"/>
    </w:rPr>
  </w:style>
  <w:style w:type="paragraph" w:styleId="Heading4">
    <w:name w:val="heading 4"/>
    <w:basedOn w:val="Title"/>
    <w:next w:val="Normal"/>
    <w:link w:val="Heading4Char"/>
    <w:uiPriority w:val="9"/>
    <w:unhideWhenUsed/>
    <w:qFormat/>
    <w:rsid w:val="00C22DDA"/>
    <w:pPr>
      <w:numPr>
        <w:numId w:val="0"/>
      </w:numPr>
      <w:outlineLvl w:val="3"/>
    </w:pPr>
  </w:style>
  <w:style w:type="paragraph" w:styleId="Heading5">
    <w:name w:val="heading 5"/>
    <w:basedOn w:val="Normal"/>
    <w:next w:val="Normal"/>
    <w:link w:val="Heading5Char"/>
    <w:uiPriority w:val="9"/>
    <w:semiHidden/>
    <w:unhideWhenUsed/>
    <w:rsid w:val="00EB7710"/>
    <w:pPr>
      <w:keepNext/>
      <w:keepLines/>
      <w:numPr>
        <w:ilvl w:val="4"/>
        <w:numId w:val="31"/>
      </w:numPr>
      <w:spacing w:before="40" w:after="0"/>
      <w:outlineLvl w:val="4"/>
    </w:pPr>
    <w:rPr>
      <w:rFonts w:asciiTheme="majorHAnsi" w:eastAsiaTheme="majorEastAsia" w:hAnsiTheme="majorHAnsi" w:cstheme="majorBidi"/>
      <w:color w:val="391A5A" w:themeColor="accent1" w:themeShade="BF"/>
    </w:rPr>
  </w:style>
  <w:style w:type="paragraph" w:styleId="Heading6">
    <w:name w:val="heading 6"/>
    <w:basedOn w:val="Normal"/>
    <w:next w:val="Normal"/>
    <w:link w:val="Heading6Char"/>
    <w:uiPriority w:val="9"/>
    <w:semiHidden/>
    <w:unhideWhenUsed/>
    <w:qFormat/>
    <w:rsid w:val="00EB7710"/>
    <w:pPr>
      <w:keepNext/>
      <w:keepLines/>
      <w:numPr>
        <w:ilvl w:val="5"/>
        <w:numId w:val="31"/>
      </w:numPr>
      <w:spacing w:before="40" w:after="0"/>
      <w:outlineLvl w:val="5"/>
    </w:pPr>
    <w:rPr>
      <w:rFonts w:asciiTheme="majorHAnsi" w:eastAsiaTheme="majorEastAsia" w:hAnsiTheme="majorHAnsi" w:cstheme="majorBidi"/>
      <w:color w:val="26113C" w:themeColor="accent1" w:themeShade="7F"/>
    </w:rPr>
  </w:style>
  <w:style w:type="paragraph" w:styleId="Heading7">
    <w:name w:val="heading 7"/>
    <w:basedOn w:val="Normal"/>
    <w:next w:val="Normal"/>
    <w:link w:val="Heading7Char"/>
    <w:uiPriority w:val="9"/>
    <w:semiHidden/>
    <w:unhideWhenUsed/>
    <w:qFormat/>
    <w:rsid w:val="00EB7710"/>
    <w:pPr>
      <w:keepNext/>
      <w:keepLines/>
      <w:numPr>
        <w:ilvl w:val="6"/>
        <w:numId w:val="31"/>
      </w:numPr>
      <w:spacing w:before="40" w:after="0"/>
      <w:outlineLvl w:val="6"/>
    </w:pPr>
    <w:rPr>
      <w:rFonts w:asciiTheme="majorHAnsi" w:eastAsiaTheme="majorEastAsia" w:hAnsiTheme="majorHAnsi" w:cstheme="majorBidi"/>
      <w:i/>
      <w:iCs/>
      <w:color w:val="26113C" w:themeColor="accent1" w:themeShade="7F"/>
    </w:rPr>
  </w:style>
  <w:style w:type="paragraph" w:styleId="Heading8">
    <w:name w:val="heading 8"/>
    <w:basedOn w:val="Normal"/>
    <w:next w:val="Normal"/>
    <w:link w:val="Heading8Char"/>
    <w:uiPriority w:val="9"/>
    <w:semiHidden/>
    <w:unhideWhenUsed/>
    <w:qFormat/>
    <w:rsid w:val="00EB7710"/>
    <w:pPr>
      <w:keepNext/>
      <w:keepLines/>
      <w:numPr>
        <w:ilvl w:val="7"/>
        <w:numId w:val="31"/>
      </w:numPr>
      <w:spacing w:before="40" w:after="0"/>
      <w:outlineLvl w:val="7"/>
    </w:pPr>
    <w:rPr>
      <w:rFonts w:asciiTheme="majorHAnsi" w:eastAsiaTheme="majorEastAsia" w:hAnsiTheme="majorHAnsi" w:cstheme="majorBidi"/>
      <w:color w:val="22417D" w:themeColor="text1" w:themeTint="D8"/>
      <w:sz w:val="21"/>
      <w:szCs w:val="21"/>
    </w:rPr>
  </w:style>
  <w:style w:type="paragraph" w:styleId="Heading9">
    <w:name w:val="heading 9"/>
    <w:basedOn w:val="Normal"/>
    <w:next w:val="Normal"/>
    <w:link w:val="Heading9Char"/>
    <w:uiPriority w:val="9"/>
    <w:semiHidden/>
    <w:unhideWhenUsed/>
    <w:qFormat/>
    <w:rsid w:val="00EB7710"/>
    <w:pPr>
      <w:keepNext/>
      <w:keepLines/>
      <w:numPr>
        <w:ilvl w:val="8"/>
        <w:numId w:val="31"/>
      </w:numPr>
      <w:spacing w:before="40" w:after="0"/>
      <w:outlineLvl w:val="8"/>
    </w:pPr>
    <w:rPr>
      <w:rFonts w:asciiTheme="majorHAnsi" w:eastAsiaTheme="majorEastAsia" w:hAnsiTheme="majorHAnsi" w:cstheme="majorBidi"/>
      <w:i/>
      <w:iCs/>
      <w:color w:val="22417D"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emplate title,Report title"/>
    <w:basedOn w:val="Normal"/>
    <w:link w:val="NoSpacingChar"/>
    <w:uiPriority w:val="1"/>
    <w:rsid w:val="00C50B10"/>
    <w:pPr>
      <w:ind w:left="-9214" w:firstLine="9214"/>
    </w:pPr>
    <w:rPr>
      <w:rFonts w:ascii="Poppins" w:hAnsi="Poppins" w:cs="Poppins"/>
      <w:b/>
      <w:bCs/>
      <w:color w:val="15284C"/>
      <w:sz w:val="48"/>
      <w:szCs w:val="48"/>
      <w:lang w:val="en-NZ"/>
    </w:rPr>
  </w:style>
  <w:style w:type="character" w:customStyle="1" w:styleId="NoSpacingChar">
    <w:name w:val="No Spacing Char"/>
    <w:aliases w:val="Template title Char,Report title Char"/>
    <w:basedOn w:val="DefaultParagraphFont"/>
    <w:link w:val="NoSpacing"/>
    <w:uiPriority w:val="1"/>
    <w:rsid w:val="00C50B10"/>
    <w:rPr>
      <w:rFonts w:ascii="Poppins" w:hAnsi="Poppins" w:cs="Poppins"/>
      <w:b/>
      <w:bCs/>
      <w:noProof/>
      <w:color w:val="15284C"/>
      <w:sz w:val="48"/>
      <w:szCs w:val="48"/>
    </w:rPr>
  </w:style>
  <w:style w:type="paragraph" w:styleId="Header">
    <w:name w:val="header"/>
    <w:basedOn w:val="Normal"/>
    <w:link w:val="HeaderChar"/>
    <w:uiPriority w:val="99"/>
    <w:unhideWhenUsed/>
    <w:rsid w:val="00EB3422"/>
    <w:pPr>
      <w:tabs>
        <w:tab w:val="center" w:pos="4513"/>
        <w:tab w:val="right" w:pos="9026"/>
      </w:tabs>
      <w:spacing w:after="0"/>
    </w:pPr>
  </w:style>
  <w:style w:type="character" w:customStyle="1" w:styleId="HeaderChar">
    <w:name w:val="Header Char"/>
    <w:basedOn w:val="DefaultParagraphFont"/>
    <w:link w:val="Header"/>
    <w:uiPriority w:val="99"/>
    <w:rsid w:val="00EB3422"/>
  </w:style>
  <w:style w:type="paragraph" w:styleId="Footer">
    <w:name w:val="footer"/>
    <w:basedOn w:val="Normal"/>
    <w:link w:val="FooterChar"/>
    <w:uiPriority w:val="99"/>
    <w:unhideWhenUsed/>
    <w:rsid w:val="00EB3422"/>
    <w:pPr>
      <w:tabs>
        <w:tab w:val="center" w:pos="4513"/>
        <w:tab w:val="right" w:pos="9026"/>
      </w:tabs>
      <w:spacing w:after="0"/>
    </w:pPr>
  </w:style>
  <w:style w:type="character" w:customStyle="1" w:styleId="FooterChar">
    <w:name w:val="Footer Char"/>
    <w:basedOn w:val="DefaultParagraphFont"/>
    <w:link w:val="Footer"/>
    <w:uiPriority w:val="99"/>
    <w:rsid w:val="00EB3422"/>
  </w:style>
  <w:style w:type="character" w:customStyle="1" w:styleId="Heading1Char">
    <w:name w:val="Heading 1 Char"/>
    <w:basedOn w:val="DefaultParagraphFont"/>
    <w:link w:val="Heading1"/>
    <w:uiPriority w:val="9"/>
    <w:rsid w:val="00EB7710"/>
    <w:rPr>
      <w:rFonts w:ascii="Arial" w:eastAsiaTheme="majorEastAsia" w:hAnsi="Arial" w:cs="Arial"/>
      <w:b/>
      <w:bCs/>
      <w:noProof/>
      <w:sz w:val="48"/>
      <w:szCs w:val="120"/>
    </w:rPr>
  </w:style>
  <w:style w:type="paragraph" w:styleId="TOCHeading">
    <w:name w:val="TOC Heading"/>
    <w:basedOn w:val="Heading1"/>
    <w:next w:val="Normal"/>
    <w:uiPriority w:val="39"/>
    <w:unhideWhenUsed/>
    <w:rsid w:val="00EB3422"/>
    <w:pPr>
      <w:outlineLvl w:val="9"/>
    </w:pPr>
    <w:rPr>
      <w:b w:val="0"/>
      <w:bCs w:val="0"/>
    </w:rPr>
  </w:style>
  <w:style w:type="character" w:customStyle="1" w:styleId="Heading2Char">
    <w:name w:val="Heading 2 Char"/>
    <w:basedOn w:val="DefaultParagraphFont"/>
    <w:link w:val="Heading2"/>
    <w:uiPriority w:val="9"/>
    <w:rsid w:val="00C22DDA"/>
    <w:rPr>
      <w:rFonts w:ascii="Arial" w:eastAsiaTheme="majorEastAsia" w:hAnsi="Arial" w:cs="Arial"/>
      <w:b/>
      <w:bCs/>
      <w:noProof/>
      <w:color w:val="0C818F" w:themeColor="accent3"/>
      <w:sz w:val="32"/>
      <w:szCs w:val="120"/>
    </w:rPr>
  </w:style>
  <w:style w:type="character" w:customStyle="1" w:styleId="Heading3Char">
    <w:name w:val="Heading 3 Char"/>
    <w:basedOn w:val="DefaultParagraphFont"/>
    <w:link w:val="Heading3"/>
    <w:uiPriority w:val="9"/>
    <w:rsid w:val="00C22DDA"/>
    <w:rPr>
      <w:rFonts w:ascii="Arial" w:eastAsiaTheme="majorEastAsia" w:hAnsi="Arial" w:cs="Arial"/>
      <w:b/>
      <w:bCs/>
      <w:noProof/>
      <w:color w:val="0C818F" w:themeColor="accent3"/>
      <w:sz w:val="28"/>
      <w:szCs w:val="28"/>
    </w:rPr>
  </w:style>
  <w:style w:type="paragraph" w:styleId="TOC1">
    <w:name w:val="toc 1"/>
    <w:basedOn w:val="Normal"/>
    <w:next w:val="Normal"/>
    <w:autoRedefine/>
    <w:uiPriority w:val="39"/>
    <w:unhideWhenUsed/>
    <w:rsid w:val="00EB7710"/>
    <w:pPr>
      <w:tabs>
        <w:tab w:val="left" w:pos="440"/>
        <w:tab w:val="right" w:leader="dot" w:pos="9016"/>
      </w:tabs>
      <w:spacing w:after="100"/>
    </w:pPr>
  </w:style>
  <w:style w:type="paragraph" w:styleId="TOC2">
    <w:name w:val="toc 2"/>
    <w:basedOn w:val="Normal"/>
    <w:next w:val="Normal"/>
    <w:autoRedefine/>
    <w:uiPriority w:val="39"/>
    <w:unhideWhenUsed/>
    <w:rsid w:val="00EB3422"/>
    <w:pPr>
      <w:spacing w:after="100"/>
      <w:ind w:left="220"/>
    </w:pPr>
  </w:style>
  <w:style w:type="paragraph" w:styleId="TOC3">
    <w:name w:val="toc 3"/>
    <w:basedOn w:val="Normal"/>
    <w:next w:val="Normal"/>
    <w:autoRedefine/>
    <w:uiPriority w:val="39"/>
    <w:unhideWhenUsed/>
    <w:rsid w:val="00EB3422"/>
    <w:pPr>
      <w:spacing w:after="100"/>
      <w:ind w:left="440"/>
    </w:pPr>
  </w:style>
  <w:style w:type="character" w:styleId="Hyperlink">
    <w:name w:val="Hyperlink"/>
    <w:basedOn w:val="DefaultParagraphFont"/>
    <w:uiPriority w:val="99"/>
    <w:unhideWhenUsed/>
    <w:rsid w:val="00EB3422"/>
    <w:rPr>
      <w:color w:val="2B529C" w:themeColor="hyperlink"/>
      <w:u w:val="single"/>
    </w:rPr>
  </w:style>
  <w:style w:type="table" w:styleId="TableGrid">
    <w:name w:val="Table Grid"/>
    <w:basedOn w:val="TableNormal"/>
    <w:uiPriority w:val="39"/>
    <w:rsid w:val="003E7BC5"/>
    <w:pPr>
      <w:spacing w:before="120" w:after="120"/>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120" w:beforeAutospacing="0" w:afterLines="0" w:after="120" w:afterAutospacing="0"/>
      </w:pPr>
      <w:rPr>
        <w:rFonts w:ascii="Arial" w:hAnsi="Arial"/>
        <w:b/>
        <w:color w:val="auto"/>
        <w:sz w:val="20"/>
      </w:rPr>
      <w:tblPr/>
      <w:tcPr>
        <w:shd w:val="clear" w:color="auto" w:fill="F2F2F2" w:themeFill="accent4" w:themeFillShade="F2"/>
      </w:tcPr>
    </w:tblStylePr>
  </w:style>
  <w:style w:type="table" w:styleId="TableGridLight">
    <w:name w:val="Grid Table Light"/>
    <w:basedOn w:val="TableNormal"/>
    <w:uiPriority w:val="40"/>
    <w:rsid w:val="00175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6F4EC" w:themeColor="background1"/>
        <w:sz w:val="24"/>
      </w:rPr>
      <w:tblPr/>
      <w:tcPr>
        <w:shd w:val="clear" w:color="auto" w:fill="15284C"/>
      </w:tcPr>
    </w:tblStylePr>
    <w:tblStylePr w:type="nwCell">
      <w:tblPr/>
      <w:tcPr>
        <w:tcBorders>
          <w:top w:val="nil"/>
          <w:left w:val="nil"/>
          <w:bottom w:val="nil"/>
          <w:right w:val="nil"/>
          <w:insideH w:val="nil"/>
          <w:insideV w:val="nil"/>
          <w:tl2br w:val="nil"/>
          <w:tr2bl w:val="nil"/>
        </w:tcBorders>
        <w:shd w:val="clear" w:color="auto" w:fill="F6F4EC" w:themeFill="background1"/>
      </w:tcPr>
    </w:tblStylePr>
  </w:style>
  <w:style w:type="table" w:styleId="ListTable4-Accent5">
    <w:name w:val="List Table 4 Accent 5"/>
    <w:basedOn w:val="TableNormal"/>
    <w:uiPriority w:val="49"/>
    <w:rsid w:val="005247D4"/>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tcBorders>
        <w:shd w:val="clear" w:color="auto" w:fill="15284C" w:themeFill="accent5"/>
      </w:tcPr>
    </w:tblStylePr>
    <w:tblStylePr w:type="lastRow">
      <w:rPr>
        <w:b/>
        <w:bCs/>
      </w:rPr>
      <w:tblPr/>
      <w:tcPr>
        <w:tcBorders>
          <w:top w:val="double" w:sz="4" w:space="0" w:color="3C6DC9" w:themeColor="accent5" w:themeTint="99"/>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PlainTable4">
    <w:name w:val="Plain Table 4"/>
    <w:basedOn w:val="TableNormal"/>
    <w:uiPriority w:val="44"/>
    <w:rsid w:val="000E4D0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ADB" w:themeFill="background1" w:themeFillShade="F2"/>
      </w:tcPr>
    </w:tblStylePr>
    <w:tblStylePr w:type="band1Horz">
      <w:tblPr/>
      <w:tcPr>
        <w:shd w:val="clear" w:color="auto" w:fill="EEEADB" w:themeFill="background1" w:themeFillShade="F2"/>
      </w:tcPr>
    </w:tblStylePr>
  </w:style>
  <w:style w:type="table" w:styleId="ListTable5Dark-Accent6">
    <w:name w:val="List Table 5 Dark Accent 6"/>
    <w:basedOn w:val="TableNormal"/>
    <w:uiPriority w:val="50"/>
    <w:rsid w:val="000E4D03"/>
    <w:pPr>
      <w:spacing w:after="0" w:line="240" w:lineRule="auto"/>
    </w:pPr>
    <w:rPr>
      <w:color w:val="F6F4EC"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6F4EC" w:themeColor="background1"/>
        </w:tcBorders>
      </w:tcPr>
    </w:tblStylePr>
    <w:tblStylePr w:type="lastRow">
      <w:rPr>
        <w:b/>
        <w:bCs/>
      </w:rPr>
      <w:tblPr/>
      <w:tcPr>
        <w:tcBorders>
          <w:top w:val="single" w:sz="4" w:space="0" w:color="F6F4EC" w:themeColor="background1"/>
        </w:tcBorders>
      </w:tcPr>
    </w:tblStylePr>
    <w:tblStylePr w:type="firstCol">
      <w:rPr>
        <w:b/>
        <w:bCs/>
      </w:rPr>
      <w:tblPr/>
      <w:tcPr>
        <w:tcBorders>
          <w:right w:val="single" w:sz="4" w:space="0" w:color="F6F4EC" w:themeColor="background1"/>
        </w:tcBorders>
      </w:tcPr>
    </w:tblStylePr>
    <w:tblStylePr w:type="lastCol">
      <w:rPr>
        <w:b/>
        <w:bCs/>
      </w:rPr>
      <w:tblPr/>
      <w:tcPr>
        <w:tcBorders>
          <w:left w:val="single" w:sz="4" w:space="0" w:color="F6F4EC" w:themeColor="background1"/>
        </w:tcBorders>
      </w:tcPr>
    </w:tblStylePr>
    <w:tblStylePr w:type="band1Vert">
      <w:tblPr/>
      <w:tcPr>
        <w:tcBorders>
          <w:left w:val="single" w:sz="4" w:space="0" w:color="F6F4EC" w:themeColor="background1"/>
          <w:right w:val="single" w:sz="4" w:space="0" w:color="F6F4EC" w:themeColor="background1"/>
        </w:tcBorders>
      </w:tcPr>
    </w:tblStylePr>
    <w:tblStylePr w:type="band2Vert">
      <w:tblPr/>
      <w:tcPr>
        <w:tcBorders>
          <w:left w:val="single" w:sz="4" w:space="0" w:color="F6F4EC" w:themeColor="background1"/>
          <w:right w:val="single" w:sz="4" w:space="0" w:color="F6F4EC" w:themeColor="background1"/>
        </w:tcBorders>
      </w:tcPr>
    </w:tblStylePr>
    <w:tblStylePr w:type="band1Horz">
      <w:tblPr/>
      <w:tcPr>
        <w:tcBorders>
          <w:top w:val="single" w:sz="4" w:space="0" w:color="F6F4EC" w:themeColor="background1"/>
          <w:bottom w:val="single" w:sz="4" w:space="0" w:color="F6F4EC"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2">
    <w:name w:val="List Table 4 Accent 2"/>
    <w:basedOn w:val="TableNormal"/>
    <w:uiPriority w:val="49"/>
    <w:rsid w:val="00863572"/>
    <w:pPr>
      <w:spacing w:after="0" w:line="240" w:lineRule="auto"/>
    </w:pPr>
    <w:tblPr>
      <w:tblStyleRowBandSize w:val="1"/>
      <w:tblStyleColBandSize w:val="1"/>
      <w:tblBorders>
        <w:top w:val="single" w:sz="4" w:space="0" w:color="2870FF" w:themeColor="accent2" w:themeTint="99"/>
        <w:left w:val="single" w:sz="4" w:space="0" w:color="2870FF" w:themeColor="accent2" w:themeTint="99"/>
        <w:bottom w:val="single" w:sz="4" w:space="0" w:color="2870FF" w:themeColor="accent2" w:themeTint="99"/>
        <w:right w:val="single" w:sz="4" w:space="0" w:color="2870FF" w:themeColor="accent2" w:themeTint="99"/>
        <w:insideH w:val="single" w:sz="4" w:space="0" w:color="2870FF" w:themeColor="accent2" w:themeTint="99"/>
      </w:tblBorders>
    </w:tblPr>
    <w:tblStylePr w:type="firstRow">
      <w:rPr>
        <w:b/>
        <w:bCs/>
        <w:color w:val="F6F4EC" w:themeColor="background1"/>
      </w:rPr>
      <w:tblPr/>
      <w:tcPr>
        <w:tcBorders>
          <w:top w:val="single" w:sz="4" w:space="0" w:color="003399" w:themeColor="accent2"/>
          <w:left w:val="single" w:sz="4" w:space="0" w:color="003399" w:themeColor="accent2"/>
          <w:bottom w:val="single" w:sz="4" w:space="0" w:color="003399" w:themeColor="accent2"/>
          <w:right w:val="single" w:sz="4" w:space="0" w:color="003399" w:themeColor="accent2"/>
          <w:insideH w:val="nil"/>
        </w:tcBorders>
        <w:shd w:val="clear" w:color="auto" w:fill="003399" w:themeFill="accent2"/>
      </w:tcPr>
    </w:tblStylePr>
    <w:tblStylePr w:type="lastRow">
      <w:rPr>
        <w:b/>
        <w:bCs/>
      </w:rPr>
      <w:tblPr/>
      <w:tcPr>
        <w:tcBorders>
          <w:top w:val="double" w:sz="4" w:space="0" w:color="2870FF" w:themeColor="accent2" w:themeTint="99"/>
        </w:tcBorders>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table" w:styleId="ListTable4-Accent3">
    <w:name w:val="List Table 4 Accent 3"/>
    <w:basedOn w:val="TableNormal"/>
    <w:uiPriority w:val="49"/>
    <w:rsid w:val="00863572"/>
    <w:pPr>
      <w:spacing w:after="0" w:line="240" w:lineRule="auto"/>
    </w:pPr>
    <w:tblPr>
      <w:tblStyleRowBandSize w:val="1"/>
      <w:tblStyleColBandSize w:val="1"/>
      <w:tblBorders>
        <w:top w:val="single" w:sz="4" w:space="0" w:color="3ADAEE" w:themeColor="accent3" w:themeTint="99"/>
        <w:left w:val="single" w:sz="4" w:space="0" w:color="3ADAEE" w:themeColor="accent3" w:themeTint="99"/>
        <w:bottom w:val="single" w:sz="4" w:space="0" w:color="3ADAEE" w:themeColor="accent3" w:themeTint="99"/>
        <w:right w:val="single" w:sz="4" w:space="0" w:color="3ADAEE" w:themeColor="accent3" w:themeTint="99"/>
        <w:insideH w:val="single" w:sz="4" w:space="0" w:color="3ADAEE" w:themeColor="accent3" w:themeTint="99"/>
      </w:tblBorders>
    </w:tblPr>
    <w:tblStylePr w:type="firstRow">
      <w:rPr>
        <w:b/>
        <w:bCs/>
        <w:color w:val="F6F4EC" w:themeColor="background1"/>
      </w:rPr>
      <w:tblPr/>
      <w:tcPr>
        <w:tcBorders>
          <w:top w:val="single" w:sz="4" w:space="0" w:color="0C818F" w:themeColor="accent3"/>
          <w:left w:val="single" w:sz="4" w:space="0" w:color="0C818F" w:themeColor="accent3"/>
          <w:bottom w:val="single" w:sz="4" w:space="0" w:color="0C818F" w:themeColor="accent3"/>
          <w:right w:val="single" w:sz="4" w:space="0" w:color="0C818F" w:themeColor="accent3"/>
          <w:insideH w:val="nil"/>
        </w:tcBorders>
        <w:shd w:val="clear" w:color="auto" w:fill="0C818F" w:themeFill="accent3"/>
      </w:tcPr>
    </w:tblStylePr>
    <w:tblStylePr w:type="lastRow">
      <w:rPr>
        <w:b/>
        <w:bCs/>
      </w:rPr>
      <w:tblPr/>
      <w:tcPr>
        <w:tcBorders>
          <w:top w:val="double" w:sz="4" w:space="0" w:color="3ADAEE" w:themeColor="accent3" w:themeTint="99"/>
        </w:tcBorders>
      </w:tcPr>
    </w:tblStylePr>
    <w:tblStylePr w:type="firstCol">
      <w:rPr>
        <w:b/>
        <w:bCs/>
      </w:rPr>
    </w:tblStylePr>
    <w:tblStylePr w:type="lastCol">
      <w:rPr>
        <w:b/>
        <w:bCs/>
      </w:rPr>
    </w:tblStylePr>
    <w:tblStylePr w:type="band1Vert">
      <w:tblPr/>
      <w:tcPr>
        <w:shd w:val="clear" w:color="auto" w:fill="BDF3F9" w:themeFill="accent3" w:themeFillTint="33"/>
      </w:tcPr>
    </w:tblStylePr>
    <w:tblStylePr w:type="band1Horz">
      <w:tblPr/>
      <w:tcPr>
        <w:shd w:val="clear" w:color="auto" w:fill="BDF3F9" w:themeFill="accent3" w:themeFillTint="33"/>
      </w:tcPr>
    </w:tblStylePr>
  </w:style>
  <w:style w:type="table" w:styleId="ListTable3">
    <w:name w:val="List Table 3"/>
    <w:basedOn w:val="TableNormal"/>
    <w:uiPriority w:val="48"/>
    <w:rsid w:val="00863572"/>
    <w:pPr>
      <w:spacing w:after="0" w:line="240" w:lineRule="auto"/>
    </w:pPr>
    <w:tblPr>
      <w:tblStyleRowBandSize w:val="1"/>
      <w:tblStyleColBandSize w:val="1"/>
      <w:tblBorders>
        <w:top w:val="single" w:sz="4" w:space="0" w:color="15284C" w:themeColor="text1"/>
        <w:left w:val="single" w:sz="4" w:space="0" w:color="15284C" w:themeColor="text1"/>
        <w:bottom w:val="single" w:sz="4" w:space="0" w:color="15284C" w:themeColor="text1"/>
        <w:right w:val="single" w:sz="4" w:space="0" w:color="15284C" w:themeColor="text1"/>
      </w:tblBorders>
    </w:tblPr>
    <w:tblStylePr w:type="firstRow">
      <w:rPr>
        <w:b/>
        <w:bCs/>
        <w:color w:val="F6F4EC" w:themeColor="background1"/>
      </w:rPr>
      <w:tblPr/>
      <w:tcPr>
        <w:shd w:val="clear" w:color="auto" w:fill="15284C" w:themeFill="text1"/>
      </w:tcPr>
    </w:tblStylePr>
    <w:tblStylePr w:type="lastRow">
      <w:rPr>
        <w:b/>
        <w:bCs/>
      </w:rPr>
      <w:tblPr/>
      <w:tcPr>
        <w:tcBorders>
          <w:top w:val="double" w:sz="4" w:space="0" w:color="15284C" w:themeColor="text1"/>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15284C" w:themeColor="text1"/>
          <w:right w:val="single" w:sz="4" w:space="0" w:color="15284C" w:themeColor="text1"/>
        </w:tcBorders>
      </w:tcPr>
    </w:tblStylePr>
    <w:tblStylePr w:type="band1Horz">
      <w:tblPr/>
      <w:tcPr>
        <w:tcBorders>
          <w:top w:val="single" w:sz="4" w:space="0" w:color="15284C" w:themeColor="text1"/>
          <w:bottom w:val="single" w:sz="4" w:space="0" w:color="15284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284C" w:themeColor="text1"/>
          <w:left w:val="nil"/>
        </w:tcBorders>
      </w:tcPr>
    </w:tblStylePr>
    <w:tblStylePr w:type="swCell">
      <w:tblPr/>
      <w:tcPr>
        <w:tcBorders>
          <w:top w:val="double" w:sz="4" w:space="0" w:color="15284C" w:themeColor="text1"/>
          <w:right w:val="nil"/>
        </w:tcBorders>
      </w:tcPr>
    </w:tblStylePr>
  </w:style>
  <w:style w:type="table" w:styleId="ListTable4-Accent1">
    <w:name w:val="List Table 4 Accent 1"/>
    <w:basedOn w:val="TableNormal"/>
    <w:uiPriority w:val="49"/>
    <w:rsid w:val="00863572"/>
    <w:pPr>
      <w:spacing w:after="0" w:line="240" w:lineRule="auto"/>
    </w:pPr>
    <w:tblPr>
      <w:tblStyleRowBandSize w:val="1"/>
      <w:tblStyleColBandSize w:val="1"/>
      <w:tblBorders>
        <w:top w:val="single" w:sz="4" w:space="0" w:color="935ACF" w:themeColor="accent1" w:themeTint="99"/>
        <w:left w:val="single" w:sz="4" w:space="0" w:color="935ACF" w:themeColor="accent1" w:themeTint="99"/>
        <w:bottom w:val="single" w:sz="4" w:space="0" w:color="935ACF" w:themeColor="accent1" w:themeTint="99"/>
        <w:right w:val="single" w:sz="4" w:space="0" w:color="935ACF" w:themeColor="accent1" w:themeTint="99"/>
        <w:insideH w:val="single" w:sz="4" w:space="0" w:color="935ACF" w:themeColor="accent1" w:themeTint="99"/>
      </w:tblBorders>
    </w:tblPr>
    <w:tblStylePr w:type="firstRow">
      <w:rPr>
        <w:b/>
        <w:bCs/>
        <w:color w:val="F6F4EC" w:themeColor="background1"/>
      </w:rPr>
      <w:tblPr/>
      <w:tcPr>
        <w:tcBorders>
          <w:top w:val="single" w:sz="4" w:space="0" w:color="4D2379" w:themeColor="accent1"/>
          <w:left w:val="single" w:sz="4" w:space="0" w:color="4D2379" w:themeColor="accent1"/>
          <w:bottom w:val="single" w:sz="4" w:space="0" w:color="4D2379" w:themeColor="accent1"/>
          <w:right w:val="single" w:sz="4" w:space="0" w:color="4D2379" w:themeColor="accent1"/>
          <w:insideH w:val="nil"/>
        </w:tcBorders>
        <w:shd w:val="clear" w:color="auto" w:fill="4D2379" w:themeFill="accent1"/>
      </w:tcPr>
    </w:tblStylePr>
    <w:tblStylePr w:type="lastRow">
      <w:rPr>
        <w:b/>
        <w:bCs/>
      </w:rPr>
      <w:tblPr/>
      <w:tcPr>
        <w:tcBorders>
          <w:top w:val="double" w:sz="4" w:space="0" w:color="935ACF" w:themeColor="accent1" w:themeTint="99"/>
        </w:tcBorders>
      </w:tcPr>
    </w:tblStylePr>
    <w:tblStylePr w:type="firstCol">
      <w:rPr>
        <w:b/>
        <w:bCs/>
      </w:rPr>
    </w:tblStylePr>
    <w:tblStylePr w:type="lastCol">
      <w:rPr>
        <w:b/>
        <w:bCs/>
      </w:rPr>
    </w:tblStylePr>
    <w:tblStylePr w:type="band1Vert">
      <w:tblPr/>
      <w:tcPr>
        <w:shd w:val="clear" w:color="auto" w:fill="DAC7EF" w:themeFill="accent1" w:themeFillTint="33"/>
      </w:tcPr>
    </w:tblStylePr>
    <w:tblStylePr w:type="band1Horz">
      <w:tblPr/>
      <w:tcPr>
        <w:shd w:val="clear" w:color="auto" w:fill="DAC7EF" w:themeFill="accent1" w:themeFillTint="33"/>
      </w:tcPr>
    </w:tblStylePr>
  </w:style>
  <w:style w:type="table" w:styleId="ListTable4">
    <w:name w:val="List Table 4"/>
    <w:basedOn w:val="TableNormal"/>
    <w:uiPriority w:val="49"/>
    <w:rsid w:val="00863572"/>
    <w:pPr>
      <w:spacing w:after="0" w:line="240" w:lineRule="auto"/>
    </w:pPr>
    <w:tblPr>
      <w:tblStyleRowBandSize w:val="1"/>
      <w:tblStyleColBandSize w:val="1"/>
      <w:tblBorders>
        <w:top w:val="single" w:sz="4" w:space="0" w:color="3C6DC9" w:themeColor="text1" w:themeTint="99"/>
        <w:left w:val="single" w:sz="4" w:space="0" w:color="3C6DC9" w:themeColor="text1" w:themeTint="99"/>
        <w:bottom w:val="single" w:sz="4" w:space="0" w:color="3C6DC9" w:themeColor="text1" w:themeTint="99"/>
        <w:right w:val="single" w:sz="4" w:space="0" w:color="3C6DC9" w:themeColor="text1" w:themeTint="99"/>
        <w:insideH w:val="single" w:sz="4" w:space="0" w:color="3C6DC9" w:themeColor="text1" w:themeTint="99"/>
      </w:tblBorders>
    </w:tblPr>
    <w:tblStylePr w:type="firstRow">
      <w:rPr>
        <w:b/>
        <w:bCs/>
        <w:color w:val="F6F4EC" w:themeColor="background1"/>
      </w:rPr>
      <w:tblPr/>
      <w:tcPr>
        <w:tcBorders>
          <w:top w:val="single" w:sz="4" w:space="0" w:color="15284C" w:themeColor="text1"/>
          <w:left w:val="single" w:sz="4" w:space="0" w:color="15284C" w:themeColor="text1"/>
          <w:bottom w:val="single" w:sz="4" w:space="0" w:color="15284C" w:themeColor="text1"/>
          <w:right w:val="single" w:sz="4" w:space="0" w:color="15284C" w:themeColor="text1"/>
          <w:insideH w:val="nil"/>
        </w:tcBorders>
        <w:shd w:val="clear" w:color="auto" w:fill="15284C" w:themeFill="text1"/>
      </w:tcPr>
    </w:tblStylePr>
    <w:tblStylePr w:type="lastRow">
      <w:rPr>
        <w:b/>
        <w:bCs/>
      </w:rPr>
      <w:tblPr/>
      <w:tcPr>
        <w:tcBorders>
          <w:top w:val="double" w:sz="4" w:space="0" w:color="3C6DC9" w:themeColor="text1" w:themeTint="99"/>
        </w:tcBorders>
      </w:tcPr>
    </w:tblStylePr>
    <w:tblStylePr w:type="firstCol">
      <w:rPr>
        <w:b/>
        <w:bCs/>
      </w:rPr>
    </w:tblStylePr>
    <w:tblStylePr w:type="lastCol">
      <w:rPr>
        <w:b/>
        <w:bCs/>
      </w:rPr>
    </w:tblStylePr>
    <w:tblStylePr w:type="band1Vert">
      <w:tblPr/>
      <w:tcPr>
        <w:shd w:val="clear" w:color="auto" w:fill="BECEED" w:themeFill="text1" w:themeFillTint="33"/>
      </w:tcPr>
    </w:tblStylePr>
    <w:tblStylePr w:type="band1Horz">
      <w:tblPr/>
      <w:tcPr>
        <w:shd w:val="clear" w:color="auto" w:fill="BECEED" w:themeFill="text1" w:themeFillTint="33"/>
      </w:tcPr>
    </w:tblStylePr>
  </w:style>
  <w:style w:type="table" w:styleId="ListTable3-Accent3">
    <w:name w:val="List Table 3 Accent 3"/>
    <w:basedOn w:val="TableNormal"/>
    <w:uiPriority w:val="48"/>
    <w:rsid w:val="00863572"/>
    <w:pPr>
      <w:spacing w:after="0" w:line="240" w:lineRule="auto"/>
    </w:pPr>
    <w:tblPr>
      <w:tblStyleRowBandSize w:val="1"/>
      <w:tblStyleColBandSize w:val="1"/>
      <w:tblBorders>
        <w:top w:val="single" w:sz="4" w:space="0" w:color="0C818F" w:themeColor="accent3"/>
        <w:left w:val="single" w:sz="4" w:space="0" w:color="0C818F" w:themeColor="accent3"/>
        <w:bottom w:val="single" w:sz="4" w:space="0" w:color="0C818F" w:themeColor="accent3"/>
        <w:right w:val="single" w:sz="4" w:space="0" w:color="0C818F" w:themeColor="accent3"/>
      </w:tblBorders>
    </w:tblPr>
    <w:tblStylePr w:type="firstRow">
      <w:rPr>
        <w:b/>
        <w:bCs/>
        <w:color w:val="F6F4EC" w:themeColor="background1"/>
      </w:rPr>
      <w:tblPr/>
      <w:tcPr>
        <w:shd w:val="clear" w:color="auto" w:fill="0C818F" w:themeFill="accent3"/>
      </w:tcPr>
    </w:tblStylePr>
    <w:tblStylePr w:type="lastRow">
      <w:rPr>
        <w:b/>
        <w:bCs/>
      </w:rPr>
      <w:tblPr/>
      <w:tcPr>
        <w:tcBorders>
          <w:top w:val="double" w:sz="4" w:space="0" w:color="0C818F" w:themeColor="accent3"/>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0C818F" w:themeColor="accent3"/>
          <w:right w:val="single" w:sz="4" w:space="0" w:color="0C818F" w:themeColor="accent3"/>
        </w:tcBorders>
      </w:tcPr>
    </w:tblStylePr>
    <w:tblStylePr w:type="band1Horz">
      <w:tblPr/>
      <w:tcPr>
        <w:tcBorders>
          <w:top w:val="single" w:sz="4" w:space="0" w:color="0C818F" w:themeColor="accent3"/>
          <w:bottom w:val="single" w:sz="4" w:space="0" w:color="0C818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818F" w:themeColor="accent3"/>
          <w:left w:val="nil"/>
        </w:tcBorders>
      </w:tcPr>
    </w:tblStylePr>
    <w:tblStylePr w:type="swCell">
      <w:tblPr/>
      <w:tcPr>
        <w:tcBorders>
          <w:top w:val="double" w:sz="4" w:space="0" w:color="0C818F" w:themeColor="accent3"/>
          <w:right w:val="nil"/>
        </w:tcBorders>
      </w:tcPr>
    </w:tblStylePr>
  </w:style>
  <w:style w:type="paragraph" w:styleId="ListParagraph">
    <w:name w:val="List Paragraph"/>
    <w:aliases w:val="Bullets,Level 3,List Paragraph1,List Paragraph numbered,List Bullet indent,Body,Recommendation,List Paragraph11,TOC style,lp1,Bullet OSM,Proposal Bullet List,Rec para,Bullet Normal,Colorful List - Accent 11,Bullet Heading,列出段落,Bullet list"/>
    <w:basedOn w:val="Normal"/>
    <w:link w:val="ListParagraphChar"/>
    <w:uiPriority w:val="34"/>
    <w:rsid w:val="004079F7"/>
    <w:pPr>
      <w:ind w:left="720"/>
      <w:contextualSpacing/>
    </w:pPr>
  </w:style>
  <w:style w:type="paragraph" w:styleId="BodyText">
    <w:name w:val="Body Text"/>
    <w:basedOn w:val="Normal"/>
    <w:link w:val="BodyTextChar"/>
    <w:semiHidden/>
    <w:rsid w:val="00C639EB"/>
    <w:pPr>
      <w:spacing w:after="120" w:line="240" w:lineRule="atLeast"/>
      <w:jc w:val="both"/>
    </w:pPr>
    <w:rPr>
      <w:rFonts w:eastAsia="Times New Roman"/>
      <w:kern w:val="22"/>
      <w:lang w:val="en-NZ"/>
    </w:rPr>
  </w:style>
  <w:style w:type="character" w:customStyle="1" w:styleId="BodyTextChar">
    <w:name w:val="Body Text Char"/>
    <w:basedOn w:val="DefaultParagraphFont"/>
    <w:link w:val="BodyText"/>
    <w:rsid w:val="00C639EB"/>
    <w:rPr>
      <w:rFonts w:ascii="Arial" w:eastAsia="Times New Roman" w:hAnsi="Arial" w:cs="Arial"/>
      <w:kern w:val="22"/>
    </w:rPr>
  </w:style>
  <w:style w:type="paragraph" w:customStyle="1" w:styleId="Letteredbullets">
    <w:name w:val="Lettered bullets"/>
    <w:basedOn w:val="Numberedbullets"/>
    <w:qFormat/>
    <w:rsid w:val="00337327"/>
    <w:pPr>
      <w:numPr>
        <w:ilvl w:val="1"/>
      </w:numPr>
      <w:ind w:left="811" w:hanging="357"/>
    </w:pPr>
    <w:rPr>
      <w:shd w:val="clear" w:color="auto" w:fill="auto"/>
      <w:lang w:val="en-NZ"/>
    </w:rPr>
  </w:style>
  <w:style w:type="paragraph" w:customStyle="1" w:styleId="ReportBody-TeWhatuOra">
    <w:name w:val="Report Body - Te Whatu Ora"/>
    <w:basedOn w:val="Normal"/>
    <w:link w:val="ReportBody-TeWhatuOraChar"/>
    <w:autoRedefine/>
    <w:rsid w:val="0067272F"/>
    <w:pPr>
      <w:autoSpaceDE w:val="0"/>
      <w:autoSpaceDN w:val="0"/>
      <w:spacing w:line="360" w:lineRule="auto"/>
    </w:pPr>
    <w:rPr>
      <w:bCs/>
      <w:color w:val="15284C" w:themeColor="text1"/>
      <w:shd w:val="clear" w:color="auto" w:fill="FFFFFF"/>
      <w:lang w:val="en-NZ" w:eastAsia="en-NZ"/>
    </w:rPr>
  </w:style>
  <w:style w:type="paragraph" w:customStyle="1" w:styleId="TableHeading2">
    <w:name w:val="Table Heading 2"/>
    <w:basedOn w:val="Normal"/>
    <w:link w:val="TableHeading2Char"/>
    <w:uiPriority w:val="2"/>
    <w:rsid w:val="00C639EB"/>
    <w:pPr>
      <w:spacing w:before="60" w:after="60" w:line="240" w:lineRule="atLeast"/>
    </w:pPr>
    <w:rPr>
      <w:rFonts w:eastAsia="Times New Roman"/>
      <w:b/>
      <w:bCs/>
      <w:color w:val="15284C" w:themeColor="text1"/>
      <w:sz w:val="20"/>
      <w:szCs w:val="14"/>
      <w:lang w:val="en-GB" w:eastAsia="en-GB"/>
    </w:rPr>
  </w:style>
  <w:style w:type="paragraph" w:customStyle="1" w:styleId="TableText">
    <w:name w:val="Table Text"/>
    <w:link w:val="TableTextChar"/>
    <w:uiPriority w:val="2"/>
    <w:rsid w:val="00C639EB"/>
    <w:pPr>
      <w:autoSpaceDE w:val="0"/>
      <w:autoSpaceDN w:val="0"/>
      <w:adjustRightInd w:val="0"/>
      <w:spacing w:before="60" w:after="60" w:line="240" w:lineRule="atLeast"/>
    </w:pPr>
    <w:rPr>
      <w:rFonts w:ascii="Arial" w:eastAsia="Times New Roman" w:hAnsi="Arial" w:cs="GillSans"/>
      <w:sz w:val="20"/>
      <w:szCs w:val="18"/>
      <w:lang w:val="en-GB" w:eastAsia="en-AU"/>
    </w:rPr>
  </w:style>
  <w:style w:type="character" w:styleId="PlaceholderText">
    <w:name w:val="Placeholder Text"/>
    <w:basedOn w:val="DefaultParagraphFont"/>
    <w:uiPriority w:val="99"/>
    <w:semiHidden/>
    <w:rsid w:val="00C639EB"/>
  </w:style>
  <w:style w:type="paragraph" w:customStyle="1" w:styleId="TableBold">
    <w:name w:val="Table Bold"/>
    <w:basedOn w:val="Normal"/>
    <w:link w:val="TableBoldChar"/>
    <w:uiPriority w:val="2"/>
    <w:rsid w:val="0046219A"/>
    <w:pPr>
      <w:spacing w:before="60" w:after="60"/>
    </w:pPr>
    <w:rPr>
      <w:rFonts w:eastAsia="Times New Roman"/>
      <w:b/>
      <w:sz w:val="20"/>
      <w:szCs w:val="20"/>
      <w:lang w:val="en-NZ"/>
    </w:rPr>
  </w:style>
  <w:style w:type="character" w:customStyle="1" w:styleId="TableBoldChar">
    <w:name w:val="Table Bold Char"/>
    <w:basedOn w:val="DefaultParagraphFont"/>
    <w:link w:val="TableBold"/>
    <w:uiPriority w:val="2"/>
    <w:rsid w:val="0046219A"/>
    <w:rPr>
      <w:rFonts w:ascii="Arial" w:eastAsia="Times New Roman" w:hAnsi="Arial" w:cs="Arial"/>
      <w:b/>
      <w:sz w:val="20"/>
      <w:szCs w:val="20"/>
    </w:rPr>
  </w:style>
  <w:style w:type="character" w:customStyle="1" w:styleId="TableTextChar">
    <w:name w:val="Table Text Char"/>
    <w:basedOn w:val="DefaultParagraphFont"/>
    <w:link w:val="TableText"/>
    <w:uiPriority w:val="2"/>
    <w:rsid w:val="00C639EB"/>
    <w:rPr>
      <w:rFonts w:ascii="Arial" w:eastAsia="Times New Roman" w:hAnsi="Arial" w:cs="GillSans"/>
      <w:sz w:val="20"/>
      <w:szCs w:val="18"/>
      <w:lang w:val="en-GB" w:eastAsia="en-AU"/>
    </w:rPr>
  </w:style>
  <w:style w:type="character" w:customStyle="1" w:styleId="normaltextrun">
    <w:name w:val="normaltextrun"/>
    <w:basedOn w:val="DefaultParagraphFont"/>
    <w:rsid w:val="00C639EB"/>
  </w:style>
  <w:style w:type="table" w:styleId="PlainTable2">
    <w:name w:val="Plain Table 2"/>
    <w:basedOn w:val="TableNormal"/>
    <w:uiPriority w:val="42"/>
    <w:rsid w:val="00C558F3"/>
    <w:pPr>
      <w:spacing w:after="0" w:line="240" w:lineRule="auto"/>
    </w:pPr>
    <w:tblPr>
      <w:tblStyleRowBandSize w:val="1"/>
      <w:tblStyleColBandSize w:val="1"/>
      <w:tblBorders>
        <w:top w:val="single" w:sz="4" w:space="0" w:color="5C85D2" w:themeColor="text1" w:themeTint="80"/>
        <w:bottom w:val="single" w:sz="4" w:space="0" w:color="5C85D2" w:themeColor="text1" w:themeTint="80"/>
      </w:tblBorders>
    </w:tblPr>
    <w:tblStylePr w:type="firstRow">
      <w:rPr>
        <w:b/>
        <w:bCs/>
      </w:rPr>
      <w:tblPr/>
      <w:tcPr>
        <w:tcBorders>
          <w:bottom w:val="single" w:sz="4" w:space="0" w:color="5C85D2" w:themeColor="text1" w:themeTint="80"/>
        </w:tcBorders>
      </w:tcPr>
    </w:tblStylePr>
    <w:tblStylePr w:type="lastRow">
      <w:rPr>
        <w:b/>
        <w:bCs/>
      </w:rPr>
      <w:tblPr/>
      <w:tcPr>
        <w:tcBorders>
          <w:top w:val="single" w:sz="4" w:space="0" w:color="5C85D2" w:themeColor="text1" w:themeTint="80"/>
        </w:tcBorders>
      </w:tcPr>
    </w:tblStylePr>
    <w:tblStylePr w:type="firstCol">
      <w:rPr>
        <w:b/>
        <w:bCs/>
      </w:rPr>
    </w:tblStylePr>
    <w:tblStylePr w:type="lastCol">
      <w:rPr>
        <w:b/>
        <w:bCs/>
      </w:rPr>
    </w:tblStylePr>
    <w:tblStylePr w:type="band1Vert">
      <w:tblPr/>
      <w:tcPr>
        <w:tcBorders>
          <w:left w:val="single" w:sz="4" w:space="0" w:color="5C85D2" w:themeColor="text1" w:themeTint="80"/>
          <w:right w:val="single" w:sz="4" w:space="0" w:color="5C85D2" w:themeColor="text1" w:themeTint="80"/>
        </w:tcBorders>
      </w:tcPr>
    </w:tblStylePr>
    <w:tblStylePr w:type="band2Vert">
      <w:tblPr/>
      <w:tcPr>
        <w:tcBorders>
          <w:left w:val="single" w:sz="4" w:space="0" w:color="5C85D2" w:themeColor="text1" w:themeTint="80"/>
          <w:right w:val="single" w:sz="4" w:space="0" w:color="5C85D2" w:themeColor="text1" w:themeTint="80"/>
        </w:tcBorders>
      </w:tcPr>
    </w:tblStylePr>
    <w:tblStylePr w:type="band1Horz">
      <w:tblPr/>
      <w:tcPr>
        <w:tcBorders>
          <w:top w:val="single" w:sz="4" w:space="0" w:color="5C85D2" w:themeColor="text1" w:themeTint="80"/>
          <w:bottom w:val="single" w:sz="4" w:space="0" w:color="5C85D2" w:themeColor="text1" w:themeTint="80"/>
        </w:tcBorders>
      </w:tcPr>
    </w:tblStylePr>
  </w:style>
  <w:style w:type="table" w:styleId="GridTable1Light-Accent2">
    <w:name w:val="Grid Table 1 Light Accent 2"/>
    <w:basedOn w:val="TableNormal"/>
    <w:uiPriority w:val="46"/>
    <w:rsid w:val="00C558F3"/>
    <w:pPr>
      <w:spacing w:after="0" w:line="240" w:lineRule="auto"/>
    </w:pPr>
    <w:tblPr>
      <w:tblStyleRowBandSize w:val="1"/>
      <w:tblStyleColBandSize w:val="1"/>
      <w:tblBorders>
        <w:top w:val="single" w:sz="4" w:space="0" w:color="709FFF" w:themeColor="accent2" w:themeTint="66"/>
        <w:left w:val="single" w:sz="4" w:space="0" w:color="709FFF" w:themeColor="accent2" w:themeTint="66"/>
        <w:bottom w:val="single" w:sz="4" w:space="0" w:color="709FFF" w:themeColor="accent2" w:themeTint="66"/>
        <w:right w:val="single" w:sz="4" w:space="0" w:color="709FFF" w:themeColor="accent2" w:themeTint="66"/>
        <w:insideH w:val="single" w:sz="4" w:space="0" w:color="709FFF" w:themeColor="accent2" w:themeTint="66"/>
        <w:insideV w:val="single" w:sz="4" w:space="0" w:color="709FFF" w:themeColor="accent2" w:themeTint="66"/>
      </w:tblBorders>
    </w:tblPr>
    <w:tblStylePr w:type="firstRow">
      <w:rPr>
        <w:b/>
        <w:bCs/>
      </w:rPr>
      <w:tblPr/>
      <w:tcPr>
        <w:tcBorders>
          <w:bottom w:val="single" w:sz="12" w:space="0" w:color="2870FF" w:themeColor="accent2" w:themeTint="99"/>
        </w:tcBorders>
      </w:tcPr>
    </w:tblStylePr>
    <w:tblStylePr w:type="lastRow">
      <w:rPr>
        <w:b/>
        <w:bCs/>
      </w:rPr>
      <w:tblPr/>
      <w:tcPr>
        <w:tcBorders>
          <w:top w:val="double" w:sz="2" w:space="0" w:color="2870FF" w:themeColor="accent2" w:themeTint="99"/>
        </w:tcBorders>
      </w:tcPr>
    </w:tblStylePr>
    <w:tblStylePr w:type="firstCol">
      <w:rPr>
        <w:b/>
        <w:bCs/>
      </w:rPr>
    </w:tblStylePr>
    <w:tblStylePr w:type="lastCol">
      <w:rPr>
        <w:b/>
        <w:bCs/>
      </w:rPr>
    </w:tblStylePr>
  </w:style>
  <w:style w:type="table" w:styleId="GridTable4">
    <w:name w:val="Grid Table 4"/>
    <w:basedOn w:val="TableNormal"/>
    <w:uiPriority w:val="49"/>
    <w:rsid w:val="00A25298"/>
    <w:pPr>
      <w:spacing w:after="0" w:line="240" w:lineRule="auto"/>
    </w:pPr>
    <w:tblPr>
      <w:tblStyleRowBandSize w:val="1"/>
      <w:tblStyleColBandSize w:val="1"/>
      <w:tblBorders>
        <w:top w:val="single" w:sz="4" w:space="0" w:color="3C6DC9" w:themeColor="text1" w:themeTint="99"/>
        <w:left w:val="single" w:sz="4" w:space="0" w:color="3C6DC9" w:themeColor="text1" w:themeTint="99"/>
        <w:bottom w:val="single" w:sz="4" w:space="0" w:color="3C6DC9" w:themeColor="text1" w:themeTint="99"/>
        <w:right w:val="single" w:sz="4" w:space="0" w:color="3C6DC9" w:themeColor="text1" w:themeTint="99"/>
        <w:insideH w:val="single" w:sz="4" w:space="0" w:color="3C6DC9" w:themeColor="text1" w:themeTint="99"/>
        <w:insideV w:val="single" w:sz="4" w:space="0" w:color="3C6DC9" w:themeColor="text1" w:themeTint="99"/>
      </w:tblBorders>
    </w:tblPr>
    <w:tblStylePr w:type="firstRow">
      <w:rPr>
        <w:b/>
        <w:bCs/>
        <w:color w:val="F6F4EC" w:themeColor="background1"/>
      </w:rPr>
      <w:tblPr/>
      <w:tcPr>
        <w:tcBorders>
          <w:top w:val="single" w:sz="4" w:space="0" w:color="15284C" w:themeColor="text1"/>
          <w:left w:val="single" w:sz="4" w:space="0" w:color="15284C" w:themeColor="text1"/>
          <w:bottom w:val="single" w:sz="4" w:space="0" w:color="15284C" w:themeColor="text1"/>
          <w:right w:val="single" w:sz="4" w:space="0" w:color="15284C" w:themeColor="text1"/>
          <w:insideH w:val="nil"/>
          <w:insideV w:val="nil"/>
        </w:tcBorders>
        <w:shd w:val="clear" w:color="auto" w:fill="15284C" w:themeFill="text1"/>
      </w:tcPr>
    </w:tblStylePr>
    <w:tblStylePr w:type="lastRow">
      <w:rPr>
        <w:b/>
        <w:bCs/>
      </w:rPr>
      <w:tblPr/>
      <w:tcPr>
        <w:tcBorders>
          <w:top w:val="double" w:sz="4" w:space="0" w:color="15284C" w:themeColor="text1"/>
        </w:tcBorders>
      </w:tcPr>
    </w:tblStylePr>
    <w:tblStylePr w:type="firstCol">
      <w:rPr>
        <w:b/>
        <w:bCs/>
      </w:rPr>
    </w:tblStylePr>
    <w:tblStylePr w:type="lastCol">
      <w:rPr>
        <w:b/>
        <w:bCs/>
      </w:rPr>
    </w:tblStylePr>
    <w:tblStylePr w:type="band1Vert">
      <w:tblPr/>
      <w:tcPr>
        <w:shd w:val="clear" w:color="auto" w:fill="BECEED" w:themeFill="text1" w:themeFillTint="33"/>
      </w:tcPr>
    </w:tblStylePr>
    <w:tblStylePr w:type="band1Horz">
      <w:tblPr/>
      <w:tcPr>
        <w:shd w:val="clear" w:color="auto" w:fill="BECEED" w:themeFill="text1" w:themeFillTint="33"/>
      </w:tcPr>
    </w:tblStylePr>
  </w:style>
  <w:style w:type="table" w:styleId="GridTable4-Accent5">
    <w:name w:val="Grid Table 4 Accent 5"/>
    <w:basedOn w:val="TableNormal"/>
    <w:uiPriority w:val="49"/>
    <w:rsid w:val="00A25298"/>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insideV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insideV w:val="nil"/>
        </w:tcBorders>
        <w:shd w:val="clear" w:color="auto" w:fill="15284C" w:themeFill="accent5"/>
      </w:tcPr>
    </w:tblStylePr>
    <w:tblStylePr w:type="lastRow">
      <w:rPr>
        <w:b/>
        <w:bCs/>
      </w:rPr>
      <w:tblPr/>
      <w:tcPr>
        <w:tcBorders>
          <w:top w:val="double" w:sz="4" w:space="0" w:color="15284C" w:themeColor="accent5"/>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paragraph" w:customStyle="1" w:styleId="Bold">
    <w:name w:val="Bold"/>
    <w:basedOn w:val="TableHeading2"/>
    <w:link w:val="BoldChar"/>
    <w:rsid w:val="00C1292F"/>
    <w:rPr>
      <w:rFonts w:eastAsia="Roboto"/>
      <w:color w:val="auto"/>
      <w:sz w:val="22"/>
    </w:rPr>
  </w:style>
  <w:style w:type="character" w:customStyle="1" w:styleId="TableHeading2Char">
    <w:name w:val="Table Heading 2 Char"/>
    <w:basedOn w:val="DefaultParagraphFont"/>
    <w:link w:val="TableHeading2"/>
    <w:uiPriority w:val="2"/>
    <w:rsid w:val="00F03012"/>
    <w:rPr>
      <w:rFonts w:ascii="Arial" w:eastAsia="Times New Roman" w:hAnsi="Arial" w:cs="Arial"/>
      <w:b/>
      <w:bCs/>
      <w:color w:val="15284C" w:themeColor="text1"/>
      <w:sz w:val="20"/>
      <w:szCs w:val="14"/>
      <w:lang w:val="en-GB" w:eastAsia="en-GB"/>
    </w:rPr>
  </w:style>
  <w:style w:type="character" w:customStyle="1" w:styleId="BoldChar">
    <w:name w:val="Bold Char"/>
    <w:basedOn w:val="TableHeading2Char"/>
    <w:link w:val="Bold"/>
    <w:rsid w:val="00C1292F"/>
    <w:rPr>
      <w:rFonts w:ascii="Arial" w:eastAsia="Roboto" w:hAnsi="Arial" w:cs="Arial"/>
      <w:b/>
      <w:bCs/>
      <w:color w:val="15284C" w:themeColor="text1"/>
      <w:sz w:val="20"/>
      <w:szCs w:val="14"/>
      <w:lang w:val="en-GB" w:eastAsia="en-GB"/>
    </w:rPr>
  </w:style>
  <w:style w:type="paragraph" w:customStyle="1" w:styleId="Bold11pt">
    <w:name w:val="Bold 11pt"/>
    <w:basedOn w:val="Bold"/>
    <w:link w:val="Bold11ptChar"/>
    <w:rsid w:val="00EC5AC0"/>
    <w:rPr>
      <w:szCs w:val="22"/>
    </w:rPr>
  </w:style>
  <w:style w:type="character" w:customStyle="1" w:styleId="Bold11ptChar">
    <w:name w:val="Bold 11pt Char"/>
    <w:basedOn w:val="BoldChar"/>
    <w:link w:val="Bold11pt"/>
    <w:rsid w:val="00EC5AC0"/>
    <w:rPr>
      <w:rFonts w:ascii="Arial" w:eastAsia="Roboto" w:hAnsi="Arial" w:cs="Arial"/>
      <w:b/>
      <w:bCs/>
      <w:color w:val="15284C" w:themeColor="text1"/>
      <w:sz w:val="20"/>
      <w:szCs w:val="14"/>
      <w:lang w:val="en-GB" w:eastAsia="en-GB"/>
    </w:rPr>
  </w:style>
  <w:style w:type="paragraph" w:customStyle="1" w:styleId="Bulletpoints">
    <w:name w:val="Bullet points"/>
    <w:basedOn w:val="ListParagraph"/>
    <w:link w:val="BulletpointsChar"/>
    <w:rsid w:val="0067272F"/>
    <w:pPr>
      <w:numPr>
        <w:numId w:val="4"/>
      </w:numPr>
      <w:spacing w:line="259" w:lineRule="auto"/>
      <w:ind w:left="357" w:hanging="357"/>
      <w:contextualSpacing w:val="0"/>
    </w:pPr>
    <w:rPr>
      <w:shd w:val="clear" w:color="auto" w:fill="FFFFFF"/>
    </w:rPr>
  </w:style>
  <w:style w:type="character" w:customStyle="1" w:styleId="ListParagraphChar">
    <w:name w:val="List Paragraph Char"/>
    <w:aliases w:val="Bullets Char,Level 3 Char,List Paragraph1 Char,List Paragraph numbered Char,List Bullet indent Char,Body Char,Recommendation Char,List Paragraph11 Char,TOC style Char,lp1 Char,Bullet OSM Char,Proposal Bullet List Char,Rec para Char"/>
    <w:basedOn w:val="DefaultParagraphFont"/>
    <w:link w:val="ListParagraph"/>
    <w:uiPriority w:val="34"/>
    <w:qFormat/>
    <w:rsid w:val="001D3387"/>
    <w:rPr>
      <w:rFonts w:ascii="Arial" w:eastAsia="Roboto" w:hAnsi="Arial" w:cs="Arial"/>
      <w:lang w:val="en-US"/>
    </w:rPr>
  </w:style>
  <w:style w:type="character" w:customStyle="1" w:styleId="BulletpointsChar">
    <w:name w:val="Bullet points Char"/>
    <w:basedOn w:val="ListParagraphChar"/>
    <w:link w:val="Bulletpoints"/>
    <w:rsid w:val="0067272F"/>
    <w:rPr>
      <w:rFonts w:ascii="Arial" w:eastAsia="Roboto" w:hAnsi="Arial" w:cs="Arial"/>
      <w:lang w:val="en-US"/>
    </w:rPr>
  </w:style>
  <w:style w:type="paragraph" w:customStyle="1" w:styleId="Footerbody">
    <w:name w:val="Footer body"/>
    <w:basedOn w:val="Normal"/>
    <w:link w:val="FooterbodyChar"/>
    <w:qFormat/>
    <w:rsid w:val="001D3387"/>
    <w:rPr>
      <w:sz w:val="18"/>
      <w:szCs w:val="18"/>
    </w:rPr>
  </w:style>
  <w:style w:type="character" w:customStyle="1" w:styleId="FooterbodyChar">
    <w:name w:val="Footer body Char"/>
    <w:basedOn w:val="DefaultParagraphFont"/>
    <w:link w:val="Footerbody"/>
    <w:rsid w:val="001D3387"/>
    <w:rPr>
      <w:rFonts w:ascii="Arial" w:eastAsia="Roboto" w:hAnsi="Arial" w:cs="Arial"/>
      <w:sz w:val="18"/>
      <w:szCs w:val="18"/>
      <w:lang w:val="en-US"/>
    </w:rPr>
  </w:style>
  <w:style w:type="paragraph" w:customStyle="1" w:styleId="Numberedbullets">
    <w:name w:val="Numbered bullets"/>
    <w:basedOn w:val="Normal"/>
    <w:link w:val="NumberedbulletsChar"/>
    <w:qFormat/>
    <w:rsid w:val="00337327"/>
    <w:pPr>
      <w:widowControl w:val="0"/>
      <w:numPr>
        <w:numId w:val="2"/>
      </w:numPr>
      <w:autoSpaceDE w:val="0"/>
      <w:autoSpaceDN w:val="0"/>
      <w:spacing w:line="259" w:lineRule="auto"/>
      <w:ind w:left="425" w:hanging="425"/>
    </w:pPr>
    <w:rPr>
      <w:rFonts w:eastAsia="Arial"/>
      <w:shd w:val="clear" w:color="auto" w:fill="FFFFFF"/>
    </w:rPr>
  </w:style>
  <w:style w:type="character" w:customStyle="1" w:styleId="NumberedbulletsChar">
    <w:name w:val="Numbered bullets Char"/>
    <w:basedOn w:val="DefaultParagraphFont"/>
    <w:link w:val="Numberedbullets"/>
    <w:rsid w:val="00337327"/>
    <w:rPr>
      <w:rFonts w:ascii="Arial" w:eastAsia="Arial" w:hAnsi="Arial" w:cs="Arial"/>
      <w:lang w:val="en-US"/>
    </w:rPr>
  </w:style>
  <w:style w:type="paragraph" w:customStyle="1" w:styleId="Heading30">
    <w:name w:val="Heading3"/>
    <w:basedOn w:val="Heading3"/>
    <w:link w:val="Heading3Char0"/>
    <w:rsid w:val="00C657FB"/>
    <w:rPr>
      <w:i/>
      <w:iCs/>
      <w:color w:val="auto"/>
      <w:sz w:val="22"/>
      <w:szCs w:val="22"/>
    </w:rPr>
  </w:style>
  <w:style w:type="character" w:customStyle="1" w:styleId="Heading3Char0">
    <w:name w:val="Heading3 Char"/>
    <w:basedOn w:val="Heading3Char"/>
    <w:link w:val="Heading30"/>
    <w:rsid w:val="00C657FB"/>
    <w:rPr>
      <w:rFonts w:ascii="Arial" w:eastAsia="Roboto" w:hAnsi="Arial" w:cs="Arial"/>
      <w:b/>
      <w:bCs/>
      <w:i/>
      <w:iCs/>
      <w:noProof/>
      <w:color w:val="15284C"/>
      <w:sz w:val="28"/>
      <w:szCs w:val="28"/>
      <w:lang w:val="en-US"/>
    </w:rPr>
  </w:style>
  <w:style w:type="character" w:customStyle="1" w:styleId="ReportBody-TeWhatuOraChar">
    <w:name w:val="Report Body - Te Whatu Ora Char"/>
    <w:basedOn w:val="DefaultParagraphFont"/>
    <w:link w:val="ReportBody-TeWhatuOra"/>
    <w:rsid w:val="0067272F"/>
    <w:rPr>
      <w:rFonts w:ascii="Arial" w:eastAsia="Roboto" w:hAnsi="Arial" w:cs="Arial"/>
      <w:bCs/>
      <w:color w:val="15284C" w:themeColor="text1"/>
      <w:lang w:eastAsia="en-NZ"/>
    </w:rPr>
  </w:style>
  <w:style w:type="paragraph" w:customStyle="1" w:styleId="TableParagraph">
    <w:name w:val="Table Paragraph"/>
    <w:basedOn w:val="Normal"/>
    <w:uiPriority w:val="1"/>
    <w:rsid w:val="00B73C43"/>
    <w:pPr>
      <w:widowControl w:val="0"/>
      <w:autoSpaceDE w:val="0"/>
      <w:autoSpaceDN w:val="0"/>
      <w:spacing w:after="0"/>
      <w:ind w:left="105"/>
    </w:pPr>
    <w:rPr>
      <w:rFonts w:eastAsia="Arial"/>
    </w:rPr>
  </w:style>
  <w:style w:type="paragraph" w:styleId="FootnoteText">
    <w:name w:val="footnote text"/>
    <w:basedOn w:val="Normal"/>
    <w:link w:val="FootnoteTextChar"/>
    <w:uiPriority w:val="99"/>
    <w:semiHidden/>
    <w:unhideWhenUsed/>
    <w:rsid w:val="00F724E3"/>
    <w:pPr>
      <w:widowControl w:val="0"/>
      <w:autoSpaceDE w:val="0"/>
      <w:autoSpaceDN w:val="0"/>
      <w:spacing w:after="0"/>
    </w:pPr>
    <w:rPr>
      <w:rFonts w:eastAsia="Arial"/>
      <w:sz w:val="20"/>
      <w:szCs w:val="20"/>
    </w:rPr>
  </w:style>
  <w:style w:type="character" w:customStyle="1" w:styleId="FootnoteTextChar">
    <w:name w:val="Footnote Text Char"/>
    <w:basedOn w:val="DefaultParagraphFont"/>
    <w:link w:val="FootnoteText"/>
    <w:uiPriority w:val="99"/>
    <w:semiHidden/>
    <w:rsid w:val="00F724E3"/>
    <w:rPr>
      <w:rFonts w:ascii="Arial" w:eastAsia="Arial" w:hAnsi="Arial" w:cs="Arial"/>
      <w:sz w:val="20"/>
      <w:szCs w:val="20"/>
      <w:lang w:val="en-US"/>
    </w:rPr>
  </w:style>
  <w:style w:type="character" w:styleId="FootnoteReference">
    <w:name w:val="footnote reference"/>
    <w:basedOn w:val="DefaultParagraphFont"/>
    <w:uiPriority w:val="99"/>
    <w:semiHidden/>
    <w:unhideWhenUsed/>
    <w:rsid w:val="00F724E3"/>
    <w:rPr>
      <w:vertAlign w:val="superscript"/>
    </w:rPr>
  </w:style>
  <w:style w:type="character" w:customStyle="1" w:styleId="eop">
    <w:name w:val="eop"/>
    <w:basedOn w:val="DefaultParagraphFont"/>
    <w:rsid w:val="009F4132"/>
  </w:style>
  <w:style w:type="paragraph" w:customStyle="1" w:styleId="paragraph">
    <w:name w:val="paragraph"/>
    <w:basedOn w:val="Normal"/>
    <w:rsid w:val="0046219A"/>
    <w:pPr>
      <w:spacing w:line="259" w:lineRule="auto"/>
    </w:pPr>
  </w:style>
  <w:style w:type="character" w:styleId="CommentReference">
    <w:name w:val="annotation reference"/>
    <w:basedOn w:val="DefaultParagraphFont"/>
    <w:uiPriority w:val="99"/>
    <w:semiHidden/>
    <w:unhideWhenUsed/>
    <w:rsid w:val="004B3401"/>
    <w:rPr>
      <w:sz w:val="16"/>
      <w:szCs w:val="16"/>
    </w:rPr>
  </w:style>
  <w:style w:type="paragraph" w:styleId="CommentText">
    <w:name w:val="annotation text"/>
    <w:basedOn w:val="Normal"/>
    <w:link w:val="CommentTextChar"/>
    <w:uiPriority w:val="99"/>
    <w:unhideWhenUsed/>
    <w:rsid w:val="004B3401"/>
    <w:rPr>
      <w:sz w:val="20"/>
      <w:szCs w:val="20"/>
    </w:rPr>
  </w:style>
  <w:style w:type="character" w:customStyle="1" w:styleId="CommentTextChar">
    <w:name w:val="Comment Text Char"/>
    <w:basedOn w:val="DefaultParagraphFont"/>
    <w:link w:val="CommentText"/>
    <w:uiPriority w:val="99"/>
    <w:rsid w:val="004B3401"/>
    <w:rPr>
      <w:rFonts w:ascii="Arial" w:eastAsia="Roboto"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4B3401"/>
    <w:rPr>
      <w:b/>
      <w:bCs/>
    </w:rPr>
  </w:style>
  <w:style w:type="character" w:customStyle="1" w:styleId="CommentSubjectChar">
    <w:name w:val="Comment Subject Char"/>
    <w:basedOn w:val="CommentTextChar"/>
    <w:link w:val="CommentSubject"/>
    <w:uiPriority w:val="99"/>
    <w:semiHidden/>
    <w:rsid w:val="004B3401"/>
    <w:rPr>
      <w:rFonts w:ascii="Arial" w:eastAsia="Roboto" w:hAnsi="Arial" w:cs="Arial"/>
      <w:b/>
      <w:bCs/>
      <w:sz w:val="20"/>
      <w:szCs w:val="20"/>
      <w:lang w:val="en-US"/>
    </w:rPr>
  </w:style>
  <w:style w:type="paragraph" w:styleId="Title">
    <w:name w:val="Title"/>
    <w:basedOn w:val="Heading1"/>
    <w:next w:val="Normal"/>
    <w:link w:val="TitleChar"/>
    <w:uiPriority w:val="10"/>
    <w:rsid w:val="0046219A"/>
    <w:pPr>
      <w:spacing w:before="240"/>
    </w:pPr>
    <w:rPr>
      <w:sz w:val="24"/>
      <w:szCs w:val="24"/>
    </w:rPr>
  </w:style>
  <w:style w:type="character" w:customStyle="1" w:styleId="TitleChar">
    <w:name w:val="Title Char"/>
    <w:basedOn w:val="DefaultParagraphFont"/>
    <w:link w:val="Title"/>
    <w:uiPriority w:val="10"/>
    <w:rsid w:val="0046219A"/>
    <w:rPr>
      <w:rFonts w:ascii="Arial" w:eastAsiaTheme="majorEastAsia" w:hAnsi="Arial" w:cs="Arial"/>
      <w:b/>
      <w:bCs/>
      <w:noProof/>
      <w:sz w:val="24"/>
      <w:szCs w:val="24"/>
    </w:rPr>
  </w:style>
  <w:style w:type="character" w:customStyle="1" w:styleId="Heading4Char">
    <w:name w:val="Heading 4 Char"/>
    <w:basedOn w:val="DefaultParagraphFont"/>
    <w:link w:val="Heading4"/>
    <w:uiPriority w:val="9"/>
    <w:rsid w:val="0046219A"/>
    <w:rPr>
      <w:rFonts w:ascii="Arial" w:eastAsiaTheme="majorEastAsia" w:hAnsi="Arial" w:cs="Arial"/>
      <w:b/>
      <w:bCs/>
      <w:noProof/>
      <w:sz w:val="24"/>
      <w:szCs w:val="24"/>
    </w:rPr>
  </w:style>
  <w:style w:type="paragraph" w:customStyle="1" w:styleId="Bulletpoints2">
    <w:name w:val="Bullet points 2"/>
    <w:basedOn w:val="Bulletpoints"/>
    <w:link w:val="Bulletpoints2Char"/>
    <w:qFormat/>
    <w:rsid w:val="00155CA1"/>
    <w:pPr>
      <w:numPr>
        <w:numId w:val="29"/>
      </w:numPr>
      <w:ind w:left="357" w:hanging="357"/>
    </w:pPr>
  </w:style>
  <w:style w:type="character" w:customStyle="1" w:styleId="Bulletpoints2Char">
    <w:name w:val="Bullet points 2 Char"/>
    <w:basedOn w:val="BulletpointsChar"/>
    <w:link w:val="Bulletpoints2"/>
    <w:rsid w:val="00155CA1"/>
    <w:rPr>
      <w:rFonts w:ascii="Arial" w:eastAsia="Roboto" w:hAnsi="Arial" w:cs="Arial"/>
      <w:lang w:val="en-US"/>
    </w:rPr>
  </w:style>
  <w:style w:type="character" w:styleId="UnresolvedMention">
    <w:name w:val="Unresolved Mention"/>
    <w:basedOn w:val="DefaultParagraphFont"/>
    <w:uiPriority w:val="99"/>
    <w:semiHidden/>
    <w:unhideWhenUsed/>
    <w:rsid w:val="00EB7710"/>
    <w:rPr>
      <w:color w:val="605E5C"/>
      <w:shd w:val="clear" w:color="auto" w:fill="E1DFDD"/>
    </w:rPr>
  </w:style>
  <w:style w:type="character" w:customStyle="1" w:styleId="Heading5Char">
    <w:name w:val="Heading 5 Char"/>
    <w:basedOn w:val="DefaultParagraphFont"/>
    <w:link w:val="Heading5"/>
    <w:uiPriority w:val="9"/>
    <w:semiHidden/>
    <w:rsid w:val="00EB7710"/>
    <w:rPr>
      <w:rFonts w:asciiTheme="majorHAnsi" w:eastAsiaTheme="majorEastAsia" w:hAnsiTheme="majorHAnsi" w:cstheme="majorBidi"/>
      <w:color w:val="391A5A" w:themeColor="accent1" w:themeShade="BF"/>
      <w:lang w:val="en-US"/>
    </w:rPr>
  </w:style>
  <w:style w:type="character" w:customStyle="1" w:styleId="Heading6Char">
    <w:name w:val="Heading 6 Char"/>
    <w:basedOn w:val="DefaultParagraphFont"/>
    <w:link w:val="Heading6"/>
    <w:uiPriority w:val="9"/>
    <w:semiHidden/>
    <w:rsid w:val="00EB7710"/>
    <w:rPr>
      <w:rFonts w:asciiTheme="majorHAnsi" w:eastAsiaTheme="majorEastAsia" w:hAnsiTheme="majorHAnsi" w:cstheme="majorBidi"/>
      <w:color w:val="26113C" w:themeColor="accent1" w:themeShade="7F"/>
      <w:lang w:val="en-US"/>
    </w:rPr>
  </w:style>
  <w:style w:type="character" w:customStyle="1" w:styleId="Heading7Char">
    <w:name w:val="Heading 7 Char"/>
    <w:basedOn w:val="DefaultParagraphFont"/>
    <w:link w:val="Heading7"/>
    <w:uiPriority w:val="9"/>
    <w:semiHidden/>
    <w:rsid w:val="00EB7710"/>
    <w:rPr>
      <w:rFonts w:asciiTheme="majorHAnsi" w:eastAsiaTheme="majorEastAsia" w:hAnsiTheme="majorHAnsi" w:cstheme="majorBidi"/>
      <w:i/>
      <w:iCs/>
      <w:color w:val="26113C" w:themeColor="accent1" w:themeShade="7F"/>
      <w:lang w:val="en-US"/>
    </w:rPr>
  </w:style>
  <w:style w:type="character" w:customStyle="1" w:styleId="Heading8Char">
    <w:name w:val="Heading 8 Char"/>
    <w:basedOn w:val="DefaultParagraphFont"/>
    <w:link w:val="Heading8"/>
    <w:uiPriority w:val="9"/>
    <w:semiHidden/>
    <w:rsid w:val="00EB7710"/>
    <w:rPr>
      <w:rFonts w:asciiTheme="majorHAnsi" w:eastAsiaTheme="majorEastAsia" w:hAnsiTheme="majorHAnsi" w:cstheme="majorBidi"/>
      <w:color w:val="22417D" w:themeColor="text1" w:themeTint="D8"/>
      <w:sz w:val="21"/>
      <w:szCs w:val="21"/>
      <w:lang w:val="en-US"/>
    </w:rPr>
  </w:style>
  <w:style w:type="character" w:customStyle="1" w:styleId="Heading9Char">
    <w:name w:val="Heading 9 Char"/>
    <w:basedOn w:val="DefaultParagraphFont"/>
    <w:link w:val="Heading9"/>
    <w:uiPriority w:val="9"/>
    <w:semiHidden/>
    <w:rsid w:val="00EB7710"/>
    <w:rPr>
      <w:rFonts w:asciiTheme="majorHAnsi" w:eastAsiaTheme="majorEastAsia" w:hAnsiTheme="majorHAnsi" w:cstheme="majorBidi"/>
      <w:i/>
      <w:iCs/>
      <w:color w:val="22417D" w:themeColor="text1" w:themeTint="D8"/>
      <w:sz w:val="21"/>
      <w:szCs w:val="21"/>
      <w:lang w:val="en-US"/>
    </w:rPr>
  </w:style>
  <w:style w:type="paragraph" w:customStyle="1" w:styleId="Box">
    <w:name w:val="Box"/>
    <w:basedOn w:val="Normal"/>
    <w:qFormat/>
    <w:rsid w:val="003E7BC5"/>
    <w:pPr>
      <w:pBdr>
        <w:top w:val="single" w:sz="4" w:space="5" w:color="30A1AC" w:themeColor="background2"/>
        <w:left w:val="single" w:sz="4" w:space="5" w:color="30A1AC" w:themeColor="background2"/>
        <w:bottom w:val="single" w:sz="4" w:space="5" w:color="30A1AC" w:themeColor="background2"/>
        <w:right w:val="single" w:sz="4" w:space="5" w:color="30A1AC" w:themeColor="background2"/>
      </w:pBdr>
      <w:ind w:left="57" w:right="57"/>
    </w:pPr>
    <w:rPr>
      <w:lang w:val="en-NZ"/>
    </w:rPr>
  </w:style>
  <w:style w:type="paragraph" w:styleId="Caption">
    <w:name w:val="caption"/>
    <w:basedOn w:val="Normal"/>
    <w:next w:val="Normal"/>
    <w:uiPriority w:val="35"/>
    <w:unhideWhenUsed/>
    <w:qFormat/>
    <w:rsid w:val="003E7BC5"/>
    <w:pPr>
      <w:spacing w:after="200"/>
    </w:pPr>
    <w:rPr>
      <w:i/>
      <w:iCs/>
      <w:color w:val="15284C" w:themeColor="text2"/>
      <w:sz w:val="18"/>
      <w:szCs w:val="18"/>
    </w:rPr>
  </w:style>
  <w:style w:type="paragraph" w:styleId="Bibliography">
    <w:name w:val="Bibliography"/>
    <w:basedOn w:val="Normal"/>
    <w:next w:val="Normal"/>
    <w:uiPriority w:val="37"/>
    <w:semiHidden/>
    <w:unhideWhenUsed/>
    <w:rsid w:val="006F52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3766722">
      <w:bodyDiv w:val="1"/>
      <w:marLeft w:val="0"/>
      <w:marRight w:val="0"/>
      <w:marTop w:val="0"/>
      <w:marBottom w:val="0"/>
      <w:divBdr>
        <w:top w:val="none" w:sz="0" w:space="0" w:color="auto"/>
        <w:left w:val="none" w:sz="0" w:space="0" w:color="auto"/>
        <w:bottom w:val="none" w:sz="0" w:space="0" w:color="auto"/>
        <w:right w:val="none" w:sz="0" w:space="0" w:color="auto"/>
      </w:divBdr>
      <w:divsChild>
        <w:div w:id="2128037228">
          <w:marLeft w:val="432"/>
          <w:marRight w:val="432"/>
          <w:marTop w:val="150"/>
          <w:marBottom w:val="150"/>
          <w:divBdr>
            <w:top w:val="none" w:sz="0" w:space="0" w:color="auto"/>
            <w:left w:val="none" w:sz="0" w:space="0" w:color="auto"/>
            <w:bottom w:val="none" w:sz="0" w:space="0" w:color="auto"/>
            <w:right w:val="none" w:sz="0" w:space="0" w:color="auto"/>
          </w:divBdr>
        </w:div>
      </w:divsChild>
    </w:div>
    <w:div w:id="1916741545">
      <w:bodyDiv w:val="1"/>
      <w:marLeft w:val="0"/>
      <w:marRight w:val="0"/>
      <w:marTop w:val="0"/>
      <w:marBottom w:val="0"/>
      <w:divBdr>
        <w:top w:val="none" w:sz="0" w:space="0" w:color="auto"/>
        <w:left w:val="none" w:sz="0" w:space="0" w:color="auto"/>
        <w:bottom w:val="none" w:sz="0" w:space="0" w:color="auto"/>
        <w:right w:val="none" w:sz="0" w:space="0" w:color="auto"/>
      </w:divBdr>
    </w:div>
    <w:div w:id="2119180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nzf.org.nz/nzf_5385" TargetMode="External"/><Relationship Id="rId3" Type="http://schemas.openxmlformats.org/officeDocument/2006/relationships/customXml" Target="../customXml/item3.xml"/><Relationship Id="rId21" Type="http://schemas.openxmlformats.org/officeDocument/2006/relationships/hyperlink" Target="https://www.health.govt.nz/system/files/documents/publications/vitamind-sun-exposure.pdf" TargetMode="Externa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s://nzf.org.nz/nzf_5385" TargetMode="Externa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hyperlink" Target="http://www.sunsmart.org.n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png"/><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yperlink" Target="https://www.health.govt.nz/system/files/documents/publications/vitamind-sun-exposure.pdf"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niwa.co.nz/our-services/online-services/uv-ozone/uvi-smartphone-app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standards.govt.nz/shop/nzs-81342021/" TargetMode="External"/><Relationship Id="rId27" Type="http://schemas.openxmlformats.org/officeDocument/2006/relationships/hyperlink" Target="https://nzfchildren.org.nz/nzfc_5385" TargetMode="External"/><Relationship Id="rId30" Type="http://schemas.openxmlformats.org/officeDocument/2006/relationships/hyperlink" Target="http://www.niwa.co.nz/our-services/online-services/uv-and-ozone/forecasts)"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mmaSergent\AppData\Local\Microsoft\Windows\INetCache\Content.Outlook\F8GRMK04\HNZ%20Report%20template_May%202024.dotx" TargetMode="External"/></Relationships>
</file>

<file path=word/theme/theme1.xml><?xml version="1.0" encoding="utf-8"?>
<a:theme xmlns:a="http://schemas.openxmlformats.org/drawingml/2006/main" name="Office Theme">
  <a:themeElements>
    <a:clrScheme name="Custom 2">
      <a:dk1>
        <a:srgbClr val="15284C"/>
      </a:dk1>
      <a:lt1>
        <a:srgbClr val="F6F4EC"/>
      </a:lt1>
      <a:dk2>
        <a:srgbClr val="15284C"/>
      </a:dk2>
      <a:lt2>
        <a:srgbClr val="30A1AC"/>
      </a:lt2>
      <a:accent1>
        <a:srgbClr val="4D2379"/>
      </a:accent1>
      <a:accent2>
        <a:srgbClr val="003399"/>
      </a:accent2>
      <a:accent3>
        <a:srgbClr val="0C818F"/>
      </a:accent3>
      <a:accent4>
        <a:srgbClr val="FFFFFF"/>
      </a:accent4>
      <a:accent5>
        <a:srgbClr val="15284C"/>
      </a:accent5>
      <a:accent6>
        <a:srgbClr val="FFFFFF"/>
      </a:accent6>
      <a:hlink>
        <a:srgbClr val="2B529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ab06639-4b0c-4205-80b4-0b156190631b" xsi:nil="true"/>
    <lcf76f155ced4ddcb4097134ff3c332f xmlns="115cab4d-6f10-452d-be6b-9948dc02e1cd">
      <Terms xmlns="http://schemas.microsoft.com/office/infopath/2007/PartnerControls"/>
    </lcf76f155ced4ddcb4097134ff3c332f>
    <FilesType xmlns="115cab4d-6f10-452d-be6b-9948dc02e1cd" xsi:nil="true"/>
    <Classification xmlns="115cab4d-6f10-452d-be6b-9948dc02e1cd" xsi:nil="true"/>
    <Owner xmlns="115cab4d-6f10-452d-be6b-9948dc02e1cd">
      <UserInfo>
        <DisplayName/>
        <AccountId xsi:nil="true"/>
        <AccountType/>
      </UserInfo>
    </Owner>
    <Status xmlns="115cab4d-6f10-452d-be6b-9948dc02e1cd">Not started</Statu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5AFB0BF72AA8D48AE924ADFB66F7EED" ma:contentTypeVersion="22" ma:contentTypeDescription="Create a new document." ma:contentTypeScope="" ma:versionID="7679bd4857f8c92c81fcb0a7205227ab">
  <xsd:schema xmlns:xsd="http://www.w3.org/2001/XMLSchema" xmlns:xs="http://www.w3.org/2001/XMLSchema" xmlns:p="http://schemas.microsoft.com/office/2006/metadata/properties" xmlns:ns2="115cab4d-6f10-452d-be6b-9948dc02e1cd" xmlns:ns3="cab06639-4b0c-4205-80b4-0b156190631b" targetNamespace="http://schemas.microsoft.com/office/2006/metadata/properties" ma:root="true" ma:fieldsID="db19fbb802fe0bcee85f88be91651b63" ns2:_="" ns3:_="">
    <xsd:import namespace="115cab4d-6f10-452d-be6b-9948dc02e1cd"/>
    <xsd:import namespace="cab06639-4b0c-4205-80b4-0b15619063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FilesType" minOccurs="0"/>
                <xsd:element ref="ns2:Owner"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Classification" minOccurs="0"/>
                <xsd:element ref="ns2:MediaLengthInSeconds" minOccurs="0"/>
                <xsd:element ref="ns2:MediaServiceLocation" minOccurs="0"/>
                <xsd:element ref="ns2:lcf76f155ced4ddcb4097134ff3c332f" minOccurs="0"/>
                <xsd:element ref="ns3:TaxCatchAll" minOccurs="0"/>
                <xsd:element ref="ns2: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cab4d-6f10-452d-be6b-9948dc02e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FilesType" ma:index="14" nillable="true" ma:displayName="Files Type" ma:format="Dropdown" ma:internalName="FilesType">
      <xsd:simpleType>
        <xsd:restriction base="dms:Choice">
          <xsd:enumeration value="Files Summary"/>
          <xsd:enumeration value="Ready to Print"/>
        </xsd:restriction>
      </xsd:simpleType>
    </xsd:element>
    <xsd:element name="Owner" ma:index="15"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Classification" ma:index="21" nillable="true" ma:displayName="Classification" ma:format="Dropdown" ma:internalName="Classification">
      <xsd:simpleType>
        <xsd:restriction base="dms:Text">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bff8f57-f0a0-4b7f-9cbb-df478fdc822b" ma:termSetId="09814cd3-568e-fe90-9814-8d621ff8fb84" ma:anchorId="fba54fb3-c3e1-fe81-a776-ca4b69148c4d" ma:open="true" ma:isKeyword="false">
      <xsd:complexType>
        <xsd:sequence>
          <xsd:element ref="pc:Terms" minOccurs="0" maxOccurs="1"/>
        </xsd:sequence>
      </xsd:complexType>
    </xsd:element>
    <xsd:element name="Status" ma:index="27" nillable="true" ma:displayName="Status" ma:default="Not started" ma:format="Dropdown" ma:internalName="Status">
      <xsd:simpleType>
        <xsd:restriction base="dms:Choice">
          <xsd:enumeration value="Not started"/>
          <xsd:enumeration value="Working on now"/>
          <xsd:enumeration value="Finished"/>
          <xsd:enumeration value="Hold - need answers"/>
        </xsd:restrictio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b06639-4b0c-4205-80b4-0b156190631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eb72d11c-62ca-41c8-bdb0-2f18c9805b2f}" ma:internalName="TaxCatchAll" ma:showField="CatchAllData" ma:web="cab06639-4b0c-4205-80b4-0b15619063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5CD412-EC01-477E-8564-2D9F8426A86B}">
  <ds:schemaRefs>
    <ds:schemaRef ds:uri="http://schemas.microsoft.com/sharepoint/v3/contenttype/forms"/>
  </ds:schemaRefs>
</ds:datastoreItem>
</file>

<file path=customXml/itemProps2.xml><?xml version="1.0" encoding="utf-8"?>
<ds:datastoreItem xmlns:ds="http://schemas.openxmlformats.org/officeDocument/2006/customXml" ds:itemID="{FA979E5D-3A3E-4237-84E8-E357ACFD55E3}">
  <ds:schemaRefs>
    <ds:schemaRef ds:uri="http://schemas.openxmlformats.org/officeDocument/2006/bibliography"/>
  </ds:schemaRefs>
</ds:datastoreItem>
</file>

<file path=customXml/itemProps3.xml><?xml version="1.0" encoding="utf-8"?>
<ds:datastoreItem xmlns:ds="http://schemas.openxmlformats.org/officeDocument/2006/customXml" ds:itemID="{38E537BE-8D0D-4556-A951-44726A946D57}">
  <ds:schemaRefs>
    <ds:schemaRef ds:uri="http://schemas.microsoft.com/office/2006/metadata/properties"/>
    <ds:schemaRef ds:uri="http://schemas.microsoft.com/office/infopath/2007/PartnerControls"/>
    <ds:schemaRef ds:uri="27dc4a33-8fe3-4eb3-8eb9-5e2ad950092a"/>
    <ds:schemaRef ds:uri="352dc431-fb21-4825-977b-26a9a3249edd"/>
    <ds:schemaRef ds:uri="24353154-d650-4323-beac-426e074fbcc8"/>
    <ds:schemaRef ds:uri="cab06639-4b0c-4205-80b4-0b156190631b"/>
    <ds:schemaRef ds:uri="115cab4d-6f10-452d-be6b-9948dc02e1cd"/>
  </ds:schemaRefs>
</ds:datastoreItem>
</file>

<file path=customXml/itemProps4.xml><?xml version="1.0" encoding="utf-8"?>
<ds:datastoreItem xmlns:ds="http://schemas.openxmlformats.org/officeDocument/2006/customXml" ds:itemID="{4B0334D4-AFB9-4ACB-B846-3F179CA5BA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cab4d-6f10-452d-be6b-9948dc02e1cd"/>
    <ds:schemaRef ds:uri="cab06639-4b0c-4205-80b4-0b1561906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HNZ Report template_May 2024</Template>
  <TotalTime>4</TotalTime>
  <Pages>34</Pages>
  <Words>41216</Words>
  <Characters>234933</Characters>
  <Application>Microsoft Office Word</Application>
  <DocSecurity>0</DocSecurity>
  <Lines>1957</Lines>
  <Paragraphs>551</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275598</CharactersWithSpaces>
  <SharedDoc>false</SharedDoc>
  <HLinks>
    <vt:vector size="204" baseType="variant">
      <vt:variant>
        <vt:i4>131073</vt:i4>
      </vt:variant>
      <vt:variant>
        <vt:i4>405</vt:i4>
      </vt:variant>
      <vt:variant>
        <vt:i4>0</vt:i4>
      </vt:variant>
      <vt:variant>
        <vt:i4>5</vt:i4>
      </vt:variant>
      <vt:variant>
        <vt:lpwstr/>
      </vt:variant>
      <vt:variant>
        <vt:lpwstr>risks</vt:lpwstr>
      </vt:variant>
      <vt:variant>
        <vt:i4>1048589</vt:i4>
      </vt:variant>
      <vt:variant>
        <vt:i4>402</vt:i4>
      </vt:variant>
      <vt:variant>
        <vt:i4>0</vt:i4>
      </vt:variant>
      <vt:variant>
        <vt:i4>5</vt:i4>
      </vt:variant>
      <vt:variant>
        <vt:lpwstr>https://niwa.co.nz/our-services/online-services/uv-ozone/uvi-smartphone-apps</vt:lpwstr>
      </vt:variant>
      <vt:variant>
        <vt:lpwstr/>
      </vt:variant>
      <vt:variant>
        <vt:i4>3932273</vt:i4>
      </vt:variant>
      <vt:variant>
        <vt:i4>399</vt:i4>
      </vt:variant>
      <vt:variant>
        <vt:i4>0</vt:i4>
      </vt:variant>
      <vt:variant>
        <vt:i4>5</vt:i4>
      </vt:variant>
      <vt:variant>
        <vt:lpwstr>http://www.niwa.co.nz/our-services/online-services/uv-and-ozone/forecasts)</vt:lpwstr>
      </vt:variant>
      <vt:variant>
        <vt:lpwstr/>
      </vt:variant>
      <vt:variant>
        <vt:i4>2162725</vt:i4>
      </vt:variant>
      <vt:variant>
        <vt:i4>396</vt:i4>
      </vt:variant>
      <vt:variant>
        <vt:i4>0</vt:i4>
      </vt:variant>
      <vt:variant>
        <vt:i4>5</vt:i4>
      </vt:variant>
      <vt:variant>
        <vt:lpwstr>http://www.sunsmart.org.nz/</vt:lpwstr>
      </vt:variant>
      <vt:variant>
        <vt:lpwstr/>
      </vt:variant>
      <vt:variant>
        <vt:i4>5636179</vt:i4>
      </vt:variant>
      <vt:variant>
        <vt:i4>384</vt:i4>
      </vt:variant>
      <vt:variant>
        <vt:i4>0</vt:i4>
      </vt:variant>
      <vt:variant>
        <vt:i4>5</vt:i4>
      </vt:variant>
      <vt:variant>
        <vt:lpwstr>https://www.health.govt.nz/system/files/documents/publications/vitamind-sun-exposure.pdf</vt:lpwstr>
      </vt:variant>
      <vt:variant>
        <vt:lpwstr/>
      </vt:variant>
      <vt:variant>
        <vt:i4>3735565</vt:i4>
      </vt:variant>
      <vt:variant>
        <vt:i4>381</vt:i4>
      </vt:variant>
      <vt:variant>
        <vt:i4>0</vt:i4>
      </vt:variant>
      <vt:variant>
        <vt:i4>5</vt:i4>
      </vt:variant>
      <vt:variant>
        <vt:lpwstr>https://nzfchildren.org.nz/nzfc_5385</vt:lpwstr>
      </vt:variant>
      <vt:variant>
        <vt:lpwstr/>
      </vt:variant>
      <vt:variant>
        <vt:i4>6684695</vt:i4>
      </vt:variant>
      <vt:variant>
        <vt:i4>378</vt:i4>
      </vt:variant>
      <vt:variant>
        <vt:i4>0</vt:i4>
      </vt:variant>
      <vt:variant>
        <vt:i4>5</vt:i4>
      </vt:variant>
      <vt:variant>
        <vt:lpwstr>https://nzf.org.nz/nzf_5385</vt:lpwstr>
      </vt:variant>
      <vt:variant>
        <vt:lpwstr/>
      </vt:variant>
      <vt:variant>
        <vt:i4>6684695</vt:i4>
      </vt:variant>
      <vt:variant>
        <vt:i4>375</vt:i4>
      </vt:variant>
      <vt:variant>
        <vt:i4>0</vt:i4>
      </vt:variant>
      <vt:variant>
        <vt:i4>5</vt:i4>
      </vt:variant>
      <vt:variant>
        <vt:lpwstr>https://nzf.org.nz/nzf_5385</vt:lpwstr>
      </vt:variant>
      <vt:variant>
        <vt:lpwstr/>
      </vt:variant>
      <vt:variant>
        <vt:i4>2031617</vt:i4>
      </vt:variant>
      <vt:variant>
        <vt:i4>372</vt:i4>
      </vt:variant>
      <vt:variant>
        <vt:i4>0</vt:i4>
      </vt:variant>
      <vt:variant>
        <vt:i4>5</vt:i4>
      </vt:variant>
      <vt:variant>
        <vt:lpwstr/>
      </vt:variant>
      <vt:variant>
        <vt:lpwstr>risks_for_deficiency</vt:lpwstr>
      </vt:variant>
      <vt:variant>
        <vt:i4>131090</vt:i4>
      </vt:variant>
      <vt:variant>
        <vt:i4>147</vt:i4>
      </vt:variant>
      <vt:variant>
        <vt:i4>0</vt:i4>
      </vt:variant>
      <vt:variant>
        <vt:i4>5</vt:i4>
      </vt:variant>
      <vt:variant>
        <vt:lpwstr>https://www.standards.govt.nz/shop/nzs-81342021/</vt:lpwstr>
      </vt:variant>
      <vt:variant>
        <vt:lpwstr/>
      </vt:variant>
      <vt:variant>
        <vt:i4>5636179</vt:i4>
      </vt:variant>
      <vt:variant>
        <vt:i4>141</vt:i4>
      </vt:variant>
      <vt:variant>
        <vt:i4>0</vt:i4>
      </vt:variant>
      <vt:variant>
        <vt:i4>5</vt:i4>
      </vt:variant>
      <vt:variant>
        <vt:lpwstr>https://www.health.govt.nz/system/files/documents/publications/vitamind-sun-exposure.pdf</vt:lpwstr>
      </vt:variant>
      <vt:variant>
        <vt:lpwstr/>
      </vt:variant>
      <vt:variant>
        <vt:i4>1900594</vt:i4>
      </vt:variant>
      <vt:variant>
        <vt:i4>134</vt:i4>
      </vt:variant>
      <vt:variant>
        <vt:i4>0</vt:i4>
      </vt:variant>
      <vt:variant>
        <vt:i4>5</vt:i4>
      </vt:variant>
      <vt:variant>
        <vt:lpwstr/>
      </vt:variant>
      <vt:variant>
        <vt:lpwstr>_Toc167269277</vt:lpwstr>
      </vt:variant>
      <vt:variant>
        <vt:i4>1900594</vt:i4>
      </vt:variant>
      <vt:variant>
        <vt:i4>128</vt:i4>
      </vt:variant>
      <vt:variant>
        <vt:i4>0</vt:i4>
      </vt:variant>
      <vt:variant>
        <vt:i4>5</vt:i4>
      </vt:variant>
      <vt:variant>
        <vt:lpwstr/>
      </vt:variant>
      <vt:variant>
        <vt:lpwstr>_Toc167269276</vt:lpwstr>
      </vt:variant>
      <vt:variant>
        <vt:i4>1900594</vt:i4>
      </vt:variant>
      <vt:variant>
        <vt:i4>122</vt:i4>
      </vt:variant>
      <vt:variant>
        <vt:i4>0</vt:i4>
      </vt:variant>
      <vt:variant>
        <vt:i4>5</vt:i4>
      </vt:variant>
      <vt:variant>
        <vt:lpwstr/>
      </vt:variant>
      <vt:variant>
        <vt:lpwstr>_Toc167269275</vt:lpwstr>
      </vt:variant>
      <vt:variant>
        <vt:i4>1900594</vt:i4>
      </vt:variant>
      <vt:variant>
        <vt:i4>116</vt:i4>
      </vt:variant>
      <vt:variant>
        <vt:i4>0</vt:i4>
      </vt:variant>
      <vt:variant>
        <vt:i4>5</vt:i4>
      </vt:variant>
      <vt:variant>
        <vt:lpwstr/>
      </vt:variant>
      <vt:variant>
        <vt:lpwstr>_Toc167269274</vt:lpwstr>
      </vt:variant>
      <vt:variant>
        <vt:i4>1900594</vt:i4>
      </vt:variant>
      <vt:variant>
        <vt:i4>110</vt:i4>
      </vt:variant>
      <vt:variant>
        <vt:i4>0</vt:i4>
      </vt:variant>
      <vt:variant>
        <vt:i4>5</vt:i4>
      </vt:variant>
      <vt:variant>
        <vt:lpwstr/>
      </vt:variant>
      <vt:variant>
        <vt:lpwstr>_Toc167269273</vt:lpwstr>
      </vt:variant>
      <vt:variant>
        <vt:i4>1900594</vt:i4>
      </vt:variant>
      <vt:variant>
        <vt:i4>104</vt:i4>
      </vt:variant>
      <vt:variant>
        <vt:i4>0</vt:i4>
      </vt:variant>
      <vt:variant>
        <vt:i4>5</vt:i4>
      </vt:variant>
      <vt:variant>
        <vt:lpwstr/>
      </vt:variant>
      <vt:variant>
        <vt:lpwstr>_Toc167269272</vt:lpwstr>
      </vt:variant>
      <vt:variant>
        <vt:i4>1900594</vt:i4>
      </vt:variant>
      <vt:variant>
        <vt:i4>98</vt:i4>
      </vt:variant>
      <vt:variant>
        <vt:i4>0</vt:i4>
      </vt:variant>
      <vt:variant>
        <vt:i4>5</vt:i4>
      </vt:variant>
      <vt:variant>
        <vt:lpwstr/>
      </vt:variant>
      <vt:variant>
        <vt:lpwstr>_Toc167269271</vt:lpwstr>
      </vt:variant>
      <vt:variant>
        <vt:i4>1900594</vt:i4>
      </vt:variant>
      <vt:variant>
        <vt:i4>92</vt:i4>
      </vt:variant>
      <vt:variant>
        <vt:i4>0</vt:i4>
      </vt:variant>
      <vt:variant>
        <vt:i4>5</vt:i4>
      </vt:variant>
      <vt:variant>
        <vt:lpwstr/>
      </vt:variant>
      <vt:variant>
        <vt:lpwstr>_Toc167269270</vt:lpwstr>
      </vt:variant>
      <vt:variant>
        <vt:i4>1835058</vt:i4>
      </vt:variant>
      <vt:variant>
        <vt:i4>86</vt:i4>
      </vt:variant>
      <vt:variant>
        <vt:i4>0</vt:i4>
      </vt:variant>
      <vt:variant>
        <vt:i4>5</vt:i4>
      </vt:variant>
      <vt:variant>
        <vt:lpwstr/>
      </vt:variant>
      <vt:variant>
        <vt:lpwstr>_Toc167269269</vt:lpwstr>
      </vt:variant>
      <vt:variant>
        <vt:i4>1835058</vt:i4>
      </vt:variant>
      <vt:variant>
        <vt:i4>80</vt:i4>
      </vt:variant>
      <vt:variant>
        <vt:i4>0</vt:i4>
      </vt:variant>
      <vt:variant>
        <vt:i4>5</vt:i4>
      </vt:variant>
      <vt:variant>
        <vt:lpwstr/>
      </vt:variant>
      <vt:variant>
        <vt:lpwstr>_Toc167269268</vt:lpwstr>
      </vt:variant>
      <vt:variant>
        <vt:i4>1835058</vt:i4>
      </vt:variant>
      <vt:variant>
        <vt:i4>74</vt:i4>
      </vt:variant>
      <vt:variant>
        <vt:i4>0</vt:i4>
      </vt:variant>
      <vt:variant>
        <vt:i4>5</vt:i4>
      </vt:variant>
      <vt:variant>
        <vt:lpwstr/>
      </vt:variant>
      <vt:variant>
        <vt:lpwstr>_Toc167269267</vt:lpwstr>
      </vt:variant>
      <vt:variant>
        <vt:i4>1835058</vt:i4>
      </vt:variant>
      <vt:variant>
        <vt:i4>68</vt:i4>
      </vt:variant>
      <vt:variant>
        <vt:i4>0</vt:i4>
      </vt:variant>
      <vt:variant>
        <vt:i4>5</vt:i4>
      </vt:variant>
      <vt:variant>
        <vt:lpwstr/>
      </vt:variant>
      <vt:variant>
        <vt:lpwstr>_Toc167269266</vt:lpwstr>
      </vt:variant>
      <vt:variant>
        <vt:i4>1835058</vt:i4>
      </vt:variant>
      <vt:variant>
        <vt:i4>62</vt:i4>
      </vt:variant>
      <vt:variant>
        <vt:i4>0</vt:i4>
      </vt:variant>
      <vt:variant>
        <vt:i4>5</vt:i4>
      </vt:variant>
      <vt:variant>
        <vt:lpwstr/>
      </vt:variant>
      <vt:variant>
        <vt:lpwstr>_Toc167269265</vt:lpwstr>
      </vt:variant>
      <vt:variant>
        <vt:i4>1835058</vt:i4>
      </vt:variant>
      <vt:variant>
        <vt:i4>56</vt:i4>
      </vt:variant>
      <vt:variant>
        <vt:i4>0</vt:i4>
      </vt:variant>
      <vt:variant>
        <vt:i4>5</vt:i4>
      </vt:variant>
      <vt:variant>
        <vt:lpwstr/>
      </vt:variant>
      <vt:variant>
        <vt:lpwstr>_Toc167269264</vt:lpwstr>
      </vt:variant>
      <vt:variant>
        <vt:i4>1835058</vt:i4>
      </vt:variant>
      <vt:variant>
        <vt:i4>50</vt:i4>
      </vt:variant>
      <vt:variant>
        <vt:i4>0</vt:i4>
      </vt:variant>
      <vt:variant>
        <vt:i4>5</vt:i4>
      </vt:variant>
      <vt:variant>
        <vt:lpwstr/>
      </vt:variant>
      <vt:variant>
        <vt:lpwstr>_Toc167269263</vt:lpwstr>
      </vt:variant>
      <vt:variant>
        <vt:i4>1835058</vt:i4>
      </vt:variant>
      <vt:variant>
        <vt:i4>44</vt:i4>
      </vt:variant>
      <vt:variant>
        <vt:i4>0</vt:i4>
      </vt:variant>
      <vt:variant>
        <vt:i4>5</vt:i4>
      </vt:variant>
      <vt:variant>
        <vt:lpwstr/>
      </vt:variant>
      <vt:variant>
        <vt:lpwstr>_Toc167269262</vt:lpwstr>
      </vt:variant>
      <vt:variant>
        <vt:i4>1835058</vt:i4>
      </vt:variant>
      <vt:variant>
        <vt:i4>38</vt:i4>
      </vt:variant>
      <vt:variant>
        <vt:i4>0</vt:i4>
      </vt:variant>
      <vt:variant>
        <vt:i4>5</vt:i4>
      </vt:variant>
      <vt:variant>
        <vt:lpwstr/>
      </vt:variant>
      <vt:variant>
        <vt:lpwstr>_Toc167269261</vt:lpwstr>
      </vt:variant>
      <vt:variant>
        <vt:i4>1835058</vt:i4>
      </vt:variant>
      <vt:variant>
        <vt:i4>32</vt:i4>
      </vt:variant>
      <vt:variant>
        <vt:i4>0</vt:i4>
      </vt:variant>
      <vt:variant>
        <vt:i4>5</vt:i4>
      </vt:variant>
      <vt:variant>
        <vt:lpwstr/>
      </vt:variant>
      <vt:variant>
        <vt:lpwstr>_Toc167269260</vt:lpwstr>
      </vt:variant>
      <vt:variant>
        <vt:i4>2031666</vt:i4>
      </vt:variant>
      <vt:variant>
        <vt:i4>26</vt:i4>
      </vt:variant>
      <vt:variant>
        <vt:i4>0</vt:i4>
      </vt:variant>
      <vt:variant>
        <vt:i4>5</vt:i4>
      </vt:variant>
      <vt:variant>
        <vt:lpwstr/>
      </vt:variant>
      <vt:variant>
        <vt:lpwstr>_Toc167269259</vt:lpwstr>
      </vt:variant>
      <vt:variant>
        <vt:i4>2031666</vt:i4>
      </vt:variant>
      <vt:variant>
        <vt:i4>20</vt:i4>
      </vt:variant>
      <vt:variant>
        <vt:i4>0</vt:i4>
      </vt:variant>
      <vt:variant>
        <vt:i4>5</vt:i4>
      </vt:variant>
      <vt:variant>
        <vt:lpwstr/>
      </vt:variant>
      <vt:variant>
        <vt:lpwstr>_Toc167269258</vt:lpwstr>
      </vt:variant>
      <vt:variant>
        <vt:i4>2031666</vt:i4>
      </vt:variant>
      <vt:variant>
        <vt:i4>14</vt:i4>
      </vt:variant>
      <vt:variant>
        <vt:i4>0</vt:i4>
      </vt:variant>
      <vt:variant>
        <vt:i4>5</vt:i4>
      </vt:variant>
      <vt:variant>
        <vt:lpwstr/>
      </vt:variant>
      <vt:variant>
        <vt:lpwstr>_Toc167269257</vt:lpwstr>
      </vt:variant>
      <vt:variant>
        <vt:i4>2031666</vt:i4>
      </vt:variant>
      <vt:variant>
        <vt:i4>8</vt:i4>
      </vt:variant>
      <vt:variant>
        <vt:i4>0</vt:i4>
      </vt:variant>
      <vt:variant>
        <vt:i4>5</vt:i4>
      </vt:variant>
      <vt:variant>
        <vt:lpwstr/>
      </vt:variant>
      <vt:variant>
        <vt:lpwstr>_Toc167269256</vt:lpwstr>
      </vt:variant>
      <vt:variant>
        <vt:i4>2031666</vt:i4>
      </vt:variant>
      <vt:variant>
        <vt:i4>2</vt:i4>
      </vt:variant>
      <vt:variant>
        <vt:i4>0</vt:i4>
      </vt:variant>
      <vt:variant>
        <vt:i4>5</vt:i4>
      </vt:variant>
      <vt:variant>
        <vt:lpwstr/>
      </vt:variant>
      <vt:variant>
        <vt:lpwstr>_Toc167269255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Jemma Sergent</dc:creator>
  <cp:keywords/>
  <dc:description/>
  <cp:lastModifiedBy>Waimarie Onekawa</cp:lastModifiedBy>
  <cp:revision>4</cp:revision>
  <cp:lastPrinted>2024-04-18T16:32:00Z</cp:lastPrinted>
  <dcterms:created xsi:type="dcterms:W3CDTF">2024-06-06T23:59:00Z</dcterms:created>
  <dcterms:modified xsi:type="dcterms:W3CDTF">2024-06-16T20:44:00Z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0x01010075AFB0BF72AA8D48AE924ADFB66F7EED</vt:lpwstr>
  </property>
  <property fmtid="{D5CDD505-2E9C-101B-9397-08002B2CF9AE}" pid="3" name="_dlc_DocIdItemGuid">
    <vt:lpwstr>e6785703-e290-4119-9e4b-fe8225d23c07</vt:lpwstr>
  </property>
  <property fmtid="{D5CDD505-2E9C-101B-9397-08002B2CF9AE}" pid="4" name="MediaServiceImageTags">
    <vt:lpwstr/>
  </property>
</Properties>
</file>