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3083" w14:textId="77777777" w:rsidR="00595CFD" w:rsidRDefault="0094154F">
      <w:pPr>
        <w:pStyle w:val="BodyText"/>
        <w:ind w:left="6351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1D2313A" wp14:editId="01D2313B">
            <wp:simplePos x="0" y="0"/>
            <wp:positionH relativeFrom="page">
              <wp:posOffset>0</wp:posOffset>
            </wp:positionH>
            <wp:positionV relativeFrom="page">
              <wp:posOffset>5655944</wp:posOffset>
            </wp:positionV>
            <wp:extent cx="7560564" cy="50361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5036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 wp14:anchorId="01D2313C" wp14:editId="01D2313D">
            <wp:extent cx="2147356" cy="47053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356" cy="47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23084" w14:textId="77777777" w:rsidR="00595CFD" w:rsidRDefault="00595CFD">
      <w:pPr>
        <w:pStyle w:val="BodyText"/>
        <w:rPr>
          <w:rFonts w:ascii="Times New Roman"/>
          <w:sz w:val="20"/>
        </w:rPr>
      </w:pPr>
    </w:p>
    <w:p w14:paraId="01D23085" w14:textId="77777777" w:rsidR="00595CFD" w:rsidRDefault="00595CFD">
      <w:pPr>
        <w:pStyle w:val="BodyText"/>
        <w:rPr>
          <w:rFonts w:ascii="Times New Roman"/>
          <w:sz w:val="20"/>
        </w:rPr>
      </w:pPr>
    </w:p>
    <w:p w14:paraId="01D23086" w14:textId="77777777" w:rsidR="00595CFD" w:rsidRDefault="00595CFD">
      <w:pPr>
        <w:pStyle w:val="BodyText"/>
        <w:rPr>
          <w:rFonts w:ascii="Times New Roman"/>
          <w:sz w:val="20"/>
        </w:rPr>
      </w:pPr>
    </w:p>
    <w:p w14:paraId="01D23087" w14:textId="77777777" w:rsidR="00595CFD" w:rsidRDefault="00595CFD">
      <w:pPr>
        <w:pStyle w:val="BodyText"/>
        <w:rPr>
          <w:rFonts w:ascii="Times New Roman"/>
          <w:sz w:val="20"/>
        </w:rPr>
      </w:pPr>
    </w:p>
    <w:p w14:paraId="01D23088" w14:textId="77777777" w:rsidR="00595CFD" w:rsidRDefault="00595CFD">
      <w:pPr>
        <w:pStyle w:val="BodyText"/>
        <w:rPr>
          <w:rFonts w:ascii="Times New Roman"/>
          <w:sz w:val="20"/>
        </w:rPr>
      </w:pPr>
    </w:p>
    <w:p w14:paraId="01D23089" w14:textId="77777777" w:rsidR="00595CFD" w:rsidRDefault="00595CFD">
      <w:pPr>
        <w:pStyle w:val="BodyText"/>
        <w:spacing w:before="5"/>
        <w:rPr>
          <w:rFonts w:ascii="Times New Roman"/>
          <w:sz w:val="17"/>
        </w:rPr>
      </w:pPr>
    </w:p>
    <w:p w14:paraId="01D2308A" w14:textId="77777777" w:rsidR="00595CFD" w:rsidRDefault="0094154F">
      <w:pPr>
        <w:spacing w:before="76"/>
        <w:ind w:left="112" w:right="1130"/>
        <w:rPr>
          <w:b/>
          <w:sz w:val="72"/>
        </w:rPr>
      </w:pPr>
      <w:r>
        <w:rPr>
          <w:b/>
          <w:color w:val="007681"/>
          <w:sz w:val="72"/>
        </w:rPr>
        <w:t>Update on Surveillance</w:t>
      </w:r>
      <w:r>
        <w:rPr>
          <w:b/>
          <w:color w:val="007681"/>
          <w:spacing w:val="1"/>
          <w:sz w:val="72"/>
        </w:rPr>
        <w:t xml:space="preserve"> </w:t>
      </w:r>
      <w:r>
        <w:rPr>
          <w:b/>
          <w:color w:val="007681"/>
          <w:sz w:val="72"/>
        </w:rPr>
        <w:t>Recommendations for</w:t>
      </w:r>
      <w:r>
        <w:rPr>
          <w:b/>
          <w:color w:val="007681"/>
          <w:spacing w:val="1"/>
          <w:sz w:val="72"/>
        </w:rPr>
        <w:t xml:space="preserve"> </w:t>
      </w:r>
      <w:r>
        <w:rPr>
          <w:b/>
          <w:color w:val="007681"/>
          <w:sz w:val="72"/>
        </w:rPr>
        <w:t>Individuals with a</w:t>
      </w:r>
      <w:r>
        <w:rPr>
          <w:b/>
          <w:color w:val="007681"/>
          <w:spacing w:val="1"/>
          <w:sz w:val="72"/>
        </w:rPr>
        <w:t xml:space="preserve"> </w:t>
      </w:r>
      <w:r>
        <w:rPr>
          <w:b/>
          <w:color w:val="007681"/>
          <w:spacing w:val="-7"/>
          <w:sz w:val="72"/>
        </w:rPr>
        <w:t>Family/Whānau</w:t>
      </w:r>
      <w:r>
        <w:rPr>
          <w:b/>
          <w:color w:val="007681"/>
          <w:spacing w:val="-42"/>
          <w:sz w:val="72"/>
        </w:rPr>
        <w:t xml:space="preserve"> </w:t>
      </w:r>
      <w:r>
        <w:rPr>
          <w:b/>
          <w:color w:val="007681"/>
          <w:spacing w:val="-7"/>
          <w:sz w:val="72"/>
        </w:rPr>
        <w:t>History</w:t>
      </w:r>
      <w:r>
        <w:rPr>
          <w:b/>
          <w:color w:val="007681"/>
          <w:spacing w:val="-40"/>
          <w:sz w:val="72"/>
        </w:rPr>
        <w:t xml:space="preserve"> </w:t>
      </w:r>
      <w:r>
        <w:rPr>
          <w:b/>
          <w:color w:val="007681"/>
          <w:spacing w:val="-6"/>
          <w:sz w:val="72"/>
        </w:rPr>
        <w:t>of</w:t>
      </w:r>
      <w:r>
        <w:rPr>
          <w:b/>
          <w:color w:val="007681"/>
          <w:spacing w:val="-197"/>
          <w:sz w:val="72"/>
        </w:rPr>
        <w:t xml:space="preserve"> </w:t>
      </w:r>
      <w:r>
        <w:rPr>
          <w:b/>
          <w:color w:val="007681"/>
          <w:sz w:val="72"/>
        </w:rPr>
        <w:t>Colorectal</w:t>
      </w:r>
      <w:r>
        <w:rPr>
          <w:b/>
          <w:color w:val="007681"/>
          <w:spacing w:val="-31"/>
          <w:sz w:val="72"/>
        </w:rPr>
        <w:t xml:space="preserve"> </w:t>
      </w:r>
      <w:r>
        <w:rPr>
          <w:b/>
          <w:color w:val="007681"/>
          <w:sz w:val="72"/>
        </w:rPr>
        <w:t>Cancer</w:t>
      </w:r>
    </w:p>
    <w:p w14:paraId="01D2308B" w14:textId="002E15B1" w:rsidR="00595CFD" w:rsidRDefault="00C76E73">
      <w:pPr>
        <w:pStyle w:val="Heading3"/>
      </w:pPr>
      <w:r>
        <w:rPr>
          <w:color w:val="007681"/>
        </w:rPr>
        <w:t>July</w:t>
      </w:r>
      <w:r w:rsidR="0094154F">
        <w:rPr>
          <w:color w:val="007681"/>
          <w:spacing w:val="-1"/>
        </w:rPr>
        <w:t xml:space="preserve"> </w:t>
      </w:r>
      <w:r w:rsidR="0094154F">
        <w:rPr>
          <w:color w:val="007681"/>
        </w:rPr>
        <w:t>2023</w:t>
      </w:r>
    </w:p>
    <w:p w14:paraId="01D2308C" w14:textId="77777777" w:rsidR="00595CFD" w:rsidRDefault="00595CFD">
      <w:pPr>
        <w:sectPr w:rsidR="00595CFD">
          <w:type w:val="continuous"/>
          <w:pgSz w:w="11910" w:h="16840"/>
          <w:pgMar w:top="1240" w:right="1020" w:bottom="0" w:left="1020" w:header="720" w:footer="720" w:gutter="0"/>
          <w:cols w:space="720"/>
        </w:sectPr>
      </w:pPr>
    </w:p>
    <w:p w14:paraId="01D2308D" w14:textId="77777777" w:rsidR="00595CFD" w:rsidRDefault="0094154F">
      <w:pPr>
        <w:spacing w:before="75" w:line="288" w:lineRule="auto"/>
        <w:ind w:left="112" w:right="159"/>
        <w:rPr>
          <w:sz w:val="24"/>
        </w:rPr>
      </w:pPr>
      <w:r>
        <w:rPr>
          <w:sz w:val="24"/>
        </w:rPr>
        <w:lastRenderedPageBreak/>
        <w:t xml:space="preserve">Citation: Te Whatu Ora – Health New Zealand. </w:t>
      </w:r>
      <w:r>
        <w:rPr>
          <w:i/>
          <w:sz w:val="24"/>
        </w:rPr>
        <w:t>Update on Surveillance Recommendations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for Individuals with a Family/Whānau History of Colorectal Cancer</w:t>
      </w:r>
      <w:r>
        <w:rPr>
          <w:sz w:val="24"/>
        </w:rPr>
        <w:t>. Wellington: Te Whatu</w:t>
      </w:r>
      <w:r>
        <w:rPr>
          <w:spacing w:val="1"/>
          <w:sz w:val="24"/>
        </w:rPr>
        <w:t xml:space="preserve"> </w:t>
      </w:r>
      <w:r>
        <w:rPr>
          <w:sz w:val="24"/>
        </w:rPr>
        <w:t>Ora –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New Zealand.</w:t>
      </w:r>
    </w:p>
    <w:p w14:paraId="01D2308E" w14:textId="77777777" w:rsidR="00595CFD" w:rsidRDefault="00595CFD">
      <w:pPr>
        <w:pStyle w:val="BodyText"/>
        <w:spacing w:before="9"/>
        <w:rPr>
          <w:sz w:val="20"/>
        </w:rPr>
      </w:pPr>
    </w:p>
    <w:p w14:paraId="01D2308F" w14:textId="099B23DA" w:rsidR="00595CFD" w:rsidRDefault="0094154F">
      <w:pPr>
        <w:pStyle w:val="BodyText"/>
        <w:spacing w:before="1" w:line="288" w:lineRule="auto"/>
        <w:ind w:left="112" w:right="2907"/>
      </w:pPr>
      <w:r>
        <w:t xml:space="preserve">Published in </w:t>
      </w:r>
      <w:r w:rsidR="00C76E73">
        <w:t>July</w:t>
      </w:r>
      <w:r>
        <w:t xml:space="preserve"> 2023 by Te Whatu Ora – Health New Zealand</w:t>
      </w:r>
      <w:r>
        <w:rPr>
          <w:spacing w:val="-64"/>
        </w:rPr>
        <w:t xml:space="preserve"> </w:t>
      </w:r>
      <w:r>
        <w:t>PO Box</w:t>
      </w:r>
      <w:r>
        <w:rPr>
          <w:spacing w:val="-2"/>
        </w:rPr>
        <w:t xml:space="preserve"> </w:t>
      </w:r>
      <w:r>
        <w:t>793,</w:t>
      </w:r>
      <w:r>
        <w:rPr>
          <w:spacing w:val="-3"/>
        </w:rPr>
        <w:t xml:space="preserve"> </w:t>
      </w:r>
      <w:r>
        <w:t>Wellington</w:t>
      </w:r>
      <w:r>
        <w:rPr>
          <w:spacing w:val="1"/>
        </w:rPr>
        <w:t xml:space="preserve"> </w:t>
      </w:r>
      <w:r>
        <w:t>6140,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Zealand</w:t>
      </w:r>
    </w:p>
    <w:p w14:paraId="01D23090" w14:textId="77777777" w:rsidR="00595CFD" w:rsidRDefault="00595CFD">
      <w:pPr>
        <w:pStyle w:val="BodyText"/>
        <w:spacing w:before="10"/>
        <w:rPr>
          <w:sz w:val="20"/>
        </w:rPr>
      </w:pPr>
    </w:p>
    <w:p w14:paraId="01D23091" w14:textId="3677D841" w:rsidR="00595CFD" w:rsidRPr="001B316B" w:rsidRDefault="0094154F">
      <w:pPr>
        <w:pStyle w:val="BodyText"/>
        <w:ind w:left="112"/>
      </w:pPr>
      <w:r w:rsidRPr="001B316B">
        <w:t>ISBN</w:t>
      </w:r>
      <w:r w:rsidRPr="001B316B">
        <w:rPr>
          <w:spacing w:val="-3"/>
        </w:rPr>
        <w:t xml:space="preserve"> </w:t>
      </w:r>
      <w:r w:rsidR="001B316B" w:rsidRPr="001B316B">
        <w:rPr>
          <w:rStyle w:val="normaltextrun"/>
          <w:color w:val="000000"/>
          <w:shd w:val="clear" w:color="auto" w:fill="FFFFFF"/>
          <w:lang w:val="en-US"/>
        </w:rPr>
        <w:t>978-1-99-106726-5</w:t>
      </w:r>
      <w:r w:rsidR="001B316B" w:rsidRPr="001B316B">
        <w:rPr>
          <w:rStyle w:val="eop"/>
          <w:color w:val="000000"/>
          <w:shd w:val="clear" w:color="auto" w:fill="FFFFFF"/>
        </w:rPr>
        <w:t> </w:t>
      </w:r>
      <w:r w:rsidRPr="001B316B">
        <w:t>(online)</w:t>
      </w:r>
    </w:p>
    <w:p w14:paraId="01D23092" w14:textId="77777777" w:rsidR="00595CFD" w:rsidRDefault="00595CFD">
      <w:pPr>
        <w:pStyle w:val="BodyText"/>
        <w:rPr>
          <w:sz w:val="20"/>
        </w:rPr>
      </w:pPr>
    </w:p>
    <w:p w14:paraId="01D23093" w14:textId="77777777" w:rsidR="00595CFD" w:rsidRDefault="00595CFD">
      <w:pPr>
        <w:pStyle w:val="BodyText"/>
        <w:rPr>
          <w:sz w:val="20"/>
        </w:rPr>
      </w:pPr>
    </w:p>
    <w:p w14:paraId="01D23094" w14:textId="77777777" w:rsidR="00595CFD" w:rsidRDefault="0094154F">
      <w:pPr>
        <w:pStyle w:val="BodyText"/>
        <w:spacing w:before="5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1D2313E" wp14:editId="01D2313F">
            <wp:simplePos x="0" y="0"/>
            <wp:positionH relativeFrom="page">
              <wp:posOffset>720090</wp:posOffset>
            </wp:positionH>
            <wp:positionV relativeFrom="paragraph">
              <wp:posOffset>106071</wp:posOffset>
            </wp:positionV>
            <wp:extent cx="1395791" cy="31089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791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23095" w14:textId="77777777" w:rsidR="00595CFD" w:rsidRDefault="00595CFD">
      <w:pPr>
        <w:pStyle w:val="BodyText"/>
        <w:spacing w:before="5"/>
        <w:rPr>
          <w:sz w:val="27"/>
        </w:rPr>
      </w:pPr>
    </w:p>
    <w:p w14:paraId="01D23096" w14:textId="77777777" w:rsidR="00595CFD" w:rsidRDefault="0094154F">
      <w:pPr>
        <w:spacing w:before="1"/>
        <w:ind w:left="112"/>
        <w:rPr>
          <w:b/>
          <w:sz w:val="24"/>
        </w:rPr>
      </w:pP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available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hyperlink r:id="rId11">
        <w:r>
          <w:rPr>
            <w:b/>
            <w:sz w:val="24"/>
            <w:u w:val="single"/>
          </w:rPr>
          <w:t>tewhatuora.govt.nz</w:t>
        </w:r>
      </w:hyperlink>
    </w:p>
    <w:p w14:paraId="01D23097" w14:textId="77777777" w:rsidR="00595CFD" w:rsidRDefault="00595CFD">
      <w:pPr>
        <w:pStyle w:val="BodyText"/>
        <w:rPr>
          <w:b/>
          <w:sz w:val="28"/>
        </w:rPr>
      </w:pPr>
    </w:p>
    <w:p w14:paraId="01D23098" w14:textId="77777777" w:rsidR="00595CFD" w:rsidRDefault="0094154F">
      <w:pPr>
        <w:pStyle w:val="BodyText"/>
        <w:spacing w:before="93" w:line="288" w:lineRule="auto"/>
        <w:ind w:left="1809"/>
      </w:pPr>
      <w:r>
        <w:t>This work is licensed under the Creative Commons Attribution 4.0</w:t>
      </w:r>
      <w:r>
        <w:rPr>
          <w:spacing w:val="1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licence.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essence,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to:</w:t>
      </w:r>
      <w:r>
        <w:rPr>
          <w:spacing w:val="-4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ie,</w:t>
      </w:r>
      <w:r>
        <w:rPr>
          <w:spacing w:val="-3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and</w:t>
      </w:r>
    </w:p>
    <w:p w14:paraId="01D23099" w14:textId="77777777" w:rsidR="00595CFD" w:rsidRDefault="0094154F">
      <w:pPr>
        <w:pStyle w:val="BodyText"/>
        <w:spacing w:line="352" w:lineRule="exact"/>
        <w:ind w:left="114"/>
      </w:pPr>
      <w:r>
        <w:rPr>
          <w:noProof/>
          <w:position w:val="-14"/>
        </w:rPr>
        <w:drawing>
          <wp:inline distT="0" distB="0" distL="0" distR="0" wp14:anchorId="01D23140" wp14:editId="01D23141">
            <wp:extent cx="809623" cy="285737"/>
            <wp:effectExtent l="0" t="0" r="0" b="0"/>
            <wp:docPr id="7" name="image4.png" descr="CCB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3" cy="2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</w:t>
      </w:r>
      <w:r>
        <w:rPr>
          <w:rFonts w:ascii="Times New Roman"/>
          <w:spacing w:val="20"/>
          <w:sz w:val="20"/>
        </w:rPr>
        <w:t xml:space="preserve"> </w:t>
      </w:r>
      <w:r>
        <w:t>redistribute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medium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format;</w:t>
      </w:r>
      <w:r>
        <w:rPr>
          <w:spacing w:val="-2"/>
        </w:rPr>
        <w:t xml:space="preserve"> </w:t>
      </w:r>
      <w:r>
        <w:t>adapt</w:t>
      </w:r>
      <w:r>
        <w:rPr>
          <w:spacing w:val="-4"/>
        </w:rPr>
        <w:t xml:space="preserve"> </w:t>
      </w:r>
      <w:r>
        <w:t>ie,</w:t>
      </w:r>
      <w:r>
        <w:rPr>
          <w:spacing w:val="-2"/>
        </w:rPr>
        <w:t xml:space="preserve"> </w:t>
      </w:r>
      <w:r>
        <w:t>remix,</w:t>
      </w:r>
    </w:p>
    <w:p w14:paraId="01D2309A" w14:textId="77777777" w:rsidR="00595CFD" w:rsidRDefault="0094154F">
      <w:pPr>
        <w:pStyle w:val="BodyText"/>
        <w:spacing w:line="255" w:lineRule="exact"/>
        <w:ind w:left="1809"/>
      </w:pPr>
      <w:r>
        <w:t>transform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build</w:t>
      </w:r>
      <w:r>
        <w:rPr>
          <w:spacing w:val="-4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material.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credit,</w:t>
      </w:r>
    </w:p>
    <w:p w14:paraId="01D2309B" w14:textId="77777777" w:rsidR="00595CFD" w:rsidRDefault="0094154F">
      <w:pPr>
        <w:pStyle w:val="BodyText"/>
        <w:spacing w:before="55"/>
        <w:ind w:left="1809"/>
      </w:pP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licence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made.</w:t>
      </w:r>
    </w:p>
    <w:p w14:paraId="01D2309C" w14:textId="77777777" w:rsidR="00595CFD" w:rsidRDefault="00595CFD">
      <w:pPr>
        <w:sectPr w:rsidR="00595CFD">
          <w:footerReference w:type="default" r:id="rId13"/>
          <w:pgSz w:w="11910" w:h="16840"/>
          <w:pgMar w:top="1040" w:right="1020" w:bottom="1260" w:left="1020" w:header="0" w:footer="1066" w:gutter="0"/>
          <w:pgNumType w:start="2"/>
          <w:cols w:space="720"/>
        </w:sectPr>
      </w:pPr>
    </w:p>
    <w:p w14:paraId="01D2309D" w14:textId="77777777" w:rsidR="00595CFD" w:rsidRDefault="0094154F">
      <w:pPr>
        <w:spacing w:before="53"/>
        <w:ind w:left="112"/>
        <w:rPr>
          <w:b/>
          <w:sz w:val="72"/>
        </w:rPr>
      </w:pPr>
      <w:r>
        <w:rPr>
          <w:b/>
          <w:color w:val="1C2448"/>
          <w:sz w:val="72"/>
        </w:rPr>
        <w:lastRenderedPageBreak/>
        <w:t>Contents</w:t>
      </w:r>
    </w:p>
    <w:sdt>
      <w:sdtPr>
        <w:rPr>
          <w:b w:val="0"/>
          <w:bCs w:val="0"/>
          <w:sz w:val="22"/>
          <w:szCs w:val="22"/>
        </w:rPr>
        <w:id w:val="1198739808"/>
        <w:docPartObj>
          <w:docPartGallery w:val="Table of Contents"/>
          <w:docPartUnique/>
        </w:docPartObj>
      </w:sdtPr>
      <w:sdtEndPr/>
      <w:sdtContent>
        <w:p w14:paraId="01D2309E" w14:textId="77777777" w:rsidR="00595CFD" w:rsidRDefault="0094154F">
          <w:pPr>
            <w:pStyle w:val="TOC1"/>
            <w:tabs>
              <w:tab w:val="right" w:pos="9740"/>
            </w:tabs>
            <w:spacing w:before="306"/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bookmark0" w:history="1">
            <w:r>
              <w:t>Background</w:t>
            </w:r>
            <w:r>
              <w:tab/>
              <w:t>4</w:t>
            </w:r>
          </w:hyperlink>
        </w:p>
        <w:p w14:paraId="01D2309F" w14:textId="77777777" w:rsidR="00595CFD" w:rsidRDefault="0064093E">
          <w:pPr>
            <w:pStyle w:val="TOC1"/>
            <w:tabs>
              <w:tab w:val="right" w:pos="9740"/>
            </w:tabs>
          </w:pPr>
          <w:hyperlink w:anchor="_bookmark3" w:history="1">
            <w:r w:rsidR="0094154F">
              <w:t>Category 1:</w:t>
            </w:r>
            <w:r w:rsidR="0094154F">
              <w:rPr>
                <w:spacing w:val="-2"/>
              </w:rPr>
              <w:t xml:space="preserve"> </w:t>
            </w:r>
            <w:r w:rsidR="0094154F">
              <w:t>Individuals with</w:t>
            </w:r>
            <w:r w:rsidR="0094154F">
              <w:rPr>
                <w:spacing w:val="-1"/>
              </w:rPr>
              <w:t xml:space="preserve"> </w:t>
            </w:r>
            <w:r w:rsidR="0094154F">
              <w:t>a</w:t>
            </w:r>
            <w:r w:rsidR="0094154F">
              <w:rPr>
                <w:spacing w:val="-1"/>
              </w:rPr>
              <w:t xml:space="preserve"> </w:t>
            </w:r>
            <w:r w:rsidR="0094154F">
              <w:t>slightly above-average</w:t>
            </w:r>
            <w:r w:rsidR="0094154F">
              <w:rPr>
                <w:spacing w:val="-2"/>
              </w:rPr>
              <w:t xml:space="preserve"> </w:t>
            </w:r>
            <w:r w:rsidR="0094154F">
              <w:t>risk of</w:t>
            </w:r>
            <w:r w:rsidR="0094154F">
              <w:rPr>
                <w:spacing w:val="-1"/>
              </w:rPr>
              <w:t xml:space="preserve"> </w:t>
            </w:r>
            <w:r w:rsidR="0094154F">
              <w:t>CRC</w:t>
            </w:r>
            <w:r w:rsidR="0094154F">
              <w:tab/>
              <w:t>6</w:t>
            </w:r>
          </w:hyperlink>
        </w:p>
        <w:p w14:paraId="01D230A0" w14:textId="77777777" w:rsidR="00595CFD" w:rsidRDefault="0064093E">
          <w:pPr>
            <w:pStyle w:val="TOC2"/>
            <w:tabs>
              <w:tab w:val="right" w:pos="9740"/>
            </w:tabs>
          </w:pPr>
          <w:hyperlink w:anchor="_bookmark4" w:history="1">
            <w:r w:rsidR="0094154F">
              <w:t>Recommendations</w:t>
            </w:r>
            <w:r w:rsidR="0094154F">
              <w:tab/>
              <w:t>6</w:t>
            </w:r>
          </w:hyperlink>
        </w:p>
        <w:p w14:paraId="01D230A1" w14:textId="77777777" w:rsidR="00595CFD" w:rsidRDefault="0064093E">
          <w:pPr>
            <w:pStyle w:val="TOC1"/>
            <w:tabs>
              <w:tab w:val="right" w:pos="9740"/>
            </w:tabs>
            <w:spacing w:before="295"/>
          </w:pPr>
          <w:hyperlink w:anchor="_bookmark6" w:history="1">
            <w:r w:rsidR="0094154F">
              <w:t>Category 2:</w:t>
            </w:r>
            <w:r w:rsidR="0094154F">
              <w:rPr>
                <w:spacing w:val="-2"/>
              </w:rPr>
              <w:t xml:space="preserve"> </w:t>
            </w:r>
            <w:r w:rsidR="0094154F">
              <w:t>Individuals</w:t>
            </w:r>
            <w:r w:rsidR="0094154F">
              <w:rPr>
                <w:spacing w:val="1"/>
              </w:rPr>
              <w:t xml:space="preserve"> </w:t>
            </w:r>
            <w:r w:rsidR="0094154F">
              <w:t>with</w:t>
            </w:r>
            <w:r w:rsidR="0094154F">
              <w:rPr>
                <w:spacing w:val="-1"/>
              </w:rPr>
              <w:t xml:space="preserve"> </w:t>
            </w:r>
            <w:r w:rsidR="0094154F">
              <w:t>a</w:t>
            </w:r>
            <w:r w:rsidR="0094154F">
              <w:rPr>
                <w:spacing w:val="-2"/>
              </w:rPr>
              <w:t xml:space="preserve"> </w:t>
            </w:r>
            <w:r w:rsidR="0094154F">
              <w:t>moderately</w:t>
            </w:r>
            <w:r w:rsidR="0094154F">
              <w:rPr>
                <w:spacing w:val="1"/>
              </w:rPr>
              <w:t xml:space="preserve"> </w:t>
            </w:r>
            <w:r w:rsidR="0094154F">
              <w:t>increased</w:t>
            </w:r>
            <w:r w:rsidR="0094154F">
              <w:rPr>
                <w:spacing w:val="-1"/>
              </w:rPr>
              <w:t xml:space="preserve"> </w:t>
            </w:r>
            <w:r w:rsidR="0094154F">
              <w:t>risk of</w:t>
            </w:r>
            <w:r w:rsidR="0094154F">
              <w:rPr>
                <w:spacing w:val="-1"/>
              </w:rPr>
              <w:t xml:space="preserve"> </w:t>
            </w:r>
            <w:r w:rsidR="0094154F">
              <w:t>CRC</w:t>
            </w:r>
            <w:r w:rsidR="0094154F">
              <w:tab/>
              <w:t>7</w:t>
            </w:r>
          </w:hyperlink>
        </w:p>
        <w:p w14:paraId="01D230A2" w14:textId="77777777" w:rsidR="00595CFD" w:rsidRDefault="0064093E">
          <w:pPr>
            <w:pStyle w:val="TOC2"/>
            <w:tabs>
              <w:tab w:val="right" w:pos="9740"/>
            </w:tabs>
          </w:pPr>
          <w:hyperlink w:anchor="_bookmark7" w:history="1">
            <w:r w:rsidR="0094154F">
              <w:t>Recommendations</w:t>
            </w:r>
            <w:r w:rsidR="0094154F">
              <w:tab/>
              <w:t>7</w:t>
            </w:r>
          </w:hyperlink>
        </w:p>
        <w:p w14:paraId="01D230A3" w14:textId="77777777" w:rsidR="00595CFD" w:rsidRDefault="0064093E">
          <w:pPr>
            <w:pStyle w:val="TOC1"/>
            <w:tabs>
              <w:tab w:val="right" w:pos="9740"/>
            </w:tabs>
          </w:pPr>
          <w:hyperlink w:anchor="_bookmark10" w:history="1">
            <w:r w:rsidR="0094154F">
              <w:t>Category 3:</w:t>
            </w:r>
            <w:r w:rsidR="0094154F">
              <w:rPr>
                <w:spacing w:val="-2"/>
              </w:rPr>
              <w:t xml:space="preserve"> </w:t>
            </w:r>
            <w:r w:rsidR="0094154F">
              <w:t>Individuals</w:t>
            </w:r>
            <w:r w:rsidR="0094154F">
              <w:rPr>
                <w:spacing w:val="1"/>
              </w:rPr>
              <w:t xml:space="preserve"> </w:t>
            </w:r>
            <w:r w:rsidR="0094154F">
              <w:t>with</w:t>
            </w:r>
            <w:r w:rsidR="0094154F">
              <w:rPr>
                <w:spacing w:val="-1"/>
              </w:rPr>
              <w:t xml:space="preserve"> </w:t>
            </w:r>
            <w:r w:rsidR="0094154F">
              <w:t>a</w:t>
            </w:r>
            <w:r w:rsidR="0094154F">
              <w:rPr>
                <w:spacing w:val="-1"/>
              </w:rPr>
              <w:t xml:space="preserve"> </w:t>
            </w:r>
            <w:r w:rsidR="0094154F">
              <w:t>potentially high risk</w:t>
            </w:r>
            <w:r w:rsidR="0094154F">
              <w:rPr>
                <w:spacing w:val="-2"/>
              </w:rPr>
              <w:t xml:space="preserve"> </w:t>
            </w:r>
            <w:r w:rsidR="0094154F">
              <w:t>of</w:t>
            </w:r>
            <w:r w:rsidR="0094154F">
              <w:rPr>
                <w:spacing w:val="-1"/>
              </w:rPr>
              <w:t xml:space="preserve"> </w:t>
            </w:r>
            <w:r w:rsidR="0094154F">
              <w:t>CRC</w:t>
            </w:r>
            <w:r w:rsidR="0094154F">
              <w:tab/>
              <w:t>8</w:t>
            </w:r>
          </w:hyperlink>
        </w:p>
        <w:p w14:paraId="01D230A4" w14:textId="77777777" w:rsidR="00595CFD" w:rsidRDefault="0064093E">
          <w:pPr>
            <w:pStyle w:val="TOC2"/>
            <w:tabs>
              <w:tab w:val="right" w:pos="9740"/>
            </w:tabs>
          </w:pPr>
          <w:hyperlink w:anchor="_bookmark11" w:history="1">
            <w:r w:rsidR="0094154F">
              <w:t>Recommendations</w:t>
            </w:r>
            <w:r w:rsidR="0094154F">
              <w:tab/>
              <w:t>8</w:t>
            </w:r>
          </w:hyperlink>
        </w:p>
        <w:p w14:paraId="01D230A5" w14:textId="77777777" w:rsidR="00595CFD" w:rsidRDefault="0094154F">
          <w:r>
            <w:fldChar w:fldCharType="end"/>
          </w:r>
        </w:p>
      </w:sdtContent>
    </w:sdt>
    <w:p w14:paraId="01D230A6" w14:textId="77777777" w:rsidR="00595CFD" w:rsidRDefault="00595CFD">
      <w:pPr>
        <w:sectPr w:rsidR="00595CFD">
          <w:pgSz w:w="11910" w:h="16840"/>
          <w:pgMar w:top="1060" w:right="1020" w:bottom="1260" w:left="1020" w:header="0" w:footer="1066" w:gutter="0"/>
          <w:cols w:space="720"/>
        </w:sectPr>
      </w:pPr>
    </w:p>
    <w:p w14:paraId="01D230A7" w14:textId="77777777" w:rsidR="00595CFD" w:rsidRDefault="0094154F">
      <w:pPr>
        <w:pStyle w:val="Heading1"/>
      </w:pPr>
      <w:bookmarkStart w:id="0" w:name="Background"/>
      <w:bookmarkStart w:id="1" w:name="_bookmark0"/>
      <w:bookmarkEnd w:id="0"/>
      <w:bookmarkEnd w:id="1"/>
      <w:r>
        <w:rPr>
          <w:color w:val="1C2448"/>
        </w:rPr>
        <w:lastRenderedPageBreak/>
        <w:t>Background</w:t>
      </w:r>
    </w:p>
    <w:p w14:paraId="01D230A8" w14:textId="77777777" w:rsidR="00595CFD" w:rsidRDefault="0094154F">
      <w:pPr>
        <w:pStyle w:val="BodyText"/>
        <w:spacing w:before="287" w:line="285" w:lineRule="auto"/>
        <w:ind w:left="112" w:right="305"/>
        <w:rPr>
          <w:sz w:val="16"/>
        </w:rPr>
      </w:pPr>
      <w:r>
        <w:t>In 2012, the New Zealand Guidelines Group published an evidence-based best practice</w:t>
      </w:r>
      <w:r>
        <w:rPr>
          <w:spacing w:val="1"/>
        </w:rPr>
        <w:t xml:space="preserve"> </w:t>
      </w:r>
      <w:r>
        <w:t>guideline outlining surveillance and management of groups at increased risk of colorectal</w:t>
      </w:r>
      <w:r>
        <w:rPr>
          <w:spacing w:val="-64"/>
        </w:rPr>
        <w:t xml:space="preserve"> </w:t>
      </w:r>
      <w:r>
        <w:t>cancer</w:t>
      </w:r>
      <w:r>
        <w:rPr>
          <w:spacing w:val="-2"/>
        </w:rPr>
        <w:t xml:space="preserve"> </w:t>
      </w:r>
      <w:r>
        <w:t>(CRC)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 their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history and family/whānau</w:t>
      </w:r>
      <w:r>
        <w:rPr>
          <w:spacing w:val="1"/>
        </w:rPr>
        <w:t xml:space="preserve"> </w:t>
      </w:r>
      <w:r>
        <w:t>history.</w:t>
      </w:r>
      <w:hyperlink w:anchor="_bookmark1" w:history="1">
        <w:r>
          <w:rPr>
            <w:position w:val="8"/>
            <w:sz w:val="16"/>
          </w:rPr>
          <w:t>1</w:t>
        </w:r>
      </w:hyperlink>
    </w:p>
    <w:p w14:paraId="01D230A9" w14:textId="77777777" w:rsidR="00595CFD" w:rsidRDefault="0094154F">
      <w:pPr>
        <w:pStyle w:val="BodyText"/>
        <w:spacing w:before="244"/>
        <w:ind w:left="112"/>
      </w:pPr>
      <w:r>
        <w:t>Specifically,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2012</w:t>
      </w:r>
      <w:r>
        <w:rPr>
          <w:spacing w:val="-5"/>
        </w:rPr>
        <w:t xml:space="preserve"> </w:t>
      </w:r>
      <w:r>
        <w:t>guidelines</w:t>
      </w:r>
      <w:r>
        <w:rPr>
          <w:spacing w:val="-5"/>
        </w:rPr>
        <w:t xml:space="preserve"> </w:t>
      </w:r>
      <w:r>
        <w:t>contained</w:t>
      </w:r>
      <w:r>
        <w:rPr>
          <w:spacing w:val="-4"/>
        </w:rPr>
        <w:t xml:space="preserve"> </w:t>
      </w:r>
      <w:r>
        <w:t>recommendations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groups:</w:t>
      </w:r>
    </w:p>
    <w:p w14:paraId="01D230AA" w14:textId="77777777" w:rsidR="00595CFD" w:rsidRDefault="00595CFD">
      <w:pPr>
        <w:pStyle w:val="BodyText"/>
        <w:spacing w:before="8"/>
        <w:rPr>
          <w:sz w:val="25"/>
        </w:rPr>
      </w:pPr>
    </w:p>
    <w:p w14:paraId="01D230AB" w14:textId="77777777" w:rsidR="00595CFD" w:rsidRDefault="0094154F">
      <w:pPr>
        <w:pStyle w:val="Heading5"/>
        <w:numPr>
          <w:ilvl w:val="0"/>
          <w:numId w:val="1"/>
        </w:numPr>
        <w:tabs>
          <w:tab w:val="left" w:pos="537"/>
          <w:tab w:val="left" w:pos="538"/>
        </w:tabs>
        <w:spacing w:before="0"/>
        <w:ind w:hanging="426"/>
      </w:pPr>
      <w:r>
        <w:t>Surveillance</w:t>
      </w:r>
      <w:r>
        <w:rPr>
          <w:spacing w:val="-5"/>
        </w:rPr>
        <w:t xml:space="preserve"> </w:t>
      </w:r>
      <w:r>
        <w:t>recommendations: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colorectal</w:t>
      </w:r>
      <w:r>
        <w:rPr>
          <w:spacing w:val="-7"/>
        </w:rPr>
        <w:t xml:space="preserve"> </w:t>
      </w:r>
      <w:r>
        <w:t>diseases</w:t>
      </w:r>
    </w:p>
    <w:p w14:paraId="01D230AC" w14:textId="77777777" w:rsidR="00595CFD" w:rsidRDefault="0094154F">
      <w:pPr>
        <w:pStyle w:val="ListParagraph"/>
        <w:numPr>
          <w:ilvl w:val="1"/>
          <w:numId w:val="1"/>
        </w:numPr>
        <w:tabs>
          <w:tab w:val="left" w:pos="962"/>
          <w:tab w:val="left" w:pos="963"/>
        </w:tabs>
        <w:ind w:hanging="426"/>
        <w:rPr>
          <w:sz w:val="24"/>
        </w:rPr>
      </w:pP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history:</w:t>
      </w:r>
      <w:r>
        <w:rPr>
          <w:spacing w:val="-3"/>
          <w:sz w:val="24"/>
        </w:rPr>
        <w:t xml:space="preserve"> </w:t>
      </w:r>
      <w:r>
        <w:rPr>
          <w:sz w:val="24"/>
        </w:rPr>
        <w:t>Colorectal</w:t>
      </w:r>
      <w:r>
        <w:rPr>
          <w:spacing w:val="-4"/>
          <w:sz w:val="24"/>
        </w:rPr>
        <w:t xml:space="preserve"> </w:t>
      </w:r>
      <w:r>
        <w:rPr>
          <w:sz w:val="24"/>
        </w:rPr>
        <w:t>adenomas</w:t>
      </w:r>
    </w:p>
    <w:p w14:paraId="01D230AD" w14:textId="77777777" w:rsidR="00595CFD" w:rsidRDefault="0094154F">
      <w:pPr>
        <w:pStyle w:val="ListParagraph"/>
        <w:numPr>
          <w:ilvl w:val="1"/>
          <w:numId w:val="1"/>
        </w:numPr>
        <w:tabs>
          <w:tab w:val="left" w:pos="962"/>
          <w:tab w:val="left" w:pos="963"/>
        </w:tabs>
        <w:ind w:hanging="426"/>
        <w:rPr>
          <w:sz w:val="24"/>
        </w:rPr>
      </w:pP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history:</w:t>
      </w:r>
      <w:r>
        <w:rPr>
          <w:spacing w:val="-5"/>
          <w:sz w:val="24"/>
        </w:rPr>
        <w:t xml:space="preserve"> </w:t>
      </w:r>
      <w:r>
        <w:rPr>
          <w:sz w:val="24"/>
        </w:rPr>
        <w:t>Inflammatory</w:t>
      </w:r>
      <w:r>
        <w:rPr>
          <w:spacing w:val="-5"/>
          <w:sz w:val="24"/>
        </w:rPr>
        <w:t xml:space="preserve"> </w:t>
      </w:r>
      <w:r>
        <w:rPr>
          <w:sz w:val="24"/>
        </w:rPr>
        <w:t>bowel</w:t>
      </w:r>
      <w:r>
        <w:rPr>
          <w:spacing w:val="-5"/>
          <w:sz w:val="24"/>
        </w:rPr>
        <w:t xml:space="preserve"> </w:t>
      </w:r>
      <w:r>
        <w:rPr>
          <w:sz w:val="24"/>
        </w:rPr>
        <w:t>disease</w:t>
      </w:r>
    </w:p>
    <w:p w14:paraId="01D230AE" w14:textId="77777777" w:rsidR="00595CFD" w:rsidRDefault="0094154F">
      <w:pPr>
        <w:pStyle w:val="Heading5"/>
        <w:numPr>
          <w:ilvl w:val="0"/>
          <w:numId w:val="1"/>
        </w:numPr>
        <w:tabs>
          <w:tab w:val="left" w:pos="537"/>
          <w:tab w:val="left" w:pos="538"/>
        </w:tabs>
        <w:ind w:hanging="426"/>
      </w:pPr>
      <w:r>
        <w:t>Surveillance</w:t>
      </w:r>
      <w:r>
        <w:rPr>
          <w:spacing w:val="-5"/>
        </w:rPr>
        <w:t xml:space="preserve"> </w:t>
      </w:r>
      <w:r>
        <w:t>recommendations:</w:t>
      </w:r>
      <w:r>
        <w:rPr>
          <w:spacing w:val="-6"/>
        </w:rPr>
        <w:t xml:space="preserve"> </w:t>
      </w:r>
      <w:r>
        <w:t>Family/Whānau</w:t>
      </w:r>
      <w:r>
        <w:rPr>
          <w:spacing w:val="-5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colorectal</w:t>
      </w:r>
      <w:r>
        <w:rPr>
          <w:spacing w:val="-6"/>
        </w:rPr>
        <w:t xml:space="preserve"> </w:t>
      </w:r>
      <w:r>
        <w:t>cancer</w:t>
      </w:r>
    </w:p>
    <w:p w14:paraId="01D230AF" w14:textId="77777777" w:rsidR="00595CFD" w:rsidRDefault="0094154F">
      <w:pPr>
        <w:pStyle w:val="ListParagraph"/>
        <w:numPr>
          <w:ilvl w:val="1"/>
          <w:numId w:val="1"/>
        </w:numPr>
        <w:tabs>
          <w:tab w:val="left" w:pos="962"/>
          <w:tab w:val="left" w:pos="963"/>
        </w:tabs>
        <w:spacing w:before="172"/>
        <w:ind w:hanging="426"/>
        <w:rPr>
          <w:sz w:val="24"/>
        </w:rPr>
      </w:pPr>
      <w:r>
        <w:rPr>
          <w:sz w:val="24"/>
        </w:rPr>
        <w:t>Category</w:t>
      </w:r>
      <w:r>
        <w:rPr>
          <w:spacing w:val="-4"/>
          <w:sz w:val="24"/>
        </w:rPr>
        <w:t xml:space="preserve"> </w:t>
      </w:r>
      <w:r>
        <w:rPr>
          <w:sz w:val="24"/>
        </w:rPr>
        <w:t>1:</w:t>
      </w:r>
      <w:r>
        <w:rPr>
          <w:spacing w:val="-5"/>
          <w:sz w:val="24"/>
        </w:rPr>
        <w:t xml:space="preserve"> </w:t>
      </w:r>
      <w:r>
        <w:rPr>
          <w:sz w:val="24"/>
        </w:rPr>
        <w:t>Slightly</w:t>
      </w:r>
      <w:r>
        <w:rPr>
          <w:spacing w:val="-4"/>
          <w:sz w:val="24"/>
        </w:rPr>
        <w:t xml:space="preserve"> </w:t>
      </w:r>
      <w:r>
        <w:rPr>
          <w:sz w:val="24"/>
        </w:rPr>
        <w:t>above-average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</w:p>
    <w:p w14:paraId="01D230B0" w14:textId="77777777" w:rsidR="00595CFD" w:rsidRDefault="0094154F">
      <w:pPr>
        <w:pStyle w:val="ListParagraph"/>
        <w:numPr>
          <w:ilvl w:val="1"/>
          <w:numId w:val="1"/>
        </w:numPr>
        <w:tabs>
          <w:tab w:val="left" w:pos="962"/>
          <w:tab w:val="left" w:pos="963"/>
        </w:tabs>
        <w:ind w:hanging="426"/>
        <w:rPr>
          <w:sz w:val="24"/>
        </w:rPr>
      </w:pPr>
      <w:r>
        <w:rPr>
          <w:sz w:val="24"/>
        </w:rPr>
        <w:t>Category</w:t>
      </w:r>
      <w:r>
        <w:rPr>
          <w:spacing w:val="-5"/>
          <w:sz w:val="24"/>
        </w:rPr>
        <w:t xml:space="preserve"> </w:t>
      </w:r>
      <w:r>
        <w:rPr>
          <w:sz w:val="24"/>
        </w:rPr>
        <w:t>2:</w:t>
      </w:r>
      <w:r>
        <w:rPr>
          <w:spacing w:val="-4"/>
          <w:sz w:val="24"/>
        </w:rPr>
        <w:t xml:space="preserve"> </w:t>
      </w:r>
      <w:r>
        <w:rPr>
          <w:sz w:val="24"/>
        </w:rPr>
        <w:t>Moderately</w:t>
      </w:r>
      <w:r>
        <w:rPr>
          <w:spacing w:val="-4"/>
          <w:sz w:val="24"/>
        </w:rPr>
        <w:t xml:space="preserve"> </w:t>
      </w:r>
      <w:r>
        <w:rPr>
          <w:sz w:val="24"/>
        </w:rPr>
        <w:t>increased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</w:p>
    <w:p w14:paraId="01D230B1" w14:textId="77777777" w:rsidR="00595CFD" w:rsidRDefault="0094154F">
      <w:pPr>
        <w:pStyle w:val="ListParagraph"/>
        <w:numPr>
          <w:ilvl w:val="1"/>
          <w:numId w:val="1"/>
        </w:numPr>
        <w:tabs>
          <w:tab w:val="left" w:pos="962"/>
          <w:tab w:val="left" w:pos="963"/>
        </w:tabs>
        <w:spacing w:before="173"/>
        <w:ind w:hanging="426"/>
        <w:rPr>
          <w:sz w:val="24"/>
        </w:rPr>
      </w:pPr>
      <w:r>
        <w:rPr>
          <w:sz w:val="24"/>
        </w:rPr>
        <w:t>Category</w:t>
      </w:r>
      <w:r>
        <w:rPr>
          <w:spacing w:val="-3"/>
          <w:sz w:val="24"/>
        </w:rPr>
        <w:t xml:space="preserve"> </w:t>
      </w:r>
      <w:r>
        <w:rPr>
          <w:sz w:val="24"/>
        </w:rPr>
        <w:t>3:</w:t>
      </w:r>
      <w:r>
        <w:rPr>
          <w:spacing w:val="-4"/>
          <w:sz w:val="24"/>
        </w:rPr>
        <w:t xml:space="preserve"> </w:t>
      </w:r>
      <w:r>
        <w:rPr>
          <w:sz w:val="24"/>
        </w:rPr>
        <w:t>Potentially</w:t>
      </w:r>
      <w:r>
        <w:rPr>
          <w:spacing w:val="-4"/>
          <w:sz w:val="24"/>
        </w:rPr>
        <w:t xml:space="preserve"> </w:t>
      </w:r>
      <w:r>
        <w:rPr>
          <w:sz w:val="24"/>
        </w:rPr>
        <w:t>high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</w:p>
    <w:p w14:paraId="305951D4" w14:textId="77777777" w:rsidR="001B316B" w:rsidRDefault="001B316B">
      <w:pPr>
        <w:pStyle w:val="Heading5"/>
        <w:ind w:left="112" w:firstLine="0"/>
      </w:pPr>
    </w:p>
    <w:p w14:paraId="01D230B2" w14:textId="2C9D79E0" w:rsidR="00595CFD" w:rsidRDefault="0094154F" w:rsidP="001B316B">
      <w:pPr>
        <w:pStyle w:val="Heading4"/>
      </w:pPr>
      <w:r>
        <w:t>Purpose</w:t>
      </w:r>
    </w:p>
    <w:p w14:paraId="01D230B3" w14:textId="77777777" w:rsidR="00595CFD" w:rsidRDefault="00595CFD">
      <w:pPr>
        <w:pStyle w:val="BodyText"/>
        <w:spacing w:before="5"/>
        <w:rPr>
          <w:b/>
          <w:sz w:val="25"/>
        </w:rPr>
      </w:pPr>
    </w:p>
    <w:p w14:paraId="773D0B82" w14:textId="77777777" w:rsidR="001B316B" w:rsidRDefault="0094154F" w:rsidP="001B316B">
      <w:pPr>
        <w:pStyle w:val="BodyText"/>
        <w:ind w:left="112" w:right="160"/>
      </w:pPr>
      <w:r>
        <w:t>The purpose of this document is to update the 2012 NZ Guidelines Group surveillance</w:t>
      </w:r>
      <w:r>
        <w:rPr>
          <w:spacing w:val="1"/>
        </w:rPr>
        <w:t xml:space="preserve"> </w:t>
      </w:r>
      <w:r>
        <w:t xml:space="preserve">recommendations for the second broad group: </w:t>
      </w:r>
      <w:r>
        <w:rPr>
          <w:b/>
        </w:rPr>
        <w:t>individuals with a family/whānau history</w:t>
      </w:r>
      <w:r>
        <w:rPr>
          <w:b/>
          <w:spacing w:val="-64"/>
        </w:rPr>
        <w:t xml:space="preserve"> </w:t>
      </w:r>
      <w:r>
        <w:rPr>
          <w:b/>
        </w:rPr>
        <w:t>of colorectal cancer</w:t>
      </w:r>
      <w:r>
        <w:t>. This update brings the guidelines into line with recent international</w:t>
      </w:r>
      <w:r>
        <w:rPr>
          <w:spacing w:val="1"/>
        </w:rPr>
        <w:t xml:space="preserve"> </w:t>
      </w:r>
      <w:r>
        <w:t xml:space="preserve">guidance and with the change in New Zealand </w:t>
      </w:r>
      <w:r w:rsidRPr="00DE20DF">
        <w:t>now that we have completed the rollout of</w:t>
      </w:r>
      <w:r w:rsidRPr="00DE20DF">
        <w:rPr>
          <w:spacing w:val="1"/>
        </w:rPr>
        <w:t xml:space="preserve"> </w:t>
      </w:r>
      <w:r w:rsidRPr="00DE20DF">
        <w:t>the National Bowel Screening Programme (NBSP) and initiated the lowering of the age of</w:t>
      </w:r>
      <w:r w:rsidRPr="00DE20DF">
        <w:rPr>
          <w:spacing w:val="1"/>
        </w:rPr>
        <w:t xml:space="preserve"> </w:t>
      </w:r>
      <w:r w:rsidRPr="00DE20DF">
        <w:t>eligibility</w:t>
      </w:r>
      <w:r w:rsidRPr="00DE20DF">
        <w:rPr>
          <w:spacing w:val="-1"/>
        </w:rPr>
        <w:t xml:space="preserve"> </w:t>
      </w:r>
      <w:r w:rsidRPr="00DE20DF">
        <w:t>for</w:t>
      </w:r>
      <w:r w:rsidRPr="00DE20DF">
        <w:rPr>
          <w:spacing w:val="-1"/>
        </w:rPr>
        <w:t xml:space="preserve"> </w:t>
      </w:r>
      <w:r w:rsidRPr="00DE20DF">
        <w:t>Māori</w:t>
      </w:r>
      <w:r w:rsidRPr="00DE20DF">
        <w:rPr>
          <w:spacing w:val="-2"/>
        </w:rPr>
        <w:t xml:space="preserve"> </w:t>
      </w:r>
      <w:r w:rsidRPr="00DE20DF">
        <w:t>and</w:t>
      </w:r>
      <w:r w:rsidRPr="00DE20DF">
        <w:rPr>
          <w:spacing w:val="-1"/>
        </w:rPr>
        <w:t xml:space="preserve"> </w:t>
      </w:r>
      <w:r w:rsidRPr="00DE20DF">
        <w:t>Pacific</w:t>
      </w:r>
      <w:r w:rsidRPr="00DE20DF">
        <w:rPr>
          <w:spacing w:val="-1"/>
        </w:rPr>
        <w:t xml:space="preserve"> </w:t>
      </w:r>
      <w:r w:rsidRPr="00DE20DF">
        <w:t>people</w:t>
      </w:r>
      <w:r w:rsidRPr="00DE20DF">
        <w:rPr>
          <w:spacing w:val="-1"/>
        </w:rPr>
        <w:t xml:space="preserve"> </w:t>
      </w:r>
      <w:r w:rsidRPr="00DE20DF">
        <w:t>from</w:t>
      </w:r>
      <w:r w:rsidRPr="00DE20DF">
        <w:rPr>
          <w:spacing w:val="2"/>
        </w:rPr>
        <w:t xml:space="preserve"> </w:t>
      </w:r>
      <w:r w:rsidRPr="00DE20DF">
        <w:t>60</w:t>
      </w:r>
      <w:r w:rsidRPr="00DE20DF">
        <w:rPr>
          <w:spacing w:val="-2"/>
        </w:rPr>
        <w:t xml:space="preserve"> </w:t>
      </w:r>
      <w:r w:rsidRPr="00DE20DF">
        <w:t>to</w:t>
      </w:r>
      <w:r w:rsidRPr="00DE20DF">
        <w:rPr>
          <w:spacing w:val="1"/>
        </w:rPr>
        <w:t xml:space="preserve"> </w:t>
      </w:r>
      <w:r w:rsidRPr="00DE20DF">
        <w:t>50 years.</w:t>
      </w:r>
      <w:r w:rsidR="000B1D0F" w:rsidRPr="00DE20DF">
        <w:t xml:space="preserve"> This document is intended for patients currently </w:t>
      </w:r>
      <w:r w:rsidRPr="00DE20DF">
        <w:t>on ongoing</w:t>
      </w:r>
      <w:r w:rsidR="000B1D0F" w:rsidRPr="00DE20DF">
        <w:t xml:space="preserve"> colonoscopy surveillance as well as those who will have surveillance in the future.</w:t>
      </w:r>
    </w:p>
    <w:p w14:paraId="2D162143" w14:textId="77777777" w:rsidR="001B316B" w:rsidRDefault="001B316B" w:rsidP="001B316B">
      <w:pPr>
        <w:pStyle w:val="BodyText"/>
        <w:ind w:left="112" w:right="160"/>
      </w:pPr>
    </w:p>
    <w:p w14:paraId="20EC6AB8" w14:textId="2A58580C" w:rsidR="001B316B" w:rsidRDefault="000B1D0F" w:rsidP="001B316B">
      <w:pPr>
        <w:pStyle w:val="BodyText"/>
        <w:ind w:left="112" w:right="160"/>
      </w:pPr>
      <w:r w:rsidRPr="00DE20DF">
        <w:t>It is noted that although these recommendations are comprehensive, there will be so</w:t>
      </w:r>
      <w:r w:rsidR="009A598F">
        <w:t>m</w:t>
      </w:r>
      <w:r w:rsidRPr="00DE20DF">
        <w:t xml:space="preserve">e clinical scenarios that are not explicitly </w:t>
      </w:r>
      <w:r w:rsidR="0094154F" w:rsidRPr="00DE20DF">
        <w:t>outlined</w:t>
      </w:r>
      <w:r w:rsidRPr="00DE20DF">
        <w:t xml:space="preserve"> and should</w:t>
      </w:r>
      <w:r w:rsidR="0094154F" w:rsidRPr="00DE20DF">
        <w:t xml:space="preserve"> therefore</w:t>
      </w:r>
      <w:r w:rsidRPr="00DE20DF">
        <w:t xml:space="preserve"> be managed by clinicians using the underlying principles outlined in this document.</w:t>
      </w:r>
      <w:r w:rsidR="0064093E">
        <w:t xml:space="preserve"> </w:t>
      </w:r>
      <w:r w:rsidR="0064093E" w:rsidRPr="00E571AB">
        <w:t>For people older than age 75 years or with significant comorbidities, carefully consider potential benefits and risks before offering any routine surveillance.</w:t>
      </w:r>
    </w:p>
    <w:p w14:paraId="701EDF81" w14:textId="77777777" w:rsidR="001B316B" w:rsidRDefault="001B316B" w:rsidP="001B316B">
      <w:pPr>
        <w:pStyle w:val="BodyText"/>
        <w:ind w:left="112" w:right="160"/>
      </w:pPr>
    </w:p>
    <w:p w14:paraId="7B23982B" w14:textId="77777777" w:rsidR="001B316B" w:rsidRDefault="0094154F" w:rsidP="001B316B">
      <w:pPr>
        <w:pStyle w:val="BodyText"/>
        <w:ind w:left="112" w:right="160"/>
      </w:pPr>
      <w:r w:rsidRPr="00DE20DF">
        <w:t xml:space="preserve">This update is designed to dovetail with the </w:t>
      </w:r>
      <w:r w:rsidRPr="00DE20DF">
        <w:rPr>
          <w:i/>
        </w:rPr>
        <w:t>Update on Polyp Surveillance Guidelines</w:t>
      </w:r>
      <w:r w:rsidRPr="00DE20DF">
        <w:rPr>
          <w:i/>
          <w:spacing w:val="1"/>
        </w:rPr>
        <w:t xml:space="preserve"> </w:t>
      </w:r>
      <w:r w:rsidRPr="00DE20DF">
        <w:rPr>
          <w:i/>
        </w:rPr>
        <w:t>2020</w:t>
      </w:r>
      <w:r w:rsidRPr="00DE20DF">
        <w:t>, published by Te Aho o Te Kahu, the Cancer Control</w:t>
      </w:r>
      <w:r>
        <w:t xml:space="preserve"> Agency in partnership with the</w:t>
      </w:r>
      <w:r>
        <w:rPr>
          <w:spacing w:val="-64"/>
        </w:rPr>
        <w:t xml:space="preserve"> </w:t>
      </w:r>
      <w:r>
        <w:t>Ministry of</w:t>
      </w:r>
      <w:r>
        <w:rPr>
          <w:spacing w:val="1"/>
        </w:rPr>
        <w:t xml:space="preserve"> </w:t>
      </w:r>
      <w:r>
        <w:t>Health.</w:t>
      </w:r>
      <w:hyperlink w:anchor="_bookmark2" w:history="1">
        <w:r>
          <w:rPr>
            <w:position w:val="8"/>
            <w:sz w:val="16"/>
          </w:rPr>
          <w:t>2</w:t>
        </w:r>
      </w:hyperlink>
    </w:p>
    <w:p w14:paraId="2EB77D3C" w14:textId="77777777" w:rsidR="001B316B" w:rsidRPr="0064093E" w:rsidRDefault="001B316B" w:rsidP="001B316B">
      <w:pPr>
        <w:pStyle w:val="BodyText"/>
        <w:ind w:left="112" w:right="160"/>
        <w:rPr>
          <w:sz w:val="20"/>
          <w:szCs w:val="20"/>
        </w:rPr>
      </w:pPr>
    </w:p>
    <w:p w14:paraId="01D230BE" w14:textId="1F9192BF" w:rsidR="00595CFD" w:rsidRPr="001B316B" w:rsidRDefault="0094154F" w:rsidP="001B316B">
      <w:pPr>
        <w:pStyle w:val="BodyText"/>
        <w:ind w:left="112" w:right="160"/>
      </w:pPr>
      <w:r>
        <w:t>Surveillance recommendations for those with personal history of colorectal cancer and</w:t>
      </w:r>
      <w:r>
        <w:rPr>
          <w:spacing w:val="-64"/>
        </w:rPr>
        <w:t xml:space="preserve"> </w:t>
      </w:r>
      <w:r>
        <w:t>inflammatory</w:t>
      </w:r>
      <w:r>
        <w:rPr>
          <w:spacing w:val="-1"/>
        </w:rPr>
        <w:t xml:space="preserve"> </w:t>
      </w:r>
      <w:r>
        <w:t>bowel</w:t>
      </w:r>
      <w:r>
        <w:rPr>
          <w:spacing w:val="-1"/>
        </w:rPr>
        <w:t xml:space="preserve"> </w:t>
      </w:r>
      <w:r>
        <w:t>disease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outside the scope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update.</w:t>
      </w:r>
    </w:p>
    <w:p w14:paraId="01D230BF" w14:textId="77777777" w:rsidR="00595CFD" w:rsidRDefault="00595CFD">
      <w:pPr>
        <w:pStyle w:val="BodyText"/>
        <w:spacing w:before="3"/>
        <w:rPr>
          <w:sz w:val="25"/>
        </w:rPr>
      </w:pPr>
    </w:p>
    <w:p w14:paraId="01D230C0" w14:textId="77777777" w:rsidR="00595CFD" w:rsidRDefault="0094154F">
      <w:pPr>
        <w:ind w:left="283" w:hanging="171"/>
        <w:rPr>
          <w:sz w:val="20"/>
        </w:rPr>
      </w:pPr>
      <w:bookmarkStart w:id="2" w:name="_bookmark1"/>
      <w:bookmarkEnd w:id="2"/>
      <w:r>
        <w:rPr>
          <w:position w:val="6"/>
          <w:sz w:val="13"/>
        </w:rPr>
        <w:t xml:space="preserve">1 </w:t>
      </w:r>
      <w:r>
        <w:rPr>
          <w:sz w:val="20"/>
        </w:rPr>
        <w:t xml:space="preserve">New Zealand Guidelines Group. 2012. </w:t>
      </w:r>
      <w:r>
        <w:rPr>
          <w:i/>
          <w:sz w:val="20"/>
        </w:rPr>
        <w:t>Guidance on Surveillance for People at Increased Risk of Colorectal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Cancer</w:t>
      </w:r>
      <w:r>
        <w:rPr>
          <w:sz w:val="20"/>
        </w:rPr>
        <w:t>. Wellington:</w:t>
      </w:r>
      <w:r>
        <w:rPr>
          <w:spacing w:val="1"/>
          <w:sz w:val="20"/>
        </w:rPr>
        <w:t xml:space="preserve"> </w:t>
      </w:r>
      <w:r>
        <w:rPr>
          <w:sz w:val="20"/>
        </w:rPr>
        <w:t>New</w:t>
      </w:r>
      <w:r>
        <w:rPr>
          <w:spacing w:val="-1"/>
          <w:sz w:val="20"/>
        </w:rPr>
        <w:t xml:space="preserve"> </w:t>
      </w:r>
      <w:r>
        <w:rPr>
          <w:sz w:val="20"/>
        </w:rPr>
        <w:t>Zealand</w:t>
      </w:r>
      <w:r>
        <w:rPr>
          <w:spacing w:val="-2"/>
          <w:sz w:val="20"/>
        </w:rPr>
        <w:t xml:space="preserve"> </w:t>
      </w:r>
      <w:r>
        <w:rPr>
          <w:sz w:val="20"/>
        </w:rPr>
        <w:t>Guidelines Group.</w:t>
      </w:r>
    </w:p>
    <w:p w14:paraId="01D230C1" w14:textId="77777777" w:rsidR="00595CFD" w:rsidRDefault="0094154F">
      <w:pPr>
        <w:ind w:left="283" w:right="219" w:hanging="171"/>
        <w:rPr>
          <w:sz w:val="20"/>
        </w:rPr>
      </w:pPr>
      <w:bookmarkStart w:id="3" w:name="_bookmark2"/>
      <w:bookmarkEnd w:id="3"/>
      <w:r>
        <w:rPr>
          <w:position w:val="6"/>
          <w:sz w:val="13"/>
        </w:rPr>
        <w:t xml:space="preserve">2 </w:t>
      </w:r>
      <w:r>
        <w:rPr>
          <w:sz w:val="20"/>
        </w:rPr>
        <w:t xml:space="preserve">Te Aho o Te Kahu. 2020. </w:t>
      </w:r>
      <w:r>
        <w:rPr>
          <w:i/>
          <w:sz w:val="20"/>
        </w:rPr>
        <w:t>Update on Polyp Surveillance Guidelines 2020</w:t>
      </w:r>
      <w:r>
        <w:rPr>
          <w:sz w:val="20"/>
        </w:rPr>
        <w:t>. Wellington: Te Aho o Te Kahu in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partnership with the Ministry of Health. URL: </w:t>
      </w:r>
      <w:hyperlink r:id="rId14">
        <w:r>
          <w:rPr>
            <w:b/>
            <w:sz w:val="20"/>
            <w:u w:val="single"/>
          </w:rPr>
          <w:t>www.health.govt.nz/publication/update-polyp-</w:t>
        </w:r>
      </w:hyperlink>
      <w:r>
        <w:rPr>
          <w:b/>
          <w:spacing w:val="1"/>
          <w:sz w:val="20"/>
        </w:rPr>
        <w:t xml:space="preserve"> </w:t>
      </w:r>
      <w:hyperlink r:id="rId15">
        <w:r>
          <w:rPr>
            <w:b/>
            <w:sz w:val="20"/>
            <w:u w:val="single"/>
          </w:rPr>
          <w:t>surveillance-guidelines-2020</w:t>
        </w:r>
        <w:r>
          <w:rPr>
            <w:b/>
            <w:spacing w:val="-2"/>
            <w:sz w:val="20"/>
          </w:rPr>
          <w:t xml:space="preserve"> </w:t>
        </w:r>
      </w:hyperlink>
      <w:r>
        <w:rPr>
          <w:sz w:val="20"/>
        </w:rPr>
        <w:t>(accessed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2022).</w:t>
      </w:r>
    </w:p>
    <w:p w14:paraId="01D230C2" w14:textId="77777777" w:rsidR="00595CFD" w:rsidRDefault="00595CFD">
      <w:pPr>
        <w:rPr>
          <w:sz w:val="20"/>
        </w:rPr>
        <w:sectPr w:rsidR="00595CFD">
          <w:pgSz w:w="11910" w:h="16840"/>
          <w:pgMar w:top="1060" w:right="1020" w:bottom="1260" w:left="1020" w:header="0" w:footer="1066" w:gutter="0"/>
          <w:cols w:space="720"/>
        </w:sectPr>
      </w:pPr>
    </w:p>
    <w:p w14:paraId="01D230C3" w14:textId="77777777" w:rsidR="00595CFD" w:rsidRDefault="0094154F">
      <w:pPr>
        <w:pStyle w:val="Heading4"/>
      </w:pPr>
      <w:bookmarkStart w:id="4" w:name="Committee"/>
      <w:bookmarkEnd w:id="4"/>
      <w:r>
        <w:rPr>
          <w:color w:val="1C2448"/>
        </w:rPr>
        <w:lastRenderedPageBreak/>
        <w:t>Committee</w:t>
      </w:r>
    </w:p>
    <w:p w14:paraId="01D230C4" w14:textId="2DF2AFF3" w:rsidR="00595CFD" w:rsidRDefault="0094154F">
      <w:pPr>
        <w:pStyle w:val="BodyText"/>
        <w:spacing w:before="202" w:line="288" w:lineRule="auto"/>
        <w:ind w:left="112" w:right="253"/>
      </w:pPr>
      <w:r>
        <w:t>The committee that developed this document worked under the National Bowel Cancer</w:t>
      </w:r>
      <w:r>
        <w:rPr>
          <w:spacing w:val="1"/>
        </w:rPr>
        <w:t xml:space="preserve"> </w:t>
      </w:r>
      <w:r>
        <w:t xml:space="preserve">Working Group, which is co-hosted by the National Screening Unit, </w:t>
      </w:r>
      <w:r w:rsidR="00DD2211">
        <w:t>Te Whatu Ora</w:t>
      </w:r>
      <w:r>
        <w:t xml:space="preserve"> and</w:t>
      </w:r>
      <w:r>
        <w:rPr>
          <w:spacing w:val="-64"/>
        </w:rPr>
        <w:t xml:space="preserve"> </w:t>
      </w:r>
      <w:r>
        <w:t>Te Aho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 Kahu,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Cancer</w:t>
      </w:r>
      <w:r>
        <w:rPr>
          <w:spacing w:val="-2"/>
        </w:rPr>
        <w:t xml:space="preserve"> </w:t>
      </w:r>
      <w:r>
        <w:t>Control Agency.</w:t>
      </w:r>
    </w:p>
    <w:p w14:paraId="01D230C5" w14:textId="77777777" w:rsidR="00595CFD" w:rsidRDefault="00595CFD">
      <w:pPr>
        <w:pStyle w:val="BodyText"/>
        <w:spacing w:before="10"/>
        <w:rPr>
          <w:sz w:val="20"/>
        </w:rPr>
      </w:pPr>
    </w:p>
    <w:p w14:paraId="01D230C6" w14:textId="77777777" w:rsidR="00595CFD" w:rsidRDefault="0094154F">
      <w:pPr>
        <w:pStyle w:val="BodyText"/>
        <w:spacing w:before="1"/>
        <w:ind w:left="112"/>
      </w:pP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are:</w:t>
      </w:r>
    </w:p>
    <w:p w14:paraId="01D230C7" w14:textId="77777777" w:rsidR="00595CFD" w:rsidRDefault="00595CFD">
      <w:pPr>
        <w:pStyle w:val="BodyText"/>
        <w:spacing w:before="8"/>
        <w:rPr>
          <w:sz w:val="25"/>
        </w:rPr>
      </w:pPr>
    </w:p>
    <w:p w14:paraId="01D230C8" w14:textId="77777777" w:rsidR="00595CFD" w:rsidRDefault="0094154F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before="0"/>
        <w:ind w:hanging="426"/>
        <w:rPr>
          <w:sz w:val="24"/>
        </w:rPr>
      </w:pPr>
      <w:r>
        <w:rPr>
          <w:sz w:val="24"/>
        </w:rPr>
        <w:t>Ian</w:t>
      </w:r>
      <w:r>
        <w:rPr>
          <w:spacing w:val="-3"/>
          <w:sz w:val="24"/>
        </w:rPr>
        <w:t xml:space="preserve"> </w:t>
      </w:r>
      <w:r>
        <w:rPr>
          <w:sz w:val="24"/>
        </w:rPr>
        <w:t>Bissett,</w:t>
      </w:r>
      <w:r>
        <w:rPr>
          <w:spacing w:val="-3"/>
          <w:sz w:val="24"/>
        </w:rPr>
        <w:t xml:space="preserve"> </w:t>
      </w:r>
      <w:r>
        <w:rPr>
          <w:sz w:val="24"/>
        </w:rPr>
        <w:t>colorectal</w:t>
      </w:r>
      <w:r>
        <w:rPr>
          <w:spacing w:val="-7"/>
          <w:sz w:val="24"/>
        </w:rPr>
        <w:t xml:space="preserve"> </w:t>
      </w:r>
      <w:r>
        <w:rPr>
          <w:sz w:val="24"/>
        </w:rPr>
        <w:t>surgeon</w:t>
      </w:r>
      <w:r>
        <w:rPr>
          <w:spacing w:val="-3"/>
          <w:sz w:val="24"/>
        </w:rPr>
        <w:t xml:space="preserve"> </w:t>
      </w:r>
      <w:r>
        <w:rPr>
          <w:sz w:val="24"/>
        </w:rPr>
        <w:t>(Chair)</w:t>
      </w:r>
    </w:p>
    <w:p w14:paraId="01D230C9" w14:textId="77777777" w:rsidR="00595CFD" w:rsidRDefault="0094154F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ind w:hanging="426"/>
        <w:rPr>
          <w:sz w:val="24"/>
        </w:rPr>
      </w:pPr>
      <w:r>
        <w:rPr>
          <w:sz w:val="24"/>
        </w:rPr>
        <w:t>Susan</w:t>
      </w:r>
      <w:r>
        <w:rPr>
          <w:spacing w:val="-5"/>
          <w:sz w:val="24"/>
        </w:rPr>
        <w:t xml:space="preserve"> </w:t>
      </w:r>
      <w:r>
        <w:rPr>
          <w:sz w:val="24"/>
        </w:rPr>
        <w:t>Parry,</w:t>
      </w:r>
      <w:r>
        <w:rPr>
          <w:spacing w:val="-6"/>
          <w:sz w:val="24"/>
        </w:rPr>
        <w:t xml:space="preserve"> </w:t>
      </w:r>
      <w:r>
        <w:rPr>
          <w:sz w:val="24"/>
        </w:rPr>
        <w:t>gastroenterologist</w:t>
      </w:r>
    </w:p>
    <w:p w14:paraId="01D230CA" w14:textId="77777777" w:rsidR="00595CFD" w:rsidRDefault="0094154F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ind w:hanging="426"/>
        <w:rPr>
          <w:sz w:val="24"/>
        </w:rPr>
      </w:pPr>
      <w:r>
        <w:rPr>
          <w:sz w:val="24"/>
        </w:rPr>
        <w:t>Rowan</w:t>
      </w:r>
      <w:r>
        <w:rPr>
          <w:spacing w:val="-4"/>
          <w:sz w:val="24"/>
        </w:rPr>
        <w:t xml:space="preserve"> </w:t>
      </w:r>
      <w:r>
        <w:rPr>
          <w:sz w:val="24"/>
        </w:rPr>
        <w:t>French,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surgeon</w:t>
      </w:r>
    </w:p>
    <w:p w14:paraId="01D230CB" w14:textId="77777777" w:rsidR="00595CFD" w:rsidRDefault="0094154F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ind w:hanging="426"/>
        <w:rPr>
          <w:sz w:val="24"/>
        </w:rPr>
      </w:pPr>
      <w:r>
        <w:rPr>
          <w:sz w:val="24"/>
        </w:rPr>
        <w:t>Sze-Lin</w:t>
      </w:r>
      <w:r>
        <w:rPr>
          <w:spacing w:val="-3"/>
          <w:sz w:val="24"/>
        </w:rPr>
        <w:t xml:space="preserve"> </w:t>
      </w:r>
      <w:r>
        <w:rPr>
          <w:sz w:val="24"/>
        </w:rPr>
        <w:t>Peng,</w:t>
      </w:r>
      <w:r>
        <w:rPr>
          <w:spacing w:val="-4"/>
          <w:sz w:val="24"/>
        </w:rPr>
        <w:t xml:space="preserve"> </w:t>
      </w:r>
      <w:r>
        <w:rPr>
          <w:sz w:val="24"/>
        </w:rPr>
        <w:t>colorectal</w:t>
      </w:r>
      <w:r>
        <w:rPr>
          <w:spacing w:val="-4"/>
          <w:sz w:val="24"/>
        </w:rPr>
        <w:t xml:space="preserve"> </w:t>
      </w:r>
      <w:r>
        <w:rPr>
          <w:sz w:val="24"/>
        </w:rPr>
        <w:t>surgeon</w:t>
      </w:r>
    </w:p>
    <w:p w14:paraId="01D230CC" w14:textId="77777777" w:rsidR="00595CFD" w:rsidRDefault="0094154F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before="171"/>
        <w:ind w:hanging="426"/>
        <w:rPr>
          <w:sz w:val="24"/>
        </w:rPr>
      </w:pPr>
      <w:r>
        <w:rPr>
          <w:sz w:val="24"/>
        </w:rPr>
        <w:t>Zoe</w:t>
      </w:r>
      <w:r>
        <w:rPr>
          <w:spacing w:val="-5"/>
          <w:sz w:val="24"/>
        </w:rPr>
        <w:t xml:space="preserve"> </w:t>
      </w:r>
      <w:r>
        <w:rPr>
          <w:sz w:val="24"/>
        </w:rPr>
        <w:t>Raos,</w:t>
      </w:r>
      <w:r>
        <w:rPr>
          <w:spacing w:val="-4"/>
          <w:sz w:val="24"/>
        </w:rPr>
        <w:t xml:space="preserve"> </w:t>
      </w:r>
      <w:r>
        <w:rPr>
          <w:sz w:val="24"/>
        </w:rPr>
        <w:t>gastroenterologist</w:t>
      </w:r>
    </w:p>
    <w:p w14:paraId="01D230CD" w14:textId="77777777" w:rsidR="00595CFD" w:rsidRDefault="0094154F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ind w:hanging="426"/>
        <w:rPr>
          <w:sz w:val="24"/>
        </w:rPr>
      </w:pPr>
      <w:r>
        <w:rPr>
          <w:sz w:val="24"/>
        </w:rPr>
        <w:t>Teresa</w:t>
      </w:r>
      <w:r>
        <w:rPr>
          <w:spacing w:val="-7"/>
          <w:sz w:val="24"/>
        </w:rPr>
        <w:t xml:space="preserve"> </w:t>
      </w:r>
      <w:r>
        <w:rPr>
          <w:sz w:val="24"/>
        </w:rPr>
        <w:t>Chalmers-Watson,</w:t>
      </w:r>
      <w:r>
        <w:rPr>
          <w:spacing w:val="-8"/>
          <w:sz w:val="24"/>
        </w:rPr>
        <w:t xml:space="preserve"> </w:t>
      </w:r>
      <w:r>
        <w:rPr>
          <w:sz w:val="24"/>
        </w:rPr>
        <w:t>gastroenterologist.</w:t>
      </w:r>
    </w:p>
    <w:p w14:paraId="01D230CE" w14:textId="77777777" w:rsidR="00595CFD" w:rsidRDefault="00595CFD">
      <w:pPr>
        <w:rPr>
          <w:sz w:val="24"/>
        </w:rPr>
        <w:sectPr w:rsidR="00595CFD">
          <w:pgSz w:w="11910" w:h="16840"/>
          <w:pgMar w:top="1040" w:right="1020" w:bottom="1260" w:left="1020" w:header="0" w:footer="1066" w:gutter="0"/>
          <w:cols w:space="720"/>
        </w:sectPr>
      </w:pPr>
    </w:p>
    <w:p w14:paraId="01D230CF" w14:textId="77777777" w:rsidR="00595CFD" w:rsidRDefault="0094154F">
      <w:pPr>
        <w:pStyle w:val="Heading1"/>
        <w:spacing w:line="288" w:lineRule="auto"/>
        <w:ind w:right="176"/>
      </w:pPr>
      <w:bookmarkStart w:id="5" w:name="Category_1:_Individuals_with_a_slightly_"/>
      <w:bookmarkStart w:id="6" w:name="_bookmark3"/>
      <w:bookmarkEnd w:id="5"/>
      <w:bookmarkEnd w:id="6"/>
      <w:r>
        <w:rPr>
          <w:color w:val="1C2448"/>
        </w:rPr>
        <w:lastRenderedPageBreak/>
        <w:t>Category 1: Individuals with</w:t>
      </w:r>
      <w:r>
        <w:rPr>
          <w:color w:val="1C2448"/>
          <w:spacing w:val="-198"/>
        </w:rPr>
        <w:t xml:space="preserve"> </w:t>
      </w:r>
      <w:r>
        <w:rPr>
          <w:color w:val="1C2448"/>
        </w:rPr>
        <w:t>a slightly above-average</w:t>
      </w:r>
      <w:r>
        <w:rPr>
          <w:color w:val="1C2448"/>
          <w:spacing w:val="1"/>
        </w:rPr>
        <w:t xml:space="preserve"> </w:t>
      </w:r>
      <w:r>
        <w:rPr>
          <w:color w:val="1C2448"/>
        </w:rPr>
        <w:t>risk</w:t>
      </w:r>
      <w:r>
        <w:rPr>
          <w:color w:val="1C2448"/>
          <w:spacing w:val="-2"/>
        </w:rPr>
        <w:t xml:space="preserve"> </w:t>
      </w:r>
      <w:r>
        <w:rPr>
          <w:color w:val="1C2448"/>
        </w:rPr>
        <w:t>of</w:t>
      </w:r>
      <w:r>
        <w:rPr>
          <w:color w:val="1C2448"/>
          <w:spacing w:val="1"/>
        </w:rPr>
        <w:t xml:space="preserve"> </w:t>
      </w:r>
      <w:r>
        <w:rPr>
          <w:color w:val="1C2448"/>
        </w:rPr>
        <w:t>CRC</w:t>
      </w:r>
    </w:p>
    <w:p w14:paraId="01D230D0" w14:textId="77777777" w:rsidR="00595CFD" w:rsidRDefault="0094154F">
      <w:pPr>
        <w:pStyle w:val="BodyText"/>
        <w:spacing w:before="122" w:line="288" w:lineRule="auto"/>
        <w:ind w:left="112" w:right="199"/>
      </w:pPr>
      <w:r>
        <w:t>Individuals in this category have one first-degree relative diagnosed with colorectal cancer</w:t>
      </w:r>
      <w:r>
        <w:rPr>
          <w:spacing w:val="-6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years.</w:t>
      </w:r>
    </w:p>
    <w:p w14:paraId="01D230D1" w14:textId="77777777" w:rsidR="00595CFD" w:rsidRDefault="00595CFD">
      <w:pPr>
        <w:pStyle w:val="BodyText"/>
        <w:rPr>
          <w:sz w:val="26"/>
        </w:rPr>
      </w:pPr>
    </w:p>
    <w:p w14:paraId="01D230D2" w14:textId="77777777" w:rsidR="00595CFD" w:rsidRDefault="0094154F">
      <w:pPr>
        <w:pStyle w:val="Heading2"/>
      </w:pPr>
      <w:bookmarkStart w:id="7" w:name="_bookmark4"/>
      <w:bookmarkEnd w:id="7"/>
      <w:r>
        <w:rPr>
          <w:color w:val="1C2448"/>
        </w:rPr>
        <w:t>Recommendations</w:t>
      </w:r>
    </w:p>
    <w:p w14:paraId="01D230D3" w14:textId="77777777" w:rsidR="00595CFD" w:rsidRDefault="0094154F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before="231" w:line="283" w:lineRule="auto"/>
        <w:ind w:right="947"/>
        <w:rPr>
          <w:sz w:val="24"/>
        </w:rPr>
      </w:pPr>
      <w:r>
        <w:rPr>
          <w:sz w:val="24"/>
        </w:rPr>
        <w:t>Strongly advise these individuals to participate in the NBSP when they become</w:t>
      </w:r>
      <w:r>
        <w:rPr>
          <w:spacing w:val="-64"/>
          <w:sz w:val="24"/>
        </w:rPr>
        <w:t xml:space="preserve"> </w:t>
      </w:r>
      <w:r>
        <w:rPr>
          <w:sz w:val="24"/>
        </w:rPr>
        <w:t>eligible.</w:t>
      </w:r>
    </w:p>
    <w:p w14:paraId="01D230D4" w14:textId="77777777" w:rsidR="00595CFD" w:rsidRDefault="0094154F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before="127" w:line="283" w:lineRule="auto"/>
        <w:ind w:right="363"/>
        <w:rPr>
          <w:sz w:val="24"/>
        </w:rPr>
      </w:pPr>
      <w:r>
        <w:rPr>
          <w:sz w:val="24"/>
        </w:rPr>
        <w:t>Individuals should make healthy lifestyle choices</w:t>
      </w:r>
      <w:hyperlink w:anchor="_bookmark5" w:history="1">
        <w:r>
          <w:rPr>
            <w:position w:val="8"/>
            <w:sz w:val="16"/>
          </w:rPr>
          <w:t xml:space="preserve">3 </w:t>
        </w:r>
      </w:hyperlink>
      <w:r>
        <w:rPr>
          <w:sz w:val="24"/>
        </w:rPr>
        <w:t>and report any bowel symptoms to</w:t>
      </w:r>
      <w:r>
        <w:rPr>
          <w:spacing w:val="-6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provider.</w:t>
      </w:r>
    </w:p>
    <w:p w14:paraId="01D230D5" w14:textId="77777777" w:rsidR="00595CFD" w:rsidRDefault="0094154F">
      <w:pPr>
        <w:pStyle w:val="Heading5"/>
        <w:numPr>
          <w:ilvl w:val="0"/>
          <w:numId w:val="1"/>
        </w:numPr>
        <w:tabs>
          <w:tab w:val="left" w:pos="537"/>
          <w:tab w:val="left" w:pos="538"/>
        </w:tabs>
        <w:spacing w:before="126"/>
        <w:ind w:hanging="426"/>
      </w:pPr>
      <w:r>
        <w:t>Previously,</w:t>
      </w:r>
      <w:r>
        <w:rPr>
          <w:spacing w:val="-7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surveillance</w:t>
      </w:r>
      <w:r>
        <w:rPr>
          <w:spacing w:val="-4"/>
        </w:rPr>
        <w:t xml:space="preserve"> </w:t>
      </w:r>
      <w:r>
        <w:t>recommendations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group.</w:t>
      </w:r>
    </w:p>
    <w:p w14:paraId="01D230D6" w14:textId="77777777" w:rsidR="00595CFD" w:rsidRDefault="00595CFD">
      <w:pPr>
        <w:pStyle w:val="BodyText"/>
        <w:rPr>
          <w:b/>
          <w:sz w:val="28"/>
        </w:rPr>
      </w:pPr>
    </w:p>
    <w:p w14:paraId="01D230D7" w14:textId="77777777" w:rsidR="00595CFD" w:rsidRDefault="00595CFD">
      <w:pPr>
        <w:pStyle w:val="BodyText"/>
        <w:rPr>
          <w:b/>
          <w:sz w:val="28"/>
        </w:rPr>
      </w:pPr>
    </w:p>
    <w:p w14:paraId="01D230D8" w14:textId="77777777" w:rsidR="00595CFD" w:rsidRDefault="00595CFD">
      <w:pPr>
        <w:pStyle w:val="BodyText"/>
        <w:rPr>
          <w:b/>
          <w:sz w:val="28"/>
        </w:rPr>
      </w:pPr>
    </w:p>
    <w:p w14:paraId="01D230D9" w14:textId="77777777" w:rsidR="00595CFD" w:rsidRDefault="00595CFD">
      <w:pPr>
        <w:pStyle w:val="BodyText"/>
        <w:rPr>
          <w:b/>
          <w:sz w:val="28"/>
        </w:rPr>
      </w:pPr>
    </w:p>
    <w:p w14:paraId="01D230DA" w14:textId="77777777" w:rsidR="00595CFD" w:rsidRDefault="00595CFD">
      <w:pPr>
        <w:pStyle w:val="BodyText"/>
        <w:rPr>
          <w:b/>
          <w:sz w:val="28"/>
        </w:rPr>
      </w:pPr>
    </w:p>
    <w:p w14:paraId="01D230DB" w14:textId="77777777" w:rsidR="00595CFD" w:rsidRDefault="00595CFD">
      <w:pPr>
        <w:pStyle w:val="BodyText"/>
        <w:rPr>
          <w:b/>
          <w:sz w:val="28"/>
        </w:rPr>
      </w:pPr>
    </w:p>
    <w:p w14:paraId="01D230DC" w14:textId="77777777" w:rsidR="00595CFD" w:rsidRDefault="00595CFD">
      <w:pPr>
        <w:pStyle w:val="BodyText"/>
        <w:rPr>
          <w:b/>
          <w:sz w:val="28"/>
        </w:rPr>
      </w:pPr>
    </w:p>
    <w:p w14:paraId="01D230DD" w14:textId="77777777" w:rsidR="00595CFD" w:rsidRDefault="00595CFD">
      <w:pPr>
        <w:pStyle w:val="BodyText"/>
        <w:rPr>
          <w:b/>
          <w:sz w:val="28"/>
        </w:rPr>
      </w:pPr>
    </w:p>
    <w:p w14:paraId="01D230DE" w14:textId="77777777" w:rsidR="00595CFD" w:rsidRDefault="00595CFD">
      <w:pPr>
        <w:pStyle w:val="BodyText"/>
        <w:rPr>
          <w:b/>
          <w:sz w:val="28"/>
        </w:rPr>
      </w:pPr>
    </w:p>
    <w:p w14:paraId="01D230DF" w14:textId="77777777" w:rsidR="00595CFD" w:rsidRDefault="00595CFD">
      <w:pPr>
        <w:pStyle w:val="BodyText"/>
        <w:rPr>
          <w:b/>
          <w:sz w:val="28"/>
        </w:rPr>
      </w:pPr>
    </w:p>
    <w:p w14:paraId="01D230E0" w14:textId="77777777" w:rsidR="00595CFD" w:rsidRDefault="00595CFD">
      <w:pPr>
        <w:pStyle w:val="BodyText"/>
        <w:rPr>
          <w:b/>
          <w:sz w:val="28"/>
        </w:rPr>
      </w:pPr>
    </w:p>
    <w:p w14:paraId="01D230E1" w14:textId="77777777" w:rsidR="00595CFD" w:rsidRDefault="00595CFD">
      <w:pPr>
        <w:pStyle w:val="BodyText"/>
        <w:rPr>
          <w:b/>
          <w:sz w:val="28"/>
        </w:rPr>
      </w:pPr>
    </w:p>
    <w:p w14:paraId="01D230E2" w14:textId="77777777" w:rsidR="00595CFD" w:rsidRDefault="00595CFD">
      <w:pPr>
        <w:pStyle w:val="BodyText"/>
        <w:rPr>
          <w:b/>
          <w:sz w:val="28"/>
        </w:rPr>
      </w:pPr>
    </w:p>
    <w:p w14:paraId="01D230E3" w14:textId="77777777" w:rsidR="00595CFD" w:rsidRDefault="00595CFD">
      <w:pPr>
        <w:pStyle w:val="BodyText"/>
        <w:rPr>
          <w:b/>
          <w:sz w:val="28"/>
        </w:rPr>
      </w:pPr>
    </w:p>
    <w:p w14:paraId="01D230E4" w14:textId="77777777" w:rsidR="00595CFD" w:rsidRDefault="00595CFD">
      <w:pPr>
        <w:pStyle w:val="BodyText"/>
        <w:rPr>
          <w:b/>
          <w:sz w:val="28"/>
        </w:rPr>
      </w:pPr>
    </w:p>
    <w:p w14:paraId="01D230E5" w14:textId="77777777" w:rsidR="00595CFD" w:rsidRDefault="00595CFD">
      <w:pPr>
        <w:pStyle w:val="BodyText"/>
        <w:rPr>
          <w:b/>
          <w:sz w:val="28"/>
        </w:rPr>
      </w:pPr>
    </w:p>
    <w:p w14:paraId="01D230E6" w14:textId="77777777" w:rsidR="00595CFD" w:rsidRDefault="00595CFD">
      <w:pPr>
        <w:pStyle w:val="BodyText"/>
        <w:rPr>
          <w:b/>
          <w:sz w:val="28"/>
        </w:rPr>
      </w:pPr>
    </w:p>
    <w:p w14:paraId="01D230E7" w14:textId="77777777" w:rsidR="00595CFD" w:rsidRDefault="00595CFD">
      <w:pPr>
        <w:pStyle w:val="BodyText"/>
        <w:rPr>
          <w:b/>
          <w:sz w:val="28"/>
        </w:rPr>
      </w:pPr>
    </w:p>
    <w:p w14:paraId="01D230E8" w14:textId="77777777" w:rsidR="00595CFD" w:rsidRDefault="00595CFD">
      <w:pPr>
        <w:pStyle w:val="BodyText"/>
        <w:rPr>
          <w:b/>
          <w:sz w:val="28"/>
        </w:rPr>
      </w:pPr>
    </w:p>
    <w:p w14:paraId="01D230E9" w14:textId="77777777" w:rsidR="00595CFD" w:rsidRDefault="00595CFD">
      <w:pPr>
        <w:pStyle w:val="BodyText"/>
        <w:rPr>
          <w:b/>
          <w:sz w:val="28"/>
        </w:rPr>
      </w:pPr>
    </w:p>
    <w:p w14:paraId="01D230EA" w14:textId="77777777" w:rsidR="00595CFD" w:rsidRDefault="0094154F">
      <w:pPr>
        <w:spacing w:before="189"/>
        <w:ind w:left="283" w:right="135" w:hanging="171"/>
        <w:rPr>
          <w:sz w:val="20"/>
        </w:rPr>
      </w:pPr>
      <w:bookmarkStart w:id="8" w:name="_bookmark5"/>
      <w:bookmarkEnd w:id="8"/>
      <w:r>
        <w:rPr>
          <w:position w:val="6"/>
          <w:sz w:val="13"/>
        </w:rPr>
        <w:t xml:space="preserve">3 </w:t>
      </w:r>
      <w:r>
        <w:rPr>
          <w:sz w:val="20"/>
        </w:rPr>
        <w:t xml:space="preserve">HealthEd. 2021. </w:t>
      </w:r>
      <w:r>
        <w:rPr>
          <w:i/>
          <w:sz w:val="20"/>
        </w:rPr>
        <w:t>Healthy Eating, Active Living</w:t>
      </w:r>
      <w:r>
        <w:rPr>
          <w:sz w:val="20"/>
        </w:rPr>
        <w:t>. Wellington: Ministry of Health and Te Hiringa Hauora, Health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Promotion Agency. URL: </w:t>
      </w:r>
      <w:hyperlink r:id="rId16">
        <w:r>
          <w:rPr>
            <w:b/>
            <w:sz w:val="20"/>
            <w:u w:val="single"/>
          </w:rPr>
          <w:t>www.healthed.govt.nz/resource/healthy-eating-active-living</w:t>
        </w:r>
        <w:r>
          <w:rPr>
            <w:b/>
            <w:sz w:val="20"/>
          </w:rPr>
          <w:t xml:space="preserve"> </w:t>
        </w:r>
      </w:hyperlink>
      <w:r>
        <w:rPr>
          <w:sz w:val="20"/>
        </w:rPr>
        <w:t>(accessed 10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2022).</w:t>
      </w:r>
    </w:p>
    <w:p w14:paraId="01D230EB" w14:textId="77777777" w:rsidR="00595CFD" w:rsidRDefault="00595CFD">
      <w:pPr>
        <w:rPr>
          <w:sz w:val="20"/>
        </w:rPr>
        <w:sectPr w:rsidR="00595CFD">
          <w:pgSz w:w="11910" w:h="16840"/>
          <w:pgMar w:top="1060" w:right="1020" w:bottom="1260" w:left="1020" w:header="0" w:footer="1066" w:gutter="0"/>
          <w:cols w:space="720"/>
        </w:sectPr>
      </w:pPr>
    </w:p>
    <w:p w14:paraId="01D230EC" w14:textId="77777777" w:rsidR="00595CFD" w:rsidRDefault="0094154F">
      <w:pPr>
        <w:pStyle w:val="Heading1"/>
        <w:spacing w:line="288" w:lineRule="auto"/>
        <w:ind w:right="188"/>
        <w:jc w:val="both"/>
      </w:pPr>
      <w:bookmarkStart w:id="9" w:name="Category_2:_Individuals_with_a_moderatel"/>
      <w:bookmarkStart w:id="10" w:name="_bookmark6"/>
      <w:bookmarkEnd w:id="9"/>
      <w:bookmarkEnd w:id="10"/>
      <w:r>
        <w:rPr>
          <w:color w:val="1C2448"/>
        </w:rPr>
        <w:lastRenderedPageBreak/>
        <w:t>Category 2: Individuals with</w:t>
      </w:r>
      <w:r>
        <w:rPr>
          <w:color w:val="1C2448"/>
          <w:spacing w:val="-198"/>
        </w:rPr>
        <w:t xml:space="preserve"> </w:t>
      </w:r>
      <w:r>
        <w:rPr>
          <w:color w:val="1C2448"/>
        </w:rPr>
        <w:t>a moderately increased risk</w:t>
      </w:r>
      <w:r>
        <w:rPr>
          <w:color w:val="1C2448"/>
          <w:spacing w:val="-198"/>
        </w:rPr>
        <w:t xml:space="preserve"> </w:t>
      </w:r>
      <w:r>
        <w:rPr>
          <w:color w:val="1C2448"/>
        </w:rPr>
        <w:t>of</w:t>
      </w:r>
      <w:r>
        <w:rPr>
          <w:color w:val="1C2448"/>
          <w:spacing w:val="-2"/>
        </w:rPr>
        <w:t xml:space="preserve"> </w:t>
      </w:r>
      <w:r>
        <w:rPr>
          <w:color w:val="1C2448"/>
        </w:rPr>
        <w:t>CRC</w:t>
      </w:r>
    </w:p>
    <w:p w14:paraId="01D230ED" w14:textId="77777777" w:rsidR="00595CFD" w:rsidRDefault="0094154F">
      <w:pPr>
        <w:pStyle w:val="BodyText"/>
        <w:spacing w:before="122"/>
        <w:ind w:left="112"/>
        <w:jc w:val="both"/>
      </w:pPr>
      <w:r>
        <w:t>Individuals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category</w:t>
      </w:r>
      <w:r>
        <w:rPr>
          <w:spacing w:val="-4"/>
        </w:rPr>
        <w:t xml:space="preserve"> </w:t>
      </w:r>
      <w:r>
        <w:t>have:</w:t>
      </w:r>
    </w:p>
    <w:p w14:paraId="01D230EE" w14:textId="77777777" w:rsidR="00595CFD" w:rsidRDefault="00595CFD">
      <w:pPr>
        <w:pStyle w:val="BodyText"/>
        <w:spacing w:before="8"/>
        <w:rPr>
          <w:sz w:val="25"/>
        </w:rPr>
      </w:pPr>
    </w:p>
    <w:p w14:paraId="01D230EF" w14:textId="77777777" w:rsidR="00595CFD" w:rsidRDefault="0094154F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before="0"/>
        <w:ind w:hanging="426"/>
        <w:rPr>
          <w:sz w:val="24"/>
        </w:rPr>
      </w:pP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first-degree</w:t>
      </w:r>
      <w:r>
        <w:rPr>
          <w:spacing w:val="-1"/>
          <w:sz w:val="24"/>
        </w:rPr>
        <w:t xml:space="preserve"> </w:t>
      </w:r>
      <w:r>
        <w:rPr>
          <w:sz w:val="24"/>
        </w:rPr>
        <w:t>relative</w:t>
      </w:r>
      <w:r>
        <w:rPr>
          <w:spacing w:val="-2"/>
          <w:sz w:val="24"/>
        </w:rPr>
        <w:t xml:space="preserve"> </w:t>
      </w:r>
      <w:r>
        <w:rPr>
          <w:sz w:val="24"/>
        </w:rPr>
        <w:t>diagnosed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CRC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55</w:t>
      </w:r>
      <w:r>
        <w:rPr>
          <w:spacing w:val="-2"/>
          <w:sz w:val="24"/>
        </w:rPr>
        <w:t xml:space="preserve"> </w:t>
      </w:r>
      <w:r>
        <w:rPr>
          <w:sz w:val="24"/>
        </w:rPr>
        <w:t>years,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14:paraId="01D230F0" w14:textId="77777777" w:rsidR="00595CFD" w:rsidRDefault="0094154F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line="283" w:lineRule="auto"/>
        <w:ind w:right="292"/>
        <w:rPr>
          <w:sz w:val="24"/>
        </w:rPr>
      </w:pPr>
      <w:r>
        <w:rPr>
          <w:sz w:val="24"/>
        </w:rPr>
        <w:t>two first-degree relatives on the same side of the family/whānau diagnosed with CRC</w:t>
      </w:r>
      <w:r>
        <w:rPr>
          <w:spacing w:val="-64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age (without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potential</w:t>
      </w:r>
      <w:r>
        <w:rPr>
          <w:spacing w:val="-4"/>
          <w:sz w:val="24"/>
        </w:rPr>
        <w:t xml:space="preserve"> </w:t>
      </w:r>
      <w:r>
        <w:rPr>
          <w:sz w:val="24"/>
        </w:rPr>
        <w:t>high-risk</w:t>
      </w:r>
      <w:r>
        <w:rPr>
          <w:spacing w:val="-1"/>
          <w:sz w:val="24"/>
        </w:rPr>
        <w:t xml:space="preserve"> </w:t>
      </w:r>
      <w:r>
        <w:rPr>
          <w:sz w:val="24"/>
        </w:rPr>
        <w:t>features</w:t>
      </w:r>
      <w:r>
        <w:rPr>
          <w:spacing w:val="-1"/>
          <w:sz w:val="24"/>
        </w:rPr>
        <w:t xml:space="preserve"> </w:t>
      </w:r>
      <w:r>
        <w:rPr>
          <w:sz w:val="24"/>
        </w:rPr>
        <w:t>in Category</w:t>
      </w:r>
      <w:r>
        <w:rPr>
          <w:spacing w:val="-1"/>
          <w:sz w:val="24"/>
        </w:rPr>
        <w:t xml:space="preserve"> </w:t>
      </w:r>
      <w:r>
        <w:rPr>
          <w:sz w:val="24"/>
        </w:rPr>
        <w:t>3).</w:t>
      </w:r>
    </w:p>
    <w:p w14:paraId="01D230F1" w14:textId="77777777" w:rsidR="00595CFD" w:rsidRDefault="00595CFD">
      <w:pPr>
        <w:pStyle w:val="BodyText"/>
        <w:rPr>
          <w:sz w:val="26"/>
        </w:rPr>
      </w:pPr>
    </w:p>
    <w:p w14:paraId="01D230F2" w14:textId="77777777" w:rsidR="00595CFD" w:rsidRDefault="0094154F">
      <w:pPr>
        <w:pStyle w:val="Heading2"/>
        <w:spacing w:before="188"/>
      </w:pPr>
      <w:bookmarkStart w:id="11" w:name="_bookmark7"/>
      <w:bookmarkEnd w:id="11"/>
      <w:r>
        <w:rPr>
          <w:color w:val="1C2448"/>
        </w:rPr>
        <w:t>Recommendations</w:t>
      </w:r>
    </w:p>
    <w:p w14:paraId="01D230F3" w14:textId="77777777" w:rsidR="00595CFD" w:rsidRDefault="0094154F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before="230" w:line="285" w:lineRule="auto"/>
        <w:ind w:right="118"/>
        <w:rPr>
          <w:sz w:val="24"/>
        </w:rPr>
      </w:pPr>
      <w:r>
        <w:rPr>
          <w:sz w:val="24"/>
        </w:rPr>
        <w:t>Individuals have a colonoscopy every five years from age 50, or from an age 10 years</w:t>
      </w:r>
      <w:r>
        <w:rPr>
          <w:spacing w:val="1"/>
          <w:sz w:val="24"/>
        </w:rPr>
        <w:t xml:space="preserve"> </w:t>
      </w:r>
      <w:r>
        <w:rPr>
          <w:sz w:val="24"/>
        </w:rPr>
        <w:t>before the earliest age at which colorectal cancer was diagnosed in the family/whānau,</w:t>
      </w:r>
      <w:r>
        <w:rPr>
          <w:spacing w:val="-64"/>
          <w:sz w:val="24"/>
        </w:rPr>
        <w:t xml:space="preserve"> </w:t>
      </w:r>
      <w:r>
        <w:rPr>
          <w:sz w:val="24"/>
        </w:rPr>
        <w:t>whichever</w:t>
      </w:r>
      <w:r>
        <w:rPr>
          <w:spacing w:val="-2"/>
          <w:sz w:val="24"/>
        </w:rPr>
        <w:t xml:space="preserve"> </w:t>
      </w:r>
      <w:r>
        <w:rPr>
          <w:sz w:val="24"/>
        </w:rPr>
        <w:t>comes</w:t>
      </w:r>
      <w:r>
        <w:rPr>
          <w:spacing w:val="-2"/>
          <w:sz w:val="24"/>
        </w:rPr>
        <w:t xml:space="preserve"> </w:t>
      </w:r>
      <w:r>
        <w:rPr>
          <w:sz w:val="24"/>
        </w:rPr>
        <w:t>first.</w:t>
      </w:r>
    </w:p>
    <w:p w14:paraId="01D230F4" w14:textId="77777777" w:rsidR="00595CFD" w:rsidRDefault="0094154F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before="124" w:line="280" w:lineRule="auto"/>
        <w:ind w:right="692"/>
        <w:rPr>
          <w:sz w:val="24"/>
        </w:rPr>
      </w:pPr>
      <w:r>
        <w:rPr>
          <w:sz w:val="24"/>
        </w:rPr>
        <w:t>Provided they have had a high-quality colonoscopy within the previous five years,</w:t>
      </w:r>
      <w:r>
        <w:rPr>
          <w:spacing w:val="-64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then participate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 NBSP 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years.</w:t>
      </w:r>
    </w:p>
    <w:p w14:paraId="01D230F5" w14:textId="77777777" w:rsidR="00595CFD" w:rsidRDefault="0094154F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before="130" w:line="285" w:lineRule="auto"/>
        <w:ind w:right="119"/>
        <w:rPr>
          <w:sz w:val="24"/>
        </w:rPr>
      </w:pPr>
      <w:r>
        <w:rPr>
          <w:sz w:val="24"/>
        </w:rPr>
        <w:t>If aged over 60 years and the previous surveillance colonoscopy documented polyps</w:t>
      </w:r>
      <w:r>
        <w:rPr>
          <w:spacing w:val="1"/>
          <w:sz w:val="24"/>
        </w:rPr>
        <w:t xml:space="preserve"> </w:t>
      </w:r>
      <w:r>
        <w:rPr>
          <w:sz w:val="24"/>
        </w:rPr>
        <w:t>that require further colonoscopy surveillance, continue with this surveillance in line with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the </w:t>
      </w:r>
      <w:r>
        <w:rPr>
          <w:i/>
          <w:sz w:val="24"/>
        </w:rPr>
        <w:t>Update on Polyp Surveillance Guidelines 2020</w:t>
      </w:r>
      <w:r>
        <w:rPr>
          <w:sz w:val="24"/>
        </w:rPr>
        <w:t>.</w:t>
      </w:r>
      <w:hyperlink w:anchor="_bookmark8" w:history="1">
        <w:r>
          <w:rPr>
            <w:position w:val="8"/>
            <w:sz w:val="16"/>
          </w:rPr>
          <w:t xml:space="preserve">4 </w:t>
        </w:r>
      </w:hyperlink>
      <w:r>
        <w:rPr>
          <w:sz w:val="24"/>
        </w:rPr>
        <w:t>When colonoscopy surveillance is</w:t>
      </w:r>
      <w:r>
        <w:rPr>
          <w:spacing w:val="-64"/>
          <w:sz w:val="24"/>
        </w:rPr>
        <w:t xml:space="preserve"> </w:t>
      </w:r>
      <w:r>
        <w:rPr>
          <w:sz w:val="24"/>
        </w:rPr>
        <w:t>no longer</w:t>
      </w:r>
      <w:r>
        <w:rPr>
          <w:spacing w:val="-1"/>
          <w:sz w:val="24"/>
        </w:rPr>
        <w:t xml:space="preserve"> </w:t>
      </w:r>
      <w:r>
        <w:rPr>
          <w:sz w:val="24"/>
        </w:rPr>
        <w:t>indicated,</w:t>
      </w:r>
      <w:r>
        <w:rPr>
          <w:spacing w:val="-1"/>
          <w:sz w:val="24"/>
        </w:rPr>
        <w:t xml:space="preserve"> </w:t>
      </w:r>
      <w:r>
        <w:rPr>
          <w:sz w:val="24"/>
        </w:rPr>
        <w:t>return</w:t>
      </w:r>
      <w:r>
        <w:rPr>
          <w:spacing w:val="1"/>
          <w:sz w:val="24"/>
        </w:rPr>
        <w:t xml:space="preserve"> </w:t>
      </w:r>
      <w:r>
        <w:rPr>
          <w:sz w:val="24"/>
        </w:rPr>
        <w:t>these 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NBSP.</w:t>
      </w:r>
    </w:p>
    <w:p w14:paraId="01D230F6" w14:textId="77777777" w:rsidR="00595CFD" w:rsidRDefault="0094154F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before="121" w:line="283" w:lineRule="auto"/>
        <w:ind w:right="339"/>
        <w:rPr>
          <w:sz w:val="24"/>
        </w:rPr>
      </w:pPr>
      <w:r>
        <w:rPr>
          <w:sz w:val="24"/>
        </w:rPr>
        <w:t>Individuals should make healthy lifestyle choices</w:t>
      </w:r>
      <w:hyperlink w:anchor="_bookmark9" w:history="1">
        <w:r>
          <w:rPr>
            <w:position w:val="8"/>
            <w:sz w:val="16"/>
          </w:rPr>
          <w:t xml:space="preserve">5 </w:t>
        </w:r>
      </w:hyperlink>
      <w:r>
        <w:rPr>
          <w:sz w:val="24"/>
        </w:rPr>
        <w:t>and report any bowel symptoms to</w:t>
      </w:r>
      <w:r>
        <w:rPr>
          <w:spacing w:val="-6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provider.</w:t>
      </w:r>
    </w:p>
    <w:p w14:paraId="01D230F7" w14:textId="77777777" w:rsidR="00595CFD" w:rsidRDefault="0094154F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before="127" w:line="285" w:lineRule="auto"/>
        <w:ind w:right="212"/>
        <w:rPr>
          <w:sz w:val="24"/>
        </w:rPr>
      </w:pPr>
      <w:r>
        <w:rPr>
          <w:sz w:val="24"/>
        </w:rPr>
        <w:t>All the above recommendations apply to Māori and Pacific people in this category,</w:t>
      </w:r>
      <w:r>
        <w:rPr>
          <w:spacing w:val="1"/>
          <w:sz w:val="24"/>
        </w:rPr>
        <w:t xml:space="preserve"> </w:t>
      </w:r>
      <w:r>
        <w:rPr>
          <w:sz w:val="24"/>
        </w:rPr>
        <w:t>even though the age of eligibility for participating in the NBSP has been lowered from</w:t>
      </w:r>
      <w:r>
        <w:rPr>
          <w:spacing w:val="1"/>
          <w:sz w:val="24"/>
        </w:rPr>
        <w:t xml:space="preserve"> </w:t>
      </w:r>
      <w:r>
        <w:rPr>
          <w:sz w:val="24"/>
        </w:rPr>
        <w:t>60 to 50 years for Māori and Pacific (i.e. Māori and Pacific continue their colonoscopic</w:t>
      </w:r>
      <w:r>
        <w:rPr>
          <w:spacing w:val="-64"/>
          <w:sz w:val="24"/>
        </w:rPr>
        <w:t xml:space="preserve"> </w:t>
      </w:r>
      <w:r>
        <w:rPr>
          <w:sz w:val="24"/>
        </w:rPr>
        <w:t>surveillance</w:t>
      </w:r>
      <w:r>
        <w:rPr>
          <w:spacing w:val="-2"/>
          <w:sz w:val="24"/>
        </w:rPr>
        <w:t xml:space="preserve"> </w:t>
      </w:r>
      <w:r>
        <w:rPr>
          <w:sz w:val="24"/>
        </w:rPr>
        <w:t>until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rather</w:t>
      </w:r>
      <w:r>
        <w:rPr>
          <w:spacing w:val="-1"/>
          <w:sz w:val="24"/>
        </w:rPr>
        <w:t xml:space="preserve"> </w:t>
      </w:r>
      <w:r>
        <w:rPr>
          <w:sz w:val="24"/>
        </w:rPr>
        <w:t>joining NBSP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years).</w:t>
      </w:r>
    </w:p>
    <w:p w14:paraId="01D230F8" w14:textId="77777777" w:rsidR="00595CFD" w:rsidRDefault="00595CFD">
      <w:pPr>
        <w:pStyle w:val="BodyText"/>
        <w:rPr>
          <w:sz w:val="26"/>
        </w:rPr>
      </w:pPr>
    </w:p>
    <w:p w14:paraId="01D230F9" w14:textId="77777777" w:rsidR="00595CFD" w:rsidRDefault="00595CFD">
      <w:pPr>
        <w:pStyle w:val="BodyText"/>
        <w:rPr>
          <w:sz w:val="26"/>
        </w:rPr>
      </w:pPr>
    </w:p>
    <w:p w14:paraId="01D230FA" w14:textId="77777777" w:rsidR="00595CFD" w:rsidRDefault="00595CFD">
      <w:pPr>
        <w:pStyle w:val="BodyText"/>
        <w:rPr>
          <w:sz w:val="26"/>
        </w:rPr>
      </w:pPr>
    </w:p>
    <w:p w14:paraId="01D230FB" w14:textId="77777777" w:rsidR="00595CFD" w:rsidRDefault="00595CFD">
      <w:pPr>
        <w:pStyle w:val="BodyText"/>
        <w:spacing w:before="11"/>
        <w:rPr>
          <w:sz w:val="30"/>
        </w:rPr>
      </w:pPr>
    </w:p>
    <w:p w14:paraId="01D230FC" w14:textId="77777777" w:rsidR="00595CFD" w:rsidRDefault="0094154F">
      <w:pPr>
        <w:ind w:left="283" w:right="220" w:hanging="171"/>
        <w:rPr>
          <w:sz w:val="20"/>
        </w:rPr>
      </w:pPr>
      <w:bookmarkStart w:id="12" w:name="_bookmark8"/>
      <w:bookmarkEnd w:id="12"/>
      <w:r>
        <w:rPr>
          <w:position w:val="6"/>
          <w:sz w:val="13"/>
        </w:rPr>
        <w:t xml:space="preserve">4 </w:t>
      </w:r>
      <w:r>
        <w:rPr>
          <w:sz w:val="20"/>
        </w:rPr>
        <w:t xml:space="preserve">Te Aho o Te Kahu. 2020. </w:t>
      </w:r>
      <w:r>
        <w:rPr>
          <w:i/>
          <w:sz w:val="20"/>
        </w:rPr>
        <w:t>Update on Polyp Surveillance Guidelines 2020</w:t>
      </w:r>
      <w:r>
        <w:rPr>
          <w:sz w:val="20"/>
        </w:rPr>
        <w:t>. Wellington: Te Aho o Te Kahu in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partnership with the Ministry of Health. URL: </w:t>
      </w:r>
      <w:hyperlink r:id="rId17">
        <w:r>
          <w:rPr>
            <w:b/>
            <w:sz w:val="20"/>
            <w:u w:val="single"/>
          </w:rPr>
          <w:t>www.health.govt.nz/publication/update-polyp-</w:t>
        </w:r>
      </w:hyperlink>
      <w:r>
        <w:rPr>
          <w:b/>
          <w:spacing w:val="1"/>
          <w:sz w:val="20"/>
        </w:rPr>
        <w:t xml:space="preserve"> </w:t>
      </w:r>
      <w:hyperlink r:id="rId18">
        <w:r>
          <w:rPr>
            <w:b/>
            <w:sz w:val="20"/>
            <w:u w:val="single"/>
          </w:rPr>
          <w:t>surveillance-guidelines-2020</w:t>
        </w:r>
        <w:r>
          <w:rPr>
            <w:b/>
            <w:spacing w:val="-2"/>
            <w:sz w:val="20"/>
          </w:rPr>
          <w:t xml:space="preserve"> </w:t>
        </w:r>
      </w:hyperlink>
      <w:r>
        <w:rPr>
          <w:sz w:val="20"/>
        </w:rPr>
        <w:t>(accessed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2022).</w:t>
      </w:r>
    </w:p>
    <w:p w14:paraId="01D230FD" w14:textId="77777777" w:rsidR="00595CFD" w:rsidRDefault="0094154F">
      <w:pPr>
        <w:ind w:left="283" w:right="135" w:hanging="171"/>
        <w:rPr>
          <w:sz w:val="20"/>
        </w:rPr>
      </w:pPr>
      <w:bookmarkStart w:id="13" w:name="_bookmark9"/>
      <w:bookmarkEnd w:id="13"/>
      <w:r>
        <w:rPr>
          <w:position w:val="6"/>
          <w:sz w:val="13"/>
        </w:rPr>
        <w:t xml:space="preserve">5 </w:t>
      </w:r>
      <w:r>
        <w:rPr>
          <w:sz w:val="20"/>
        </w:rPr>
        <w:t xml:space="preserve">HealthEd. 2021. </w:t>
      </w:r>
      <w:r>
        <w:rPr>
          <w:i/>
          <w:sz w:val="20"/>
        </w:rPr>
        <w:t>Healthy Eating, Active Living</w:t>
      </w:r>
      <w:r>
        <w:rPr>
          <w:sz w:val="20"/>
        </w:rPr>
        <w:t>. Wellington: Ministry of Health and Te Hiringa Hauora, Health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Promotion Agency. URL: </w:t>
      </w:r>
      <w:hyperlink r:id="rId19">
        <w:r>
          <w:rPr>
            <w:b/>
            <w:sz w:val="20"/>
            <w:u w:val="single"/>
          </w:rPr>
          <w:t>www.healthed.govt.nz/resource/healthy-eating-active-living</w:t>
        </w:r>
        <w:r>
          <w:rPr>
            <w:b/>
            <w:sz w:val="20"/>
          </w:rPr>
          <w:t xml:space="preserve"> </w:t>
        </w:r>
      </w:hyperlink>
      <w:r>
        <w:rPr>
          <w:sz w:val="20"/>
        </w:rPr>
        <w:t>(accessed 10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2022).</w:t>
      </w:r>
    </w:p>
    <w:p w14:paraId="01D230FE" w14:textId="77777777" w:rsidR="00595CFD" w:rsidRDefault="00595CFD">
      <w:pPr>
        <w:rPr>
          <w:sz w:val="20"/>
        </w:rPr>
        <w:sectPr w:rsidR="00595CFD">
          <w:pgSz w:w="11910" w:h="16840"/>
          <w:pgMar w:top="1060" w:right="1020" w:bottom="1260" w:left="1020" w:header="0" w:footer="1066" w:gutter="0"/>
          <w:cols w:space="720"/>
        </w:sectPr>
      </w:pPr>
    </w:p>
    <w:p w14:paraId="01D230FF" w14:textId="77777777" w:rsidR="00595CFD" w:rsidRDefault="0094154F">
      <w:pPr>
        <w:pStyle w:val="Heading1"/>
        <w:spacing w:line="288" w:lineRule="auto"/>
        <w:ind w:right="176"/>
      </w:pPr>
      <w:bookmarkStart w:id="14" w:name="Category_3:_Individuals_with_a_potential"/>
      <w:bookmarkStart w:id="15" w:name="_bookmark10"/>
      <w:bookmarkEnd w:id="14"/>
      <w:bookmarkEnd w:id="15"/>
      <w:r>
        <w:rPr>
          <w:color w:val="1C2448"/>
        </w:rPr>
        <w:lastRenderedPageBreak/>
        <w:t>Category 3: Individuals with</w:t>
      </w:r>
      <w:r>
        <w:rPr>
          <w:color w:val="1C2448"/>
          <w:spacing w:val="-198"/>
        </w:rPr>
        <w:t xml:space="preserve"> </w:t>
      </w:r>
      <w:r>
        <w:rPr>
          <w:color w:val="1C2448"/>
        </w:rPr>
        <w:t>a potentially high risk of</w:t>
      </w:r>
      <w:r>
        <w:rPr>
          <w:color w:val="1C2448"/>
          <w:spacing w:val="1"/>
        </w:rPr>
        <w:t xml:space="preserve"> </w:t>
      </w:r>
      <w:r>
        <w:rPr>
          <w:color w:val="1C2448"/>
        </w:rPr>
        <w:t>CRC</w:t>
      </w:r>
    </w:p>
    <w:p w14:paraId="01D23100" w14:textId="77777777" w:rsidR="00595CFD" w:rsidRDefault="0094154F">
      <w:pPr>
        <w:pStyle w:val="BodyText"/>
        <w:spacing w:before="122"/>
        <w:ind w:left="112"/>
      </w:pPr>
      <w:r>
        <w:t>Individuals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category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b/>
        </w:rPr>
        <w:t>one</w:t>
      </w:r>
      <w:r>
        <w:rPr>
          <w:b/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b/>
        </w:rPr>
        <w:t>more</w:t>
      </w:r>
      <w:r>
        <w:rPr>
          <w:b/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01D23101" w14:textId="77777777" w:rsidR="00595CFD" w:rsidRDefault="00595CFD">
      <w:pPr>
        <w:pStyle w:val="BodyText"/>
        <w:spacing w:before="8"/>
        <w:rPr>
          <w:sz w:val="25"/>
        </w:rPr>
      </w:pPr>
    </w:p>
    <w:p w14:paraId="01D23102" w14:textId="77777777" w:rsidR="00595CFD" w:rsidRDefault="0094154F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before="0" w:line="283" w:lineRule="auto"/>
        <w:ind w:right="277"/>
        <w:rPr>
          <w:sz w:val="24"/>
        </w:rPr>
      </w:pPr>
      <w:r>
        <w:rPr>
          <w:sz w:val="24"/>
        </w:rPr>
        <w:t>a family/whānau history of familial adenomatous polyposis (FAP), Lynch syndrome or</w:t>
      </w:r>
      <w:r>
        <w:rPr>
          <w:spacing w:val="-6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familial CRC syndromes</w:t>
      </w:r>
    </w:p>
    <w:p w14:paraId="01D23103" w14:textId="77777777" w:rsidR="00595CFD" w:rsidRDefault="0094154F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before="127" w:line="283" w:lineRule="auto"/>
        <w:ind w:right="478"/>
        <w:rPr>
          <w:sz w:val="24"/>
        </w:rPr>
      </w:pPr>
      <w:r>
        <w:rPr>
          <w:sz w:val="24"/>
        </w:rPr>
        <w:t>one first-degree relative plus two or more first- or second-degree relatives all on the</w:t>
      </w:r>
      <w:r>
        <w:rPr>
          <w:spacing w:val="-64"/>
          <w:sz w:val="24"/>
        </w:rPr>
        <w:t xml:space="preserve"> </w:t>
      </w:r>
      <w:r>
        <w:rPr>
          <w:sz w:val="24"/>
        </w:rPr>
        <w:t>same</w:t>
      </w:r>
      <w:r>
        <w:rPr>
          <w:spacing w:val="-2"/>
          <w:sz w:val="24"/>
        </w:rPr>
        <w:t xml:space="preserve"> </w:t>
      </w:r>
      <w:r>
        <w:rPr>
          <w:sz w:val="24"/>
        </w:rPr>
        <w:t>side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family/whānau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diagnosis</w:t>
      </w:r>
      <w:r>
        <w:rPr>
          <w:spacing w:val="-1"/>
          <w:sz w:val="24"/>
        </w:rPr>
        <w:t xml:space="preserve"> </w:t>
      </w:r>
      <w:r>
        <w:rPr>
          <w:sz w:val="24"/>
        </w:rPr>
        <w:t>of CRC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age</w:t>
      </w:r>
    </w:p>
    <w:p w14:paraId="01D23104" w14:textId="77777777" w:rsidR="00595CFD" w:rsidRDefault="0094154F">
      <w:pPr>
        <w:pStyle w:val="ListParagraph"/>
        <w:numPr>
          <w:ilvl w:val="0"/>
          <w:numId w:val="1"/>
        </w:numPr>
        <w:tabs>
          <w:tab w:val="left" w:pos="538"/>
        </w:tabs>
        <w:spacing w:before="126" w:line="285" w:lineRule="auto"/>
        <w:ind w:right="238"/>
        <w:jc w:val="both"/>
        <w:rPr>
          <w:sz w:val="24"/>
        </w:rPr>
      </w:pPr>
      <w:r>
        <w:rPr>
          <w:sz w:val="24"/>
        </w:rPr>
        <w:t>two first-degree relatives, or one first-degree relative plus one or more second-degree</w:t>
      </w:r>
      <w:r>
        <w:rPr>
          <w:spacing w:val="-64"/>
          <w:sz w:val="24"/>
        </w:rPr>
        <w:t xml:space="preserve"> </w:t>
      </w:r>
      <w:r>
        <w:rPr>
          <w:sz w:val="24"/>
        </w:rPr>
        <w:t>relatives, all on the same side of the family/whānau with a diagnosis of CRC, and one</w:t>
      </w:r>
      <w:r>
        <w:rPr>
          <w:spacing w:val="-64"/>
          <w:sz w:val="24"/>
        </w:rPr>
        <w:t xml:space="preserve"> </w:t>
      </w:r>
      <w:r>
        <w:rPr>
          <w:sz w:val="24"/>
        </w:rPr>
        <w:t>such relative:</w:t>
      </w:r>
    </w:p>
    <w:p w14:paraId="01D23105" w14:textId="77777777" w:rsidR="00595CFD" w:rsidRDefault="0094154F">
      <w:pPr>
        <w:pStyle w:val="ListParagraph"/>
        <w:numPr>
          <w:ilvl w:val="1"/>
          <w:numId w:val="1"/>
        </w:numPr>
        <w:tabs>
          <w:tab w:val="left" w:pos="963"/>
        </w:tabs>
        <w:spacing w:before="124"/>
        <w:ind w:hanging="426"/>
        <w:jc w:val="both"/>
        <w:rPr>
          <w:sz w:val="24"/>
        </w:rPr>
      </w:pP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diagnosed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CRC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aged</w:t>
      </w:r>
      <w:r>
        <w:rPr>
          <w:spacing w:val="-3"/>
          <w:sz w:val="24"/>
        </w:rPr>
        <w:t xml:space="preserve"> </w:t>
      </w:r>
      <w:r>
        <w:rPr>
          <w:sz w:val="24"/>
        </w:rPr>
        <w:t>54</w:t>
      </w:r>
      <w:r>
        <w:rPr>
          <w:spacing w:val="-3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under,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</w:p>
    <w:p w14:paraId="01D23106" w14:textId="77777777" w:rsidR="00595CFD" w:rsidRDefault="0094154F">
      <w:pPr>
        <w:pStyle w:val="ListParagraph"/>
        <w:numPr>
          <w:ilvl w:val="1"/>
          <w:numId w:val="1"/>
        </w:numPr>
        <w:tabs>
          <w:tab w:val="left" w:pos="963"/>
        </w:tabs>
        <w:spacing w:before="172"/>
        <w:ind w:hanging="426"/>
        <w:jc w:val="both"/>
        <w:rPr>
          <w:sz w:val="24"/>
        </w:rPr>
      </w:pPr>
      <w:r>
        <w:rPr>
          <w:sz w:val="24"/>
        </w:rPr>
        <w:t>developed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bowel</w:t>
      </w:r>
      <w:r>
        <w:rPr>
          <w:spacing w:val="-2"/>
          <w:sz w:val="24"/>
        </w:rPr>
        <w:t xml:space="preserve"> </w:t>
      </w:r>
      <w:r>
        <w:rPr>
          <w:sz w:val="24"/>
        </w:rPr>
        <w:t>cancers,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</w:p>
    <w:p w14:paraId="01D23107" w14:textId="77777777" w:rsidR="00595CFD" w:rsidRDefault="0094154F">
      <w:pPr>
        <w:pStyle w:val="ListParagraph"/>
        <w:numPr>
          <w:ilvl w:val="1"/>
          <w:numId w:val="1"/>
        </w:numPr>
        <w:tabs>
          <w:tab w:val="left" w:pos="962"/>
          <w:tab w:val="left" w:pos="963"/>
        </w:tabs>
        <w:spacing w:line="283" w:lineRule="auto"/>
        <w:ind w:right="200"/>
        <w:rPr>
          <w:sz w:val="24"/>
        </w:rPr>
      </w:pPr>
      <w:r>
        <w:rPr>
          <w:sz w:val="24"/>
        </w:rPr>
        <w:t>developed an extracolonic tumour suggestive of Lynch syndrome (ie, endometrial,</w:t>
      </w:r>
      <w:r>
        <w:rPr>
          <w:spacing w:val="-64"/>
          <w:sz w:val="24"/>
        </w:rPr>
        <w:t xml:space="preserve"> </w:t>
      </w:r>
      <w:r>
        <w:rPr>
          <w:sz w:val="24"/>
        </w:rPr>
        <w:t>ovarian,</w:t>
      </w:r>
      <w:r>
        <w:rPr>
          <w:spacing w:val="-1"/>
          <w:sz w:val="24"/>
        </w:rPr>
        <w:t xml:space="preserve"> </w:t>
      </w:r>
      <w:r>
        <w:rPr>
          <w:sz w:val="24"/>
        </w:rPr>
        <w:t>stomach, small</w:t>
      </w:r>
      <w:r>
        <w:rPr>
          <w:spacing w:val="-1"/>
          <w:sz w:val="24"/>
        </w:rPr>
        <w:t xml:space="preserve"> </w:t>
      </w:r>
      <w:r>
        <w:rPr>
          <w:sz w:val="24"/>
        </w:rPr>
        <w:t>bowel, renal pelvis, pancreas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brain)</w:t>
      </w:r>
    </w:p>
    <w:p w14:paraId="01D23108" w14:textId="77777777" w:rsidR="00595CFD" w:rsidRDefault="0094154F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before="126" w:line="285" w:lineRule="auto"/>
        <w:ind w:right="319"/>
        <w:rPr>
          <w:sz w:val="24"/>
        </w:rPr>
      </w:pPr>
      <w:r>
        <w:rPr>
          <w:sz w:val="24"/>
        </w:rPr>
        <w:t>a first-degree relative with CRC diagnosed under the age of 50, where colorectal</w:t>
      </w:r>
      <w:r>
        <w:rPr>
          <w:spacing w:val="1"/>
          <w:sz w:val="24"/>
        </w:rPr>
        <w:t xml:space="preserve"> </w:t>
      </w:r>
      <w:r>
        <w:rPr>
          <w:sz w:val="24"/>
        </w:rPr>
        <w:t>tumour immunohistochemistry has revealed loss of protein expression for one of the</w:t>
      </w:r>
      <w:r>
        <w:rPr>
          <w:spacing w:val="1"/>
          <w:sz w:val="24"/>
        </w:rPr>
        <w:t xml:space="preserve"> </w:t>
      </w:r>
      <w:r>
        <w:rPr>
          <w:sz w:val="24"/>
        </w:rPr>
        <w:t>mismatch repair genes (ie, MLH1, MSH2, MSH6 or PMS2) and further testing (BRAF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methylation)</w:t>
      </w:r>
      <w:r>
        <w:rPr>
          <w:spacing w:val="-1"/>
          <w:sz w:val="24"/>
        </w:rPr>
        <w:t xml:space="preserve"> </w:t>
      </w:r>
      <w:r>
        <w:rPr>
          <w:sz w:val="24"/>
        </w:rPr>
        <w:t>raises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possibility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Lynch</w:t>
      </w:r>
      <w:r>
        <w:rPr>
          <w:spacing w:val="-1"/>
          <w:sz w:val="24"/>
        </w:rPr>
        <w:t xml:space="preserve"> </w:t>
      </w:r>
      <w:r>
        <w:rPr>
          <w:sz w:val="24"/>
        </w:rPr>
        <w:t>syndrome</w:t>
      </w:r>
    </w:p>
    <w:p w14:paraId="01D23109" w14:textId="77777777" w:rsidR="00595CFD" w:rsidRDefault="0094154F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before="124" w:line="285" w:lineRule="auto"/>
        <w:ind w:right="160"/>
        <w:rPr>
          <w:sz w:val="24"/>
        </w:rPr>
      </w:pPr>
      <w:r>
        <w:rPr>
          <w:sz w:val="24"/>
        </w:rPr>
        <w:t>at least one first- or second-degree family/whānau member diagnosed with CRC in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 with multiple bowel polyps (10 or more adenomas at one time or 5 or more</w:t>
      </w:r>
      <w:r>
        <w:rPr>
          <w:spacing w:val="-64"/>
          <w:sz w:val="24"/>
        </w:rPr>
        <w:t xml:space="preserve"> </w:t>
      </w:r>
      <w:r>
        <w:rPr>
          <w:sz w:val="24"/>
        </w:rPr>
        <w:t>advanced adenomas at one time, or 20 cumulative adenomas, 10 cumulative</w:t>
      </w:r>
      <w:r>
        <w:rPr>
          <w:spacing w:val="1"/>
          <w:sz w:val="24"/>
        </w:rPr>
        <w:t xml:space="preserve"> </w:t>
      </w:r>
      <w:r>
        <w:rPr>
          <w:sz w:val="24"/>
        </w:rPr>
        <w:t>adenomas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patient is</w:t>
      </w:r>
      <w:r>
        <w:rPr>
          <w:spacing w:val="-1"/>
          <w:sz w:val="24"/>
        </w:rPr>
        <w:t xml:space="preserve"> </w:t>
      </w:r>
      <w:r>
        <w:rPr>
          <w:sz w:val="24"/>
        </w:rPr>
        <w:t>aged</w:t>
      </w:r>
      <w:r>
        <w:rPr>
          <w:spacing w:val="-2"/>
          <w:sz w:val="24"/>
        </w:rPr>
        <w:t xml:space="preserve"> </w:t>
      </w:r>
      <w:r>
        <w:rPr>
          <w:sz w:val="24"/>
        </w:rPr>
        <w:t>30 years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younger)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polyposis</w:t>
      </w:r>
      <w:r>
        <w:rPr>
          <w:spacing w:val="-3"/>
          <w:sz w:val="24"/>
        </w:rPr>
        <w:t xml:space="preserve"> </w:t>
      </w:r>
      <w:r>
        <w:rPr>
          <w:sz w:val="24"/>
        </w:rPr>
        <w:t>syndrome</w:t>
      </w:r>
    </w:p>
    <w:p w14:paraId="01D2310A" w14:textId="77777777" w:rsidR="00595CFD" w:rsidRDefault="0094154F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before="127" w:line="285" w:lineRule="auto"/>
        <w:ind w:right="359"/>
        <w:rPr>
          <w:sz w:val="24"/>
        </w:rPr>
      </w:pPr>
      <w:r>
        <w:rPr>
          <w:sz w:val="24"/>
        </w:rPr>
        <w:t>a first-degree relative with multiple colonic polyps (10 or more adenomas at one time</w:t>
      </w:r>
      <w:r>
        <w:rPr>
          <w:spacing w:val="-64"/>
          <w:sz w:val="24"/>
        </w:rPr>
        <w:t xml:space="preserve"> </w:t>
      </w:r>
      <w:r>
        <w:rPr>
          <w:sz w:val="24"/>
        </w:rPr>
        <w:t>or 5 or more advanced adenomas at one time, or 20 cumulative adenomas, or 10</w:t>
      </w:r>
      <w:r>
        <w:rPr>
          <w:spacing w:val="1"/>
          <w:sz w:val="24"/>
        </w:rPr>
        <w:t xml:space="preserve"> </w:t>
      </w:r>
      <w:r>
        <w:rPr>
          <w:sz w:val="24"/>
        </w:rPr>
        <w:t>cumulative</w:t>
      </w:r>
      <w:r>
        <w:rPr>
          <w:spacing w:val="-2"/>
          <w:sz w:val="24"/>
        </w:rPr>
        <w:t xml:space="preserve"> </w:t>
      </w:r>
      <w:r>
        <w:rPr>
          <w:sz w:val="24"/>
        </w:rPr>
        <w:t>adenomas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relative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aged</w:t>
      </w:r>
      <w:r>
        <w:rPr>
          <w:spacing w:val="-1"/>
          <w:sz w:val="24"/>
        </w:rPr>
        <w:t xml:space="preserve"> </w:t>
      </w:r>
      <w:r>
        <w:rPr>
          <w:sz w:val="24"/>
        </w:rPr>
        <w:t>30 years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younger).</w:t>
      </w:r>
    </w:p>
    <w:p w14:paraId="01D2310B" w14:textId="77777777" w:rsidR="00595CFD" w:rsidRDefault="00595CFD">
      <w:pPr>
        <w:pStyle w:val="BodyText"/>
        <w:rPr>
          <w:sz w:val="26"/>
        </w:rPr>
      </w:pPr>
    </w:p>
    <w:p w14:paraId="01D2310C" w14:textId="77777777" w:rsidR="00595CFD" w:rsidRDefault="0094154F">
      <w:pPr>
        <w:pStyle w:val="Heading2"/>
        <w:spacing w:before="184"/>
      </w:pPr>
      <w:bookmarkStart w:id="16" w:name="Recommendations"/>
      <w:bookmarkStart w:id="17" w:name="_bookmark11"/>
      <w:bookmarkEnd w:id="16"/>
      <w:bookmarkEnd w:id="17"/>
      <w:r>
        <w:rPr>
          <w:color w:val="1C2448"/>
        </w:rPr>
        <w:t>Recommendations</w:t>
      </w:r>
    </w:p>
    <w:p w14:paraId="01D2310D" w14:textId="77777777" w:rsidR="00595CFD" w:rsidRDefault="0094154F">
      <w:pPr>
        <w:pStyle w:val="ListParagraph"/>
        <w:numPr>
          <w:ilvl w:val="0"/>
          <w:numId w:val="1"/>
        </w:numPr>
        <w:tabs>
          <w:tab w:val="left" w:pos="538"/>
        </w:tabs>
        <w:spacing w:before="231" w:line="280" w:lineRule="auto"/>
        <w:ind w:right="321"/>
        <w:jc w:val="both"/>
        <w:rPr>
          <w:sz w:val="24"/>
        </w:rPr>
      </w:pPr>
      <w:r>
        <w:rPr>
          <w:sz w:val="24"/>
        </w:rPr>
        <w:t>Refer individuals either to the New Zealand Familial GI Cancer Service (NZFGCS) or</w:t>
      </w:r>
      <w:r>
        <w:rPr>
          <w:spacing w:val="-64"/>
          <w:sz w:val="24"/>
        </w:rPr>
        <w:t xml:space="preserve"> </w:t>
      </w:r>
      <w:r>
        <w:rPr>
          <w:sz w:val="24"/>
        </w:rPr>
        <w:t>to a</w:t>
      </w:r>
      <w:r>
        <w:rPr>
          <w:spacing w:val="-1"/>
          <w:sz w:val="24"/>
        </w:rPr>
        <w:t xml:space="preserve"> </w:t>
      </w:r>
      <w:r>
        <w:rPr>
          <w:sz w:val="24"/>
        </w:rPr>
        <w:t>genetic service for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accurate risk assessment.</w:t>
      </w:r>
    </w:p>
    <w:p w14:paraId="01D2310E" w14:textId="77777777" w:rsidR="00595CFD" w:rsidRDefault="00595CFD">
      <w:pPr>
        <w:spacing w:line="280" w:lineRule="auto"/>
        <w:jc w:val="both"/>
        <w:rPr>
          <w:sz w:val="24"/>
        </w:rPr>
        <w:sectPr w:rsidR="00595CFD">
          <w:pgSz w:w="11910" w:h="16840"/>
          <w:pgMar w:top="1060" w:right="1020" w:bottom="1260" w:left="1020" w:header="0" w:footer="1066" w:gutter="0"/>
          <w:cols w:space="720"/>
        </w:sectPr>
      </w:pPr>
    </w:p>
    <w:p w14:paraId="01D2310F" w14:textId="77777777" w:rsidR="00595CFD" w:rsidRDefault="0094154F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before="75" w:line="283" w:lineRule="auto"/>
        <w:ind w:right="292"/>
        <w:rPr>
          <w:sz w:val="24"/>
        </w:rPr>
      </w:pPr>
      <w:r>
        <w:rPr>
          <w:sz w:val="24"/>
        </w:rPr>
        <w:lastRenderedPageBreak/>
        <w:t>Follow the colonoscopy surveillance plan advised by the NZFGCS, genetic service or</w:t>
      </w:r>
      <w:r>
        <w:rPr>
          <w:spacing w:val="-64"/>
          <w:sz w:val="24"/>
        </w:rPr>
        <w:t xml:space="preserve"> </w:t>
      </w:r>
      <w:r>
        <w:rPr>
          <w:sz w:val="24"/>
        </w:rPr>
        <w:t>bowel</w:t>
      </w:r>
      <w:r>
        <w:rPr>
          <w:spacing w:val="-1"/>
          <w:sz w:val="24"/>
        </w:rPr>
        <w:t xml:space="preserve"> </w:t>
      </w:r>
      <w:r>
        <w:rPr>
          <w:sz w:val="24"/>
        </w:rPr>
        <w:t>cancer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specialist.</w:t>
      </w:r>
    </w:p>
    <w:p w14:paraId="01D23110" w14:textId="77777777" w:rsidR="00595CFD" w:rsidRDefault="0094154F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before="127" w:line="283" w:lineRule="auto"/>
        <w:ind w:right="339"/>
        <w:rPr>
          <w:sz w:val="24"/>
        </w:rPr>
      </w:pPr>
      <w:r>
        <w:rPr>
          <w:sz w:val="24"/>
        </w:rPr>
        <w:t>Individuals should make healthy lifestyle choices</w:t>
      </w:r>
      <w:hyperlink w:anchor="_bookmark12" w:history="1">
        <w:r>
          <w:rPr>
            <w:position w:val="8"/>
            <w:sz w:val="16"/>
          </w:rPr>
          <w:t xml:space="preserve">6 </w:t>
        </w:r>
      </w:hyperlink>
      <w:r>
        <w:rPr>
          <w:sz w:val="24"/>
        </w:rPr>
        <w:t>and report any bowel symptoms to</w:t>
      </w:r>
      <w:r>
        <w:rPr>
          <w:spacing w:val="-6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provider.</w:t>
      </w:r>
    </w:p>
    <w:p w14:paraId="01D23111" w14:textId="77777777" w:rsidR="00595CFD" w:rsidRDefault="00595CFD">
      <w:pPr>
        <w:pStyle w:val="BodyText"/>
        <w:rPr>
          <w:sz w:val="26"/>
        </w:rPr>
      </w:pPr>
    </w:p>
    <w:p w14:paraId="01D23112" w14:textId="77777777" w:rsidR="00595CFD" w:rsidRDefault="00595CFD">
      <w:pPr>
        <w:pStyle w:val="BodyText"/>
        <w:rPr>
          <w:sz w:val="26"/>
        </w:rPr>
      </w:pPr>
    </w:p>
    <w:p w14:paraId="01D23113" w14:textId="77777777" w:rsidR="00595CFD" w:rsidRDefault="00595CFD">
      <w:pPr>
        <w:pStyle w:val="BodyText"/>
        <w:rPr>
          <w:sz w:val="26"/>
        </w:rPr>
      </w:pPr>
    </w:p>
    <w:p w14:paraId="01D23114" w14:textId="77777777" w:rsidR="00595CFD" w:rsidRDefault="00595CFD">
      <w:pPr>
        <w:pStyle w:val="BodyText"/>
        <w:rPr>
          <w:sz w:val="26"/>
        </w:rPr>
      </w:pPr>
    </w:p>
    <w:p w14:paraId="01D23115" w14:textId="77777777" w:rsidR="00595CFD" w:rsidRDefault="00595CFD">
      <w:pPr>
        <w:pStyle w:val="BodyText"/>
        <w:rPr>
          <w:sz w:val="26"/>
        </w:rPr>
      </w:pPr>
    </w:p>
    <w:p w14:paraId="01D23116" w14:textId="77777777" w:rsidR="00595CFD" w:rsidRDefault="00595CFD">
      <w:pPr>
        <w:pStyle w:val="BodyText"/>
        <w:rPr>
          <w:sz w:val="26"/>
        </w:rPr>
      </w:pPr>
    </w:p>
    <w:p w14:paraId="01D23117" w14:textId="77777777" w:rsidR="00595CFD" w:rsidRDefault="00595CFD">
      <w:pPr>
        <w:pStyle w:val="BodyText"/>
        <w:rPr>
          <w:sz w:val="26"/>
        </w:rPr>
      </w:pPr>
    </w:p>
    <w:p w14:paraId="01D23118" w14:textId="77777777" w:rsidR="00595CFD" w:rsidRDefault="00595CFD">
      <w:pPr>
        <w:pStyle w:val="BodyText"/>
        <w:rPr>
          <w:sz w:val="26"/>
        </w:rPr>
      </w:pPr>
    </w:p>
    <w:p w14:paraId="01D23119" w14:textId="77777777" w:rsidR="00595CFD" w:rsidRDefault="00595CFD">
      <w:pPr>
        <w:pStyle w:val="BodyText"/>
        <w:rPr>
          <w:sz w:val="26"/>
        </w:rPr>
      </w:pPr>
    </w:p>
    <w:p w14:paraId="01D2311A" w14:textId="77777777" w:rsidR="00595CFD" w:rsidRDefault="00595CFD">
      <w:pPr>
        <w:pStyle w:val="BodyText"/>
        <w:rPr>
          <w:sz w:val="26"/>
        </w:rPr>
      </w:pPr>
    </w:p>
    <w:p w14:paraId="01D2311B" w14:textId="77777777" w:rsidR="00595CFD" w:rsidRDefault="00595CFD">
      <w:pPr>
        <w:pStyle w:val="BodyText"/>
        <w:rPr>
          <w:sz w:val="26"/>
        </w:rPr>
      </w:pPr>
    </w:p>
    <w:p w14:paraId="01D2311C" w14:textId="77777777" w:rsidR="00595CFD" w:rsidRDefault="00595CFD">
      <w:pPr>
        <w:pStyle w:val="BodyText"/>
        <w:rPr>
          <w:sz w:val="26"/>
        </w:rPr>
      </w:pPr>
    </w:p>
    <w:p w14:paraId="01D2311D" w14:textId="77777777" w:rsidR="00595CFD" w:rsidRDefault="00595CFD">
      <w:pPr>
        <w:pStyle w:val="BodyText"/>
        <w:rPr>
          <w:sz w:val="26"/>
        </w:rPr>
      </w:pPr>
    </w:p>
    <w:p w14:paraId="01D2311E" w14:textId="77777777" w:rsidR="00595CFD" w:rsidRDefault="00595CFD">
      <w:pPr>
        <w:pStyle w:val="BodyText"/>
        <w:rPr>
          <w:sz w:val="26"/>
        </w:rPr>
      </w:pPr>
    </w:p>
    <w:p w14:paraId="01D2311F" w14:textId="77777777" w:rsidR="00595CFD" w:rsidRDefault="00595CFD">
      <w:pPr>
        <w:pStyle w:val="BodyText"/>
        <w:rPr>
          <w:sz w:val="26"/>
        </w:rPr>
      </w:pPr>
    </w:p>
    <w:p w14:paraId="01D23120" w14:textId="77777777" w:rsidR="00595CFD" w:rsidRDefault="00595CFD">
      <w:pPr>
        <w:pStyle w:val="BodyText"/>
        <w:rPr>
          <w:sz w:val="26"/>
        </w:rPr>
      </w:pPr>
    </w:p>
    <w:p w14:paraId="01D23121" w14:textId="77777777" w:rsidR="00595CFD" w:rsidRDefault="00595CFD">
      <w:pPr>
        <w:pStyle w:val="BodyText"/>
        <w:rPr>
          <w:sz w:val="26"/>
        </w:rPr>
      </w:pPr>
    </w:p>
    <w:p w14:paraId="01D23122" w14:textId="77777777" w:rsidR="00595CFD" w:rsidRDefault="00595CFD">
      <w:pPr>
        <w:pStyle w:val="BodyText"/>
        <w:rPr>
          <w:sz w:val="26"/>
        </w:rPr>
      </w:pPr>
    </w:p>
    <w:p w14:paraId="01D23123" w14:textId="77777777" w:rsidR="00595CFD" w:rsidRDefault="00595CFD">
      <w:pPr>
        <w:pStyle w:val="BodyText"/>
        <w:rPr>
          <w:sz w:val="26"/>
        </w:rPr>
      </w:pPr>
    </w:p>
    <w:p w14:paraId="01D23124" w14:textId="77777777" w:rsidR="00595CFD" w:rsidRDefault="00595CFD">
      <w:pPr>
        <w:pStyle w:val="BodyText"/>
        <w:rPr>
          <w:sz w:val="26"/>
        </w:rPr>
      </w:pPr>
    </w:p>
    <w:p w14:paraId="01D23125" w14:textId="77777777" w:rsidR="00595CFD" w:rsidRDefault="00595CFD">
      <w:pPr>
        <w:pStyle w:val="BodyText"/>
        <w:rPr>
          <w:sz w:val="26"/>
        </w:rPr>
      </w:pPr>
    </w:p>
    <w:p w14:paraId="01D23126" w14:textId="77777777" w:rsidR="00595CFD" w:rsidRDefault="00595CFD">
      <w:pPr>
        <w:pStyle w:val="BodyText"/>
        <w:rPr>
          <w:sz w:val="26"/>
        </w:rPr>
      </w:pPr>
    </w:p>
    <w:p w14:paraId="01D23127" w14:textId="77777777" w:rsidR="00595CFD" w:rsidRDefault="00595CFD">
      <w:pPr>
        <w:pStyle w:val="BodyText"/>
        <w:rPr>
          <w:sz w:val="26"/>
        </w:rPr>
      </w:pPr>
    </w:p>
    <w:p w14:paraId="01D23128" w14:textId="77777777" w:rsidR="00595CFD" w:rsidRDefault="00595CFD">
      <w:pPr>
        <w:pStyle w:val="BodyText"/>
        <w:rPr>
          <w:sz w:val="26"/>
        </w:rPr>
      </w:pPr>
    </w:p>
    <w:p w14:paraId="01D23129" w14:textId="77777777" w:rsidR="00595CFD" w:rsidRDefault="00595CFD">
      <w:pPr>
        <w:pStyle w:val="BodyText"/>
        <w:rPr>
          <w:sz w:val="26"/>
        </w:rPr>
      </w:pPr>
    </w:p>
    <w:p w14:paraId="01D2312A" w14:textId="77777777" w:rsidR="00595CFD" w:rsidRDefault="00595CFD">
      <w:pPr>
        <w:pStyle w:val="BodyText"/>
        <w:rPr>
          <w:sz w:val="26"/>
        </w:rPr>
      </w:pPr>
    </w:p>
    <w:p w14:paraId="01D2312B" w14:textId="77777777" w:rsidR="00595CFD" w:rsidRDefault="00595CFD">
      <w:pPr>
        <w:pStyle w:val="BodyText"/>
        <w:rPr>
          <w:sz w:val="26"/>
        </w:rPr>
      </w:pPr>
    </w:p>
    <w:p w14:paraId="01D2312C" w14:textId="77777777" w:rsidR="00595CFD" w:rsidRDefault="00595CFD">
      <w:pPr>
        <w:pStyle w:val="BodyText"/>
        <w:rPr>
          <w:sz w:val="26"/>
        </w:rPr>
      </w:pPr>
    </w:p>
    <w:p w14:paraId="01D2312D" w14:textId="77777777" w:rsidR="00595CFD" w:rsidRDefault="00595CFD">
      <w:pPr>
        <w:pStyle w:val="BodyText"/>
        <w:rPr>
          <w:sz w:val="26"/>
        </w:rPr>
      </w:pPr>
    </w:p>
    <w:p w14:paraId="01D2312E" w14:textId="77777777" w:rsidR="00595CFD" w:rsidRDefault="00595CFD">
      <w:pPr>
        <w:pStyle w:val="BodyText"/>
        <w:rPr>
          <w:sz w:val="26"/>
        </w:rPr>
      </w:pPr>
    </w:p>
    <w:p w14:paraId="01D2312F" w14:textId="77777777" w:rsidR="00595CFD" w:rsidRDefault="00595CFD">
      <w:pPr>
        <w:pStyle w:val="BodyText"/>
        <w:rPr>
          <w:sz w:val="26"/>
        </w:rPr>
      </w:pPr>
    </w:p>
    <w:p w14:paraId="01D23130" w14:textId="77777777" w:rsidR="00595CFD" w:rsidRDefault="00595CFD">
      <w:pPr>
        <w:pStyle w:val="BodyText"/>
        <w:rPr>
          <w:sz w:val="26"/>
        </w:rPr>
      </w:pPr>
    </w:p>
    <w:p w14:paraId="01D23131" w14:textId="77777777" w:rsidR="00595CFD" w:rsidRDefault="00595CFD">
      <w:pPr>
        <w:pStyle w:val="BodyText"/>
        <w:rPr>
          <w:sz w:val="26"/>
        </w:rPr>
      </w:pPr>
    </w:p>
    <w:p w14:paraId="01D23132" w14:textId="77777777" w:rsidR="00595CFD" w:rsidRDefault="00595CFD">
      <w:pPr>
        <w:pStyle w:val="BodyText"/>
        <w:rPr>
          <w:sz w:val="26"/>
        </w:rPr>
      </w:pPr>
    </w:p>
    <w:p w14:paraId="01D23133" w14:textId="77777777" w:rsidR="00595CFD" w:rsidRDefault="00595CFD">
      <w:pPr>
        <w:pStyle w:val="BodyText"/>
        <w:rPr>
          <w:sz w:val="26"/>
        </w:rPr>
      </w:pPr>
    </w:p>
    <w:p w14:paraId="01D23134" w14:textId="77777777" w:rsidR="00595CFD" w:rsidRDefault="00595CFD">
      <w:pPr>
        <w:pStyle w:val="BodyText"/>
        <w:rPr>
          <w:sz w:val="26"/>
        </w:rPr>
      </w:pPr>
    </w:p>
    <w:p w14:paraId="01D23135" w14:textId="77777777" w:rsidR="00595CFD" w:rsidRDefault="00595CFD">
      <w:pPr>
        <w:pStyle w:val="BodyText"/>
        <w:rPr>
          <w:sz w:val="26"/>
        </w:rPr>
      </w:pPr>
    </w:p>
    <w:p w14:paraId="01D23136" w14:textId="77777777" w:rsidR="00595CFD" w:rsidRDefault="00595CFD">
      <w:pPr>
        <w:pStyle w:val="BodyText"/>
        <w:rPr>
          <w:sz w:val="26"/>
        </w:rPr>
      </w:pPr>
    </w:p>
    <w:p w14:paraId="01D23137" w14:textId="77777777" w:rsidR="00595CFD" w:rsidRDefault="00595CFD">
      <w:pPr>
        <w:pStyle w:val="BodyText"/>
        <w:rPr>
          <w:sz w:val="26"/>
        </w:rPr>
      </w:pPr>
    </w:p>
    <w:p w14:paraId="01D23138" w14:textId="77777777" w:rsidR="00595CFD" w:rsidRDefault="00595CFD">
      <w:pPr>
        <w:pStyle w:val="BodyText"/>
        <w:rPr>
          <w:sz w:val="36"/>
        </w:rPr>
      </w:pPr>
    </w:p>
    <w:p w14:paraId="01D23139" w14:textId="77777777" w:rsidR="00595CFD" w:rsidRDefault="0094154F">
      <w:pPr>
        <w:spacing w:before="1"/>
        <w:ind w:left="283" w:right="135" w:hanging="171"/>
        <w:rPr>
          <w:sz w:val="20"/>
        </w:rPr>
      </w:pPr>
      <w:bookmarkStart w:id="18" w:name="_bookmark12"/>
      <w:bookmarkEnd w:id="18"/>
      <w:r>
        <w:rPr>
          <w:position w:val="6"/>
          <w:sz w:val="13"/>
        </w:rPr>
        <w:t xml:space="preserve">6 </w:t>
      </w:r>
      <w:r>
        <w:rPr>
          <w:sz w:val="20"/>
        </w:rPr>
        <w:t xml:space="preserve">HealthEd. 2021. </w:t>
      </w:r>
      <w:r>
        <w:rPr>
          <w:i/>
          <w:sz w:val="20"/>
        </w:rPr>
        <w:t>Healthy Eating, Active Living</w:t>
      </w:r>
      <w:r>
        <w:rPr>
          <w:sz w:val="20"/>
        </w:rPr>
        <w:t>. Wellington: Ministry of Health and Te Hiringa Hauora, Health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Promotion Agency. URL: </w:t>
      </w:r>
      <w:hyperlink r:id="rId20">
        <w:r>
          <w:rPr>
            <w:b/>
            <w:sz w:val="20"/>
            <w:u w:val="single"/>
          </w:rPr>
          <w:t>www.healthed.govt.nz/resource/healthy-eating-active-living</w:t>
        </w:r>
        <w:r>
          <w:rPr>
            <w:b/>
            <w:sz w:val="20"/>
          </w:rPr>
          <w:t xml:space="preserve"> </w:t>
        </w:r>
      </w:hyperlink>
      <w:r>
        <w:rPr>
          <w:sz w:val="20"/>
        </w:rPr>
        <w:t>(accessed 10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2022).</w:t>
      </w:r>
    </w:p>
    <w:sectPr w:rsidR="00595CFD">
      <w:pgSz w:w="11910" w:h="16840"/>
      <w:pgMar w:top="1040" w:right="1020" w:bottom="1260" w:left="1020" w:header="0" w:footer="10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FD71" w14:textId="77777777" w:rsidR="00BB7152" w:rsidRDefault="00BB7152">
      <w:r>
        <w:separator/>
      </w:r>
    </w:p>
  </w:endnote>
  <w:endnote w:type="continuationSeparator" w:id="0">
    <w:p w14:paraId="4F0552D0" w14:textId="77777777" w:rsidR="00BB7152" w:rsidRDefault="00BB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3142" w14:textId="7A9E5023" w:rsidR="00595CFD" w:rsidRDefault="009415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0384" behindDoc="1" locked="0" layoutInCell="1" allowOverlap="1" wp14:anchorId="01D23143" wp14:editId="6398DE8A">
              <wp:simplePos x="0" y="0"/>
              <wp:positionH relativeFrom="page">
                <wp:posOffset>701040</wp:posOffset>
              </wp:positionH>
              <wp:positionV relativeFrom="page">
                <wp:posOffset>9837420</wp:posOffset>
              </wp:positionV>
              <wp:extent cx="6156960" cy="317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960" cy="317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99D046" id="docshape1" o:spid="_x0000_s1026" style="position:absolute;margin-left:55.2pt;margin-top:774.6pt;width:484.8pt;height:.25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" fillcolor="gray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0896" behindDoc="1" locked="0" layoutInCell="1" allowOverlap="1" wp14:anchorId="01D23144" wp14:editId="086BE04D">
              <wp:simplePos x="0" y="0"/>
              <wp:positionH relativeFrom="page">
                <wp:posOffset>706755</wp:posOffset>
              </wp:positionH>
              <wp:positionV relativeFrom="page">
                <wp:posOffset>9883140</wp:posOffset>
              </wp:positionV>
              <wp:extent cx="3898265" cy="37147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826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23146" w14:textId="77777777" w:rsidR="00595CFD" w:rsidRDefault="0094154F">
                          <w:pPr>
                            <w:pStyle w:val="BodyText"/>
                            <w:spacing w:before="12"/>
                            <w:ind w:left="20" w:right="2"/>
                          </w:pPr>
                          <w:r>
                            <w:t>Update on Surveillance Recommendations for Individuals</w:t>
                          </w:r>
                          <w:r>
                            <w:rPr>
                              <w:spacing w:val="-64"/>
                            </w:rPr>
                            <w:t xml:space="preserve"> </w:t>
                          </w:r>
                          <w:r>
                            <w:t>with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 Family/Whānau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History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Colorectal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Cancer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2314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5.65pt;margin-top:778.2pt;width:306.95pt;height:29.25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" filled="f" stroked="f">
              <v:textbox inset="0,0,0,0">
                <w:txbxContent>
                  <w:p w14:paraId="01D23146" w14:textId="77777777" w:rsidR="00595CFD" w:rsidRDefault="0094154F">
                    <w:pPr>
                      <w:pStyle w:val="BodyText"/>
                      <w:spacing w:before="12"/>
                      <w:ind w:left="20" w:right="2"/>
                    </w:pPr>
                    <w:r>
                      <w:t>Update on Surveillance Recommendations for Individuals</w:t>
                    </w:r>
                    <w:r>
                      <w:rPr>
                        <w:spacing w:val="-64"/>
                      </w:rPr>
                      <w:t xml:space="preserve"> </w:t>
                    </w:r>
                    <w:r>
                      <w:t>with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 Family/Whānau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History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Colorectal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Cancer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1408" behindDoc="1" locked="0" layoutInCell="1" allowOverlap="1" wp14:anchorId="01D23145" wp14:editId="65262C9A">
              <wp:simplePos x="0" y="0"/>
              <wp:positionH relativeFrom="page">
                <wp:posOffset>6716395</wp:posOffset>
              </wp:positionH>
              <wp:positionV relativeFrom="page">
                <wp:posOffset>10058400</wp:posOffset>
              </wp:positionV>
              <wp:extent cx="173990" cy="19621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23147" w14:textId="77777777" w:rsidR="00595CFD" w:rsidRDefault="0094154F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D23145" id="docshape3" o:spid="_x0000_s1027" type="#_x0000_t202" style="position:absolute;margin-left:528.85pt;margin-top:11in;width:13.7pt;height:15.45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" filled="f" stroked="f">
              <v:textbox inset="0,0,0,0">
                <w:txbxContent>
                  <w:p w14:paraId="01D23147" w14:textId="77777777" w:rsidR="00595CFD" w:rsidRDefault="0094154F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CBCA" w14:textId="77777777" w:rsidR="00BB7152" w:rsidRDefault="00BB7152">
      <w:r>
        <w:separator/>
      </w:r>
    </w:p>
  </w:footnote>
  <w:footnote w:type="continuationSeparator" w:id="0">
    <w:p w14:paraId="551BBDDE" w14:textId="77777777" w:rsidR="00BB7152" w:rsidRDefault="00BB7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A2D76"/>
    <w:multiLevelType w:val="hybridMultilevel"/>
    <w:tmpl w:val="7BB43AA2"/>
    <w:lvl w:ilvl="0" w:tplc="CC80F0F2">
      <w:numFmt w:val="bullet"/>
      <w:lvlText w:val=""/>
      <w:lvlJc w:val="left"/>
      <w:pPr>
        <w:ind w:left="537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1" w:tplc="18D4E776">
      <w:numFmt w:val="bullet"/>
      <w:lvlText w:val=""/>
      <w:lvlJc w:val="left"/>
      <w:pPr>
        <w:ind w:left="96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2" w:tplc="3CC01458">
      <w:numFmt w:val="bullet"/>
      <w:lvlText w:val="•"/>
      <w:lvlJc w:val="left"/>
      <w:pPr>
        <w:ind w:left="1949" w:hanging="425"/>
      </w:pPr>
      <w:rPr>
        <w:rFonts w:hint="default"/>
        <w:lang w:val="en-NZ" w:eastAsia="en-US" w:bidi="ar-SA"/>
      </w:rPr>
    </w:lvl>
    <w:lvl w:ilvl="3" w:tplc="E4484DB6">
      <w:numFmt w:val="bullet"/>
      <w:lvlText w:val="•"/>
      <w:lvlJc w:val="left"/>
      <w:pPr>
        <w:ind w:left="2939" w:hanging="425"/>
      </w:pPr>
      <w:rPr>
        <w:rFonts w:hint="default"/>
        <w:lang w:val="en-NZ" w:eastAsia="en-US" w:bidi="ar-SA"/>
      </w:rPr>
    </w:lvl>
    <w:lvl w:ilvl="4" w:tplc="A45C0506">
      <w:numFmt w:val="bullet"/>
      <w:lvlText w:val="•"/>
      <w:lvlJc w:val="left"/>
      <w:pPr>
        <w:ind w:left="3928" w:hanging="425"/>
      </w:pPr>
      <w:rPr>
        <w:rFonts w:hint="default"/>
        <w:lang w:val="en-NZ" w:eastAsia="en-US" w:bidi="ar-SA"/>
      </w:rPr>
    </w:lvl>
    <w:lvl w:ilvl="5" w:tplc="F9141A90">
      <w:numFmt w:val="bullet"/>
      <w:lvlText w:val="•"/>
      <w:lvlJc w:val="left"/>
      <w:pPr>
        <w:ind w:left="4918" w:hanging="425"/>
      </w:pPr>
      <w:rPr>
        <w:rFonts w:hint="default"/>
        <w:lang w:val="en-NZ" w:eastAsia="en-US" w:bidi="ar-SA"/>
      </w:rPr>
    </w:lvl>
    <w:lvl w:ilvl="6" w:tplc="563003DC">
      <w:numFmt w:val="bullet"/>
      <w:lvlText w:val="•"/>
      <w:lvlJc w:val="left"/>
      <w:pPr>
        <w:ind w:left="5908" w:hanging="425"/>
      </w:pPr>
      <w:rPr>
        <w:rFonts w:hint="default"/>
        <w:lang w:val="en-NZ" w:eastAsia="en-US" w:bidi="ar-SA"/>
      </w:rPr>
    </w:lvl>
    <w:lvl w:ilvl="7" w:tplc="53067B64">
      <w:numFmt w:val="bullet"/>
      <w:lvlText w:val="•"/>
      <w:lvlJc w:val="left"/>
      <w:pPr>
        <w:ind w:left="6897" w:hanging="425"/>
      </w:pPr>
      <w:rPr>
        <w:rFonts w:hint="default"/>
        <w:lang w:val="en-NZ" w:eastAsia="en-US" w:bidi="ar-SA"/>
      </w:rPr>
    </w:lvl>
    <w:lvl w:ilvl="8" w:tplc="23F242E4">
      <w:numFmt w:val="bullet"/>
      <w:lvlText w:val="•"/>
      <w:lvlJc w:val="left"/>
      <w:pPr>
        <w:ind w:left="7887" w:hanging="425"/>
      </w:pPr>
      <w:rPr>
        <w:rFonts w:hint="default"/>
        <w:lang w:val="en-N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FD"/>
    <w:rsid w:val="000B1D0F"/>
    <w:rsid w:val="00177FFA"/>
    <w:rsid w:val="001B316B"/>
    <w:rsid w:val="001F753D"/>
    <w:rsid w:val="00451CEF"/>
    <w:rsid w:val="00562727"/>
    <w:rsid w:val="0059063B"/>
    <w:rsid w:val="00595CFD"/>
    <w:rsid w:val="005D6EBA"/>
    <w:rsid w:val="0064093E"/>
    <w:rsid w:val="0094154F"/>
    <w:rsid w:val="009A598F"/>
    <w:rsid w:val="00BB7152"/>
    <w:rsid w:val="00C76E73"/>
    <w:rsid w:val="00DD2211"/>
    <w:rsid w:val="00D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23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NZ"/>
    </w:rPr>
  </w:style>
  <w:style w:type="paragraph" w:styleId="Heading1">
    <w:name w:val="heading 1"/>
    <w:basedOn w:val="Normal"/>
    <w:uiPriority w:val="9"/>
    <w:qFormat/>
    <w:pPr>
      <w:spacing w:before="53"/>
      <w:ind w:left="112"/>
      <w:outlineLvl w:val="0"/>
    </w:pPr>
    <w:rPr>
      <w:b/>
      <w:bCs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spacing w:before="181"/>
      <w:ind w:left="112"/>
      <w:outlineLvl w:val="1"/>
    </w:pPr>
    <w:rPr>
      <w:b/>
      <w:bCs/>
      <w:sz w:val="48"/>
      <w:szCs w:val="48"/>
    </w:rPr>
  </w:style>
  <w:style w:type="paragraph" w:styleId="Heading3">
    <w:name w:val="heading 3"/>
    <w:basedOn w:val="Normal"/>
    <w:uiPriority w:val="9"/>
    <w:unhideWhenUsed/>
    <w:qFormat/>
    <w:pPr>
      <w:spacing w:before="164"/>
      <w:ind w:left="112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uiPriority w:val="9"/>
    <w:unhideWhenUsed/>
    <w:qFormat/>
    <w:pPr>
      <w:spacing w:before="75"/>
      <w:ind w:left="112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uiPriority w:val="9"/>
    <w:unhideWhenUsed/>
    <w:qFormat/>
    <w:pPr>
      <w:spacing w:before="174"/>
      <w:ind w:left="537" w:hanging="426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96"/>
      <w:ind w:left="112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75"/>
      <w:ind w:left="352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4"/>
      <w:ind w:left="537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1C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CEF"/>
    <w:rPr>
      <w:rFonts w:ascii="Arial" w:eastAsia="Arial" w:hAnsi="Arial" w:cs="Arial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451C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CEF"/>
    <w:rPr>
      <w:rFonts w:ascii="Arial" w:eastAsia="Arial" w:hAnsi="Arial" w:cs="Arial"/>
      <w:lang w:val="en-NZ"/>
    </w:rPr>
  </w:style>
  <w:style w:type="character" w:customStyle="1" w:styleId="normaltextrun">
    <w:name w:val="normaltextrun"/>
    <w:basedOn w:val="DefaultParagraphFont"/>
    <w:rsid w:val="001B316B"/>
  </w:style>
  <w:style w:type="character" w:customStyle="1" w:styleId="eop">
    <w:name w:val="eop"/>
    <w:basedOn w:val="DefaultParagraphFont"/>
    <w:rsid w:val="001B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www.health.govt.nz/publication/update-polyp-surveillance-guidelines-202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health.govt.nz/publication/update-polyp-surveillance-guidelines-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ealthed.govt.nz/resource/healthy-eating-active-living" TargetMode="External"/><Relationship Id="rId20" Type="http://schemas.openxmlformats.org/officeDocument/2006/relationships/hyperlink" Target="http://www.healthed.govt.nz/resource/healthy-eating-active-liv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whatuora.govt.n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alth.govt.nz/publication/update-polyp-surveillance-guidelines-2020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healthed.govt.nz/resource/healthy-eating-active-liv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health.govt.nz/publication/update-polyp-surveillance-guidelines-20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911DB-BE28-43B1-92F6-D64016C3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1513</Words>
  <Characters>8625</Characters>
  <Application>Microsoft Office Word</Application>
  <DocSecurity>0</DocSecurity>
  <Lines>71</Lines>
  <Paragraphs>20</Paragraphs>
  <ScaleCrop>false</ScaleCrop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2023-09-17T21:21:00Z</dcterms:created>
  <dcterms:modified xsi:type="dcterms:W3CDTF">2023-09-17T21:23:00Z</dcterms:modified>
</cp:coreProperties>
</file>