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3433"/>
        <w:gridCol w:w="2125"/>
        <w:gridCol w:w="2374"/>
      </w:tblGrid>
      <w:tr w:rsidR="00661742" w:rsidRPr="00715ABD" w:rsidTr="00E86B4B"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715ABD" w:rsidRDefault="00661742" w:rsidP="00E86B4B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>
              <w:rPr>
                <w:rFonts w:ascii="Arial Mäori" w:hAnsi="Arial Mäori" w:cs="Arial Mäori"/>
                <w:noProof/>
                <w:sz w:val="32"/>
                <w:szCs w:val="32"/>
                <w:lang w:eastAsia="en-NZ"/>
              </w:rPr>
              <w:drawing>
                <wp:inline distT="0" distB="0" distL="0" distR="0">
                  <wp:extent cx="718820" cy="598805"/>
                  <wp:effectExtent l="0" t="0" r="5080" b="0"/>
                  <wp:docPr id="1" name="Picture 1" descr="MO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0" t="3407" r="63995" b="24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598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715ABD" w:rsidRDefault="00661742" w:rsidP="00E86B4B">
            <w:pPr>
              <w:tabs>
                <w:tab w:val="left" w:pos="1260"/>
              </w:tabs>
              <w:spacing w:before="120" w:after="120"/>
              <w:rPr>
                <w:rFonts w:ascii="Arial" w:hAnsi="Arial" w:cs="Arial"/>
              </w:rPr>
            </w:pPr>
            <w:r w:rsidRPr="00715ABD">
              <w:rPr>
                <w:rFonts w:ascii="Arial Mäori" w:hAnsi="Arial Mäori" w:cs="Arial Mäori"/>
                <w:sz w:val="32"/>
                <w:szCs w:val="32"/>
              </w:rPr>
              <w:t>Ministry of Health Aide Memoire</w:t>
            </w:r>
          </w:p>
        </w:tc>
      </w:tr>
      <w:tr w:rsidR="00661742" w:rsidRPr="00715ABD" w:rsidTr="00E86B4B"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DE08FE" w:rsidRDefault="00661742" w:rsidP="00E86B4B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DE08FE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DE08FE" w:rsidRDefault="00661742" w:rsidP="00E86B4B">
            <w:pPr>
              <w:tabs>
                <w:tab w:val="left" w:pos="1260"/>
              </w:tabs>
              <w:spacing w:before="120" w:after="120"/>
              <w:rPr>
                <w:rFonts w:ascii="Arial" w:hAnsi="Arial" w:cs="Arial"/>
                <w:b/>
              </w:rPr>
            </w:pPr>
            <w:r w:rsidRPr="00DE08FE">
              <w:rPr>
                <w:rFonts w:ascii="Arial" w:hAnsi="Arial" w:cs="Arial"/>
              </w:rPr>
              <w:t xml:space="preserve">Hon Tony </w:t>
            </w:r>
            <w:proofErr w:type="spellStart"/>
            <w:r w:rsidRPr="00DE08FE">
              <w:rPr>
                <w:rFonts w:ascii="Arial" w:hAnsi="Arial" w:cs="Arial"/>
              </w:rPr>
              <w:t>Ryall</w:t>
            </w:r>
            <w:proofErr w:type="spellEnd"/>
            <w:r w:rsidRPr="00DE08FE">
              <w:rPr>
                <w:rFonts w:ascii="Arial" w:hAnsi="Arial" w:cs="Arial"/>
              </w:rPr>
              <w:t>, Minister of Health</w:t>
            </w:r>
          </w:p>
        </w:tc>
      </w:tr>
      <w:tr w:rsidR="00661742" w:rsidRPr="00715ABD" w:rsidTr="00E86B4B"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715ABD" w:rsidRDefault="00661742" w:rsidP="00E86B4B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715ABD">
              <w:rPr>
                <w:rFonts w:ascii="Arial" w:hAnsi="Arial" w:cs="Arial"/>
                <w:b/>
              </w:rPr>
              <w:t>From: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715ABD" w:rsidRDefault="00661742" w:rsidP="00E86B4B">
            <w:pPr>
              <w:tabs>
                <w:tab w:val="left" w:pos="126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Stuart Powell</w:t>
            </w:r>
          </w:p>
        </w:tc>
      </w:tr>
      <w:tr w:rsidR="00661742" w:rsidRPr="00715ABD" w:rsidTr="00E86B4B"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715ABD" w:rsidRDefault="00661742" w:rsidP="00E86B4B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715ABD">
              <w:rPr>
                <w:rFonts w:ascii="Arial" w:hAnsi="Arial" w:cs="Arial"/>
                <w:b/>
              </w:rPr>
              <w:t>Date: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715ABD" w:rsidRDefault="00661742" w:rsidP="00BF534C">
            <w:pPr>
              <w:tabs>
                <w:tab w:val="left" w:pos="126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June 2013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715ABD" w:rsidRDefault="00661742" w:rsidP="00E86B4B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715ABD">
              <w:rPr>
                <w:rFonts w:ascii="Arial" w:hAnsi="Arial" w:cs="Arial"/>
                <w:b/>
              </w:rPr>
              <w:t>Report number: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742" w:rsidRPr="00715ABD" w:rsidRDefault="00661742" w:rsidP="00E86B4B">
            <w:pPr>
              <w:tabs>
                <w:tab w:val="left" w:pos="126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20130474</w:t>
            </w:r>
          </w:p>
        </w:tc>
      </w:tr>
      <w:tr w:rsidR="00661742" w:rsidRPr="00715ABD" w:rsidTr="00E86B4B"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742" w:rsidRPr="00DE08FE" w:rsidRDefault="00661742" w:rsidP="00661742">
            <w:pPr>
              <w:pStyle w:val="Heading1"/>
            </w:pPr>
            <w:bookmarkStart w:id="0" w:name="_GoBack"/>
            <w:r w:rsidRPr="00DE08FE">
              <w:t xml:space="preserve">National </w:t>
            </w:r>
            <w:proofErr w:type="spellStart"/>
            <w:r w:rsidRPr="00DE08FE">
              <w:t>Telehealth</w:t>
            </w:r>
            <w:proofErr w:type="spellEnd"/>
            <w:r w:rsidRPr="00DE08FE">
              <w:t xml:space="preserve"> </w:t>
            </w:r>
            <w:r w:rsidRPr="00661742">
              <w:t>Services</w:t>
            </w:r>
            <w:r w:rsidRPr="00DE08FE">
              <w:t xml:space="preserve"> Programme</w:t>
            </w:r>
            <w:bookmarkEnd w:id="0"/>
          </w:p>
        </w:tc>
      </w:tr>
    </w:tbl>
    <w:p w:rsidR="00A75425" w:rsidRDefault="007920F1"/>
    <w:p w:rsidR="00661742" w:rsidRDefault="00661742" w:rsidP="00661742">
      <w:pPr>
        <w:pStyle w:val="Heading2"/>
      </w:pPr>
      <w:r w:rsidRPr="00661742">
        <w:t>Purpose</w:t>
      </w:r>
      <w:r w:rsidRPr="001C6ABD">
        <w:t xml:space="preserve"> </w:t>
      </w:r>
    </w:p>
    <w:p w:rsidR="00661742" w:rsidRPr="00E3657D" w:rsidRDefault="00661742" w:rsidP="00661742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This Aide Memoire provides you with information on the </w:t>
      </w:r>
      <w:r w:rsidRPr="00E3657D">
        <w:rPr>
          <w:rFonts w:ascii="Arial" w:hAnsi="Arial" w:cs="Arial"/>
          <w:bCs/>
          <w:iCs/>
        </w:rPr>
        <w:t xml:space="preserve">National </w:t>
      </w:r>
      <w:proofErr w:type="spellStart"/>
      <w:r w:rsidRPr="00E3657D">
        <w:rPr>
          <w:rFonts w:ascii="Arial" w:hAnsi="Arial" w:cs="Arial"/>
          <w:bCs/>
          <w:iCs/>
        </w:rPr>
        <w:t>Telehealth</w:t>
      </w:r>
      <w:proofErr w:type="spellEnd"/>
      <w:r w:rsidRPr="00E3657D">
        <w:rPr>
          <w:rFonts w:ascii="Arial" w:hAnsi="Arial" w:cs="Arial"/>
          <w:bCs/>
          <w:iCs/>
        </w:rPr>
        <w:t xml:space="preserve"> Services Programme</w:t>
      </w:r>
      <w:r>
        <w:rPr>
          <w:rFonts w:ascii="Arial" w:hAnsi="Arial" w:cs="Arial"/>
        </w:rPr>
        <w:t xml:space="preserve"> Cabinet paper that will be considered by the Social Policy Committee on Wednesday 26 June 2013.</w:t>
      </w:r>
    </w:p>
    <w:p w:rsidR="00661742" w:rsidRPr="006348A4" w:rsidRDefault="00661742" w:rsidP="00661742">
      <w:pPr>
        <w:pStyle w:val="Heading2"/>
      </w:pPr>
      <w:r w:rsidRPr="006348A4">
        <w:t xml:space="preserve">Advice </w:t>
      </w:r>
    </w:p>
    <w:p w:rsidR="00661742" w:rsidRPr="00DE08FE" w:rsidRDefault="00661742" w:rsidP="0066174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This paper is delivering on the </w:t>
      </w:r>
      <w:r w:rsidRPr="00DE08FE">
        <w:rPr>
          <w:rFonts w:ascii="Arial" w:hAnsi="Arial" w:cs="Arial"/>
        </w:rPr>
        <w:t xml:space="preserve">2011 manifesto, to roll </w:t>
      </w:r>
      <w:r w:rsidRPr="00DE08FE">
        <w:rPr>
          <w:rFonts w:ascii="Arial" w:hAnsi="Arial" w:cs="Arial"/>
          <w:lang w:val="x-none"/>
        </w:rPr>
        <w:t>out a comprehensive telephone advice service</w:t>
      </w:r>
      <w:r>
        <w:rPr>
          <w:rFonts w:ascii="Arial" w:hAnsi="Arial" w:cs="Arial"/>
        </w:rPr>
        <w:t xml:space="preserve"> and </w:t>
      </w:r>
      <w:r w:rsidRPr="00DE08FE">
        <w:rPr>
          <w:rFonts w:ascii="Arial" w:hAnsi="Arial" w:cs="Arial"/>
        </w:rPr>
        <w:t xml:space="preserve">asks Cabinet to agree to develop a national </w:t>
      </w:r>
      <w:proofErr w:type="spellStart"/>
      <w:r w:rsidRPr="00DE08FE">
        <w:rPr>
          <w:rFonts w:ascii="Arial" w:hAnsi="Arial" w:cs="Arial"/>
        </w:rPr>
        <w:t>telehealth</w:t>
      </w:r>
      <w:proofErr w:type="spellEnd"/>
      <w:r w:rsidRPr="00DE08FE">
        <w:rPr>
          <w:rFonts w:ascii="Arial" w:hAnsi="Arial" w:cs="Arial"/>
        </w:rPr>
        <w:t xml:space="preserve"> service that will:</w:t>
      </w:r>
    </w:p>
    <w:p w:rsidR="00661742" w:rsidRPr="00DE08FE" w:rsidRDefault="00661742" w:rsidP="00661742">
      <w:pPr>
        <w:numPr>
          <w:ilvl w:val="0"/>
          <w:numId w:val="1"/>
        </w:numPr>
        <w:spacing w:before="120" w:after="120"/>
        <w:rPr>
          <w:rFonts w:ascii="Arial" w:hAnsi="Arial" w:cs="Arial"/>
          <w:lang w:val="x-none"/>
        </w:rPr>
      </w:pPr>
      <w:r w:rsidRPr="00DE08FE">
        <w:rPr>
          <w:rFonts w:ascii="Arial" w:hAnsi="Arial" w:cs="Arial"/>
        </w:rPr>
        <w:t xml:space="preserve">Provide the public with better access to high quality health information and improved sign posting to appropriate local services.  It will offer an enhanced range of services e.g. </w:t>
      </w:r>
      <w:r w:rsidRPr="00DE08FE">
        <w:rPr>
          <w:rFonts w:ascii="Arial" w:hAnsi="Arial" w:cs="Arial"/>
          <w:lang w:val="x-none"/>
        </w:rPr>
        <w:t>smart phone</w:t>
      </w:r>
      <w:r w:rsidRPr="00DE08FE">
        <w:rPr>
          <w:rFonts w:ascii="Arial" w:hAnsi="Arial" w:cs="Arial"/>
        </w:rPr>
        <w:t xml:space="preserve"> apps, a </w:t>
      </w:r>
      <w:r w:rsidRPr="00DE08FE">
        <w:rPr>
          <w:rFonts w:ascii="Arial" w:hAnsi="Arial" w:cs="Arial"/>
          <w:lang w:val="x-none"/>
        </w:rPr>
        <w:t>symptom checker and communication via text and email.</w:t>
      </w:r>
      <w:r w:rsidRPr="00DE08FE">
        <w:rPr>
          <w:rFonts w:ascii="Arial" w:hAnsi="Arial" w:cs="Arial"/>
        </w:rPr>
        <w:t xml:space="preserve"> </w:t>
      </w:r>
    </w:p>
    <w:p w:rsidR="00661742" w:rsidRDefault="00661742" w:rsidP="0066174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DE08FE">
        <w:rPr>
          <w:rFonts w:ascii="Arial" w:hAnsi="Arial" w:cs="Arial"/>
        </w:rPr>
        <w:t xml:space="preserve">Have significant benefits in </w:t>
      </w:r>
      <w:r w:rsidRPr="00DE08FE">
        <w:rPr>
          <w:rFonts w:ascii="Arial" w:hAnsi="Arial" w:cs="Arial"/>
          <w:lang w:val="x-none"/>
        </w:rPr>
        <w:t>reduc</w:t>
      </w:r>
      <w:r w:rsidRPr="00DE08FE">
        <w:rPr>
          <w:rFonts w:ascii="Arial" w:hAnsi="Arial" w:cs="Arial"/>
        </w:rPr>
        <w:t>ing</w:t>
      </w:r>
      <w:r w:rsidRPr="00DE08FE">
        <w:rPr>
          <w:rFonts w:ascii="Arial" w:hAnsi="Arial" w:cs="Arial"/>
          <w:lang w:val="x-none"/>
        </w:rPr>
        <w:t xml:space="preserve"> pressure on</w:t>
      </w:r>
      <w:r w:rsidRPr="00DE08FE">
        <w:rPr>
          <w:rFonts w:ascii="Arial" w:hAnsi="Arial" w:cs="Arial"/>
        </w:rPr>
        <w:t xml:space="preserve"> afterhours primary care, ambulance services </w:t>
      </w:r>
      <w:r w:rsidRPr="00DE08FE">
        <w:rPr>
          <w:rFonts w:ascii="Arial" w:hAnsi="Arial" w:cs="Arial"/>
          <w:lang w:val="x-none"/>
        </w:rPr>
        <w:t xml:space="preserve">and hospital emergency departments by making </w:t>
      </w:r>
      <w:proofErr w:type="spellStart"/>
      <w:r w:rsidRPr="00DE08FE">
        <w:rPr>
          <w:rFonts w:ascii="Arial" w:hAnsi="Arial" w:cs="Arial"/>
          <w:lang w:val="x-none"/>
        </w:rPr>
        <w:t>telehealth</w:t>
      </w:r>
      <w:proofErr w:type="spellEnd"/>
      <w:r w:rsidRPr="00DE08FE">
        <w:rPr>
          <w:rFonts w:ascii="Arial" w:hAnsi="Arial" w:cs="Arial"/>
          <w:lang w:val="x-none"/>
        </w:rPr>
        <w:t xml:space="preserve"> advice more accessible</w:t>
      </w:r>
      <w:r w:rsidRPr="00DE08FE">
        <w:rPr>
          <w:rFonts w:ascii="Arial" w:hAnsi="Arial" w:cs="Arial"/>
        </w:rPr>
        <w:t>,</w:t>
      </w:r>
      <w:r w:rsidRPr="00DE08FE">
        <w:rPr>
          <w:rFonts w:ascii="Arial" w:hAnsi="Arial" w:cs="Arial"/>
          <w:lang w:val="x-none"/>
        </w:rPr>
        <w:t xml:space="preserve"> and en</w:t>
      </w:r>
      <w:r w:rsidRPr="00DE08FE">
        <w:rPr>
          <w:rFonts w:ascii="Arial" w:hAnsi="Arial" w:cs="Arial"/>
        </w:rPr>
        <w:t>couraging</w:t>
      </w:r>
      <w:r w:rsidRPr="00DE08FE">
        <w:rPr>
          <w:rFonts w:ascii="Arial" w:hAnsi="Arial" w:cs="Arial"/>
          <w:lang w:val="x-none"/>
        </w:rPr>
        <w:t xml:space="preserve"> patients</w:t>
      </w:r>
      <w:r w:rsidRPr="00DE08FE">
        <w:rPr>
          <w:rFonts w:ascii="Arial" w:hAnsi="Arial" w:cs="Arial"/>
        </w:rPr>
        <w:t xml:space="preserve"> to use community based health care services and self-care, where appropriate.</w:t>
      </w:r>
    </w:p>
    <w:p w:rsidR="00661742" w:rsidRDefault="00661742" w:rsidP="0066174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3657D">
        <w:rPr>
          <w:rFonts w:ascii="Arial" w:hAnsi="Arial" w:cs="Arial"/>
          <w:color w:val="000000"/>
        </w:rPr>
        <w:t xml:space="preserve">There are no financial implications arising from the development of the national </w:t>
      </w:r>
      <w:proofErr w:type="spellStart"/>
      <w:r w:rsidRPr="00E3657D">
        <w:rPr>
          <w:rFonts w:ascii="Arial" w:hAnsi="Arial" w:cs="Arial"/>
          <w:color w:val="000000"/>
        </w:rPr>
        <w:t>telehealth</w:t>
      </w:r>
      <w:proofErr w:type="spellEnd"/>
      <w:r w:rsidRPr="00E3657D">
        <w:rPr>
          <w:rFonts w:ascii="Arial" w:hAnsi="Arial" w:cs="Arial"/>
          <w:color w:val="000000"/>
        </w:rPr>
        <w:t xml:space="preserve"> service, which </w:t>
      </w:r>
      <w:r w:rsidRPr="00E3657D">
        <w:rPr>
          <w:rFonts w:ascii="Arial" w:hAnsi="Arial" w:cs="Arial"/>
          <w:color w:val="000000"/>
          <w:lang w:val="x-none"/>
        </w:rPr>
        <w:t xml:space="preserve">will be </w:t>
      </w:r>
      <w:r w:rsidRPr="00E3657D">
        <w:rPr>
          <w:rFonts w:ascii="Arial" w:hAnsi="Arial" w:cs="Arial"/>
          <w:color w:val="000000"/>
        </w:rPr>
        <w:t>established</w:t>
      </w:r>
      <w:r w:rsidRPr="00E3657D">
        <w:rPr>
          <w:rFonts w:ascii="Arial" w:hAnsi="Arial" w:cs="Arial"/>
          <w:color w:val="000000"/>
          <w:lang w:val="x-none"/>
        </w:rPr>
        <w:t xml:space="preserve"> out of</w:t>
      </w:r>
      <w:r w:rsidRPr="00E3657D">
        <w:rPr>
          <w:rFonts w:ascii="Arial" w:hAnsi="Arial" w:cs="Arial"/>
          <w:color w:val="000000"/>
        </w:rPr>
        <w:t xml:space="preserve"> existing</w:t>
      </w:r>
      <w:r w:rsidRPr="00E3657D">
        <w:rPr>
          <w:rFonts w:ascii="Arial" w:hAnsi="Arial" w:cs="Arial"/>
          <w:color w:val="000000"/>
          <w:lang w:val="x-none"/>
        </w:rPr>
        <w:t xml:space="preserve"> financial provisions</w:t>
      </w:r>
      <w:r w:rsidRPr="00E3657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lang w:eastAsia="en-GB"/>
        </w:rPr>
        <w:t xml:space="preserve"> </w:t>
      </w:r>
      <w:r w:rsidRPr="00E3657D">
        <w:rPr>
          <w:rFonts w:ascii="Arial" w:hAnsi="Arial" w:cs="Arial"/>
          <w:color w:val="000000"/>
        </w:rPr>
        <w:t>However, potential enhancements to this service may be considered in the future, such as the addition of General Practitioners and pharmacists.</w:t>
      </w:r>
    </w:p>
    <w:p w:rsidR="00661742" w:rsidRDefault="00661742" w:rsidP="0066174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1742" w:rsidRDefault="00661742" w:rsidP="00661742">
      <w:pPr>
        <w:autoSpaceDE w:val="0"/>
        <w:autoSpaceDN w:val="0"/>
        <w:adjustRightInd w:val="0"/>
        <w:rPr>
          <w:rFonts w:ascii="Arial" w:hAnsi="Arial" w:cs="Arial"/>
          <w:lang w:eastAsia="en-NZ"/>
        </w:rPr>
      </w:pPr>
      <w:r>
        <w:rPr>
          <w:rFonts w:ascii="Arial" w:hAnsi="Arial" w:cs="Arial"/>
          <w:color w:val="000000"/>
        </w:rPr>
        <w:t xml:space="preserve">Appendix 1 outlines how we have </w:t>
      </w:r>
      <w:r>
        <w:rPr>
          <w:rFonts w:ascii="Arial" w:hAnsi="Arial" w:cs="Arial"/>
          <w:lang w:eastAsia="en-NZ"/>
        </w:rPr>
        <w:t xml:space="preserve">considered the implications arising from </w:t>
      </w:r>
      <w:proofErr w:type="spellStart"/>
      <w:r>
        <w:rPr>
          <w:rFonts w:ascii="Arial" w:hAnsi="Arial" w:cs="Arial"/>
          <w:lang w:eastAsia="en-NZ"/>
        </w:rPr>
        <w:t>Novapay</w:t>
      </w:r>
      <w:proofErr w:type="spellEnd"/>
      <w:r>
        <w:rPr>
          <w:rFonts w:ascii="Arial" w:hAnsi="Arial" w:cs="Arial"/>
          <w:lang w:eastAsia="en-NZ"/>
        </w:rPr>
        <w:t xml:space="preserve"> and the Government’s ICT strategy in developing this proposal.</w:t>
      </w:r>
    </w:p>
    <w:p w:rsidR="00661742" w:rsidRPr="004A4EC1" w:rsidRDefault="00661742" w:rsidP="0066174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61742" w:rsidRPr="00DE08FE" w:rsidRDefault="00661742" w:rsidP="00661742">
      <w:pPr>
        <w:pStyle w:val="Heading2"/>
      </w:pPr>
      <w:r w:rsidRPr="00DE08FE">
        <w:t>Next Steps</w:t>
      </w:r>
    </w:p>
    <w:p w:rsidR="00661742" w:rsidRPr="00DE08FE" w:rsidRDefault="00661742" w:rsidP="00661742">
      <w:pPr>
        <w:spacing w:before="120" w:after="120"/>
        <w:rPr>
          <w:rFonts w:ascii="Arial" w:hAnsi="Arial" w:cs="Arial"/>
          <w:lang w:val="x-none"/>
        </w:rPr>
      </w:pPr>
      <w:r w:rsidRPr="00DE08FE">
        <w:rPr>
          <w:rFonts w:ascii="Arial" w:hAnsi="Arial" w:cs="Arial"/>
          <w:lang w:val="x-none"/>
        </w:rPr>
        <w:t xml:space="preserve">The next step is for the Ministry to test the market for a national </w:t>
      </w:r>
      <w:proofErr w:type="spellStart"/>
      <w:r w:rsidRPr="00DE08FE">
        <w:rPr>
          <w:rFonts w:ascii="Arial" w:hAnsi="Arial" w:cs="Arial"/>
          <w:lang w:val="x-none"/>
        </w:rPr>
        <w:t>telehealth</w:t>
      </w:r>
      <w:proofErr w:type="spellEnd"/>
      <w:r w:rsidRPr="00DE08FE">
        <w:rPr>
          <w:rFonts w:ascii="Arial" w:hAnsi="Arial" w:cs="Arial"/>
          <w:lang w:val="x-none"/>
        </w:rPr>
        <w:t xml:space="preserve"> service by publishing a Registration of Interest (ROI) by </w:t>
      </w:r>
      <w:r w:rsidRPr="00DE08FE">
        <w:rPr>
          <w:rFonts w:ascii="Arial" w:hAnsi="Arial" w:cs="Arial"/>
        </w:rPr>
        <w:t>the end of</w:t>
      </w:r>
      <w:r w:rsidRPr="00DE08FE">
        <w:rPr>
          <w:rFonts w:ascii="Arial" w:hAnsi="Arial" w:cs="Arial"/>
          <w:lang w:val="x-none"/>
        </w:rPr>
        <w:t xml:space="preserve"> July 2013.</w:t>
      </w:r>
      <w:r w:rsidRPr="00DE08FE">
        <w:rPr>
          <w:rFonts w:ascii="Arial" w:hAnsi="Arial" w:cs="Arial"/>
        </w:rPr>
        <w:t xml:space="preserve">  </w:t>
      </w:r>
      <w:r w:rsidRPr="00DE08FE">
        <w:rPr>
          <w:rFonts w:ascii="Arial" w:hAnsi="Arial" w:cs="Arial"/>
          <w:lang w:val="x-none"/>
        </w:rPr>
        <w:t xml:space="preserve">Ambulance 111  and </w:t>
      </w:r>
      <w:proofErr w:type="spellStart"/>
      <w:r w:rsidRPr="00DE08FE">
        <w:rPr>
          <w:rFonts w:ascii="Arial" w:hAnsi="Arial" w:cs="Arial"/>
          <w:lang w:val="x-none"/>
        </w:rPr>
        <w:t>PlunketLine</w:t>
      </w:r>
      <w:proofErr w:type="spellEnd"/>
      <w:r w:rsidRPr="00DE08FE">
        <w:rPr>
          <w:rFonts w:ascii="Arial" w:hAnsi="Arial" w:cs="Arial"/>
          <w:lang w:val="x-none"/>
        </w:rPr>
        <w:t xml:space="preserve"> services will not be included in th</w:t>
      </w:r>
      <w:r w:rsidRPr="00DE08FE">
        <w:rPr>
          <w:rFonts w:ascii="Arial" w:hAnsi="Arial" w:cs="Arial"/>
        </w:rPr>
        <w:t>is procurement process.</w:t>
      </w:r>
    </w:p>
    <w:p w:rsidR="00661742" w:rsidRPr="00DE08FE" w:rsidRDefault="00661742" w:rsidP="00661742">
      <w:pPr>
        <w:spacing w:before="120" w:after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T</w:t>
      </w:r>
      <w:r w:rsidRPr="00DE08FE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ROI is being undertaken to enable the </w:t>
      </w:r>
      <w:r w:rsidRPr="00DE08FE">
        <w:rPr>
          <w:rFonts w:ascii="Arial" w:hAnsi="Arial" w:cs="Arial"/>
        </w:rPr>
        <w:t xml:space="preserve">market to come up with a range of innovative solutions and arrangements for a national </w:t>
      </w:r>
      <w:proofErr w:type="spellStart"/>
      <w:r w:rsidRPr="00DE08FE">
        <w:rPr>
          <w:rFonts w:ascii="Arial" w:hAnsi="Arial" w:cs="Arial"/>
        </w:rPr>
        <w:t>telehealth</w:t>
      </w:r>
      <w:proofErr w:type="spellEnd"/>
      <w:r w:rsidRPr="00DE08FE">
        <w:rPr>
          <w:rFonts w:ascii="Arial" w:hAnsi="Arial" w:cs="Arial"/>
        </w:rPr>
        <w:t xml:space="preserve"> service which will deliver efficiencies through rationalising back-end functions, and improving linkages with primary care and ambulance services. </w:t>
      </w:r>
    </w:p>
    <w:p w:rsidR="00661742" w:rsidRDefault="00661742" w:rsidP="00661742">
      <w:pPr>
        <w:spacing w:before="120" w:after="120"/>
        <w:rPr>
          <w:rFonts w:ascii="Arial" w:hAnsi="Arial" w:cs="Arial"/>
        </w:rPr>
      </w:pPr>
      <w:r w:rsidRPr="00DE08FE">
        <w:rPr>
          <w:rFonts w:ascii="Arial" w:hAnsi="Arial" w:cs="Arial"/>
        </w:rPr>
        <w:t xml:space="preserve">The national </w:t>
      </w:r>
      <w:proofErr w:type="spellStart"/>
      <w:r w:rsidRPr="00DE08FE">
        <w:rPr>
          <w:rFonts w:ascii="Arial" w:hAnsi="Arial" w:cs="Arial"/>
        </w:rPr>
        <w:t>telehealth</w:t>
      </w:r>
      <w:proofErr w:type="spellEnd"/>
      <w:r w:rsidRPr="00DE08FE">
        <w:rPr>
          <w:rFonts w:ascii="Arial" w:hAnsi="Arial" w:cs="Arial"/>
        </w:rPr>
        <w:t xml:space="preserve"> service will be implemented by December 2014</w:t>
      </w:r>
      <w:r>
        <w:rPr>
          <w:rFonts w:ascii="Arial" w:hAnsi="Arial" w:cs="Arial"/>
        </w:rPr>
        <w:t>.</w:t>
      </w:r>
    </w:p>
    <w:p w:rsidR="00661742" w:rsidRDefault="00661742" w:rsidP="00661742">
      <w:pPr>
        <w:spacing w:before="120" w:after="120"/>
        <w:rPr>
          <w:rFonts w:ascii="Arial" w:hAnsi="Arial" w:cs="Arial"/>
        </w:rPr>
      </w:pPr>
    </w:p>
    <w:p w:rsidR="00661742" w:rsidRDefault="00661742" w:rsidP="00661742">
      <w:pPr>
        <w:rPr>
          <w:rFonts w:ascii="Arial" w:hAnsi="Arial" w:cs="Arial"/>
        </w:rPr>
      </w:pPr>
      <w:r w:rsidRPr="001C6ABD">
        <w:rPr>
          <w:rFonts w:ascii="Arial" w:hAnsi="Arial" w:cs="Arial"/>
          <w:b/>
        </w:rPr>
        <w:lastRenderedPageBreak/>
        <w:t>Contact person:</w:t>
      </w:r>
      <w:r w:rsidRPr="002F250C">
        <w:rPr>
          <w:rFonts w:ascii="Arial" w:hAnsi="Arial" w:cs="Arial"/>
          <w:b/>
        </w:rPr>
        <w:t xml:space="preserve"> </w:t>
      </w:r>
      <w:r w:rsidRPr="002F250C">
        <w:rPr>
          <w:rFonts w:ascii="Arial" w:hAnsi="Arial" w:cs="Arial"/>
        </w:rPr>
        <w:t xml:space="preserve">Stuart Powell, Manager, </w:t>
      </w:r>
      <w:r w:rsidRPr="002F250C">
        <w:rPr>
          <w:rFonts w:ascii="Arial" w:hAnsi="Arial" w:cs="Arial"/>
          <w:bCs/>
        </w:rPr>
        <w:t xml:space="preserve">National Health Board, National Services </w:t>
      </w:r>
      <w:proofErr w:type="gramStart"/>
      <w:r w:rsidRPr="002F250C">
        <w:rPr>
          <w:rFonts w:ascii="Arial" w:hAnsi="Arial" w:cs="Arial"/>
          <w:bCs/>
        </w:rPr>
        <w:t>Purchasing</w:t>
      </w:r>
      <w:r w:rsidRPr="002F250C">
        <w:rPr>
          <w:rFonts w:ascii="Arial" w:hAnsi="Arial" w:cs="Arial"/>
        </w:rPr>
        <w:t xml:space="preserve">  Ph</w:t>
      </w:r>
      <w:r>
        <w:rPr>
          <w:rFonts w:ascii="Arial" w:hAnsi="Arial" w:cs="Arial"/>
        </w:rPr>
        <w:t>one</w:t>
      </w:r>
      <w:proofErr w:type="gramEnd"/>
      <w:r>
        <w:rPr>
          <w:rFonts w:ascii="Arial" w:hAnsi="Arial" w:cs="Arial"/>
        </w:rPr>
        <w:t xml:space="preserve"> </w:t>
      </w:r>
      <w:r w:rsidRPr="00661742">
        <w:rPr>
          <w:rFonts w:ascii="Arial" w:hAnsi="Arial" w:cs="Arial"/>
          <w:highlight w:val="black"/>
        </w:rPr>
        <w:t>[REDACTED]</w:t>
      </w:r>
    </w:p>
    <w:p w:rsidR="00661742" w:rsidRDefault="00661742">
      <w:pPr>
        <w:spacing w:after="200" w:line="276" w:lineRule="auto"/>
        <w:rPr>
          <w:rFonts w:ascii="Arial" w:hAnsi="Arial" w:cs="Arial"/>
          <w:b/>
          <w:lang w:eastAsia="en-NZ"/>
        </w:rPr>
      </w:pPr>
      <w:r>
        <w:rPr>
          <w:lang w:eastAsia="en-NZ"/>
        </w:rPr>
        <w:br w:type="page"/>
      </w:r>
    </w:p>
    <w:p w:rsidR="00661742" w:rsidRDefault="00661742" w:rsidP="00661742">
      <w:pPr>
        <w:pStyle w:val="Heading2"/>
        <w:rPr>
          <w:lang w:eastAsia="en-NZ"/>
        </w:rPr>
      </w:pPr>
    </w:p>
    <w:p w:rsidR="00661742" w:rsidRDefault="00661742" w:rsidP="00661742">
      <w:pPr>
        <w:pStyle w:val="Heading2"/>
        <w:rPr>
          <w:lang w:eastAsia="en-NZ"/>
        </w:rPr>
      </w:pPr>
    </w:p>
    <w:p w:rsidR="00661742" w:rsidRDefault="00661742" w:rsidP="00661742">
      <w:pPr>
        <w:pStyle w:val="Heading2"/>
        <w:rPr>
          <w:lang w:eastAsia="en-NZ"/>
        </w:rPr>
      </w:pPr>
      <w:r w:rsidRPr="008A7156">
        <w:rPr>
          <w:lang w:eastAsia="en-NZ"/>
        </w:rPr>
        <w:t>APPENDIX 1</w:t>
      </w:r>
      <w:r>
        <w:rPr>
          <w:lang w:eastAsia="en-NZ"/>
        </w:rPr>
        <w:t>: NOVOPAY AND GOVERNMENT ICT STRATEGY</w:t>
      </w:r>
    </w:p>
    <w:p w:rsidR="00661742" w:rsidRPr="008A7156" w:rsidRDefault="00661742" w:rsidP="00661742">
      <w:pPr>
        <w:autoSpaceDE w:val="0"/>
        <w:autoSpaceDN w:val="0"/>
        <w:adjustRightInd w:val="0"/>
        <w:rPr>
          <w:rFonts w:ascii="Arial" w:hAnsi="Arial" w:cs="Arial"/>
          <w:b/>
          <w:lang w:eastAsia="en-NZ"/>
        </w:rPr>
      </w:pPr>
    </w:p>
    <w:p w:rsidR="00661742" w:rsidRDefault="00661742" w:rsidP="00661742">
      <w:pPr>
        <w:autoSpaceDE w:val="0"/>
        <w:autoSpaceDN w:val="0"/>
        <w:adjustRightInd w:val="0"/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 xml:space="preserve">In developing this proposal we have actively considered the lessons arising from </w:t>
      </w:r>
      <w:proofErr w:type="spellStart"/>
      <w:r>
        <w:rPr>
          <w:rFonts w:ascii="Arial" w:hAnsi="Arial" w:cs="Arial"/>
          <w:lang w:eastAsia="en-NZ"/>
        </w:rPr>
        <w:t>Novopay</w:t>
      </w:r>
      <w:proofErr w:type="spellEnd"/>
      <w:r>
        <w:rPr>
          <w:rFonts w:ascii="Arial" w:hAnsi="Arial" w:cs="Arial"/>
          <w:lang w:eastAsia="en-NZ"/>
        </w:rPr>
        <w:t xml:space="preserve"> and the implications of the recent release of the Government ICT strategy </w:t>
      </w:r>
    </w:p>
    <w:p w:rsidR="00661742" w:rsidRDefault="00661742" w:rsidP="00661742">
      <w:pPr>
        <w:autoSpaceDE w:val="0"/>
        <w:autoSpaceDN w:val="0"/>
        <w:adjustRightInd w:val="0"/>
        <w:rPr>
          <w:rFonts w:ascii="Arial" w:hAnsi="Arial" w:cs="Arial"/>
          <w:lang w:eastAsia="en-NZ"/>
        </w:rPr>
      </w:pPr>
    </w:p>
    <w:p w:rsidR="00661742" w:rsidRDefault="00661742" w:rsidP="0066174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86E0A">
        <w:rPr>
          <w:rFonts w:ascii="Arial" w:hAnsi="Arial" w:cs="Arial"/>
          <w:lang w:eastAsia="en-NZ"/>
        </w:rPr>
        <w:t xml:space="preserve">While the development of national </w:t>
      </w:r>
      <w:proofErr w:type="spellStart"/>
      <w:r w:rsidRPr="00586E0A">
        <w:rPr>
          <w:rFonts w:ascii="Arial" w:hAnsi="Arial" w:cs="Arial"/>
          <w:lang w:eastAsia="en-NZ"/>
        </w:rPr>
        <w:t>telehealth</w:t>
      </w:r>
      <w:proofErr w:type="spellEnd"/>
      <w:r w:rsidRPr="00586E0A">
        <w:rPr>
          <w:rFonts w:ascii="Arial" w:hAnsi="Arial" w:cs="Arial"/>
          <w:lang w:eastAsia="en-NZ"/>
        </w:rPr>
        <w:t xml:space="preserve"> service will </w:t>
      </w:r>
      <w:r w:rsidRPr="008A7156">
        <w:rPr>
          <w:rFonts w:ascii="Arial" w:hAnsi="Arial" w:cs="Arial"/>
          <w:i/>
          <w:lang w:eastAsia="en-NZ"/>
        </w:rPr>
        <w:t xml:space="preserve">not </w:t>
      </w:r>
      <w:r w:rsidRPr="00586E0A">
        <w:rPr>
          <w:rFonts w:ascii="Arial" w:hAnsi="Arial" w:cs="Arial"/>
          <w:lang w:eastAsia="en-NZ"/>
        </w:rPr>
        <w:t xml:space="preserve">involve the development of a large ICT project, the lessons from </w:t>
      </w:r>
      <w:proofErr w:type="spellStart"/>
      <w:r w:rsidRPr="00586E0A">
        <w:rPr>
          <w:rFonts w:ascii="Arial" w:hAnsi="Arial" w:cs="Arial"/>
          <w:lang w:eastAsia="en-NZ"/>
        </w:rPr>
        <w:t>Nov</w:t>
      </w:r>
      <w:r>
        <w:rPr>
          <w:rFonts w:ascii="Arial" w:hAnsi="Arial" w:cs="Arial"/>
          <w:lang w:eastAsia="en-NZ"/>
        </w:rPr>
        <w:t>o</w:t>
      </w:r>
      <w:r w:rsidRPr="00586E0A">
        <w:rPr>
          <w:rFonts w:ascii="Arial" w:hAnsi="Arial" w:cs="Arial"/>
          <w:lang w:eastAsia="en-NZ"/>
        </w:rPr>
        <w:t>pay</w:t>
      </w:r>
      <w:proofErr w:type="spellEnd"/>
      <w:r w:rsidRPr="00586E0A">
        <w:rPr>
          <w:rFonts w:ascii="Arial" w:hAnsi="Arial" w:cs="Arial"/>
          <w:lang w:eastAsia="en-NZ"/>
        </w:rPr>
        <w:t xml:space="preserve"> around working with users upfront to get a robust </w:t>
      </w:r>
      <w:r w:rsidRPr="00586E0A">
        <w:rPr>
          <w:rFonts w:ascii="Arial" w:hAnsi="Arial" w:cs="Arial"/>
          <w:color w:val="000000"/>
        </w:rPr>
        <w:t xml:space="preserve">service design </w:t>
      </w:r>
      <w:r>
        <w:rPr>
          <w:rFonts w:ascii="Arial" w:hAnsi="Arial" w:cs="Arial"/>
          <w:color w:val="000000"/>
        </w:rPr>
        <w:t>before proceeding have led us to:</w:t>
      </w:r>
    </w:p>
    <w:p w:rsidR="00661742" w:rsidRDefault="00661742" w:rsidP="00661742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Work with the National Health Board funded New Zealand </w:t>
      </w:r>
      <w:proofErr w:type="spellStart"/>
      <w:r>
        <w:rPr>
          <w:rFonts w:ascii="Arial" w:hAnsi="Arial" w:cs="Arial"/>
          <w:color w:val="000000"/>
        </w:rPr>
        <w:t>Telehealth</w:t>
      </w:r>
      <w:proofErr w:type="spellEnd"/>
      <w:r>
        <w:rPr>
          <w:rFonts w:ascii="Arial" w:hAnsi="Arial" w:cs="Arial"/>
          <w:color w:val="000000"/>
        </w:rPr>
        <w:t xml:space="preserve"> Forum,</w:t>
      </w:r>
    </w:p>
    <w:p w:rsidR="00661742" w:rsidRDefault="00661742" w:rsidP="00661742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review international experience and liaise with personnel involved in selected </w:t>
      </w:r>
      <w:proofErr w:type="spellStart"/>
      <w:r>
        <w:rPr>
          <w:rFonts w:ascii="Arial" w:hAnsi="Arial" w:cs="Arial"/>
          <w:color w:val="000000"/>
        </w:rPr>
        <w:t>telehealth</w:t>
      </w:r>
      <w:proofErr w:type="spellEnd"/>
      <w:r>
        <w:rPr>
          <w:rFonts w:ascii="Arial" w:hAnsi="Arial" w:cs="Arial"/>
          <w:color w:val="000000"/>
        </w:rPr>
        <w:t xml:space="preserve"> services,</w:t>
      </w:r>
      <w:r w:rsidRPr="007B16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and</w:t>
      </w:r>
    </w:p>
    <w:p w:rsidR="00661742" w:rsidRPr="00586E0A" w:rsidRDefault="00661742" w:rsidP="00661742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lang w:eastAsia="en-NZ"/>
        </w:rPr>
      </w:pPr>
      <w:proofErr w:type="gramStart"/>
      <w:r>
        <w:rPr>
          <w:rFonts w:ascii="Arial" w:hAnsi="Arial" w:cs="Arial"/>
          <w:color w:val="000000"/>
        </w:rPr>
        <w:t>undertake</w:t>
      </w:r>
      <w:proofErr w:type="gramEnd"/>
      <w:r>
        <w:rPr>
          <w:rFonts w:ascii="Arial" w:hAnsi="Arial" w:cs="Arial"/>
          <w:color w:val="000000"/>
        </w:rPr>
        <w:t xml:space="preserve"> a ROI to foster innovative service designs.</w:t>
      </w:r>
    </w:p>
    <w:p w:rsidR="00661742" w:rsidRDefault="00661742" w:rsidP="00661742">
      <w:pPr>
        <w:autoSpaceDE w:val="0"/>
        <w:autoSpaceDN w:val="0"/>
        <w:adjustRightInd w:val="0"/>
        <w:rPr>
          <w:rFonts w:ascii="Arial" w:hAnsi="Arial" w:cs="Arial"/>
          <w:lang w:eastAsia="en-NZ"/>
        </w:rPr>
      </w:pPr>
    </w:p>
    <w:p w:rsidR="00661742" w:rsidRPr="004A4EC1" w:rsidRDefault="00661742" w:rsidP="00661742">
      <w:pPr>
        <w:autoSpaceDE w:val="0"/>
        <w:autoSpaceDN w:val="0"/>
        <w:adjustRightInd w:val="0"/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 xml:space="preserve">Our intention is to build off and optimise existing infrastructure and utilise government ICT standards in providing a multi-channel </w:t>
      </w:r>
      <w:proofErr w:type="spellStart"/>
      <w:r>
        <w:rPr>
          <w:rFonts w:ascii="Arial" w:hAnsi="Arial" w:cs="Arial"/>
          <w:lang w:eastAsia="en-NZ"/>
        </w:rPr>
        <w:t>telehealth</w:t>
      </w:r>
      <w:proofErr w:type="spellEnd"/>
      <w:r>
        <w:rPr>
          <w:rFonts w:ascii="Arial" w:hAnsi="Arial" w:cs="Arial"/>
          <w:lang w:eastAsia="en-NZ"/>
        </w:rPr>
        <w:t xml:space="preserve"> service the public can interact with via telephone, internet</w:t>
      </w:r>
      <w:r w:rsidRPr="004A4EC1">
        <w:rPr>
          <w:rFonts w:ascii="Arial" w:hAnsi="Arial" w:cs="Arial"/>
          <w:lang w:eastAsia="en-NZ"/>
        </w:rPr>
        <w:t xml:space="preserve">, text, email and apps, such as </w:t>
      </w:r>
      <w:r>
        <w:rPr>
          <w:rFonts w:ascii="Arial" w:hAnsi="Arial" w:cs="Arial"/>
          <w:lang w:eastAsia="en-NZ"/>
        </w:rPr>
        <w:t xml:space="preserve">a </w:t>
      </w:r>
      <w:r w:rsidRPr="004A4EC1">
        <w:rPr>
          <w:rFonts w:ascii="Arial" w:hAnsi="Arial" w:cs="Arial"/>
          <w:lang w:eastAsia="en-NZ"/>
        </w:rPr>
        <w:t>symptom checker</w:t>
      </w:r>
      <w:r>
        <w:rPr>
          <w:rFonts w:ascii="Arial" w:hAnsi="Arial" w:cs="Arial"/>
          <w:lang w:eastAsia="en-NZ"/>
        </w:rPr>
        <w:t>. We will:</w:t>
      </w:r>
    </w:p>
    <w:p w:rsidR="00661742" w:rsidRPr="007B162C" w:rsidRDefault="00661742" w:rsidP="00661742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57"/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Expect p</w:t>
      </w:r>
      <w:r w:rsidRPr="00BD6FF0">
        <w:rPr>
          <w:rFonts w:ascii="Arial" w:hAnsi="Arial" w:cs="Arial"/>
          <w:lang w:eastAsia="en-NZ"/>
        </w:rPr>
        <w:t>rovider</w:t>
      </w:r>
      <w:r>
        <w:rPr>
          <w:rFonts w:ascii="Arial" w:hAnsi="Arial" w:cs="Arial"/>
          <w:lang w:eastAsia="en-NZ"/>
        </w:rPr>
        <w:t xml:space="preserve">s </w:t>
      </w:r>
      <w:r w:rsidRPr="00BD6FF0">
        <w:rPr>
          <w:rFonts w:ascii="Arial" w:hAnsi="Arial" w:cs="Arial"/>
          <w:lang w:eastAsia="en-NZ"/>
        </w:rPr>
        <w:t xml:space="preserve">of the national </w:t>
      </w:r>
      <w:proofErr w:type="spellStart"/>
      <w:r w:rsidRPr="00BD6FF0">
        <w:rPr>
          <w:rFonts w:ascii="Arial" w:hAnsi="Arial" w:cs="Arial"/>
          <w:lang w:eastAsia="en-NZ"/>
        </w:rPr>
        <w:t>telehealth</w:t>
      </w:r>
      <w:proofErr w:type="spellEnd"/>
      <w:r w:rsidRPr="00BD6FF0">
        <w:rPr>
          <w:rFonts w:ascii="Arial" w:hAnsi="Arial" w:cs="Arial"/>
          <w:lang w:eastAsia="en-NZ"/>
        </w:rPr>
        <w:t xml:space="preserve"> servic</w:t>
      </w:r>
      <w:r>
        <w:rPr>
          <w:rFonts w:ascii="Arial" w:hAnsi="Arial" w:cs="Arial"/>
          <w:lang w:eastAsia="en-NZ"/>
        </w:rPr>
        <w:t xml:space="preserve">e </w:t>
      </w:r>
      <w:r w:rsidRPr="00BD6FF0">
        <w:rPr>
          <w:rFonts w:ascii="Arial" w:hAnsi="Arial" w:cs="Arial"/>
          <w:color w:val="000000"/>
          <w:lang w:eastAsia="en-NZ"/>
        </w:rPr>
        <w:t>to be able to provide a telephony platform that manages all aspects of telephone and computer integration from a single platform via telephone, web chat, email and text.</w:t>
      </w:r>
    </w:p>
    <w:p w:rsidR="00661742" w:rsidRDefault="00661742" w:rsidP="00661742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57"/>
        <w:rPr>
          <w:rFonts w:ascii="Arial" w:hAnsi="Arial" w:cs="Arial"/>
          <w:lang w:eastAsia="en-NZ"/>
        </w:rPr>
      </w:pPr>
      <w:proofErr w:type="gramStart"/>
      <w:r w:rsidRPr="00586E0A">
        <w:rPr>
          <w:rFonts w:ascii="Arial" w:hAnsi="Arial" w:cs="Arial"/>
          <w:lang w:eastAsia="en-NZ"/>
        </w:rPr>
        <w:t>build</w:t>
      </w:r>
      <w:proofErr w:type="gramEnd"/>
      <w:r w:rsidRPr="00586E0A">
        <w:rPr>
          <w:rFonts w:ascii="Arial" w:hAnsi="Arial" w:cs="Arial"/>
          <w:lang w:eastAsia="en-NZ"/>
        </w:rPr>
        <w:t xml:space="preserve"> off the success of the Ministry’s “Your Health” section</w:t>
      </w:r>
      <w:r>
        <w:rPr>
          <w:rFonts w:ascii="Arial" w:hAnsi="Arial" w:cs="Arial"/>
          <w:lang w:eastAsia="en-NZ"/>
        </w:rPr>
        <w:t xml:space="preserve"> on its website</w:t>
      </w:r>
      <w:r w:rsidRPr="00586E0A">
        <w:rPr>
          <w:rFonts w:ascii="Arial" w:hAnsi="Arial" w:cs="Arial"/>
          <w:lang w:eastAsia="en-NZ"/>
        </w:rPr>
        <w:t xml:space="preserve"> </w:t>
      </w:r>
      <w:r>
        <w:rPr>
          <w:rFonts w:ascii="Arial" w:hAnsi="Arial" w:cs="Arial"/>
          <w:lang w:eastAsia="en-NZ"/>
        </w:rPr>
        <w:t xml:space="preserve">in developing an internet presence.  This is a popular, </w:t>
      </w:r>
      <w:r w:rsidRPr="00586E0A">
        <w:rPr>
          <w:rFonts w:ascii="Arial" w:hAnsi="Arial" w:cs="Arial"/>
          <w:lang w:eastAsia="en-NZ"/>
        </w:rPr>
        <w:t>fast growing</w:t>
      </w:r>
      <w:r>
        <w:rPr>
          <w:rFonts w:ascii="Arial" w:hAnsi="Arial" w:cs="Arial"/>
          <w:lang w:eastAsia="en-NZ"/>
        </w:rPr>
        <w:t xml:space="preserve"> section</w:t>
      </w:r>
      <w:r w:rsidRPr="00586E0A">
        <w:rPr>
          <w:rFonts w:ascii="Arial" w:hAnsi="Arial" w:cs="Arial"/>
          <w:lang w:eastAsia="en-NZ"/>
        </w:rPr>
        <w:t xml:space="preserve"> </w:t>
      </w:r>
      <w:r>
        <w:rPr>
          <w:rFonts w:ascii="Arial" w:hAnsi="Arial" w:cs="Arial"/>
          <w:lang w:eastAsia="en-NZ"/>
        </w:rPr>
        <w:t>(see graph below)</w:t>
      </w:r>
      <w:r w:rsidRPr="00586E0A">
        <w:rPr>
          <w:rFonts w:ascii="Arial" w:hAnsi="Arial" w:cs="Arial"/>
          <w:lang w:eastAsia="en-NZ"/>
        </w:rPr>
        <w:t xml:space="preserve"> and expecting over 1 million visits this financial year.</w:t>
      </w:r>
      <w:r>
        <w:rPr>
          <w:rFonts w:ascii="Arial" w:hAnsi="Arial" w:cs="Arial"/>
          <w:lang w:eastAsia="en-NZ"/>
        </w:rPr>
        <w:t xml:space="preserve">  Any internet site will comply with government IT guidelines.  </w:t>
      </w:r>
    </w:p>
    <w:p w:rsidR="00661742" w:rsidRDefault="00661742" w:rsidP="00661742">
      <w:r>
        <w:rPr>
          <w:noProof/>
          <w:lang w:eastAsia="en-NZ"/>
        </w:rPr>
        <w:drawing>
          <wp:inline distT="0" distB="0" distL="0" distR="0">
            <wp:extent cx="5524500" cy="2581275"/>
            <wp:effectExtent l="0" t="0" r="0" b="9525"/>
            <wp:docPr id="2" name="Picture 2" descr="Graph showing visits to the Your Health section, showing how the visits-per-month has risen from under 20,000 in January 2012 to more than 90,000 in May 201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742" w:rsidRPr="007B162C" w:rsidRDefault="00661742" w:rsidP="00661742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57"/>
        <w:rPr>
          <w:rFonts w:ascii="Arial" w:hAnsi="Arial" w:cs="Arial"/>
          <w:lang w:eastAsia="en-NZ"/>
        </w:rPr>
      </w:pPr>
      <w:proofErr w:type="gramStart"/>
      <w:r>
        <w:rPr>
          <w:rFonts w:ascii="Arial" w:hAnsi="Arial" w:cs="Arial"/>
          <w:lang w:eastAsia="en-NZ"/>
        </w:rPr>
        <w:t>optimise</w:t>
      </w:r>
      <w:proofErr w:type="gramEnd"/>
      <w:r>
        <w:rPr>
          <w:rFonts w:ascii="Arial" w:hAnsi="Arial" w:cs="Arial"/>
          <w:lang w:eastAsia="en-NZ"/>
        </w:rPr>
        <w:t xml:space="preserve"> existing products and tools. We are currently are trialling a symptom checker with our existing provider and would expect to utilise this in the future.</w:t>
      </w:r>
    </w:p>
    <w:p w:rsidR="00661742" w:rsidRPr="00BC19D5" w:rsidRDefault="00661742" w:rsidP="00661742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57"/>
        <w:rPr>
          <w:rFonts w:ascii="Arial" w:hAnsi="Arial" w:cs="Arial"/>
          <w:lang w:eastAsia="en-NZ"/>
        </w:rPr>
      </w:pPr>
      <w:proofErr w:type="gramStart"/>
      <w:r>
        <w:rPr>
          <w:rFonts w:ascii="Arial" w:hAnsi="Arial" w:cs="Arial"/>
          <w:lang w:eastAsia="en-NZ"/>
        </w:rPr>
        <w:t>leverage</w:t>
      </w:r>
      <w:proofErr w:type="gramEnd"/>
      <w:r w:rsidRPr="00BC19D5">
        <w:rPr>
          <w:rFonts w:ascii="Arial" w:hAnsi="Arial" w:cs="Arial"/>
          <w:lang w:eastAsia="en-NZ"/>
        </w:rPr>
        <w:t xml:space="preserve"> off the work undertaken by National IT Board to </w:t>
      </w:r>
      <w:r w:rsidRPr="00BC19D5">
        <w:rPr>
          <w:rFonts w:ascii="Arial" w:hAnsi="Arial" w:cs="Arial"/>
          <w:color w:val="000000"/>
          <w:lang w:eastAsia="en-NZ"/>
        </w:rPr>
        <w:t>provide secure communication of  health information between patients, district health boards and primary health organisations</w:t>
      </w:r>
      <w:r>
        <w:rPr>
          <w:rFonts w:ascii="Arial" w:hAnsi="Arial" w:cs="Arial"/>
          <w:color w:val="000000"/>
          <w:lang w:eastAsia="en-NZ"/>
        </w:rPr>
        <w:t xml:space="preserve"> to support a range of innovative projects, such as </w:t>
      </w:r>
      <w:proofErr w:type="spellStart"/>
      <w:r>
        <w:rPr>
          <w:rFonts w:ascii="Arial" w:hAnsi="Arial" w:cs="Arial"/>
          <w:color w:val="000000"/>
          <w:lang w:eastAsia="en-NZ"/>
        </w:rPr>
        <w:t>eReferrals</w:t>
      </w:r>
      <w:proofErr w:type="spellEnd"/>
      <w:r>
        <w:rPr>
          <w:rFonts w:ascii="Arial" w:hAnsi="Arial" w:cs="Arial"/>
          <w:color w:val="000000"/>
          <w:lang w:eastAsia="en-NZ"/>
        </w:rPr>
        <w:t>.</w:t>
      </w:r>
    </w:p>
    <w:p w:rsidR="00661742" w:rsidRDefault="00661742" w:rsidP="00661742"/>
    <w:sectPr w:rsidR="00661742" w:rsidSect="006617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F1" w:rsidRDefault="007920F1" w:rsidP="007920F1">
      <w:r>
        <w:separator/>
      </w:r>
    </w:p>
  </w:endnote>
  <w:endnote w:type="continuationSeparator" w:id="0">
    <w:p w:rsidR="007920F1" w:rsidRDefault="007920F1" w:rsidP="0079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F1" w:rsidRDefault="007920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F1" w:rsidRDefault="007920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F1" w:rsidRDefault="00792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F1" w:rsidRDefault="007920F1" w:rsidP="007920F1">
      <w:r>
        <w:separator/>
      </w:r>
    </w:p>
  </w:footnote>
  <w:footnote w:type="continuationSeparator" w:id="0">
    <w:p w:rsidR="007920F1" w:rsidRDefault="007920F1" w:rsidP="00792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F1" w:rsidRDefault="007920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F1" w:rsidRDefault="007920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F1" w:rsidRDefault="007920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ED9"/>
    <w:multiLevelType w:val="hybridMultilevel"/>
    <w:tmpl w:val="577CA7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DF3BE4"/>
    <w:multiLevelType w:val="hybridMultilevel"/>
    <w:tmpl w:val="4A5ABF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120BF2"/>
    <w:multiLevelType w:val="hybridMultilevel"/>
    <w:tmpl w:val="CB16BF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42"/>
    <w:rsid w:val="001256DC"/>
    <w:rsid w:val="001675C0"/>
    <w:rsid w:val="00661742"/>
    <w:rsid w:val="007920F1"/>
    <w:rsid w:val="00862085"/>
    <w:rsid w:val="009B3906"/>
    <w:rsid w:val="00B679A4"/>
    <w:rsid w:val="00B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742"/>
    <w:pPr>
      <w:spacing w:before="120" w:after="120"/>
      <w:outlineLvl w:val="0"/>
    </w:pPr>
    <w:rPr>
      <w:rFonts w:ascii="Arial" w:hAnsi="Arial" w:cs="Arial"/>
      <w:b/>
      <w:bCs/>
      <w:i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742"/>
    <w:pPr>
      <w:spacing w:before="120" w:after="120"/>
      <w:ind w:left="181" w:hanging="181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4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1742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1742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20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0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0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742"/>
    <w:pPr>
      <w:spacing w:before="120" w:after="120"/>
      <w:outlineLvl w:val="0"/>
    </w:pPr>
    <w:rPr>
      <w:rFonts w:ascii="Arial" w:hAnsi="Arial" w:cs="Arial"/>
      <w:b/>
      <w:bCs/>
      <w:i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742"/>
    <w:pPr>
      <w:spacing w:before="120" w:after="120"/>
      <w:ind w:left="181" w:hanging="181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4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1742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1742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20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0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0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Telehealth Services Programme: Aide Memoire</dc:title>
  <dc:subject/>
  <dc:creator>Ministry of Health</dc:creator>
  <cp:keywords/>
  <dc:description/>
  <cp:lastModifiedBy>Cara Pollock</cp:lastModifiedBy>
  <cp:revision>2</cp:revision>
  <dcterms:created xsi:type="dcterms:W3CDTF">2013-10-14T21:29:00Z</dcterms:created>
  <dcterms:modified xsi:type="dcterms:W3CDTF">2013-10-14T21:30:00Z</dcterms:modified>
</cp:coreProperties>
</file>