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11" w:rsidRPr="00167711" w:rsidRDefault="00167711" w:rsidP="00AB6545">
      <w:pPr>
        <w:rPr>
          <w:b/>
        </w:rPr>
      </w:pPr>
      <w:r w:rsidRPr="00167711">
        <w:rPr>
          <w:b/>
        </w:rPr>
        <w:t xml:space="preserve">National </w:t>
      </w:r>
      <w:proofErr w:type="spellStart"/>
      <w:r w:rsidRPr="00167711">
        <w:rPr>
          <w:b/>
        </w:rPr>
        <w:t>Telehealth</w:t>
      </w:r>
      <w:proofErr w:type="spellEnd"/>
      <w:r w:rsidRPr="00167711">
        <w:rPr>
          <w:b/>
        </w:rPr>
        <w:t xml:space="preserve"> Service – RFI responses</w:t>
      </w:r>
    </w:p>
    <w:p w:rsidR="009866FE" w:rsidRDefault="00AB6545" w:rsidP="00AB6545">
      <w:r>
        <w:t>The Ministry received 32 responses to the request for information in October 2013 from: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 xml:space="preserve">Alcohol Drug Association </w:t>
      </w:r>
      <w:bookmarkStart w:id="0" w:name="_GoBack"/>
      <w:bookmarkEnd w:id="0"/>
      <w:r w:rsidRPr="00AB6545">
        <w:rPr>
          <w:szCs w:val="24"/>
        </w:rPr>
        <w:t>NZ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Agile Integration Ltd</w:t>
      </w:r>
    </w:p>
    <w:p w:rsidR="00AB6545" w:rsidRPr="00AB6545" w:rsidRDefault="00AB6545" w:rsidP="00AB6545">
      <w:pPr>
        <w:spacing w:after="0"/>
        <w:rPr>
          <w:szCs w:val="24"/>
        </w:rPr>
      </w:pPr>
      <w:proofErr w:type="gramStart"/>
      <w:r w:rsidRPr="00AB6545">
        <w:rPr>
          <w:szCs w:val="24"/>
        </w:rPr>
        <w:t>Aspire</w:t>
      </w:r>
      <w:proofErr w:type="gramEnd"/>
      <w:r w:rsidRPr="00AB6545">
        <w:rPr>
          <w:szCs w:val="24"/>
        </w:rPr>
        <w:t xml:space="preserve"> 2025 Collaboration</w:t>
      </w:r>
    </w:p>
    <w:p w:rsidR="00AB6545" w:rsidRPr="00AB6545" w:rsidRDefault="00FC646E" w:rsidP="00AB6545">
      <w:pPr>
        <w:spacing w:after="0"/>
        <w:rPr>
          <w:szCs w:val="24"/>
        </w:rPr>
      </w:pPr>
      <w:proofErr w:type="spellStart"/>
      <w:r>
        <w:rPr>
          <w:szCs w:val="24"/>
        </w:rPr>
        <w:t>Prof.</w:t>
      </w:r>
      <w:proofErr w:type="spellEnd"/>
      <w:r>
        <w:rPr>
          <w:szCs w:val="24"/>
        </w:rPr>
        <w:t xml:space="preserve"> </w:t>
      </w:r>
      <w:r w:rsidR="00AB6545" w:rsidRPr="00AB6545">
        <w:rPr>
          <w:szCs w:val="24"/>
        </w:rPr>
        <w:t xml:space="preserve">Robert </w:t>
      </w:r>
      <w:proofErr w:type="spellStart"/>
      <w:r w:rsidR="00AB6545" w:rsidRPr="00AB6545">
        <w:rPr>
          <w:szCs w:val="24"/>
        </w:rPr>
        <w:t>Beaglehole</w:t>
      </w:r>
      <w:proofErr w:type="spellEnd"/>
    </w:p>
    <w:p w:rsidR="00AB6545" w:rsidRPr="00AB6545" w:rsidRDefault="00FC646E" w:rsidP="00AB6545">
      <w:pPr>
        <w:spacing w:after="0"/>
        <w:rPr>
          <w:szCs w:val="24"/>
        </w:rPr>
      </w:pPr>
      <w:r>
        <w:rPr>
          <w:szCs w:val="24"/>
        </w:rPr>
        <w:t xml:space="preserve">Dr </w:t>
      </w:r>
      <w:proofErr w:type="spellStart"/>
      <w:r w:rsidR="00AB6545" w:rsidRPr="00AB6545">
        <w:rPr>
          <w:szCs w:val="24"/>
        </w:rPr>
        <w:t>Doone</w:t>
      </w:r>
      <w:proofErr w:type="spellEnd"/>
      <w:r w:rsidR="00AB6545" w:rsidRPr="00AB6545">
        <w:rPr>
          <w:szCs w:val="24"/>
        </w:rPr>
        <w:t xml:space="preserve"> </w:t>
      </w:r>
      <w:proofErr w:type="spellStart"/>
      <w:r w:rsidR="00AB6545" w:rsidRPr="00AB6545">
        <w:rPr>
          <w:szCs w:val="24"/>
        </w:rPr>
        <w:t>Winnard</w:t>
      </w:r>
      <w:proofErr w:type="spellEnd"/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Atlantis Healthcare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Mid Central Alliance (Mid Central DHB &amp; Central PHO)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Cisco Systems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Datacom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Dimension Data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Health Navigator Charitable Trust</w:t>
      </w:r>
    </w:p>
    <w:p w:rsidR="00AB6545" w:rsidRPr="00AB6545" w:rsidRDefault="00AB6545" w:rsidP="00AB6545">
      <w:pPr>
        <w:spacing w:after="0"/>
        <w:rPr>
          <w:szCs w:val="24"/>
        </w:rPr>
      </w:pPr>
      <w:proofErr w:type="spellStart"/>
      <w:r w:rsidRPr="00AB6545">
        <w:rPr>
          <w:szCs w:val="24"/>
        </w:rPr>
        <w:t>Healthways</w:t>
      </w:r>
      <w:proofErr w:type="spellEnd"/>
      <w:r w:rsidRPr="00AB6545">
        <w:rPr>
          <w:szCs w:val="24"/>
        </w:rPr>
        <w:t xml:space="preserve"> Australia Pty Ltd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Homecare Medical Ltd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HSA Global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Immunisation Advisory Centre</w:t>
      </w:r>
    </w:p>
    <w:p w:rsidR="00AB6545" w:rsidRPr="00AB6545" w:rsidRDefault="00AB6545" w:rsidP="00AB6545">
      <w:pPr>
        <w:spacing w:after="0"/>
        <w:rPr>
          <w:szCs w:val="24"/>
        </w:rPr>
      </w:pPr>
      <w:proofErr w:type="spellStart"/>
      <w:r w:rsidRPr="00AB6545">
        <w:rPr>
          <w:szCs w:val="24"/>
        </w:rPr>
        <w:t>Indra</w:t>
      </w:r>
      <w:proofErr w:type="spellEnd"/>
      <w:r w:rsidRPr="00AB6545">
        <w:rPr>
          <w:szCs w:val="24"/>
        </w:rPr>
        <w:t xml:space="preserve"> </w:t>
      </w:r>
      <w:proofErr w:type="spellStart"/>
      <w:r w:rsidRPr="00AB6545">
        <w:rPr>
          <w:szCs w:val="24"/>
        </w:rPr>
        <w:t>Sistemas</w:t>
      </w:r>
      <w:proofErr w:type="spellEnd"/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 xml:space="preserve">Lifeline </w:t>
      </w:r>
      <w:proofErr w:type="spellStart"/>
      <w:r w:rsidRPr="00AB6545">
        <w:rPr>
          <w:szCs w:val="24"/>
        </w:rPr>
        <w:t>Aotearoa</w:t>
      </w:r>
      <w:proofErr w:type="spellEnd"/>
    </w:p>
    <w:p w:rsidR="00AB6545" w:rsidRPr="00AB6545" w:rsidRDefault="00AB6545" w:rsidP="00AB6545">
      <w:pPr>
        <w:spacing w:after="0"/>
        <w:rPr>
          <w:szCs w:val="24"/>
        </w:rPr>
      </w:pPr>
      <w:proofErr w:type="spellStart"/>
      <w:r w:rsidRPr="00AB6545">
        <w:rPr>
          <w:szCs w:val="24"/>
        </w:rPr>
        <w:t>Medibank</w:t>
      </w:r>
      <w:proofErr w:type="spellEnd"/>
      <w:r w:rsidRPr="00AB6545">
        <w:rPr>
          <w:szCs w:val="24"/>
        </w:rPr>
        <w:t xml:space="preserve"> Health Solutions</w:t>
      </w:r>
      <w:r w:rsidR="00806189">
        <w:rPr>
          <w:szCs w:val="24"/>
        </w:rPr>
        <w:t xml:space="preserve"> New Zealand</w:t>
      </w:r>
    </w:p>
    <w:p w:rsidR="00AB6545" w:rsidRPr="00AB6545" w:rsidRDefault="00AB6545" w:rsidP="00AB6545">
      <w:pPr>
        <w:spacing w:after="0"/>
        <w:rPr>
          <w:szCs w:val="24"/>
        </w:rPr>
      </w:pPr>
      <w:proofErr w:type="spellStart"/>
      <w:r w:rsidRPr="00AB6545">
        <w:rPr>
          <w:szCs w:val="24"/>
        </w:rPr>
        <w:t>Medtech</w:t>
      </w:r>
      <w:proofErr w:type="spellEnd"/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National Poisons Centre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NZ Society on Alcohol &amp; Drug Dependence (NSAD)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Positive Thinking</w:t>
      </w:r>
    </w:p>
    <w:p w:rsidR="00AB6545" w:rsidRPr="00AB6545" w:rsidRDefault="00AB6545" w:rsidP="00AB6545">
      <w:pPr>
        <w:spacing w:after="0"/>
        <w:rPr>
          <w:szCs w:val="24"/>
        </w:rPr>
      </w:pPr>
      <w:proofErr w:type="spellStart"/>
      <w:r w:rsidRPr="00AB6545">
        <w:rPr>
          <w:szCs w:val="24"/>
        </w:rPr>
        <w:t>Salmat</w:t>
      </w:r>
      <w:proofErr w:type="spellEnd"/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Serco NZ Ltd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St John Ambulance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Paediatric Society of NZ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Quit Group</w:t>
      </w:r>
    </w:p>
    <w:p w:rsidR="00AB6545" w:rsidRPr="00AB6545" w:rsidRDefault="00AB6545" w:rsidP="00AB6545">
      <w:pPr>
        <w:spacing w:after="0"/>
        <w:rPr>
          <w:szCs w:val="24"/>
        </w:rPr>
      </w:pPr>
      <w:proofErr w:type="spellStart"/>
      <w:r w:rsidRPr="00AB6545">
        <w:rPr>
          <w:szCs w:val="24"/>
        </w:rPr>
        <w:t>WorkFocus</w:t>
      </w:r>
      <w:proofErr w:type="spellEnd"/>
      <w:r w:rsidRPr="00AB6545">
        <w:rPr>
          <w:szCs w:val="24"/>
        </w:rPr>
        <w:t xml:space="preserve"> Group</w:t>
      </w:r>
    </w:p>
    <w:p w:rsidR="00AB6545" w:rsidRPr="00AB6545" w:rsidRDefault="00AB6545" w:rsidP="00AB6545">
      <w:pPr>
        <w:spacing w:after="0"/>
        <w:rPr>
          <w:szCs w:val="24"/>
        </w:rPr>
      </w:pPr>
      <w:proofErr w:type="spellStart"/>
      <w:r w:rsidRPr="00AB6545">
        <w:rPr>
          <w:szCs w:val="24"/>
        </w:rPr>
        <w:t>Tunstall</w:t>
      </w:r>
      <w:proofErr w:type="spellEnd"/>
      <w:r w:rsidRPr="00AB6545">
        <w:rPr>
          <w:szCs w:val="24"/>
        </w:rPr>
        <w:t xml:space="preserve"> Australasia Pty Ltd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Valentia Technologies</w:t>
      </w:r>
    </w:p>
    <w:p w:rsidR="00AB6545" w:rsidRPr="00AB6545" w:rsidRDefault="00AB6545" w:rsidP="00AB6545">
      <w:pPr>
        <w:spacing w:after="0"/>
        <w:rPr>
          <w:szCs w:val="24"/>
        </w:rPr>
      </w:pPr>
      <w:proofErr w:type="spellStart"/>
      <w:r w:rsidRPr="00AB6545">
        <w:rPr>
          <w:szCs w:val="24"/>
        </w:rPr>
        <w:t>Visualcomms</w:t>
      </w:r>
      <w:proofErr w:type="spellEnd"/>
      <w:r w:rsidRPr="00AB6545">
        <w:rPr>
          <w:szCs w:val="24"/>
        </w:rPr>
        <w:t xml:space="preserve"> NZ</w:t>
      </w:r>
    </w:p>
    <w:p w:rsidR="00AB6545" w:rsidRPr="00AB6545" w:rsidRDefault="00AB6545" w:rsidP="00AB6545">
      <w:pPr>
        <w:spacing w:after="0"/>
        <w:rPr>
          <w:szCs w:val="24"/>
        </w:rPr>
      </w:pPr>
      <w:r w:rsidRPr="00AB6545">
        <w:rPr>
          <w:szCs w:val="24"/>
        </w:rPr>
        <w:t>Vodafone</w:t>
      </w:r>
    </w:p>
    <w:p w:rsidR="00AB6545" w:rsidRPr="00AB6545" w:rsidRDefault="00AB6545" w:rsidP="00AB6545">
      <w:pPr>
        <w:spacing w:after="0"/>
        <w:rPr>
          <w:szCs w:val="24"/>
        </w:rPr>
      </w:pPr>
    </w:p>
    <w:sectPr w:rsidR="00AB6545" w:rsidRPr="00AB6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45"/>
    <w:rsid w:val="00167711"/>
    <w:rsid w:val="00460FDC"/>
    <w:rsid w:val="007E7084"/>
    <w:rsid w:val="00806189"/>
    <w:rsid w:val="009138C8"/>
    <w:rsid w:val="009866FE"/>
    <w:rsid w:val="00AA7E28"/>
    <w:rsid w:val="00AB6545"/>
    <w:rsid w:val="00AF3065"/>
    <w:rsid w:val="00DD69A8"/>
    <w:rsid w:val="00F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54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54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Chapman</dc:creator>
  <cp:lastModifiedBy>Ministry of Health</cp:lastModifiedBy>
  <cp:revision>3</cp:revision>
  <dcterms:created xsi:type="dcterms:W3CDTF">2015-06-30T04:23:00Z</dcterms:created>
  <dcterms:modified xsi:type="dcterms:W3CDTF">2015-07-07T23:04:00Z</dcterms:modified>
</cp:coreProperties>
</file>