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7C" w:rsidRPr="009A25A9" w:rsidRDefault="0038417C" w:rsidP="0038417C">
      <w:pPr>
        <w:pStyle w:val="Heading1"/>
        <w:numPr>
          <w:ilvl w:val="0"/>
          <w:numId w:val="0"/>
        </w:numPr>
        <w:ind w:left="708" w:hanging="708"/>
      </w:pPr>
      <w:r>
        <w:t xml:space="preserve">Appendix </w:t>
      </w:r>
      <w:r w:rsidR="0058004F">
        <w:t>C</w:t>
      </w:r>
      <w:r>
        <w:t xml:space="preserve"> </w:t>
      </w:r>
      <w:r w:rsidRPr="009A25A9">
        <w:t>- Strategic documents</w:t>
      </w:r>
      <w:r w:rsidR="00A7687D">
        <w:t xml:space="preserve"> </w:t>
      </w:r>
    </w:p>
    <w:p w:rsidR="00A7687D" w:rsidRPr="009D4D1F" w:rsidRDefault="00BA3081" w:rsidP="00A7687D">
      <w:pPr>
        <w:numPr>
          <w:ilvl w:val="1"/>
          <w:numId w:val="1"/>
        </w:numPr>
        <w:spacing w:before="240" w:after="0" w:line="240" w:lineRule="auto"/>
        <w:jc w:val="both"/>
        <w:outlineLvl w:val="1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Ministry of Health documents</w:t>
      </w:r>
    </w:p>
    <w:p w:rsidR="00BA3081" w:rsidRPr="00BA3081" w:rsidRDefault="00A7687D" w:rsidP="00BA3081">
      <w:pPr>
        <w:numPr>
          <w:ilvl w:val="0"/>
          <w:numId w:val="3"/>
        </w:numPr>
        <w:spacing w:after="0" w:line="240" w:lineRule="auto"/>
        <w:ind w:left="1491" w:hanging="357"/>
        <w:contextualSpacing/>
        <w:jc w:val="both"/>
        <w:rPr>
          <w:rFonts w:eastAsia="Times New Roman" w:cs="Arial"/>
          <w:color w:val="000000"/>
          <w:sz w:val="20"/>
          <w:szCs w:val="20"/>
        </w:rPr>
      </w:pPr>
      <w:r w:rsidRPr="00BA3081">
        <w:rPr>
          <w:rFonts w:eastAsia="Times New Roman" w:cs="Arial"/>
          <w:color w:val="000000"/>
          <w:sz w:val="20"/>
          <w:szCs w:val="20"/>
        </w:rPr>
        <w:t>Ministry’s Statement of Intent</w:t>
      </w:r>
      <w:r w:rsidRPr="00BA3081">
        <w:rPr>
          <w:rFonts w:eastAsia="Times New Roman" w:cs="Arial"/>
          <w:color w:val="000000"/>
          <w:sz w:val="20"/>
          <w:szCs w:val="20"/>
          <w:vertAlign w:val="superscript"/>
        </w:rPr>
        <w:footnoteReference w:id="1"/>
      </w:r>
      <w:r w:rsidRPr="00BA3081">
        <w:rPr>
          <w:rFonts w:eastAsia="Times New Roman" w:cs="Arial"/>
          <w:color w:val="000000"/>
          <w:sz w:val="20"/>
          <w:szCs w:val="20"/>
          <w:vertAlign w:val="superscript"/>
        </w:rPr>
        <w:t xml:space="preserve"> </w:t>
      </w:r>
      <w:r w:rsidRPr="00BA3081">
        <w:rPr>
          <w:rFonts w:eastAsia="Times New Roman" w:cs="Arial"/>
          <w:color w:val="000000"/>
          <w:sz w:val="20"/>
          <w:szCs w:val="20"/>
        </w:rPr>
        <w:t xml:space="preserve"> </w:t>
      </w:r>
      <w:r w:rsidR="00BA3081" w:rsidRPr="00BA3081">
        <w:rPr>
          <w:rFonts w:eastAsia="Times New Roman" w:cs="Arial"/>
          <w:color w:val="000000"/>
          <w:sz w:val="20"/>
          <w:szCs w:val="20"/>
        </w:rPr>
        <w:t xml:space="preserve">and </w:t>
      </w:r>
      <w:r w:rsidRPr="00BA3081">
        <w:rPr>
          <w:rFonts w:eastAsia="Times New Roman" w:cs="Arial"/>
          <w:color w:val="000000"/>
          <w:sz w:val="20"/>
          <w:szCs w:val="20"/>
        </w:rPr>
        <w:t>Health Targets</w:t>
      </w:r>
      <w:r w:rsidRPr="00BA3081">
        <w:rPr>
          <w:rFonts w:eastAsia="Times New Roman" w:cs="Arial"/>
          <w:color w:val="000000"/>
          <w:sz w:val="20"/>
          <w:szCs w:val="20"/>
          <w:vertAlign w:val="superscript"/>
        </w:rPr>
        <w:footnoteReference w:id="2"/>
      </w:r>
      <w:r w:rsidRPr="00BA3081">
        <w:rPr>
          <w:rFonts w:eastAsia="Times New Roman" w:cs="Arial"/>
          <w:color w:val="000000"/>
          <w:sz w:val="20"/>
          <w:szCs w:val="20"/>
          <w:vertAlign w:val="superscript"/>
        </w:rPr>
        <w:t>.</w:t>
      </w:r>
    </w:p>
    <w:p w:rsidR="00BA3081" w:rsidRDefault="00BA3081" w:rsidP="0038417C">
      <w:pPr>
        <w:pStyle w:val="Heading2"/>
        <w:rPr>
          <w:b/>
        </w:rPr>
      </w:pPr>
      <w:r>
        <w:rPr>
          <w:b/>
        </w:rPr>
        <w:t>Healthline</w:t>
      </w:r>
    </w:p>
    <w:p w:rsidR="00BA3081" w:rsidRPr="00BA3081" w:rsidRDefault="00BA3081" w:rsidP="00BA3081">
      <w:pPr>
        <w:numPr>
          <w:ilvl w:val="0"/>
          <w:numId w:val="3"/>
        </w:numPr>
        <w:spacing w:after="0" w:line="240" w:lineRule="auto"/>
        <w:ind w:left="1491" w:hanging="357"/>
        <w:contextualSpacing/>
        <w:jc w:val="both"/>
        <w:rPr>
          <w:rFonts w:eastAsia="Times New Roman" w:cs="Arial"/>
          <w:color w:val="000000"/>
          <w:sz w:val="20"/>
          <w:szCs w:val="20"/>
        </w:rPr>
      </w:pPr>
      <w:r w:rsidRPr="00BA3081">
        <w:rPr>
          <w:rFonts w:eastAsia="Times New Roman" w:cs="Arial"/>
          <w:color w:val="000000"/>
          <w:sz w:val="20"/>
          <w:szCs w:val="20"/>
        </w:rPr>
        <w:t>2011 National Party Manifesto/commitments</w:t>
      </w:r>
    </w:p>
    <w:p w:rsidR="0038417C" w:rsidRDefault="0038417C" w:rsidP="0038417C">
      <w:pPr>
        <w:pStyle w:val="Heading2"/>
        <w:rPr>
          <w:b/>
        </w:rPr>
      </w:pPr>
      <w:r w:rsidRPr="009A25A9">
        <w:rPr>
          <w:b/>
        </w:rPr>
        <w:t>Smoking Cessation</w:t>
      </w:r>
    </w:p>
    <w:p w:rsidR="003974E1" w:rsidRPr="003974E1" w:rsidRDefault="00A7687D" w:rsidP="003974E1">
      <w:pPr>
        <w:pStyle w:val="BulletText1"/>
        <w:numPr>
          <w:ilvl w:val="0"/>
          <w:numId w:val="3"/>
        </w:numPr>
        <w:rPr>
          <w:rFonts w:cs="Arial"/>
          <w:sz w:val="20"/>
          <w:lang w:val="en-NZ"/>
        </w:rPr>
      </w:pPr>
      <w:r w:rsidRPr="00567CD9">
        <w:rPr>
          <w:rFonts w:cs="Arial"/>
          <w:sz w:val="20"/>
          <w:lang w:val="en-NZ"/>
        </w:rPr>
        <w:t xml:space="preserve">Government response to the Report of the Maori Affairs Committee on its Inquiry into the Tobacco Industry in </w:t>
      </w:r>
      <w:proofErr w:type="spellStart"/>
      <w:r w:rsidRPr="00567CD9">
        <w:rPr>
          <w:rFonts w:cs="Arial"/>
          <w:sz w:val="20"/>
          <w:lang w:val="en-NZ"/>
        </w:rPr>
        <w:t>Aotearoa</w:t>
      </w:r>
      <w:proofErr w:type="spellEnd"/>
      <w:r w:rsidRPr="00567CD9">
        <w:rPr>
          <w:rFonts w:cs="Arial"/>
          <w:sz w:val="20"/>
          <w:lang w:val="en-NZ"/>
        </w:rPr>
        <w:t xml:space="preserve"> and the Consequences of Tobacco Use for Maori – </w:t>
      </w:r>
      <w:proofErr w:type="spellStart"/>
      <w:r w:rsidRPr="00567CD9">
        <w:rPr>
          <w:rFonts w:cs="Arial"/>
          <w:sz w:val="20"/>
          <w:lang w:val="en-NZ"/>
        </w:rPr>
        <w:t>Smokefree</w:t>
      </w:r>
      <w:proofErr w:type="spellEnd"/>
      <w:r w:rsidRPr="00567CD9">
        <w:rPr>
          <w:rFonts w:cs="Arial"/>
          <w:sz w:val="20"/>
          <w:lang w:val="en-NZ"/>
        </w:rPr>
        <w:t xml:space="preserve"> 2025 goal for New Zealand</w:t>
      </w:r>
    </w:p>
    <w:p w:rsidR="00A7687D" w:rsidRPr="00A7687D" w:rsidRDefault="00A7687D" w:rsidP="00A7687D">
      <w:pPr>
        <w:pStyle w:val="BulletText1"/>
        <w:numPr>
          <w:ilvl w:val="0"/>
          <w:numId w:val="3"/>
        </w:numPr>
        <w:rPr>
          <w:rFonts w:cs="Arial"/>
          <w:sz w:val="20"/>
          <w:lang w:val="en-NZ"/>
        </w:rPr>
      </w:pPr>
      <w:r>
        <w:rPr>
          <w:rFonts w:cs="Arial"/>
          <w:sz w:val="20"/>
          <w:lang w:val="en-NZ"/>
        </w:rPr>
        <w:t xml:space="preserve">Tier One Smoking Cessation Service Specification - </w:t>
      </w:r>
      <w:hyperlink r:id="rId8" w:history="1">
        <w:r w:rsidRPr="00A7687D">
          <w:rPr>
            <w:rFonts w:cs="Arial"/>
            <w:sz w:val="20"/>
            <w:lang w:val="en-NZ"/>
          </w:rPr>
          <w:t>http://www.nsfl.health.govt.nz/apps/nsfl.nsf/pagesmh/403</w:t>
        </w:r>
      </w:hyperlink>
    </w:p>
    <w:p w:rsidR="00A7687D" w:rsidRPr="00A7687D" w:rsidRDefault="00A7687D" w:rsidP="00A7687D">
      <w:pPr>
        <w:pStyle w:val="BulletText1"/>
        <w:numPr>
          <w:ilvl w:val="0"/>
          <w:numId w:val="3"/>
        </w:numPr>
        <w:rPr>
          <w:rFonts w:cs="Arial"/>
          <w:sz w:val="20"/>
          <w:lang w:val="en-NZ"/>
        </w:rPr>
      </w:pPr>
      <w:r w:rsidRPr="00A7687D">
        <w:rPr>
          <w:rFonts w:cs="Arial"/>
          <w:sz w:val="20"/>
          <w:lang w:val="en-NZ"/>
        </w:rPr>
        <w:t xml:space="preserve">Smoking Cessation guidelines New Zealand 2007 </w:t>
      </w:r>
    </w:p>
    <w:p w:rsidR="00A7687D" w:rsidRPr="00A7687D" w:rsidRDefault="001E2659" w:rsidP="009028FC">
      <w:pPr>
        <w:pStyle w:val="BulletText1"/>
        <w:numPr>
          <w:ilvl w:val="0"/>
          <w:numId w:val="0"/>
        </w:numPr>
        <w:ind w:left="1495"/>
        <w:rPr>
          <w:rFonts w:ascii="Helv" w:hAnsi="Helv" w:cs="Helv"/>
          <w:bCs/>
        </w:rPr>
      </w:pPr>
      <w:hyperlink r:id="rId9" w:history="1">
        <w:r w:rsidR="00A7687D" w:rsidRPr="007D6EE5">
          <w:rPr>
            <w:rStyle w:val="Hyperlink"/>
            <w:rFonts w:cs="Arial"/>
            <w:sz w:val="20"/>
            <w:lang w:val="en-NZ"/>
          </w:rPr>
          <w:t>http://www.health.govt.nz/publication/new-zealand-smoking-cessation-guidelines</w:t>
        </w:r>
      </w:hyperlink>
    </w:p>
    <w:p w:rsidR="00A7687D" w:rsidRPr="00A7687D" w:rsidRDefault="00A7687D" w:rsidP="00A7687D">
      <w:pPr>
        <w:pStyle w:val="Heading2"/>
        <w:rPr>
          <w:b/>
        </w:rPr>
      </w:pPr>
      <w:r w:rsidRPr="00A7687D">
        <w:rPr>
          <w:rFonts w:ascii="Arial Mäori" w:hAnsi="Arial Mäori" w:cs="Arial Mäori"/>
          <w:b/>
          <w:bCs/>
          <w:color w:val="000000"/>
        </w:rPr>
        <w:t>Immunisation</w:t>
      </w:r>
    </w:p>
    <w:p w:rsidR="00A7687D" w:rsidRPr="0058004F" w:rsidRDefault="0058004F" w:rsidP="0058004F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1491" w:hanging="357"/>
        <w:contextualSpacing/>
        <w:jc w:val="both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 xml:space="preserve">Better Public Services: </w:t>
      </w:r>
      <w:r w:rsidRPr="0058004F">
        <w:rPr>
          <w:rFonts w:eastAsia="Times New Roman" w:cs="Arial"/>
          <w:color w:val="000000"/>
          <w:sz w:val="20"/>
          <w:szCs w:val="20"/>
        </w:rPr>
        <w:t>http://www.health.govt.nz/about-ministry/strategic-direction/better-public-services</w:t>
      </w:r>
      <w:r w:rsidR="00A7687D" w:rsidRPr="0058004F">
        <w:rPr>
          <w:rFonts w:eastAsia="Times New Roman" w:cs="Arial"/>
          <w:color w:val="000000"/>
          <w:sz w:val="20"/>
          <w:szCs w:val="20"/>
        </w:rPr>
        <w:t xml:space="preserve"> </w:t>
      </w:r>
    </w:p>
    <w:p w:rsidR="00A7687D" w:rsidRPr="003974E1" w:rsidRDefault="00BA3081" w:rsidP="003974E1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1491" w:hanging="357"/>
        <w:contextualSpacing/>
        <w:jc w:val="both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See immunisation health target</w:t>
      </w:r>
      <w:r w:rsidRPr="00BA3081">
        <w:rPr>
          <w:rFonts w:eastAsia="Times New Roman" w:cs="Arial"/>
          <w:color w:val="000000"/>
          <w:sz w:val="20"/>
          <w:szCs w:val="20"/>
          <w:vertAlign w:val="superscript"/>
        </w:rPr>
        <w:t>2</w:t>
      </w:r>
    </w:p>
    <w:p w:rsidR="0038417C" w:rsidRPr="00A7687D" w:rsidRDefault="0038417C" w:rsidP="0038417C">
      <w:pPr>
        <w:pStyle w:val="Heading2"/>
        <w:rPr>
          <w:b/>
        </w:rPr>
      </w:pPr>
      <w:r w:rsidRPr="00A7687D">
        <w:rPr>
          <w:b/>
        </w:rPr>
        <w:t>Depression</w:t>
      </w:r>
    </w:p>
    <w:p w:rsidR="00CF52E7" w:rsidRPr="00A7687D" w:rsidRDefault="00CF52E7" w:rsidP="00CF52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7687D">
        <w:rPr>
          <w:rFonts w:cs="Arial"/>
          <w:sz w:val="20"/>
          <w:szCs w:val="20"/>
        </w:rPr>
        <w:t xml:space="preserve">Suicide Prevention Strategy 2006 to 2016 </w:t>
      </w:r>
    </w:p>
    <w:p w:rsidR="00CF52E7" w:rsidRPr="00A7687D" w:rsidRDefault="00CF52E7" w:rsidP="00CF52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7687D">
        <w:rPr>
          <w:rFonts w:cs="Arial"/>
          <w:sz w:val="20"/>
          <w:szCs w:val="20"/>
        </w:rPr>
        <w:t xml:space="preserve">Suicide Prevention Action Plan </w:t>
      </w:r>
    </w:p>
    <w:p w:rsidR="00CF52E7" w:rsidRPr="009028FC" w:rsidRDefault="00CF52E7" w:rsidP="009028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A7687D">
        <w:rPr>
          <w:rFonts w:cs="Arial"/>
          <w:sz w:val="20"/>
          <w:szCs w:val="20"/>
        </w:rPr>
        <w:t>Rising to the Challenge  Mental health and Addiction Service Development plan 2012 to 2017</w:t>
      </w:r>
    </w:p>
    <w:p w:rsidR="00CF52E7" w:rsidRPr="00A7687D" w:rsidRDefault="00CF52E7" w:rsidP="00CF52E7">
      <w:pPr>
        <w:pStyle w:val="Heading2"/>
        <w:rPr>
          <w:b/>
        </w:rPr>
      </w:pPr>
      <w:r w:rsidRPr="00A7687D">
        <w:rPr>
          <w:b/>
        </w:rPr>
        <w:t>Gambling</w:t>
      </w:r>
    </w:p>
    <w:p w:rsidR="00B869B0" w:rsidRDefault="00B869B0" w:rsidP="00B869B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95" w:hanging="36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Gambling Act</w:t>
      </w:r>
      <w:bookmarkStart w:id="0" w:name="_GoBack"/>
      <w:bookmarkEnd w:id="0"/>
      <w:r>
        <w:rPr>
          <w:rFonts w:cs="Arial"/>
          <w:color w:val="000000"/>
          <w:sz w:val="20"/>
          <w:szCs w:val="20"/>
        </w:rPr>
        <w:t xml:space="preserve"> 2003</w:t>
      </w:r>
    </w:p>
    <w:p w:rsidR="00B869B0" w:rsidRDefault="00B869B0" w:rsidP="00B869B0">
      <w:pPr>
        <w:autoSpaceDE w:val="0"/>
        <w:autoSpaceDN w:val="0"/>
        <w:adjustRightInd w:val="0"/>
        <w:spacing w:after="0" w:line="240" w:lineRule="auto"/>
        <w:ind w:left="1495" w:hanging="360"/>
        <w:rPr>
          <w:rFonts w:cs="Arial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>
        <w:rPr>
          <w:rFonts w:ascii="Symbol" w:hAnsi="Symbol" w:cs="Symbo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 xml:space="preserve">Preventing and minimising gambling harm: three year service plan and levy rates for 2013/14 to 2015/16 </w:t>
      </w:r>
    </w:p>
    <w:p w:rsidR="003974E1" w:rsidRPr="00B869B0" w:rsidRDefault="00B869B0" w:rsidP="00B869B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95" w:hanging="360"/>
        <w:rPr>
          <w:rFonts w:cs="Arial"/>
          <w:color w:val="000000"/>
          <w:sz w:val="20"/>
          <w:szCs w:val="20"/>
        </w:rPr>
      </w:pPr>
      <w:r w:rsidRPr="00B869B0">
        <w:rPr>
          <w:rFonts w:cs="Arial"/>
          <w:color w:val="000000"/>
          <w:sz w:val="20"/>
          <w:szCs w:val="20"/>
        </w:rPr>
        <w:t>Preventing and Minimising Gambling Harm six-year strategic plan 2010/11–2015/16</w:t>
      </w:r>
    </w:p>
    <w:p w:rsidR="00B869B0" w:rsidRDefault="00B869B0" w:rsidP="00BA3081">
      <w:pPr>
        <w:spacing w:after="0"/>
        <w:ind w:left="720"/>
        <w:rPr>
          <w:rFonts w:eastAsia="Times New Roman" w:cs="Times New Roman"/>
          <w:sz w:val="20"/>
          <w:szCs w:val="20"/>
        </w:rPr>
      </w:pPr>
    </w:p>
    <w:p w:rsidR="003974E1" w:rsidRPr="00BA3081" w:rsidRDefault="003974E1" w:rsidP="00BA3081">
      <w:pPr>
        <w:spacing w:after="0"/>
        <w:ind w:left="720"/>
        <w:rPr>
          <w:rFonts w:eastAsia="Times New Roman" w:cs="Times New Roman"/>
          <w:sz w:val="20"/>
          <w:szCs w:val="20"/>
        </w:rPr>
      </w:pPr>
      <w:r w:rsidRPr="00BA3081">
        <w:rPr>
          <w:rFonts w:eastAsia="Times New Roman" w:cs="Times New Roman"/>
          <w:sz w:val="20"/>
          <w:szCs w:val="20"/>
        </w:rPr>
        <w:t xml:space="preserve">Relevant Gambling Links </w:t>
      </w:r>
    </w:p>
    <w:p w:rsidR="00B869B0" w:rsidRPr="00B96801" w:rsidRDefault="001E2659" w:rsidP="001E2659">
      <w:pPr>
        <w:pStyle w:val="BulletText1"/>
        <w:numPr>
          <w:ilvl w:val="0"/>
          <w:numId w:val="9"/>
        </w:numPr>
        <w:ind w:left="1418" w:hanging="284"/>
        <w:rPr>
          <w:rStyle w:val="Hyperlink"/>
          <w:lang w:val="en-NZ"/>
        </w:rPr>
      </w:pPr>
      <w:hyperlink r:id="rId10" w:history="1">
        <w:r w:rsidR="009028FC" w:rsidRPr="00B96801">
          <w:rPr>
            <w:rStyle w:val="Hyperlink"/>
            <w:rFonts w:cs="Arial"/>
            <w:sz w:val="20"/>
            <w:lang w:val="en-NZ"/>
          </w:rPr>
          <w:t>http://www.legislation.govt.nz/act/public/2003/0051/latest/DLM210255.html</w:t>
        </w:r>
      </w:hyperlink>
    </w:p>
    <w:p w:rsidR="009028FC" w:rsidRPr="00B96801" w:rsidRDefault="009028FC" w:rsidP="001E2659">
      <w:pPr>
        <w:pStyle w:val="BulletText1"/>
        <w:numPr>
          <w:ilvl w:val="0"/>
          <w:numId w:val="0"/>
        </w:numPr>
        <w:ind w:left="1418" w:hanging="284"/>
        <w:rPr>
          <w:rStyle w:val="Hyperlink"/>
          <w:lang w:val="en-NZ"/>
        </w:rPr>
      </w:pPr>
    </w:p>
    <w:p w:rsidR="009028FC" w:rsidRPr="00B96801" w:rsidRDefault="001E2659" w:rsidP="001E2659">
      <w:pPr>
        <w:pStyle w:val="BulletText1"/>
        <w:numPr>
          <w:ilvl w:val="0"/>
          <w:numId w:val="9"/>
        </w:numPr>
        <w:ind w:left="1418" w:hanging="284"/>
        <w:rPr>
          <w:rStyle w:val="Hyperlink"/>
          <w:rFonts w:cs="Arial"/>
          <w:sz w:val="20"/>
          <w:lang w:val="en-NZ"/>
        </w:rPr>
      </w:pPr>
      <w:hyperlink r:id="rId11" w:history="1">
        <w:r w:rsidR="009028FC" w:rsidRPr="00B96801">
          <w:rPr>
            <w:rStyle w:val="Hyperlink"/>
            <w:rFonts w:cs="Arial"/>
            <w:sz w:val="20"/>
            <w:lang w:val="en-NZ"/>
          </w:rPr>
          <w:t>http://www.health.govt.nz/publication/preventing-and-minimising-gambling-harm-three-year-service-plan-and-levy-rates-2013-14-2015-16</w:t>
        </w:r>
      </w:hyperlink>
    </w:p>
    <w:p w:rsidR="00B96801" w:rsidRPr="00B96801" w:rsidRDefault="00B96801" w:rsidP="001E2659">
      <w:pPr>
        <w:pStyle w:val="BulletText1"/>
        <w:numPr>
          <w:ilvl w:val="0"/>
          <w:numId w:val="0"/>
        </w:numPr>
        <w:ind w:left="1418" w:hanging="284"/>
        <w:rPr>
          <w:rStyle w:val="Hyperlink"/>
          <w:rFonts w:cs="Arial"/>
          <w:sz w:val="20"/>
          <w:lang w:val="en-NZ"/>
        </w:rPr>
      </w:pPr>
    </w:p>
    <w:p w:rsidR="003974E1" w:rsidRPr="00B96801" w:rsidRDefault="001E2659" w:rsidP="001E2659">
      <w:pPr>
        <w:pStyle w:val="BulletText1"/>
        <w:numPr>
          <w:ilvl w:val="0"/>
          <w:numId w:val="9"/>
        </w:numPr>
        <w:ind w:left="1418" w:hanging="284"/>
        <w:rPr>
          <w:rStyle w:val="Hyperlink"/>
          <w:rFonts w:cs="Arial"/>
          <w:sz w:val="20"/>
          <w:lang w:val="en-NZ"/>
        </w:rPr>
      </w:pPr>
      <w:hyperlink r:id="rId12" w:history="1">
        <w:r w:rsidR="009028FC" w:rsidRPr="00B96801">
          <w:rPr>
            <w:rStyle w:val="Hyperlink"/>
            <w:rFonts w:cs="Arial"/>
            <w:sz w:val="20"/>
            <w:lang w:val="en-NZ"/>
          </w:rPr>
          <w:t>http://www.health.govt.nz/publication/preventing-and-minimising-gambling-harm-six-year-strategic-plan-2010-11-2015-16</w:t>
        </w:r>
      </w:hyperlink>
    </w:p>
    <w:p w:rsidR="009028FC" w:rsidRPr="009028FC" w:rsidRDefault="009028FC" w:rsidP="00B96801">
      <w:pPr>
        <w:autoSpaceDE w:val="0"/>
        <w:autoSpaceDN w:val="0"/>
        <w:adjustRightInd w:val="0"/>
        <w:spacing w:after="0" w:line="240" w:lineRule="auto"/>
        <w:ind w:left="1134"/>
        <w:rPr>
          <w:rFonts w:cs="Arial"/>
          <w:color w:val="000000"/>
          <w:sz w:val="20"/>
          <w:szCs w:val="20"/>
        </w:rPr>
      </w:pPr>
    </w:p>
    <w:p w:rsidR="00CF52E7" w:rsidRDefault="00CF52E7" w:rsidP="00CF52E7">
      <w:pPr>
        <w:pStyle w:val="Heading2"/>
        <w:rPr>
          <w:b/>
        </w:rPr>
      </w:pPr>
      <w:r w:rsidRPr="00A7687D">
        <w:rPr>
          <w:b/>
        </w:rPr>
        <w:t>Addiction Services</w:t>
      </w:r>
    </w:p>
    <w:p w:rsidR="003974E1" w:rsidRDefault="003974E1" w:rsidP="003974E1">
      <w:pPr>
        <w:pStyle w:val="BulletText1"/>
        <w:numPr>
          <w:ilvl w:val="0"/>
          <w:numId w:val="3"/>
        </w:numPr>
        <w:rPr>
          <w:rFonts w:cs="Arial"/>
          <w:sz w:val="20"/>
          <w:lang w:val="en-NZ"/>
        </w:rPr>
      </w:pPr>
      <w:r w:rsidRPr="00567CD9">
        <w:rPr>
          <w:rFonts w:cs="Arial"/>
          <w:sz w:val="20"/>
          <w:lang w:val="en-NZ"/>
        </w:rPr>
        <w:t xml:space="preserve">Rising to the challenge: Mental health and addictions service development plan (MHADP) 2012 – 2017 </w:t>
      </w:r>
    </w:p>
    <w:p w:rsidR="003974E1" w:rsidRPr="003974E1" w:rsidRDefault="003974E1" w:rsidP="003974E1">
      <w:pPr>
        <w:pStyle w:val="Heading2"/>
        <w:rPr>
          <w:b/>
        </w:rPr>
      </w:pPr>
      <w:r w:rsidRPr="003974E1">
        <w:rPr>
          <w:rFonts w:ascii="Arial Mäori" w:hAnsi="Arial Mäori" w:cs="Arial Mäori"/>
          <w:b/>
          <w:bCs/>
          <w:color w:val="000000"/>
        </w:rPr>
        <w:t>Hepatitis C</w:t>
      </w:r>
    </w:p>
    <w:p w:rsidR="003974E1" w:rsidRPr="00BA3081" w:rsidRDefault="003974E1" w:rsidP="00BA308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  <w:r w:rsidRPr="00BA3081">
        <w:rPr>
          <w:rFonts w:cs="Arial"/>
          <w:sz w:val="20"/>
          <w:szCs w:val="20"/>
        </w:rPr>
        <w:t>Ministry of Health. 2009. Strategic directions for hepatitis C – improving service access to and uptake of hepatitis C treatments.  Unpublished document.  Wellington: Ministry of Health</w:t>
      </w:r>
      <w:r w:rsidR="00B869B0">
        <w:rPr>
          <w:rFonts w:cs="Arial"/>
          <w:sz w:val="20"/>
          <w:szCs w:val="20"/>
        </w:rPr>
        <w:t xml:space="preserve"> (available on request)</w:t>
      </w:r>
    </w:p>
    <w:p w:rsidR="00CF52E7" w:rsidRDefault="00CF52E7" w:rsidP="00CF52E7">
      <w:pPr>
        <w:pStyle w:val="Heading2"/>
        <w:rPr>
          <w:b/>
        </w:rPr>
      </w:pPr>
      <w:proofErr w:type="spellStart"/>
      <w:r w:rsidRPr="009A25A9">
        <w:rPr>
          <w:b/>
        </w:rPr>
        <w:lastRenderedPageBreak/>
        <w:t>WorkSafe</w:t>
      </w:r>
      <w:proofErr w:type="spellEnd"/>
      <w:r w:rsidRPr="009A25A9">
        <w:rPr>
          <w:b/>
        </w:rPr>
        <w:t xml:space="preserve"> New Zealand (from December 2013)</w:t>
      </w:r>
    </w:p>
    <w:p w:rsidR="00CF52E7" w:rsidRPr="00BC2067" w:rsidRDefault="00CF52E7" w:rsidP="00CF52E7">
      <w:pPr>
        <w:pStyle w:val="BulletText1"/>
        <w:numPr>
          <w:ilvl w:val="0"/>
          <w:numId w:val="3"/>
        </w:numPr>
        <w:rPr>
          <w:rFonts w:cs="Arial"/>
          <w:sz w:val="20"/>
          <w:lang w:val="en-NZ"/>
        </w:rPr>
      </w:pPr>
      <w:r w:rsidRPr="00BC2067">
        <w:rPr>
          <w:rFonts w:cs="Arial"/>
          <w:sz w:val="20"/>
          <w:lang w:val="en-NZ"/>
        </w:rPr>
        <w:t>The (WHSS) Occupational Health Action Plan to 2013 (</w:t>
      </w:r>
      <w:hyperlink r:id="rId13" w:history="1">
        <w:r w:rsidRPr="003974E1">
          <w:rPr>
            <w:rFonts w:cs="Arial"/>
            <w:sz w:val="20"/>
            <w:lang w:val="en-NZ"/>
          </w:rPr>
          <w:t>http://www.business.govt.nz/healthandsafetygroup/about-health-and-safety/whss/action-agenda-action-plans/occupational-health-action-plan-to-2013</w:t>
        </w:r>
      </w:hyperlink>
      <w:r w:rsidRPr="00BC2067">
        <w:rPr>
          <w:rFonts w:cs="Arial"/>
          <w:sz w:val="20"/>
          <w:lang w:val="en-NZ"/>
        </w:rPr>
        <w:t>)</w:t>
      </w:r>
    </w:p>
    <w:p w:rsidR="00CF52E7" w:rsidRPr="0038417C" w:rsidRDefault="00CF52E7" w:rsidP="00CF52E7">
      <w:pPr>
        <w:pStyle w:val="Heading2"/>
        <w:rPr>
          <w:b/>
        </w:rPr>
      </w:pPr>
      <w:r w:rsidRPr="0038417C">
        <w:rPr>
          <w:b/>
        </w:rPr>
        <w:t xml:space="preserve">Available on request: </w:t>
      </w:r>
    </w:p>
    <w:p w:rsidR="00CF52E7" w:rsidRPr="0038417C" w:rsidRDefault="00CF52E7" w:rsidP="00CF52E7">
      <w:pPr>
        <w:pStyle w:val="BulletText1"/>
        <w:numPr>
          <w:ilvl w:val="0"/>
          <w:numId w:val="3"/>
        </w:numPr>
        <w:rPr>
          <w:rFonts w:cs="Arial"/>
          <w:sz w:val="20"/>
          <w:lang w:val="en-NZ"/>
        </w:rPr>
      </w:pPr>
      <w:r w:rsidRPr="0038417C">
        <w:rPr>
          <w:rFonts w:cs="Arial"/>
          <w:sz w:val="20"/>
          <w:lang w:val="en-NZ"/>
        </w:rPr>
        <w:t>“Evaluation of the Secondary Triage Pilots in the Ambulance Communications Centres” prepared for the Ministry of Health by Evaluation Works Limited.</w:t>
      </w:r>
    </w:p>
    <w:p w:rsidR="00CF52E7" w:rsidRDefault="00CF52E7" w:rsidP="00CF52E7"/>
    <w:p w:rsidR="009866FE" w:rsidRDefault="009866FE" w:rsidP="003974E1">
      <w:pPr>
        <w:pStyle w:val="Heading2"/>
        <w:numPr>
          <w:ilvl w:val="0"/>
          <w:numId w:val="0"/>
        </w:numPr>
        <w:ind w:left="708"/>
      </w:pPr>
    </w:p>
    <w:sectPr w:rsidR="00986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D1F" w:rsidRDefault="009D4D1F" w:rsidP="009D4D1F">
      <w:pPr>
        <w:spacing w:after="0" w:line="240" w:lineRule="auto"/>
      </w:pPr>
      <w:r>
        <w:separator/>
      </w:r>
    </w:p>
  </w:endnote>
  <w:endnote w:type="continuationSeparator" w:id="0">
    <w:p w:rsidR="009D4D1F" w:rsidRDefault="009D4D1F" w:rsidP="009D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Mäori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D1F" w:rsidRDefault="009D4D1F" w:rsidP="009D4D1F">
      <w:pPr>
        <w:spacing w:after="0" w:line="240" w:lineRule="auto"/>
      </w:pPr>
      <w:r>
        <w:separator/>
      </w:r>
    </w:p>
  </w:footnote>
  <w:footnote w:type="continuationSeparator" w:id="0">
    <w:p w:rsidR="009D4D1F" w:rsidRDefault="009D4D1F" w:rsidP="009D4D1F">
      <w:pPr>
        <w:spacing w:after="0" w:line="240" w:lineRule="auto"/>
      </w:pPr>
      <w:r>
        <w:continuationSeparator/>
      </w:r>
    </w:p>
  </w:footnote>
  <w:footnote w:id="1">
    <w:p w:rsidR="00A7687D" w:rsidRPr="00713B53" w:rsidRDefault="00A7687D" w:rsidP="00A7687D">
      <w:pPr>
        <w:pStyle w:val="FootnoteText"/>
        <w:rPr>
          <w:rFonts w:cs="Arial"/>
          <w:sz w:val="16"/>
          <w:szCs w:val="16"/>
        </w:rPr>
      </w:pPr>
      <w:r w:rsidRPr="00713B53">
        <w:rPr>
          <w:rStyle w:val="FootnoteReference"/>
          <w:rFonts w:cs="Arial"/>
          <w:sz w:val="16"/>
          <w:szCs w:val="16"/>
        </w:rPr>
        <w:footnoteRef/>
      </w:r>
      <w:r w:rsidRPr="00713B53">
        <w:rPr>
          <w:rFonts w:cs="Arial"/>
          <w:sz w:val="16"/>
          <w:szCs w:val="16"/>
        </w:rPr>
        <w:t xml:space="preserve"> </w:t>
      </w:r>
      <w:proofErr w:type="gramStart"/>
      <w:r w:rsidR="0058004F" w:rsidRPr="0058004F">
        <w:rPr>
          <w:rFonts w:cs="Arial"/>
          <w:sz w:val="16"/>
          <w:szCs w:val="16"/>
        </w:rPr>
        <w:t>Ministry of Health.</w:t>
      </w:r>
      <w:proofErr w:type="gramEnd"/>
      <w:r w:rsidR="0058004F" w:rsidRPr="0058004F">
        <w:rPr>
          <w:rFonts w:cs="Arial"/>
          <w:sz w:val="16"/>
          <w:szCs w:val="16"/>
        </w:rPr>
        <w:t xml:space="preserve"> 2013. Statement of Intent 2013-2016: Ministry of Health</w:t>
      </w:r>
    </w:p>
  </w:footnote>
  <w:footnote w:id="2">
    <w:p w:rsidR="00A7687D" w:rsidRPr="001A3134" w:rsidRDefault="00A7687D" w:rsidP="00A7687D">
      <w:pPr>
        <w:pStyle w:val="FootnoteText"/>
        <w:rPr>
          <w:rFonts w:cs="Arial"/>
          <w:sz w:val="18"/>
          <w:szCs w:val="18"/>
        </w:rPr>
      </w:pPr>
      <w:r w:rsidRPr="00713B53">
        <w:rPr>
          <w:rStyle w:val="FootnoteReference"/>
          <w:rFonts w:cs="Arial"/>
          <w:sz w:val="16"/>
          <w:szCs w:val="16"/>
        </w:rPr>
        <w:footnoteRef/>
      </w:r>
      <w:r w:rsidRPr="00713B53">
        <w:rPr>
          <w:rFonts w:cs="Arial"/>
          <w:sz w:val="16"/>
          <w:szCs w:val="16"/>
        </w:rPr>
        <w:t xml:space="preserve"> http://www.moh.govt.nz/healthtargets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1669E90"/>
    <w:lvl w:ilvl="0">
      <w:start w:val="1"/>
      <w:numFmt w:val="decimal"/>
      <w:pStyle w:val="Heading1"/>
      <w:lvlText w:val="%1"/>
      <w:lvlJc w:val="left"/>
      <w:pPr>
        <w:tabs>
          <w:tab w:val="num" w:pos="-1"/>
        </w:tabs>
        <w:ind w:left="708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-1"/>
        </w:tabs>
        <w:ind w:left="708" w:hanging="709"/>
      </w:pPr>
      <w:rPr>
        <w:rFonts w:hint="default"/>
        <w:b w:val="0"/>
        <w:color w:val="auto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-1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-1"/>
        </w:tabs>
        <w:ind w:left="2126" w:hanging="708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-1"/>
        </w:tabs>
        <w:ind w:left="3541" w:hanging="708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-1"/>
        </w:tabs>
        <w:ind w:left="4249" w:hanging="708"/>
      </w:pPr>
      <w:rPr>
        <w:rFonts w:hint="default"/>
      </w:rPr>
    </w:lvl>
    <w:lvl w:ilvl="6">
      <w:start w:val="1"/>
      <w:numFmt w:val="upperLetter"/>
      <w:pStyle w:val="Heading7"/>
      <w:lvlText w:val="ANNEX  %7"/>
      <w:lvlJc w:val="right"/>
      <w:pPr>
        <w:tabs>
          <w:tab w:val="num" w:pos="-1"/>
        </w:tabs>
        <w:ind w:left="4957" w:hanging="708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-1"/>
        </w:tabs>
        <w:ind w:left="5665" w:hanging="708"/>
      </w:pPr>
      <w:rPr>
        <w:rFonts w:hint="default"/>
      </w:rPr>
    </w:lvl>
    <w:lvl w:ilvl="8">
      <w:start w:val="1"/>
      <w:numFmt w:val="upperLetter"/>
      <w:pStyle w:val="Heading9"/>
      <w:lvlText w:val=" ANNEX %9"/>
      <w:lvlJc w:val="left"/>
      <w:pPr>
        <w:tabs>
          <w:tab w:val="num" w:pos="-1"/>
        </w:tabs>
        <w:ind w:left="6373" w:hanging="708"/>
      </w:pPr>
      <w:rPr>
        <w:rFonts w:hint="default"/>
      </w:rPr>
    </w:lvl>
  </w:abstractNum>
  <w:abstractNum w:abstractNumId="1">
    <w:nsid w:val="FFFFFFFE"/>
    <w:multiLevelType w:val="singleLevel"/>
    <w:tmpl w:val="614C3598"/>
    <w:lvl w:ilvl="0">
      <w:numFmt w:val="bullet"/>
      <w:lvlText w:val="*"/>
      <w:lvlJc w:val="left"/>
    </w:lvl>
  </w:abstractNum>
  <w:abstractNum w:abstractNumId="2">
    <w:nsid w:val="0DE710F6"/>
    <w:multiLevelType w:val="hybridMultilevel"/>
    <w:tmpl w:val="9D1A635C"/>
    <w:lvl w:ilvl="0" w:tplc="C51C62C2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  <w:sz w:val="18"/>
        <w:szCs w:val="18"/>
      </w:rPr>
    </w:lvl>
    <w:lvl w:ilvl="1" w:tplc="4962BB86">
      <w:start w:val="1"/>
      <w:numFmt w:val="bullet"/>
      <w:lvlText w:val="­"/>
      <w:lvlJc w:val="left"/>
      <w:pPr>
        <w:tabs>
          <w:tab w:val="num" w:pos="1084"/>
        </w:tabs>
        <w:ind w:left="1084" w:hanging="363"/>
      </w:pPr>
      <w:rPr>
        <w:rFonts w:ascii="Courier New" w:hAnsi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">
    <w:nsid w:val="3EB31883"/>
    <w:multiLevelType w:val="hybridMultilevel"/>
    <w:tmpl w:val="18A0F000"/>
    <w:lvl w:ilvl="0" w:tplc="1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>
    <w:nsid w:val="479610DD"/>
    <w:multiLevelType w:val="hybridMultilevel"/>
    <w:tmpl w:val="26F4E290"/>
    <w:lvl w:ilvl="0" w:tplc="1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"/>
  </w:num>
  <w:num w:numId="5">
    <w:abstractNumId w:val="0"/>
  </w:num>
  <w:num w:numId="6">
    <w:abstractNumId w:val="2"/>
  </w:num>
  <w:num w:numId="7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17C"/>
    <w:rsid w:val="001E2659"/>
    <w:rsid w:val="00236481"/>
    <w:rsid w:val="002C3A21"/>
    <w:rsid w:val="002C6A15"/>
    <w:rsid w:val="0038417C"/>
    <w:rsid w:val="003974E1"/>
    <w:rsid w:val="00460FDC"/>
    <w:rsid w:val="00511CF4"/>
    <w:rsid w:val="0058004F"/>
    <w:rsid w:val="00627DF5"/>
    <w:rsid w:val="007E7084"/>
    <w:rsid w:val="008F1104"/>
    <w:rsid w:val="009028FC"/>
    <w:rsid w:val="009138C8"/>
    <w:rsid w:val="009866FE"/>
    <w:rsid w:val="009D4D1F"/>
    <w:rsid w:val="00A7687D"/>
    <w:rsid w:val="00AA7E28"/>
    <w:rsid w:val="00AF3065"/>
    <w:rsid w:val="00B15F70"/>
    <w:rsid w:val="00B869B0"/>
    <w:rsid w:val="00B96801"/>
    <w:rsid w:val="00BA3081"/>
    <w:rsid w:val="00CF52E7"/>
    <w:rsid w:val="00DD69A8"/>
    <w:rsid w:val="00FC7CBD"/>
    <w:rsid w:val="00FE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Moh Para 1"/>
    <w:basedOn w:val="Normal"/>
    <w:next w:val="Normal"/>
    <w:link w:val="Heading1Char"/>
    <w:qFormat/>
    <w:rsid w:val="0038417C"/>
    <w:pPr>
      <w:keepNext/>
      <w:numPr>
        <w:numId w:val="1"/>
      </w:numPr>
      <w:spacing w:before="480" w:after="0" w:line="240" w:lineRule="auto"/>
      <w:jc w:val="both"/>
      <w:outlineLvl w:val="0"/>
    </w:pPr>
    <w:rPr>
      <w:rFonts w:eastAsia="Times New Roman" w:cs="Times New Roman"/>
      <w:b/>
      <w:kern w:val="28"/>
      <w:sz w:val="22"/>
      <w:szCs w:val="20"/>
    </w:rPr>
  </w:style>
  <w:style w:type="paragraph" w:styleId="Heading2">
    <w:name w:val="heading 2"/>
    <w:aliases w:val="MoH sub-para"/>
    <w:basedOn w:val="Normal"/>
    <w:link w:val="Heading2Char"/>
    <w:qFormat/>
    <w:rsid w:val="0038417C"/>
    <w:pPr>
      <w:numPr>
        <w:ilvl w:val="1"/>
        <w:numId w:val="1"/>
      </w:numPr>
      <w:spacing w:before="240" w:after="0" w:line="240" w:lineRule="auto"/>
      <w:jc w:val="both"/>
      <w:outlineLvl w:val="1"/>
    </w:pPr>
    <w:rPr>
      <w:rFonts w:eastAsia="Times New Roman" w:cs="Times New Roman"/>
      <w:sz w:val="20"/>
      <w:szCs w:val="20"/>
    </w:rPr>
  </w:style>
  <w:style w:type="paragraph" w:styleId="Heading3">
    <w:name w:val="heading 3"/>
    <w:aliases w:val="Moh sub-sub-para"/>
    <w:basedOn w:val="Normal"/>
    <w:link w:val="Heading3Char"/>
    <w:qFormat/>
    <w:rsid w:val="0038417C"/>
    <w:pPr>
      <w:numPr>
        <w:ilvl w:val="2"/>
        <w:numId w:val="1"/>
      </w:numPr>
      <w:spacing w:before="240" w:after="0" w:line="240" w:lineRule="auto"/>
      <w:jc w:val="both"/>
      <w:outlineLvl w:val="2"/>
    </w:pPr>
    <w:rPr>
      <w:rFonts w:eastAsia="Times New Roman" w:cs="Times New Roman"/>
      <w:sz w:val="20"/>
      <w:szCs w:val="20"/>
    </w:rPr>
  </w:style>
  <w:style w:type="paragraph" w:styleId="Heading4">
    <w:name w:val="heading 4"/>
    <w:aliases w:val="MoH sub-sub-sub para"/>
    <w:basedOn w:val="Normal"/>
    <w:link w:val="Heading4Char"/>
    <w:qFormat/>
    <w:rsid w:val="0038417C"/>
    <w:pPr>
      <w:numPr>
        <w:ilvl w:val="3"/>
        <w:numId w:val="1"/>
      </w:numPr>
      <w:spacing w:before="240" w:after="0" w:line="240" w:lineRule="auto"/>
      <w:jc w:val="both"/>
      <w:outlineLvl w:val="3"/>
    </w:pPr>
    <w:rPr>
      <w:rFonts w:eastAsia="Times New Roman" w:cs="Times New Roman"/>
      <w:sz w:val="20"/>
      <w:szCs w:val="20"/>
    </w:rPr>
  </w:style>
  <w:style w:type="paragraph" w:styleId="Heading5">
    <w:name w:val="heading 5"/>
    <w:aliases w:val="sub-sub- sub-sub para"/>
    <w:basedOn w:val="Normal"/>
    <w:link w:val="Heading5Char"/>
    <w:qFormat/>
    <w:rsid w:val="0038417C"/>
    <w:pPr>
      <w:numPr>
        <w:ilvl w:val="4"/>
        <w:numId w:val="1"/>
      </w:numPr>
      <w:spacing w:before="240" w:after="0" w:line="240" w:lineRule="auto"/>
      <w:jc w:val="both"/>
      <w:outlineLvl w:val="4"/>
    </w:pPr>
    <w:rPr>
      <w:rFonts w:eastAsia="Times New Roman" w:cs="Times New Roman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38417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eastAsia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38417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eastAsia="Times New Roman" w:cs="Times New Roman"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38417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eastAsia="Times New Roman" w:cs="Times New Roman"/>
      <w:i/>
      <w:sz w:val="22"/>
      <w:szCs w:val="20"/>
    </w:rPr>
  </w:style>
  <w:style w:type="paragraph" w:styleId="Heading9">
    <w:name w:val="heading 9"/>
    <w:aliases w:val="Heading 9 Annex"/>
    <w:basedOn w:val="Normal"/>
    <w:next w:val="Normal"/>
    <w:link w:val="Heading9Char"/>
    <w:qFormat/>
    <w:rsid w:val="0038417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eastAsia="Times New Roman" w:cs="Times New Roman"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oh Para 1 Char"/>
    <w:basedOn w:val="DefaultParagraphFont"/>
    <w:link w:val="Heading1"/>
    <w:rsid w:val="0038417C"/>
    <w:rPr>
      <w:rFonts w:eastAsia="Times New Roman" w:cs="Times New Roman"/>
      <w:b/>
      <w:kern w:val="28"/>
      <w:sz w:val="22"/>
      <w:szCs w:val="20"/>
    </w:rPr>
  </w:style>
  <w:style w:type="character" w:customStyle="1" w:styleId="Heading2Char">
    <w:name w:val="Heading 2 Char"/>
    <w:aliases w:val="MoH sub-para Char"/>
    <w:basedOn w:val="DefaultParagraphFont"/>
    <w:link w:val="Heading2"/>
    <w:rsid w:val="0038417C"/>
    <w:rPr>
      <w:rFonts w:eastAsia="Times New Roman" w:cs="Times New Roman"/>
      <w:sz w:val="20"/>
      <w:szCs w:val="20"/>
    </w:rPr>
  </w:style>
  <w:style w:type="character" w:customStyle="1" w:styleId="Heading3Char">
    <w:name w:val="Heading 3 Char"/>
    <w:aliases w:val="Moh sub-sub-para Char"/>
    <w:basedOn w:val="DefaultParagraphFont"/>
    <w:link w:val="Heading3"/>
    <w:rsid w:val="0038417C"/>
    <w:rPr>
      <w:rFonts w:eastAsia="Times New Roman" w:cs="Times New Roman"/>
      <w:sz w:val="20"/>
      <w:szCs w:val="20"/>
    </w:rPr>
  </w:style>
  <w:style w:type="character" w:customStyle="1" w:styleId="Heading4Char">
    <w:name w:val="Heading 4 Char"/>
    <w:aliases w:val="MoH sub-sub-sub para Char"/>
    <w:basedOn w:val="DefaultParagraphFont"/>
    <w:link w:val="Heading4"/>
    <w:rsid w:val="0038417C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aliases w:val="sub-sub- sub-sub para Char"/>
    <w:basedOn w:val="DefaultParagraphFont"/>
    <w:link w:val="Heading5"/>
    <w:rsid w:val="0038417C"/>
    <w:rPr>
      <w:rFonts w:eastAsia="Times New Roman" w:cs="Times New Roman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38417C"/>
    <w:rPr>
      <w:rFonts w:eastAsia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38417C"/>
    <w:rPr>
      <w:rFonts w:eastAsia="Times New Roman" w:cs="Times New Roman"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38417C"/>
    <w:rPr>
      <w:rFonts w:eastAsia="Times New Roman" w:cs="Times New Roman"/>
      <w:i/>
      <w:sz w:val="22"/>
      <w:szCs w:val="20"/>
    </w:rPr>
  </w:style>
  <w:style w:type="character" w:customStyle="1" w:styleId="Heading9Char">
    <w:name w:val="Heading 9 Char"/>
    <w:aliases w:val="Heading 9 Annex Char"/>
    <w:basedOn w:val="DefaultParagraphFont"/>
    <w:link w:val="Heading9"/>
    <w:rsid w:val="0038417C"/>
    <w:rPr>
      <w:rFonts w:eastAsia="Times New Roman" w:cs="Times New Roman"/>
      <w:caps/>
      <w:szCs w:val="20"/>
    </w:rPr>
  </w:style>
  <w:style w:type="paragraph" w:customStyle="1" w:styleId="BulletText1">
    <w:name w:val="Bullet Text 1"/>
    <w:basedOn w:val="Normal"/>
    <w:rsid w:val="0038417C"/>
    <w:pPr>
      <w:numPr>
        <w:numId w:val="2"/>
      </w:numPr>
      <w:spacing w:after="0" w:line="240" w:lineRule="auto"/>
    </w:pPr>
    <w:rPr>
      <w:rFonts w:eastAsia="Times New Roman" w:cs="Times New Roman"/>
      <w:color w:val="000000"/>
      <w:sz w:val="2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5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2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2E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2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52E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D4D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D1F"/>
    <w:rPr>
      <w:sz w:val="20"/>
      <w:szCs w:val="20"/>
    </w:rPr>
  </w:style>
  <w:style w:type="character" w:styleId="FootnoteReference">
    <w:name w:val="footnote reference"/>
    <w:rsid w:val="009D4D1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768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Moh Para 1"/>
    <w:basedOn w:val="Normal"/>
    <w:next w:val="Normal"/>
    <w:link w:val="Heading1Char"/>
    <w:qFormat/>
    <w:rsid w:val="0038417C"/>
    <w:pPr>
      <w:keepNext/>
      <w:numPr>
        <w:numId w:val="1"/>
      </w:numPr>
      <w:spacing w:before="480" w:after="0" w:line="240" w:lineRule="auto"/>
      <w:jc w:val="both"/>
      <w:outlineLvl w:val="0"/>
    </w:pPr>
    <w:rPr>
      <w:rFonts w:eastAsia="Times New Roman" w:cs="Times New Roman"/>
      <w:b/>
      <w:kern w:val="28"/>
      <w:sz w:val="22"/>
      <w:szCs w:val="20"/>
    </w:rPr>
  </w:style>
  <w:style w:type="paragraph" w:styleId="Heading2">
    <w:name w:val="heading 2"/>
    <w:aliases w:val="MoH sub-para"/>
    <w:basedOn w:val="Normal"/>
    <w:link w:val="Heading2Char"/>
    <w:qFormat/>
    <w:rsid w:val="0038417C"/>
    <w:pPr>
      <w:numPr>
        <w:ilvl w:val="1"/>
        <w:numId w:val="1"/>
      </w:numPr>
      <w:spacing w:before="240" w:after="0" w:line="240" w:lineRule="auto"/>
      <w:jc w:val="both"/>
      <w:outlineLvl w:val="1"/>
    </w:pPr>
    <w:rPr>
      <w:rFonts w:eastAsia="Times New Roman" w:cs="Times New Roman"/>
      <w:sz w:val="20"/>
      <w:szCs w:val="20"/>
    </w:rPr>
  </w:style>
  <w:style w:type="paragraph" w:styleId="Heading3">
    <w:name w:val="heading 3"/>
    <w:aliases w:val="Moh sub-sub-para"/>
    <w:basedOn w:val="Normal"/>
    <w:link w:val="Heading3Char"/>
    <w:qFormat/>
    <w:rsid w:val="0038417C"/>
    <w:pPr>
      <w:numPr>
        <w:ilvl w:val="2"/>
        <w:numId w:val="1"/>
      </w:numPr>
      <w:spacing w:before="240" w:after="0" w:line="240" w:lineRule="auto"/>
      <w:jc w:val="both"/>
      <w:outlineLvl w:val="2"/>
    </w:pPr>
    <w:rPr>
      <w:rFonts w:eastAsia="Times New Roman" w:cs="Times New Roman"/>
      <w:sz w:val="20"/>
      <w:szCs w:val="20"/>
    </w:rPr>
  </w:style>
  <w:style w:type="paragraph" w:styleId="Heading4">
    <w:name w:val="heading 4"/>
    <w:aliases w:val="MoH sub-sub-sub para"/>
    <w:basedOn w:val="Normal"/>
    <w:link w:val="Heading4Char"/>
    <w:qFormat/>
    <w:rsid w:val="0038417C"/>
    <w:pPr>
      <w:numPr>
        <w:ilvl w:val="3"/>
        <w:numId w:val="1"/>
      </w:numPr>
      <w:spacing w:before="240" w:after="0" w:line="240" w:lineRule="auto"/>
      <w:jc w:val="both"/>
      <w:outlineLvl w:val="3"/>
    </w:pPr>
    <w:rPr>
      <w:rFonts w:eastAsia="Times New Roman" w:cs="Times New Roman"/>
      <w:sz w:val="20"/>
      <w:szCs w:val="20"/>
    </w:rPr>
  </w:style>
  <w:style w:type="paragraph" w:styleId="Heading5">
    <w:name w:val="heading 5"/>
    <w:aliases w:val="sub-sub- sub-sub para"/>
    <w:basedOn w:val="Normal"/>
    <w:link w:val="Heading5Char"/>
    <w:qFormat/>
    <w:rsid w:val="0038417C"/>
    <w:pPr>
      <w:numPr>
        <w:ilvl w:val="4"/>
        <w:numId w:val="1"/>
      </w:numPr>
      <w:spacing w:before="240" w:after="0" w:line="240" w:lineRule="auto"/>
      <w:jc w:val="both"/>
      <w:outlineLvl w:val="4"/>
    </w:pPr>
    <w:rPr>
      <w:rFonts w:eastAsia="Times New Roman" w:cs="Times New Roman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38417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eastAsia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38417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eastAsia="Times New Roman" w:cs="Times New Roman"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38417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eastAsia="Times New Roman" w:cs="Times New Roman"/>
      <w:i/>
      <w:sz w:val="22"/>
      <w:szCs w:val="20"/>
    </w:rPr>
  </w:style>
  <w:style w:type="paragraph" w:styleId="Heading9">
    <w:name w:val="heading 9"/>
    <w:aliases w:val="Heading 9 Annex"/>
    <w:basedOn w:val="Normal"/>
    <w:next w:val="Normal"/>
    <w:link w:val="Heading9Char"/>
    <w:qFormat/>
    <w:rsid w:val="0038417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eastAsia="Times New Roman" w:cs="Times New Roman"/>
      <w: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oh Para 1 Char"/>
    <w:basedOn w:val="DefaultParagraphFont"/>
    <w:link w:val="Heading1"/>
    <w:rsid w:val="0038417C"/>
    <w:rPr>
      <w:rFonts w:eastAsia="Times New Roman" w:cs="Times New Roman"/>
      <w:b/>
      <w:kern w:val="28"/>
      <w:sz w:val="22"/>
      <w:szCs w:val="20"/>
    </w:rPr>
  </w:style>
  <w:style w:type="character" w:customStyle="1" w:styleId="Heading2Char">
    <w:name w:val="Heading 2 Char"/>
    <w:aliases w:val="MoH sub-para Char"/>
    <w:basedOn w:val="DefaultParagraphFont"/>
    <w:link w:val="Heading2"/>
    <w:rsid w:val="0038417C"/>
    <w:rPr>
      <w:rFonts w:eastAsia="Times New Roman" w:cs="Times New Roman"/>
      <w:sz w:val="20"/>
      <w:szCs w:val="20"/>
    </w:rPr>
  </w:style>
  <w:style w:type="character" w:customStyle="1" w:styleId="Heading3Char">
    <w:name w:val="Heading 3 Char"/>
    <w:aliases w:val="Moh sub-sub-para Char"/>
    <w:basedOn w:val="DefaultParagraphFont"/>
    <w:link w:val="Heading3"/>
    <w:rsid w:val="0038417C"/>
    <w:rPr>
      <w:rFonts w:eastAsia="Times New Roman" w:cs="Times New Roman"/>
      <w:sz w:val="20"/>
      <w:szCs w:val="20"/>
    </w:rPr>
  </w:style>
  <w:style w:type="character" w:customStyle="1" w:styleId="Heading4Char">
    <w:name w:val="Heading 4 Char"/>
    <w:aliases w:val="MoH sub-sub-sub para Char"/>
    <w:basedOn w:val="DefaultParagraphFont"/>
    <w:link w:val="Heading4"/>
    <w:rsid w:val="0038417C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aliases w:val="sub-sub- sub-sub para Char"/>
    <w:basedOn w:val="DefaultParagraphFont"/>
    <w:link w:val="Heading5"/>
    <w:rsid w:val="0038417C"/>
    <w:rPr>
      <w:rFonts w:eastAsia="Times New Roman" w:cs="Times New Roman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38417C"/>
    <w:rPr>
      <w:rFonts w:eastAsia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38417C"/>
    <w:rPr>
      <w:rFonts w:eastAsia="Times New Roman" w:cs="Times New Roman"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38417C"/>
    <w:rPr>
      <w:rFonts w:eastAsia="Times New Roman" w:cs="Times New Roman"/>
      <w:i/>
      <w:sz w:val="22"/>
      <w:szCs w:val="20"/>
    </w:rPr>
  </w:style>
  <w:style w:type="character" w:customStyle="1" w:styleId="Heading9Char">
    <w:name w:val="Heading 9 Char"/>
    <w:aliases w:val="Heading 9 Annex Char"/>
    <w:basedOn w:val="DefaultParagraphFont"/>
    <w:link w:val="Heading9"/>
    <w:rsid w:val="0038417C"/>
    <w:rPr>
      <w:rFonts w:eastAsia="Times New Roman" w:cs="Times New Roman"/>
      <w:caps/>
      <w:szCs w:val="20"/>
    </w:rPr>
  </w:style>
  <w:style w:type="paragraph" w:customStyle="1" w:styleId="BulletText1">
    <w:name w:val="Bullet Text 1"/>
    <w:basedOn w:val="Normal"/>
    <w:rsid w:val="0038417C"/>
    <w:pPr>
      <w:numPr>
        <w:numId w:val="2"/>
      </w:numPr>
      <w:spacing w:after="0" w:line="240" w:lineRule="auto"/>
    </w:pPr>
    <w:rPr>
      <w:rFonts w:eastAsia="Times New Roman" w:cs="Times New Roman"/>
      <w:color w:val="000000"/>
      <w:sz w:val="2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5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2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2E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2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52E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D4D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D1F"/>
    <w:rPr>
      <w:sz w:val="20"/>
      <w:szCs w:val="20"/>
    </w:rPr>
  </w:style>
  <w:style w:type="character" w:styleId="FootnoteReference">
    <w:name w:val="footnote reference"/>
    <w:rsid w:val="009D4D1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768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fl.health.govt.nz/apps/nsfl.nsf/pagesmh/403" TargetMode="External"/><Relationship Id="rId13" Type="http://schemas.openxmlformats.org/officeDocument/2006/relationships/hyperlink" Target="http://www.business.govt.nz/healthandsafetygroup/about-health-and-safety/whss/action-agenda-action-plans/occupational-health-action-plan-to-20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ealth.govt.nz/publication/preventing-and-minimising-gambling-harm-six-year-strategic-plan-2010-11-2015-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ealth.govt.nz/publication/preventing-and-minimising-gambling-harm-three-year-service-plan-and-levy-rates-2013-14-2015-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egislation.govt.nz/act/public/2003/0051/latest/DLM21025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alth.govt.nz/publication/new-zealand-smoking-cessation-guidelin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lastModifiedBy>MoH</cp:lastModifiedBy>
  <cp:revision>5</cp:revision>
  <cp:lastPrinted>2013-10-16T04:23:00Z</cp:lastPrinted>
  <dcterms:created xsi:type="dcterms:W3CDTF">2013-10-17T02:26:00Z</dcterms:created>
  <dcterms:modified xsi:type="dcterms:W3CDTF">2013-10-17T03:57:00Z</dcterms:modified>
</cp:coreProperties>
</file>