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7BF" w:rsidRPr="00180ABB" w:rsidRDefault="001C7F8E" w:rsidP="000857BF">
      <w:pPr>
        <w:pStyle w:val="MainHeadingLeft"/>
        <w:spacing w:before="360"/>
      </w:pPr>
      <w:bookmarkStart w:id="0" w:name="_Toc307921165"/>
      <w:bookmarkStart w:id="1" w:name="_Toc314046308"/>
      <w:r>
        <w:t>Appendix A</w:t>
      </w:r>
      <w:r w:rsidR="000857BF" w:rsidRPr="00180ABB">
        <w:t xml:space="preserve">: </w:t>
      </w:r>
      <w:bookmarkEnd w:id="0"/>
      <w:bookmarkEnd w:id="1"/>
      <w:r w:rsidR="008F7EDF">
        <w:t>Our Current Thinking</w:t>
      </w:r>
      <w:r w:rsidR="000857BF" w:rsidRPr="00180ABB">
        <w:t xml:space="preserve"> </w:t>
      </w:r>
    </w:p>
    <w:p w:rsidR="000857BF" w:rsidRPr="00180ABB" w:rsidRDefault="000857BF" w:rsidP="000857BF">
      <w:pPr>
        <w:tabs>
          <w:tab w:val="num" w:pos="972"/>
          <w:tab w:val="left" w:pos="9639"/>
        </w:tabs>
        <w:overflowPunct w:val="0"/>
        <w:autoSpaceDE w:val="0"/>
        <w:autoSpaceDN w:val="0"/>
        <w:adjustRightInd w:val="0"/>
        <w:spacing w:before="120"/>
        <w:textAlignment w:val="baseline"/>
        <w:rPr>
          <w:rFonts w:cs="Arial"/>
          <w:sz w:val="20"/>
        </w:rPr>
      </w:pPr>
      <w:r w:rsidRPr="00180ABB">
        <w:rPr>
          <w:rFonts w:cs="Arial"/>
          <w:sz w:val="20"/>
        </w:rPr>
        <w:t xml:space="preserve">This </w:t>
      </w:r>
      <w:r w:rsidR="004222AD">
        <w:rPr>
          <w:rFonts w:cs="Arial"/>
          <w:sz w:val="20"/>
        </w:rPr>
        <w:t xml:space="preserve">Appendix </w:t>
      </w:r>
      <w:r w:rsidRPr="00180ABB">
        <w:rPr>
          <w:rFonts w:cs="Arial"/>
          <w:sz w:val="20"/>
        </w:rPr>
        <w:t xml:space="preserve">provides background and contextual information related to </w:t>
      </w:r>
      <w:r>
        <w:rPr>
          <w:rFonts w:cs="Arial"/>
          <w:sz w:val="20"/>
        </w:rPr>
        <w:t xml:space="preserve">this RFI. </w:t>
      </w:r>
      <w:r w:rsidRPr="00180ABB">
        <w:rPr>
          <w:rFonts w:cs="Arial"/>
          <w:sz w:val="20"/>
        </w:rPr>
        <w:t xml:space="preserve">The information is provided with the intent that you can ascertain the scope of the required Services in sufficient detail </w:t>
      </w:r>
      <w:r>
        <w:rPr>
          <w:rFonts w:cs="Arial"/>
          <w:sz w:val="20"/>
        </w:rPr>
        <w:t xml:space="preserve">to enable you to formulate your response to this RFI. </w:t>
      </w:r>
    </w:p>
    <w:p w:rsidR="000857BF" w:rsidRPr="00180ABB" w:rsidRDefault="000857BF" w:rsidP="000857BF">
      <w:pPr>
        <w:pStyle w:val="Heading1"/>
        <w:numPr>
          <w:ilvl w:val="0"/>
          <w:numId w:val="2"/>
        </w:numPr>
        <w:spacing w:before="240"/>
        <w:ind w:left="709"/>
      </w:pPr>
      <w:bookmarkStart w:id="2" w:name="_Toc307921168"/>
      <w:bookmarkStart w:id="3" w:name="_Toc314046310"/>
      <w:bookmarkStart w:id="4" w:name="_Ref280252741"/>
      <w:bookmarkStart w:id="5" w:name="_Ref280252781"/>
      <w:r w:rsidRPr="00180ABB">
        <w:t>Introduction and Context</w:t>
      </w:r>
      <w:bookmarkEnd w:id="2"/>
      <w:bookmarkEnd w:id="3"/>
    </w:p>
    <w:p w:rsidR="004F16D8" w:rsidRDefault="000857BF" w:rsidP="000857BF">
      <w:pPr>
        <w:pStyle w:val="Heading2"/>
        <w:rPr>
          <w:rFonts w:cs="Arial"/>
          <w:bCs/>
        </w:rPr>
      </w:pPr>
      <w:r w:rsidRPr="004F16D8">
        <w:rPr>
          <w:rFonts w:cs="Arial"/>
          <w:bCs/>
        </w:rPr>
        <w:t xml:space="preserve">Services are currently delivered by a mix of commercial, university, and non-government organisations that together handle around two million calls by the public per year. The included services are: </w:t>
      </w:r>
      <w:proofErr w:type="spellStart"/>
      <w:r w:rsidRPr="004F16D8">
        <w:rPr>
          <w:rFonts w:cs="Arial"/>
          <w:bCs/>
        </w:rPr>
        <w:t>Healthline</w:t>
      </w:r>
      <w:proofErr w:type="spellEnd"/>
      <w:r w:rsidRPr="004F16D8">
        <w:rPr>
          <w:rFonts w:cs="Arial"/>
          <w:bCs/>
        </w:rPr>
        <w:t xml:space="preserve">, </w:t>
      </w:r>
      <w:proofErr w:type="spellStart"/>
      <w:r w:rsidRPr="004F16D8">
        <w:rPr>
          <w:rFonts w:cs="Arial"/>
          <w:bCs/>
        </w:rPr>
        <w:t>Quitline</w:t>
      </w:r>
      <w:proofErr w:type="spellEnd"/>
      <w:r w:rsidRPr="004F16D8">
        <w:rPr>
          <w:rFonts w:cs="Arial"/>
          <w:bCs/>
        </w:rPr>
        <w:t xml:space="preserve">, </w:t>
      </w:r>
      <w:proofErr w:type="spellStart"/>
      <w:r w:rsidRPr="004F16D8">
        <w:rPr>
          <w:rFonts w:cs="Arial"/>
          <w:bCs/>
        </w:rPr>
        <w:t>Poisonline</w:t>
      </w:r>
      <w:proofErr w:type="spellEnd"/>
      <w:r w:rsidRPr="004F16D8">
        <w:rPr>
          <w:rFonts w:cs="Arial"/>
          <w:bCs/>
        </w:rPr>
        <w:t>, Immunisation Advisory Centre (0800 Immune), Hepatitis C helplines, Alcohol and drug helpline, Depression helpline</w:t>
      </w:r>
      <w:r w:rsidR="004F16D8" w:rsidRPr="004F16D8">
        <w:rPr>
          <w:rFonts w:cs="Arial"/>
          <w:bCs/>
        </w:rPr>
        <w:t>s and Gambling Helpline.  (</w:t>
      </w:r>
      <w:proofErr w:type="gramStart"/>
      <w:r w:rsidR="004F16D8" w:rsidRPr="004F16D8">
        <w:rPr>
          <w:rFonts w:cs="Arial"/>
          <w:bCs/>
        </w:rPr>
        <w:t>see</w:t>
      </w:r>
      <w:proofErr w:type="gramEnd"/>
      <w:r w:rsidR="004F16D8" w:rsidRPr="004F16D8">
        <w:rPr>
          <w:rFonts w:cs="Arial"/>
          <w:bCs/>
        </w:rPr>
        <w:t xml:space="preserve"> A</w:t>
      </w:r>
      <w:r w:rsidRPr="004F16D8">
        <w:rPr>
          <w:rFonts w:cs="Arial"/>
          <w:bCs/>
        </w:rPr>
        <w:t xml:space="preserve">ppendix </w:t>
      </w:r>
      <w:r w:rsidR="004222AD" w:rsidRPr="004F16D8">
        <w:rPr>
          <w:rFonts w:cs="Arial"/>
          <w:bCs/>
        </w:rPr>
        <w:t xml:space="preserve">B </w:t>
      </w:r>
      <w:r w:rsidRPr="004F16D8">
        <w:rPr>
          <w:rFonts w:cs="Arial"/>
          <w:bCs/>
        </w:rPr>
        <w:t>for an overview of the current services</w:t>
      </w:r>
      <w:r w:rsidR="004F16D8" w:rsidRPr="004F16D8">
        <w:rPr>
          <w:rFonts w:cs="Arial"/>
          <w:bCs/>
        </w:rPr>
        <w:t>.</w:t>
      </w:r>
      <w:r w:rsidRPr="004F16D8">
        <w:rPr>
          <w:rFonts w:cs="Arial"/>
          <w:bCs/>
        </w:rPr>
        <w:t xml:space="preserve"> </w:t>
      </w:r>
    </w:p>
    <w:p w:rsidR="000857BF" w:rsidRPr="004F16D8" w:rsidRDefault="00F14413" w:rsidP="000857BF">
      <w:pPr>
        <w:pStyle w:val="Heading2"/>
        <w:rPr>
          <w:rFonts w:cs="Arial"/>
          <w:bCs/>
        </w:rPr>
      </w:pPr>
      <w:r>
        <w:rPr>
          <w:rFonts w:cs="Arial"/>
          <w:bCs/>
        </w:rPr>
        <w:t>The</w:t>
      </w:r>
      <w:r w:rsidR="000857BF" w:rsidRPr="004F16D8">
        <w:rPr>
          <w:rFonts w:cs="Arial"/>
          <w:bCs/>
        </w:rPr>
        <w:t xml:space="preserve"> Ministry is looking to purchase </w:t>
      </w:r>
      <w:r w:rsidR="008F7EDF">
        <w:rPr>
          <w:rFonts w:cs="Arial"/>
          <w:bCs/>
        </w:rPr>
        <w:t xml:space="preserve">an </w:t>
      </w:r>
      <w:r w:rsidR="000857BF" w:rsidRPr="008F7EDF">
        <w:rPr>
          <w:rFonts w:cs="Arial"/>
          <w:bCs/>
        </w:rPr>
        <w:t xml:space="preserve">enhanced </w:t>
      </w:r>
      <w:r w:rsidR="004222AD" w:rsidRPr="008F7EDF">
        <w:rPr>
          <w:rFonts w:cs="Arial"/>
          <w:bCs/>
        </w:rPr>
        <w:t xml:space="preserve">sustainable </w:t>
      </w:r>
      <w:r w:rsidR="000857BF" w:rsidRPr="008F7EDF">
        <w:rPr>
          <w:rFonts w:cs="Arial"/>
          <w:bCs/>
        </w:rPr>
        <w:t>integrated</w:t>
      </w:r>
      <w:r w:rsidR="000857BF" w:rsidRPr="004F16D8">
        <w:rPr>
          <w:rFonts w:cs="Arial"/>
          <w:bCs/>
        </w:rPr>
        <w:t xml:space="preserve"> national </w:t>
      </w:r>
      <w:proofErr w:type="spellStart"/>
      <w:r w:rsidR="000857BF" w:rsidRPr="004F16D8">
        <w:rPr>
          <w:rFonts w:cs="Arial"/>
          <w:bCs/>
        </w:rPr>
        <w:t>telehealth</w:t>
      </w:r>
      <w:proofErr w:type="spellEnd"/>
      <w:r w:rsidR="000857BF" w:rsidRPr="004F16D8">
        <w:rPr>
          <w:rFonts w:cs="Arial"/>
          <w:bCs/>
        </w:rPr>
        <w:t xml:space="preserve"> services to provide both unplanned care and counselling services through a multi-channel approach including telephone triage and phone advice; text; email; phone applications; social media and web-based services. This will allow a person to receive prompt triage, health advice, support, package of counselling care; information and sign posting to appropriate services and care.  </w:t>
      </w:r>
    </w:p>
    <w:p w:rsidR="006E0227" w:rsidRPr="006E0227" w:rsidRDefault="006E0227" w:rsidP="006E0227">
      <w:pPr>
        <w:pStyle w:val="Heading2"/>
        <w:rPr>
          <w:rFonts w:cs="Arial"/>
        </w:rPr>
      </w:pPr>
      <w:r w:rsidRPr="006E0227">
        <w:rPr>
          <w:rFonts w:cs="Arial"/>
          <w:bCs/>
        </w:rPr>
        <w:t>In the context of the national telehealth service, “telehealth</w:t>
      </w:r>
      <w:r w:rsidRPr="00F34DE6">
        <w:rPr>
          <w:rFonts w:cs="Arial"/>
          <w:bCs/>
        </w:rPr>
        <w:t xml:space="preserve">”, is defined as the use of information and communications technologies along with appropriately trained health professionals and other health workers to deliver health services and transmit health information over distance. Refer to </w:t>
      </w:r>
      <w:r w:rsidR="004222AD">
        <w:rPr>
          <w:rFonts w:cs="Arial"/>
          <w:bCs/>
        </w:rPr>
        <w:t xml:space="preserve">clause 5, </w:t>
      </w:r>
      <w:r w:rsidRPr="00F34DE6">
        <w:rPr>
          <w:rFonts w:cs="Arial"/>
          <w:bCs/>
        </w:rPr>
        <w:t>Glossary</w:t>
      </w:r>
      <w:proofErr w:type="gramStart"/>
      <w:r w:rsidR="004222AD">
        <w:rPr>
          <w:rFonts w:cs="Arial"/>
          <w:bCs/>
        </w:rPr>
        <w:t>.</w:t>
      </w:r>
      <w:r>
        <w:rPr>
          <w:rFonts w:cs="Arial"/>
          <w:bCs/>
        </w:rPr>
        <w:t>.</w:t>
      </w:r>
      <w:proofErr w:type="gramEnd"/>
    </w:p>
    <w:p w:rsidR="006E0227" w:rsidRPr="006E0227" w:rsidRDefault="006E0227" w:rsidP="006E0227">
      <w:pPr>
        <w:pStyle w:val="Heading2"/>
        <w:rPr>
          <w:rFonts w:cs="Arial"/>
        </w:rPr>
      </w:pPr>
      <w:r>
        <w:rPr>
          <w:rFonts w:cs="Arial"/>
          <w:bCs/>
        </w:rPr>
        <w:t>The use of v</w:t>
      </w:r>
      <w:r w:rsidRPr="00B6690E">
        <w:rPr>
          <w:rFonts w:cs="Arial"/>
          <w:bCs/>
        </w:rPr>
        <w:t xml:space="preserve">ideo-conferencing </w:t>
      </w:r>
      <w:r>
        <w:rPr>
          <w:rFonts w:cs="Arial"/>
          <w:bCs/>
        </w:rPr>
        <w:t>for virtual consultations may be a future development for the telehealth service however telehealth for the purposes of this RFI is more broadly defined.</w:t>
      </w:r>
    </w:p>
    <w:p w:rsidR="000857BF" w:rsidRPr="00180ABB" w:rsidRDefault="000857BF" w:rsidP="000857BF">
      <w:pPr>
        <w:pStyle w:val="Heading2"/>
        <w:rPr>
          <w:rFonts w:cs="Arial"/>
          <w:bCs/>
        </w:rPr>
      </w:pPr>
      <w:r w:rsidRPr="00180ABB">
        <w:rPr>
          <w:rFonts w:cs="Arial"/>
          <w:bCs/>
        </w:rPr>
        <w:t>These services are of significant value to our most vulnerable population</w:t>
      </w:r>
      <w:r>
        <w:rPr>
          <w:rFonts w:cs="Arial"/>
          <w:bCs/>
        </w:rPr>
        <w:t>s</w:t>
      </w:r>
      <w:r w:rsidRPr="00180ABB">
        <w:rPr>
          <w:rFonts w:cs="Arial"/>
          <w:bCs/>
        </w:rPr>
        <w:t xml:space="preserve">, and services must be culturally sensitive and appropriate to </w:t>
      </w:r>
      <w:r w:rsidR="006E0227">
        <w:rPr>
          <w:rFonts w:cs="Arial"/>
          <w:bCs/>
        </w:rPr>
        <w:t xml:space="preserve">user and </w:t>
      </w:r>
      <w:r w:rsidRPr="00180ABB">
        <w:rPr>
          <w:rFonts w:cs="Arial"/>
          <w:bCs/>
        </w:rPr>
        <w:t>community needs.</w:t>
      </w:r>
    </w:p>
    <w:p w:rsidR="000857BF" w:rsidRPr="00180ABB" w:rsidRDefault="000857BF" w:rsidP="000857BF">
      <w:pPr>
        <w:pStyle w:val="BulletText1"/>
        <w:numPr>
          <w:ilvl w:val="0"/>
          <w:numId w:val="0"/>
        </w:numPr>
        <w:ind w:left="709"/>
        <w:rPr>
          <w:rFonts w:cs="Arial"/>
          <w:sz w:val="20"/>
          <w:lang w:val="en-NZ"/>
        </w:rPr>
      </w:pPr>
    </w:p>
    <w:p w:rsidR="006E0227" w:rsidRPr="00180ABB" w:rsidRDefault="000857BF" w:rsidP="00E77253">
      <w:pPr>
        <w:pStyle w:val="BulletText1"/>
        <w:numPr>
          <w:ilvl w:val="0"/>
          <w:numId w:val="0"/>
        </w:numPr>
        <w:ind w:left="709"/>
        <w:jc w:val="both"/>
        <w:rPr>
          <w:rFonts w:cs="Arial"/>
          <w:sz w:val="20"/>
          <w:lang w:val="en-NZ"/>
        </w:rPr>
      </w:pPr>
      <w:r w:rsidRPr="00180ABB">
        <w:rPr>
          <w:rFonts w:cs="Arial"/>
          <w:sz w:val="20"/>
          <w:lang w:val="en-NZ"/>
        </w:rPr>
        <w:t xml:space="preserve">The national telehealth services will continue to be free to the user and available 24-hours a day seven days per week either by telephone or on-line.  </w:t>
      </w:r>
      <w:r w:rsidR="006E0227" w:rsidRPr="006E0227">
        <w:rPr>
          <w:rFonts w:cs="Arial"/>
          <w:sz w:val="20"/>
          <w:lang w:val="en-NZ"/>
        </w:rPr>
        <w:t>A fully integrated service must be delivered including, but not limited to, the efficient use of IT, optimising an operational infrastructure, and the seamless transition to clients as the end-user from one service to another. Delivery</w:t>
      </w:r>
      <w:r w:rsidR="004222AD">
        <w:rPr>
          <w:rFonts w:cs="Arial"/>
          <w:sz w:val="20"/>
          <w:lang w:val="en-NZ"/>
        </w:rPr>
        <w:t xml:space="preserve"> of a </w:t>
      </w:r>
      <w:r w:rsidR="004222AD" w:rsidRPr="006E0227">
        <w:rPr>
          <w:rFonts w:cs="Arial"/>
          <w:sz w:val="20"/>
          <w:lang w:val="en-NZ"/>
        </w:rPr>
        <w:t>fully integrated service</w:t>
      </w:r>
      <w:r w:rsidR="004222AD">
        <w:rPr>
          <w:rFonts w:cs="Arial"/>
          <w:sz w:val="20"/>
          <w:lang w:val="en-NZ"/>
        </w:rPr>
        <w:t xml:space="preserve"> may be by </w:t>
      </w:r>
      <w:r w:rsidR="006E0227" w:rsidRPr="006E0227">
        <w:rPr>
          <w:rFonts w:cs="Arial"/>
          <w:sz w:val="20"/>
          <w:lang w:val="en-NZ"/>
        </w:rPr>
        <w:t xml:space="preserve">a single </w:t>
      </w:r>
      <w:r w:rsidR="004222AD">
        <w:rPr>
          <w:rFonts w:cs="Arial"/>
          <w:sz w:val="20"/>
          <w:lang w:val="en-NZ"/>
        </w:rPr>
        <w:t xml:space="preserve">provider or </w:t>
      </w:r>
      <w:r w:rsidR="006E0227" w:rsidRPr="006E0227">
        <w:rPr>
          <w:rFonts w:cs="Arial"/>
          <w:sz w:val="20"/>
          <w:lang w:val="en-NZ"/>
        </w:rPr>
        <w:t>multiple providers</w:t>
      </w:r>
      <w:r w:rsidR="004222AD">
        <w:rPr>
          <w:rFonts w:cs="Arial"/>
          <w:sz w:val="20"/>
          <w:lang w:val="en-NZ"/>
        </w:rPr>
        <w:t>.</w:t>
      </w:r>
      <w:r w:rsidR="006E0227" w:rsidRPr="006E0227">
        <w:rPr>
          <w:rFonts w:cs="Arial"/>
          <w:sz w:val="20"/>
          <w:lang w:val="en-NZ"/>
        </w:rPr>
        <w:t xml:space="preserve"> </w:t>
      </w:r>
    </w:p>
    <w:p w:rsidR="006E0227" w:rsidRPr="00180ABB" w:rsidRDefault="006E0227" w:rsidP="000857BF">
      <w:pPr>
        <w:pStyle w:val="BulletText1"/>
        <w:numPr>
          <w:ilvl w:val="0"/>
          <w:numId w:val="0"/>
        </w:numPr>
        <w:ind w:left="709"/>
        <w:rPr>
          <w:rFonts w:cs="Arial"/>
          <w:sz w:val="20"/>
          <w:lang w:val="en-NZ"/>
        </w:rPr>
      </w:pPr>
    </w:p>
    <w:p w:rsidR="000857BF" w:rsidRPr="00180ABB" w:rsidRDefault="000857BF" w:rsidP="00E77253">
      <w:pPr>
        <w:pStyle w:val="Heading1"/>
        <w:spacing w:before="360"/>
        <w:ind w:left="709"/>
      </w:pPr>
      <w:bookmarkStart w:id="6" w:name="_Toc307921170"/>
      <w:bookmarkStart w:id="7" w:name="_Toc314046312"/>
      <w:r w:rsidRPr="00180ABB">
        <w:t>Outcomes Sought</w:t>
      </w:r>
      <w:bookmarkEnd w:id="6"/>
      <w:bookmarkEnd w:id="7"/>
    </w:p>
    <w:p w:rsidR="000857BF" w:rsidRPr="00180ABB" w:rsidRDefault="000857BF" w:rsidP="00E77253">
      <w:pPr>
        <w:pStyle w:val="Heading2"/>
        <w:rPr>
          <w:rFonts w:cs="Arial"/>
          <w:bCs/>
        </w:rPr>
      </w:pPr>
      <w:r w:rsidRPr="00180ABB">
        <w:rPr>
          <w:rFonts w:cs="Arial"/>
          <w:bCs/>
        </w:rPr>
        <w:t>The vision</w:t>
      </w:r>
      <w:r>
        <w:rPr>
          <w:rFonts w:cs="Arial"/>
          <w:bCs/>
        </w:rPr>
        <w:t xml:space="preserve"> for the national telehealth service</w:t>
      </w:r>
      <w:r w:rsidRPr="00180ABB">
        <w:rPr>
          <w:rFonts w:cs="Arial"/>
          <w:bCs/>
        </w:rPr>
        <w:t xml:space="preserve"> is that the right thing to do is the easiest thing to do for users and providers</w:t>
      </w:r>
      <w:r>
        <w:rPr>
          <w:rFonts w:cs="Arial"/>
          <w:bCs/>
        </w:rPr>
        <w:t>. The vision underpins the seven principles below:</w:t>
      </w:r>
    </w:p>
    <w:p w:rsidR="000857BF" w:rsidRPr="00180ABB" w:rsidRDefault="003525C8" w:rsidP="00E77253">
      <w:pPr>
        <w:pStyle w:val="BulletText1"/>
        <w:numPr>
          <w:ilvl w:val="0"/>
          <w:numId w:val="4"/>
        </w:numPr>
        <w:spacing w:before="60"/>
        <w:ind w:left="1134" w:hanging="425"/>
        <w:jc w:val="both"/>
        <w:rPr>
          <w:rFonts w:cs="Arial"/>
          <w:sz w:val="20"/>
          <w:lang w:val="en-NZ"/>
        </w:rPr>
      </w:pPr>
      <w:r>
        <w:rPr>
          <w:rFonts w:cs="Arial"/>
          <w:sz w:val="20"/>
          <w:lang w:val="en-NZ"/>
        </w:rPr>
        <w:t>P</w:t>
      </w:r>
      <w:r w:rsidR="006E0227" w:rsidRPr="00180ABB">
        <w:rPr>
          <w:rFonts w:cs="Arial"/>
          <w:sz w:val="20"/>
          <w:lang w:val="en-NZ"/>
        </w:rPr>
        <w:t xml:space="preserve">ublic </w:t>
      </w:r>
      <w:r w:rsidR="000857BF" w:rsidRPr="00180ABB">
        <w:rPr>
          <w:rFonts w:cs="Arial"/>
          <w:sz w:val="20"/>
          <w:lang w:val="en-NZ"/>
        </w:rPr>
        <w:t>trust and confidence in the service.</w:t>
      </w:r>
    </w:p>
    <w:p w:rsidR="000857BF" w:rsidRPr="00180ABB" w:rsidRDefault="003525C8" w:rsidP="00E77253">
      <w:pPr>
        <w:pStyle w:val="BulletText1"/>
        <w:numPr>
          <w:ilvl w:val="0"/>
          <w:numId w:val="4"/>
        </w:numPr>
        <w:spacing w:before="60"/>
        <w:ind w:left="1134" w:hanging="425"/>
        <w:jc w:val="both"/>
        <w:rPr>
          <w:rFonts w:cs="Arial"/>
          <w:sz w:val="20"/>
          <w:lang w:val="en-NZ"/>
        </w:rPr>
      </w:pPr>
      <w:r>
        <w:rPr>
          <w:rFonts w:cs="Arial"/>
          <w:sz w:val="20"/>
          <w:lang w:val="en-NZ"/>
        </w:rPr>
        <w:t>A</w:t>
      </w:r>
      <w:r w:rsidR="006E0227" w:rsidRPr="00180ABB">
        <w:rPr>
          <w:rFonts w:cs="Arial"/>
          <w:sz w:val="20"/>
          <w:lang w:val="en-NZ"/>
        </w:rPr>
        <w:t xml:space="preserve">ssisting </w:t>
      </w:r>
      <w:r w:rsidR="000857BF" w:rsidRPr="00180ABB">
        <w:rPr>
          <w:rFonts w:cs="Arial"/>
          <w:sz w:val="20"/>
          <w:lang w:val="en-NZ"/>
        </w:rPr>
        <w:t>in delivering appropriate care in the right setting by the right person at the right time.</w:t>
      </w:r>
    </w:p>
    <w:p w:rsidR="000857BF" w:rsidRPr="00180ABB" w:rsidRDefault="003525C8" w:rsidP="00E77253">
      <w:pPr>
        <w:pStyle w:val="BulletText1"/>
        <w:numPr>
          <w:ilvl w:val="0"/>
          <w:numId w:val="4"/>
        </w:numPr>
        <w:spacing w:before="60"/>
        <w:ind w:left="1134" w:hanging="425"/>
        <w:jc w:val="both"/>
        <w:rPr>
          <w:rFonts w:cs="Arial"/>
          <w:sz w:val="20"/>
          <w:lang w:val="en-NZ"/>
        </w:rPr>
      </w:pPr>
      <w:r>
        <w:rPr>
          <w:rFonts w:cs="Arial"/>
          <w:sz w:val="20"/>
          <w:lang w:val="en-NZ"/>
        </w:rPr>
        <w:t>I</w:t>
      </w:r>
      <w:r w:rsidR="006E0227" w:rsidRPr="00180ABB">
        <w:rPr>
          <w:rFonts w:cs="Arial"/>
          <w:sz w:val="20"/>
          <w:lang w:val="en-NZ"/>
        </w:rPr>
        <w:t xml:space="preserve">mproving </w:t>
      </w:r>
      <w:r w:rsidR="000857BF" w:rsidRPr="00180ABB">
        <w:rPr>
          <w:rFonts w:cs="Arial"/>
          <w:sz w:val="20"/>
          <w:lang w:val="en-NZ"/>
        </w:rPr>
        <w:t>the quality of the service and user experience.</w:t>
      </w:r>
    </w:p>
    <w:p w:rsidR="000857BF" w:rsidRPr="00180ABB" w:rsidRDefault="003525C8" w:rsidP="00E77253">
      <w:pPr>
        <w:pStyle w:val="BulletText1"/>
        <w:numPr>
          <w:ilvl w:val="0"/>
          <w:numId w:val="4"/>
        </w:numPr>
        <w:spacing w:before="60"/>
        <w:ind w:left="1134" w:hanging="425"/>
        <w:jc w:val="both"/>
        <w:rPr>
          <w:rFonts w:cs="Arial"/>
          <w:sz w:val="20"/>
          <w:lang w:val="en-NZ"/>
        </w:rPr>
      </w:pPr>
      <w:r>
        <w:rPr>
          <w:rFonts w:cs="Arial"/>
          <w:sz w:val="20"/>
          <w:lang w:val="en-NZ"/>
        </w:rPr>
        <w:t>P</w:t>
      </w:r>
      <w:r w:rsidR="006E0227" w:rsidRPr="00180ABB">
        <w:rPr>
          <w:rFonts w:cs="Arial"/>
          <w:sz w:val="20"/>
          <w:lang w:val="en-NZ"/>
        </w:rPr>
        <w:t xml:space="preserve">roviding </w:t>
      </w:r>
      <w:r w:rsidR="000857BF" w:rsidRPr="00180ABB">
        <w:rPr>
          <w:rFonts w:cs="Arial"/>
          <w:sz w:val="20"/>
          <w:lang w:val="en-NZ"/>
        </w:rPr>
        <w:t>increased use of self-care or care at home or in the community with the same or better outcomes.</w:t>
      </w:r>
    </w:p>
    <w:p w:rsidR="000857BF" w:rsidRPr="00180ABB" w:rsidRDefault="003525C8" w:rsidP="00E77253">
      <w:pPr>
        <w:pStyle w:val="BulletText1"/>
        <w:numPr>
          <w:ilvl w:val="0"/>
          <w:numId w:val="4"/>
        </w:numPr>
        <w:spacing w:before="60"/>
        <w:ind w:left="1134" w:hanging="425"/>
        <w:jc w:val="both"/>
        <w:rPr>
          <w:rFonts w:cs="Arial"/>
          <w:sz w:val="20"/>
          <w:lang w:val="en-NZ"/>
        </w:rPr>
      </w:pPr>
      <w:r>
        <w:rPr>
          <w:rFonts w:cs="Arial"/>
          <w:sz w:val="20"/>
          <w:lang w:val="en-NZ"/>
        </w:rPr>
        <w:t>H</w:t>
      </w:r>
      <w:r w:rsidR="006E0227" w:rsidRPr="00180ABB">
        <w:rPr>
          <w:rFonts w:cs="Arial"/>
          <w:sz w:val="20"/>
          <w:lang w:val="en-NZ"/>
        </w:rPr>
        <w:t xml:space="preserve">aving </w:t>
      </w:r>
      <w:r w:rsidR="000857BF" w:rsidRPr="00180ABB">
        <w:rPr>
          <w:rFonts w:cs="Arial"/>
          <w:sz w:val="20"/>
          <w:lang w:val="en-NZ"/>
        </w:rPr>
        <w:t>access to and use of a shared patient record that will be viewed and updated by those providing care or advice, wherever practicable.</w:t>
      </w:r>
    </w:p>
    <w:p w:rsidR="000857BF" w:rsidRDefault="003525C8" w:rsidP="000857BF">
      <w:pPr>
        <w:pStyle w:val="BulletText1"/>
        <w:numPr>
          <w:ilvl w:val="0"/>
          <w:numId w:val="4"/>
        </w:numPr>
        <w:spacing w:before="60"/>
        <w:ind w:left="1134" w:hanging="425"/>
        <w:rPr>
          <w:rFonts w:cs="Arial"/>
          <w:sz w:val="20"/>
          <w:lang w:val="en-NZ"/>
        </w:rPr>
      </w:pPr>
      <w:r>
        <w:rPr>
          <w:rFonts w:cs="Arial"/>
          <w:sz w:val="20"/>
          <w:lang w:val="en-NZ"/>
        </w:rPr>
        <w:t>P</w:t>
      </w:r>
      <w:r w:rsidR="006E0227" w:rsidRPr="00180ABB">
        <w:rPr>
          <w:rFonts w:cs="Arial"/>
          <w:sz w:val="20"/>
          <w:lang w:val="en-NZ"/>
        </w:rPr>
        <w:t xml:space="preserve">roviding </w:t>
      </w:r>
      <w:r w:rsidR="000857BF" w:rsidRPr="00180ABB">
        <w:rPr>
          <w:rFonts w:cs="Arial"/>
          <w:sz w:val="20"/>
          <w:lang w:val="en-NZ"/>
        </w:rPr>
        <w:t>prompt assistance with public health issues and natural disasters.</w:t>
      </w:r>
    </w:p>
    <w:p w:rsidR="000857BF" w:rsidRDefault="000857BF" w:rsidP="000857BF">
      <w:pPr>
        <w:pStyle w:val="BulletText1"/>
        <w:numPr>
          <w:ilvl w:val="0"/>
          <w:numId w:val="0"/>
        </w:numPr>
        <w:spacing w:before="60"/>
        <w:ind w:left="1134"/>
        <w:rPr>
          <w:rFonts w:cs="Arial"/>
          <w:sz w:val="20"/>
          <w:lang w:val="en-NZ"/>
        </w:rPr>
      </w:pPr>
    </w:p>
    <w:p w:rsidR="00E77253" w:rsidRPr="000857BF" w:rsidRDefault="00E77253" w:rsidP="00E77253">
      <w:pPr>
        <w:pStyle w:val="Heading2"/>
        <w:numPr>
          <w:ilvl w:val="0"/>
          <w:numId w:val="0"/>
        </w:numPr>
        <w:ind w:left="708"/>
        <w:rPr>
          <w:rFonts w:cs="Arial"/>
          <w:bCs/>
        </w:rPr>
      </w:pPr>
      <w:r>
        <w:object w:dxaOrig="15504" w:dyaOrig="11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332pt" o:ole="">
            <v:imagedata r:id="rId8" o:title=""/>
          </v:shape>
          <o:OLEObject Type="Embed" ProgID="Visio.Drawing.11" ShapeID="_x0000_i1025" DrawAspect="Content" ObjectID="_1494779851" r:id="rId9"/>
        </w:object>
      </w:r>
      <w:r w:rsidRPr="000857BF">
        <w:rPr>
          <w:rFonts w:cs="Arial"/>
          <w:bCs/>
        </w:rPr>
        <w:t>Figure 1: Vision, Principles, Objectives, Outputs and Outcomes for the new National Telehealth Service.</w:t>
      </w:r>
    </w:p>
    <w:p w:rsidR="000857BF" w:rsidRPr="00180ABB" w:rsidRDefault="000857BF" w:rsidP="000857BF">
      <w:pPr>
        <w:pStyle w:val="BulletText1"/>
        <w:numPr>
          <w:ilvl w:val="0"/>
          <w:numId w:val="0"/>
        </w:numPr>
        <w:spacing w:before="60"/>
        <w:ind w:left="1134"/>
        <w:rPr>
          <w:rFonts w:cs="Arial"/>
          <w:sz w:val="20"/>
          <w:lang w:val="en-NZ"/>
        </w:rPr>
      </w:pPr>
    </w:p>
    <w:p w:rsidR="000857BF" w:rsidRPr="00180ABB" w:rsidRDefault="000857BF" w:rsidP="00E77253">
      <w:pPr>
        <w:pStyle w:val="Heading2"/>
        <w:rPr>
          <w:rFonts w:cs="Arial"/>
        </w:rPr>
      </w:pPr>
      <w:r w:rsidRPr="00180ABB">
        <w:rPr>
          <w:rFonts w:cs="Arial"/>
        </w:rPr>
        <w:t xml:space="preserve">The shape of the new service will be influenced by </w:t>
      </w:r>
      <w:r>
        <w:rPr>
          <w:rFonts w:cs="Arial"/>
        </w:rPr>
        <w:t xml:space="preserve">how provider(s) </w:t>
      </w:r>
      <w:r w:rsidRPr="00180ABB">
        <w:rPr>
          <w:rFonts w:cs="Arial"/>
        </w:rPr>
        <w:t>can best meet requirements to:</w:t>
      </w:r>
    </w:p>
    <w:p w:rsidR="000857BF" w:rsidRPr="00180ABB" w:rsidRDefault="000857BF" w:rsidP="00E77253">
      <w:pPr>
        <w:pStyle w:val="BulletText1"/>
        <w:numPr>
          <w:ilvl w:val="0"/>
          <w:numId w:val="4"/>
        </w:numPr>
        <w:spacing w:before="60"/>
        <w:ind w:left="1134" w:hanging="425"/>
        <w:jc w:val="both"/>
        <w:rPr>
          <w:rFonts w:cs="Arial"/>
          <w:sz w:val="20"/>
          <w:lang w:val="en-NZ"/>
        </w:rPr>
      </w:pPr>
      <w:r w:rsidRPr="00180ABB">
        <w:rPr>
          <w:rFonts w:cs="Arial"/>
          <w:sz w:val="20"/>
          <w:lang w:val="en-NZ"/>
        </w:rPr>
        <w:t xml:space="preserve">Improve public access to a </w:t>
      </w:r>
      <w:r>
        <w:rPr>
          <w:rFonts w:cs="Arial"/>
          <w:sz w:val="20"/>
          <w:lang w:val="en-NZ"/>
        </w:rPr>
        <w:t>r</w:t>
      </w:r>
      <w:r w:rsidRPr="00180ABB">
        <w:rPr>
          <w:rFonts w:cs="Arial"/>
          <w:sz w:val="20"/>
          <w:lang w:val="en-NZ"/>
        </w:rPr>
        <w:t>ange of telehealth services.  The preferred provider(s) will develop a service with a mix of options including: a nurse-triage telehealth service; counselling service; and health information provision, with callers provided with high quality advice and, if needed, referred on to other services.</w:t>
      </w:r>
    </w:p>
    <w:p w:rsidR="000857BF" w:rsidRPr="00180ABB" w:rsidRDefault="000857BF" w:rsidP="00E77253">
      <w:pPr>
        <w:pStyle w:val="BulletText1"/>
        <w:numPr>
          <w:ilvl w:val="0"/>
          <w:numId w:val="4"/>
        </w:numPr>
        <w:spacing w:before="60"/>
        <w:ind w:left="1134" w:hanging="425"/>
        <w:jc w:val="both"/>
        <w:rPr>
          <w:rFonts w:cs="Arial"/>
          <w:sz w:val="20"/>
          <w:lang w:val="en-NZ"/>
        </w:rPr>
      </w:pPr>
      <w:r w:rsidRPr="00180ABB">
        <w:rPr>
          <w:rFonts w:cs="Arial"/>
          <w:sz w:val="20"/>
          <w:lang w:val="en-NZ"/>
        </w:rPr>
        <w:t>Rationalise call centre infrastructure, while using a mix of appropriately qualified frontline staff more efficiently and improving service sign posting.</w:t>
      </w:r>
    </w:p>
    <w:p w:rsidR="000857BF" w:rsidRPr="00180ABB" w:rsidRDefault="000857BF" w:rsidP="00E77253">
      <w:pPr>
        <w:pStyle w:val="BulletText1"/>
        <w:numPr>
          <w:ilvl w:val="0"/>
          <w:numId w:val="4"/>
        </w:numPr>
        <w:spacing w:before="60"/>
        <w:ind w:left="1134" w:hanging="425"/>
        <w:jc w:val="both"/>
        <w:rPr>
          <w:rFonts w:cs="Arial"/>
          <w:sz w:val="20"/>
          <w:lang w:val="en-NZ"/>
        </w:rPr>
      </w:pPr>
      <w:r w:rsidRPr="00180ABB">
        <w:rPr>
          <w:rFonts w:cs="Arial"/>
          <w:sz w:val="20"/>
          <w:lang w:val="en-NZ"/>
        </w:rPr>
        <w:t xml:space="preserve">Provide services that comply with Ministry specifications </w:t>
      </w:r>
      <w:proofErr w:type="spellStart"/>
      <w:r w:rsidRPr="00180ABB">
        <w:rPr>
          <w:rFonts w:cs="Arial"/>
          <w:sz w:val="20"/>
          <w:lang w:val="en-NZ"/>
        </w:rPr>
        <w:t>eg</w:t>
      </w:r>
      <w:proofErr w:type="spellEnd"/>
      <w:r w:rsidRPr="00180ABB">
        <w:rPr>
          <w:rFonts w:cs="Arial"/>
          <w:sz w:val="20"/>
          <w:lang w:val="en-NZ"/>
        </w:rPr>
        <w:t>. Tier 1 smoking cessation service specification; e-therapy framework for mental health and addiction services.</w:t>
      </w:r>
    </w:p>
    <w:p w:rsidR="000857BF" w:rsidRPr="00180ABB" w:rsidRDefault="000857BF" w:rsidP="00E77253">
      <w:pPr>
        <w:pStyle w:val="BulletText1"/>
        <w:numPr>
          <w:ilvl w:val="0"/>
          <w:numId w:val="4"/>
        </w:numPr>
        <w:spacing w:before="60"/>
        <w:ind w:left="1134" w:hanging="425"/>
        <w:jc w:val="both"/>
        <w:rPr>
          <w:rFonts w:cs="Arial"/>
          <w:sz w:val="20"/>
          <w:lang w:val="en-NZ"/>
        </w:rPr>
      </w:pPr>
      <w:r>
        <w:rPr>
          <w:rFonts w:cs="Arial"/>
          <w:sz w:val="20"/>
          <w:lang w:val="en-NZ"/>
        </w:rPr>
        <w:t>Provide a standard</w:t>
      </w:r>
      <w:r w:rsidRPr="00180ABB">
        <w:rPr>
          <w:rFonts w:cs="Arial"/>
          <w:sz w:val="20"/>
          <w:lang w:val="en-NZ"/>
        </w:rPr>
        <w:t xml:space="preserve"> approach to after-hours triage and advice so callers get consistent, high quality advice across the country.</w:t>
      </w:r>
    </w:p>
    <w:p w:rsidR="000857BF" w:rsidRPr="00180ABB" w:rsidRDefault="000857BF" w:rsidP="00E77253">
      <w:pPr>
        <w:pStyle w:val="BulletText1"/>
        <w:numPr>
          <w:ilvl w:val="0"/>
          <w:numId w:val="4"/>
        </w:numPr>
        <w:spacing w:before="60"/>
        <w:ind w:left="1134" w:hanging="425"/>
        <w:jc w:val="both"/>
        <w:rPr>
          <w:rFonts w:cs="Arial"/>
          <w:sz w:val="20"/>
          <w:lang w:val="en-NZ"/>
        </w:rPr>
      </w:pPr>
      <w:r w:rsidRPr="00180ABB">
        <w:rPr>
          <w:rFonts w:cs="Arial"/>
          <w:sz w:val="20"/>
          <w:lang w:val="en-NZ"/>
        </w:rPr>
        <w:t>Deliver secondary triage services for low acuity callers referred to the service from 111 Ambulance Communications Centres.</w:t>
      </w:r>
    </w:p>
    <w:p w:rsidR="000857BF" w:rsidRPr="00180ABB" w:rsidRDefault="000857BF" w:rsidP="00E77253">
      <w:pPr>
        <w:pStyle w:val="BulletText1"/>
        <w:numPr>
          <w:ilvl w:val="0"/>
          <w:numId w:val="4"/>
        </w:numPr>
        <w:spacing w:before="60"/>
        <w:ind w:left="1134" w:hanging="425"/>
        <w:jc w:val="both"/>
        <w:rPr>
          <w:rFonts w:cs="Arial"/>
          <w:sz w:val="20"/>
          <w:lang w:val="en-NZ"/>
        </w:rPr>
      </w:pPr>
      <w:r w:rsidRPr="00180ABB">
        <w:rPr>
          <w:rFonts w:cs="Arial"/>
          <w:sz w:val="20"/>
          <w:lang w:val="en-NZ"/>
        </w:rPr>
        <w:t>Provide rapid transfer of calls and referrals to and from ambulance services, primary care and other health service providers including non-government organisations.</w:t>
      </w:r>
    </w:p>
    <w:p w:rsidR="000857BF" w:rsidRPr="00180ABB" w:rsidRDefault="000857BF" w:rsidP="00E77253">
      <w:pPr>
        <w:pStyle w:val="BulletText1"/>
        <w:numPr>
          <w:ilvl w:val="0"/>
          <w:numId w:val="4"/>
        </w:numPr>
        <w:spacing w:before="60"/>
        <w:ind w:left="1134" w:hanging="425"/>
        <w:jc w:val="both"/>
        <w:rPr>
          <w:rFonts w:cs="Arial"/>
          <w:sz w:val="20"/>
          <w:lang w:val="en-NZ"/>
        </w:rPr>
      </w:pPr>
      <w:r w:rsidRPr="00180ABB">
        <w:rPr>
          <w:rFonts w:cs="Arial"/>
          <w:sz w:val="20"/>
          <w:lang w:val="en-NZ"/>
        </w:rPr>
        <w:t>Deliver a single co-ordinated approach to service development, delivery and promotion that will ensure the ability for people to access high quality telehealth services to maximise health outcomes.</w:t>
      </w:r>
    </w:p>
    <w:p w:rsidR="000857BF" w:rsidRPr="00180ABB" w:rsidRDefault="000857BF" w:rsidP="00E77253">
      <w:pPr>
        <w:pStyle w:val="BulletText1"/>
        <w:numPr>
          <w:ilvl w:val="0"/>
          <w:numId w:val="4"/>
        </w:numPr>
        <w:spacing w:before="60"/>
        <w:ind w:left="1134" w:hanging="425"/>
        <w:jc w:val="both"/>
        <w:rPr>
          <w:rFonts w:cs="Arial"/>
          <w:sz w:val="20"/>
          <w:lang w:val="en-NZ"/>
        </w:rPr>
      </w:pPr>
      <w:r w:rsidRPr="00180ABB">
        <w:rPr>
          <w:rFonts w:cs="Arial"/>
          <w:sz w:val="20"/>
          <w:lang w:val="en-NZ"/>
        </w:rPr>
        <w:t>Deliver a wide range of options available locally to callers, including smart phone applications, a symptom checker and interactive communication to the national telehealth service via text and email.</w:t>
      </w:r>
    </w:p>
    <w:p w:rsidR="000857BF" w:rsidRPr="00180ABB" w:rsidRDefault="000857BF" w:rsidP="00E77253">
      <w:pPr>
        <w:pStyle w:val="BulletText1"/>
        <w:numPr>
          <w:ilvl w:val="0"/>
          <w:numId w:val="4"/>
        </w:numPr>
        <w:spacing w:before="60"/>
        <w:ind w:left="1134" w:hanging="425"/>
        <w:jc w:val="both"/>
        <w:rPr>
          <w:rFonts w:cs="Arial"/>
          <w:sz w:val="20"/>
          <w:lang w:val="en-NZ"/>
        </w:rPr>
      </w:pPr>
      <w:r w:rsidRPr="00180ABB">
        <w:rPr>
          <w:rFonts w:cs="Arial"/>
          <w:sz w:val="20"/>
          <w:lang w:val="en-NZ"/>
        </w:rPr>
        <w:t>Capitalise on and integrate with national health IT initiatives, including the shared patient care record initiative</w:t>
      </w:r>
      <w:r w:rsidR="00260B54">
        <w:rPr>
          <w:rFonts w:cs="Arial"/>
          <w:sz w:val="20"/>
          <w:lang w:val="en-NZ"/>
        </w:rPr>
        <w:t>.</w:t>
      </w:r>
    </w:p>
    <w:p w:rsidR="000857BF" w:rsidRDefault="000857BF" w:rsidP="00E77253">
      <w:pPr>
        <w:pStyle w:val="BulletText1"/>
        <w:numPr>
          <w:ilvl w:val="0"/>
          <w:numId w:val="4"/>
        </w:numPr>
        <w:spacing w:before="60"/>
        <w:ind w:left="1134" w:hanging="425"/>
        <w:jc w:val="both"/>
        <w:rPr>
          <w:rFonts w:cs="Arial"/>
          <w:sz w:val="20"/>
          <w:lang w:val="en-NZ"/>
        </w:rPr>
      </w:pPr>
      <w:r w:rsidRPr="00180ABB">
        <w:rPr>
          <w:rFonts w:cs="Arial"/>
          <w:sz w:val="20"/>
          <w:lang w:val="en-NZ"/>
        </w:rPr>
        <w:lastRenderedPageBreak/>
        <w:t>Integrate with local primary care services’ urgent care arrangements, including ‘after hours’ services.</w:t>
      </w:r>
    </w:p>
    <w:p w:rsidR="000857BF" w:rsidRPr="00697BA0" w:rsidRDefault="000857BF" w:rsidP="000857BF">
      <w:pPr>
        <w:pStyle w:val="Heading2"/>
        <w:rPr>
          <w:rFonts w:cs="Arial"/>
          <w:b/>
          <w:bCs/>
        </w:rPr>
      </w:pPr>
      <w:r w:rsidRPr="00697BA0">
        <w:rPr>
          <w:b/>
        </w:rPr>
        <w:t>Integration</w:t>
      </w:r>
    </w:p>
    <w:p w:rsidR="000857BF" w:rsidRPr="00180ABB" w:rsidRDefault="000857BF" w:rsidP="000857BF">
      <w:pPr>
        <w:pStyle w:val="Heading2"/>
        <w:numPr>
          <w:ilvl w:val="0"/>
          <w:numId w:val="0"/>
        </w:numPr>
        <w:spacing w:before="120"/>
        <w:ind w:left="709"/>
        <w:rPr>
          <w:rFonts w:cs="Arial"/>
        </w:rPr>
      </w:pPr>
      <w:r>
        <w:rPr>
          <w:rFonts w:cs="Arial"/>
          <w:bCs/>
        </w:rPr>
        <w:t xml:space="preserve">Whilst we are seeking service integration we are open minded about how this can best be delivered.  Integration across the various services can be achieved through a single provider, or a lead provider, or a joint venture etc. Multiple providers would need to work within an integrated service framework. </w:t>
      </w:r>
    </w:p>
    <w:p w:rsidR="000857BF" w:rsidRDefault="000857BF" w:rsidP="000857BF">
      <w:pPr>
        <w:pStyle w:val="Heading1"/>
        <w:spacing w:before="360"/>
        <w:ind w:left="709"/>
      </w:pPr>
      <w:r>
        <w:t xml:space="preserve">Strategic intent for each of the service areas </w:t>
      </w:r>
    </w:p>
    <w:p w:rsidR="000857BF" w:rsidRDefault="000857BF" w:rsidP="000857BF">
      <w:pPr>
        <w:pStyle w:val="Heading2"/>
        <w:rPr>
          <w:rFonts w:cs="Arial"/>
          <w:bCs/>
        </w:rPr>
      </w:pPr>
      <w:r>
        <w:rPr>
          <w:rFonts w:cs="Arial"/>
          <w:bCs/>
        </w:rPr>
        <w:t>Strategic Intent for each service area</w:t>
      </w:r>
      <w:r w:rsidR="008D290B">
        <w:rPr>
          <w:rFonts w:cs="Arial"/>
          <w:bCs/>
        </w:rPr>
        <w:t>:</w:t>
      </w:r>
      <w:r>
        <w:rPr>
          <w:rFonts w:cs="Arial"/>
          <w:bCs/>
        </w:rPr>
        <w:t xml:space="preserve"> </w:t>
      </w:r>
    </w:p>
    <w:p w:rsidR="00893562" w:rsidRDefault="00893562" w:rsidP="008D290B">
      <w:pPr>
        <w:pStyle w:val="Heading2"/>
        <w:numPr>
          <w:ilvl w:val="0"/>
          <w:numId w:val="0"/>
        </w:numPr>
        <w:spacing w:before="0"/>
        <w:ind w:left="708"/>
        <w:rPr>
          <w:rFonts w:cs="Arial"/>
          <w:bCs/>
        </w:rPr>
      </w:pPr>
    </w:p>
    <w:p w:rsidR="00714274" w:rsidRPr="00966FE8" w:rsidRDefault="00714274" w:rsidP="00714274">
      <w:pPr>
        <w:rPr>
          <w:rFonts w:cs="Arial"/>
          <w:b/>
          <w:bCs/>
          <w:sz w:val="20"/>
        </w:rPr>
      </w:pPr>
      <w:r w:rsidRPr="00966FE8">
        <w:rPr>
          <w:rFonts w:cs="Arial"/>
          <w:b/>
          <w:bCs/>
          <w:sz w:val="20"/>
        </w:rPr>
        <w:t>Healthline</w:t>
      </w:r>
    </w:p>
    <w:p w:rsidR="00714274" w:rsidRPr="00966FE8" w:rsidRDefault="00714274" w:rsidP="00714274">
      <w:pPr>
        <w:rPr>
          <w:rFonts w:cs="Arial"/>
          <w:bCs/>
          <w:sz w:val="20"/>
        </w:rPr>
      </w:pPr>
      <w:r w:rsidRPr="00966FE8">
        <w:rPr>
          <w:rFonts w:cs="Arial"/>
          <w:bCs/>
          <w:sz w:val="20"/>
        </w:rPr>
        <w:t>Health</w:t>
      </w:r>
      <w:r>
        <w:rPr>
          <w:rFonts w:cs="Arial"/>
          <w:bCs/>
          <w:sz w:val="20"/>
        </w:rPr>
        <w:t>line is the Ministry’s</w:t>
      </w:r>
      <w:r w:rsidRPr="00966FE8">
        <w:rPr>
          <w:rFonts w:cs="Arial"/>
          <w:bCs/>
          <w:sz w:val="20"/>
        </w:rPr>
        <w:t xml:space="preserve"> national 24-hour telephone triage and health advice service. Healthline offers</w:t>
      </w:r>
      <w:r>
        <w:rPr>
          <w:rFonts w:cs="Arial"/>
          <w:bCs/>
          <w:sz w:val="20"/>
        </w:rPr>
        <w:t xml:space="preserve"> </w:t>
      </w:r>
      <w:r w:rsidRPr="00966FE8">
        <w:rPr>
          <w:rFonts w:cs="Arial"/>
          <w:bCs/>
          <w:sz w:val="20"/>
        </w:rPr>
        <w:t xml:space="preserve">the public a confidential, reliable and consistent source of advice on healthcare, 24 hours a day, 7 days per week, so that callers can manage many of their problems at home or know </w:t>
      </w:r>
      <w:r>
        <w:rPr>
          <w:rFonts w:cs="Arial"/>
          <w:bCs/>
          <w:sz w:val="20"/>
        </w:rPr>
        <w:t xml:space="preserve">who to contact or </w:t>
      </w:r>
      <w:r w:rsidRPr="00966FE8">
        <w:rPr>
          <w:rFonts w:cs="Arial"/>
          <w:bCs/>
          <w:sz w:val="20"/>
        </w:rPr>
        <w:t xml:space="preserve">where to go </w:t>
      </w:r>
      <w:r>
        <w:rPr>
          <w:rFonts w:cs="Arial"/>
          <w:bCs/>
          <w:sz w:val="20"/>
        </w:rPr>
        <w:t xml:space="preserve">to </w:t>
      </w:r>
      <w:r w:rsidRPr="00966FE8">
        <w:rPr>
          <w:rFonts w:cs="Arial"/>
          <w:bCs/>
          <w:sz w:val="20"/>
        </w:rPr>
        <w:t xml:space="preserve">for appropriate care or further advice. The service aligns with key policy </w:t>
      </w:r>
      <w:r>
        <w:rPr>
          <w:rFonts w:cs="Arial"/>
          <w:bCs/>
          <w:sz w:val="20"/>
        </w:rPr>
        <w:t>in regards to the reduction of after-</w:t>
      </w:r>
      <w:r w:rsidRPr="00966FE8">
        <w:rPr>
          <w:rFonts w:cs="Arial"/>
          <w:bCs/>
          <w:sz w:val="20"/>
        </w:rPr>
        <w:t>hours primary care, ambulance services and emergency department waiting times as described in the Ministry’s Statement of Intent</w:t>
      </w:r>
      <w:r w:rsidRPr="00E77253">
        <w:rPr>
          <w:bCs/>
          <w:vertAlign w:val="superscript"/>
        </w:rPr>
        <w:footnoteReference w:id="1"/>
      </w:r>
      <w:r w:rsidRPr="00966FE8">
        <w:rPr>
          <w:rFonts w:cs="Arial"/>
          <w:bCs/>
          <w:sz w:val="20"/>
        </w:rPr>
        <w:t xml:space="preserve"> and Health Targets</w:t>
      </w:r>
      <w:r w:rsidRPr="00E77253">
        <w:rPr>
          <w:bCs/>
          <w:vertAlign w:val="superscript"/>
        </w:rPr>
        <w:footnoteReference w:id="2"/>
      </w:r>
      <w:r w:rsidRPr="00E77253">
        <w:rPr>
          <w:rFonts w:cs="Arial"/>
          <w:bCs/>
          <w:sz w:val="20"/>
          <w:vertAlign w:val="superscript"/>
        </w:rPr>
        <w:t>.</w:t>
      </w:r>
    </w:p>
    <w:p w:rsidR="00714274" w:rsidRPr="00966FE8" w:rsidRDefault="00714274" w:rsidP="00714274">
      <w:pPr>
        <w:rPr>
          <w:rFonts w:cs="Arial"/>
          <w:bCs/>
          <w:sz w:val="20"/>
        </w:rPr>
      </w:pPr>
    </w:p>
    <w:p w:rsidR="00714274" w:rsidRPr="00966FE8" w:rsidRDefault="00714274" w:rsidP="00714274">
      <w:pPr>
        <w:rPr>
          <w:rFonts w:cs="Arial"/>
          <w:b/>
          <w:bCs/>
          <w:sz w:val="20"/>
        </w:rPr>
      </w:pPr>
      <w:r w:rsidRPr="00966FE8">
        <w:rPr>
          <w:rFonts w:cs="Arial"/>
          <w:b/>
          <w:bCs/>
          <w:sz w:val="20"/>
        </w:rPr>
        <w:t>Quitline</w:t>
      </w:r>
    </w:p>
    <w:p w:rsidR="00714274" w:rsidRPr="00B41330" w:rsidRDefault="00714274" w:rsidP="00714274">
      <w:pPr>
        <w:rPr>
          <w:rFonts w:cs="Arial"/>
          <w:bCs/>
          <w:sz w:val="20"/>
        </w:rPr>
      </w:pPr>
      <w:r w:rsidRPr="00B41330">
        <w:rPr>
          <w:rFonts w:ascii="Arial Mäori" w:eastAsiaTheme="minorHAnsi" w:hAnsi="Arial Mäori" w:cs="Arial Mäori"/>
          <w:iCs/>
          <w:color w:val="000000"/>
          <w:sz w:val="20"/>
        </w:rPr>
        <w:t>Quitline is the Ministry</w:t>
      </w:r>
      <w:r>
        <w:rPr>
          <w:rFonts w:ascii="Arial Mäori" w:eastAsiaTheme="minorHAnsi" w:hAnsi="Arial Mäori" w:cs="Arial Mäori"/>
          <w:iCs/>
          <w:color w:val="000000"/>
          <w:sz w:val="20"/>
        </w:rPr>
        <w:t>’s</w:t>
      </w:r>
      <w:r w:rsidRPr="00B41330">
        <w:rPr>
          <w:rFonts w:ascii="Arial Mäori" w:eastAsiaTheme="minorHAnsi" w:hAnsi="Arial Mäori" w:cs="Arial Mäori"/>
          <w:iCs/>
          <w:color w:val="000000"/>
          <w:sz w:val="20"/>
        </w:rPr>
        <w:t xml:space="preserve"> national smoking cessation service.  Its aim is to reduce tobacco related mortality and morbidity and to decrease inequitable tobacco related health outcomes</w:t>
      </w:r>
      <w:r>
        <w:rPr>
          <w:rFonts w:ascii="Arial Mäori" w:eastAsiaTheme="minorHAnsi" w:hAnsi="Arial Mäori" w:cs="Arial Mäori"/>
          <w:iCs/>
          <w:color w:val="000000"/>
          <w:sz w:val="20"/>
        </w:rPr>
        <w:t>.</w:t>
      </w:r>
      <w:r w:rsidRPr="00B41330">
        <w:rPr>
          <w:rFonts w:ascii="Arial Mäori" w:eastAsiaTheme="minorHAnsi" w:hAnsi="Arial Mäori" w:cs="Arial Mäori"/>
          <w:iCs/>
          <w:color w:val="000000"/>
          <w:sz w:val="20"/>
        </w:rPr>
        <w:t xml:space="preserve"> The service </w:t>
      </w:r>
      <w:r w:rsidR="00260B54">
        <w:rPr>
          <w:rFonts w:ascii="Arial Mäori" w:eastAsiaTheme="minorHAnsi" w:hAnsi="Arial Mäori" w:cs="Arial Mäori"/>
          <w:iCs/>
          <w:color w:val="000000"/>
          <w:sz w:val="20"/>
        </w:rPr>
        <w:t>encourages</w:t>
      </w:r>
      <w:r w:rsidR="00260B54" w:rsidRPr="00B41330">
        <w:rPr>
          <w:rFonts w:ascii="Arial Mäori" w:eastAsiaTheme="minorHAnsi" w:hAnsi="Arial Mäori" w:cs="Arial Mäori"/>
          <w:iCs/>
          <w:color w:val="000000"/>
          <w:sz w:val="20"/>
        </w:rPr>
        <w:t xml:space="preserve"> </w:t>
      </w:r>
      <w:r w:rsidRPr="00B41330">
        <w:rPr>
          <w:rFonts w:ascii="Arial Mäori" w:eastAsiaTheme="minorHAnsi" w:hAnsi="Arial Mäori" w:cs="Arial Mäori"/>
          <w:iCs/>
          <w:color w:val="000000"/>
          <w:sz w:val="20"/>
        </w:rPr>
        <w:t>and supports people who use tobacco to quit through a range of services including telephone counselling and advice, text to quit, and/or on-line services and provision of subsidised nicotine replacement patches, gum and lozenges.</w:t>
      </w:r>
    </w:p>
    <w:p w:rsidR="00714274" w:rsidRDefault="00714274" w:rsidP="00714274">
      <w:pPr>
        <w:autoSpaceDE w:val="0"/>
        <w:autoSpaceDN w:val="0"/>
        <w:adjustRightInd w:val="0"/>
        <w:jc w:val="left"/>
        <w:rPr>
          <w:rFonts w:cs="Arial"/>
          <w:b/>
          <w:bCs/>
          <w:sz w:val="20"/>
        </w:rPr>
      </w:pPr>
    </w:p>
    <w:p w:rsidR="00714274" w:rsidRPr="00966FE8" w:rsidRDefault="00714274" w:rsidP="00714274">
      <w:pPr>
        <w:autoSpaceDE w:val="0"/>
        <w:autoSpaceDN w:val="0"/>
        <w:adjustRightInd w:val="0"/>
        <w:jc w:val="left"/>
        <w:rPr>
          <w:rFonts w:cs="Arial"/>
          <w:b/>
          <w:bCs/>
          <w:sz w:val="20"/>
        </w:rPr>
      </w:pPr>
      <w:r w:rsidRPr="00966FE8">
        <w:rPr>
          <w:rFonts w:cs="Arial"/>
          <w:b/>
          <w:bCs/>
          <w:sz w:val="20"/>
        </w:rPr>
        <w:t>Immunisation</w:t>
      </w:r>
    </w:p>
    <w:p w:rsidR="00714274" w:rsidRDefault="00714274" w:rsidP="00714274">
      <w:pPr>
        <w:pStyle w:val="Heading2"/>
        <w:numPr>
          <w:ilvl w:val="0"/>
          <w:numId w:val="0"/>
        </w:numPr>
        <w:spacing w:before="0"/>
        <w:rPr>
          <w:rFonts w:cs="Arial"/>
          <w:bCs/>
        </w:rPr>
      </w:pPr>
      <w:r w:rsidRPr="007C74CA">
        <w:rPr>
          <w:rFonts w:cs="Arial"/>
          <w:bCs/>
        </w:rPr>
        <w:t>The 0800</w:t>
      </w:r>
      <w:r>
        <w:rPr>
          <w:rFonts w:cs="Arial"/>
          <w:bCs/>
        </w:rPr>
        <w:t xml:space="preserve"> phone line</w:t>
      </w:r>
      <w:r w:rsidRPr="007C74CA">
        <w:rPr>
          <w:rFonts w:cs="Arial"/>
          <w:bCs/>
        </w:rPr>
        <w:t xml:space="preserve"> service is one component of the wider service delivered by the Immunisation Advisory Centre.</w:t>
      </w:r>
      <w:r>
        <w:rPr>
          <w:rFonts w:cs="Arial"/>
          <w:bCs/>
        </w:rPr>
        <w:t xml:space="preserve"> Callers can receive information and advice about immunisation.  </w:t>
      </w:r>
    </w:p>
    <w:p w:rsidR="00714274" w:rsidRPr="007C74CA" w:rsidRDefault="00714274" w:rsidP="00714274">
      <w:pPr>
        <w:pStyle w:val="Heading2"/>
        <w:numPr>
          <w:ilvl w:val="0"/>
          <w:numId w:val="0"/>
        </w:numPr>
        <w:spacing w:before="0"/>
        <w:rPr>
          <w:rFonts w:cs="Arial"/>
          <w:bCs/>
        </w:rPr>
      </w:pPr>
    </w:p>
    <w:p w:rsidR="00714274" w:rsidRPr="007C74CA" w:rsidRDefault="00714274" w:rsidP="00714274">
      <w:pPr>
        <w:pStyle w:val="Heading2"/>
        <w:numPr>
          <w:ilvl w:val="0"/>
          <w:numId w:val="0"/>
        </w:numPr>
        <w:spacing w:before="0"/>
      </w:pPr>
      <w:r w:rsidRPr="007C74CA">
        <w:t>The role of</w:t>
      </w:r>
      <w:r>
        <w:t xml:space="preserve"> the</w:t>
      </w:r>
      <w:r w:rsidRPr="007C74CA">
        <w:t xml:space="preserve"> Immunisation Advisory Centre is to support the Ministry to achieve whole of government priorities including protecting vulnerable children, more specifically by supporting the Ministry and local service providers with clinical and technical advice that </w:t>
      </w:r>
      <w:r>
        <w:t>helps</w:t>
      </w:r>
      <w:r w:rsidRPr="007C74CA">
        <w:t xml:space="preserve"> all immunisation programmes to be delivered.  This includes supporting the health target</w:t>
      </w:r>
      <w:r w:rsidRPr="00E77253">
        <w:rPr>
          <w:vertAlign w:val="superscript"/>
        </w:rPr>
        <w:t>2</w:t>
      </w:r>
      <w:r w:rsidRPr="007C74CA">
        <w:t>:</w:t>
      </w:r>
    </w:p>
    <w:p w:rsidR="00714274" w:rsidRPr="00E77253" w:rsidRDefault="00714274" w:rsidP="00714274">
      <w:pPr>
        <w:pStyle w:val="GroupHeading"/>
        <w:spacing w:before="0"/>
      </w:pPr>
    </w:p>
    <w:p w:rsidR="00714274" w:rsidRPr="007C74CA" w:rsidRDefault="00714274" w:rsidP="00714274">
      <w:pPr>
        <w:pStyle w:val="Heading2"/>
        <w:numPr>
          <w:ilvl w:val="0"/>
          <w:numId w:val="0"/>
        </w:numPr>
        <w:spacing w:before="0"/>
      </w:pPr>
    </w:p>
    <w:p w:rsidR="00714274" w:rsidRPr="00966FE8" w:rsidRDefault="00714274" w:rsidP="00714274">
      <w:pPr>
        <w:pStyle w:val="Heading2"/>
        <w:numPr>
          <w:ilvl w:val="0"/>
          <w:numId w:val="0"/>
        </w:numPr>
        <w:spacing w:before="0"/>
        <w:rPr>
          <w:rFonts w:cs="Arial"/>
          <w:b/>
          <w:bCs/>
        </w:rPr>
      </w:pPr>
      <w:r>
        <w:rPr>
          <w:rFonts w:cs="Arial"/>
          <w:b/>
          <w:bCs/>
        </w:rPr>
        <w:t xml:space="preserve">National Poisons Centre </w:t>
      </w:r>
    </w:p>
    <w:p w:rsidR="00714274" w:rsidRDefault="00714274" w:rsidP="00714274">
      <w:pPr>
        <w:pStyle w:val="Heading2"/>
        <w:numPr>
          <w:ilvl w:val="0"/>
          <w:numId w:val="0"/>
        </w:numPr>
        <w:spacing w:before="0"/>
        <w:rPr>
          <w:rFonts w:cs="Arial"/>
          <w:bCs/>
        </w:rPr>
      </w:pPr>
      <w:r>
        <w:rPr>
          <w:rFonts w:cs="Arial"/>
          <w:bCs/>
        </w:rPr>
        <w:t xml:space="preserve">The National Poisons Centre (NPC) </w:t>
      </w:r>
      <w:r w:rsidRPr="007A4FE2">
        <w:rPr>
          <w:rFonts w:cs="Arial"/>
          <w:bCs/>
        </w:rPr>
        <w:t>is New Zealand's</w:t>
      </w:r>
      <w:r w:rsidRPr="00051D0F">
        <w:rPr>
          <w:rFonts w:cs="Arial"/>
          <w:bCs/>
        </w:rPr>
        <w:t xml:space="preserve"> poison and hazardous chemicals information centre providing advice </w:t>
      </w:r>
      <w:proofErr w:type="gramStart"/>
      <w:r w:rsidRPr="00051D0F">
        <w:rPr>
          <w:rFonts w:cs="Arial"/>
          <w:bCs/>
        </w:rPr>
        <w:t>via a</w:t>
      </w:r>
      <w:proofErr w:type="gramEnd"/>
      <w:r w:rsidRPr="00051D0F">
        <w:rPr>
          <w:rFonts w:cs="Arial"/>
          <w:bCs/>
        </w:rPr>
        <w:t xml:space="preserve"> </w:t>
      </w:r>
      <w:r w:rsidR="00260B54" w:rsidRPr="00966FE8">
        <w:rPr>
          <w:rFonts w:cs="Arial"/>
          <w:bCs/>
        </w:rPr>
        <w:t>24 hours a day, 7 days per week</w:t>
      </w:r>
      <w:r w:rsidR="00260B54" w:rsidRPr="00051D0F" w:rsidDel="00260B54">
        <w:rPr>
          <w:rFonts w:cs="Arial"/>
          <w:bCs/>
        </w:rPr>
        <w:t xml:space="preserve"> </w:t>
      </w:r>
      <w:r w:rsidRPr="00051D0F">
        <w:rPr>
          <w:rFonts w:cs="Arial"/>
          <w:bCs/>
        </w:rPr>
        <w:t>free emergency phone service</w:t>
      </w:r>
      <w:r>
        <w:rPr>
          <w:rFonts w:cs="Arial"/>
          <w:bCs/>
        </w:rPr>
        <w:t xml:space="preserve">.  </w:t>
      </w:r>
    </w:p>
    <w:p w:rsidR="00714274" w:rsidRPr="00051D0F" w:rsidRDefault="00714274" w:rsidP="00714274">
      <w:pPr>
        <w:pStyle w:val="Heading2"/>
        <w:numPr>
          <w:ilvl w:val="0"/>
          <w:numId w:val="0"/>
        </w:numPr>
        <w:spacing w:before="0"/>
        <w:rPr>
          <w:rFonts w:cs="Arial"/>
          <w:bCs/>
        </w:rPr>
      </w:pPr>
    </w:p>
    <w:p w:rsidR="00714274" w:rsidRDefault="00714274" w:rsidP="00714274">
      <w:pPr>
        <w:pStyle w:val="Heading2"/>
        <w:numPr>
          <w:ilvl w:val="0"/>
          <w:numId w:val="0"/>
        </w:numPr>
        <w:spacing w:before="0"/>
        <w:rPr>
          <w:rFonts w:cs="Arial"/>
          <w:bCs/>
        </w:rPr>
      </w:pPr>
      <w:r w:rsidRPr="00051D0F">
        <w:rPr>
          <w:rFonts w:cs="Arial"/>
          <w:bCs/>
        </w:rPr>
        <w:t xml:space="preserve">The service addresses the need for immediate, accurate and current information about poisoning and treatment. It </w:t>
      </w:r>
      <w:proofErr w:type="gramStart"/>
      <w:r>
        <w:rPr>
          <w:rFonts w:cs="Arial"/>
          <w:bCs/>
        </w:rPr>
        <w:t xml:space="preserve">helps </w:t>
      </w:r>
      <w:r w:rsidRPr="00051D0F">
        <w:rPr>
          <w:rFonts w:cs="Arial"/>
          <w:bCs/>
        </w:rPr>
        <w:t xml:space="preserve"> callers</w:t>
      </w:r>
      <w:proofErr w:type="gramEnd"/>
      <w:r w:rsidRPr="00051D0F">
        <w:rPr>
          <w:rFonts w:cs="Arial"/>
          <w:bCs/>
        </w:rPr>
        <w:t xml:space="preserve"> to manage some instances of poisoning at home or will inform them</w:t>
      </w:r>
      <w:r>
        <w:t xml:space="preserve"> </w:t>
      </w:r>
      <w:r w:rsidRPr="00EA3E20">
        <w:rPr>
          <w:rFonts w:cs="Arial"/>
          <w:bCs/>
        </w:rPr>
        <w:t xml:space="preserve">who to contact or where to go </w:t>
      </w:r>
      <w:r>
        <w:rPr>
          <w:rFonts w:cs="Arial"/>
          <w:bCs/>
        </w:rPr>
        <w:t xml:space="preserve">to </w:t>
      </w:r>
      <w:r w:rsidRPr="00EA3E20">
        <w:rPr>
          <w:rFonts w:cs="Arial"/>
          <w:bCs/>
        </w:rPr>
        <w:t xml:space="preserve">for appropriate care or further advice. </w:t>
      </w:r>
      <w:r w:rsidRPr="00051D0F">
        <w:rPr>
          <w:rFonts w:cs="Arial"/>
          <w:bCs/>
        </w:rPr>
        <w:t xml:space="preserve">   The service aligns </w:t>
      </w:r>
      <w:proofErr w:type="gramStart"/>
      <w:r w:rsidRPr="00051D0F">
        <w:rPr>
          <w:rFonts w:cs="Arial"/>
          <w:bCs/>
        </w:rPr>
        <w:t>with  key</w:t>
      </w:r>
      <w:proofErr w:type="gramEnd"/>
      <w:r w:rsidRPr="00051D0F">
        <w:rPr>
          <w:rFonts w:cs="Arial"/>
          <w:bCs/>
        </w:rPr>
        <w:t xml:space="preserve"> policy </w:t>
      </w:r>
      <w:r>
        <w:rPr>
          <w:rFonts w:cs="Arial"/>
          <w:bCs/>
        </w:rPr>
        <w:t>in regards to</w:t>
      </w:r>
      <w:r w:rsidRPr="00051D0F">
        <w:rPr>
          <w:rFonts w:cs="Arial"/>
          <w:bCs/>
        </w:rPr>
        <w:t xml:space="preserve"> reduction of after-hours primary care, ambulance services and emergency department waiting times as described in the Ministry’s Statement of Intent</w:t>
      </w:r>
      <w:r w:rsidRPr="00E77253">
        <w:rPr>
          <w:rFonts w:cs="Arial"/>
          <w:bCs/>
          <w:vertAlign w:val="superscript"/>
        </w:rPr>
        <w:t>1</w:t>
      </w:r>
      <w:r w:rsidRPr="00051D0F">
        <w:rPr>
          <w:rFonts w:cs="Arial"/>
          <w:bCs/>
        </w:rPr>
        <w:t xml:space="preserve"> (Ministry of Health 2010. </w:t>
      </w:r>
      <w:proofErr w:type="gramStart"/>
      <w:r w:rsidRPr="00051D0F">
        <w:rPr>
          <w:rFonts w:cs="Arial"/>
          <w:bCs/>
        </w:rPr>
        <w:t>Statement of Intent 2011-14)</w:t>
      </w:r>
      <w:r>
        <w:rPr>
          <w:rFonts w:cs="Arial"/>
          <w:bCs/>
        </w:rPr>
        <w:t xml:space="preserve"> </w:t>
      </w:r>
      <w:r w:rsidRPr="00051D0F">
        <w:rPr>
          <w:rFonts w:cs="Arial"/>
          <w:bCs/>
        </w:rPr>
        <w:t>and Health Targets</w:t>
      </w:r>
      <w:r w:rsidRPr="00E77253">
        <w:rPr>
          <w:rFonts w:cs="Arial"/>
          <w:bCs/>
          <w:vertAlign w:val="superscript"/>
        </w:rPr>
        <w:t xml:space="preserve">2 </w:t>
      </w:r>
      <w:r w:rsidRPr="00051D0F">
        <w:rPr>
          <w:rFonts w:cs="Arial"/>
          <w:bCs/>
        </w:rPr>
        <w:t>(</w:t>
      </w:r>
      <w:hyperlink r:id="rId10" w:history="1">
        <w:r w:rsidRPr="007D6EE5">
          <w:rPr>
            <w:rStyle w:val="Hyperlink"/>
            <w:rFonts w:cs="Arial"/>
            <w:bCs/>
          </w:rPr>
          <w:t>http://www.moh.govt.nz/healthtargets</w:t>
        </w:r>
      </w:hyperlink>
      <w:r w:rsidRPr="00051D0F">
        <w:rPr>
          <w:rFonts w:cs="Arial"/>
          <w:bCs/>
        </w:rPr>
        <w:t>).</w:t>
      </w:r>
      <w:proofErr w:type="gramEnd"/>
    </w:p>
    <w:p w:rsidR="00714274" w:rsidRDefault="00714274" w:rsidP="00714274">
      <w:pPr>
        <w:pStyle w:val="Heading2"/>
        <w:numPr>
          <w:ilvl w:val="0"/>
          <w:numId w:val="0"/>
        </w:numPr>
        <w:spacing w:before="0"/>
        <w:rPr>
          <w:rFonts w:cs="Arial"/>
          <w:bCs/>
        </w:rPr>
      </w:pPr>
    </w:p>
    <w:p w:rsidR="00714274" w:rsidRPr="00943889" w:rsidRDefault="00714274" w:rsidP="00714274">
      <w:pPr>
        <w:pStyle w:val="Heading2"/>
        <w:numPr>
          <w:ilvl w:val="0"/>
          <w:numId w:val="0"/>
        </w:numPr>
        <w:spacing w:before="0"/>
        <w:rPr>
          <w:rFonts w:cs="Arial"/>
          <w:bCs/>
        </w:rPr>
      </w:pPr>
      <w:r>
        <w:rPr>
          <w:rFonts w:cs="Arial"/>
          <w:bCs/>
        </w:rPr>
        <w:t xml:space="preserve">The service uses </w:t>
      </w:r>
      <w:r w:rsidR="00096E46">
        <w:rPr>
          <w:rFonts w:cs="Arial"/>
          <w:bCs/>
        </w:rPr>
        <w:t>the</w:t>
      </w:r>
      <w:r w:rsidRPr="00051D0F">
        <w:rPr>
          <w:rFonts w:cs="Arial"/>
          <w:bCs/>
        </w:rPr>
        <w:t xml:space="preserve"> 'TOXINZ' database to inform the telephone line service and is also accessible online to medical professionals.</w:t>
      </w:r>
    </w:p>
    <w:p w:rsidR="00714274" w:rsidRPr="00966FE8" w:rsidRDefault="00714274" w:rsidP="00714274">
      <w:pPr>
        <w:pStyle w:val="Heading2"/>
        <w:numPr>
          <w:ilvl w:val="0"/>
          <w:numId w:val="0"/>
        </w:numPr>
        <w:spacing w:before="0"/>
        <w:ind w:left="708"/>
        <w:rPr>
          <w:rFonts w:cs="Arial"/>
          <w:bCs/>
        </w:rPr>
      </w:pPr>
    </w:p>
    <w:p w:rsidR="00714274" w:rsidRPr="00966FE8" w:rsidRDefault="00714274" w:rsidP="00714274">
      <w:pPr>
        <w:pStyle w:val="Heading1"/>
        <w:numPr>
          <w:ilvl w:val="0"/>
          <w:numId w:val="0"/>
        </w:numPr>
        <w:spacing w:before="0"/>
        <w:ind w:left="-1"/>
        <w:rPr>
          <w:rFonts w:cs="Arial"/>
          <w:bCs/>
          <w:kern w:val="0"/>
          <w:sz w:val="20"/>
        </w:rPr>
      </w:pPr>
      <w:r w:rsidRPr="00966FE8">
        <w:rPr>
          <w:rFonts w:cs="Arial"/>
          <w:bCs/>
          <w:kern w:val="0"/>
          <w:sz w:val="20"/>
        </w:rPr>
        <w:lastRenderedPageBreak/>
        <w:t>National Depression Initiative</w:t>
      </w:r>
    </w:p>
    <w:p w:rsidR="00492121" w:rsidRDefault="00492121" w:rsidP="00714274">
      <w:pPr>
        <w:pStyle w:val="Heading1"/>
        <w:numPr>
          <w:ilvl w:val="0"/>
          <w:numId w:val="0"/>
        </w:numPr>
        <w:spacing w:before="0"/>
        <w:ind w:left="-1"/>
        <w:rPr>
          <w:rFonts w:cs="Arial"/>
          <w:b w:val="0"/>
          <w:bCs/>
          <w:kern w:val="0"/>
          <w:sz w:val="20"/>
        </w:rPr>
      </w:pPr>
      <w:r w:rsidRPr="00966FE8">
        <w:rPr>
          <w:rFonts w:cs="Arial"/>
          <w:b w:val="0"/>
          <w:bCs/>
          <w:kern w:val="0"/>
          <w:sz w:val="20"/>
        </w:rPr>
        <w:t xml:space="preserve">The </w:t>
      </w:r>
      <w:r w:rsidR="00B00F89" w:rsidRPr="00966FE8">
        <w:rPr>
          <w:rFonts w:cs="Arial"/>
          <w:b w:val="0"/>
          <w:bCs/>
          <w:kern w:val="0"/>
          <w:sz w:val="20"/>
        </w:rPr>
        <w:t>N</w:t>
      </w:r>
      <w:r w:rsidR="00B00F89">
        <w:rPr>
          <w:rFonts w:cs="Arial"/>
          <w:b w:val="0"/>
          <w:bCs/>
          <w:kern w:val="0"/>
          <w:sz w:val="20"/>
        </w:rPr>
        <w:t xml:space="preserve">ational </w:t>
      </w:r>
      <w:r w:rsidR="00B00F89" w:rsidRPr="00966FE8">
        <w:rPr>
          <w:rFonts w:cs="Arial"/>
          <w:b w:val="0"/>
          <w:bCs/>
          <w:kern w:val="0"/>
          <w:sz w:val="20"/>
        </w:rPr>
        <w:t>D</w:t>
      </w:r>
      <w:r w:rsidR="00B00F89">
        <w:rPr>
          <w:rFonts w:cs="Arial"/>
          <w:b w:val="0"/>
          <w:bCs/>
          <w:kern w:val="0"/>
          <w:sz w:val="20"/>
        </w:rPr>
        <w:t xml:space="preserve">epression </w:t>
      </w:r>
      <w:r w:rsidR="00B00F89" w:rsidRPr="00966FE8">
        <w:rPr>
          <w:rFonts w:cs="Arial"/>
          <w:b w:val="0"/>
          <w:bCs/>
          <w:kern w:val="0"/>
          <w:sz w:val="20"/>
        </w:rPr>
        <w:t>I</w:t>
      </w:r>
      <w:r w:rsidR="00B00F89">
        <w:rPr>
          <w:rFonts w:cs="Arial"/>
          <w:b w:val="0"/>
          <w:bCs/>
          <w:kern w:val="0"/>
          <w:sz w:val="20"/>
        </w:rPr>
        <w:t>nitiative</w:t>
      </w:r>
      <w:r w:rsidR="00B00F89" w:rsidRPr="00966FE8">
        <w:rPr>
          <w:rFonts w:cs="Arial"/>
          <w:b w:val="0"/>
          <w:bCs/>
          <w:kern w:val="0"/>
          <w:sz w:val="20"/>
        </w:rPr>
        <w:t xml:space="preserve"> </w:t>
      </w:r>
      <w:r w:rsidR="00B00F89">
        <w:rPr>
          <w:rFonts w:cs="Arial"/>
          <w:b w:val="0"/>
          <w:bCs/>
          <w:kern w:val="0"/>
          <w:sz w:val="20"/>
        </w:rPr>
        <w:t>(</w:t>
      </w:r>
      <w:r w:rsidRPr="00966FE8">
        <w:rPr>
          <w:rFonts w:cs="Arial"/>
          <w:b w:val="0"/>
          <w:bCs/>
          <w:kern w:val="0"/>
          <w:sz w:val="20"/>
        </w:rPr>
        <w:t>NDI</w:t>
      </w:r>
      <w:r w:rsidR="00B00F89">
        <w:rPr>
          <w:rFonts w:cs="Arial"/>
          <w:b w:val="0"/>
          <w:bCs/>
          <w:kern w:val="0"/>
          <w:sz w:val="20"/>
        </w:rPr>
        <w:t>)</w:t>
      </w:r>
      <w:r w:rsidRPr="00966FE8">
        <w:rPr>
          <w:rFonts w:cs="Arial"/>
          <w:b w:val="0"/>
          <w:bCs/>
          <w:kern w:val="0"/>
          <w:sz w:val="20"/>
        </w:rPr>
        <w:t xml:space="preserve"> programme seeks to reduce the impact of Depression on the lives of New Zealanders. It is part of the Mental Health and Addiction Service Development Plan and the Suicide Prevention Strategy for New Zealand</w:t>
      </w:r>
      <w:r>
        <w:rPr>
          <w:rFonts w:cs="Arial"/>
          <w:b w:val="0"/>
          <w:bCs/>
          <w:kern w:val="0"/>
          <w:sz w:val="20"/>
        </w:rPr>
        <w:t>.</w:t>
      </w:r>
    </w:p>
    <w:p w:rsidR="00492121" w:rsidRDefault="00492121" w:rsidP="00714274">
      <w:pPr>
        <w:pStyle w:val="Heading1"/>
        <w:numPr>
          <w:ilvl w:val="0"/>
          <w:numId w:val="0"/>
        </w:numPr>
        <w:spacing w:before="0"/>
        <w:ind w:left="-1"/>
        <w:rPr>
          <w:rFonts w:cs="Arial"/>
          <w:b w:val="0"/>
          <w:bCs/>
          <w:kern w:val="0"/>
          <w:sz w:val="20"/>
        </w:rPr>
      </w:pPr>
    </w:p>
    <w:p w:rsidR="00714274" w:rsidRPr="00966FE8" w:rsidRDefault="00714274" w:rsidP="00714274">
      <w:pPr>
        <w:pStyle w:val="Heading1"/>
        <w:numPr>
          <w:ilvl w:val="0"/>
          <w:numId w:val="0"/>
        </w:numPr>
        <w:spacing w:before="0"/>
        <w:ind w:left="-1"/>
        <w:rPr>
          <w:rFonts w:cs="Arial"/>
          <w:b w:val="0"/>
          <w:bCs/>
          <w:kern w:val="0"/>
          <w:sz w:val="20"/>
        </w:rPr>
      </w:pPr>
      <w:r w:rsidRPr="00966FE8">
        <w:rPr>
          <w:rFonts w:cs="Arial"/>
          <w:b w:val="0"/>
          <w:bCs/>
          <w:kern w:val="0"/>
          <w:sz w:val="20"/>
        </w:rPr>
        <w:t xml:space="preserve">The </w:t>
      </w:r>
      <w:proofErr w:type="spellStart"/>
      <w:r w:rsidRPr="00966FE8">
        <w:rPr>
          <w:rFonts w:cs="Arial"/>
          <w:b w:val="0"/>
          <w:bCs/>
          <w:kern w:val="0"/>
          <w:sz w:val="20"/>
        </w:rPr>
        <w:t>telehealth</w:t>
      </w:r>
      <w:proofErr w:type="spellEnd"/>
      <w:r w:rsidRPr="00966FE8">
        <w:rPr>
          <w:rFonts w:cs="Arial"/>
          <w:b w:val="0"/>
          <w:bCs/>
          <w:kern w:val="0"/>
          <w:sz w:val="20"/>
        </w:rPr>
        <w:t xml:space="preserve"> service component of the </w:t>
      </w:r>
      <w:r>
        <w:rPr>
          <w:rFonts w:cs="Arial"/>
          <w:b w:val="0"/>
          <w:bCs/>
          <w:kern w:val="0"/>
          <w:sz w:val="20"/>
        </w:rPr>
        <w:t xml:space="preserve">NDI </w:t>
      </w:r>
      <w:r w:rsidRPr="00966FE8">
        <w:rPr>
          <w:rFonts w:cs="Arial"/>
          <w:b w:val="0"/>
          <w:bCs/>
          <w:kern w:val="0"/>
          <w:sz w:val="20"/>
        </w:rPr>
        <w:t xml:space="preserve">provides </w:t>
      </w:r>
      <w:r w:rsidR="00492121" w:rsidRPr="008F7EDF">
        <w:rPr>
          <w:rFonts w:cs="Arial"/>
          <w:b w:val="0"/>
          <w:bCs/>
          <w:sz w:val="20"/>
        </w:rPr>
        <w:t>24 hours a day, 7 days per week</w:t>
      </w:r>
      <w:r w:rsidR="00492121" w:rsidRPr="00051D0F" w:rsidDel="00260B54">
        <w:rPr>
          <w:rFonts w:cs="Arial"/>
          <w:bCs/>
        </w:rPr>
        <w:t xml:space="preserve"> </w:t>
      </w:r>
      <w:r w:rsidRPr="00966FE8">
        <w:rPr>
          <w:rFonts w:cs="Arial"/>
          <w:b w:val="0"/>
          <w:bCs/>
          <w:kern w:val="0"/>
          <w:sz w:val="20"/>
        </w:rPr>
        <w:t xml:space="preserve">primary care and referral for NDI users seeking additional support to that available through the online information and </w:t>
      </w:r>
      <w:proofErr w:type="spellStart"/>
      <w:r w:rsidRPr="00966FE8">
        <w:rPr>
          <w:rFonts w:cs="Arial"/>
          <w:b w:val="0"/>
          <w:bCs/>
          <w:kern w:val="0"/>
          <w:sz w:val="20"/>
        </w:rPr>
        <w:t>self help</w:t>
      </w:r>
      <w:proofErr w:type="spellEnd"/>
      <w:r w:rsidRPr="00966FE8">
        <w:rPr>
          <w:rFonts w:cs="Arial"/>
          <w:b w:val="0"/>
          <w:bCs/>
          <w:kern w:val="0"/>
          <w:sz w:val="20"/>
        </w:rPr>
        <w:t xml:space="preserve"> programmes. Support ranges from emergency services response through to primary mental health care an</w:t>
      </w:r>
      <w:r>
        <w:rPr>
          <w:rFonts w:cs="Arial"/>
          <w:b w:val="0"/>
          <w:bCs/>
          <w:kern w:val="0"/>
          <w:sz w:val="20"/>
        </w:rPr>
        <w:t>d</w:t>
      </w:r>
      <w:r w:rsidRPr="00966FE8">
        <w:rPr>
          <w:rFonts w:cs="Arial"/>
          <w:b w:val="0"/>
          <w:bCs/>
          <w:kern w:val="0"/>
          <w:sz w:val="20"/>
        </w:rPr>
        <w:t xml:space="preserve"> general </w:t>
      </w:r>
      <w:r>
        <w:rPr>
          <w:rFonts w:cs="Arial"/>
          <w:b w:val="0"/>
          <w:bCs/>
          <w:kern w:val="0"/>
          <w:sz w:val="20"/>
        </w:rPr>
        <w:t xml:space="preserve">assistance with sourcing online information and help. </w:t>
      </w:r>
      <w:r w:rsidRPr="00966FE8">
        <w:rPr>
          <w:rFonts w:cs="Arial"/>
          <w:b w:val="0"/>
          <w:bCs/>
          <w:kern w:val="0"/>
          <w:sz w:val="20"/>
        </w:rPr>
        <w:t xml:space="preserve">. </w:t>
      </w:r>
    </w:p>
    <w:p w:rsidR="00714274" w:rsidRPr="00966FE8" w:rsidRDefault="00714274" w:rsidP="00714274">
      <w:pPr>
        <w:pStyle w:val="Heading2"/>
        <w:numPr>
          <w:ilvl w:val="0"/>
          <w:numId w:val="0"/>
        </w:numPr>
        <w:spacing w:before="0"/>
        <w:ind w:left="708"/>
        <w:rPr>
          <w:rFonts w:cs="Arial"/>
          <w:bCs/>
        </w:rPr>
      </w:pPr>
    </w:p>
    <w:p w:rsidR="00714274" w:rsidRPr="00966FE8" w:rsidRDefault="00714274" w:rsidP="00714274">
      <w:pPr>
        <w:pStyle w:val="Heading1"/>
        <w:numPr>
          <w:ilvl w:val="0"/>
          <w:numId w:val="0"/>
        </w:numPr>
        <w:spacing w:before="0"/>
        <w:rPr>
          <w:rFonts w:cs="Arial"/>
          <w:bCs/>
          <w:kern w:val="0"/>
          <w:sz w:val="20"/>
        </w:rPr>
      </w:pPr>
      <w:r w:rsidRPr="00966FE8">
        <w:rPr>
          <w:rFonts w:cs="Arial"/>
          <w:bCs/>
          <w:kern w:val="0"/>
          <w:sz w:val="20"/>
        </w:rPr>
        <w:t>Problem Gambling</w:t>
      </w:r>
    </w:p>
    <w:p w:rsidR="00714274" w:rsidRPr="003231E3" w:rsidRDefault="00714274" w:rsidP="00714274">
      <w:pPr>
        <w:pStyle w:val="Heading1"/>
        <w:numPr>
          <w:ilvl w:val="0"/>
          <w:numId w:val="0"/>
        </w:numPr>
        <w:spacing w:before="0"/>
        <w:rPr>
          <w:rFonts w:cs="Arial"/>
          <w:b w:val="0"/>
          <w:bCs/>
          <w:kern w:val="0"/>
          <w:sz w:val="20"/>
        </w:rPr>
      </w:pPr>
      <w:r w:rsidRPr="00966FE8">
        <w:rPr>
          <w:rFonts w:cs="Arial"/>
          <w:b w:val="0"/>
          <w:bCs/>
          <w:kern w:val="0"/>
          <w:sz w:val="20"/>
        </w:rPr>
        <w:t xml:space="preserve">The Gambling Helpline provides telephone callers with access 24 hours a day, 7 days per week to support from trained problem gambling counsellors who can provide psychosocial intervention support and referrals to other health providers for callers requesting face-to-face counselling. The Gambling Helpline is available to </w:t>
      </w:r>
      <w:r>
        <w:rPr>
          <w:rFonts w:cs="Arial"/>
          <w:b w:val="0"/>
          <w:bCs/>
          <w:kern w:val="0"/>
          <w:sz w:val="20"/>
        </w:rPr>
        <w:t>caller</w:t>
      </w:r>
      <w:r w:rsidRPr="00966FE8">
        <w:rPr>
          <w:rFonts w:cs="Arial"/>
          <w:b w:val="0"/>
          <w:bCs/>
          <w:kern w:val="0"/>
          <w:sz w:val="20"/>
        </w:rPr>
        <w:t>s who are concerned about their own gambling as well as family and affected others who are concerned about someone’s gambling.</w:t>
      </w:r>
    </w:p>
    <w:p w:rsidR="00714274" w:rsidRDefault="00714274" w:rsidP="00714274">
      <w:pPr>
        <w:pStyle w:val="Heading1"/>
        <w:numPr>
          <w:ilvl w:val="0"/>
          <w:numId w:val="0"/>
        </w:numPr>
        <w:spacing w:before="0"/>
        <w:rPr>
          <w:rFonts w:cs="Arial"/>
          <w:bCs/>
          <w:kern w:val="0"/>
          <w:sz w:val="20"/>
        </w:rPr>
      </w:pPr>
    </w:p>
    <w:p w:rsidR="00714274" w:rsidRPr="003231E3" w:rsidRDefault="00714274" w:rsidP="00714274">
      <w:pPr>
        <w:pStyle w:val="Heading1"/>
        <w:numPr>
          <w:ilvl w:val="0"/>
          <w:numId w:val="0"/>
        </w:numPr>
        <w:spacing w:before="0"/>
        <w:rPr>
          <w:rFonts w:cs="Arial"/>
          <w:bCs/>
          <w:kern w:val="0"/>
          <w:sz w:val="20"/>
        </w:rPr>
      </w:pPr>
      <w:r w:rsidRPr="003231E3">
        <w:rPr>
          <w:rFonts w:cs="Arial"/>
          <w:bCs/>
          <w:kern w:val="0"/>
          <w:sz w:val="20"/>
        </w:rPr>
        <w:t xml:space="preserve">Alcohol and Drug </w:t>
      </w:r>
    </w:p>
    <w:p w:rsidR="00714274" w:rsidRPr="001C606E" w:rsidRDefault="00714274" w:rsidP="00714274">
      <w:pPr>
        <w:pStyle w:val="GroupHeading"/>
        <w:spacing w:before="0"/>
        <w:ind w:left="0"/>
        <w:rPr>
          <w:rFonts w:cs="Arial"/>
          <w:b w:val="0"/>
          <w:bCs/>
          <w:sz w:val="20"/>
        </w:rPr>
      </w:pPr>
      <w:r w:rsidRPr="001C606E">
        <w:rPr>
          <w:rFonts w:cs="Arial"/>
          <w:b w:val="0"/>
          <w:bCs/>
          <w:sz w:val="20"/>
        </w:rPr>
        <w:t xml:space="preserve">The </w:t>
      </w:r>
      <w:r>
        <w:rPr>
          <w:rFonts w:cs="Arial"/>
          <w:b w:val="0"/>
          <w:bCs/>
          <w:sz w:val="20"/>
        </w:rPr>
        <w:t xml:space="preserve">nationwide </w:t>
      </w:r>
      <w:proofErr w:type="spellStart"/>
      <w:r w:rsidRPr="001C606E">
        <w:rPr>
          <w:rFonts w:cs="Arial"/>
          <w:b w:val="0"/>
          <w:bCs/>
          <w:sz w:val="20"/>
        </w:rPr>
        <w:t>AlcoholDrug</w:t>
      </w:r>
      <w:proofErr w:type="spellEnd"/>
      <w:r w:rsidRPr="001C606E">
        <w:rPr>
          <w:rFonts w:cs="Arial"/>
          <w:b w:val="0"/>
          <w:bCs/>
          <w:sz w:val="20"/>
        </w:rPr>
        <w:t xml:space="preserve"> Helpline seeks to reduce the harm caused by alcohol and other drugs by providing information on treatment options including self-management and referral to treatment services for people concerned about their own or someone else's alcohol and drug use.  </w:t>
      </w:r>
    </w:p>
    <w:p w:rsidR="00714274" w:rsidRPr="003231E3" w:rsidRDefault="00714274" w:rsidP="00714274">
      <w:pPr>
        <w:pStyle w:val="Heading2"/>
        <w:numPr>
          <w:ilvl w:val="0"/>
          <w:numId w:val="0"/>
        </w:numPr>
        <w:spacing w:before="0"/>
        <w:ind w:left="708"/>
      </w:pPr>
    </w:p>
    <w:p w:rsidR="00714274" w:rsidRPr="00966FE8" w:rsidRDefault="00714274" w:rsidP="00714274">
      <w:pPr>
        <w:autoSpaceDE w:val="0"/>
        <w:autoSpaceDN w:val="0"/>
        <w:adjustRightInd w:val="0"/>
        <w:rPr>
          <w:rFonts w:cs="Arial"/>
          <w:b/>
          <w:bCs/>
          <w:sz w:val="20"/>
        </w:rPr>
      </w:pPr>
      <w:r w:rsidRPr="00966FE8">
        <w:rPr>
          <w:rFonts w:cs="Arial"/>
          <w:b/>
          <w:bCs/>
          <w:sz w:val="20"/>
        </w:rPr>
        <w:t>Hepatitis C</w:t>
      </w:r>
    </w:p>
    <w:p w:rsidR="00714274" w:rsidRDefault="00714274" w:rsidP="00714274">
      <w:pPr>
        <w:autoSpaceDE w:val="0"/>
        <w:autoSpaceDN w:val="0"/>
        <w:adjustRightInd w:val="0"/>
        <w:rPr>
          <w:rFonts w:cs="Arial"/>
          <w:bCs/>
          <w:sz w:val="20"/>
        </w:rPr>
      </w:pPr>
      <w:r>
        <w:rPr>
          <w:rFonts w:cs="Arial"/>
          <w:bCs/>
          <w:sz w:val="20"/>
        </w:rPr>
        <w:t xml:space="preserve">The hepatitis C phone line </w:t>
      </w:r>
      <w:r w:rsidRPr="00966FE8">
        <w:rPr>
          <w:rFonts w:cs="Arial"/>
          <w:bCs/>
          <w:sz w:val="20"/>
        </w:rPr>
        <w:t>promote</w:t>
      </w:r>
      <w:r>
        <w:rPr>
          <w:rFonts w:cs="Arial"/>
          <w:bCs/>
          <w:sz w:val="20"/>
        </w:rPr>
        <w:t>s</w:t>
      </w:r>
      <w:r w:rsidRPr="00966FE8">
        <w:rPr>
          <w:rFonts w:cs="Arial"/>
          <w:bCs/>
          <w:sz w:val="20"/>
        </w:rPr>
        <w:t xml:space="preserve"> knowledge of hepatitis C virus infection and its implication for those affected by the disease</w:t>
      </w:r>
      <w:r>
        <w:rPr>
          <w:rFonts w:cs="Arial"/>
          <w:bCs/>
          <w:sz w:val="20"/>
        </w:rPr>
        <w:t xml:space="preserve">. </w:t>
      </w:r>
      <w:proofErr w:type="gramStart"/>
      <w:r>
        <w:rPr>
          <w:rFonts w:cs="Arial"/>
          <w:bCs/>
          <w:sz w:val="20"/>
        </w:rPr>
        <w:t>The aim being t</w:t>
      </w:r>
      <w:r w:rsidRPr="00966FE8">
        <w:rPr>
          <w:rFonts w:cs="Arial"/>
          <w:bCs/>
          <w:sz w:val="20"/>
        </w:rPr>
        <w:t>o reduce the incidence of hepatitis C</w:t>
      </w:r>
      <w:r>
        <w:rPr>
          <w:rFonts w:cs="Arial"/>
          <w:bCs/>
          <w:sz w:val="20"/>
        </w:rPr>
        <w:t xml:space="preserve"> and to </w:t>
      </w:r>
      <w:r w:rsidRPr="00966FE8">
        <w:rPr>
          <w:rFonts w:cs="Arial"/>
          <w:bCs/>
          <w:sz w:val="20"/>
        </w:rPr>
        <w:t>reduce secondary transmission of hepatitis C in the community</w:t>
      </w:r>
      <w:r>
        <w:rPr>
          <w:rFonts w:cs="Arial"/>
          <w:bCs/>
          <w:sz w:val="20"/>
        </w:rPr>
        <w:t>.</w:t>
      </w:r>
      <w:proofErr w:type="gramEnd"/>
    </w:p>
    <w:p w:rsidR="00714274" w:rsidRDefault="00714274" w:rsidP="00714274">
      <w:pPr>
        <w:autoSpaceDE w:val="0"/>
        <w:autoSpaceDN w:val="0"/>
        <w:adjustRightInd w:val="0"/>
        <w:rPr>
          <w:rFonts w:cs="Arial"/>
          <w:bCs/>
          <w:sz w:val="20"/>
        </w:rPr>
      </w:pPr>
    </w:p>
    <w:p w:rsidR="00E77253" w:rsidRDefault="00E77253" w:rsidP="008D290B">
      <w:pPr>
        <w:autoSpaceDE w:val="0"/>
        <w:autoSpaceDN w:val="0"/>
        <w:adjustRightInd w:val="0"/>
        <w:rPr>
          <w:rFonts w:cs="Arial"/>
          <w:bCs/>
          <w:sz w:val="20"/>
        </w:rPr>
      </w:pPr>
    </w:p>
    <w:p w:rsidR="000857BF" w:rsidRPr="00E77253" w:rsidRDefault="00E77253" w:rsidP="00E77253">
      <w:pPr>
        <w:autoSpaceDE w:val="0"/>
        <w:autoSpaceDN w:val="0"/>
        <w:adjustRightInd w:val="0"/>
        <w:rPr>
          <w:rFonts w:cs="Arial"/>
          <w:bCs/>
          <w:sz w:val="20"/>
        </w:rPr>
      </w:pPr>
      <w:r>
        <w:rPr>
          <w:rFonts w:cs="Arial"/>
          <w:bCs/>
          <w:sz w:val="20"/>
        </w:rPr>
        <w:t xml:space="preserve">Refer to Appendix </w:t>
      </w:r>
      <w:r w:rsidR="008F4857">
        <w:rPr>
          <w:rFonts w:cs="Arial"/>
          <w:bCs/>
          <w:sz w:val="20"/>
        </w:rPr>
        <w:t xml:space="preserve">C </w:t>
      </w:r>
      <w:r>
        <w:rPr>
          <w:rFonts w:cs="Arial"/>
          <w:bCs/>
          <w:sz w:val="20"/>
        </w:rPr>
        <w:t>for relevant strategic documents and A</w:t>
      </w:r>
      <w:r w:rsidR="000857BF" w:rsidRPr="00E77253">
        <w:rPr>
          <w:rFonts w:cs="Arial"/>
          <w:bCs/>
          <w:sz w:val="20"/>
        </w:rPr>
        <w:t xml:space="preserve">ppendix </w:t>
      </w:r>
      <w:r w:rsidR="008F4857">
        <w:rPr>
          <w:rFonts w:cs="Arial"/>
          <w:bCs/>
          <w:sz w:val="20"/>
        </w:rPr>
        <w:t>D</w:t>
      </w:r>
      <w:r w:rsidR="008F4857" w:rsidRPr="00E77253">
        <w:rPr>
          <w:rFonts w:cs="Arial"/>
          <w:bCs/>
          <w:sz w:val="20"/>
        </w:rPr>
        <w:t xml:space="preserve"> </w:t>
      </w:r>
      <w:r w:rsidRPr="00E77253">
        <w:rPr>
          <w:rFonts w:cs="Arial"/>
          <w:bCs/>
          <w:sz w:val="20"/>
        </w:rPr>
        <w:t xml:space="preserve">for </w:t>
      </w:r>
      <w:r w:rsidR="000857BF" w:rsidRPr="00E77253">
        <w:rPr>
          <w:rFonts w:cs="Arial"/>
          <w:bCs/>
          <w:sz w:val="20"/>
        </w:rPr>
        <w:t xml:space="preserve">further detail on the various components for the national </w:t>
      </w:r>
      <w:r w:rsidR="003231E3" w:rsidRPr="00E77253">
        <w:rPr>
          <w:rFonts w:cs="Arial"/>
          <w:bCs/>
          <w:sz w:val="20"/>
        </w:rPr>
        <w:t>telehealth</w:t>
      </w:r>
      <w:r w:rsidR="000857BF" w:rsidRPr="00E77253">
        <w:rPr>
          <w:rFonts w:cs="Arial"/>
          <w:bCs/>
          <w:sz w:val="20"/>
        </w:rPr>
        <w:t xml:space="preserve"> service. </w:t>
      </w:r>
    </w:p>
    <w:p w:rsidR="000857BF" w:rsidRDefault="000857BF" w:rsidP="00FB7118">
      <w:pPr>
        <w:pStyle w:val="BulletText1"/>
        <w:numPr>
          <w:ilvl w:val="0"/>
          <w:numId w:val="0"/>
        </w:numPr>
        <w:tabs>
          <w:tab w:val="left" w:pos="1560"/>
        </w:tabs>
        <w:rPr>
          <w:rFonts w:cs="Arial"/>
          <w:sz w:val="20"/>
          <w:lang w:val="en-NZ"/>
        </w:rPr>
      </w:pPr>
      <w:bookmarkStart w:id="9" w:name="_Toc307921177"/>
      <w:bookmarkStart w:id="10" w:name="_Toc314046318"/>
      <w:bookmarkEnd w:id="4"/>
      <w:bookmarkEnd w:id="5"/>
    </w:p>
    <w:p w:rsidR="000857BF" w:rsidRDefault="00FB7118" w:rsidP="00FB7118">
      <w:pPr>
        <w:pStyle w:val="Heading1"/>
      </w:pPr>
      <w:r>
        <w:t>Collaboration and Partnerships</w:t>
      </w:r>
    </w:p>
    <w:p w:rsidR="000E7E14" w:rsidRDefault="000E7E14" w:rsidP="000E7E14">
      <w:pPr>
        <w:rPr>
          <w:rFonts w:cs="Arial"/>
          <w:sz w:val="20"/>
        </w:rPr>
      </w:pPr>
    </w:p>
    <w:p w:rsidR="000E7E14" w:rsidRDefault="000E7E14" w:rsidP="000E7E14">
      <w:pPr>
        <w:rPr>
          <w:rFonts w:cs="Arial"/>
          <w:sz w:val="20"/>
        </w:rPr>
      </w:pPr>
      <w:r w:rsidRPr="0085514B">
        <w:rPr>
          <w:rFonts w:cs="Arial"/>
          <w:sz w:val="20"/>
        </w:rPr>
        <w:t>The Ministry is collaborating with ACC and the Ministry of Business, Innovation and Employment (MBIE) (</w:t>
      </w:r>
      <w:proofErr w:type="spellStart"/>
      <w:r w:rsidRPr="0085514B">
        <w:rPr>
          <w:rFonts w:cs="Arial"/>
          <w:sz w:val="20"/>
        </w:rPr>
        <w:t>Worksafe</w:t>
      </w:r>
      <w:proofErr w:type="spellEnd"/>
      <w:r w:rsidRPr="0085514B">
        <w:rPr>
          <w:rFonts w:cs="Arial"/>
          <w:sz w:val="20"/>
        </w:rPr>
        <w:t xml:space="preserve"> NZ Dec 2013)</w:t>
      </w:r>
      <w:r w:rsidR="0053264C">
        <w:rPr>
          <w:rFonts w:cs="Arial"/>
          <w:sz w:val="20"/>
        </w:rPr>
        <w:t>,</w:t>
      </w:r>
      <w:r w:rsidRPr="0085514B">
        <w:rPr>
          <w:rFonts w:cs="Arial"/>
          <w:sz w:val="20"/>
        </w:rPr>
        <w:t xml:space="preserve"> who may become co-purchasers of some parts of the National Telehealth Service. </w:t>
      </w:r>
    </w:p>
    <w:p w:rsidR="000E7E14" w:rsidRPr="0085514B" w:rsidRDefault="000E7E14" w:rsidP="000E7E14">
      <w:pPr>
        <w:rPr>
          <w:rFonts w:cs="Arial"/>
          <w:sz w:val="20"/>
        </w:rPr>
      </w:pPr>
    </w:p>
    <w:p w:rsidR="000E7E14" w:rsidRPr="0085514B" w:rsidRDefault="000E7E14" w:rsidP="000E7E14">
      <w:pPr>
        <w:rPr>
          <w:rFonts w:cs="Arial"/>
          <w:sz w:val="20"/>
        </w:rPr>
      </w:pPr>
      <w:r>
        <w:rPr>
          <w:rFonts w:cs="Arial"/>
          <w:sz w:val="20"/>
        </w:rPr>
        <w:t>The s</w:t>
      </w:r>
      <w:r w:rsidRPr="0085514B">
        <w:rPr>
          <w:rFonts w:cs="Arial"/>
          <w:sz w:val="20"/>
        </w:rPr>
        <w:t xml:space="preserve">trategic objectives for ACC </w:t>
      </w:r>
      <w:r w:rsidR="007775F8">
        <w:rPr>
          <w:rFonts w:cs="Arial"/>
          <w:sz w:val="20"/>
        </w:rPr>
        <w:t>and</w:t>
      </w:r>
      <w:r w:rsidR="007775F8" w:rsidRPr="0085514B">
        <w:rPr>
          <w:rFonts w:cs="Arial"/>
          <w:sz w:val="20"/>
        </w:rPr>
        <w:t xml:space="preserve"> </w:t>
      </w:r>
      <w:r w:rsidRPr="0085514B">
        <w:rPr>
          <w:rFonts w:cs="Arial"/>
          <w:sz w:val="20"/>
        </w:rPr>
        <w:t>MBIE</w:t>
      </w:r>
      <w:r w:rsidR="00FB7118">
        <w:rPr>
          <w:rFonts w:cs="Arial"/>
          <w:sz w:val="20"/>
        </w:rPr>
        <w:t xml:space="preserve"> </w:t>
      </w:r>
      <w:r w:rsidRPr="0085514B">
        <w:rPr>
          <w:rFonts w:cs="Arial"/>
          <w:sz w:val="20"/>
        </w:rPr>
        <w:t xml:space="preserve">with regard to </w:t>
      </w:r>
      <w:r>
        <w:rPr>
          <w:rFonts w:cs="Arial"/>
          <w:sz w:val="20"/>
        </w:rPr>
        <w:t>the national telehealth service are outlined below.</w:t>
      </w:r>
    </w:p>
    <w:p w:rsidR="000E7E14" w:rsidRPr="0085514B" w:rsidRDefault="000E7E14" w:rsidP="000E7E14">
      <w:pPr>
        <w:rPr>
          <w:rFonts w:cs="Arial"/>
          <w:sz w:val="20"/>
        </w:rPr>
      </w:pPr>
    </w:p>
    <w:p w:rsidR="000E7E14" w:rsidRPr="00867988" w:rsidRDefault="000E7E14" w:rsidP="000E7E14">
      <w:pPr>
        <w:pStyle w:val="BodyText"/>
        <w:rPr>
          <w:rFonts w:cs="Arial"/>
          <w:sz w:val="20"/>
        </w:rPr>
      </w:pPr>
      <w:r w:rsidRPr="00867988">
        <w:rPr>
          <w:rFonts w:cs="Arial"/>
          <w:sz w:val="20"/>
        </w:rPr>
        <w:t>ACC’s objectives are:</w:t>
      </w:r>
    </w:p>
    <w:p w:rsidR="000E7E14" w:rsidRPr="00867988" w:rsidRDefault="000E7E14" w:rsidP="000E7E14">
      <w:pPr>
        <w:pStyle w:val="BodyText"/>
        <w:numPr>
          <w:ilvl w:val="0"/>
          <w:numId w:val="8"/>
        </w:numPr>
        <w:spacing w:line="240" w:lineRule="atLeast"/>
        <w:ind w:left="714" w:hanging="357"/>
        <w:jc w:val="left"/>
        <w:rPr>
          <w:rFonts w:cs="Arial"/>
          <w:sz w:val="20"/>
        </w:rPr>
      </w:pPr>
      <w:r w:rsidRPr="00867988">
        <w:rPr>
          <w:rFonts w:cs="Arial"/>
          <w:sz w:val="20"/>
        </w:rPr>
        <w:t xml:space="preserve">To work with the Ministry of Health through a telehealth service to future proof urgent and unplanned care services for ill and injured New Zealanders </w:t>
      </w:r>
    </w:p>
    <w:p w:rsidR="000E7E14" w:rsidRPr="00867988" w:rsidRDefault="000E7E14" w:rsidP="000E7E14">
      <w:pPr>
        <w:pStyle w:val="BodyText"/>
        <w:numPr>
          <w:ilvl w:val="0"/>
          <w:numId w:val="8"/>
        </w:numPr>
        <w:spacing w:line="240" w:lineRule="atLeast"/>
        <w:ind w:left="714" w:hanging="357"/>
        <w:jc w:val="left"/>
        <w:rPr>
          <w:rFonts w:cs="Arial"/>
          <w:sz w:val="20"/>
        </w:rPr>
      </w:pPr>
      <w:r w:rsidRPr="00867988">
        <w:rPr>
          <w:rFonts w:cs="Arial"/>
          <w:sz w:val="20"/>
        </w:rPr>
        <w:t xml:space="preserve">To provide better rehabilitation outcomes for injured New Zealanders through the provision of early, easily accessible, and appropriate clinical advice </w:t>
      </w:r>
    </w:p>
    <w:p w:rsidR="000E7E14" w:rsidRPr="00867988" w:rsidRDefault="000E7E14" w:rsidP="000E7E14">
      <w:pPr>
        <w:pStyle w:val="BodyText"/>
        <w:numPr>
          <w:ilvl w:val="0"/>
          <w:numId w:val="8"/>
        </w:numPr>
        <w:spacing w:line="240" w:lineRule="atLeast"/>
        <w:ind w:left="714" w:hanging="357"/>
        <w:jc w:val="left"/>
        <w:rPr>
          <w:rFonts w:cs="Arial"/>
          <w:sz w:val="20"/>
        </w:rPr>
      </w:pPr>
      <w:r w:rsidRPr="00867988">
        <w:rPr>
          <w:rFonts w:cs="Arial"/>
          <w:sz w:val="20"/>
        </w:rPr>
        <w:t>To improve the experience of ACC clients with a more seamless integration of services</w:t>
      </w:r>
    </w:p>
    <w:p w:rsidR="000E7E14" w:rsidRPr="00867988" w:rsidRDefault="000E7E14" w:rsidP="000E7E14">
      <w:pPr>
        <w:pStyle w:val="BodyText"/>
        <w:numPr>
          <w:ilvl w:val="0"/>
          <w:numId w:val="8"/>
        </w:numPr>
        <w:spacing w:line="240" w:lineRule="atLeast"/>
        <w:ind w:left="714" w:hanging="357"/>
        <w:jc w:val="left"/>
        <w:rPr>
          <w:rFonts w:cs="Arial"/>
          <w:sz w:val="20"/>
        </w:rPr>
      </w:pPr>
      <w:r w:rsidRPr="00867988">
        <w:rPr>
          <w:rFonts w:cs="Arial"/>
          <w:sz w:val="20"/>
        </w:rPr>
        <w:t xml:space="preserve">To increase awareness of, and provide early alerts for referral to injury prevention </w:t>
      </w:r>
      <w:r>
        <w:rPr>
          <w:rFonts w:cs="Arial"/>
          <w:sz w:val="20"/>
        </w:rPr>
        <w:t>interventions.</w:t>
      </w:r>
    </w:p>
    <w:p w:rsidR="000E7E14" w:rsidRDefault="000E7E14" w:rsidP="000E7E14">
      <w:pPr>
        <w:pStyle w:val="BodyText"/>
        <w:rPr>
          <w:b/>
        </w:rPr>
      </w:pPr>
    </w:p>
    <w:p w:rsidR="000E7E14" w:rsidRPr="0085514B" w:rsidRDefault="000E7E14" w:rsidP="000E7E14">
      <w:pPr>
        <w:rPr>
          <w:rFonts w:cs="Arial"/>
          <w:sz w:val="20"/>
        </w:rPr>
      </w:pPr>
      <w:r>
        <w:rPr>
          <w:rFonts w:cs="Arial"/>
          <w:sz w:val="20"/>
        </w:rPr>
        <w:t xml:space="preserve">MBIE has </w:t>
      </w:r>
      <w:r w:rsidRPr="0085514B">
        <w:rPr>
          <w:rFonts w:cs="Arial"/>
          <w:sz w:val="20"/>
        </w:rPr>
        <w:t>an increased focus on Occupational Health as per recommendation number seven of the Independent Taskforces Report.</w:t>
      </w:r>
      <w:r>
        <w:rPr>
          <w:rStyle w:val="FootnoteReference"/>
          <w:rFonts w:cs="Arial"/>
          <w:sz w:val="20"/>
        </w:rPr>
        <w:footnoteReference w:id="3"/>
      </w:r>
      <w:r w:rsidRPr="0085514B">
        <w:rPr>
          <w:rFonts w:cs="Arial"/>
          <w:sz w:val="20"/>
        </w:rPr>
        <w:t xml:space="preserve"> The Telehealth project fits into three of the six actions </w:t>
      </w:r>
      <w:proofErr w:type="spellStart"/>
      <w:r w:rsidRPr="0085514B">
        <w:rPr>
          <w:rFonts w:cs="Arial"/>
          <w:sz w:val="20"/>
        </w:rPr>
        <w:t>Worksafe</w:t>
      </w:r>
      <w:proofErr w:type="spellEnd"/>
      <w:r w:rsidRPr="0085514B">
        <w:rPr>
          <w:rFonts w:cs="Arial"/>
          <w:sz w:val="20"/>
        </w:rPr>
        <w:t xml:space="preserve"> NZ has committed to doing</w:t>
      </w:r>
      <w:r>
        <w:rPr>
          <w:rFonts w:cs="Arial"/>
          <w:sz w:val="20"/>
        </w:rPr>
        <w:t xml:space="preserve"> in response to the Taskforces report</w:t>
      </w:r>
      <w:r w:rsidRPr="0085514B">
        <w:rPr>
          <w:rFonts w:cs="Arial"/>
          <w:sz w:val="20"/>
        </w:rPr>
        <w:t>. These are to:</w:t>
      </w:r>
    </w:p>
    <w:p w:rsidR="000E7E14" w:rsidRPr="0085514B" w:rsidRDefault="000E7E14" w:rsidP="000E7E14">
      <w:pPr>
        <w:rPr>
          <w:rFonts w:cs="Arial"/>
          <w:sz w:val="20"/>
        </w:rPr>
      </w:pPr>
    </w:p>
    <w:p w:rsidR="000E7E14" w:rsidRPr="00867988" w:rsidRDefault="000E7E14" w:rsidP="000E7E14">
      <w:pPr>
        <w:pStyle w:val="BodyText"/>
        <w:numPr>
          <w:ilvl w:val="0"/>
          <w:numId w:val="8"/>
        </w:numPr>
        <w:spacing w:line="240" w:lineRule="atLeast"/>
        <w:ind w:left="714" w:hanging="357"/>
        <w:jc w:val="left"/>
        <w:rPr>
          <w:rFonts w:cs="Arial"/>
          <w:sz w:val="20"/>
        </w:rPr>
      </w:pPr>
      <w:r w:rsidRPr="00867988">
        <w:rPr>
          <w:rFonts w:cs="Arial"/>
          <w:sz w:val="20"/>
        </w:rPr>
        <w:t>Start by focusing on the occupational causes of chronic ill health, on preventative measures and monitoring and enforcing those measures.</w:t>
      </w:r>
    </w:p>
    <w:p w:rsidR="000E7E14" w:rsidRPr="00867988" w:rsidRDefault="000E7E14" w:rsidP="000E7E14">
      <w:pPr>
        <w:pStyle w:val="BodyText"/>
        <w:numPr>
          <w:ilvl w:val="0"/>
          <w:numId w:val="8"/>
        </w:numPr>
        <w:spacing w:line="240" w:lineRule="atLeast"/>
        <w:ind w:left="714" w:hanging="357"/>
        <w:jc w:val="left"/>
        <w:rPr>
          <w:rFonts w:cs="Arial"/>
          <w:sz w:val="20"/>
        </w:rPr>
      </w:pPr>
      <w:r w:rsidRPr="00867988">
        <w:rPr>
          <w:rFonts w:cs="Arial"/>
          <w:sz w:val="20"/>
        </w:rPr>
        <w:lastRenderedPageBreak/>
        <w:t>Address occupational health in national programmes and harm prevention programmes it undertakes with business and workers.</w:t>
      </w:r>
    </w:p>
    <w:p w:rsidR="000E7E14" w:rsidRPr="003231E3" w:rsidRDefault="000E7E14" w:rsidP="000E7E14">
      <w:pPr>
        <w:pStyle w:val="BodyText"/>
        <w:numPr>
          <w:ilvl w:val="0"/>
          <w:numId w:val="8"/>
        </w:numPr>
        <w:spacing w:line="240" w:lineRule="atLeast"/>
        <w:ind w:left="714" w:hanging="357"/>
        <w:jc w:val="left"/>
        <w:rPr>
          <w:rFonts w:cs="Arial"/>
          <w:sz w:val="20"/>
        </w:rPr>
      </w:pPr>
      <w:r w:rsidRPr="003231E3">
        <w:rPr>
          <w:rFonts w:cs="Arial"/>
          <w:sz w:val="20"/>
        </w:rPr>
        <w:t>Work with other agencies, including ACC, to identify emerging trends and issues relating to occupational health and compensation claims.</w:t>
      </w:r>
    </w:p>
    <w:p w:rsidR="000E7E14" w:rsidRPr="003231E3" w:rsidRDefault="000E7E14" w:rsidP="000E7E14">
      <w:pPr>
        <w:rPr>
          <w:rFonts w:cs="Arial"/>
          <w:b/>
          <w:sz w:val="20"/>
        </w:rPr>
      </w:pPr>
    </w:p>
    <w:p w:rsidR="000E7E14" w:rsidRPr="003231E3" w:rsidRDefault="000E7E14" w:rsidP="000E7E14">
      <w:pPr>
        <w:rPr>
          <w:rFonts w:cs="Arial"/>
          <w:sz w:val="20"/>
        </w:rPr>
      </w:pPr>
      <w:r w:rsidRPr="003231E3">
        <w:rPr>
          <w:rFonts w:cs="Arial"/>
          <w:sz w:val="20"/>
        </w:rPr>
        <w:t>The Telehealth project also fits into two of the three objectives outlined in the Workplace Health and Safety Strategy for New Zealand to 2015 (WHSS) National Action Agenda 2010-2013; which outlined the need to:</w:t>
      </w:r>
    </w:p>
    <w:p w:rsidR="000E7E14" w:rsidRPr="003231E3" w:rsidRDefault="000E7E14" w:rsidP="000E7E14">
      <w:pPr>
        <w:rPr>
          <w:rFonts w:cs="Arial"/>
          <w:sz w:val="20"/>
        </w:rPr>
      </w:pPr>
    </w:p>
    <w:p w:rsidR="000E7E14" w:rsidRPr="003231E3" w:rsidRDefault="000E7E14" w:rsidP="000E7E14">
      <w:pPr>
        <w:pStyle w:val="BodyText"/>
        <w:numPr>
          <w:ilvl w:val="0"/>
          <w:numId w:val="8"/>
        </w:numPr>
        <w:spacing w:line="240" w:lineRule="atLeast"/>
        <w:ind w:left="714" w:hanging="357"/>
        <w:jc w:val="left"/>
        <w:rPr>
          <w:rFonts w:cs="Arial"/>
          <w:sz w:val="20"/>
        </w:rPr>
      </w:pPr>
      <w:r w:rsidRPr="003231E3">
        <w:rPr>
          <w:rFonts w:cs="Arial"/>
          <w:sz w:val="20"/>
        </w:rPr>
        <w:t>Raise awareness of occupational health issues, and</w:t>
      </w:r>
    </w:p>
    <w:p w:rsidR="000E7E14" w:rsidRPr="003231E3" w:rsidRDefault="000E7E14" w:rsidP="000E7E14">
      <w:pPr>
        <w:pStyle w:val="BodyText"/>
        <w:numPr>
          <w:ilvl w:val="0"/>
          <w:numId w:val="8"/>
        </w:numPr>
        <w:spacing w:line="240" w:lineRule="atLeast"/>
        <w:ind w:left="714" w:hanging="357"/>
        <w:jc w:val="left"/>
        <w:rPr>
          <w:rFonts w:cs="Arial"/>
          <w:sz w:val="20"/>
        </w:rPr>
      </w:pPr>
      <w:r w:rsidRPr="003231E3">
        <w:rPr>
          <w:rFonts w:cs="Arial"/>
          <w:sz w:val="20"/>
        </w:rPr>
        <w:t>Improve surveillance of occupational disease.</w:t>
      </w:r>
    </w:p>
    <w:p w:rsidR="000E7E14" w:rsidRPr="003231E3" w:rsidRDefault="000E7E14" w:rsidP="000E7E14">
      <w:pPr>
        <w:pStyle w:val="ListParagraph"/>
        <w:rPr>
          <w:rFonts w:cs="Arial"/>
          <w:sz w:val="20"/>
        </w:rPr>
      </w:pPr>
    </w:p>
    <w:p w:rsidR="000E7E14" w:rsidRPr="003231E3" w:rsidRDefault="000E7E14" w:rsidP="000E7E14">
      <w:pPr>
        <w:rPr>
          <w:rFonts w:cs="Arial"/>
          <w:sz w:val="20"/>
        </w:rPr>
      </w:pPr>
      <w:r w:rsidRPr="003231E3">
        <w:rPr>
          <w:rFonts w:cs="Arial"/>
          <w:sz w:val="20"/>
        </w:rPr>
        <w:t>The (WHSS) Occupational Health Action Plan to 2013</w:t>
      </w:r>
      <w:r w:rsidRPr="003231E3">
        <w:rPr>
          <w:rStyle w:val="FootnoteReference"/>
          <w:rFonts w:cs="Arial"/>
          <w:sz w:val="20"/>
        </w:rPr>
        <w:footnoteReference w:id="4"/>
      </w:r>
      <w:r w:rsidRPr="003231E3">
        <w:rPr>
          <w:rFonts w:cs="Arial"/>
          <w:sz w:val="20"/>
        </w:rPr>
        <w:t xml:space="preserve"> outlines the following objectives:</w:t>
      </w:r>
    </w:p>
    <w:p w:rsidR="000E7E14" w:rsidRPr="003231E3" w:rsidRDefault="000E7E14" w:rsidP="000E7E14">
      <w:pPr>
        <w:rPr>
          <w:rFonts w:cs="Arial"/>
          <w:sz w:val="20"/>
        </w:rPr>
      </w:pPr>
    </w:p>
    <w:p w:rsidR="000E7E14" w:rsidRDefault="000E7E14" w:rsidP="000E7E14">
      <w:pPr>
        <w:pStyle w:val="ListParagraph"/>
        <w:numPr>
          <w:ilvl w:val="0"/>
          <w:numId w:val="7"/>
        </w:numPr>
        <w:jc w:val="left"/>
        <w:rPr>
          <w:rFonts w:cs="Arial"/>
          <w:sz w:val="20"/>
        </w:rPr>
      </w:pPr>
      <w:r w:rsidRPr="0085514B">
        <w:rPr>
          <w:rFonts w:cs="Arial"/>
          <w:sz w:val="20"/>
        </w:rPr>
        <w:t>For MBIE to work in partnership with Government agencies to improve occupational health (2.3, p.11), and</w:t>
      </w:r>
    </w:p>
    <w:p w:rsidR="000E7E14" w:rsidRPr="00F91173" w:rsidRDefault="000E7E14" w:rsidP="000E7E14">
      <w:pPr>
        <w:pStyle w:val="ListParagraph"/>
        <w:numPr>
          <w:ilvl w:val="0"/>
          <w:numId w:val="7"/>
        </w:numPr>
        <w:jc w:val="left"/>
        <w:rPr>
          <w:rFonts w:cs="Arial"/>
          <w:sz w:val="20"/>
        </w:rPr>
      </w:pPr>
      <w:r w:rsidRPr="00F91173">
        <w:rPr>
          <w:rFonts w:cs="Arial"/>
          <w:sz w:val="20"/>
        </w:rPr>
        <w:t>For MBIE and MOH to specifically</w:t>
      </w:r>
      <w:r>
        <w:rPr>
          <w:rFonts w:cs="Arial"/>
          <w:sz w:val="20"/>
        </w:rPr>
        <w:t xml:space="preserve"> assess the feasibility of e</w:t>
      </w:r>
      <w:r w:rsidRPr="00F91173">
        <w:rPr>
          <w:rFonts w:cs="Arial"/>
          <w:sz w:val="20"/>
        </w:rPr>
        <w:t xml:space="preserve">xpanding the </w:t>
      </w:r>
      <w:r w:rsidRPr="00517CBA">
        <w:rPr>
          <w:rFonts w:cs="Arial"/>
          <w:sz w:val="20"/>
        </w:rPr>
        <w:t>Healthline</w:t>
      </w:r>
      <w:r w:rsidRPr="00F91173">
        <w:rPr>
          <w:rFonts w:cs="Arial"/>
          <w:sz w:val="20"/>
        </w:rPr>
        <w:t xml:space="preserve"> Service to include occupational health Issues (3.9, p.16).</w:t>
      </w:r>
      <w:r>
        <w:rPr>
          <w:rStyle w:val="FootnoteReference"/>
          <w:rFonts w:cs="Arial"/>
          <w:sz w:val="20"/>
        </w:rPr>
        <w:footnoteReference w:id="5"/>
      </w:r>
    </w:p>
    <w:bookmarkEnd w:id="9"/>
    <w:bookmarkEnd w:id="10"/>
    <w:p w:rsidR="00E77253" w:rsidRPr="00E77253" w:rsidRDefault="00E77253" w:rsidP="00FB7118">
      <w:pPr>
        <w:pStyle w:val="Heading1"/>
      </w:pPr>
      <w:r>
        <w:br w:type="page"/>
      </w:r>
      <w:r w:rsidRPr="00E77253">
        <w:rPr>
          <w:rFonts w:eastAsiaTheme="minorHAnsi"/>
        </w:rPr>
        <w:lastRenderedPageBreak/>
        <w:t>Glossary</w:t>
      </w:r>
    </w:p>
    <w:p w:rsidR="00E77253" w:rsidRDefault="00E77253" w:rsidP="00E77253">
      <w:pPr>
        <w:autoSpaceDE w:val="0"/>
        <w:autoSpaceDN w:val="0"/>
        <w:adjustRightInd w:val="0"/>
        <w:jc w:val="left"/>
        <w:rPr>
          <w:rFonts w:ascii="Tms Rmn" w:eastAsiaTheme="minorHAnsi" w:hAnsi="Tms Rmn" w:cstheme="minorBidi"/>
          <w:sz w:val="24"/>
          <w:szCs w:val="24"/>
        </w:rPr>
      </w:pPr>
    </w:p>
    <w:tbl>
      <w:tblPr>
        <w:tblW w:w="5000" w:type="pct"/>
        <w:tblLayout w:type="fixed"/>
        <w:tblLook w:val="00A0" w:firstRow="1" w:lastRow="0" w:firstColumn="1" w:lastColumn="0" w:noHBand="0" w:noVBand="0"/>
      </w:tblPr>
      <w:tblGrid>
        <w:gridCol w:w="3213"/>
        <w:gridCol w:w="6029"/>
      </w:tblGrid>
      <w:tr w:rsidR="00E77253">
        <w:tc>
          <w:tcPr>
            <w:tcW w:w="1738" w:type="pct"/>
            <w:tcBorders>
              <w:top w:val="single" w:sz="6" w:space="0" w:color="000000"/>
              <w:left w:val="single" w:sz="6" w:space="0" w:color="000000"/>
              <w:bottom w:val="single" w:sz="6" w:space="0" w:color="000000"/>
              <w:right w:val="single" w:sz="6" w:space="0" w:color="000000"/>
            </w:tcBorders>
            <w:shd w:val="clear" w:color="auto" w:fill="E1E1E1"/>
          </w:tcPr>
          <w:p w:rsidR="00E77253" w:rsidRDefault="00E77253">
            <w:pPr>
              <w:tabs>
                <w:tab w:val="left" w:pos="8307"/>
              </w:tabs>
              <w:autoSpaceDE w:val="0"/>
              <w:autoSpaceDN w:val="0"/>
              <w:adjustRightInd w:val="0"/>
              <w:spacing w:before="120" w:after="120"/>
              <w:rPr>
                <w:rFonts w:eastAsiaTheme="minorHAnsi" w:cs="Arial"/>
                <w:b/>
                <w:bCs/>
                <w:color w:val="000000"/>
                <w:sz w:val="20"/>
              </w:rPr>
            </w:pPr>
            <w:r>
              <w:rPr>
                <w:rFonts w:eastAsiaTheme="minorHAnsi" w:cs="Arial"/>
                <w:b/>
                <w:bCs/>
                <w:color w:val="000000"/>
                <w:sz w:val="20"/>
              </w:rPr>
              <w:t>Term</w:t>
            </w:r>
          </w:p>
        </w:tc>
        <w:tc>
          <w:tcPr>
            <w:tcW w:w="3261" w:type="pct"/>
            <w:tcBorders>
              <w:top w:val="single" w:sz="6" w:space="0" w:color="000000"/>
              <w:left w:val="single" w:sz="6" w:space="0" w:color="000000"/>
              <w:bottom w:val="single" w:sz="6" w:space="0" w:color="000000"/>
              <w:right w:val="single" w:sz="6" w:space="0" w:color="000000"/>
            </w:tcBorders>
            <w:shd w:val="clear" w:color="auto" w:fill="E1E1E1"/>
          </w:tcPr>
          <w:p w:rsidR="00E77253" w:rsidRDefault="00E77253">
            <w:pPr>
              <w:tabs>
                <w:tab w:val="left" w:pos="8307"/>
              </w:tabs>
              <w:autoSpaceDE w:val="0"/>
              <w:autoSpaceDN w:val="0"/>
              <w:adjustRightInd w:val="0"/>
              <w:spacing w:before="120" w:after="120"/>
              <w:rPr>
                <w:rFonts w:eastAsiaTheme="minorHAnsi" w:cs="Arial"/>
                <w:b/>
                <w:bCs/>
                <w:color w:val="000000"/>
                <w:sz w:val="20"/>
              </w:rPr>
            </w:pPr>
            <w:r>
              <w:rPr>
                <w:rFonts w:eastAsiaTheme="minorHAnsi" w:cs="Arial"/>
                <w:b/>
                <w:bCs/>
                <w:color w:val="000000"/>
                <w:sz w:val="20"/>
              </w:rPr>
              <w:t>Definitions</w:t>
            </w:r>
          </w:p>
        </w:tc>
      </w:tr>
      <w:tr w:rsidR="00E77253">
        <w:tc>
          <w:tcPr>
            <w:tcW w:w="1738" w:type="pct"/>
            <w:tcBorders>
              <w:top w:val="single" w:sz="6" w:space="0" w:color="000000"/>
              <w:left w:val="single" w:sz="6" w:space="0" w:color="000000"/>
              <w:bottom w:val="single" w:sz="6" w:space="0" w:color="000000"/>
              <w:right w:val="single" w:sz="6" w:space="0" w:color="000000"/>
            </w:tcBorders>
          </w:tcPr>
          <w:p w:rsidR="00E77253" w:rsidRDefault="00E77253">
            <w:pPr>
              <w:tabs>
                <w:tab w:val="left" w:pos="8307"/>
              </w:tabs>
              <w:autoSpaceDE w:val="0"/>
              <w:autoSpaceDN w:val="0"/>
              <w:adjustRightInd w:val="0"/>
              <w:spacing w:before="120" w:after="120"/>
              <w:rPr>
                <w:rFonts w:eastAsiaTheme="minorHAnsi" w:cs="Arial"/>
                <w:color w:val="000000"/>
                <w:sz w:val="20"/>
              </w:rPr>
            </w:pPr>
            <w:r>
              <w:rPr>
                <w:rFonts w:eastAsiaTheme="minorHAnsi" w:cs="Arial"/>
                <w:color w:val="000000"/>
                <w:sz w:val="20"/>
              </w:rPr>
              <w:t>Telehealth</w:t>
            </w:r>
          </w:p>
        </w:tc>
        <w:tc>
          <w:tcPr>
            <w:tcW w:w="3261" w:type="pct"/>
            <w:tcBorders>
              <w:top w:val="single" w:sz="6" w:space="0" w:color="000000"/>
              <w:left w:val="single" w:sz="6" w:space="0" w:color="000000"/>
              <w:bottom w:val="single" w:sz="6" w:space="0" w:color="000000"/>
              <w:right w:val="single" w:sz="6" w:space="0" w:color="000000"/>
            </w:tcBorders>
          </w:tcPr>
          <w:p w:rsidR="00E77253" w:rsidRDefault="00E77253">
            <w:pPr>
              <w:tabs>
                <w:tab w:val="left" w:pos="8307"/>
              </w:tabs>
              <w:autoSpaceDE w:val="0"/>
              <w:autoSpaceDN w:val="0"/>
              <w:adjustRightInd w:val="0"/>
              <w:spacing w:before="120" w:after="120"/>
              <w:rPr>
                <w:rFonts w:eastAsiaTheme="minorHAnsi" w:cs="Arial"/>
                <w:color w:val="000000"/>
                <w:sz w:val="20"/>
              </w:rPr>
            </w:pPr>
            <w:r>
              <w:rPr>
                <w:rFonts w:eastAsiaTheme="minorHAnsi" w:cs="Arial"/>
                <w:color w:val="000000"/>
                <w:sz w:val="20"/>
              </w:rPr>
              <w:t>Telehealth is the use of information and communications technologies to deliver health services and transmit health information over distance. It is about transmitting voice, data, images and information rather than moving care recipients, health professionals or educators. It can encompass advice, support, assessment of symptoms, triage treatment, preventive (educational) and curative aspects of healthcare services.</w:t>
            </w:r>
          </w:p>
        </w:tc>
      </w:tr>
    </w:tbl>
    <w:p w:rsidR="009866FE" w:rsidRDefault="009866FE" w:rsidP="0053264C">
      <w:pPr>
        <w:pStyle w:val="Heading1"/>
        <w:keepNext w:val="0"/>
        <w:numPr>
          <w:ilvl w:val="0"/>
          <w:numId w:val="0"/>
        </w:numPr>
        <w:spacing w:before="360"/>
        <w:ind w:left="708" w:hanging="708"/>
      </w:pPr>
    </w:p>
    <w:sectPr w:rsidR="009866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1D1" w:rsidRDefault="004211D1" w:rsidP="000857BF">
      <w:r>
        <w:separator/>
      </w:r>
    </w:p>
  </w:endnote>
  <w:endnote w:type="continuationSeparator" w:id="0">
    <w:p w:rsidR="004211D1" w:rsidRDefault="004211D1" w:rsidP="0008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Mäori">
    <w:altName w:val="Arial"/>
    <w:panose1 w:val="00000000000000000000"/>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1D1" w:rsidRDefault="004211D1" w:rsidP="000857BF">
      <w:r>
        <w:separator/>
      </w:r>
    </w:p>
  </w:footnote>
  <w:footnote w:type="continuationSeparator" w:id="0">
    <w:p w:rsidR="004211D1" w:rsidRDefault="004211D1" w:rsidP="000857BF">
      <w:r>
        <w:continuationSeparator/>
      </w:r>
    </w:p>
  </w:footnote>
  <w:footnote w:id="1">
    <w:p w:rsidR="00714274" w:rsidRPr="00713B53" w:rsidRDefault="00714274" w:rsidP="00714274">
      <w:pPr>
        <w:pStyle w:val="FootnoteText"/>
        <w:rPr>
          <w:rFonts w:cs="Arial"/>
          <w:sz w:val="16"/>
          <w:szCs w:val="16"/>
        </w:rPr>
      </w:pPr>
      <w:r w:rsidRPr="00713B53">
        <w:rPr>
          <w:rStyle w:val="FootnoteReference"/>
          <w:rFonts w:cs="Arial"/>
          <w:sz w:val="16"/>
          <w:szCs w:val="16"/>
        </w:rPr>
        <w:footnoteRef/>
      </w:r>
      <w:r w:rsidRPr="00713B53">
        <w:rPr>
          <w:rFonts w:cs="Arial"/>
          <w:sz w:val="16"/>
          <w:szCs w:val="16"/>
        </w:rPr>
        <w:t xml:space="preserve"> </w:t>
      </w:r>
      <w:bookmarkStart w:id="8" w:name="_GoBack"/>
      <w:r w:rsidR="00260B54" w:rsidRPr="00260B54">
        <w:rPr>
          <w:rFonts w:cs="Arial"/>
          <w:sz w:val="16"/>
          <w:szCs w:val="16"/>
        </w:rPr>
        <w:t xml:space="preserve"> </w:t>
      </w:r>
      <w:proofErr w:type="gramStart"/>
      <w:r w:rsidR="00260B54" w:rsidRPr="00260B54">
        <w:rPr>
          <w:rFonts w:cs="Arial"/>
          <w:sz w:val="16"/>
          <w:szCs w:val="16"/>
        </w:rPr>
        <w:t>Ministry of Health.</w:t>
      </w:r>
      <w:proofErr w:type="gramEnd"/>
      <w:r w:rsidR="00260B54" w:rsidRPr="00260B54">
        <w:rPr>
          <w:rFonts w:cs="Arial"/>
          <w:sz w:val="16"/>
          <w:szCs w:val="16"/>
        </w:rPr>
        <w:t xml:space="preserve"> 2013. Statement of Intent 2013-2016: Ministry of Health</w:t>
      </w:r>
      <w:bookmarkEnd w:id="8"/>
    </w:p>
  </w:footnote>
  <w:footnote w:id="2">
    <w:p w:rsidR="00714274" w:rsidRPr="001A3134" w:rsidRDefault="00714274" w:rsidP="00714274">
      <w:pPr>
        <w:pStyle w:val="FootnoteText"/>
        <w:rPr>
          <w:rFonts w:cs="Arial"/>
          <w:sz w:val="18"/>
          <w:szCs w:val="18"/>
        </w:rPr>
      </w:pPr>
      <w:r w:rsidRPr="00713B53">
        <w:rPr>
          <w:rStyle w:val="FootnoteReference"/>
          <w:rFonts w:cs="Arial"/>
          <w:sz w:val="16"/>
          <w:szCs w:val="16"/>
        </w:rPr>
        <w:footnoteRef/>
      </w:r>
      <w:r w:rsidRPr="00713B53">
        <w:rPr>
          <w:rFonts w:cs="Arial"/>
          <w:sz w:val="16"/>
          <w:szCs w:val="16"/>
        </w:rPr>
        <w:t xml:space="preserve"> http://www.moh.govt.nz/healthtargets</w:t>
      </w:r>
    </w:p>
  </w:footnote>
  <w:footnote w:id="3">
    <w:p w:rsidR="000E7E14" w:rsidRDefault="000E7E14" w:rsidP="000E7E14">
      <w:pPr>
        <w:pStyle w:val="FootnoteText"/>
      </w:pPr>
      <w:r>
        <w:rPr>
          <w:rStyle w:val="FootnoteReference"/>
        </w:rPr>
        <w:footnoteRef/>
      </w:r>
      <w:r>
        <w:t xml:space="preserve"> </w:t>
      </w:r>
      <w:r w:rsidRPr="005F0928">
        <w:rPr>
          <w:rFonts w:cs="Arial"/>
          <w:sz w:val="16"/>
          <w:szCs w:val="16"/>
        </w:rPr>
        <w:t>Working Safer: A blueprint for health &amp; safety at work”</w:t>
      </w:r>
      <w:r w:rsidRPr="0031222E">
        <w:t xml:space="preserve"> </w:t>
      </w:r>
      <w:r w:rsidRPr="0031222E">
        <w:rPr>
          <w:rFonts w:cs="Arial"/>
          <w:sz w:val="16"/>
          <w:szCs w:val="16"/>
        </w:rPr>
        <w:t>http://www.mbie.govt.nz/pdf-library/what-we-do/workplace-health-and-safety-reform/Safety-First-blueprint.pdf</w:t>
      </w:r>
    </w:p>
  </w:footnote>
  <w:footnote w:id="4">
    <w:p w:rsidR="000E7E14" w:rsidRDefault="000E7E14" w:rsidP="000E7E14">
      <w:pPr>
        <w:pStyle w:val="FootnoteText"/>
      </w:pPr>
      <w:r>
        <w:rPr>
          <w:rStyle w:val="FootnoteReference"/>
        </w:rPr>
        <w:footnoteRef/>
      </w:r>
      <w:r w:rsidRPr="00F91173">
        <w:rPr>
          <w:rFonts w:cs="Arial"/>
          <w:sz w:val="16"/>
          <w:szCs w:val="16"/>
        </w:rPr>
        <w:t xml:space="preserve"> </w:t>
      </w:r>
      <w:hyperlink r:id="rId1" w:history="1">
        <w:r w:rsidRPr="00F91173">
          <w:rPr>
            <w:rFonts w:cs="Arial"/>
            <w:sz w:val="16"/>
            <w:szCs w:val="16"/>
          </w:rPr>
          <w:t>http://www.business.govt.nz/healthandsafetygroup/about-health-and-safety/whss/action-agenda-action-plans/occupational-health-action-plan-to-2013</w:t>
        </w:r>
      </w:hyperlink>
    </w:p>
  </w:footnote>
  <w:footnote w:id="5">
    <w:p w:rsidR="000E7E14" w:rsidRDefault="000E7E14" w:rsidP="000E7E14">
      <w:pPr>
        <w:pStyle w:val="CommentText"/>
      </w:pPr>
      <w:r w:rsidRPr="00EB7BD4">
        <w:rPr>
          <w:rStyle w:val="FootnoteReference"/>
        </w:rPr>
        <w:footnoteRef/>
      </w:r>
      <w:r w:rsidRPr="00EB7BD4">
        <w:t xml:space="preserve"> </w:t>
      </w:r>
      <w:r w:rsidRPr="00EB7BD4">
        <w:rPr>
          <w:rFonts w:cs="Arial"/>
          <w:sz w:val="16"/>
          <w:szCs w:val="16"/>
        </w:rPr>
        <w:t>For the avoidance of doubt, the RFI is for an integrated Telehealth Service, where Healthline is one component.</w:t>
      </w:r>
    </w:p>
    <w:p w:rsidR="000E7E14" w:rsidRDefault="000E7E14" w:rsidP="000E7E1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1669E90"/>
    <w:lvl w:ilvl="0">
      <w:start w:val="1"/>
      <w:numFmt w:val="decimal"/>
      <w:pStyle w:val="Heading1"/>
      <w:lvlText w:val="%1"/>
      <w:lvlJc w:val="left"/>
      <w:pPr>
        <w:tabs>
          <w:tab w:val="num" w:pos="-1"/>
        </w:tabs>
        <w:ind w:left="708" w:hanging="709"/>
      </w:pPr>
      <w:rPr>
        <w:rFonts w:hint="default"/>
      </w:rPr>
    </w:lvl>
    <w:lvl w:ilvl="1">
      <w:start w:val="1"/>
      <w:numFmt w:val="decimal"/>
      <w:pStyle w:val="Heading2"/>
      <w:lvlText w:val="%1.%2"/>
      <w:lvlJc w:val="left"/>
      <w:pPr>
        <w:tabs>
          <w:tab w:val="num" w:pos="-1"/>
        </w:tabs>
        <w:ind w:left="708" w:hanging="709"/>
      </w:pPr>
      <w:rPr>
        <w:rFonts w:hint="default"/>
        <w:b w:val="0"/>
        <w:color w:val="auto"/>
      </w:rPr>
    </w:lvl>
    <w:lvl w:ilvl="2">
      <w:start w:val="1"/>
      <w:numFmt w:val="lowerLetter"/>
      <w:pStyle w:val="Heading3"/>
      <w:lvlText w:val="(%3)"/>
      <w:lvlJc w:val="left"/>
      <w:pPr>
        <w:tabs>
          <w:tab w:val="num" w:pos="-1"/>
        </w:tabs>
        <w:ind w:left="1417" w:hanging="708"/>
      </w:pPr>
      <w:rPr>
        <w:rFonts w:hint="default"/>
      </w:rPr>
    </w:lvl>
    <w:lvl w:ilvl="3">
      <w:start w:val="1"/>
      <w:numFmt w:val="lowerRoman"/>
      <w:pStyle w:val="Heading4"/>
      <w:lvlText w:val="(%4)"/>
      <w:lvlJc w:val="left"/>
      <w:pPr>
        <w:tabs>
          <w:tab w:val="num" w:pos="-1"/>
        </w:tabs>
        <w:ind w:left="2126" w:hanging="708"/>
      </w:pPr>
      <w:rPr>
        <w:rFonts w:hint="default"/>
      </w:rPr>
    </w:lvl>
    <w:lvl w:ilvl="4">
      <w:start w:val="1"/>
      <w:numFmt w:val="decimal"/>
      <w:pStyle w:val="Heading5"/>
      <w:lvlText w:val="(%5)"/>
      <w:lvlJc w:val="left"/>
      <w:pPr>
        <w:tabs>
          <w:tab w:val="num" w:pos="-1"/>
        </w:tabs>
        <w:ind w:left="3541" w:hanging="708"/>
      </w:pPr>
      <w:rPr>
        <w:rFonts w:hint="default"/>
      </w:rPr>
    </w:lvl>
    <w:lvl w:ilvl="5">
      <w:start w:val="1"/>
      <w:numFmt w:val="lowerLetter"/>
      <w:pStyle w:val="Heading6"/>
      <w:lvlText w:val="(%6)"/>
      <w:lvlJc w:val="left"/>
      <w:pPr>
        <w:tabs>
          <w:tab w:val="num" w:pos="-1"/>
        </w:tabs>
        <w:ind w:left="4249" w:hanging="708"/>
      </w:pPr>
      <w:rPr>
        <w:rFonts w:hint="default"/>
      </w:rPr>
    </w:lvl>
    <w:lvl w:ilvl="6">
      <w:start w:val="1"/>
      <w:numFmt w:val="upperLetter"/>
      <w:pStyle w:val="Heading7"/>
      <w:lvlText w:val="ANNEX  %7"/>
      <w:lvlJc w:val="right"/>
      <w:pPr>
        <w:tabs>
          <w:tab w:val="num" w:pos="-1"/>
        </w:tabs>
        <w:ind w:left="4957" w:hanging="708"/>
      </w:pPr>
      <w:rPr>
        <w:rFonts w:hint="default"/>
      </w:rPr>
    </w:lvl>
    <w:lvl w:ilvl="7">
      <w:start w:val="1"/>
      <w:numFmt w:val="lowerLetter"/>
      <w:pStyle w:val="Heading8"/>
      <w:lvlText w:val="(%8)"/>
      <w:lvlJc w:val="left"/>
      <w:pPr>
        <w:tabs>
          <w:tab w:val="num" w:pos="-1"/>
        </w:tabs>
        <w:ind w:left="5665" w:hanging="708"/>
      </w:pPr>
      <w:rPr>
        <w:rFonts w:hint="default"/>
      </w:rPr>
    </w:lvl>
    <w:lvl w:ilvl="8">
      <w:start w:val="1"/>
      <w:numFmt w:val="upperLetter"/>
      <w:pStyle w:val="Heading9"/>
      <w:lvlText w:val=" ANNEX %9"/>
      <w:lvlJc w:val="left"/>
      <w:pPr>
        <w:tabs>
          <w:tab w:val="num" w:pos="-1"/>
        </w:tabs>
        <w:ind w:left="6373" w:hanging="708"/>
      </w:pPr>
      <w:rPr>
        <w:rFonts w:hint="default"/>
      </w:rPr>
    </w:lvl>
  </w:abstractNum>
  <w:abstractNum w:abstractNumId="1">
    <w:nsid w:val="FFFFFFFE"/>
    <w:multiLevelType w:val="singleLevel"/>
    <w:tmpl w:val="8BDE28EA"/>
    <w:lvl w:ilvl="0">
      <w:numFmt w:val="bullet"/>
      <w:lvlText w:val="*"/>
      <w:lvlJc w:val="left"/>
    </w:lvl>
  </w:abstractNum>
  <w:abstractNum w:abstractNumId="2">
    <w:nsid w:val="0DE710F6"/>
    <w:multiLevelType w:val="hybridMultilevel"/>
    <w:tmpl w:val="9D1A635C"/>
    <w:lvl w:ilvl="0" w:tplc="C51C62C2">
      <w:start w:val="1"/>
      <w:numFmt w:val="bullet"/>
      <w:pStyle w:val="BulletText1"/>
      <w:lvlText w:val=""/>
      <w:lvlJc w:val="left"/>
      <w:pPr>
        <w:tabs>
          <w:tab w:val="num" w:pos="173"/>
        </w:tabs>
        <w:ind w:left="173" w:hanging="173"/>
      </w:pPr>
      <w:rPr>
        <w:rFonts w:ascii="Symbol" w:hAnsi="Symbol" w:hint="default"/>
        <w:color w:val="auto"/>
        <w:sz w:val="18"/>
        <w:szCs w:val="18"/>
      </w:rPr>
    </w:lvl>
    <w:lvl w:ilvl="1" w:tplc="4962BB86">
      <w:start w:val="1"/>
      <w:numFmt w:val="bullet"/>
      <w:lvlText w:val="­"/>
      <w:lvlJc w:val="left"/>
      <w:pPr>
        <w:tabs>
          <w:tab w:val="num" w:pos="1084"/>
        </w:tabs>
        <w:ind w:left="1084" w:hanging="363"/>
      </w:pPr>
      <w:rPr>
        <w:rFonts w:ascii="Courier New" w:hAnsi="Courier New" w:hint="default"/>
        <w:color w:val="auto"/>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
    <w:nsid w:val="3EB31883"/>
    <w:multiLevelType w:val="hybridMultilevel"/>
    <w:tmpl w:val="18A0F000"/>
    <w:lvl w:ilvl="0" w:tplc="14090001">
      <w:start w:val="1"/>
      <w:numFmt w:val="bullet"/>
      <w:lvlText w:val=""/>
      <w:lvlJc w:val="left"/>
      <w:pPr>
        <w:ind w:left="1495" w:hanging="360"/>
      </w:pPr>
      <w:rPr>
        <w:rFonts w:ascii="Symbol" w:hAnsi="Symbol" w:hint="default"/>
      </w:rPr>
    </w:lvl>
    <w:lvl w:ilvl="1" w:tplc="14090003">
      <w:start w:val="1"/>
      <w:numFmt w:val="bullet"/>
      <w:lvlText w:val="o"/>
      <w:lvlJc w:val="left"/>
      <w:pPr>
        <w:ind w:left="2215" w:hanging="360"/>
      </w:pPr>
      <w:rPr>
        <w:rFonts w:ascii="Courier New" w:hAnsi="Courier New" w:cs="Courier New" w:hint="default"/>
      </w:rPr>
    </w:lvl>
    <w:lvl w:ilvl="2" w:tplc="14090005" w:tentative="1">
      <w:start w:val="1"/>
      <w:numFmt w:val="bullet"/>
      <w:lvlText w:val=""/>
      <w:lvlJc w:val="left"/>
      <w:pPr>
        <w:ind w:left="2935" w:hanging="360"/>
      </w:pPr>
      <w:rPr>
        <w:rFonts w:ascii="Wingdings" w:hAnsi="Wingdings" w:hint="default"/>
      </w:rPr>
    </w:lvl>
    <w:lvl w:ilvl="3" w:tplc="14090001" w:tentative="1">
      <w:start w:val="1"/>
      <w:numFmt w:val="bullet"/>
      <w:lvlText w:val=""/>
      <w:lvlJc w:val="left"/>
      <w:pPr>
        <w:ind w:left="3655" w:hanging="360"/>
      </w:pPr>
      <w:rPr>
        <w:rFonts w:ascii="Symbol" w:hAnsi="Symbol" w:hint="default"/>
      </w:rPr>
    </w:lvl>
    <w:lvl w:ilvl="4" w:tplc="14090003" w:tentative="1">
      <w:start w:val="1"/>
      <w:numFmt w:val="bullet"/>
      <w:lvlText w:val="o"/>
      <w:lvlJc w:val="left"/>
      <w:pPr>
        <w:ind w:left="4375" w:hanging="360"/>
      </w:pPr>
      <w:rPr>
        <w:rFonts w:ascii="Courier New" w:hAnsi="Courier New" w:cs="Courier New" w:hint="default"/>
      </w:rPr>
    </w:lvl>
    <w:lvl w:ilvl="5" w:tplc="14090005" w:tentative="1">
      <w:start w:val="1"/>
      <w:numFmt w:val="bullet"/>
      <w:lvlText w:val=""/>
      <w:lvlJc w:val="left"/>
      <w:pPr>
        <w:ind w:left="5095" w:hanging="360"/>
      </w:pPr>
      <w:rPr>
        <w:rFonts w:ascii="Wingdings" w:hAnsi="Wingdings" w:hint="default"/>
      </w:rPr>
    </w:lvl>
    <w:lvl w:ilvl="6" w:tplc="14090001" w:tentative="1">
      <w:start w:val="1"/>
      <w:numFmt w:val="bullet"/>
      <w:lvlText w:val=""/>
      <w:lvlJc w:val="left"/>
      <w:pPr>
        <w:ind w:left="5815" w:hanging="360"/>
      </w:pPr>
      <w:rPr>
        <w:rFonts w:ascii="Symbol" w:hAnsi="Symbol" w:hint="default"/>
      </w:rPr>
    </w:lvl>
    <w:lvl w:ilvl="7" w:tplc="14090003" w:tentative="1">
      <w:start w:val="1"/>
      <w:numFmt w:val="bullet"/>
      <w:lvlText w:val="o"/>
      <w:lvlJc w:val="left"/>
      <w:pPr>
        <w:ind w:left="6535" w:hanging="360"/>
      </w:pPr>
      <w:rPr>
        <w:rFonts w:ascii="Courier New" w:hAnsi="Courier New" w:cs="Courier New" w:hint="default"/>
      </w:rPr>
    </w:lvl>
    <w:lvl w:ilvl="8" w:tplc="14090005" w:tentative="1">
      <w:start w:val="1"/>
      <w:numFmt w:val="bullet"/>
      <w:lvlText w:val=""/>
      <w:lvlJc w:val="left"/>
      <w:pPr>
        <w:ind w:left="7255" w:hanging="360"/>
      </w:pPr>
      <w:rPr>
        <w:rFonts w:ascii="Wingdings" w:hAnsi="Wingdings" w:hint="default"/>
      </w:rPr>
    </w:lvl>
  </w:abstractNum>
  <w:abstractNum w:abstractNumId="4">
    <w:nsid w:val="5F421EA8"/>
    <w:multiLevelType w:val="hybridMultilevel"/>
    <w:tmpl w:val="6B9A7482"/>
    <w:lvl w:ilvl="0" w:tplc="14090001">
      <w:start w:val="1"/>
      <w:numFmt w:val="bullet"/>
      <w:lvlText w:val=""/>
      <w:lvlJc w:val="left"/>
      <w:pPr>
        <w:ind w:left="360" w:hanging="360"/>
      </w:pPr>
      <w:rPr>
        <w:rFonts w:ascii="Symbol" w:hAnsi="Symbol" w:hint="default"/>
      </w:rPr>
    </w:lvl>
    <w:lvl w:ilvl="1" w:tplc="4962BB86">
      <w:start w:val="1"/>
      <w:numFmt w:val="bullet"/>
      <w:lvlText w:val="­"/>
      <w:lvlJc w:val="left"/>
      <w:pPr>
        <w:ind w:left="1080" w:hanging="360"/>
      </w:pPr>
      <w:rPr>
        <w:rFonts w:ascii="Courier New" w:hAnsi="Courier New" w:hint="default"/>
        <w:color w:val="auto"/>
      </w:rPr>
    </w:lvl>
    <w:lvl w:ilvl="2" w:tplc="14090005">
      <w:start w:val="1"/>
      <w:numFmt w:val="bullet"/>
      <w:lvlText w:val=""/>
      <w:lvlJc w:val="left"/>
      <w:pPr>
        <w:ind w:left="1800" w:hanging="360"/>
      </w:pPr>
      <w:rPr>
        <w:rFonts w:ascii="Wingdings" w:hAnsi="Wingdings" w:hint="default"/>
      </w:rPr>
    </w:lvl>
    <w:lvl w:ilvl="3" w:tplc="2BBC3D42">
      <w:numFmt w:val="bullet"/>
      <w:lvlText w:val="•"/>
      <w:lvlJc w:val="left"/>
      <w:pPr>
        <w:ind w:left="2520" w:hanging="360"/>
      </w:pPr>
      <w:rPr>
        <w:rFonts w:ascii="Arial" w:eastAsia="Times New Roman" w:hAnsi="Arial" w:cs="Aria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6ADB1C1B"/>
    <w:multiLevelType w:val="hybridMultilevel"/>
    <w:tmpl w:val="CC00CADE"/>
    <w:lvl w:ilvl="0" w:tplc="32D68DE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7BF3E82"/>
    <w:multiLevelType w:val="hybridMultilevel"/>
    <w:tmpl w:val="7D2A487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1"/>
    <w:lvlOverride w:ilvl="0">
      <w:lvl w:ilvl="0">
        <w:numFmt w:val="bullet"/>
        <w:lvlText w:val=""/>
        <w:legacy w:legacy="1" w:legacySpace="0" w:legacyIndent="0"/>
        <w:lvlJc w:val="left"/>
        <w:rPr>
          <w:rFonts w:ascii="Symbol" w:hAnsi="Symbol" w:hint="default"/>
          <w:sz w:val="22"/>
        </w:rPr>
      </w:lvl>
    </w:lvlOverride>
  </w:num>
  <w:num w:numId="7">
    <w:abstractNumId w:val="6"/>
  </w:num>
  <w:num w:numId="8">
    <w:abstractNumId w:val="5"/>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51"/>
    <w:rsid w:val="000857BF"/>
    <w:rsid w:val="00087B8B"/>
    <w:rsid w:val="00096E46"/>
    <w:rsid w:val="000E7E14"/>
    <w:rsid w:val="000F32E3"/>
    <w:rsid w:val="00112051"/>
    <w:rsid w:val="001C606E"/>
    <w:rsid w:val="001C7F8E"/>
    <w:rsid w:val="00260B54"/>
    <w:rsid w:val="003231E3"/>
    <w:rsid w:val="003525C8"/>
    <w:rsid w:val="004211D1"/>
    <w:rsid w:val="004222AD"/>
    <w:rsid w:val="00460FDC"/>
    <w:rsid w:val="00492121"/>
    <w:rsid w:val="004F16D8"/>
    <w:rsid w:val="0053264C"/>
    <w:rsid w:val="005B63DA"/>
    <w:rsid w:val="00645AC9"/>
    <w:rsid w:val="006E0227"/>
    <w:rsid w:val="00714274"/>
    <w:rsid w:val="007775F8"/>
    <w:rsid w:val="0079142E"/>
    <w:rsid w:val="007A4FE2"/>
    <w:rsid w:val="007C74CA"/>
    <w:rsid w:val="007D7BAC"/>
    <w:rsid w:val="007E7084"/>
    <w:rsid w:val="00820340"/>
    <w:rsid w:val="00893562"/>
    <w:rsid w:val="008D290B"/>
    <w:rsid w:val="008F4857"/>
    <w:rsid w:val="008F7EDF"/>
    <w:rsid w:val="009138C8"/>
    <w:rsid w:val="00943889"/>
    <w:rsid w:val="0095031F"/>
    <w:rsid w:val="00966FE8"/>
    <w:rsid w:val="009866FE"/>
    <w:rsid w:val="00AA7E28"/>
    <w:rsid w:val="00AF3065"/>
    <w:rsid w:val="00B00F89"/>
    <w:rsid w:val="00B41330"/>
    <w:rsid w:val="00C6666B"/>
    <w:rsid w:val="00CD113E"/>
    <w:rsid w:val="00D905C5"/>
    <w:rsid w:val="00DD69A8"/>
    <w:rsid w:val="00E03651"/>
    <w:rsid w:val="00E1713C"/>
    <w:rsid w:val="00E71749"/>
    <w:rsid w:val="00E77253"/>
    <w:rsid w:val="00EB7BD4"/>
    <w:rsid w:val="00F14413"/>
    <w:rsid w:val="00FB71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7BF"/>
    <w:pPr>
      <w:spacing w:after="0" w:line="240" w:lineRule="auto"/>
      <w:jc w:val="both"/>
    </w:pPr>
    <w:rPr>
      <w:rFonts w:eastAsia="Times New Roman" w:cs="Times New Roman"/>
      <w:sz w:val="22"/>
      <w:szCs w:val="20"/>
    </w:rPr>
  </w:style>
  <w:style w:type="paragraph" w:styleId="Heading1">
    <w:name w:val="heading 1"/>
    <w:aliases w:val="Moh Para 1"/>
    <w:basedOn w:val="Normal"/>
    <w:next w:val="GroupHeading"/>
    <w:link w:val="Heading1Char"/>
    <w:qFormat/>
    <w:rsid w:val="000857BF"/>
    <w:pPr>
      <w:keepNext/>
      <w:numPr>
        <w:numId w:val="1"/>
      </w:numPr>
      <w:spacing w:before="480"/>
      <w:outlineLvl w:val="0"/>
    </w:pPr>
    <w:rPr>
      <w:b/>
      <w:kern w:val="28"/>
    </w:rPr>
  </w:style>
  <w:style w:type="paragraph" w:styleId="Heading2">
    <w:name w:val="heading 2"/>
    <w:aliases w:val="MoH sub-para"/>
    <w:basedOn w:val="Normal"/>
    <w:link w:val="Heading2Char"/>
    <w:qFormat/>
    <w:rsid w:val="000857BF"/>
    <w:pPr>
      <w:numPr>
        <w:ilvl w:val="1"/>
        <w:numId w:val="1"/>
      </w:numPr>
      <w:spacing w:before="240"/>
      <w:outlineLvl w:val="1"/>
    </w:pPr>
    <w:rPr>
      <w:sz w:val="20"/>
    </w:rPr>
  </w:style>
  <w:style w:type="paragraph" w:styleId="Heading3">
    <w:name w:val="heading 3"/>
    <w:aliases w:val="Moh sub-sub-para"/>
    <w:basedOn w:val="Normal"/>
    <w:link w:val="Heading3Char"/>
    <w:qFormat/>
    <w:rsid w:val="000857BF"/>
    <w:pPr>
      <w:numPr>
        <w:ilvl w:val="2"/>
        <w:numId w:val="1"/>
      </w:numPr>
      <w:spacing w:before="240"/>
      <w:outlineLvl w:val="2"/>
    </w:pPr>
    <w:rPr>
      <w:sz w:val="20"/>
    </w:rPr>
  </w:style>
  <w:style w:type="paragraph" w:styleId="Heading4">
    <w:name w:val="heading 4"/>
    <w:aliases w:val="MoH sub-sub-sub para"/>
    <w:basedOn w:val="Normal"/>
    <w:link w:val="Heading4Char"/>
    <w:qFormat/>
    <w:rsid w:val="000857BF"/>
    <w:pPr>
      <w:numPr>
        <w:ilvl w:val="3"/>
        <w:numId w:val="1"/>
      </w:numPr>
      <w:spacing w:before="240"/>
      <w:outlineLvl w:val="3"/>
    </w:pPr>
    <w:rPr>
      <w:sz w:val="20"/>
    </w:rPr>
  </w:style>
  <w:style w:type="paragraph" w:styleId="Heading5">
    <w:name w:val="heading 5"/>
    <w:aliases w:val="sub-sub- sub-sub para"/>
    <w:basedOn w:val="Normal"/>
    <w:link w:val="Heading5Char"/>
    <w:qFormat/>
    <w:rsid w:val="000857BF"/>
    <w:pPr>
      <w:numPr>
        <w:ilvl w:val="4"/>
        <w:numId w:val="1"/>
      </w:numPr>
      <w:spacing w:before="240"/>
      <w:outlineLvl w:val="4"/>
    </w:pPr>
  </w:style>
  <w:style w:type="paragraph" w:styleId="Heading6">
    <w:name w:val="heading 6"/>
    <w:basedOn w:val="Normal"/>
    <w:next w:val="Normal"/>
    <w:link w:val="Heading6Char"/>
    <w:qFormat/>
    <w:rsid w:val="000857BF"/>
    <w:pPr>
      <w:numPr>
        <w:ilvl w:val="5"/>
        <w:numId w:val="1"/>
      </w:numPr>
      <w:spacing w:before="240" w:after="60"/>
      <w:outlineLvl w:val="5"/>
    </w:pPr>
    <w:rPr>
      <w:i/>
    </w:rPr>
  </w:style>
  <w:style w:type="paragraph" w:styleId="Heading7">
    <w:name w:val="heading 7"/>
    <w:basedOn w:val="Normal"/>
    <w:next w:val="Normal"/>
    <w:link w:val="Heading7Char"/>
    <w:qFormat/>
    <w:rsid w:val="000857BF"/>
    <w:pPr>
      <w:numPr>
        <w:ilvl w:val="6"/>
        <w:numId w:val="1"/>
      </w:numPr>
      <w:spacing w:before="240" w:after="60"/>
      <w:outlineLvl w:val="6"/>
    </w:pPr>
  </w:style>
  <w:style w:type="paragraph" w:styleId="Heading8">
    <w:name w:val="heading 8"/>
    <w:basedOn w:val="Normal"/>
    <w:next w:val="Normal"/>
    <w:link w:val="Heading8Char"/>
    <w:qFormat/>
    <w:rsid w:val="000857BF"/>
    <w:pPr>
      <w:numPr>
        <w:ilvl w:val="7"/>
        <w:numId w:val="1"/>
      </w:numPr>
      <w:spacing w:before="240" w:after="60"/>
      <w:outlineLvl w:val="7"/>
    </w:pPr>
    <w:rPr>
      <w:i/>
    </w:rPr>
  </w:style>
  <w:style w:type="paragraph" w:styleId="Heading9">
    <w:name w:val="heading 9"/>
    <w:aliases w:val="Heading 9 Annex"/>
    <w:basedOn w:val="Normal"/>
    <w:next w:val="Normal"/>
    <w:link w:val="Heading9Char"/>
    <w:qFormat/>
    <w:rsid w:val="000857BF"/>
    <w:pPr>
      <w:numPr>
        <w:ilvl w:val="8"/>
        <w:numId w:val="1"/>
      </w:numPr>
      <w:spacing w:before="240" w:after="60"/>
      <w:outlineLvl w:val="8"/>
    </w:pPr>
    <w:rPr>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oh Para 1 Char"/>
    <w:basedOn w:val="DefaultParagraphFont"/>
    <w:link w:val="Heading1"/>
    <w:rsid w:val="000857BF"/>
    <w:rPr>
      <w:rFonts w:eastAsia="Times New Roman" w:cs="Times New Roman"/>
      <w:b/>
      <w:kern w:val="28"/>
      <w:sz w:val="22"/>
      <w:szCs w:val="20"/>
    </w:rPr>
  </w:style>
  <w:style w:type="character" w:customStyle="1" w:styleId="Heading2Char">
    <w:name w:val="Heading 2 Char"/>
    <w:aliases w:val="MoH sub-para Char"/>
    <w:basedOn w:val="DefaultParagraphFont"/>
    <w:link w:val="Heading2"/>
    <w:rsid w:val="000857BF"/>
    <w:rPr>
      <w:rFonts w:eastAsia="Times New Roman" w:cs="Times New Roman"/>
      <w:sz w:val="20"/>
      <w:szCs w:val="20"/>
    </w:rPr>
  </w:style>
  <w:style w:type="character" w:customStyle="1" w:styleId="Heading3Char">
    <w:name w:val="Heading 3 Char"/>
    <w:aliases w:val="Moh sub-sub-para Char"/>
    <w:basedOn w:val="DefaultParagraphFont"/>
    <w:link w:val="Heading3"/>
    <w:rsid w:val="000857BF"/>
    <w:rPr>
      <w:rFonts w:eastAsia="Times New Roman" w:cs="Times New Roman"/>
      <w:sz w:val="20"/>
      <w:szCs w:val="20"/>
    </w:rPr>
  </w:style>
  <w:style w:type="character" w:customStyle="1" w:styleId="Heading4Char">
    <w:name w:val="Heading 4 Char"/>
    <w:aliases w:val="MoH sub-sub-sub para Char"/>
    <w:basedOn w:val="DefaultParagraphFont"/>
    <w:link w:val="Heading4"/>
    <w:rsid w:val="000857BF"/>
    <w:rPr>
      <w:rFonts w:eastAsia="Times New Roman" w:cs="Times New Roman"/>
      <w:sz w:val="20"/>
      <w:szCs w:val="20"/>
    </w:rPr>
  </w:style>
  <w:style w:type="character" w:customStyle="1" w:styleId="Heading5Char">
    <w:name w:val="Heading 5 Char"/>
    <w:aliases w:val="sub-sub- sub-sub para Char"/>
    <w:basedOn w:val="DefaultParagraphFont"/>
    <w:link w:val="Heading5"/>
    <w:rsid w:val="000857BF"/>
    <w:rPr>
      <w:rFonts w:eastAsia="Times New Roman" w:cs="Times New Roman"/>
      <w:sz w:val="22"/>
      <w:szCs w:val="20"/>
    </w:rPr>
  </w:style>
  <w:style w:type="character" w:customStyle="1" w:styleId="Heading6Char">
    <w:name w:val="Heading 6 Char"/>
    <w:basedOn w:val="DefaultParagraphFont"/>
    <w:link w:val="Heading6"/>
    <w:rsid w:val="000857BF"/>
    <w:rPr>
      <w:rFonts w:eastAsia="Times New Roman" w:cs="Times New Roman"/>
      <w:i/>
      <w:sz w:val="22"/>
      <w:szCs w:val="20"/>
    </w:rPr>
  </w:style>
  <w:style w:type="character" w:customStyle="1" w:styleId="Heading7Char">
    <w:name w:val="Heading 7 Char"/>
    <w:basedOn w:val="DefaultParagraphFont"/>
    <w:link w:val="Heading7"/>
    <w:rsid w:val="000857BF"/>
    <w:rPr>
      <w:rFonts w:eastAsia="Times New Roman" w:cs="Times New Roman"/>
      <w:sz w:val="22"/>
      <w:szCs w:val="20"/>
    </w:rPr>
  </w:style>
  <w:style w:type="character" w:customStyle="1" w:styleId="Heading8Char">
    <w:name w:val="Heading 8 Char"/>
    <w:basedOn w:val="DefaultParagraphFont"/>
    <w:link w:val="Heading8"/>
    <w:rsid w:val="000857BF"/>
    <w:rPr>
      <w:rFonts w:eastAsia="Times New Roman" w:cs="Times New Roman"/>
      <w:i/>
      <w:sz w:val="22"/>
      <w:szCs w:val="20"/>
    </w:rPr>
  </w:style>
  <w:style w:type="character" w:customStyle="1" w:styleId="Heading9Char">
    <w:name w:val="Heading 9 Char"/>
    <w:aliases w:val="Heading 9 Annex Char"/>
    <w:basedOn w:val="DefaultParagraphFont"/>
    <w:link w:val="Heading9"/>
    <w:rsid w:val="000857BF"/>
    <w:rPr>
      <w:rFonts w:eastAsia="Times New Roman" w:cs="Times New Roman"/>
      <w:caps/>
      <w:szCs w:val="20"/>
    </w:rPr>
  </w:style>
  <w:style w:type="paragraph" w:customStyle="1" w:styleId="GroupHeading">
    <w:name w:val="Group Heading"/>
    <w:basedOn w:val="Normal"/>
    <w:next w:val="Heading2"/>
    <w:rsid w:val="000857BF"/>
    <w:pPr>
      <w:keepNext/>
      <w:keepLines/>
      <w:spacing w:before="480"/>
      <w:ind w:left="1418"/>
    </w:pPr>
    <w:rPr>
      <w:b/>
      <w:sz w:val="24"/>
    </w:rPr>
  </w:style>
  <w:style w:type="paragraph" w:styleId="BodyText">
    <w:name w:val="Body Text"/>
    <w:basedOn w:val="Normal"/>
    <w:link w:val="BodyTextChar"/>
    <w:rsid w:val="000857BF"/>
  </w:style>
  <w:style w:type="character" w:customStyle="1" w:styleId="BodyTextChar">
    <w:name w:val="Body Text Char"/>
    <w:basedOn w:val="DefaultParagraphFont"/>
    <w:link w:val="BodyText"/>
    <w:rsid w:val="000857BF"/>
    <w:rPr>
      <w:rFonts w:eastAsia="Times New Roman" w:cs="Times New Roman"/>
      <w:sz w:val="22"/>
      <w:szCs w:val="20"/>
    </w:rPr>
  </w:style>
  <w:style w:type="paragraph" w:customStyle="1" w:styleId="MainHeadingLeft">
    <w:name w:val="Main Heading Left"/>
    <w:basedOn w:val="Normal"/>
    <w:next w:val="GroupHeading"/>
    <w:rsid w:val="000857BF"/>
    <w:pPr>
      <w:keepNext/>
      <w:spacing w:before="480"/>
    </w:pPr>
    <w:rPr>
      <w:b/>
    </w:rPr>
  </w:style>
  <w:style w:type="character" w:styleId="CommentReference">
    <w:name w:val="annotation reference"/>
    <w:semiHidden/>
    <w:rsid w:val="000857BF"/>
    <w:rPr>
      <w:sz w:val="16"/>
    </w:rPr>
  </w:style>
  <w:style w:type="paragraph" w:styleId="CommentText">
    <w:name w:val="annotation text"/>
    <w:basedOn w:val="Normal"/>
    <w:link w:val="CommentTextChar"/>
    <w:semiHidden/>
    <w:rsid w:val="000857BF"/>
  </w:style>
  <w:style w:type="character" w:customStyle="1" w:styleId="CommentTextChar">
    <w:name w:val="Comment Text Char"/>
    <w:basedOn w:val="DefaultParagraphFont"/>
    <w:link w:val="CommentText"/>
    <w:semiHidden/>
    <w:rsid w:val="000857BF"/>
    <w:rPr>
      <w:rFonts w:eastAsia="Times New Roman" w:cs="Times New Roman"/>
      <w:sz w:val="22"/>
      <w:szCs w:val="20"/>
    </w:rPr>
  </w:style>
  <w:style w:type="character" w:styleId="Hyperlink">
    <w:name w:val="Hyperlink"/>
    <w:rsid w:val="000857BF"/>
    <w:rPr>
      <w:rFonts w:cs="Times New Roman"/>
      <w:color w:val="0000FF"/>
      <w:u w:val="single"/>
    </w:rPr>
  </w:style>
  <w:style w:type="paragraph" w:styleId="ListParagraph">
    <w:name w:val="List Paragraph"/>
    <w:basedOn w:val="Normal"/>
    <w:uiPriority w:val="34"/>
    <w:qFormat/>
    <w:rsid w:val="000857BF"/>
    <w:pPr>
      <w:ind w:left="720"/>
      <w:contextualSpacing/>
    </w:pPr>
  </w:style>
  <w:style w:type="paragraph" w:customStyle="1" w:styleId="BulletText1">
    <w:name w:val="Bullet Text 1"/>
    <w:basedOn w:val="Normal"/>
    <w:rsid w:val="000857BF"/>
    <w:pPr>
      <w:numPr>
        <w:numId w:val="3"/>
      </w:numPr>
      <w:jc w:val="left"/>
    </w:pPr>
    <w:rPr>
      <w:color w:val="000000"/>
      <w:lang w:val="en-US"/>
    </w:rPr>
  </w:style>
  <w:style w:type="paragraph" w:styleId="FootnoteText">
    <w:name w:val="footnote text"/>
    <w:basedOn w:val="Normal"/>
    <w:link w:val="FootnoteTextChar"/>
    <w:uiPriority w:val="99"/>
    <w:rsid w:val="000857BF"/>
    <w:rPr>
      <w:sz w:val="20"/>
    </w:rPr>
  </w:style>
  <w:style w:type="character" w:customStyle="1" w:styleId="FootnoteTextChar">
    <w:name w:val="Footnote Text Char"/>
    <w:basedOn w:val="DefaultParagraphFont"/>
    <w:link w:val="FootnoteText"/>
    <w:uiPriority w:val="99"/>
    <w:rsid w:val="000857BF"/>
    <w:rPr>
      <w:rFonts w:eastAsia="Times New Roman" w:cs="Times New Roman"/>
      <w:sz w:val="20"/>
      <w:szCs w:val="20"/>
    </w:rPr>
  </w:style>
  <w:style w:type="character" w:styleId="FootnoteReference">
    <w:name w:val="footnote reference"/>
    <w:uiPriority w:val="99"/>
    <w:rsid w:val="000857BF"/>
    <w:rPr>
      <w:vertAlign w:val="superscript"/>
    </w:rPr>
  </w:style>
  <w:style w:type="paragraph" w:styleId="BalloonText">
    <w:name w:val="Balloon Text"/>
    <w:basedOn w:val="Normal"/>
    <w:link w:val="BalloonTextChar"/>
    <w:uiPriority w:val="99"/>
    <w:semiHidden/>
    <w:unhideWhenUsed/>
    <w:rsid w:val="000857BF"/>
    <w:rPr>
      <w:rFonts w:ascii="Tahoma" w:hAnsi="Tahoma" w:cs="Tahoma"/>
      <w:sz w:val="16"/>
      <w:szCs w:val="16"/>
    </w:rPr>
  </w:style>
  <w:style w:type="character" w:customStyle="1" w:styleId="BalloonTextChar">
    <w:name w:val="Balloon Text Char"/>
    <w:basedOn w:val="DefaultParagraphFont"/>
    <w:link w:val="BalloonText"/>
    <w:uiPriority w:val="99"/>
    <w:semiHidden/>
    <w:rsid w:val="000857B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7BF"/>
    <w:pPr>
      <w:spacing w:after="0" w:line="240" w:lineRule="auto"/>
      <w:jc w:val="both"/>
    </w:pPr>
    <w:rPr>
      <w:rFonts w:eastAsia="Times New Roman" w:cs="Times New Roman"/>
      <w:sz w:val="22"/>
      <w:szCs w:val="20"/>
    </w:rPr>
  </w:style>
  <w:style w:type="paragraph" w:styleId="Heading1">
    <w:name w:val="heading 1"/>
    <w:aliases w:val="Moh Para 1"/>
    <w:basedOn w:val="Normal"/>
    <w:next w:val="GroupHeading"/>
    <w:link w:val="Heading1Char"/>
    <w:qFormat/>
    <w:rsid w:val="000857BF"/>
    <w:pPr>
      <w:keepNext/>
      <w:numPr>
        <w:numId w:val="1"/>
      </w:numPr>
      <w:spacing w:before="480"/>
      <w:outlineLvl w:val="0"/>
    </w:pPr>
    <w:rPr>
      <w:b/>
      <w:kern w:val="28"/>
    </w:rPr>
  </w:style>
  <w:style w:type="paragraph" w:styleId="Heading2">
    <w:name w:val="heading 2"/>
    <w:aliases w:val="MoH sub-para"/>
    <w:basedOn w:val="Normal"/>
    <w:link w:val="Heading2Char"/>
    <w:qFormat/>
    <w:rsid w:val="000857BF"/>
    <w:pPr>
      <w:numPr>
        <w:ilvl w:val="1"/>
        <w:numId w:val="1"/>
      </w:numPr>
      <w:spacing w:before="240"/>
      <w:outlineLvl w:val="1"/>
    </w:pPr>
    <w:rPr>
      <w:sz w:val="20"/>
    </w:rPr>
  </w:style>
  <w:style w:type="paragraph" w:styleId="Heading3">
    <w:name w:val="heading 3"/>
    <w:aliases w:val="Moh sub-sub-para"/>
    <w:basedOn w:val="Normal"/>
    <w:link w:val="Heading3Char"/>
    <w:qFormat/>
    <w:rsid w:val="000857BF"/>
    <w:pPr>
      <w:numPr>
        <w:ilvl w:val="2"/>
        <w:numId w:val="1"/>
      </w:numPr>
      <w:spacing w:before="240"/>
      <w:outlineLvl w:val="2"/>
    </w:pPr>
    <w:rPr>
      <w:sz w:val="20"/>
    </w:rPr>
  </w:style>
  <w:style w:type="paragraph" w:styleId="Heading4">
    <w:name w:val="heading 4"/>
    <w:aliases w:val="MoH sub-sub-sub para"/>
    <w:basedOn w:val="Normal"/>
    <w:link w:val="Heading4Char"/>
    <w:qFormat/>
    <w:rsid w:val="000857BF"/>
    <w:pPr>
      <w:numPr>
        <w:ilvl w:val="3"/>
        <w:numId w:val="1"/>
      </w:numPr>
      <w:spacing w:before="240"/>
      <w:outlineLvl w:val="3"/>
    </w:pPr>
    <w:rPr>
      <w:sz w:val="20"/>
    </w:rPr>
  </w:style>
  <w:style w:type="paragraph" w:styleId="Heading5">
    <w:name w:val="heading 5"/>
    <w:aliases w:val="sub-sub- sub-sub para"/>
    <w:basedOn w:val="Normal"/>
    <w:link w:val="Heading5Char"/>
    <w:qFormat/>
    <w:rsid w:val="000857BF"/>
    <w:pPr>
      <w:numPr>
        <w:ilvl w:val="4"/>
        <w:numId w:val="1"/>
      </w:numPr>
      <w:spacing w:before="240"/>
      <w:outlineLvl w:val="4"/>
    </w:pPr>
  </w:style>
  <w:style w:type="paragraph" w:styleId="Heading6">
    <w:name w:val="heading 6"/>
    <w:basedOn w:val="Normal"/>
    <w:next w:val="Normal"/>
    <w:link w:val="Heading6Char"/>
    <w:qFormat/>
    <w:rsid w:val="000857BF"/>
    <w:pPr>
      <w:numPr>
        <w:ilvl w:val="5"/>
        <w:numId w:val="1"/>
      </w:numPr>
      <w:spacing w:before="240" w:after="60"/>
      <w:outlineLvl w:val="5"/>
    </w:pPr>
    <w:rPr>
      <w:i/>
    </w:rPr>
  </w:style>
  <w:style w:type="paragraph" w:styleId="Heading7">
    <w:name w:val="heading 7"/>
    <w:basedOn w:val="Normal"/>
    <w:next w:val="Normal"/>
    <w:link w:val="Heading7Char"/>
    <w:qFormat/>
    <w:rsid w:val="000857BF"/>
    <w:pPr>
      <w:numPr>
        <w:ilvl w:val="6"/>
        <w:numId w:val="1"/>
      </w:numPr>
      <w:spacing w:before="240" w:after="60"/>
      <w:outlineLvl w:val="6"/>
    </w:pPr>
  </w:style>
  <w:style w:type="paragraph" w:styleId="Heading8">
    <w:name w:val="heading 8"/>
    <w:basedOn w:val="Normal"/>
    <w:next w:val="Normal"/>
    <w:link w:val="Heading8Char"/>
    <w:qFormat/>
    <w:rsid w:val="000857BF"/>
    <w:pPr>
      <w:numPr>
        <w:ilvl w:val="7"/>
        <w:numId w:val="1"/>
      </w:numPr>
      <w:spacing w:before="240" w:after="60"/>
      <w:outlineLvl w:val="7"/>
    </w:pPr>
    <w:rPr>
      <w:i/>
    </w:rPr>
  </w:style>
  <w:style w:type="paragraph" w:styleId="Heading9">
    <w:name w:val="heading 9"/>
    <w:aliases w:val="Heading 9 Annex"/>
    <w:basedOn w:val="Normal"/>
    <w:next w:val="Normal"/>
    <w:link w:val="Heading9Char"/>
    <w:qFormat/>
    <w:rsid w:val="000857BF"/>
    <w:pPr>
      <w:numPr>
        <w:ilvl w:val="8"/>
        <w:numId w:val="1"/>
      </w:numPr>
      <w:spacing w:before="240" w:after="60"/>
      <w:outlineLvl w:val="8"/>
    </w:pPr>
    <w:rPr>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oh Para 1 Char"/>
    <w:basedOn w:val="DefaultParagraphFont"/>
    <w:link w:val="Heading1"/>
    <w:rsid w:val="000857BF"/>
    <w:rPr>
      <w:rFonts w:eastAsia="Times New Roman" w:cs="Times New Roman"/>
      <w:b/>
      <w:kern w:val="28"/>
      <w:sz w:val="22"/>
      <w:szCs w:val="20"/>
    </w:rPr>
  </w:style>
  <w:style w:type="character" w:customStyle="1" w:styleId="Heading2Char">
    <w:name w:val="Heading 2 Char"/>
    <w:aliases w:val="MoH sub-para Char"/>
    <w:basedOn w:val="DefaultParagraphFont"/>
    <w:link w:val="Heading2"/>
    <w:rsid w:val="000857BF"/>
    <w:rPr>
      <w:rFonts w:eastAsia="Times New Roman" w:cs="Times New Roman"/>
      <w:sz w:val="20"/>
      <w:szCs w:val="20"/>
    </w:rPr>
  </w:style>
  <w:style w:type="character" w:customStyle="1" w:styleId="Heading3Char">
    <w:name w:val="Heading 3 Char"/>
    <w:aliases w:val="Moh sub-sub-para Char"/>
    <w:basedOn w:val="DefaultParagraphFont"/>
    <w:link w:val="Heading3"/>
    <w:rsid w:val="000857BF"/>
    <w:rPr>
      <w:rFonts w:eastAsia="Times New Roman" w:cs="Times New Roman"/>
      <w:sz w:val="20"/>
      <w:szCs w:val="20"/>
    </w:rPr>
  </w:style>
  <w:style w:type="character" w:customStyle="1" w:styleId="Heading4Char">
    <w:name w:val="Heading 4 Char"/>
    <w:aliases w:val="MoH sub-sub-sub para Char"/>
    <w:basedOn w:val="DefaultParagraphFont"/>
    <w:link w:val="Heading4"/>
    <w:rsid w:val="000857BF"/>
    <w:rPr>
      <w:rFonts w:eastAsia="Times New Roman" w:cs="Times New Roman"/>
      <w:sz w:val="20"/>
      <w:szCs w:val="20"/>
    </w:rPr>
  </w:style>
  <w:style w:type="character" w:customStyle="1" w:styleId="Heading5Char">
    <w:name w:val="Heading 5 Char"/>
    <w:aliases w:val="sub-sub- sub-sub para Char"/>
    <w:basedOn w:val="DefaultParagraphFont"/>
    <w:link w:val="Heading5"/>
    <w:rsid w:val="000857BF"/>
    <w:rPr>
      <w:rFonts w:eastAsia="Times New Roman" w:cs="Times New Roman"/>
      <w:sz w:val="22"/>
      <w:szCs w:val="20"/>
    </w:rPr>
  </w:style>
  <w:style w:type="character" w:customStyle="1" w:styleId="Heading6Char">
    <w:name w:val="Heading 6 Char"/>
    <w:basedOn w:val="DefaultParagraphFont"/>
    <w:link w:val="Heading6"/>
    <w:rsid w:val="000857BF"/>
    <w:rPr>
      <w:rFonts w:eastAsia="Times New Roman" w:cs="Times New Roman"/>
      <w:i/>
      <w:sz w:val="22"/>
      <w:szCs w:val="20"/>
    </w:rPr>
  </w:style>
  <w:style w:type="character" w:customStyle="1" w:styleId="Heading7Char">
    <w:name w:val="Heading 7 Char"/>
    <w:basedOn w:val="DefaultParagraphFont"/>
    <w:link w:val="Heading7"/>
    <w:rsid w:val="000857BF"/>
    <w:rPr>
      <w:rFonts w:eastAsia="Times New Roman" w:cs="Times New Roman"/>
      <w:sz w:val="22"/>
      <w:szCs w:val="20"/>
    </w:rPr>
  </w:style>
  <w:style w:type="character" w:customStyle="1" w:styleId="Heading8Char">
    <w:name w:val="Heading 8 Char"/>
    <w:basedOn w:val="DefaultParagraphFont"/>
    <w:link w:val="Heading8"/>
    <w:rsid w:val="000857BF"/>
    <w:rPr>
      <w:rFonts w:eastAsia="Times New Roman" w:cs="Times New Roman"/>
      <w:i/>
      <w:sz w:val="22"/>
      <w:szCs w:val="20"/>
    </w:rPr>
  </w:style>
  <w:style w:type="character" w:customStyle="1" w:styleId="Heading9Char">
    <w:name w:val="Heading 9 Char"/>
    <w:aliases w:val="Heading 9 Annex Char"/>
    <w:basedOn w:val="DefaultParagraphFont"/>
    <w:link w:val="Heading9"/>
    <w:rsid w:val="000857BF"/>
    <w:rPr>
      <w:rFonts w:eastAsia="Times New Roman" w:cs="Times New Roman"/>
      <w:caps/>
      <w:szCs w:val="20"/>
    </w:rPr>
  </w:style>
  <w:style w:type="paragraph" w:customStyle="1" w:styleId="GroupHeading">
    <w:name w:val="Group Heading"/>
    <w:basedOn w:val="Normal"/>
    <w:next w:val="Heading2"/>
    <w:rsid w:val="000857BF"/>
    <w:pPr>
      <w:keepNext/>
      <w:keepLines/>
      <w:spacing w:before="480"/>
      <w:ind w:left="1418"/>
    </w:pPr>
    <w:rPr>
      <w:b/>
      <w:sz w:val="24"/>
    </w:rPr>
  </w:style>
  <w:style w:type="paragraph" w:styleId="BodyText">
    <w:name w:val="Body Text"/>
    <w:basedOn w:val="Normal"/>
    <w:link w:val="BodyTextChar"/>
    <w:rsid w:val="000857BF"/>
  </w:style>
  <w:style w:type="character" w:customStyle="1" w:styleId="BodyTextChar">
    <w:name w:val="Body Text Char"/>
    <w:basedOn w:val="DefaultParagraphFont"/>
    <w:link w:val="BodyText"/>
    <w:rsid w:val="000857BF"/>
    <w:rPr>
      <w:rFonts w:eastAsia="Times New Roman" w:cs="Times New Roman"/>
      <w:sz w:val="22"/>
      <w:szCs w:val="20"/>
    </w:rPr>
  </w:style>
  <w:style w:type="paragraph" w:customStyle="1" w:styleId="MainHeadingLeft">
    <w:name w:val="Main Heading Left"/>
    <w:basedOn w:val="Normal"/>
    <w:next w:val="GroupHeading"/>
    <w:rsid w:val="000857BF"/>
    <w:pPr>
      <w:keepNext/>
      <w:spacing w:before="480"/>
    </w:pPr>
    <w:rPr>
      <w:b/>
    </w:rPr>
  </w:style>
  <w:style w:type="character" w:styleId="CommentReference">
    <w:name w:val="annotation reference"/>
    <w:semiHidden/>
    <w:rsid w:val="000857BF"/>
    <w:rPr>
      <w:sz w:val="16"/>
    </w:rPr>
  </w:style>
  <w:style w:type="paragraph" w:styleId="CommentText">
    <w:name w:val="annotation text"/>
    <w:basedOn w:val="Normal"/>
    <w:link w:val="CommentTextChar"/>
    <w:semiHidden/>
    <w:rsid w:val="000857BF"/>
  </w:style>
  <w:style w:type="character" w:customStyle="1" w:styleId="CommentTextChar">
    <w:name w:val="Comment Text Char"/>
    <w:basedOn w:val="DefaultParagraphFont"/>
    <w:link w:val="CommentText"/>
    <w:semiHidden/>
    <w:rsid w:val="000857BF"/>
    <w:rPr>
      <w:rFonts w:eastAsia="Times New Roman" w:cs="Times New Roman"/>
      <w:sz w:val="22"/>
      <w:szCs w:val="20"/>
    </w:rPr>
  </w:style>
  <w:style w:type="character" w:styleId="Hyperlink">
    <w:name w:val="Hyperlink"/>
    <w:rsid w:val="000857BF"/>
    <w:rPr>
      <w:rFonts w:cs="Times New Roman"/>
      <w:color w:val="0000FF"/>
      <w:u w:val="single"/>
    </w:rPr>
  </w:style>
  <w:style w:type="paragraph" w:styleId="ListParagraph">
    <w:name w:val="List Paragraph"/>
    <w:basedOn w:val="Normal"/>
    <w:uiPriority w:val="34"/>
    <w:qFormat/>
    <w:rsid w:val="000857BF"/>
    <w:pPr>
      <w:ind w:left="720"/>
      <w:contextualSpacing/>
    </w:pPr>
  </w:style>
  <w:style w:type="paragraph" w:customStyle="1" w:styleId="BulletText1">
    <w:name w:val="Bullet Text 1"/>
    <w:basedOn w:val="Normal"/>
    <w:rsid w:val="000857BF"/>
    <w:pPr>
      <w:numPr>
        <w:numId w:val="3"/>
      </w:numPr>
      <w:jc w:val="left"/>
    </w:pPr>
    <w:rPr>
      <w:color w:val="000000"/>
      <w:lang w:val="en-US"/>
    </w:rPr>
  </w:style>
  <w:style w:type="paragraph" w:styleId="FootnoteText">
    <w:name w:val="footnote text"/>
    <w:basedOn w:val="Normal"/>
    <w:link w:val="FootnoteTextChar"/>
    <w:uiPriority w:val="99"/>
    <w:rsid w:val="000857BF"/>
    <w:rPr>
      <w:sz w:val="20"/>
    </w:rPr>
  </w:style>
  <w:style w:type="character" w:customStyle="1" w:styleId="FootnoteTextChar">
    <w:name w:val="Footnote Text Char"/>
    <w:basedOn w:val="DefaultParagraphFont"/>
    <w:link w:val="FootnoteText"/>
    <w:uiPriority w:val="99"/>
    <w:rsid w:val="000857BF"/>
    <w:rPr>
      <w:rFonts w:eastAsia="Times New Roman" w:cs="Times New Roman"/>
      <w:sz w:val="20"/>
      <w:szCs w:val="20"/>
    </w:rPr>
  </w:style>
  <w:style w:type="character" w:styleId="FootnoteReference">
    <w:name w:val="footnote reference"/>
    <w:uiPriority w:val="99"/>
    <w:rsid w:val="000857BF"/>
    <w:rPr>
      <w:vertAlign w:val="superscript"/>
    </w:rPr>
  </w:style>
  <w:style w:type="paragraph" w:styleId="BalloonText">
    <w:name w:val="Balloon Text"/>
    <w:basedOn w:val="Normal"/>
    <w:link w:val="BalloonTextChar"/>
    <w:uiPriority w:val="99"/>
    <w:semiHidden/>
    <w:unhideWhenUsed/>
    <w:rsid w:val="000857BF"/>
    <w:rPr>
      <w:rFonts w:ascii="Tahoma" w:hAnsi="Tahoma" w:cs="Tahoma"/>
      <w:sz w:val="16"/>
      <w:szCs w:val="16"/>
    </w:rPr>
  </w:style>
  <w:style w:type="character" w:customStyle="1" w:styleId="BalloonTextChar">
    <w:name w:val="Balloon Text Char"/>
    <w:basedOn w:val="DefaultParagraphFont"/>
    <w:link w:val="BalloonText"/>
    <w:uiPriority w:val="99"/>
    <w:semiHidden/>
    <w:rsid w:val="000857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297857">
      <w:bodyDiv w:val="1"/>
      <w:marLeft w:val="0"/>
      <w:marRight w:val="0"/>
      <w:marTop w:val="0"/>
      <w:marBottom w:val="0"/>
      <w:divBdr>
        <w:top w:val="none" w:sz="0" w:space="0" w:color="auto"/>
        <w:left w:val="none" w:sz="0" w:space="0" w:color="auto"/>
        <w:bottom w:val="none" w:sz="0" w:space="0" w:color="auto"/>
        <w:right w:val="none" w:sz="0" w:space="0" w:color="auto"/>
      </w:divBdr>
      <w:divsChild>
        <w:div w:id="223882523">
          <w:marLeft w:val="0"/>
          <w:marRight w:val="0"/>
          <w:marTop w:val="0"/>
          <w:marBottom w:val="0"/>
          <w:divBdr>
            <w:top w:val="none" w:sz="0" w:space="0" w:color="auto"/>
            <w:left w:val="none" w:sz="0" w:space="0" w:color="auto"/>
            <w:bottom w:val="none" w:sz="0" w:space="0" w:color="auto"/>
            <w:right w:val="none" w:sz="0" w:space="0" w:color="auto"/>
          </w:divBdr>
          <w:divsChild>
            <w:div w:id="2086225775">
              <w:marLeft w:val="0"/>
              <w:marRight w:val="0"/>
              <w:marTop w:val="0"/>
              <w:marBottom w:val="0"/>
              <w:divBdr>
                <w:top w:val="none" w:sz="0" w:space="0" w:color="auto"/>
                <w:left w:val="none" w:sz="0" w:space="0" w:color="auto"/>
                <w:bottom w:val="none" w:sz="0" w:space="0" w:color="auto"/>
                <w:right w:val="none" w:sz="0" w:space="0" w:color="auto"/>
              </w:divBdr>
              <w:divsChild>
                <w:div w:id="487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oh.govt.nz/healthtargets"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www.business.govt.nz/healthandsafetygroup/about-health-and-safety/whss/action-agenda-action-plans/occupational-health-action-plan-to-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c:creator>
  <cp:lastModifiedBy>Stephanie Chapman</cp:lastModifiedBy>
  <cp:revision>5</cp:revision>
  <dcterms:created xsi:type="dcterms:W3CDTF">2013-10-17T02:14:00Z</dcterms:created>
  <dcterms:modified xsi:type="dcterms:W3CDTF">2015-06-02T07:51:00Z</dcterms:modified>
</cp:coreProperties>
</file>