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950152" w:rsidP="009E000C">
      <w:pPr>
        <w:pStyle w:val="Title"/>
        <w:tabs>
          <w:tab w:val="left" w:pos="5387"/>
        </w:tabs>
      </w:pPr>
      <w:r>
        <w:t>Screening, Diagnosis and Management of Gestational Diabetes in New Zealand</w:t>
      </w:r>
    </w:p>
    <w:p w:rsidR="00343365" w:rsidRDefault="008A7DBA" w:rsidP="00343365">
      <w:pPr>
        <w:pStyle w:val="Year"/>
      </w:pPr>
      <w:r w:rsidRPr="008A7DBA">
        <w:t xml:space="preserve">A clinical practice guideline </w:t>
      </w:r>
    </w:p>
    <w:p w:rsidR="0068074A" w:rsidRDefault="008A7DBA" w:rsidP="0068074A">
      <w:pPr>
        <w:pStyle w:val="Subhead"/>
      </w:pPr>
      <w:r>
        <w:t>2014</w:t>
      </w:r>
    </w:p>
    <w:p w:rsidR="00C86248" w:rsidRDefault="00C86248" w:rsidP="00343365"/>
    <w:p w:rsidR="00142954" w:rsidRPr="00142954" w:rsidRDefault="00142954" w:rsidP="00142954">
      <w:pPr>
        <w:sectPr w:rsidR="00142954" w:rsidRPr="00142954" w:rsidSect="000F2AE2">
          <w:headerReference w:type="even" r:id="rId7"/>
          <w:headerReference w:type="default" r:id="rId8"/>
          <w:footerReference w:type="even" r:id="rId9"/>
          <w:footerReference w:type="default" r:id="rId10"/>
          <w:headerReference w:type="first" r:id="rId11"/>
          <w:footerReference w:type="first" r:id="rId12"/>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0D74D6">
        <w:t>2014</w:t>
      </w:r>
      <w:r w:rsidR="00442C1C">
        <w:t xml:space="preserve">. </w:t>
      </w:r>
      <w:r w:rsidR="00950152">
        <w:rPr>
          <w:i/>
        </w:rPr>
        <w:t>Screening, Diagnosis and Management of Gestational Diabetes in New Zealand: A clinical practice guideline</w:t>
      </w:r>
      <w:r w:rsidR="00442C1C">
        <w:t>. Wellington: Ministry of Health.</w:t>
      </w:r>
    </w:p>
    <w:p w:rsidR="00C86248" w:rsidRDefault="00C86248">
      <w:pPr>
        <w:pStyle w:val="Imprint"/>
      </w:pPr>
      <w:r>
        <w:t xml:space="preserve">Published in </w:t>
      </w:r>
      <w:r w:rsidR="00934E31">
        <w:t>December</w:t>
      </w:r>
      <w:r w:rsidR="000D74D6">
        <w:t xml:space="preserve"> 2014</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t>ISBN</w:t>
      </w:r>
      <w:r w:rsidR="00442C1C">
        <w:t xml:space="preserve">: </w:t>
      </w:r>
      <w:r w:rsidR="00247279">
        <w:t>978-0-478-44460-5</w:t>
      </w:r>
      <w:r w:rsidR="00442C1C">
        <w:t xml:space="preserve"> </w:t>
      </w:r>
      <w:r>
        <w:t>(</w:t>
      </w:r>
      <w:r w:rsidR="00442C1C">
        <w:t>online</w:t>
      </w:r>
      <w:r>
        <w:t>)</w:t>
      </w:r>
      <w:r w:rsidR="00082CD6">
        <w:br/>
      </w:r>
      <w:r w:rsidR="00082CD6" w:rsidRPr="009C0F2D">
        <w:t xml:space="preserve">HP </w:t>
      </w:r>
      <w:r w:rsidR="00247279">
        <w:t>6087</w:t>
      </w:r>
    </w:p>
    <w:p w:rsidR="00C86248" w:rsidRDefault="00C86248">
      <w:pPr>
        <w:pStyle w:val="Imprint"/>
      </w:pPr>
      <w:r>
        <w:t xml:space="preserve">This document is available </w:t>
      </w:r>
      <w:r w:rsidR="0071741C">
        <w:t>at w</w:t>
      </w:r>
      <w:r>
        <w:t>ww.h</w:t>
      </w:r>
      <w:r w:rsidR="00A80363">
        <w:t>ealth</w:t>
      </w:r>
      <w:r>
        <w:t>.govt.nz</w:t>
      </w:r>
    </w:p>
    <w:p w:rsidR="00C86248" w:rsidRPr="00B701D1" w:rsidRDefault="008C64C4">
      <w:pPr>
        <w:jc w:val="center"/>
      </w:pPr>
      <w:r>
        <w:rPr>
          <w:noProof/>
          <w:lang w:eastAsia="en-NZ"/>
        </w:rPr>
        <w:drawing>
          <wp:inline distT="0" distB="0" distL="0" distR="0" wp14:anchorId="35507455" wp14:editId="6A8BA390">
            <wp:extent cx="1670685" cy="681355"/>
            <wp:effectExtent l="0" t="0" r="5715" b="4445"/>
            <wp:docPr id="2" name="Picture 2"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F97CC8" w:rsidRPr="00D535D0" w:rsidRDefault="00F97CC8" w:rsidP="00F97CC8">
      <w:pPr>
        <w:pStyle w:val="Heading3"/>
        <w:shd w:val="clear" w:color="auto" w:fill="FFFFFF"/>
        <w:ind w:left="0" w:right="-851" w:firstLine="0"/>
        <w:rPr>
          <w:b w:val="0"/>
          <w:sz w:val="22"/>
          <w:szCs w:val="22"/>
        </w:rPr>
      </w:pPr>
      <w:r>
        <w:rPr>
          <w:rStyle w:val="A4"/>
          <w:b w:val="0"/>
          <w:noProof/>
          <w:sz w:val="22"/>
          <w:szCs w:val="22"/>
          <w:lang w:eastAsia="en-NZ"/>
        </w:rPr>
        <w:drawing>
          <wp:inline distT="0" distB="0" distL="0" distR="0">
            <wp:extent cx="809625" cy="285750"/>
            <wp:effectExtent l="0" t="0" r="9525" b="0"/>
            <wp:docPr id="13" name="Picture 1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5"/>
          <w:footerReference w:type="default" r:id="rId16"/>
          <w:pgSz w:w="11907" w:h="16834" w:code="9"/>
          <w:pgMar w:top="1701" w:right="1134" w:bottom="1134" w:left="1985" w:header="0" w:footer="0" w:gutter="0"/>
          <w:cols w:space="720"/>
          <w:vAlign w:val="bottom"/>
        </w:sectPr>
      </w:pPr>
      <w:bookmarkStart w:id="0" w:name="_GoBack"/>
      <w:bookmarkEnd w:id="0"/>
    </w:p>
    <w:p w:rsidR="00C86248" w:rsidRDefault="00C86248">
      <w:pPr>
        <w:pStyle w:val="IntroHead"/>
      </w:pPr>
      <w:bookmarkStart w:id="1" w:name="_Toc405792991"/>
      <w:bookmarkStart w:id="2" w:name="_Toc405793224"/>
      <w:r>
        <w:lastRenderedPageBreak/>
        <w:t>Contents</w:t>
      </w:r>
      <w:bookmarkEnd w:id="1"/>
      <w:bookmarkEnd w:id="2"/>
    </w:p>
    <w:p w:rsidR="00D17509"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D17509">
        <w:rPr>
          <w:noProof/>
        </w:rPr>
        <w:t>Executive summary</w:t>
      </w:r>
      <w:r w:rsidR="00D17509">
        <w:rPr>
          <w:noProof/>
        </w:rPr>
        <w:tab/>
      </w:r>
      <w:r w:rsidR="00D17509">
        <w:rPr>
          <w:noProof/>
        </w:rPr>
        <w:fldChar w:fldCharType="begin"/>
      </w:r>
      <w:r w:rsidR="00D17509">
        <w:rPr>
          <w:noProof/>
        </w:rPr>
        <w:instrText xml:space="preserve"> PAGEREF _Toc403469599 \h </w:instrText>
      </w:r>
      <w:r w:rsidR="00D17509">
        <w:rPr>
          <w:noProof/>
        </w:rPr>
      </w:r>
      <w:r w:rsidR="00D17509">
        <w:rPr>
          <w:noProof/>
        </w:rPr>
        <w:fldChar w:fldCharType="separate"/>
      </w:r>
      <w:r w:rsidR="008A7DBA">
        <w:rPr>
          <w:noProof/>
        </w:rPr>
        <w:t>xi</w:t>
      </w:r>
      <w:r w:rsidR="00D17509">
        <w:rPr>
          <w:noProof/>
        </w:rPr>
        <w:fldChar w:fldCharType="end"/>
      </w:r>
    </w:p>
    <w:p w:rsidR="00D17509" w:rsidRDefault="00D17509">
      <w:pPr>
        <w:pStyle w:val="TOC1"/>
        <w:rPr>
          <w:rFonts w:asciiTheme="minorHAnsi" w:eastAsiaTheme="minorEastAsia" w:hAnsiTheme="minorHAnsi" w:cstheme="minorBidi"/>
          <w:b w:val="0"/>
          <w:noProof/>
          <w:szCs w:val="22"/>
          <w:lang w:eastAsia="en-NZ"/>
        </w:rPr>
      </w:pPr>
      <w:r>
        <w:rPr>
          <w:noProof/>
        </w:rPr>
        <w:t>Scope and purpose of the guideline</w:t>
      </w:r>
      <w:r>
        <w:rPr>
          <w:noProof/>
        </w:rPr>
        <w:tab/>
      </w:r>
      <w:r>
        <w:rPr>
          <w:noProof/>
        </w:rPr>
        <w:fldChar w:fldCharType="begin"/>
      </w:r>
      <w:r>
        <w:rPr>
          <w:noProof/>
        </w:rPr>
        <w:instrText xml:space="preserve"> PAGEREF _Toc403469600 \h </w:instrText>
      </w:r>
      <w:r>
        <w:rPr>
          <w:noProof/>
        </w:rPr>
      </w:r>
      <w:r>
        <w:rPr>
          <w:noProof/>
        </w:rPr>
        <w:fldChar w:fldCharType="separate"/>
      </w:r>
      <w:r w:rsidR="008A7DBA">
        <w:rPr>
          <w:noProof/>
        </w:rPr>
        <w:t>xv</w:t>
      </w:r>
      <w:r>
        <w:rPr>
          <w:noProof/>
        </w:rPr>
        <w:fldChar w:fldCharType="end"/>
      </w:r>
    </w:p>
    <w:p w:rsidR="00D17509" w:rsidRDefault="00D17509">
      <w:pPr>
        <w:pStyle w:val="TOC1"/>
        <w:rPr>
          <w:rFonts w:asciiTheme="minorHAnsi" w:eastAsiaTheme="minorEastAsia" w:hAnsiTheme="minorHAnsi" w:cstheme="minorBidi"/>
          <w:b w:val="0"/>
          <w:noProof/>
          <w:szCs w:val="22"/>
          <w:lang w:eastAsia="en-NZ"/>
        </w:rPr>
      </w:pPr>
      <w:r>
        <w:rPr>
          <w:noProof/>
        </w:rPr>
        <w:t>Summary of recommendations</w:t>
      </w:r>
      <w:r>
        <w:rPr>
          <w:noProof/>
        </w:rPr>
        <w:tab/>
      </w:r>
      <w:r>
        <w:rPr>
          <w:noProof/>
        </w:rPr>
        <w:fldChar w:fldCharType="begin"/>
      </w:r>
      <w:r>
        <w:rPr>
          <w:noProof/>
        </w:rPr>
        <w:instrText xml:space="preserve"> PAGEREF _Toc403469601 \h </w:instrText>
      </w:r>
      <w:r>
        <w:rPr>
          <w:noProof/>
        </w:rPr>
      </w:r>
      <w:r>
        <w:rPr>
          <w:noProof/>
        </w:rPr>
        <w:fldChar w:fldCharType="separate"/>
      </w:r>
      <w:r w:rsidR="008A7DBA">
        <w:rPr>
          <w:noProof/>
        </w:rPr>
        <w:t>xix</w:t>
      </w:r>
      <w:r>
        <w:rPr>
          <w:noProof/>
        </w:rPr>
        <w:fldChar w:fldCharType="end"/>
      </w:r>
    </w:p>
    <w:p w:rsidR="00D17509" w:rsidRDefault="00D17509">
      <w:pPr>
        <w:pStyle w:val="TOC1"/>
        <w:rPr>
          <w:rFonts w:asciiTheme="minorHAnsi" w:eastAsiaTheme="minorEastAsia" w:hAnsiTheme="minorHAnsi" w:cstheme="minorBidi"/>
          <w:b w:val="0"/>
          <w:noProof/>
          <w:szCs w:val="22"/>
          <w:lang w:eastAsia="en-NZ"/>
        </w:rPr>
      </w:pPr>
      <w:r>
        <w:rPr>
          <w:noProof/>
        </w:rPr>
        <w:t>Chapter 1: Introduction</w:t>
      </w:r>
      <w:r>
        <w:rPr>
          <w:noProof/>
        </w:rPr>
        <w:tab/>
      </w:r>
      <w:r>
        <w:rPr>
          <w:noProof/>
        </w:rPr>
        <w:fldChar w:fldCharType="begin"/>
      </w:r>
      <w:r>
        <w:rPr>
          <w:noProof/>
        </w:rPr>
        <w:instrText xml:space="preserve"> PAGEREF _Toc403469602 \h </w:instrText>
      </w:r>
      <w:r>
        <w:rPr>
          <w:noProof/>
        </w:rPr>
      </w:r>
      <w:r>
        <w:rPr>
          <w:noProof/>
        </w:rPr>
        <w:fldChar w:fldCharType="separate"/>
      </w:r>
      <w:r w:rsidR="008A7DBA">
        <w:rPr>
          <w:noProof/>
        </w:rPr>
        <w:t>1</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1.1</w:t>
      </w:r>
      <w:r>
        <w:rPr>
          <w:rFonts w:asciiTheme="minorHAnsi" w:eastAsiaTheme="minorEastAsia" w:hAnsiTheme="minorHAnsi" w:cstheme="minorBidi"/>
          <w:noProof/>
          <w:szCs w:val="22"/>
          <w:lang w:eastAsia="en-NZ"/>
        </w:rPr>
        <w:tab/>
      </w:r>
      <w:r>
        <w:rPr>
          <w:noProof/>
        </w:rPr>
        <w:t>Epidemiology of gestational diabetes in New Zealand</w:t>
      </w:r>
      <w:r>
        <w:rPr>
          <w:noProof/>
        </w:rPr>
        <w:tab/>
      </w:r>
      <w:r>
        <w:rPr>
          <w:noProof/>
        </w:rPr>
        <w:fldChar w:fldCharType="begin"/>
      </w:r>
      <w:r>
        <w:rPr>
          <w:noProof/>
        </w:rPr>
        <w:instrText xml:space="preserve"> PAGEREF _Toc403469603 \h </w:instrText>
      </w:r>
      <w:r>
        <w:rPr>
          <w:noProof/>
        </w:rPr>
      </w:r>
      <w:r>
        <w:rPr>
          <w:noProof/>
        </w:rPr>
        <w:fldChar w:fldCharType="separate"/>
      </w:r>
      <w:r w:rsidR="008A7DBA">
        <w:rPr>
          <w:noProof/>
        </w:rPr>
        <w:t>1</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1.2</w:t>
      </w:r>
      <w:r>
        <w:rPr>
          <w:rFonts w:asciiTheme="minorHAnsi" w:eastAsiaTheme="minorEastAsia" w:hAnsiTheme="minorHAnsi" w:cstheme="minorBidi"/>
          <w:noProof/>
          <w:szCs w:val="22"/>
          <w:lang w:eastAsia="en-NZ"/>
        </w:rPr>
        <w:tab/>
      </w:r>
      <w:r>
        <w:rPr>
          <w:noProof/>
        </w:rPr>
        <w:t>Adverse outcomes associated with gestational diabetes</w:t>
      </w:r>
      <w:r>
        <w:rPr>
          <w:noProof/>
        </w:rPr>
        <w:tab/>
      </w:r>
      <w:r>
        <w:rPr>
          <w:noProof/>
        </w:rPr>
        <w:fldChar w:fldCharType="begin"/>
      </w:r>
      <w:r>
        <w:rPr>
          <w:noProof/>
        </w:rPr>
        <w:instrText xml:space="preserve"> PAGEREF _Toc403469604 \h </w:instrText>
      </w:r>
      <w:r>
        <w:rPr>
          <w:noProof/>
        </w:rPr>
      </w:r>
      <w:r>
        <w:rPr>
          <w:noProof/>
        </w:rPr>
        <w:fldChar w:fldCharType="separate"/>
      </w:r>
      <w:r w:rsidR="008A7DBA">
        <w:rPr>
          <w:noProof/>
        </w:rPr>
        <w:t>2</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1.3</w:t>
      </w:r>
      <w:r>
        <w:rPr>
          <w:rFonts w:asciiTheme="minorHAnsi" w:eastAsiaTheme="minorEastAsia" w:hAnsiTheme="minorHAnsi" w:cstheme="minorBidi"/>
          <w:noProof/>
          <w:szCs w:val="22"/>
          <w:lang w:eastAsia="en-NZ"/>
        </w:rPr>
        <w:tab/>
      </w:r>
      <w:r>
        <w:rPr>
          <w:noProof/>
        </w:rPr>
        <w:t>Guidelines and position statements</w:t>
      </w:r>
      <w:r>
        <w:rPr>
          <w:noProof/>
        </w:rPr>
        <w:tab/>
      </w:r>
      <w:r>
        <w:rPr>
          <w:noProof/>
        </w:rPr>
        <w:fldChar w:fldCharType="begin"/>
      </w:r>
      <w:r>
        <w:rPr>
          <w:noProof/>
        </w:rPr>
        <w:instrText xml:space="preserve"> PAGEREF _Toc403469605 \h </w:instrText>
      </w:r>
      <w:r>
        <w:rPr>
          <w:noProof/>
        </w:rPr>
      </w:r>
      <w:r>
        <w:rPr>
          <w:noProof/>
        </w:rPr>
        <w:fldChar w:fldCharType="separate"/>
      </w:r>
      <w:r w:rsidR="008A7DBA">
        <w:rPr>
          <w:noProof/>
        </w:rPr>
        <w:t>2</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1.4</w:t>
      </w:r>
      <w:r>
        <w:rPr>
          <w:rFonts w:asciiTheme="minorHAnsi" w:eastAsiaTheme="minorEastAsia" w:hAnsiTheme="minorHAnsi" w:cstheme="minorBidi"/>
          <w:noProof/>
          <w:szCs w:val="22"/>
          <w:lang w:eastAsia="en-NZ"/>
        </w:rPr>
        <w:tab/>
      </w:r>
      <w:r>
        <w:rPr>
          <w:noProof/>
        </w:rPr>
        <w:t>Women’s perspectives on gestational diabetes</w:t>
      </w:r>
      <w:r>
        <w:rPr>
          <w:noProof/>
        </w:rPr>
        <w:tab/>
      </w:r>
      <w:r>
        <w:rPr>
          <w:noProof/>
        </w:rPr>
        <w:fldChar w:fldCharType="begin"/>
      </w:r>
      <w:r>
        <w:rPr>
          <w:noProof/>
        </w:rPr>
        <w:instrText xml:space="preserve"> PAGEREF _Toc403469606 \h </w:instrText>
      </w:r>
      <w:r>
        <w:rPr>
          <w:noProof/>
        </w:rPr>
      </w:r>
      <w:r>
        <w:rPr>
          <w:noProof/>
        </w:rPr>
        <w:fldChar w:fldCharType="separate"/>
      </w:r>
      <w:r w:rsidR="008A7DBA">
        <w:rPr>
          <w:noProof/>
        </w:rPr>
        <w:t>2</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1.5</w:t>
      </w:r>
      <w:r>
        <w:rPr>
          <w:rFonts w:asciiTheme="minorHAnsi" w:eastAsiaTheme="minorEastAsia" w:hAnsiTheme="minorHAnsi" w:cstheme="minorBidi"/>
          <w:noProof/>
          <w:szCs w:val="22"/>
          <w:lang w:eastAsia="en-NZ"/>
        </w:rPr>
        <w:tab/>
      </w:r>
      <w:r>
        <w:rPr>
          <w:noProof/>
        </w:rPr>
        <w:t>Summary</w:t>
      </w:r>
      <w:r>
        <w:rPr>
          <w:noProof/>
        </w:rPr>
        <w:tab/>
      </w:r>
      <w:r>
        <w:rPr>
          <w:noProof/>
        </w:rPr>
        <w:fldChar w:fldCharType="begin"/>
      </w:r>
      <w:r>
        <w:rPr>
          <w:noProof/>
        </w:rPr>
        <w:instrText xml:space="preserve"> PAGEREF _Toc403469607 \h </w:instrText>
      </w:r>
      <w:r>
        <w:rPr>
          <w:noProof/>
        </w:rPr>
      </w:r>
      <w:r>
        <w:rPr>
          <w:noProof/>
        </w:rPr>
        <w:fldChar w:fldCharType="separate"/>
      </w:r>
      <w:r w:rsidR="008A7DBA">
        <w:rPr>
          <w:noProof/>
        </w:rPr>
        <w:t>3</w:t>
      </w:r>
      <w:r>
        <w:rPr>
          <w:noProof/>
        </w:rPr>
        <w:fldChar w:fldCharType="end"/>
      </w:r>
    </w:p>
    <w:p w:rsidR="00D17509" w:rsidRDefault="00D17509">
      <w:pPr>
        <w:pStyle w:val="TOC1"/>
        <w:rPr>
          <w:rFonts w:asciiTheme="minorHAnsi" w:eastAsiaTheme="minorEastAsia" w:hAnsiTheme="minorHAnsi" w:cstheme="minorBidi"/>
          <w:b w:val="0"/>
          <w:noProof/>
          <w:szCs w:val="22"/>
          <w:lang w:eastAsia="en-NZ"/>
        </w:rPr>
      </w:pPr>
      <w:r>
        <w:rPr>
          <w:noProof/>
        </w:rPr>
        <w:t>Chapter 2: Who should be screened for hyperglycaemia in pregnancy and how?</w:t>
      </w:r>
      <w:r>
        <w:rPr>
          <w:noProof/>
        </w:rPr>
        <w:tab/>
      </w:r>
      <w:r>
        <w:rPr>
          <w:noProof/>
        </w:rPr>
        <w:fldChar w:fldCharType="begin"/>
      </w:r>
      <w:r>
        <w:rPr>
          <w:noProof/>
        </w:rPr>
        <w:instrText xml:space="preserve"> PAGEREF _Toc403469608 \h </w:instrText>
      </w:r>
      <w:r>
        <w:rPr>
          <w:noProof/>
        </w:rPr>
      </w:r>
      <w:r>
        <w:rPr>
          <w:noProof/>
        </w:rPr>
        <w:fldChar w:fldCharType="separate"/>
      </w:r>
      <w:r w:rsidR="008A7DBA">
        <w:rPr>
          <w:noProof/>
        </w:rPr>
        <w:t>4</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_Toc403469609 \h </w:instrText>
      </w:r>
      <w:r>
        <w:rPr>
          <w:noProof/>
        </w:rPr>
      </w:r>
      <w:r>
        <w:rPr>
          <w:noProof/>
        </w:rPr>
        <w:fldChar w:fldCharType="separate"/>
      </w:r>
      <w:r w:rsidR="008A7DBA">
        <w:rPr>
          <w:noProof/>
        </w:rPr>
        <w:t>4</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Prevalence of probable undiagnosed diabetes in New Zealand</w:t>
      </w:r>
      <w:r>
        <w:rPr>
          <w:noProof/>
        </w:rPr>
        <w:tab/>
      </w:r>
      <w:r>
        <w:rPr>
          <w:noProof/>
        </w:rPr>
        <w:fldChar w:fldCharType="begin"/>
      </w:r>
      <w:r>
        <w:rPr>
          <w:noProof/>
        </w:rPr>
        <w:instrText xml:space="preserve"> PAGEREF _Toc403469610 \h </w:instrText>
      </w:r>
      <w:r>
        <w:rPr>
          <w:noProof/>
        </w:rPr>
      </w:r>
      <w:r>
        <w:rPr>
          <w:noProof/>
        </w:rPr>
        <w:fldChar w:fldCharType="separate"/>
      </w:r>
      <w:r w:rsidR="008A7DBA">
        <w:rPr>
          <w:noProof/>
        </w:rPr>
        <w:t>4</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2.3</w:t>
      </w:r>
      <w:r>
        <w:rPr>
          <w:rFonts w:asciiTheme="minorHAnsi" w:eastAsiaTheme="minorEastAsia" w:hAnsiTheme="minorHAnsi" w:cstheme="minorBidi"/>
          <w:noProof/>
          <w:szCs w:val="22"/>
          <w:lang w:eastAsia="en-NZ"/>
        </w:rPr>
        <w:tab/>
      </w:r>
      <w:r>
        <w:rPr>
          <w:noProof/>
        </w:rPr>
        <w:t>Risk factors associated with probable undiagnosed diabetes and gestational diabetes</w:t>
      </w:r>
      <w:r>
        <w:rPr>
          <w:noProof/>
        </w:rPr>
        <w:tab/>
      </w:r>
      <w:r>
        <w:rPr>
          <w:noProof/>
        </w:rPr>
        <w:fldChar w:fldCharType="begin"/>
      </w:r>
      <w:r>
        <w:rPr>
          <w:noProof/>
        </w:rPr>
        <w:instrText xml:space="preserve"> PAGEREF _Toc403469611 \h </w:instrText>
      </w:r>
      <w:r>
        <w:rPr>
          <w:noProof/>
        </w:rPr>
      </w:r>
      <w:r>
        <w:rPr>
          <w:noProof/>
        </w:rPr>
        <w:fldChar w:fldCharType="separate"/>
      </w:r>
      <w:r w:rsidR="008A7DBA">
        <w:rPr>
          <w:noProof/>
        </w:rPr>
        <w:t>4</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2.4</w:t>
      </w:r>
      <w:r>
        <w:rPr>
          <w:rFonts w:asciiTheme="minorHAnsi" w:eastAsiaTheme="minorEastAsia" w:hAnsiTheme="minorHAnsi" w:cstheme="minorBidi"/>
          <w:noProof/>
          <w:szCs w:val="22"/>
          <w:lang w:eastAsia="en-NZ"/>
        </w:rPr>
        <w:tab/>
      </w:r>
      <w:r>
        <w:rPr>
          <w:noProof/>
        </w:rPr>
        <w:t>Screening for undiagnosed diabetes in New Zealand</w:t>
      </w:r>
      <w:r>
        <w:rPr>
          <w:noProof/>
        </w:rPr>
        <w:tab/>
      </w:r>
      <w:r>
        <w:rPr>
          <w:noProof/>
        </w:rPr>
        <w:fldChar w:fldCharType="begin"/>
      </w:r>
      <w:r>
        <w:rPr>
          <w:noProof/>
        </w:rPr>
        <w:instrText xml:space="preserve"> PAGEREF _Toc403469612 \h </w:instrText>
      </w:r>
      <w:r>
        <w:rPr>
          <w:noProof/>
        </w:rPr>
      </w:r>
      <w:r>
        <w:rPr>
          <w:noProof/>
        </w:rPr>
        <w:fldChar w:fldCharType="separate"/>
      </w:r>
      <w:r w:rsidR="008A7DBA">
        <w:rPr>
          <w:noProof/>
        </w:rPr>
        <w:t>5</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2.5</w:t>
      </w:r>
      <w:r>
        <w:rPr>
          <w:rFonts w:asciiTheme="minorHAnsi" w:eastAsiaTheme="minorEastAsia" w:hAnsiTheme="minorHAnsi" w:cstheme="minorBidi"/>
          <w:noProof/>
          <w:szCs w:val="22"/>
          <w:lang w:eastAsia="en-NZ"/>
        </w:rPr>
        <w:tab/>
      </w:r>
      <w:r>
        <w:rPr>
          <w:noProof/>
        </w:rPr>
        <w:t>HbA1c to detect previously undiagnosed diabetes or prediabetes in early pregnancy (&lt; 20 weeks’ gestation)</w:t>
      </w:r>
      <w:r>
        <w:rPr>
          <w:noProof/>
        </w:rPr>
        <w:tab/>
      </w:r>
      <w:r>
        <w:rPr>
          <w:noProof/>
        </w:rPr>
        <w:fldChar w:fldCharType="begin"/>
      </w:r>
      <w:r>
        <w:rPr>
          <w:noProof/>
        </w:rPr>
        <w:instrText xml:space="preserve"> PAGEREF _Toc403469613 \h </w:instrText>
      </w:r>
      <w:r>
        <w:rPr>
          <w:noProof/>
        </w:rPr>
      </w:r>
      <w:r>
        <w:rPr>
          <w:noProof/>
        </w:rPr>
        <w:fldChar w:fldCharType="separate"/>
      </w:r>
      <w:r w:rsidR="008A7DBA">
        <w:rPr>
          <w:noProof/>
        </w:rPr>
        <w:t>6</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2.6</w:t>
      </w:r>
      <w:r>
        <w:rPr>
          <w:rFonts w:asciiTheme="minorHAnsi" w:eastAsiaTheme="minorEastAsia" w:hAnsiTheme="minorHAnsi" w:cstheme="minorBidi"/>
          <w:noProof/>
          <w:szCs w:val="22"/>
          <w:lang w:eastAsia="en-NZ"/>
        </w:rPr>
        <w:tab/>
      </w:r>
      <w:r>
        <w:rPr>
          <w:noProof/>
        </w:rPr>
        <w:t>HbA1c thresholds to identify probable undiagnosed diabetes or prediabetes in pregnant women at less than 20 weeks’ gestation</w:t>
      </w:r>
      <w:r>
        <w:rPr>
          <w:noProof/>
        </w:rPr>
        <w:tab/>
      </w:r>
      <w:r>
        <w:rPr>
          <w:noProof/>
        </w:rPr>
        <w:fldChar w:fldCharType="begin"/>
      </w:r>
      <w:r>
        <w:rPr>
          <w:noProof/>
        </w:rPr>
        <w:instrText xml:space="preserve"> PAGEREF _Toc403469614 \h </w:instrText>
      </w:r>
      <w:r>
        <w:rPr>
          <w:noProof/>
        </w:rPr>
      </w:r>
      <w:r>
        <w:rPr>
          <w:noProof/>
        </w:rPr>
        <w:fldChar w:fldCharType="separate"/>
      </w:r>
      <w:r w:rsidR="008A7DBA">
        <w:rPr>
          <w:noProof/>
        </w:rPr>
        <w:t>7</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2.7</w:t>
      </w:r>
      <w:r>
        <w:rPr>
          <w:rFonts w:asciiTheme="minorHAnsi" w:eastAsiaTheme="minorEastAsia" w:hAnsiTheme="minorHAnsi" w:cstheme="minorBidi"/>
          <w:noProof/>
          <w:szCs w:val="22"/>
          <w:lang w:eastAsia="en-NZ"/>
        </w:rPr>
        <w:tab/>
      </w:r>
      <w:r>
        <w:rPr>
          <w:noProof/>
        </w:rPr>
        <w:t>Screening principles applied to first trimester screening for undiagnosed diabetes</w:t>
      </w:r>
      <w:r>
        <w:rPr>
          <w:noProof/>
        </w:rPr>
        <w:tab/>
      </w:r>
      <w:r>
        <w:rPr>
          <w:noProof/>
        </w:rPr>
        <w:fldChar w:fldCharType="begin"/>
      </w:r>
      <w:r>
        <w:rPr>
          <w:noProof/>
        </w:rPr>
        <w:instrText xml:space="preserve"> PAGEREF _Toc403469615 \h </w:instrText>
      </w:r>
      <w:r>
        <w:rPr>
          <w:noProof/>
        </w:rPr>
      </w:r>
      <w:r>
        <w:rPr>
          <w:noProof/>
        </w:rPr>
        <w:fldChar w:fldCharType="separate"/>
      </w:r>
      <w:r w:rsidR="008A7DBA">
        <w:rPr>
          <w:noProof/>
        </w:rPr>
        <w:t>9</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2.8</w:t>
      </w:r>
      <w:r>
        <w:rPr>
          <w:rFonts w:asciiTheme="minorHAnsi" w:eastAsiaTheme="minorEastAsia" w:hAnsiTheme="minorHAnsi" w:cstheme="minorBidi"/>
          <w:noProof/>
          <w:szCs w:val="22"/>
          <w:lang w:eastAsia="en-NZ"/>
        </w:rPr>
        <w:tab/>
      </w:r>
      <w:r>
        <w:rPr>
          <w:noProof/>
        </w:rPr>
        <w:t>Evidence to recommendations</w:t>
      </w:r>
      <w:r>
        <w:rPr>
          <w:noProof/>
        </w:rPr>
        <w:tab/>
      </w:r>
      <w:r>
        <w:rPr>
          <w:noProof/>
        </w:rPr>
        <w:fldChar w:fldCharType="begin"/>
      </w:r>
      <w:r>
        <w:rPr>
          <w:noProof/>
        </w:rPr>
        <w:instrText xml:space="preserve"> PAGEREF _Toc403469616 \h </w:instrText>
      </w:r>
      <w:r>
        <w:rPr>
          <w:noProof/>
        </w:rPr>
      </w:r>
      <w:r>
        <w:rPr>
          <w:noProof/>
        </w:rPr>
        <w:fldChar w:fldCharType="separate"/>
      </w:r>
      <w:r w:rsidR="008A7DBA">
        <w:rPr>
          <w:noProof/>
        </w:rPr>
        <w:t>10</w:t>
      </w:r>
      <w:r>
        <w:rPr>
          <w:noProof/>
        </w:rPr>
        <w:fldChar w:fldCharType="end"/>
      </w:r>
    </w:p>
    <w:p w:rsidR="00D17509" w:rsidRDefault="00D17509">
      <w:pPr>
        <w:pStyle w:val="TOC1"/>
        <w:rPr>
          <w:rFonts w:asciiTheme="minorHAnsi" w:eastAsiaTheme="minorEastAsia" w:hAnsiTheme="minorHAnsi" w:cstheme="minorBidi"/>
          <w:b w:val="0"/>
          <w:noProof/>
          <w:szCs w:val="22"/>
          <w:lang w:eastAsia="en-NZ"/>
        </w:rPr>
      </w:pPr>
      <w:r>
        <w:rPr>
          <w:noProof/>
        </w:rPr>
        <w:t>Chapter 3: Screening and diagnosis of gestational diabetes at 24–28 weeks</w:t>
      </w:r>
      <w:r>
        <w:rPr>
          <w:noProof/>
        </w:rPr>
        <w:tab/>
      </w:r>
      <w:r>
        <w:rPr>
          <w:noProof/>
        </w:rPr>
        <w:fldChar w:fldCharType="begin"/>
      </w:r>
      <w:r>
        <w:rPr>
          <w:noProof/>
        </w:rPr>
        <w:instrText xml:space="preserve"> PAGEREF _Toc403469617 \h </w:instrText>
      </w:r>
      <w:r>
        <w:rPr>
          <w:noProof/>
        </w:rPr>
      </w:r>
      <w:r>
        <w:rPr>
          <w:noProof/>
        </w:rPr>
        <w:fldChar w:fldCharType="separate"/>
      </w:r>
      <w:r w:rsidR="008A7DBA">
        <w:rPr>
          <w:noProof/>
        </w:rPr>
        <w:t>12</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3.1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_Toc403469618 \h </w:instrText>
      </w:r>
      <w:r>
        <w:rPr>
          <w:noProof/>
        </w:rPr>
      </w:r>
      <w:r>
        <w:rPr>
          <w:noProof/>
        </w:rPr>
        <w:fldChar w:fldCharType="separate"/>
      </w:r>
      <w:r w:rsidR="008A7DBA">
        <w:rPr>
          <w:noProof/>
        </w:rPr>
        <w:t>12</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3.2</w:t>
      </w:r>
      <w:r>
        <w:rPr>
          <w:rFonts w:asciiTheme="minorHAnsi" w:eastAsiaTheme="minorEastAsia" w:hAnsiTheme="minorHAnsi" w:cstheme="minorBidi"/>
          <w:noProof/>
          <w:szCs w:val="22"/>
          <w:lang w:eastAsia="en-NZ"/>
        </w:rPr>
        <w:tab/>
      </w:r>
      <w:r>
        <w:rPr>
          <w:noProof/>
        </w:rPr>
        <w:t>Systematic review evidence</w:t>
      </w:r>
      <w:r>
        <w:rPr>
          <w:noProof/>
        </w:rPr>
        <w:tab/>
      </w:r>
      <w:r>
        <w:rPr>
          <w:noProof/>
        </w:rPr>
        <w:fldChar w:fldCharType="begin"/>
      </w:r>
      <w:r>
        <w:rPr>
          <w:noProof/>
        </w:rPr>
        <w:instrText xml:space="preserve"> PAGEREF _Toc403469619 \h </w:instrText>
      </w:r>
      <w:r>
        <w:rPr>
          <w:noProof/>
        </w:rPr>
      </w:r>
      <w:r>
        <w:rPr>
          <w:noProof/>
        </w:rPr>
        <w:fldChar w:fldCharType="separate"/>
      </w:r>
      <w:r w:rsidR="008A7DBA">
        <w:rPr>
          <w:noProof/>
        </w:rPr>
        <w:t>12</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3.3</w:t>
      </w:r>
      <w:r>
        <w:rPr>
          <w:rFonts w:asciiTheme="minorHAnsi" w:eastAsiaTheme="minorEastAsia" w:hAnsiTheme="minorHAnsi" w:cstheme="minorBidi"/>
          <w:noProof/>
          <w:szCs w:val="22"/>
          <w:lang w:eastAsia="en-NZ"/>
        </w:rPr>
        <w:tab/>
      </w:r>
      <w:r>
        <w:rPr>
          <w:noProof/>
        </w:rPr>
        <w:t>Optimal diagnostic threshold for maternal and infant outcomes</w:t>
      </w:r>
      <w:r>
        <w:rPr>
          <w:noProof/>
        </w:rPr>
        <w:tab/>
      </w:r>
      <w:r>
        <w:rPr>
          <w:noProof/>
        </w:rPr>
        <w:fldChar w:fldCharType="begin"/>
      </w:r>
      <w:r>
        <w:rPr>
          <w:noProof/>
        </w:rPr>
        <w:instrText xml:space="preserve"> PAGEREF _Toc403469620 \h </w:instrText>
      </w:r>
      <w:r>
        <w:rPr>
          <w:noProof/>
        </w:rPr>
      </w:r>
      <w:r>
        <w:rPr>
          <w:noProof/>
        </w:rPr>
        <w:fldChar w:fldCharType="separate"/>
      </w:r>
      <w:r w:rsidR="008A7DBA">
        <w:rPr>
          <w:noProof/>
        </w:rPr>
        <w:t>14</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3.4</w:t>
      </w:r>
      <w:r>
        <w:rPr>
          <w:rFonts w:asciiTheme="minorHAnsi" w:eastAsiaTheme="minorEastAsia" w:hAnsiTheme="minorHAnsi" w:cstheme="minorBidi"/>
          <w:noProof/>
          <w:szCs w:val="22"/>
          <w:lang w:eastAsia="en-NZ"/>
        </w:rPr>
        <w:tab/>
      </w:r>
      <w:r>
        <w:rPr>
          <w:noProof/>
        </w:rPr>
        <w:t>Risk factor versus universal screening</w:t>
      </w:r>
      <w:r>
        <w:rPr>
          <w:noProof/>
        </w:rPr>
        <w:tab/>
      </w:r>
      <w:r>
        <w:rPr>
          <w:noProof/>
        </w:rPr>
        <w:fldChar w:fldCharType="begin"/>
      </w:r>
      <w:r>
        <w:rPr>
          <w:noProof/>
        </w:rPr>
        <w:instrText xml:space="preserve"> PAGEREF _Toc403469621 \h </w:instrText>
      </w:r>
      <w:r>
        <w:rPr>
          <w:noProof/>
        </w:rPr>
      </w:r>
      <w:r>
        <w:rPr>
          <w:noProof/>
        </w:rPr>
        <w:fldChar w:fldCharType="separate"/>
      </w:r>
      <w:r w:rsidR="008A7DBA">
        <w:rPr>
          <w:noProof/>
        </w:rPr>
        <w:t>15</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3.5</w:t>
      </w:r>
      <w:r>
        <w:rPr>
          <w:rFonts w:asciiTheme="minorHAnsi" w:eastAsiaTheme="minorEastAsia" w:hAnsiTheme="minorHAnsi" w:cstheme="minorBidi"/>
          <w:noProof/>
          <w:szCs w:val="22"/>
          <w:lang w:eastAsia="en-NZ"/>
        </w:rPr>
        <w:tab/>
      </w:r>
      <w:r>
        <w:rPr>
          <w:noProof/>
        </w:rPr>
        <w:t>Evidence to recommendations</w:t>
      </w:r>
      <w:r>
        <w:rPr>
          <w:noProof/>
        </w:rPr>
        <w:tab/>
      </w:r>
      <w:r>
        <w:rPr>
          <w:noProof/>
        </w:rPr>
        <w:fldChar w:fldCharType="begin"/>
      </w:r>
      <w:r>
        <w:rPr>
          <w:noProof/>
        </w:rPr>
        <w:instrText xml:space="preserve"> PAGEREF _Toc403469622 \h </w:instrText>
      </w:r>
      <w:r>
        <w:rPr>
          <w:noProof/>
        </w:rPr>
      </w:r>
      <w:r>
        <w:rPr>
          <w:noProof/>
        </w:rPr>
        <w:fldChar w:fldCharType="separate"/>
      </w:r>
      <w:r w:rsidR="008A7DBA">
        <w:rPr>
          <w:noProof/>
        </w:rPr>
        <w:t>17</w:t>
      </w:r>
      <w:r>
        <w:rPr>
          <w:noProof/>
        </w:rPr>
        <w:fldChar w:fldCharType="end"/>
      </w:r>
    </w:p>
    <w:p w:rsidR="00D17509" w:rsidRDefault="00D17509">
      <w:pPr>
        <w:pStyle w:val="TOC1"/>
        <w:rPr>
          <w:rFonts w:asciiTheme="minorHAnsi" w:eastAsiaTheme="minorEastAsia" w:hAnsiTheme="minorHAnsi" w:cstheme="minorBidi"/>
          <w:b w:val="0"/>
          <w:noProof/>
          <w:szCs w:val="22"/>
          <w:lang w:eastAsia="en-NZ"/>
        </w:rPr>
      </w:pPr>
      <w:r>
        <w:rPr>
          <w:noProof/>
        </w:rPr>
        <w:t>Chapter 4: Prevention of gestational diabetes</w:t>
      </w:r>
      <w:r>
        <w:rPr>
          <w:noProof/>
        </w:rPr>
        <w:tab/>
      </w:r>
      <w:r>
        <w:rPr>
          <w:noProof/>
        </w:rPr>
        <w:fldChar w:fldCharType="begin"/>
      </w:r>
      <w:r>
        <w:rPr>
          <w:noProof/>
        </w:rPr>
        <w:instrText xml:space="preserve"> PAGEREF _Toc403469623 \h </w:instrText>
      </w:r>
      <w:r>
        <w:rPr>
          <w:noProof/>
        </w:rPr>
      </w:r>
      <w:r>
        <w:rPr>
          <w:noProof/>
        </w:rPr>
        <w:fldChar w:fldCharType="separate"/>
      </w:r>
      <w:r w:rsidR="008A7DBA">
        <w:rPr>
          <w:noProof/>
        </w:rPr>
        <w:t>20</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4.1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_Toc403469624 \h </w:instrText>
      </w:r>
      <w:r>
        <w:rPr>
          <w:noProof/>
        </w:rPr>
      </w:r>
      <w:r>
        <w:rPr>
          <w:noProof/>
        </w:rPr>
        <w:fldChar w:fldCharType="separate"/>
      </w:r>
      <w:r w:rsidR="008A7DBA">
        <w:rPr>
          <w:noProof/>
        </w:rPr>
        <w:t>20</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4.2</w:t>
      </w:r>
      <w:r>
        <w:rPr>
          <w:rFonts w:asciiTheme="minorHAnsi" w:eastAsiaTheme="minorEastAsia" w:hAnsiTheme="minorHAnsi" w:cstheme="minorBidi"/>
          <w:noProof/>
          <w:szCs w:val="22"/>
          <w:lang w:eastAsia="en-NZ"/>
        </w:rPr>
        <w:tab/>
      </w:r>
      <w:r>
        <w:rPr>
          <w:noProof/>
        </w:rPr>
        <w:t>Dietary interventions alone</w:t>
      </w:r>
      <w:r>
        <w:rPr>
          <w:noProof/>
        </w:rPr>
        <w:tab/>
      </w:r>
      <w:r>
        <w:rPr>
          <w:noProof/>
        </w:rPr>
        <w:fldChar w:fldCharType="begin"/>
      </w:r>
      <w:r>
        <w:rPr>
          <w:noProof/>
        </w:rPr>
        <w:instrText xml:space="preserve"> PAGEREF _Toc403469625 \h </w:instrText>
      </w:r>
      <w:r>
        <w:rPr>
          <w:noProof/>
        </w:rPr>
      </w:r>
      <w:r>
        <w:rPr>
          <w:noProof/>
        </w:rPr>
        <w:fldChar w:fldCharType="separate"/>
      </w:r>
      <w:r w:rsidR="008A7DBA">
        <w:rPr>
          <w:noProof/>
        </w:rPr>
        <w:t>20</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4.3</w:t>
      </w:r>
      <w:r>
        <w:rPr>
          <w:rFonts w:asciiTheme="minorHAnsi" w:eastAsiaTheme="minorEastAsia" w:hAnsiTheme="minorHAnsi" w:cstheme="minorBidi"/>
          <w:noProof/>
          <w:szCs w:val="22"/>
          <w:lang w:eastAsia="en-NZ"/>
        </w:rPr>
        <w:tab/>
      </w:r>
      <w:r>
        <w:rPr>
          <w:noProof/>
        </w:rPr>
        <w:t>Exercise interventions alone</w:t>
      </w:r>
      <w:r>
        <w:rPr>
          <w:noProof/>
        </w:rPr>
        <w:tab/>
      </w:r>
      <w:r>
        <w:rPr>
          <w:noProof/>
        </w:rPr>
        <w:fldChar w:fldCharType="begin"/>
      </w:r>
      <w:r>
        <w:rPr>
          <w:noProof/>
        </w:rPr>
        <w:instrText xml:space="preserve"> PAGEREF _Toc403469626 \h </w:instrText>
      </w:r>
      <w:r>
        <w:rPr>
          <w:noProof/>
        </w:rPr>
      </w:r>
      <w:r>
        <w:rPr>
          <w:noProof/>
        </w:rPr>
        <w:fldChar w:fldCharType="separate"/>
      </w:r>
      <w:r w:rsidR="008A7DBA">
        <w:rPr>
          <w:noProof/>
        </w:rPr>
        <w:t>21</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4.4</w:t>
      </w:r>
      <w:r>
        <w:rPr>
          <w:rFonts w:asciiTheme="minorHAnsi" w:eastAsiaTheme="minorEastAsia" w:hAnsiTheme="minorHAnsi" w:cstheme="minorBidi"/>
          <w:noProof/>
          <w:szCs w:val="22"/>
          <w:lang w:eastAsia="en-NZ"/>
        </w:rPr>
        <w:tab/>
      </w:r>
      <w:r>
        <w:rPr>
          <w:noProof/>
        </w:rPr>
        <w:t xml:space="preserve">Combined dietary and exercise interventions and </w:t>
      </w:r>
      <w:r>
        <w:rPr>
          <w:noProof/>
          <w:lang w:eastAsia="ja-JP"/>
        </w:rPr>
        <w:t>gestational diabetes</w:t>
      </w:r>
      <w:r>
        <w:rPr>
          <w:noProof/>
        </w:rPr>
        <w:t xml:space="preserve"> diagnosis</w:t>
      </w:r>
      <w:r>
        <w:rPr>
          <w:noProof/>
        </w:rPr>
        <w:tab/>
      </w:r>
      <w:r>
        <w:rPr>
          <w:noProof/>
        </w:rPr>
        <w:fldChar w:fldCharType="begin"/>
      </w:r>
      <w:r>
        <w:rPr>
          <w:noProof/>
        </w:rPr>
        <w:instrText xml:space="preserve"> PAGEREF _Toc403469627 \h </w:instrText>
      </w:r>
      <w:r>
        <w:rPr>
          <w:noProof/>
        </w:rPr>
      </w:r>
      <w:r>
        <w:rPr>
          <w:noProof/>
        </w:rPr>
        <w:fldChar w:fldCharType="separate"/>
      </w:r>
      <w:r w:rsidR="008A7DBA">
        <w:rPr>
          <w:noProof/>
        </w:rPr>
        <w:t>21</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4.5</w:t>
      </w:r>
      <w:r>
        <w:rPr>
          <w:rFonts w:asciiTheme="minorHAnsi" w:eastAsiaTheme="minorEastAsia" w:hAnsiTheme="minorHAnsi" w:cstheme="minorBidi"/>
          <w:noProof/>
          <w:szCs w:val="22"/>
          <w:lang w:eastAsia="en-NZ"/>
        </w:rPr>
        <w:tab/>
      </w:r>
      <w:r>
        <w:rPr>
          <w:noProof/>
        </w:rPr>
        <w:t>Evidence to recommendations</w:t>
      </w:r>
      <w:r>
        <w:rPr>
          <w:noProof/>
        </w:rPr>
        <w:tab/>
      </w:r>
      <w:r>
        <w:rPr>
          <w:noProof/>
        </w:rPr>
        <w:fldChar w:fldCharType="begin"/>
      </w:r>
      <w:r>
        <w:rPr>
          <w:noProof/>
        </w:rPr>
        <w:instrText xml:space="preserve"> PAGEREF _Toc403469628 \h </w:instrText>
      </w:r>
      <w:r>
        <w:rPr>
          <w:noProof/>
        </w:rPr>
      </w:r>
      <w:r>
        <w:rPr>
          <w:noProof/>
        </w:rPr>
        <w:fldChar w:fldCharType="separate"/>
      </w:r>
      <w:r w:rsidR="008A7DBA">
        <w:rPr>
          <w:noProof/>
        </w:rPr>
        <w:t>22</w:t>
      </w:r>
      <w:r>
        <w:rPr>
          <w:noProof/>
        </w:rPr>
        <w:fldChar w:fldCharType="end"/>
      </w:r>
    </w:p>
    <w:p w:rsidR="00D17509" w:rsidRDefault="00D17509" w:rsidP="00D17509">
      <w:pPr>
        <w:pStyle w:val="TOC1"/>
        <w:keepNext/>
        <w:rPr>
          <w:rFonts w:asciiTheme="minorHAnsi" w:eastAsiaTheme="minorEastAsia" w:hAnsiTheme="minorHAnsi" w:cstheme="minorBidi"/>
          <w:b w:val="0"/>
          <w:noProof/>
          <w:szCs w:val="22"/>
          <w:lang w:eastAsia="en-NZ"/>
        </w:rPr>
      </w:pPr>
      <w:r>
        <w:rPr>
          <w:noProof/>
        </w:rPr>
        <w:lastRenderedPageBreak/>
        <w:t>Chapter 5: Treatment for women with gestational diabetes</w:t>
      </w:r>
      <w:r>
        <w:rPr>
          <w:noProof/>
        </w:rPr>
        <w:tab/>
      </w:r>
      <w:r>
        <w:rPr>
          <w:noProof/>
        </w:rPr>
        <w:fldChar w:fldCharType="begin"/>
      </w:r>
      <w:r>
        <w:rPr>
          <w:noProof/>
        </w:rPr>
        <w:instrText xml:space="preserve"> PAGEREF _Toc403469629 \h </w:instrText>
      </w:r>
      <w:r>
        <w:rPr>
          <w:noProof/>
        </w:rPr>
      </w:r>
      <w:r>
        <w:rPr>
          <w:noProof/>
        </w:rPr>
        <w:fldChar w:fldCharType="separate"/>
      </w:r>
      <w:r w:rsidR="008A7DBA">
        <w:rPr>
          <w:noProof/>
        </w:rPr>
        <w:t>23</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5.1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_Toc403469630 \h </w:instrText>
      </w:r>
      <w:r>
        <w:rPr>
          <w:noProof/>
        </w:rPr>
      </w:r>
      <w:r>
        <w:rPr>
          <w:noProof/>
        </w:rPr>
        <w:fldChar w:fldCharType="separate"/>
      </w:r>
      <w:r w:rsidR="008A7DBA">
        <w:rPr>
          <w:noProof/>
        </w:rPr>
        <w:t>23</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5.2</w:t>
      </w:r>
      <w:r>
        <w:rPr>
          <w:rFonts w:asciiTheme="minorHAnsi" w:eastAsiaTheme="minorEastAsia" w:hAnsiTheme="minorHAnsi" w:cstheme="minorBidi"/>
          <w:noProof/>
          <w:szCs w:val="22"/>
          <w:lang w:eastAsia="en-NZ"/>
        </w:rPr>
        <w:tab/>
      </w:r>
      <w:r>
        <w:rPr>
          <w:noProof/>
        </w:rPr>
        <w:t>Combined di</w:t>
      </w:r>
      <w:r w:rsidRPr="003E24D0">
        <w:rPr>
          <w:rFonts w:cs="Arial"/>
          <w:bCs/>
          <w:noProof/>
        </w:rPr>
        <w:t>et and lifestyle interventions</w:t>
      </w:r>
      <w:r>
        <w:rPr>
          <w:noProof/>
        </w:rPr>
        <w:tab/>
      </w:r>
      <w:r>
        <w:rPr>
          <w:noProof/>
        </w:rPr>
        <w:fldChar w:fldCharType="begin"/>
      </w:r>
      <w:r>
        <w:rPr>
          <w:noProof/>
        </w:rPr>
        <w:instrText xml:space="preserve"> PAGEREF _Toc403469631 \h </w:instrText>
      </w:r>
      <w:r>
        <w:rPr>
          <w:noProof/>
        </w:rPr>
      </w:r>
      <w:r>
        <w:rPr>
          <w:noProof/>
        </w:rPr>
        <w:fldChar w:fldCharType="separate"/>
      </w:r>
      <w:r w:rsidR="008A7DBA">
        <w:rPr>
          <w:noProof/>
        </w:rPr>
        <w:t>23</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5.3</w:t>
      </w:r>
      <w:r>
        <w:rPr>
          <w:rFonts w:asciiTheme="minorHAnsi" w:eastAsiaTheme="minorEastAsia" w:hAnsiTheme="minorHAnsi" w:cstheme="minorBidi"/>
          <w:noProof/>
          <w:szCs w:val="22"/>
          <w:lang w:eastAsia="en-NZ"/>
        </w:rPr>
        <w:tab/>
      </w:r>
      <w:r>
        <w:rPr>
          <w:noProof/>
        </w:rPr>
        <w:t>Exercise versus control</w:t>
      </w:r>
      <w:r>
        <w:rPr>
          <w:noProof/>
        </w:rPr>
        <w:tab/>
      </w:r>
      <w:r>
        <w:rPr>
          <w:noProof/>
        </w:rPr>
        <w:fldChar w:fldCharType="begin"/>
      </w:r>
      <w:r>
        <w:rPr>
          <w:noProof/>
        </w:rPr>
        <w:instrText xml:space="preserve"> PAGEREF _Toc403469632 \h </w:instrText>
      </w:r>
      <w:r>
        <w:rPr>
          <w:noProof/>
        </w:rPr>
      </w:r>
      <w:r>
        <w:rPr>
          <w:noProof/>
        </w:rPr>
        <w:fldChar w:fldCharType="separate"/>
      </w:r>
      <w:r w:rsidR="008A7DBA">
        <w:rPr>
          <w:noProof/>
        </w:rPr>
        <w:t>24</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5.4</w:t>
      </w:r>
      <w:r>
        <w:rPr>
          <w:rFonts w:asciiTheme="minorHAnsi" w:eastAsiaTheme="minorEastAsia" w:hAnsiTheme="minorHAnsi" w:cstheme="minorBidi"/>
          <w:noProof/>
          <w:szCs w:val="22"/>
          <w:lang w:eastAsia="en-NZ"/>
        </w:rPr>
        <w:tab/>
      </w:r>
      <w:r>
        <w:rPr>
          <w:noProof/>
        </w:rPr>
        <w:t>Dietary interventions for gestational diabetes</w:t>
      </w:r>
      <w:r>
        <w:rPr>
          <w:noProof/>
        </w:rPr>
        <w:tab/>
      </w:r>
      <w:r>
        <w:rPr>
          <w:noProof/>
        </w:rPr>
        <w:fldChar w:fldCharType="begin"/>
      </w:r>
      <w:r>
        <w:rPr>
          <w:noProof/>
        </w:rPr>
        <w:instrText xml:space="preserve"> PAGEREF _Toc403469633 \h </w:instrText>
      </w:r>
      <w:r>
        <w:rPr>
          <w:noProof/>
        </w:rPr>
      </w:r>
      <w:r>
        <w:rPr>
          <w:noProof/>
        </w:rPr>
        <w:fldChar w:fldCharType="separate"/>
      </w:r>
      <w:r w:rsidR="008A7DBA">
        <w:rPr>
          <w:noProof/>
        </w:rPr>
        <w:t>25</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5.5</w:t>
      </w:r>
      <w:r>
        <w:rPr>
          <w:rFonts w:asciiTheme="minorHAnsi" w:eastAsiaTheme="minorEastAsia" w:hAnsiTheme="minorHAnsi" w:cstheme="minorBidi"/>
          <w:noProof/>
          <w:szCs w:val="22"/>
          <w:lang w:eastAsia="en-NZ"/>
        </w:rPr>
        <w:tab/>
      </w:r>
      <w:r>
        <w:rPr>
          <w:noProof/>
        </w:rPr>
        <w:t>Oral hypoglycaemics and insulin</w:t>
      </w:r>
      <w:r>
        <w:rPr>
          <w:noProof/>
        </w:rPr>
        <w:tab/>
      </w:r>
      <w:r>
        <w:rPr>
          <w:noProof/>
        </w:rPr>
        <w:fldChar w:fldCharType="begin"/>
      </w:r>
      <w:r>
        <w:rPr>
          <w:noProof/>
        </w:rPr>
        <w:instrText xml:space="preserve"> PAGEREF _Toc403469634 \h </w:instrText>
      </w:r>
      <w:r>
        <w:rPr>
          <w:noProof/>
        </w:rPr>
      </w:r>
      <w:r>
        <w:rPr>
          <w:noProof/>
        </w:rPr>
        <w:fldChar w:fldCharType="separate"/>
      </w:r>
      <w:r w:rsidR="008A7DBA">
        <w:rPr>
          <w:noProof/>
        </w:rPr>
        <w:t>26</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5.6</w:t>
      </w:r>
      <w:r>
        <w:rPr>
          <w:rFonts w:asciiTheme="minorHAnsi" w:eastAsiaTheme="minorEastAsia" w:hAnsiTheme="minorHAnsi" w:cstheme="minorBidi"/>
          <w:noProof/>
          <w:szCs w:val="22"/>
          <w:lang w:eastAsia="en-NZ"/>
        </w:rPr>
        <w:tab/>
      </w:r>
      <w:r>
        <w:rPr>
          <w:noProof/>
        </w:rPr>
        <w:t>Treatment targets for managing glycaemic control in women with gestational diabetes</w:t>
      </w:r>
      <w:r>
        <w:rPr>
          <w:noProof/>
        </w:rPr>
        <w:tab/>
      </w:r>
      <w:r>
        <w:rPr>
          <w:noProof/>
        </w:rPr>
        <w:fldChar w:fldCharType="begin"/>
      </w:r>
      <w:r>
        <w:rPr>
          <w:noProof/>
        </w:rPr>
        <w:instrText xml:space="preserve"> PAGEREF _Toc403469635 \h </w:instrText>
      </w:r>
      <w:r>
        <w:rPr>
          <w:noProof/>
        </w:rPr>
      </w:r>
      <w:r>
        <w:rPr>
          <w:noProof/>
        </w:rPr>
        <w:fldChar w:fldCharType="separate"/>
      </w:r>
      <w:r w:rsidR="008A7DBA">
        <w:rPr>
          <w:noProof/>
        </w:rPr>
        <w:t>28</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5.7</w:t>
      </w:r>
      <w:r>
        <w:rPr>
          <w:rFonts w:asciiTheme="minorHAnsi" w:eastAsiaTheme="minorEastAsia" w:hAnsiTheme="minorHAnsi" w:cstheme="minorBidi"/>
          <w:noProof/>
          <w:szCs w:val="22"/>
          <w:lang w:eastAsia="en-NZ"/>
        </w:rPr>
        <w:tab/>
      </w:r>
      <w:r>
        <w:rPr>
          <w:noProof/>
        </w:rPr>
        <w:t>Ultrasound guided treatment for the management of gestational diabetes</w:t>
      </w:r>
      <w:r>
        <w:rPr>
          <w:noProof/>
        </w:rPr>
        <w:tab/>
      </w:r>
      <w:r>
        <w:rPr>
          <w:noProof/>
        </w:rPr>
        <w:fldChar w:fldCharType="begin"/>
      </w:r>
      <w:r>
        <w:rPr>
          <w:noProof/>
        </w:rPr>
        <w:instrText xml:space="preserve"> PAGEREF _Toc403469636 \h </w:instrText>
      </w:r>
      <w:r>
        <w:rPr>
          <w:noProof/>
        </w:rPr>
      </w:r>
      <w:r>
        <w:rPr>
          <w:noProof/>
        </w:rPr>
        <w:fldChar w:fldCharType="separate"/>
      </w:r>
      <w:r w:rsidR="008A7DBA">
        <w:rPr>
          <w:noProof/>
        </w:rPr>
        <w:t>30</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5.8</w:t>
      </w:r>
      <w:r>
        <w:rPr>
          <w:rFonts w:asciiTheme="minorHAnsi" w:eastAsiaTheme="minorEastAsia" w:hAnsiTheme="minorHAnsi" w:cstheme="minorBidi"/>
          <w:noProof/>
          <w:szCs w:val="22"/>
          <w:lang w:eastAsia="en-NZ"/>
        </w:rPr>
        <w:tab/>
      </w:r>
      <w:r>
        <w:rPr>
          <w:noProof/>
        </w:rPr>
        <w:t>Overall evidence to recommendations for treatment of women with gestational diabetes</w:t>
      </w:r>
      <w:r>
        <w:rPr>
          <w:noProof/>
        </w:rPr>
        <w:tab/>
      </w:r>
      <w:r>
        <w:rPr>
          <w:noProof/>
        </w:rPr>
        <w:fldChar w:fldCharType="begin"/>
      </w:r>
      <w:r>
        <w:rPr>
          <w:noProof/>
        </w:rPr>
        <w:instrText xml:space="preserve"> PAGEREF _Toc403469637 \h </w:instrText>
      </w:r>
      <w:r>
        <w:rPr>
          <w:noProof/>
        </w:rPr>
      </w:r>
      <w:r>
        <w:rPr>
          <w:noProof/>
        </w:rPr>
        <w:fldChar w:fldCharType="separate"/>
      </w:r>
      <w:r w:rsidR="008A7DBA">
        <w:rPr>
          <w:noProof/>
        </w:rPr>
        <w:t>31</w:t>
      </w:r>
      <w:r>
        <w:rPr>
          <w:noProof/>
        </w:rPr>
        <w:fldChar w:fldCharType="end"/>
      </w:r>
    </w:p>
    <w:p w:rsidR="00D17509" w:rsidRDefault="00D17509">
      <w:pPr>
        <w:pStyle w:val="TOC1"/>
        <w:rPr>
          <w:rFonts w:asciiTheme="minorHAnsi" w:eastAsiaTheme="minorEastAsia" w:hAnsiTheme="minorHAnsi" w:cstheme="minorBidi"/>
          <w:b w:val="0"/>
          <w:noProof/>
          <w:szCs w:val="22"/>
          <w:lang w:eastAsia="en-NZ"/>
        </w:rPr>
      </w:pPr>
      <w:r>
        <w:rPr>
          <w:noProof/>
        </w:rPr>
        <w:t>Chapter 6: Timing of birth in women with gestational diabetes</w:t>
      </w:r>
      <w:r>
        <w:rPr>
          <w:noProof/>
        </w:rPr>
        <w:tab/>
      </w:r>
      <w:r>
        <w:rPr>
          <w:noProof/>
        </w:rPr>
        <w:fldChar w:fldCharType="begin"/>
      </w:r>
      <w:r>
        <w:rPr>
          <w:noProof/>
        </w:rPr>
        <w:instrText xml:space="preserve"> PAGEREF _Toc403469638 \h </w:instrText>
      </w:r>
      <w:r>
        <w:rPr>
          <w:noProof/>
        </w:rPr>
      </w:r>
      <w:r>
        <w:rPr>
          <w:noProof/>
        </w:rPr>
        <w:fldChar w:fldCharType="separate"/>
      </w:r>
      <w:r w:rsidR="008A7DBA">
        <w:rPr>
          <w:noProof/>
        </w:rPr>
        <w:t>33</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6.1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_Toc403469639 \h </w:instrText>
      </w:r>
      <w:r>
        <w:rPr>
          <w:noProof/>
        </w:rPr>
      </w:r>
      <w:r>
        <w:rPr>
          <w:noProof/>
        </w:rPr>
        <w:fldChar w:fldCharType="separate"/>
      </w:r>
      <w:r w:rsidR="008A7DBA">
        <w:rPr>
          <w:noProof/>
        </w:rPr>
        <w:t>33</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6.2</w:t>
      </w:r>
      <w:r>
        <w:rPr>
          <w:rFonts w:asciiTheme="minorHAnsi" w:eastAsiaTheme="minorEastAsia" w:hAnsiTheme="minorHAnsi" w:cstheme="minorBidi"/>
          <w:noProof/>
          <w:szCs w:val="22"/>
          <w:lang w:eastAsia="en-NZ"/>
        </w:rPr>
        <w:tab/>
      </w:r>
      <w:r>
        <w:rPr>
          <w:noProof/>
        </w:rPr>
        <w:t>Mode of birth for women with gestational diabetes</w:t>
      </w:r>
      <w:r>
        <w:rPr>
          <w:noProof/>
        </w:rPr>
        <w:tab/>
      </w:r>
      <w:r>
        <w:rPr>
          <w:noProof/>
        </w:rPr>
        <w:fldChar w:fldCharType="begin"/>
      </w:r>
      <w:r>
        <w:rPr>
          <w:noProof/>
        </w:rPr>
        <w:instrText xml:space="preserve"> PAGEREF _Toc403469640 \h </w:instrText>
      </w:r>
      <w:r>
        <w:rPr>
          <w:noProof/>
        </w:rPr>
      </w:r>
      <w:r>
        <w:rPr>
          <w:noProof/>
        </w:rPr>
        <w:fldChar w:fldCharType="separate"/>
      </w:r>
      <w:r w:rsidR="008A7DBA">
        <w:rPr>
          <w:noProof/>
        </w:rPr>
        <w:t>33</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6.3</w:t>
      </w:r>
      <w:r>
        <w:rPr>
          <w:rFonts w:asciiTheme="minorHAnsi" w:eastAsiaTheme="minorEastAsia" w:hAnsiTheme="minorHAnsi" w:cstheme="minorBidi"/>
          <w:noProof/>
          <w:szCs w:val="22"/>
          <w:lang w:eastAsia="en-NZ"/>
        </w:rPr>
        <w:tab/>
      </w:r>
      <w:r>
        <w:rPr>
          <w:noProof/>
        </w:rPr>
        <w:t>Timing of birth for women with gestational diabetes</w:t>
      </w:r>
      <w:r>
        <w:rPr>
          <w:noProof/>
        </w:rPr>
        <w:tab/>
      </w:r>
      <w:r>
        <w:rPr>
          <w:noProof/>
        </w:rPr>
        <w:fldChar w:fldCharType="begin"/>
      </w:r>
      <w:r>
        <w:rPr>
          <w:noProof/>
        </w:rPr>
        <w:instrText xml:space="preserve"> PAGEREF _Toc403469641 \h </w:instrText>
      </w:r>
      <w:r>
        <w:rPr>
          <w:noProof/>
        </w:rPr>
      </w:r>
      <w:r>
        <w:rPr>
          <w:noProof/>
        </w:rPr>
        <w:fldChar w:fldCharType="separate"/>
      </w:r>
      <w:r w:rsidR="008A7DBA">
        <w:rPr>
          <w:noProof/>
        </w:rPr>
        <w:t>34</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6.4</w:t>
      </w:r>
      <w:r>
        <w:rPr>
          <w:rFonts w:asciiTheme="minorHAnsi" w:eastAsiaTheme="minorEastAsia" w:hAnsiTheme="minorHAnsi" w:cstheme="minorBidi"/>
          <w:noProof/>
          <w:szCs w:val="22"/>
          <w:lang w:eastAsia="en-NZ"/>
        </w:rPr>
        <w:tab/>
      </w:r>
      <w:r>
        <w:rPr>
          <w:noProof/>
        </w:rPr>
        <w:t>Evidence to recommendations</w:t>
      </w:r>
      <w:r>
        <w:rPr>
          <w:noProof/>
        </w:rPr>
        <w:tab/>
      </w:r>
      <w:r>
        <w:rPr>
          <w:noProof/>
        </w:rPr>
        <w:fldChar w:fldCharType="begin"/>
      </w:r>
      <w:r>
        <w:rPr>
          <w:noProof/>
        </w:rPr>
        <w:instrText xml:space="preserve"> PAGEREF _Toc403469642 \h </w:instrText>
      </w:r>
      <w:r>
        <w:rPr>
          <w:noProof/>
        </w:rPr>
      </w:r>
      <w:r>
        <w:rPr>
          <w:noProof/>
        </w:rPr>
        <w:fldChar w:fldCharType="separate"/>
      </w:r>
      <w:r w:rsidR="008A7DBA">
        <w:rPr>
          <w:noProof/>
        </w:rPr>
        <w:t>35</w:t>
      </w:r>
      <w:r>
        <w:rPr>
          <w:noProof/>
        </w:rPr>
        <w:fldChar w:fldCharType="end"/>
      </w:r>
    </w:p>
    <w:p w:rsidR="00D17509" w:rsidRDefault="00D17509">
      <w:pPr>
        <w:pStyle w:val="TOC1"/>
        <w:rPr>
          <w:rFonts w:asciiTheme="minorHAnsi" w:eastAsiaTheme="minorEastAsia" w:hAnsiTheme="minorHAnsi" w:cstheme="minorBidi"/>
          <w:b w:val="0"/>
          <w:noProof/>
          <w:szCs w:val="22"/>
          <w:lang w:eastAsia="en-NZ"/>
        </w:rPr>
      </w:pPr>
      <w:r>
        <w:rPr>
          <w:noProof/>
        </w:rPr>
        <w:t>Chapte</w:t>
      </w:r>
      <w:r w:rsidRPr="003E24D0">
        <w:rPr>
          <w:b w:val="0"/>
          <w:noProof/>
        </w:rPr>
        <w:t>r</w:t>
      </w:r>
      <w:r>
        <w:rPr>
          <w:noProof/>
        </w:rPr>
        <w:t xml:space="preserve"> 7: Immediate postpartum care for women and infants</w:t>
      </w:r>
      <w:r>
        <w:rPr>
          <w:noProof/>
        </w:rPr>
        <w:tab/>
      </w:r>
      <w:r>
        <w:rPr>
          <w:noProof/>
        </w:rPr>
        <w:fldChar w:fldCharType="begin"/>
      </w:r>
      <w:r>
        <w:rPr>
          <w:noProof/>
        </w:rPr>
        <w:instrText xml:space="preserve"> PAGEREF _Toc403469643 \h </w:instrText>
      </w:r>
      <w:r>
        <w:rPr>
          <w:noProof/>
        </w:rPr>
      </w:r>
      <w:r>
        <w:rPr>
          <w:noProof/>
        </w:rPr>
        <w:fldChar w:fldCharType="separate"/>
      </w:r>
      <w:r w:rsidR="008A7DBA">
        <w:rPr>
          <w:noProof/>
        </w:rPr>
        <w:t>36</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7.1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_Toc403469644 \h </w:instrText>
      </w:r>
      <w:r>
        <w:rPr>
          <w:noProof/>
        </w:rPr>
      </w:r>
      <w:r>
        <w:rPr>
          <w:noProof/>
        </w:rPr>
        <w:fldChar w:fldCharType="separate"/>
      </w:r>
      <w:r w:rsidR="008A7DBA">
        <w:rPr>
          <w:noProof/>
        </w:rPr>
        <w:t>36</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7.2</w:t>
      </w:r>
      <w:r>
        <w:rPr>
          <w:rFonts w:asciiTheme="minorHAnsi" w:eastAsiaTheme="minorEastAsia" w:hAnsiTheme="minorHAnsi" w:cstheme="minorBidi"/>
          <w:noProof/>
          <w:szCs w:val="22"/>
          <w:lang w:eastAsia="en-NZ"/>
        </w:rPr>
        <w:tab/>
      </w:r>
      <w:r>
        <w:rPr>
          <w:noProof/>
        </w:rPr>
        <w:t>Breastfeeding initiation</w:t>
      </w:r>
      <w:r>
        <w:rPr>
          <w:noProof/>
        </w:rPr>
        <w:tab/>
      </w:r>
      <w:r>
        <w:rPr>
          <w:noProof/>
        </w:rPr>
        <w:fldChar w:fldCharType="begin"/>
      </w:r>
      <w:r>
        <w:rPr>
          <w:noProof/>
        </w:rPr>
        <w:instrText xml:space="preserve"> PAGEREF _Toc403469645 \h </w:instrText>
      </w:r>
      <w:r>
        <w:rPr>
          <w:noProof/>
        </w:rPr>
      </w:r>
      <w:r>
        <w:rPr>
          <w:noProof/>
        </w:rPr>
        <w:fldChar w:fldCharType="separate"/>
      </w:r>
      <w:r w:rsidR="008A7DBA">
        <w:rPr>
          <w:noProof/>
        </w:rPr>
        <w:t>36</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7.3</w:t>
      </w:r>
      <w:r>
        <w:rPr>
          <w:rFonts w:asciiTheme="minorHAnsi" w:eastAsiaTheme="minorEastAsia" w:hAnsiTheme="minorHAnsi" w:cstheme="minorBidi"/>
          <w:noProof/>
          <w:szCs w:val="22"/>
          <w:lang w:eastAsia="en-NZ"/>
        </w:rPr>
        <w:tab/>
      </w:r>
      <w:r>
        <w:rPr>
          <w:noProof/>
        </w:rPr>
        <w:t>Monitoring of neonatal blood glucose levels postpartum</w:t>
      </w:r>
      <w:r>
        <w:rPr>
          <w:noProof/>
        </w:rPr>
        <w:tab/>
      </w:r>
      <w:r>
        <w:rPr>
          <w:noProof/>
        </w:rPr>
        <w:fldChar w:fldCharType="begin"/>
      </w:r>
      <w:r>
        <w:rPr>
          <w:noProof/>
        </w:rPr>
        <w:instrText xml:space="preserve"> PAGEREF _Toc403469646 \h </w:instrText>
      </w:r>
      <w:r>
        <w:rPr>
          <w:noProof/>
        </w:rPr>
      </w:r>
      <w:r>
        <w:rPr>
          <w:noProof/>
        </w:rPr>
        <w:fldChar w:fldCharType="separate"/>
      </w:r>
      <w:r w:rsidR="008A7DBA">
        <w:rPr>
          <w:noProof/>
        </w:rPr>
        <w:t>36</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7.4</w:t>
      </w:r>
      <w:r>
        <w:rPr>
          <w:rFonts w:asciiTheme="minorHAnsi" w:eastAsiaTheme="minorEastAsia" w:hAnsiTheme="minorHAnsi" w:cstheme="minorBidi"/>
          <w:noProof/>
          <w:szCs w:val="22"/>
          <w:lang w:eastAsia="en-NZ"/>
        </w:rPr>
        <w:tab/>
      </w:r>
      <w:r>
        <w:rPr>
          <w:noProof/>
        </w:rPr>
        <w:t>Monitoring of maternal blood glucose levels postpartum</w:t>
      </w:r>
      <w:r>
        <w:rPr>
          <w:noProof/>
        </w:rPr>
        <w:tab/>
      </w:r>
      <w:r>
        <w:rPr>
          <w:noProof/>
        </w:rPr>
        <w:fldChar w:fldCharType="begin"/>
      </w:r>
      <w:r>
        <w:rPr>
          <w:noProof/>
        </w:rPr>
        <w:instrText xml:space="preserve"> PAGEREF _Toc403469647 \h </w:instrText>
      </w:r>
      <w:r>
        <w:rPr>
          <w:noProof/>
        </w:rPr>
      </w:r>
      <w:r>
        <w:rPr>
          <w:noProof/>
        </w:rPr>
        <w:fldChar w:fldCharType="separate"/>
      </w:r>
      <w:r w:rsidR="008A7DBA">
        <w:rPr>
          <w:noProof/>
        </w:rPr>
        <w:t>37</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7.5</w:t>
      </w:r>
      <w:r>
        <w:rPr>
          <w:rFonts w:asciiTheme="minorHAnsi" w:eastAsiaTheme="minorEastAsia" w:hAnsiTheme="minorHAnsi" w:cstheme="minorBidi"/>
          <w:noProof/>
          <w:szCs w:val="22"/>
          <w:lang w:eastAsia="en-NZ"/>
        </w:rPr>
        <w:tab/>
      </w:r>
      <w:r>
        <w:rPr>
          <w:noProof/>
        </w:rPr>
        <w:t>Diabetic medication – oral hypoglycaemics and insulin</w:t>
      </w:r>
      <w:r>
        <w:rPr>
          <w:noProof/>
        </w:rPr>
        <w:tab/>
      </w:r>
      <w:r>
        <w:rPr>
          <w:noProof/>
        </w:rPr>
        <w:fldChar w:fldCharType="begin"/>
      </w:r>
      <w:r>
        <w:rPr>
          <w:noProof/>
        </w:rPr>
        <w:instrText xml:space="preserve"> PAGEREF _Toc403469648 \h </w:instrText>
      </w:r>
      <w:r>
        <w:rPr>
          <w:noProof/>
        </w:rPr>
      </w:r>
      <w:r>
        <w:rPr>
          <w:noProof/>
        </w:rPr>
        <w:fldChar w:fldCharType="separate"/>
      </w:r>
      <w:r w:rsidR="008A7DBA">
        <w:rPr>
          <w:noProof/>
        </w:rPr>
        <w:t>37</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7.6</w:t>
      </w:r>
      <w:r>
        <w:rPr>
          <w:rFonts w:asciiTheme="minorHAnsi" w:eastAsiaTheme="minorEastAsia" w:hAnsiTheme="minorHAnsi" w:cstheme="minorBidi"/>
          <w:noProof/>
          <w:szCs w:val="22"/>
          <w:lang w:eastAsia="en-NZ"/>
        </w:rPr>
        <w:tab/>
      </w:r>
      <w:r>
        <w:rPr>
          <w:noProof/>
        </w:rPr>
        <w:t>Maternal diet</w:t>
      </w:r>
      <w:r>
        <w:rPr>
          <w:noProof/>
        </w:rPr>
        <w:tab/>
      </w:r>
      <w:r>
        <w:rPr>
          <w:noProof/>
        </w:rPr>
        <w:fldChar w:fldCharType="begin"/>
      </w:r>
      <w:r>
        <w:rPr>
          <w:noProof/>
        </w:rPr>
        <w:instrText xml:space="preserve"> PAGEREF _Toc403469649 \h </w:instrText>
      </w:r>
      <w:r>
        <w:rPr>
          <w:noProof/>
        </w:rPr>
      </w:r>
      <w:r>
        <w:rPr>
          <w:noProof/>
        </w:rPr>
        <w:fldChar w:fldCharType="separate"/>
      </w:r>
      <w:r w:rsidR="008A7DBA">
        <w:rPr>
          <w:noProof/>
        </w:rPr>
        <w:t>37</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7.7</w:t>
      </w:r>
      <w:r>
        <w:rPr>
          <w:rFonts w:asciiTheme="minorHAnsi" w:eastAsiaTheme="minorEastAsia" w:hAnsiTheme="minorHAnsi" w:cstheme="minorBidi"/>
          <w:noProof/>
          <w:szCs w:val="22"/>
          <w:lang w:eastAsia="en-NZ"/>
        </w:rPr>
        <w:tab/>
      </w:r>
      <w:r>
        <w:rPr>
          <w:noProof/>
        </w:rPr>
        <w:t>Evidence to recommendations</w:t>
      </w:r>
      <w:r>
        <w:rPr>
          <w:noProof/>
        </w:rPr>
        <w:tab/>
      </w:r>
      <w:r>
        <w:rPr>
          <w:noProof/>
        </w:rPr>
        <w:fldChar w:fldCharType="begin"/>
      </w:r>
      <w:r>
        <w:rPr>
          <w:noProof/>
        </w:rPr>
        <w:instrText xml:space="preserve"> PAGEREF _Toc403469650 \h </w:instrText>
      </w:r>
      <w:r>
        <w:rPr>
          <w:noProof/>
        </w:rPr>
      </w:r>
      <w:r>
        <w:rPr>
          <w:noProof/>
        </w:rPr>
        <w:fldChar w:fldCharType="separate"/>
      </w:r>
      <w:r w:rsidR="008A7DBA">
        <w:rPr>
          <w:noProof/>
        </w:rPr>
        <w:t>37</w:t>
      </w:r>
      <w:r>
        <w:rPr>
          <w:noProof/>
        </w:rPr>
        <w:fldChar w:fldCharType="end"/>
      </w:r>
    </w:p>
    <w:p w:rsidR="00D17509" w:rsidRDefault="00D17509">
      <w:pPr>
        <w:pStyle w:val="TOC1"/>
        <w:rPr>
          <w:rFonts w:asciiTheme="minorHAnsi" w:eastAsiaTheme="minorEastAsia" w:hAnsiTheme="minorHAnsi" w:cstheme="minorBidi"/>
          <w:b w:val="0"/>
          <w:noProof/>
          <w:szCs w:val="22"/>
          <w:lang w:eastAsia="en-NZ"/>
        </w:rPr>
      </w:pPr>
      <w:r>
        <w:rPr>
          <w:noProof/>
        </w:rPr>
        <w:t>Chapter 8: Information women with gestational diabetes should receive after birth</w:t>
      </w:r>
      <w:r>
        <w:rPr>
          <w:noProof/>
        </w:rPr>
        <w:tab/>
      </w:r>
      <w:r>
        <w:rPr>
          <w:noProof/>
        </w:rPr>
        <w:fldChar w:fldCharType="begin"/>
      </w:r>
      <w:r>
        <w:rPr>
          <w:noProof/>
        </w:rPr>
        <w:instrText xml:space="preserve"> PAGEREF _Toc403469651 \h </w:instrText>
      </w:r>
      <w:r>
        <w:rPr>
          <w:noProof/>
        </w:rPr>
      </w:r>
      <w:r>
        <w:rPr>
          <w:noProof/>
        </w:rPr>
        <w:fldChar w:fldCharType="separate"/>
      </w:r>
      <w:r w:rsidR="008A7DBA">
        <w:rPr>
          <w:noProof/>
        </w:rPr>
        <w:t>39</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8.1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_Toc403469652 \h </w:instrText>
      </w:r>
      <w:r>
        <w:rPr>
          <w:noProof/>
        </w:rPr>
      </w:r>
      <w:r>
        <w:rPr>
          <w:noProof/>
        </w:rPr>
        <w:fldChar w:fldCharType="separate"/>
      </w:r>
      <w:r w:rsidR="008A7DBA">
        <w:rPr>
          <w:noProof/>
        </w:rPr>
        <w:t>39</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8.2</w:t>
      </w:r>
      <w:r>
        <w:rPr>
          <w:rFonts w:asciiTheme="minorHAnsi" w:eastAsiaTheme="minorEastAsia" w:hAnsiTheme="minorHAnsi" w:cstheme="minorBidi"/>
          <w:noProof/>
          <w:szCs w:val="22"/>
          <w:lang w:eastAsia="en-NZ"/>
        </w:rPr>
        <w:tab/>
      </w:r>
      <w:r>
        <w:rPr>
          <w:noProof/>
        </w:rPr>
        <w:t>Breastfeeding</w:t>
      </w:r>
      <w:r>
        <w:rPr>
          <w:noProof/>
        </w:rPr>
        <w:tab/>
      </w:r>
      <w:r>
        <w:rPr>
          <w:noProof/>
        </w:rPr>
        <w:fldChar w:fldCharType="begin"/>
      </w:r>
      <w:r>
        <w:rPr>
          <w:noProof/>
        </w:rPr>
        <w:instrText xml:space="preserve"> PAGEREF _Toc403469653 \h </w:instrText>
      </w:r>
      <w:r>
        <w:rPr>
          <w:noProof/>
        </w:rPr>
      </w:r>
      <w:r>
        <w:rPr>
          <w:noProof/>
        </w:rPr>
        <w:fldChar w:fldCharType="separate"/>
      </w:r>
      <w:r w:rsidR="008A7DBA">
        <w:rPr>
          <w:noProof/>
        </w:rPr>
        <w:t>39</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8.3</w:t>
      </w:r>
      <w:r>
        <w:rPr>
          <w:rFonts w:asciiTheme="minorHAnsi" w:eastAsiaTheme="minorEastAsia" w:hAnsiTheme="minorHAnsi" w:cstheme="minorBidi"/>
          <w:noProof/>
          <w:szCs w:val="22"/>
          <w:lang w:eastAsia="en-NZ"/>
        </w:rPr>
        <w:tab/>
      </w:r>
      <w:r>
        <w:rPr>
          <w:noProof/>
        </w:rPr>
        <w:t>Contraception and family planning</w:t>
      </w:r>
      <w:r>
        <w:rPr>
          <w:noProof/>
        </w:rPr>
        <w:tab/>
      </w:r>
      <w:r>
        <w:rPr>
          <w:noProof/>
        </w:rPr>
        <w:fldChar w:fldCharType="begin"/>
      </w:r>
      <w:r>
        <w:rPr>
          <w:noProof/>
        </w:rPr>
        <w:instrText xml:space="preserve"> PAGEREF _Toc403469654 \h </w:instrText>
      </w:r>
      <w:r>
        <w:rPr>
          <w:noProof/>
        </w:rPr>
      </w:r>
      <w:r>
        <w:rPr>
          <w:noProof/>
        </w:rPr>
        <w:fldChar w:fldCharType="separate"/>
      </w:r>
      <w:r w:rsidR="008A7DBA">
        <w:rPr>
          <w:noProof/>
        </w:rPr>
        <w:t>41</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8.4</w:t>
      </w:r>
      <w:r>
        <w:rPr>
          <w:rFonts w:asciiTheme="minorHAnsi" w:eastAsiaTheme="minorEastAsia" w:hAnsiTheme="minorHAnsi" w:cstheme="minorBidi"/>
          <w:noProof/>
          <w:szCs w:val="22"/>
          <w:lang w:eastAsia="en-NZ"/>
        </w:rPr>
        <w:tab/>
      </w:r>
      <w:r>
        <w:rPr>
          <w:noProof/>
        </w:rPr>
        <w:t>Lifestyle and diet</w:t>
      </w:r>
      <w:r>
        <w:rPr>
          <w:noProof/>
        </w:rPr>
        <w:tab/>
      </w:r>
      <w:r>
        <w:rPr>
          <w:noProof/>
        </w:rPr>
        <w:fldChar w:fldCharType="begin"/>
      </w:r>
      <w:r>
        <w:rPr>
          <w:noProof/>
        </w:rPr>
        <w:instrText xml:space="preserve"> PAGEREF _Toc403469655 \h </w:instrText>
      </w:r>
      <w:r>
        <w:rPr>
          <w:noProof/>
        </w:rPr>
      </w:r>
      <w:r>
        <w:rPr>
          <w:noProof/>
        </w:rPr>
        <w:fldChar w:fldCharType="separate"/>
      </w:r>
      <w:r w:rsidR="008A7DBA">
        <w:rPr>
          <w:noProof/>
        </w:rPr>
        <w:t>41</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8.5</w:t>
      </w:r>
      <w:r>
        <w:rPr>
          <w:rFonts w:asciiTheme="minorHAnsi" w:eastAsiaTheme="minorEastAsia" w:hAnsiTheme="minorHAnsi" w:cstheme="minorBidi"/>
          <w:noProof/>
          <w:szCs w:val="22"/>
          <w:lang w:eastAsia="en-NZ"/>
        </w:rPr>
        <w:tab/>
      </w:r>
      <w:r>
        <w:rPr>
          <w:noProof/>
        </w:rPr>
        <w:t>Evidence to recommendations</w:t>
      </w:r>
      <w:r>
        <w:rPr>
          <w:noProof/>
        </w:rPr>
        <w:tab/>
      </w:r>
      <w:r>
        <w:rPr>
          <w:noProof/>
        </w:rPr>
        <w:fldChar w:fldCharType="begin"/>
      </w:r>
      <w:r>
        <w:rPr>
          <w:noProof/>
        </w:rPr>
        <w:instrText xml:space="preserve"> PAGEREF _Toc403469656 \h </w:instrText>
      </w:r>
      <w:r>
        <w:rPr>
          <w:noProof/>
        </w:rPr>
      </w:r>
      <w:r>
        <w:rPr>
          <w:noProof/>
        </w:rPr>
        <w:fldChar w:fldCharType="separate"/>
      </w:r>
      <w:r w:rsidR="008A7DBA">
        <w:rPr>
          <w:noProof/>
        </w:rPr>
        <w:t>42</w:t>
      </w:r>
      <w:r>
        <w:rPr>
          <w:noProof/>
        </w:rPr>
        <w:fldChar w:fldCharType="end"/>
      </w:r>
    </w:p>
    <w:p w:rsidR="00D17509" w:rsidRDefault="00D17509">
      <w:pPr>
        <w:pStyle w:val="TOC1"/>
        <w:rPr>
          <w:rFonts w:asciiTheme="minorHAnsi" w:eastAsiaTheme="minorEastAsia" w:hAnsiTheme="minorHAnsi" w:cstheme="minorBidi"/>
          <w:b w:val="0"/>
          <w:noProof/>
          <w:szCs w:val="22"/>
          <w:lang w:eastAsia="en-NZ"/>
        </w:rPr>
      </w:pPr>
      <w:r>
        <w:rPr>
          <w:noProof/>
        </w:rPr>
        <w:t>Chapter 9: Postpartum screening in women diagnosed with gestational diabetes</w:t>
      </w:r>
      <w:r>
        <w:rPr>
          <w:noProof/>
        </w:rPr>
        <w:tab/>
      </w:r>
      <w:r>
        <w:rPr>
          <w:noProof/>
        </w:rPr>
        <w:fldChar w:fldCharType="begin"/>
      </w:r>
      <w:r>
        <w:rPr>
          <w:noProof/>
        </w:rPr>
        <w:instrText xml:space="preserve"> PAGEREF _Toc403469657 \h </w:instrText>
      </w:r>
      <w:r>
        <w:rPr>
          <w:noProof/>
        </w:rPr>
      </w:r>
      <w:r>
        <w:rPr>
          <w:noProof/>
        </w:rPr>
        <w:fldChar w:fldCharType="separate"/>
      </w:r>
      <w:r w:rsidR="008A7DBA">
        <w:rPr>
          <w:noProof/>
        </w:rPr>
        <w:t>43</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9.1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_Toc403469658 \h </w:instrText>
      </w:r>
      <w:r>
        <w:rPr>
          <w:noProof/>
        </w:rPr>
      </w:r>
      <w:r>
        <w:rPr>
          <w:noProof/>
        </w:rPr>
        <w:fldChar w:fldCharType="separate"/>
      </w:r>
      <w:r w:rsidR="008A7DBA">
        <w:rPr>
          <w:noProof/>
        </w:rPr>
        <w:t>43</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9.2</w:t>
      </w:r>
      <w:r>
        <w:rPr>
          <w:rFonts w:asciiTheme="minorHAnsi" w:eastAsiaTheme="minorEastAsia" w:hAnsiTheme="minorHAnsi" w:cstheme="minorBidi"/>
          <w:noProof/>
          <w:szCs w:val="22"/>
          <w:lang w:eastAsia="en-NZ"/>
        </w:rPr>
        <w:tab/>
      </w:r>
      <w:r>
        <w:rPr>
          <w:noProof/>
        </w:rPr>
        <w:t>Systematic review evidence</w:t>
      </w:r>
      <w:r>
        <w:rPr>
          <w:noProof/>
        </w:rPr>
        <w:tab/>
      </w:r>
      <w:r>
        <w:rPr>
          <w:noProof/>
        </w:rPr>
        <w:fldChar w:fldCharType="begin"/>
      </w:r>
      <w:r>
        <w:rPr>
          <w:noProof/>
        </w:rPr>
        <w:instrText xml:space="preserve"> PAGEREF _Toc403469659 \h </w:instrText>
      </w:r>
      <w:r>
        <w:rPr>
          <w:noProof/>
        </w:rPr>
      </w:r>
      <w:r>
        <w:rPr>
          <w:noProof/>
        </w:rPr>
        <w:fldChar w:fldCharType="separate"/>
      </w:r>
      <w:r w:rsidR="008A7DBA">
        <w:rPr>
          <w:noProof/>
        </w:rPr>
        <w:t>43</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9.3</w:t>
      </w:r>
      <w:r>
        <w:rPr>
          <w:rFonts w:asciiTheme="minorHAnsi" w:eastAsiaTheme="minorEastAsia" w:hAnsiTheme="minorHAnsi" w:cstheme="minorBidi"/>
          <w:noProof/>
          <w:szCs w:val="22"/>
          <w:lang w:eastAsia="en-NZ"/>
        </w:rPr>
        <w:tab/>
      </w:r>
      <w:r>
        <w:rPr>
          <w:noProof/>
        </w:rPr>
        <w:t>Diagnostic cohort studies of HbA1c</w:t>
      </w:r>
      <w:r>
        <w:rPr>
          <w:noProof/>
        </w:rPr>
        <w:tab/>
      </w:r>
      <w:r>
        <w:rPr>
          <w:noProof/>
        </w:rPr>
        <w:fldChar w:fldCharType="begin"/>
      </w:r>
      <w:r>
        <w:rPr>
          <w:noProof/>
        </w:rPr>
        <w:instrText xml:space="preserve"> PAGEREF _Toc403469660 \h </w:instrText>
      </w:r>
      <w:r>
        <w:rPr>
          <w:noProof/>
        </w:rPr>
      </w:r>
      <w:r>
        <w:rPr>
          <w:noProof/>
        </w:rPr>
        <w:fldChar w:fldCharType="separate"/>
      </w:r>
      <w:r w:rsidR="008A7DBA">
        <w:rPr>
          <w:noProof/>
        </w:rPr>
        <w:t>44</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9.4</w:t>
      </w:r>
      <w:r>
        <w:rPr>
          <w:rFonts w:asciiTheme="minorHAnsi" w:eastAsiaTheme="minorEastAsia" w:hAnsiTheme="minorHAnsi" w:cstheme="minorBidi"/>
          <w:noProof/>
          <w:szCs w:val="22"/>
          <w:lang w:eastAsia="en-NZ"/>
        </w:rPr>
        <w:tab/>
      </w:r>
      <w:r>
        <w:rPr>
          <w:noProof/>
        </w:rPr>
        <w:t>Interventions to increase postpartum glucose screening in women who had gestational diabetes</w:t>
      </w:r>
      <w:r>
        <w:rPr>
          <w:noProof/>
        </w:rPr>
        <w:tab/>
      </w:r>
      <w:r>
        <w:rPr>
          <w:noProof/>
        </w:rPr>
        <w:fldChar w:fldCharType="begin"/>
      </w:r>
      <w:r>
        <w:rPr>
          <w:noProof/>
        </w:rPr>
        <w:instrText xml:space="preserve"> PAGEREF _Toc403469661 \h </w:instrText>
      </w:r>
      <w:r>
        <w:rPr>
          <w:noProof/>
        </w:rPr>
      </w:r>
      <w:r>
        <w:rPr>
          <w:noProof/>
        </w:rPr>
        <w:fldChar w:fldCharType="separate"/>
      </w:r>
      <w:r w:rsidR="008A7DBA">
        <w:rPr>
          <w:noProof/>
        </w:rPr>
        <w:t>44</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9.5</w:t>
      </w:r>
      <w:r>
        <w:rPr>
          <w:rFonts w:asciiTheme="minorHAnsi" w:eastAsiaTheme="minorEastAsia" w:hAnsiTheme="minorHAnsi" w:cstheme="minorBidi"/>
          <w:noProof/>
          <w:szCs w:val="22"/>
          <w:lang w:eastAsia="en-NZ"/>
        </w:rPr>
        <w:tab/>
      </w:r>
      <w:r>
        <w:rPr>
          <w:noProof/>
        </w:rPr>
        <w:t>Evidence to recommendations</w:t>
      </w:r>
      <w:r>
        <w:rPr>
          <w:noProof/>
        </w:rPr>
        <w:tab/>
      </w:r>
      <w:r>
        <w:rPr>
          <w:noProof/>
        </w:rPr>
        <w:fldChar w:fldCharType="begin"/>
      </w:r>
      <w:r>
        <w:rPr>
          <w:noProof/>
        </w:rPr>
        <w:instrText xml:space="preserve"> PAGEREF _Toc403469662 \h </w:instrText>
      </w:r>
      <w:r>
        <w:rPr>
          <w:noProof/>
        </w:rPr>
      </w:r>
      <w:r>
        <w:rPr>
          <w:noProof/>
        </w:rPr>
        <w:fldChar w:fldCharType="separate"/>
      </w:r>
      <w:r w:rsidR="008A7DBA">
        <w:rPr>
          <w:noProof/>
        </w:rPr>
        <w:t>46</w:t>
      </w:r>
      <w:r>
        <w:rPr>
          <w:noProof/>
        </w:rPr>
        <w:fldChar w:fldCharType="end"/>
      </w:r>
    </w:p>
    <w:p w:rsidR="00D17509" w:rsidRDefault="00D17509" w:rsidP="00D17509">
      <w:pPr>
        <w:pStyle w:val="TOC1"/>
        <w:keepNext/>
        <w:rPr>
          <w:rFonts w:asciiTheme="minorHAnsi" w:eastAsiaTheme="minorEastAsia" w:hAnsiTheme="minorHAnsi" w:cstheme="minorBidi"/>
          <w:b w:val="0"/>
          <w:noProof/>
          <w:szCs w:val="22"/>
          <w:lang w:eastAsia="en-NZ"/>
        </w:rPr>
      </w:pPr>
      <w:r>
        <w:rPr>
          <w:noProof/>
        </w:rPr>
        <w:lastRenderedPageBreak/>
        <w:t>Chapter 10: Type 2 diabetes in women diagnosed with gestational diabetes</w:t>
      </w:r>
      <w:r>
        <w:rPr>
          <w:noProof/>
        </w:rPr>
        <w:tab/>
      </w:r>
      <w:r>
        <w:rPr>
          <w:noProof/>
        </w:rPr>
        <w:fldChar w:fldCharType="begin"/>
      </w:r>
      <w:r>
        <w:rPr>
          <w:noProof/>
        </w:rPr>
        <w:instrText xml:space="preserve"> PAGEREF _Toc403469663 \h </w:instrText>
      </w:r>
      <w:r>
        <w:rPr>
          <w:noProof/>
        </w:rPr>
      </w:r>
      <w:r>
        <w:rPr>
          <w:noProof/>
        </w:rPr>
        <w:fldChar w:fldCharType="separate"/>
      </w:r>
      <w:r w:rsidR="008A7DBA">
        <w:rPr>
          <w:noProof/>
        </w:rPr>
        <w:t>48</w:t>
      </w:r>
      <w:r>
        <w:rPr>
          <w:noProof/>
        </w:rPr>
        <w:fldChar w:fldCharType="end"/>
      </w:r>
    </w:p>
    <w:p w:rsidR="00D17509" w:rsidRDefault="00D17509" w:rsidP="00D17509">
      <w:pPr>
        <w:pStyle w:val="TOC2"/>
        <w:keepNext/>
        <w:rPr>
          <w:rFonts w:asciiTheme="minorHAnsi" w:eastAsiaTheme="minorEastAsia" w:hAnsiTheme="minorHAnsi" w:cstheme="minorBidi"/>
          <w:noProof/>
          <w:szCs w:val="22"/>
          <w:lang w:eastAsia="en-NZ"/>
        </w:rPr>
      </w:pPr>
      <w:r>
        <w:rPr>
          <w:noProof/>
        </w:rPr>
        <w:t>10.1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_Toc403469664 \h </w:instrText>
      </w:r>
      <w:r>
        <w:rPr>
          <w:noProof/>
        </w:rPr>
      </w:r>
      <w:r>
        <w:rPr>
          <w:noProof/>
        </w:rPr>
        <w:fldChar w:fldCharType="separate"/>
      </w:r>
      <w:r w:rsidR="008A7DBA">
        <w:rPr>
          <w:noProof/>
        </w:rPr>
        <w:t>48</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10.2</w:t>
      </w:r>
      <w:r>
        <w:rPr>
          <w:rFonts w:asciiTheme="minorHAnsi" w:eastAsiaTheme="minorEastAsia" w:hAnsiTheme="minorHAnsi" w:cstheme="minorBidi"/>
          <w:noProof/>
          <w:szCs w:val="22"/>
          <w:lang w:eastAsia="en-NZ"/>
        </w:rPr>
        <w:tab/>
      </w:r>
      <w:r>
        <w:rPr>
          <w:noProof/>
        </w:rPr>
        <w:t>Prevalence of type 2 diabetes in women diagnosed with gestational diabetes</w:t>
      </w:r>
      <w:r>
        <w:rPr>
          <w:noProof/>
        </w:rPr>
        <w:tab/>
      </w:r>
      <w:r>
        <w:rPr>
          <w:noProof/>
        </w:rPr>
        <w:fldChar w:fldCharType="begin"/>
      </w:r>
      <w:r>
        <w:rPr>
          <w:noProof/>
        </w:rPr>
        <w:instrText xml:space="preserve"> PAGEREF _Toc403469665 \h </w:instrText>
      </w:r>
      <w:r>
        <w:rPr>
          <w:noProof/>
        </w:rPr>
      </w:r>
      <w:r>
        <w:rPr>
          <w:noProof/>
        </w:rPr>
        <w:fldChar w:fldCharType="separate"/>
      </w:r>
      <w:r w:rsidR="008A7DBA">
        <w:rPr>
          <w:noProof/>
        </w:rPr>
        <w:t>48</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10.3</w:t>
      </w:r>
      <w:r>
        <w:rPr>
          <w:rFonts w:asciiTheme="minorHAnsi" w:eastAsiaTheme="minorEastAsia" w:hAnsiTheme="minorHAnsi" w:cstheme="minorBidi"/>
          <w:noProof/>
          <w:szCs w:val="22"/>
          <w:lang w:eastAsia="en-NZ"/>
        </w:rPr>
        <w:tab/>
      </w:r>
      <w:r>
        <w:rPr>
          <w:noProof/>
        </w:rPr>
        <w:t>Prevalence of type 2 diabetes in early postpartum period (5–16 weeks)</w:t>
      </w:r>
      <w:r>
        <w:rPr>
          <w:noProof/>
        </w:rPr>
        <w:tab/>
      </w:r>
      <w:r>
        <w:rPr>
          <w:noProof/>
        </w:rPr>
        <w:fldChar w:fldCharType="begin"/>
      </w:r>
      <w:r>
        <w:rPr>
          <w:noProof/>
        </w:rPr>
        <w:instrText xml:space="preserve"> PAGEREF _Toc403469666 \h </w:instrText>
      </w:r>
      <w:r>
        <w:rPr>
          <w:noProof/>
        </w:rPr>
      </w:r>
      <w:r>
        <w:rPr>
          <w:noProof/>
        </w:rPr>
        <w:fldChar w:fldCharType="separate"/>
      </w:r>
      <w:r w:rsidR="008A7DBA">
        <w:rPr>
          <w:noProof/>
        </w:rPr>
        <w:t>48</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10.4</w:t>
      </w:r>
      <w:r>
        <w:rPr>
          <w:rFonts w:asciiTheme="minorHAnsi" w:eastAsiaTheme="minorEastAsia" w:hAnsiTheme="minorHAnsi" w:cstheme="minorBidi"/>
          <w:noProof/>
          <w:szCs w:val="22"/>
          <w:lang w:eastAsia="en-NZ"/>
        </w:rPr>
        <w:tab/>
      </w:r>
      <w:r>
        <w:rPr>
          <w:noProof/>
        </w:rPr>
        <w:t>Prevalence of type 2 diabetes (six months to five years)</w:t>
      </w:r>
      <w:r>
        <w:rPr>
          <w:noProof/>
        </w:rPr>
        <w:tab/>
      </w:r>
      <w:r>
        <w:rPr>
          <w:noProof/>
        </w:rPr>
        <w:fldChar w:fldCharType="begin"/>
      </w:r>
      <w:r>
        <w:rPr>
          <w:noProof/>
        </w:rPr>
        <w:instrText xml:space="preserve"> PAGEREF _Toc403469667 \h </w:instrText>
      </w:r>
      <w:r>
        <w:rPr>
          <w:noProof/>
        </w:rPr>
      </w:r>
      <w:r>
        <w:rPr>
          <w:noProof/>
        </w:rPr>
        <w:fldChar w:fldCharType="separate"/>
      </w:r>
      <w:r w:rsidR="008A7DBA">
        <w:rPr>
          <w:noProof/>
        </w:rPr>
        <w:t>49</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10.5</w:t>
      </w:r>
      <w:r>
        <w:rPr>
          <w:rFonts w:asciiTheme="minorHAnsi" w:eastAsiaTheme="minorEastAsia" w:hAnsiTheme="minorHAnsi" w:cstheme="minorBidi"/>
          <w:noProof/>
          <w:szCs w:val="22"/>
          <w:lang w:eastAsia="en-NZ"/>
        </w:rPr>
        <w:tab/>
      </w:r>
      <w:r>
        <w:rPr>
          <w:noProof/>
        </w:rPr>
        <w:t>Prevalence of type 2 diabetes after five or more years’ follow-up</w:t>
      </w:r>
      <w:r>
        <w:rPr>
          <w:noProof/>
        </w:rPr>
        <w:tab/>
      </w:r>
      <w:r>
        <w:rPr>
          <w:noProof/>
        </w:rPr>
        <w:fldChar w:fldCharType="begin"/>
      </w:r>
      <w:r>
        <w:rPr>
          <w:noProof/>
        </w:rPr>
        <w:instrText xml:space="preserve"> PAGEREF _Toc403469668 \h </w:instrText>
      </w:r>
      <w:r>
        <w:rPr>
          <w:noProof/>
        </w:rPr>
      </w:r>
      <w:r>
        <w:rPr>
          <w:noProof/>
        </w:rPr>
        <w:fldChar w:fldCharType="separate"/>
      </w:r>
      <w:r w:rsidR="008A7DBA">
        <w:rPr>
          <w:noProof/>
        </w:rPr>
        <w:t>49</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10.6</w:t>
      </w:r>
      <w:r>
        <w:rPr>
          <w:rFonts w:asciiTheme="minorHAnsi" w:eastAsiaTheme="minorEastAsia" w:hAnsiTheme="minorHAnsi" w:cstheme="minorBidi"/>
          <w:noProof/>
          <w:szCs w:val="22"/>
          <w:lang w:eastAsia="en-NZ"/>
        </w:rPr>
        <w:tab/>
      </w:r>
      <w:r>
        <w:rPr>
          <w:noProof/>
        </w:rPr>
        <w:t>Gestational diabetes as a risk factor for developing type 2 diabetes</w:t>
      </w:r>
      <w:r>
        <w:rPr>
          <w:noProof/>
        </w:rPr>
        <w:tab/>
      </w:r>
      <w:r>
        <w:rPr>
          <w:noProof/>
        </w:rPr>
        <w:fldChar w:fldCharType="begin"/>
      </w:r>
      <w:r>
        <w:rPr>
          <w:noProof/>
        </w:rPr>
        <w:instrText xml:space="preserve"> PAGEREF _Toc403469669 \h </w:instrText>
      </w:r>
      <w:r>
        <w:rPr>
          <w:noProof/>
        </w:rPr>
      </w:r>
      <w:r>
        <w:rPr>
          <w:noProof/>
        </w:rPr>
        <w:fldChar w:fldCharType="separate"/>
      </w:r>
      <w:r w:rsidR="008A7DBA">
        <w:rPr>
          <w:noProof/>
        </w:rPr>
        <w:t>49</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10.7</w:t>
      </w:r>
      <w:r>
        <w:rPr>
          <w:rFonts w:asciiTheme="minorHAnsi" w:eastAsiaTheme="minorEastAsia" w:hAnsiTheme="minorHAnsi" w:cstheme="minorBidi"/>
          <w:noProof/>
          <w:szCs w:val="22"/>
          <w:lang w:eastAsia="en-NZ"/>
        </w:rPr>
        <w:tab/>
      </w:r>
      <w:r>
        <w:rPr>
          <w:noProof/>
        </w:rPr>
        <w:t>Other risk factors associated with developing type 2 diabetes in women diagnosed with gestational diabetes</w:t>
      </w:r>
      <w:r>
        <w:rPr>
          <w:noProof/>
        </w:rPr>
        <w:tab/>
      </w:r>
      <w:r>
        <w:rPr>
          <w:noProof/>
        </w:rPr>
        <w:fldChar w:fldCharType="begin"/>
      </w:r>
      <w:r>
        <w:rPr>
          <w:noProof/>
        </w:rPr>
        <w:instrText xml:space="preserve"> PAGEREF _Toc403469670 \h </w:instrText>
      </w:r>
      <w:r>
        <w:rPr>
          <w:noProof/>
        </w:rPr>
      </w:r>
      <w:r>
        <w:rPr>
          <w:noProof/>
        </w:rPr>
        <w:fldChar w:fldCharType="separate"/>
      </w:r>
      <w:r w:rsidR="008A7DBA">
        <w:rPr>
          <w:noProof/>
        </w:rPr>
        <w:t>50</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10.8</w:t>
      </w:r>
      <w:r>
        <w:rPr>
          <w:rFonts w:asciiTheme="minorHAnsi" w:eastAsiaTheme="minorEastAsia" w:hAnsiTheme="minorHAnsi" w:cstheme="minorBidi"/>
          <w:noProof/>
          <w:szCs w:val="22"/>
          <w:lang w:eastAsia="en-NZ"/>
        </w:rPr>
        <w:tab/>
      </w:r>
      <w:r>
        <w:rPr>
          <w:noProof/>
        </w:rPr>
        <w:t>Summary of evidence</w:t>
      </w:r>
      <w:r>
        <w:rPr>
          <w:noProof/>
        </w:rPr>
        <w:tab/>
      </w:r>
      <w:r>
        <w:rPr>
          <w:noProof/>
        </w:rPr>
        <w:fldChar w:fldCharType="begin"/>
      </w:r>
      <w:r>
        <w:rPr>
          <w:noProof/>
        </w:rPr>
        <w:instrText xml:space="preserve"> PAGEREF _Toc403469671 \h </w:instrText>
      </w:r>
      <w:r>
        <w:rPr>
          <w:noProof/>
        </w:rPr>
      </w:r>
      <w:r>
        <w:rPr>
          <w:noProof/>
        </w:rPr>
        <w:fldChar w:fldCharType="separate"/>
      </w:r>
      <w:r w:rsidR="008A7DBA">
        <w:rPr>
          <w:noProof/>
        </w:rPr>
        <w:t>50</w:t>
      </w:r>
      <w:r>
        <w:rPr>
          <w:noProof/>
        </w:rPr>
        <w:fldChar w:fldCharType="end"/>
      </w:r>
    </w:p>
    <w:p w:rsidR="00D17509" w:rsidRDefault="00D17509">
      <w:pPr>
        <w:pStyle w:val="TOC1"/>
        <w:rPr>
          <w:rFonts w:asciiTheme="minorHAnsi" w:eastAsiaTheme="minorEastAsia" w:hAnsiTheme="minorHAnsi" w:cstheme="minorBidi"/>
          <w:b w:val="0"/>
          <w:noProof/>
          <w:szCs w:val="22"/>
          <w:lang w:eastAsia="en-NZ"/>
        </w:rPr>
      </w:pPr>
      <w:r>
        <w:rPr>
          <w:noProof/>
        </w:rPr>
        <w:t>Chapter 11: Prevention of type 2 diabetes in women diagnosed with gestational diabetes</w:t>
      </w:r>
      <w:r>
        <w:rPr>
          <w:noProof/>
        </w:rPr>
        <w:tab/>
      </w:r>
      <w:r>
        <w:rPr>
          <w:noProof/>
        </w:rPr>
        <w:fldChar w:fldCharType="begin"/>
      </w:r>
      <w:r>
        <w:rPr>
          <w:noProof/>
        </w:rPr>
        <w:instrText xml:space="preserve"> PAGEREF _Toc403469672 \h </w:instrText>
      </w:r>
      <w:r>
        <w:rPr>
          <w:noProof/>
        </w:rPr>
      </w:r>
      <w:r>
        <w:rPr>
          <w:noProof/>
        </w:rPr>
        <w:fldChar w:fldCharType="separate"/>
      </w:r>
      <w:r w:rsidR="008A7DBA">
        <w:rPr>
          <w:noProof/>
        </w:rPr>
        <w:t>52</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11.1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_Toc403469673 \h </w:instrText>
      </w:r>
      <w:r>
        <w:rPr>
          <w:noProof/>
        </w:rPr>
      </w:r>
      <w:r>
        <w:rPr>
          <w:noProof/>
        </w:rPr>
        <w:fldChar w:fldCharType="separate"/>
      </w:r>
      <w:r w:rsidR="008A7DBA">
        <w:rPr>
          <w:noProof/>
        </w:rPr>
        <w:t>52</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11.2</w:t>
      </w:r>
      <w:r>
        <w:rPr>
          <w:rFonts w:asciiTheme="minorHAnsi" w:eastAsiaTheme="minorEastAsia" w:hAnsiTheme="minorHAnsi" w:cstheme="minorBidi"/>
          <w:noProof/>
          <w:szCs w:val="22"/>
          <w:lang w:eastAsia="en-NZ"/>
        </w:rPr>
        <w:tab/>
      </w:r>
      <w:r>
        <w:rPr>
          <w:noProof/>
        </w:rPr>
        <w:t>Lifestyle interventions</w:t>
      </w:r>
      <w:r>
        <w:rPr>
          <w:noProof/>
        </w:rPr>
        <w:tab/>
      </w:r>
      <w:r>
        <w:rPr>
          <w:noProof/>
        </w:rPr>
        <w:fldChar w:fldCharType="begin"/>
      </w:r>
      <w:r>
        <w:rPr>
          <w:noProof/>
        </w:rPr>
        <w:instrText xml:space="preserve"> PAGEREF _Toc403469674 \h </w:instrText>
      </w:r>
      <w:r>
        <w:rPr>
          <w:noProof/>
        </w:rPr>
      </w:r>
      <w:r>
        <w:rPr>
          <w:noProof/>
        </w:rPr>
        <w:fldChar w:fldCharType="separate"/>
      </w:r>
      <w:r w:rsidR="008A7DBA">
        <w:rPr>
          <w:noProof/>
        </w:rPr>
        <w:t>52</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11.3</w:t>
      </w:r>
      <w:r>
        <w:rPr>
          <w:rFonts w:asciiTheme="minorHAnsi" w:eastAsiaTheme="minorEastAsia" w:hAnsiTheme="minorHAnsi" w:cstheme="minorBidi"/>
          <w:noProof/>
          <w:szCs w:val="22"/>
          <w:lang w:eastAsia="en-NZ"/>
        </w:rPr>
        <w:tab/>
      </w:r>
      <w:r>
        <w:rPr>
          <w:noProof/>
        </w:rPr>
        <w:t>Pharmacological treatment to prevent type 2 diabetes</w:t>
      </w:r>
      <w:r>
        <w:rPr>
          <w:noProof/>
        </w:rPr>
        <w:tab/>
      </w:r>
      <w:r>
        <w:rPr>
          <w:noProof/>
        </w:rPr>
        <w:fldChar w:fldCharType="begin"/>
      </w:r>
      <w:r>
        <w:rPr>
          <w:noProof/>
        </w:rPr>
        <w:instrText xml:space="preserve"> PAGEREF _Toc403469675 \h </w:instrText>
      </w:r>
      <w:r>
        <w:rPr>
          <w:noProof/>
        </w:rPr>
      </w:r>
      <w:r>
        <w:rPr>
          <w:noProof/>
        </w:rPr>
        <w:fldChar w:fldCharType="separate"/>
      </w:r>
      <w:r w:rsidR="008A7DBA">
        <w:rPr>
          <w:noProof/>
        </w:rPr>
        <w:t>54</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11.4</w:t>
      </w:r>
      <w:r>
        <w:rPr>
          <w:rFonts w:asciiTheme="minorHAnsi" w:eastAsiaTheme="minorEastAsia" w:hAnsiTheme="minorHAnsi" w:cstheme="minorBidi"/>
          <w:noProof/>
          <w:szCs w:val="22"/>
          <w:lang w:eastAsia="en-NZ"/>
        </w:rPr>
        <w:tab/>
      </w:r>
      <w:r>
        <w:rPr>
          <w:noProof/>
        </w:rPr>
        <w:t>Ongoing studies</w:t>
      </w:r>
      <w:r>
        <w:rPr>
          <w:noProof/>
        </w:rPr>
        <w:tab/>
      </w:r>
      <w:r>
        <w:rPr>
          <w:noProof/>
        </w:rPr>
        <w:fldChar w:fldCharType="begin"/>
      </w:r>
      <w:r>
        <w:rPr>
          <w:noProof/>
        </w:rPr>
        <w:instrText xml:space="preserve"> PAGEREF _Toc403469676 \h </w:instrText>
      </w:r>
      <w:r>
        <w:rPr>
          <w:noProof/>
        </w:rPr>
      </w:r>
      <w:r>
        <w:rPr>
          <w:noProof/>
        </w:rPr>
        <w:fldChar w:fldCharType="separate"/>
      </w:r>
      <w:r w:rsidR="008A7DBA">
        <w:rPr>
          <w:noProof/>
        </w:rPr>
        <w:t>55</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11.5</w:t>
      </w:r>
      <w:r>
        <w:rPr>
          <w:rFonts w:asciiTheme="minorHAnsi" w:eastAsiaTheme="minorEastAsia" w:hAnsiTheme="minorHAnsi" w:cstheme="minorBidi"/>
          <w:noProof/>
          <w:szCs w:val="22"/>
          <w:lang w:eastAsia="en-NZ"/>
        </w:rPr>
        <w:tab/>
      </w:r>
      <w:r>
        <w:rPr>
          <w:noProof/>
        </w:rPr>
        <w:t>Evidence to recommendations</w:t>
      </w:r>
      <w:r>
        <w:rPr>
          <w:noProof/>
        </w:rPr>
        <w:tab/>
      </w:r>
      <w:r>
        <w:rPr>
          <w:noProof/>
        </w:rPr>
        <w:fldChar w:fldCharType="begin"/>
      </w:r>
      <w:r>
        <w:rPr>
          <w:noProof/>
        </w:rPr>
        <w:instrText xml:space="preserve"> PAGEREF _Toc403469677 \h </w:instrText>
      </w:r>
      <w:r>
        <w:rPr>
          <w:noProof/>
        </w:rPr>
      </w:r>
      <w:r>
        <w:rPr>
          <w:noProof/>
        </w:rPr>
        <w:fldChar w:fldCharType="separate"/>
      </w:r>
      <w:r w:rsidR="008A7DBA">
        <w:rPr>
          <w:noProof/>
        </w:rPr>
        <w:t>55</w:t>
      </w:r>
      <w:r>
        <w:rPr>
          <w:noProof/>
        </w:rPr>
        <w:fldChar w:fldCharType="end"/>
      </w:r>
    </w:p>
    <w:p w:rsidR="00D17509" w:rsidRDefault="00D17509">
      <w:pPr>
        <w:pStyle w:val="TOC1"/>
        <w:rPr>
          <w:rFonts w:asciiTheme="minorHAnsi" w:eastAsiaTheme="minorEastAsia" w:hAnsiTheme="minorHAnsi" w:cstheme="minorBidi"/>
          <w:b w:val="0"/>
          <w:noProof/>
          <w:szCs w:val="22"/>
          <w:lang w:eastAsia="en-NZ"/>
        </w:rPr>
      </w:pPr>
      <w:r>
        <w:rPr>
          <w:noProof/>
        </w:rPr>
        <w:t>Chapter 12: Cost-effectiveness of screening, diagnosis and treatment of gestational diabetes</w:t>
      </w:r>
      <w:r>
        <w:rPr>
          <w:noProof/>
        </w:rPr>
        <w:tab/>
      </w:r>
      <w:r>
        <w:rPr>
          <w:noProof/>
        </w:rPr>
        <w:fldChar w:fldCharType="begin"/>
      </w:r>
      <w:r>
        <w:rPr>
          <w:noProof/>
        </w:rPr>
        <w:instrText xml:space="preserve"> PAGEREF _Toc403469678 \h </w:instrText>
      </w:r>
      <w:r>
        <w:rPr>
          <w:noProof/>
        </w:rPr>
      </w:r>
      <w:r>
        <w:rPr>
          <w:noProof/>
        </w:rPr>
        <w:fldChar w:fldCharType="separate"/>
      </w:r>
      <w:r w:rsidR="008A7DBA">
        <w:rPr>
          <w:noProof/>
        </w:rPr>
        <w:t>56</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sidRPr="003E24D0">
        <w:rPr>
          <w:rFonts w:eastAsia="MS Mincho"/>
          <w:noProof/>
          <w:lang w:eastAsia="ja-JP"/>
        </w:rPr>
        <w:t>12.1</w:t>
      </w:r>
      <w:r>
        <w:rPr>
          <w:rFonts w:asciiTheme="minorHAnsi" w:eastAsiaTheme="minorEastAsia" w:hAnsiTheme="minorHAnsi" w:cstheme="minorBidi"/>
          <w:noProof/>
          <w:szCs w:val="22"/>
          <w:lang w:eastAsia="en-NZ"/>
        </w:rPr>
        <w:tab/>
      </w:r>
      <w:r w:rsidRPr="003E24D0">
        <w:rPr>
          <w:rFonts w:eastAsia="MS Mincho"/>
          <w:noProof/>
          <w:lang w:eastAsia="ja-JP"/>
        </w:rPr>
        <w:t>Background</w:t>
      </w:r>
      <w:r>
        <w:rPr>
          <w:noProof/>
        </w:rPr>
        <w:tab/>
      </w:r>
      <w:r>
        <w:rPr>
          <w:noProof/>
        </w:rPr>
        <w:fldChar w:fldCharType="begin"/>
      </w:r>
      <w:r>
        <w:rPr>
          <w:noProof/>
        </w:rPr>
        <w:instrText xml:space="preserve"> PAGEREF _Toc403469679 \h </w:instrText>
      </w:r>
      <w:r>
        <w:rPr>
          <w:noProof/>
        </w:rPr>
      </w:r>
      <w:r>
        <w:rPr>
          <w:noProof/>
        </w:rPr>
        <w:fldChar w:fldCharType="separate"/>
      </w:r>
      <w:r w:rsidR="008A7DBA">
        <w:rPr>
          <w:noProof/>
        </w:rPr>
        <w:t>56</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12.2</w:t>
      </w:r>
      <w:r>
        <w:rPr>
          <w:rFonts w:asciiTheme="minorHAnsi" w:eastAsiaTheme="minorEastAsia" w:hAnsiTheme="minorHAnsi" w:cstheme="minorBidi"/>
          <w:noProof/>
          <w:szCs w:val="22"/>
          <w:lang w:eastAsia="en-NZ"/>
        </w:rPr>
        <w:tab/>
      </w:r>
      <w:r>
        <w:rPr>
          <w:noProof/>
        </w:rPr>
        <w:t>Systematic review evidence</w:t>
      </w:r>
      <w:r>
        <w:rPr>
          <w:noProof/>
        </w:rPr>
        <w:tab/>
      </w:r>
      <w:r>
        <w:rPr>
          <w:noProof/>
        </w:rPr>
        <w:fldChar w:fldCharType="begin"/>
      </w:r>
      <w:r>
        <w:rPr>
          <w:noProof/>
        </w:rPr>
        <w:instrText xml:space="preserve"> PAGEREF _Toc403469680 \h </w:instrText>
      </w:r>
      <w:r>
        <w:rPr>
          <w:noProof/>
        </w:rPr>
      </w:r>
      <w:r>
        <w:rPr>
          <w:noProof/>
        </w:rPr>
        <w:fldChar w:fldCharType="separate"/>
      </w:r>
      <w:r w:rsidR="008A7DBA">
        <w:rPr>
          <w:noProof/>
        </w:rPr>
        <w:t>56</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12.3</w:t>
      </w:r>
      <w:r>
        <w:rPr>
          <w:rFonts w:asciiTheme="minorHAnsi" w:eastAsiaTheme="minorEastAsia" w:hAnsiTheme="minorHAnsi" w:cstheme="minorBidi"/>
          <w:noProof/>
          <w:szCs w:val="22"/>
          <w:lang w:eastAsia="en-NZ"/>
        </w:rPr>
        <w:tab/>
      </w:r>
      <w:r>
        <w:rPr>
          <w:noProof/>
        </w:rPr>
        <w:t>Summary of evidence</w:t>
      </w:r>
      <w:r>
        <w:rPr>
          <w:noProof/>
        </w:rPr>
        <w:tab/>
      </w:r>
      <w:r>
        <w:rPr>
          <w:noProof/>
        </w:rPr>
        <w:fldChar w:fldCharType="begin"/>
      </w:r>
      <w:r>
        <w:rPr>
          <w:noProof/>
        </w:rPr>
        <w:instrText xml:space="preserve"> PAGEREF _Toc403469681 \h </w:instrText>
      </w:r>
      <w:r>
        <w:rPr>
          <w:noProof/>
        </w:rPr>
      </w:r>
      <w:r>
        <w:rPr>
          <w:noProof/>
        </w:rPr>
        <w:fldChar w:fldCharType="separate"/>
      </w:r>
      <w:r w:rsidR="008A7DBA">
        <w:rPr>
          <w:noProof/>
        </w:rPr>
        <w:t>59</w:t>
      </w:r>
      <w:r>
        <w:rPr>
          <w:noProof/>
        </w:rPr>
        <w:fldChar w:fldCharType="end"/>
      </w:r>
    </w:p>
    <w:p w:rsidR="00D17509" w:rsidRDefault="00D17509">
      <w:pPr>
        <w:pStyle w:val="TOC1"/>
        <w:rPr>
          <w:rFonts w:asciiTheme="minorHAnsi" w:eastAsiaTheme="minorEastAsia" w:hAnsiTheme="minorHAnsi" w:cstheme="minorBidi"/>
          <w:b w:val="0"/>
          <w:noProof/>
          <w:szCs w:val="22"/>
          <w:lang w:eastAsia="en-NZ"/>
        </w:rPr>
      </w:pPr>
      <w:r>
        <w:rPr>
          <w:noProof/>
        </w:rPr>
        <w:t>Chapter 13: Interviews with women with gestational diabetes</w:t>
      </w:r>
      <w:r>
        <w:rPr>
          <w:noProof/>
        </w:rPr>
        <w:tab/>
      </w:r>
      <w:r>
        <w:rPr>
          <w:noProof/>
        </w:rPr>
        <w:fldChar w:fldCharType="begin"/>
      </w:r>
      <w:r>
        <w:rPr>
          <w:noProof/>
        </w:rPr>
        <w:instrText xml:space="preserve"> PAGEREF _Toc403469682 \h </w:instrText>
      </w:r>
      <w:r>
        <w:rPr>
          <w:noProof/>
        </w:rPr>
      </w:r>
      <w:r>
        <w:rPr>
          <w:noProof/>
        </w:rPr>
        <w:fldChar w:fldCharType="separate"/>
      </w:r>
      <w:r w:rsidR="008A7DBA">
        <w:rPr>
          <w:noProof/>
        </w:rPr>
        <w:t>61</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13.1</w:t>
      </w:r>
      <w:r>
        <w:rPr>
          <w:rFonts w:asciiTheme="minorHAnsi" w:eastAsiaTheme="minorEastAsia" w:hAnsiTheme="minorHAnsi" w:cstheme="minorBidi"/>
          <w:noProof/>
          <w:szCs w:val="22"/>
          <w:lang w:eastAsia="en-NZ"/>
        </w:rPr>
        <w:tab/>
      </w:r>
      <w:r>
        <w:rPr>
          <w:noProof/>
        </w:rPr>
        <w:t>Interviews with women diagnosed with gestational diabetes</w:t>
      </w:r>
      <w:r>
        <w:rPr>
          <w:noProof/>
        </w:rPr>
        <w:tab/>
      </w:r>
      <w:r>
        <w:rPr>
          <w:noProof/>
        </w:rPr>
        <w:fldChar w:fldCharType="begin"/>
      </w:r>
      <w:r>
        <w:rPr>
          <w:noProof/>
        </w:rPr>
        <w:instrText xml:space="preserve"> PAGEREF _Toc403469683 \h </w:instrText>
      </w:r>
      <w:r>
        <w:rPr>
          <w:noProof/>
        </w:rPr>
      </w:r>
      <w:r>
        <w:rPr>
          <w:noProof/>
        </w:rPr>
        <w:fldChar w:fldCharType="separate"/>
      </w:r>
      <w:r w:rsidR="008A7DBA">
        <w:rPr>
          <w:noProof/>
        </w:rPr>
        <w:t>61</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13.2</w:t>
      </w:r>
      <w:r>
        <w:rPr>
          <w:rFonts w:asciiTheme="minorHAnsi" w:eastAsiaTheme="minorEastAsia" w:hAnsiTheme="minorHAnsi" w:cstheme="minorBidi"/>
          <w:noProof/>
          <w:szCs w:val="22"/>
          <w:lang w:eastAsia="en-NZ"/>
        </w:rPr>
        <w:tab/>
      </w:r>
      <w:r>
        <w:rPr>
          <w:noProof/>
        </w:rPr>
        <w:t>New Zealand health literacy report</w:t>
      </w:r>
      <w:r>
        <w:rPr>
          <w:noProof/>
        </w:rPr>
        <w:tab/>
      </w:r>
      <w:r>
        <w:rPr>
          <w:noProof/>
        </w:rPr>
        <w:fldChar w:fldCharType="begin"/>
      </w:r>
      <w:r>
        <w:rPr>
          <w:noProof/>
        </w:rPr>
        <w:instrText xml:space="preserve"> PAGEREF _Toc403469684 \h </w:instrText>
      </w:r>
      <w:r>
        <w:rPr>
          <w:noProof/>
        </w:rPr>
      </w:r>
      <w:r>
        <w:rPr>
          <w:noProof/>
        </w:rPr>
        <w:fldChar w:fldCharType="separate"/>
      </w:r>
      <w:r w:rsidR="008A7DBA">
        <w:rPr>
          <w:noProof/>
        </w:rPr>
        <w:t>64</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13.3</w:t>
      </w:r>
      <w:r>
        <w:rPr>
          <w:rFonts w:asciiTheme="minorHAnsi" w:eastAsiaTheme="minorEastAsia" w:hAnsiTheme="minorHAnsi" w:cstheme="minorBidi"/>
          <w:noProof/>
          <w:szCs w:val="22"/>
          <w:lang w:eastAsia="en-NZ"/>
        </w:rPr>
        <w:tab/>
      </w:r>
      <w:r>
        <w:rPr>
          <w:noProof/>
        </w:rPr>
        <w:t>Additional evidence on women’s perceptions of gestational diabetes</w:t>
      </w:r>
      <w:r>
        <w:rPr>
          <w:noProof/>
        </w:rPr>
        <w:tab/>
      </w:r>
      <w:r>
        <w:rPr>
          <w:noProof/>
        </w:rPr>
        <w:fldChar w:fldCharType="begin"/>
      </w:r>
      <w:r>
        <w:rPr>
          <w:noProof/>
        </w:rPr>
        <w:instrText xml:space="preserve"> PAGEREF _Toc403469685 \h </w:instrText>
      </w:r>
      <w:r>
        <w:rPr>
          <w:noProof/>
        </w:rPr>
      </w:r>
      <w:r>
        <w:rPr>
          <w:noProof/>
        </w:rPr>
        <w:fldChar w:fldCharType="separate"/>
      </w:r>
      <w:r w:rsidR="008A7DBA">
        <w:rPr>
          <w:noProof/>
        </w:rPr>
        <w:t>66</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sidRPr="003E24D0">
        <w:rPr>
          <w:rFonts w:eastAsia="MS Mincho"/>
          <w:noProof/>
        </w:rPr>
        <w:t>13.4</w:t>
      </w:r>
      <w:r>
        <w:rPr>
          <w:rFonts w:asciiTheme="minorHAnsi" w:eastAsiaTheme="minorEastAsia" w:hAnsiTheme="minorHAnsi" w:cstheme="minorBidi"/>
          <w:noProof/>
          <w:szCs w:val="22"/>
          <w:lang w:eastAsia="en-NZ"/>
        </w:rPr>
        <w:tab/>
      </w:r>
      <w:r w:rsidRPr="003E24D0">
        <w:rPr>
          <w:rFonts w:eastAsia="MS Mincho"/>
          <w:noProof/>
        </w:rPr>
        <w:t>Summary</w:t>
      </w:r>
      <w:r>
        <w:rPr>
          <w:noProof/>
        </w:rPr>
        <w:tab/>
      </w:r>
      <w:r>
        <w:rPr>
          <w:noProof/>
        </w:rPr>
        <w:fldChar w:fldCharType="begin"/>
      </w:r>
      <w:r>
        <w:rPr>
          <w:noProof/>
        </w:rPr>
        <w:instrText xml:space="preserve"> PAGEREF _Toc403469686 \h </w:instrText>
      </w:r>
      <w:r>
        <w:rPr>
          <w:noProof/>
        </w:rPr>
      </w:r>
      <w:r>
        <w:rPr>
          <w:noProof/>
        </w:rPr>
        <w:fldChar w:fldCharType="separate"/>
      </w:r>
      <w:r w:rsidR="008A7DBA">
        <w:rPr>
          <w:noProof/>
        </w:rPr>
        <w:t>68</w:t>
      </w:r>
      <w:r>
        <w:rPr>
          <w:noProof/>
        </w:rPr>
        <w:fldChar w:fldCharType="end"/>
      </w:r>
    </w:p>
    <w:p w:rsidR="00D17509" w:rsidRDefault="00D17509">
      <w:pPr>
        <w:pStyle w:val="TOC1"/>
        <w:rPr>
          <w:rFonts w:asciiTheme="minorHAnsi" w:eastAsiaTheme="minorEastAsia" w:hAnsiTheme="minorHAnsi" w:cstheme="minorBidi"/>
          <w:b w:val="0"/>
          <w:noProof/>
          <w:szCs w:val="22"/>
          <w:lang w:eastAsia="en-NZ"/>
        </w:rPr>
      </w:pPr>
      <w:r>
        <w:rPr>
          <w:noProof/>
        </w:rPr>
        <w:t>Chapter 14: Implementation plan</w:t>
      </w:r>
      <w:r>
        <w:rPr>
          <w:noProof/>
        </w:rPr>
        <w:tab/>
      </w:r>
      <w:r>
        <w:rPr>
          <w:noProof/>
        </w:rPr>
        <w:fldChar w:fldCharType="begin"/>
      </w:r>
      <w:r>
        <w:rPr>
          <w:noProof/>
        </w:rPr>
        <w:instrText xml:space="preserve"> PAGEREF _Toc403469687 \h </w:instrText>
      </w:r>
      <w:r>
        <w:rPr>
          <w:noProof/>
        </w:rPr>
      </w:r>
      <w:r>
        <w:rPr>
          <w:noProof/>
        </w:rPr>
        <w:fldChar w:fldCharType="separate"/>
      </w:r>
      <w:r w:rsidR="008A7DBA">
        <w:rPr>
          <w:noProof/>
        </w:rPr>
        <w:t>69</w:t>
      </w:r>
      <w:r>
        <w:rPr>
          <w:noProof/>
        </w:rPr>
        <w:fldChar w:fldCharType="end"/>
      </w:r>
    </w:p>
    <w:p w:rsidR="00D17509" w:rsidRDefault="00D17509">
      <w:pPr>
        <w:pStyle w:val="TOC2"/>
        <w:rPr>
          <w:rFonts w:asciiTheme="minorHAnsi" w:eastAsiaTheme="minorEastAsia" w:hAnsiTheme="minorHAnsi" w:cstheme="minorBidi"/>
          <w:noProof/>
          <w:szCs w:val="22"/>
          <w:lang w:eastAsia="en-NZ"/>
        </w:rPr>
      </w:pPr>
      <w:r>
        <w:rPr>
          <w:noProof/>
        </w:rPr>
        <w:t>14.1</w:t>
      </w:r>
      <w:r>
        <w:rPr>
          <w:rFonts w:asciiTheme="minorHAnsi" w:eastAsiaTheme="minorEastAsia" w:hAnsiTheme="minorHAnsi" w:cstheme="minorBidi"/>
          <w:noProof/>
          <w:szCs w:val="22"/>
          <w:lang w:eastAsia="en-NZ"/>
        </w:rPr>
        <w:tab/>
      </w:r>
      <w:r>
        <w:rPr>
          <w:noProof/>
        </w:rPr>
        <w:t>Updating the guideline</w:t>
      </w:r>
      <w:r>
        <w:rPr>
          <w:noProof/>
        </w:rPr>
        <w:tab/>
      </w:r>
      <w:r>
        <w:rPr>
          <w:noProof/>
        </w:rPr>
        <w:fldChar w:fldCharType="begin"/>
      </w:r>
      <w:r>
        <w:rPr>
          <w:noProof/>
        </w:rPr>
        <w:instrText xml:space="preserve"> PAGEREF _Toc403469688 \h </w:instrText>
      </w:r>
      <w:r>
        <w:rPr>
          <w:noProof/>
        </w:rPr>
      </w:r>
      <w:r>
        <w:rPr>
          <w:noProof/>
        </w:rPr>
        <w:fldChar w:fldCharType="separate"/>
      </w:r>
      <w:r w:rsidR="008A7DBA">
        <w:rPr>
          <w:noProof/>
        </w:rPr>
        <w:t>70</w:t>
      </w:r>
      <w:r>
        <w:rPr>
          <w:noProof/>
        </w:rPr>
        <w:fldChar w:fldCharType="end"/>
      </w:r>
    </w:p>
    <w:p w:rsidR="00D17509" w:rsidRDefault="00D17509">
      <w:pPr>
        <w:pStyle w:val="TOC1"/>
        <w:rPr>
          <w:rFonts w:asciiTheme="minorHAnsi" w:eastAsiaTheme="minorEastAsia" w:hAnsiTheme="minorHAnsi" w:cstheme="minorBidi"/>
          <w:b w:val="0"/>
          <w:noProof/>
          <w:szCs w:val="22"/>
          <w:lang w:eastAsia="en-NZ"/>
        </w:rPr>
      </w:pPr>
      <w:r>
        <w:rPr>
          <w:noProof/>
        </w:rPr>
        <w:t>Chapter 15: Research recommendations</w:t>
      </w:r>
      <w:r>
        <w:rPr>
          <w:noProof/>
        </w:rPr>
        <w:tab/>
      </w:r>
      <w:r>
        <w:rPr>
          <w:noProof/>
        </w:rPr>
        <w:fldChar w:fldCharType="begin"/>
      </w:r>
      <w:r>
        <w:rPr>
          <w:noProof/>
        </w:rPr>
        <w:instrText xml:space="preserve"> PAGEREF _Toc403469689 \h </w:instrText>
      </w:r>
      <w:r>
        <w:rPr>
          <w:noProof/>
        </w:rPr>
      </w:r>
      <w:r>
        <w:rPr>
          <w:noProof/>
        </w:rPr>
        <w:fldChar w:fldCharType="separate"/>
      </w:r>
      <w:r w:rsidR="008A7DBA">
        <w:rPr>
          <w:noProof/>
        </w:rPr>
        <w:t>71</w:t>
      </w:r>
      <w:r>
        <w:rPr>
          <w:noProof/>
        </w:rPr>
        <w:fldChar w:fldCharType="end"/>
      </w:r>
    </w:p>
    <w:p w:rsidR="00D17509" w:rsidRDefault="00D17509">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_Toc403469690 \h </w:instrText>
      </w:r>
      <w:r>
        <w:rPr>
          <w:noProof/>
        </w:rPr>
      </w:r>
      <w:r>
        <w:rPr>
          <w:noProof/>
        </w:rPr>
        <w:fldChar w:fldCharType="separate"/>
      </w:r>
      <w:r w:rsidR="008A7DBA">
        <w:rPr>
          <w:noProof/>
        </w:rPr>
        <w:t>72</w:t>
      </w:r>
      <w:r>
        <w:rPr>
          <w:noProof/>
        </w:rPr>
        <w:fldChar w:fldCharType="end"/>
      </w:r>
    </w:p>
    <w:p w:rsidR="00D17509" w:rsidRDefault="00D17509">
      <w:pPr>
        <w:pStyle w:val="TOC1"/>
        <w:rPr>
          <w:rFonts w:asciiTheme="minorHAnsi" w:eastAsiaTheme="minorEastAsia" w:hAnsiTheme="minorHAnsi" w:cstheme="minorBidi"/>
          <w:b w:val="0"/>
          <w:noProof/>
          <w:szCs w:val="22"/>
          <w:lang w:eastAsia="en-NZ"/>
        </w:rPr>
      </w:pPr>
      <w:r>
        <w:rPr>
          <w:noProof/>
        </w:rPr>
        <w:t>Glossary</w:t>
      </w:r>
      <w:r>
        <w:rPr>
          <w:noProof/>
        </w:rPr>
        <w:tab/>
      </w:r>
      <w:r>
        <w:rPr>
          <w:noProof/>
        </w:rPr>
        <w:fldChar w:fldCharType="begin"/>
      </w:r>
      <w:r>
        <w:rPr>
          <w:noProof/>
        </w:rPr>
        <w:instrText xml:space="preserve"> PAGEREF _Toc403469691 \h </w:instrText>
      </w:r>
      <w:r>
        <w:rPr>
          <w:noProof/>
        </w:rPr>
      </w:r>
      <w:r>
        <w:rPr>
          <w:noProof/>
        </w:rPr>
        <w:fldChar w:fldCharType="separate"/>
      </w:r>
      <w:r w:rsidR="008A7DBA">
        <w:rPr>
          <w:noProof/>
        </w:rPr>
        <w:t>89</w:t>
      </w:r>
      <w:r>
        <w:rPr>
          <w:noProof/>
        </w:rPr>
        <w:fldChar w:fldCharType="end"/>
      </w:r>
    </w:p>
    <w:p w:rsidR="00D17509" w:rsidRDefault="00D17509" w:rsidP="009E3907">
      <w:pPr>
        <w:pStyle w:val="TOC1"/>
        <w:keepNext/>
        <w:rPr>
          <w:rFonts w:asciiTheme="minorHAnsi" w:eastAsiaTheme="minorEastAsia" w:hAnsiTheme="minorHAnsi" w:cstheme="minorBidi"/>
          <w:b w:val="0"/>
          <w:noProof/>
          <w:szCs w:val="22"/>
          <w:lang w:eastAsia="en-NZ"/>
        </w:rPr>
      </w:pPr>
      <w:r>
        <w:rPr>
          <w:noProof/>
        </w:rPr>
        <w:t>Appendices</w:t>
      </w:r>
      <w:r>
        <w:rPr>
          <w:noProof/>
        </w:rPr>
        <w:tab/>
      </w:r>
      <w:r>
        <w:rPr>
          <w:noProof/>
        </w:rPr>
        <w:fldChar w:fldCharType="begin"/>
      </w:r>
      <w:r>
        <w:rPr>
          <w:noProof/>
        </w:rPr>
        <w:instrText xml:space="preserve"> PAGEREF _Toc403469692 \h </w:instrText>
      </w:r>
      <w:r>
        <w:rPr>
          <w:noProof/>
        </w:rPr>
      </w:r>
      <w:r>
        <w:rPr>
          <w:noProof/>
        </w:rPr>
        <w:fldChar w:fldCharType="separate"/>
      </w:r>
      <w:r w:rsidR="008A7DBA">
        <w:rPr>
          <w:noProof/>
        </w:rPr>
        <w:t>94</w:t>
      </w:r>
      <w:r>
        <w:rPr>
          <w:noProof/>
        </w:rPr>
        <w:fldChar w:fldCharType="end"/>
      </w:r>
    </w:p>
    <w:p w:rsidR="00D17509" w:rsidRDefault="00D17509" w:rsidP="009E3907">
      <w:pPr>
        <w:pStyle w:val="TOC2"/>
        <w:keepNext/>
        <w:tabs>
          <w:tab w:val="left" w:pos="1418"/>
        </w:tabs>
        <w:ind w:left="1418" w:hanging="1418"/>
        <w:rPr>
          <w:rFonts w:asciiTheme="minorHAnsi" w:eastAsiaTheme="minorEastAsia" w:hAnsiTheme="minorHAnsi" w:cstheme="minorBidi"/>
          <w:noProof/>
          <w:szCs w:val="22"/>
          <w:lang w:eastAsia="en-NZ"/>
        </w:rPr>
      </w:pPr>
      <w:r>
        <w:rPr>
          <w:noProof/>
        </w:rPr>
        <w:t>Appendix A:</w:t>
      </w:r>
      <w:r>
        <w:rPr>
          <w:noProof/>
        </w:rPr>
        <w:tab/>
        <w:t>Methods and searching</w:t>
      </w:r>
      <w:r>
        <w:rPr>
          <w:noProof/>
        </w:rPr>
        <w:tab/>
      </w:r>
      <w:r>
        <w:rPr>
          <w:noProof/>
        </w:rPr>
        <w:fldChar w:fldCharType="begin"/>
      </w:r>
      <w:r>
        <w:rPr>
          <w:noProof/>
        </w:rPr>
        <w:instrText xml:space="preserve"> PAGEREF _Toc403469693 \h </w:instrText>
      </w:r>
      <w:r>
        <w:rPr>
          <w:noProof/>
        </w:rPr>
      </w:r>
      <w:r>
        <w:rPr>
          <w:noProof/>
        </w:rPr>
        <w:fldChar w:fldCharType="separate"/>
      </w:r>
      <w:r w:rsidR="008A7DBA">
        <w:rPr>
          <w:noProof/>
        </w:rPr>
        <w:t>94</w:t>
      </w:r>
      <w:r>
        <w:rPr>
          <w:noProof/>
        </w:rPr>
        <w:fldChar w:fldCharType="end"/>
      </w:r>
    </w:p>
    <w:p w:rsidR="00D17509" w:rsidRDefault="00D17509" w:rsidP="009E3907">
      <w:pPr>
        <w:pStyle w:val="TOC2"/>
        <w:keepNext/>
        <w:tabs>
          <w:tab w:val="left" w:pos="1418"/>
        </w:tabs>
        <w:ind w:left="1418" w:hanging="1418"/>
        <w:rPr>
          <w:rFonts w:asciiTheme="minorHAnsi" w:eastAsiaTheme="minorEastAsia" w:hAnsiTheme="minorHAnsi" w:cstheme="minorBidi"/>
          <w:noProof/>
          <w:szCs w:val="22"/>
          <w:lang w:eastAsia="en-NZ"/>
        </w:rPr>
      </w:pPr>
      <w:r>
        <w:rPr>
          <w:noProof/>
        </w:rPr>
        <w:t>Appendix B:</w:t>
      </w:r>
      <w:r>
        <w:rPr>
          <w:noProof/>
        </w:rPr>
        <w:tab/>
        <w:t>Guideline Development Team</w:t>
      </w:r>
      <w:r>
        <w:rPr>
          <w:noProof/>
        </w:rPr>
        <w:tab/>
      </w:r>
      <w:r>
        <w:rPr>
          <w:noProof/>
        </w:rPr>
        <w:fldChar w:fldCharType="begin"/>
      </w:r>
      <w:r>
        <w:rPr>
          <w:noProof/>
        </w:rPr>
        <w:instrText xml:space="preserve"> PAGEREF _Toc403469694 \h </w:instrText>
      </w:r>
      <w:r>
        <w:rPr>
          <w:noProof/>
        </w:rPr>
      </w:r>
      <w:r>
        <w:rPr>
          <w:noProof/>
        </w:rPr>
        <w:fldChar w:fldCharType="separate"/>
      </w:r>
      <w:r w:rsidR="008A7DBA">
        <w:rPr>
          <w:noProof/>
        </w:rPr>
        <w:t>106</w:t>
      </w:r>
      <w:r>
        <w:rPr>
          <w:noProof/>
        </w:rPr>
        <w:fldChar w:fldCharType="end"/>
      </w:r>
    </w:p>
    <w:p w:rsidR="00D17509" w:rsidRDefault="00D17509" w:rsidP="009E3907">
      <w:pPr>
        <w:pStyle w:val="TOC2"/>
        <w:keepNext/>
        <w:tabs>
          <w:tab w:val="left" w:pos="1418"/>
        </w:tabs>
        <w:ind w:left="1418" w:hanging="1418"/>
        <w:rPr>
          <w:rFonts w:asciiTheme="minorHAnsi" w:eastAsiaTheme="minorEastAsia" w:hAnsiTheme="minorHAnsi" w:cstheme="minorBidi"/>
          <w:noProof/>
          <w:szCs w:val="22"/>
          <w:lang w:eastAsia="en-NZ"/>
        </w:rPr>
      </w:pPr>
      <w:r>
        <w:rPr>
          <w:noProof/>
        </w:rPr>
        <w:t>Appendix C:</w:t>
      </w:r>
      <w:r>
        <w:rPr>
          <w:noProof/>
        </w:rPr>
        <w:tab/>
        <w:t>Clinical questions</w:t>
      </w:r>
      <w:r>
        <w:rPr>
          <w:noProof/>
        </w:rPr>
        <w:tab/>
      </w:r>
      <w:r>
        <w:rPr>
          <w:noProof/>
        </w:rPr>
        <w:fldChar w:fldCharType="begin"/>
      </w:r>
      <w:r>
        <w:rPr>
          <w:noProof/>
        </w:rPr>
        <w:instrText xml:space="preserve"> PAGEREF _Toc403469695 \h </w:instrText>
      </w:r>
      <w:r>
        <w:rPr>
          <w:noProof/>
        </w:rPr>
      </w:r>
      <w:r>
        <w:rPr>
          <w:noProof/>
        </w:rPr>
        <w:fldChar w:fldCharType="separate"/>
      </w:r>
      <w:r w:rsidR="008A7DBA">
        <w:rPr>
          <w:noProof/>
        </w:rPr>
        <w:t>107</w:t>
      </w:r>
      <w:r>
        <w:rPr>
          <w:noProof/>
        </w:rPr>
        <w:fldChar w:fldCharType="end"/>
      </w:r>
    </w:p>
    <w:p w:rsidR="00D17509" w:rsidRDefault="00D17509" w:rsidP="009E3907">
      <w:pPr>
        <w:pStyle w:val="TOC2"/>
        <w:keepNext/>
        <w:tabs>
          <w:tab w:val="left" w:pos="1418"/>
        </w:tabs>
        <w:ind w:left="1418" w:hanging="1418"/>
        <w:rPr>
          <w:rFonts w:asciiTheme="minorHAnsi" w:eastAsiaTheme="minorEastAsia" w:hAnsiTheme="minorHAnsi" w:cstheme="minorBidi"/>
          <w:noProof/>
          <w:szCs w:val="22"/>
          <w:lang w:eastAsia="en-NZ"/>
        </w:rPr>
      </w:pPr>
      <w:r>
        <w:rPr>
          <w:noProof/>
        </w:rPr>
        <w:t>Appendix D:</w:t>
      </w:r>
      <w:r>
        <w:rPr>
          <w:noProof/>
        </w:rPr>
        <w:tab/>
        <w:t>Maternal and infant outcomes</w:t>
      </w:r>
      <w:r>
        <w:rPr>
          <w:noProof/>
        </w:rPr>
        <w:tab/>
      </w:r>
      <w:r>
        <w:rPr>
          <w:noProof/>
        </w:rPr>
        <w:fldChar w:fldCharType="begin"/>
      </w:r>
      <w:r>
        <w:rPr>
          <w:noProof/>
        </w:rPr>
        <w:instrText xml:space="preserve"> PAGEREF _Toc403469696 \h </w:instrText>
      </w:r>
      <w:r>
        <w:rPr>
          <w:noProof/>
        </w:rPr>
      </w:r>
      <w:r>
        <w:rPr>
          <w:noProof/>
        </w:rPr>
        <w:fldChar w:fldCharType="separate"/>
      </w:r>
      <w:r w:rsidR="008A7DBA">
        <w:rPr>
          <w:noProof/>
        </w:rPr>
        <w:t>109</w:t>
      </w:r>
      <w:r>
        <w:rPr>
          <w:noProof/>
        </w:rPr>
        <w:fldChar w:fldCharType="end"/>
      </w:r>
    </w:p>
    <w:p w:rsidR="00D17509" w:rsidRDefault="00D17509" w:rsidP="009E3907">
      <w:pPr>
        <w:pStyle w:val="TOC2"/>
        <w:keepNext/>
        <w:tabs>
          <w:tab w:val="left" w:pos="1418"/>
        </w:tabs>
        <w:ind w:left="1418" w:hanging="1418"/>
        <w:rPr>
          <w:rFonts w:asciiTheme="minorHAnsi" w:eastAsiaTheme="minorEastAsia" w:hAnsiTheme="minorHAnsi" w:cstheme="minorBidi"/>
          <w:noProof/>
          <w:szCs w:val="22"/>
          <w:lang w:eastAsia="en-NZ"/>
        </w:rPr>
      </w:pPr>
      <w:r>
        <w:rPr>
          <w:noProof/>
        </w:rPr>
        <w:t>Appendix E:</w:t>
      </w:r>
      <w:r>
        <w:rPr>
          <w:noProof/>
        </w:rPr>
        <w:tab/>
        <w:t>Supporting evidence for Chapter 1</w:t>
      </w:r>
      <w:r>
        <w:rPr>
          <w:noProof/>
        </w:rPr>
        <w:tab/>
      </w:r>
      <w:r>
        <w:rPr>
          <w:noProof/>
        </w:rPr>
        <w:fldChar w:fldCharType="begin"/>
      </w:r>
      <w:r>
        <w:rPr>
          <w:noProof/>
        </w:rPr>
        <w:instrText xml:space="preserve"> PAGEREF _Toc403469697 \h </w:instrText>
      </w:r>
      <w:r>
        <w:rPr>
          <w:noProof/>
        </w:rPr>
      </w:r>
      <w:r>
        <w:rPr>
          <w:noProof/>
        </w:rPr>
        <w:fldChar w:fldCharType="separate"/>
      </w:r>
      <w:r w:rsidR="008A7DBA">
        <w:rPr>
          <w:noProof/>
        </w:rPr>
        <w:t>110</w:t>
      </w:r>
      <w:r>
        <w:rPr>
          <w:noProof/>
        </w:rPr>
        <w:fldChar w:fldCharType="end"/>
      </w:r>
    </w:p>
    <w:p w:rsidR="00D17509" w:rsidRDefault="00D17509" w:rsidP="00D17509">
      <w:pPr>
        <w:pStyle w:val="TOC2"/>
        <w:tabs>
          <w:tab w:val="left" w:pos="1418"/>
        </w:tabs>
        <w:ind w:left="1418" w:hanging="1418"/>
        <w:rPr>
          <w:rFonts w:asciiTheme="minorHAnsi" w:eastAsiaTheme="minorEastAsia" w:hAnsiTheme="minorHAnsi" w:cstheme="minorBidi"/>
          <w:noProof/>
          <w:szCs w:val="22"/>
          <w:lang w:eastAsia="en-NZ"/>
        </w:rPr>
      </w:pPr>
      <w:r>
        <w:rPr>
          <w:noProof/>
        </w:rPr>
        <w:t>Appendix F:</w:t>
      </w:r>
      <w:r>
        <w:rPr>
          <w:noProof/>
        </w:rPr>
        <w:tab/>
        <w:t>Principles of woman-centred care</w:t>
      </w:r>
      <w:r>
        <w:rPr>
          <w:noProof/>
        </w:rPr>
        <w:tab/>
      </w:r>
      <w:r>
        <w:rPr>
          <w:noProof/>
        </w:rPr>
        <w:fldChar w:fldCharType="begin"/>
      </w:r>
      <w:r>
        <w:rPr>
          <w:noProof/>
        </w:rPr>
        <w:instrText xml:space="preserve"> PAGEREF _Toc403469698 \h </w:instrText>
      </w:r>
      <w:r>
        <w:rPr>
          <w:noProof/>
        </w:rPr>
      </w:r>
      <w:r>
        <w:rPr>
          <w:noProof/>
        </w:rPr>
        <w:fldChar w:fldCharType="separate"/>
      </w:r>
      <w:r w:rsidR="008A7DBA">
        <w:rPr>
          <w:noProof/>
        </w:rPr>
        <w:t>119</w:t>
      </w:r>
      <w:r>
        <w:rPr>
          <w:noProof/>
        </w:rPr>
        <w:fldChar w:fldCharType="end"/>
      </w:r>
    </w:p>
    <w:p w:rsidR="00D17509" w:rsidRDefault="00D17509" w:rsidP="00D17509">
      <w:pPr>
        <w:pStyle w:val="TOC2"/>
        <w:tabs>
          <w:tab w:val="left" w:pos="1418"/>
        </w:tabs>
        <w:ind w:left="1418" w:hanging="1418"/>
        <w:rPr>
          <w:rFonts w:asciiTheme="minorHAnsi" w:eastAsiaTheme="minorEastAsia" w:hAnsiTheme="minorHAnsi" w:cstheme="minorBidi"/>
          <w:noProof/>
          <w:szCs w:val="22"/>
          <w:lang w:eastAsia="en-NZ"/>
        </w:rPr>
      </w:pPr>
      <w:r>
        <w:rPr>
          <w:noProof/>
        </w:rPr>
        <w:t>Appendix G:</w:t>
      </w:r>
      <w:r>
        <w:rPr>
          <w:noProof/>
        </w:rPr>
        <w:tab/>
        <w:t>Supporting evidence for Chapter 2</w:t>
      </w:r>
      <w:r>
        <w:rPr>
          <w:noProof/>
        </w:rPr>
        <w:tab/>
      </w:r>
      <w:r>
        <w:rPr>
          <w:noProof/>
        </w:rPr>
        <w:fldChar w:fldCharType="begin"/>
      </w:r>
      <w:r>
        <w:rPr>
          <w:noProof/>
        </w:rPr>
        <w:instrText xml:space="preserve"> PAGEREF _Toc403469699 \h </w:instrText>
      </w:r>
      <w:r>
        <w:rPr>
          <w:noProof/>
        </w:rPr>
      </w:r>
      <w:r>
        <w:rPr>
          <w:noProof/>
        </w:rPr>
        <w:fldChar w:fldCharType="separate"/>
      </w:r>
      <w:r w:rsidR="008A7DBA">
        <w:rPr>
          <w:noProof/>
        </w:rPr>
        <w:t>120</w:t>
      </w:r>
      <w:r>
        <w:rPr>
          <w:noProof/>
        </w:rPr>
        <w:fldChar w:fldCharType="end"/>
      </w:r>
    </w:p>
    <w:p w:rsidR="00D17509" w:rsidRDefault="00D17509" w:rsidP="00D17509">
      <w:pPr>
        <w:pStyle w:val="TOC2"/>
        <w:tabs>
          <w:tab w:val="left" w:pos="1418"/>
        </w:tabs>
        <w:ind w:left="1418" w:hanging="1418"/>
        <w:rPr>
          <w:rFonts w:asciiTheme="minorHAnsi" w:eastAsiaTheme="minorEastAsia" w:hAnsiTheme="minorHAnsi" w:cstheme="minorBidi"/>
          <w:noProof/>
          <w:szCs w:val="22"/>
          <w:lang w:eastAsia="en-NZ"/>
        </w:rPr>
      </w:pPr>
      <w:r>
        <w:rPr>
          <w:noProof/>
        </w:rPr>
        <w:t>Appendix H:</w:t>
      </w:r>
      <w:r>
        <w:rPr>
          <w:noProof/>
        </w:rPr>
        <w:tab/>
        <w:t>Screening principles applied to first trimester screening for undiagnosed diabetes</w:t>
      </w:r>
      <w:r>
        <w:rPr>
          <w:noProof/>
        </w:rPr>
        <w:tab/>
      </w:r>
      <w:r>
        <w:rPr>
          <w:noProof/>
        </w:rPr>
        <w:fldChar w:fldCharType="begin"/>
      </w:r>
      <w:r>
        <w:rPr>
          <w:noProof/>
        </w:rPr>
        <w:instrText xml:space="preserve"> PAGEREF _Toc403469700 \h </w:instrText>
      </w:r>
      <w:r>
        <w:rPr>
          <w:noProof/>
        </w:rPr>
      </w:r>
      <w:r>
        <w:rPr>
          <w:noProof/>
        </w:rPr>
        <w:fldChar w:fldCharType="separate"/>
      </w:r>
      <w:r w:rsidR="008A7DBA">
        <w:rPr>
          <w:noProof/>
        </w:rPr>
        <w:t>173</w:t>
      </w:r>
      <w:r>
        <w:rPr>
          <w:noProof/>
        </w:rPr>
        <w:fldChar w:fldCharType="end"/>
      </w:r>
    </w:p>
    <w:p w:rsidR="00D17509" w:rsidRDefault="00D17509" w:rsidP="00D17509">
      <w:pPr>
        <w:pStyle w:val="TOC2"/>
        <w:tabs>
          <w:tab w:val="left" w:pos="1418"/>
        </w:tabs>
        <w:ind w:left="1418" w:hanging="1418"/>
        <w:rPr>
          <w:rFonts w:asciiTheme="minorHAnsi" w:eastAsiaTheme="minorEastAsia" w:hAnsiTheme="minorHAnsi" w:cstheme="minorBidi"/>
          <w:noProof/>
          <w:szCs w:val="22"/>
          <w:lang w:eastAsia="en-NZ"/>
        </w:rPr>
      </w:pPr>
      <w:r>
        <w:rPr>
          <w:noProof/>
        </w:rPr>
        <w:t>Appendix I:</w:t>
      </w:r>
      <w:r>
        <w:rPr>
          <w:noProof/>
        </w:rPr>
        <w:tab/>
        <w:t>Supporting evidence for Chapter 3</w:t>
      </w:r>
      <w:r>
        <w:rPr>
          <w:noProof/>
        </w:rPr>
        <w:tab/>
      </w:r>
      <w:r>
        <w:rPr>
          <w:noProof/>
        </w:rPr>
        <w:fldChar w:fldCharType="begin"/>
      </w:r>
      <w:r>
        <w:rPr>
          <w:noProof/>
        </w:rPr>
        <w:instrText xml:space="preserve"> PAGEREF _Toc403469701 \h </w:instrText>
      </w:r>
      <w:r>
        <w:rPr>
          <w:noProof/>
        </w:rPr>
      </w:r>
      <w:r>
        <w:rPr>
          <w:noProof/>
        </w:rPr>
        <w:fldChar w:fldCharType="separate"/>
      </w:r>
      <w:r w:rsidR="008A7DBA">
        <w:rPr>
          <w:noProof/>
        </w:rPr>
        <w:t>180</w:t>
      </w:r>
      <w:r>
        <w:rPr>
          <w:noProof/>
        </w:rPr>
        <w:fldChar w:fldCharType="end"/>
      </w:r>
    </w:p>
    <w:p w:rsidR="00D17509" w:rsidRDefault="00D17509" w:rsidP="00D17509">
      <w:pPr>
        <w:pStyle w:val="TOC2"/>
        <w:tabs>
          <w:tab w:val="left" w:pos="1418"/>
        </w:tabs>
        <w:ind w:left="1418" w:hanging="1418"/>
        <w:rPr>
          <w:rFonts w:asciiTheme="minorHAnsi" w:eastAsiaTheme="minorEastAsia" w:hAnsiTheme="minorHAnsi" w:cstheme="minorBidi"/>
          <w:noProof/>
          <w:szCs w:val="22"/>
          <w:lang w:eastAsia="en-NZ"/>
        </w:rPr>
      </w:pPr>
      <w:r>
        <w:rPr>
          <w:noProof/>
        </w:rPr>
        <w:t>Appendix J:</w:t>
      </w:r>
      <w:r>
        <w:rPr>
          <w:noProof/>
        </w:rPr>
        <w:tab/>
        <w:t>Supporting evidence for Chapter 4</w:t>
      </w:r>
      <w:r>
        <w:rPr>
          <w:noProof/>
        </w:rPr>
        <w:tab/>
      </w:r>
      <w:r>
        <w:rPr>
          <w:noProof/>
        </w:rPr>
        <w:fldChar w:fldCharType="begin"/>
      </w:r>
      <w:r>
        <w:rPr>
          <w:noProof/>
        </w:rPr>
        <w:instrText xml:space="preserve"> PAGEREF _Toc403469702 \h </w:instrText>
      </w:r>
      <w:r>
        <w:rPr>
          <w:noProof/>
        </w:rPr>
      </w:r>
      <w:r>
        <w:rPr>
          <w:noProof/>
        </w:rPr>
        <w:fldChar w:fldCharType="separate"/>
      </w:r>
      <w:r w:rsidR="008A7DBA">
        <w:rPr>
          <w:noProof/>
        </w:rPr>
        <w:t>192</w:t>
      </w:r>
      <w:r>
        <w:rPr>
          <w:noProof/>
        </w:rPr>
        <w:fldChar w:fldCharType="end"/>
      </w:r>
    </w:p>
    <w:p w:rsidR="00D17509" w:rsidRDefault="00D17509" w:rsidP="00D17509">
      <w:pPr>
        <w:pStyle w:val="TOC2"/>
        <w:tabs>
          <w:tab w:val="left" w:pos="1418"/>
        </w:tabs>
        <w:ind w:left="1418" w:hanging="1418"/>
        <w:rPr>
          <w:rFonts w:asciiTheme="minorHAnsi" w:eastAsiaTheme="minorEastAsia" w:hAnsiTheme="minorHAnsi" w:cstheme="minorBidi"/>
          <w:noProof/>
          <w:szCs w:val="22"/>
          <w:lang w:eastAsia="en-NZ"/>
        </w:rPr>
      </w:pPr>
      <w:r>
        <w:rPr>
          <w:noProof/>
        </w:rPr>
        <w:t>Appendix K:</w:t>
      </w:r>
      <w:r>
        <w:rPr>
          <w:noProof/>
        </w:rPr>
        <w:tab/>
        <w:t>Supporting evidence for Chapter 5</w:t>
      </w:r>
      <w:r>
        <w:rPr>
          <w:noProof/>
        </w:rPr>
        <w:tab/>
      </w:r>
      <w:r>
        <w:rPr>
          <w:noProof/>
        </w:rPr>
        <w:fldChar w:fldCharType="begin"/>
      </w:r>
      <w:r>
        <w:rPr>
          <w:noProof/>
        </w:rPr>
        <w:instrText xml:space="preserve"> PAGEREF _Toc403469703 \h </w:instrText>
      </w:r>
      <w:r>
        <w:rPr>
          <w:noProof/>
        </w:rPr>
      </w:r>
      <w:r>
        <w:rPr>
          <w:noProof/>
        </w:rPr>
        <w:fldChar w:fldCharType="separate"/>
      </w:r>
      <w:r w:rsidR="008A7DBA">
        <w:rPr>
          <w:noProof/>
        </w:rPr>
        <w:t>237</w:t>
      </w:r>
      <w:r>
        <w:rPr>
          <w:noProof/>
        </w:rPr>
        <w:fldChar w:fldCharType="end"/>
      </w:r>
    </w:p>
    <w:p w:rsidR="00D17509" w:rsidRDefault="00D17509" w:rsidP="00D17509">
      <w:pPr>
        <w:pStyle w:val="TOC2"/>
        <w:tabs>
          <w:tab w:val="left" w:pos="1418"/>
        </w:tabs>
        <w:ind w:left="1418" w:hanging="1418"/>
        <w:rPr>
          <w:rFonts w:asciiTheme="minorHAnsi" w:eastAsiaTheme="minorEastAsia" w:hAnsiTheme="minorHAnsi" w:cstheme="minorBidi"/>
          <w:noProof/>
          <w:szCs w:val="22"/>
          <w:lang w:eastAsia="en-NZ"/>
        </w:rPr>
      </w:pPr>
      <w:r>
        <w:rPr>
          <w:noProof/>
        </w:rPr>
        <w:t>Appendix L:</w:t>
      </w:r>
      <w:r>
        <w:rPr>
          <w:noProof/>
        </w:rPr>
        <w:tab/>
        <w:t>Supporting evidence for Chapter 6</w:t>
      </w:r>
      <w:r>
        <w:rPr>
          <w:noProof/>
        </w:rPr>
        <w:tab/>
      </w:r>
      <w:r>
        <w:rPr>
          <w:noProof/>
        </w:rPr>
        <w:fldChar w:fldCharType="begin"/>
      </w:r>
      <w:r>
        <w:rPr>
          <w:noProof/>
        </w:rPr>
        <w:instrText xml:space="preserve"> PAGEREF _Toc403469704 \h </w:instrText>
      </w:r>
      <w:r>
        <w:rPr>
          <w:noProof/>
        </w:rPr>
      </w:r>
      <w:r>
        <w:rPr>
          <w:noProof/>
        </w:rPr>
        <w:fldChar w:fldCharType="separate"/>
      </w:r>
      <w:r w:rsidR="008A7DBA">
        <w:rPr>
          <w:noProof/>
        </w:rPr>
        <w:t>220</w:t>
      </w:r>
      <w:r>
        <w:rPr>
          <w:noProof/>
        </w:rPr>
        <w:fldChar w:fldCharType="end"/>
      </w:r>
    </w:p>
    <w:p w:rsidR="00D17509" w:rsidRDefault="00D17509" w:rsidP="00D17509">
      <w:pPr>
        <w:pStyle w:val="TOC2"/>
        <w:tabs>
          <w:tab w:val="left" w:pos="1418"/>
        </w:tabs>
        <w:ind w:left="1418" w:hanging="1418"/>
        <w:rPr>
          <w:rFonts w:asciiTheme="minorHAnsi" w:eastAsiaTheme="minorEastAsia" w:hAnsiTheme="minorHAnsi" w:cstheme="minorBidi"/>
          <w:noProof/>
          <w:szCs w:val="22"/>
          <w:lang w:eastAsia="en-NZ"/>
        </w:rPr>
      </w:pPr>
      <w:r>
        <w:rPr>
          <w:noProof/>
        </w:rPr>
        <w:t>Appendix M:</w:t>
      </w:r>
      <w:r>
        <w:rPr>
          <w:noProof/>
        </w:rPr>
        <w:tab/>
        <w:t>Supporting evidence for Chapter 7</w:t>
      </w:r>
      <w:r>
        <w:rPr>
          <w:noProof/>
        </w:rPr>
        <w:tab/>
      </w:r>
      <w:r>
        <w:rPr>
          <w:noProof/>
        </w:rPr>
        <w:fldChar w:fldCharType="begin"/>
      </w:r>
      <w:r>
        <w:rPr>
          <w:noProof/>
        </w:rPr>
        <w:instrText xml:space="preserve"> PAGEREF _Toc403469705 \h </w:instrText>
      </w:r>
      <w:r>
        <w:rPr>
          <w:noProof/>
        </w:rPr>
      </w:r>
      <w:r>
        <w:rPr>
          <w:noProof/>
        </w:rPr>
        <w:fldChar w:fldCharType="separate"/>
      </w:r>
      <w:r w:rsidR="008A7DBA">
        <w:rPr>
          <w:noProof/>
        </w:rPr>
        <w:t>222</w:t>
      </w:r>
      <w:r>
        <w:rPr>
          <w:noProof/>
        </w:rPr>
        <w:fldChar w:fldCharType="end"/>
      </w:r>
    </w:p>
    <w:p w:rsidR="00D17509" w:rsidRDefault="00D17509" w:rsidP="00D17509">
      <w:pPr>
        <w:pStyle w:val="TOC2"/>
        <w:tabs>
          <w:tab w:val="left" w:pos="1418"/>
        </w:tabs>
        <w:ind w:left="1418" w:hanging="1418"/>
        <w:rPr>
          <w:rFonts w:asciiTheme="minorHAnsi" w:eastAsiaTheme="minorEastAsia" w:hAnsiTheme="minorHAnsi" w:cstheme="minorBidi"/>
          <w:noProof/>
          <w:szCs w:val="22"/>
          <w:lang w:eastAsia="en-NZ"/>
        </w:rPr>
      </w:pPr>
      <w:r>
        <w:rPr>
          <w:noProof/>
        </w:rPr>
        <w:t>Appendix N:</w:t>
      </w:r>
      <w:r>
        <w:rPr>
          <w:noProof/>
        </w:rPr>
        <w:tab/>
        <w:t>Supporting evidence for Chapter 9</w:t>
      </w:r>
      <w:r>
        <w:rPr>
          <w:noProof/>
        </w:rPr>
        <w:tab/>
      </w:r>
      <w:r>
        <w:rPr>
          <w:noProof/>
        </w:rPr>
        <w:fldChar w:fldCharType="begin"/>
      </w:r>
      <w:r>
        <w:rPr>
          <w:noProof/>
        </w:rPr>
        <w:instrText xml:space="preserve"> PAGEREF _Toc403469706 \h </w:instrText>
      </w:r>
      <w:r>
        <w:rPr>
          <w:noProof/>
        </w:rPr>
      </w:r>
      <w:r>
        <w:rPr>
          <w:noProof/>
        </w:rPr>
        <w:fldChar w:fldCharType="separate"/>
      </w:r>
      <w:r w:rsidR="008A7DBA">
        <w:rPr>
          <w:noProof/>
        </w:rPr>
        <w:t>223</w:t>
      </w:r>
      <w:r>
        <w:rPr>
          <w:noProof/>
        </w:rPr>
        <w:fldChar w:fldCharType="end"/>
      </w:r>
    </w:p>
    <w:p w:rsidR="00D17509" w:rsidRDefault="00D17509" w:rsidP="00D17509">
      <w:pPr>
        <w:pStyle w:val="TOC2"/>
        <w:tabs>
          <w:tab w:val="left" w:pos="1418"/>
        </w:tabs>
        <w:ind w:left="1418" w:hanging="1418"/>
        <w:rPr>
          <w:rFonts w:asciiTheme="minorHAnsi" w:eastAsiaTheme="minorEastAsia" w:hAnsiTheme="minorHAnsi" w:cstheme="minorBidi"/>
          <w:noProof/>
          <w:szCs w:val="22"/>
          <w:lang w:eastAsia="en-NZ"/>
        </w:rPr>
      </w:pPr>
      <w:r>
        <w:rPr>
          <w:noProof/>
        </w:rPr>
        <w:t>Appendix O:</w:t>
      </w:r>
      <w:r>
        <w:rPr>
          <w:noProof/>
        </w:rPr>
        <w:tab/>
        <w:t>Supporting evidence for Chapter 10</w:t>
      </w:r>
      <w:r>
        <w:rPr>
          <w:noProof/>
        </w:rPr>
        <w:tab/>
      </w:r>
      <w:r>
        <w:rPr>
          <w:noProof/>
        </w:rPr>
        <w:fldChar w:fldCharType="begin"/>
      </w:r>
      <w:r>
        <w:rPr>
          <w:noProof/>
        </w:rPr>
        <w:instrText xml:space="preserve"> PAGEREF _Toc403469707 \h </w:instrText>
      </w:r>
      <w:r>
        <w:rPr>
          <w:noProof/>
        </w:rPr>
      </w:r>
      <w:r>
        <w:rPr>
          <w:noProof/>
        </w:rPr>
        <w:fldChar w:fldCharType="separate"/>
      </w:r>
      <w:r w:rsidR="008A7DBA">
        <w:rPr>
          <w:noProof/>
        </w:rPr>
        <w:t>229</w:t>
      </w:r>
      <w:r>
        <w:rPr>
          <w:noProof/>
        </w:rPr>
        <w:fldChar w:fldCharType="end"/>
      </w:r>
    </w:p>
    <w:p w:rsidR="00D17509" w:rsidRDefault="00D17509" w:rsidP="00D17509">
      <w:pPr>
        <w:pStyle w:val="TOC2"/>
        <w:tabs>
          <w:tab w:val="left" w:pos="1418"/>
        </w:tabs>
        <w:ind w:left="1418" w:hanging="1418"/>
        <w:rPr>
          <w:rFonts w:asciiTheme="minorHAnsi" w:eastAsiaTheme="minorEastAsia" w:hAnsiTheme="minorHAnsi" w:cstheme="minorBidi"/>
          <w:noProof/>
          <w:szCs w:val="22"/>
          <w:lang w:eastAsia="en-NZ"/>
        </w:rPr>
      </w:pPr>
      <w:r>
        <w:rPr>
          <w:noProof/>
        </w:rPr>
        <w:t>Appendix P:</w:t>
      </w:r>
      <w:r>
        <w:rPr>
          <w:noProof/>
        </w:rPr>
        <w:tab/>
        <w:t>Supporting evidence for Chapter 11</w:t>
      </w:r>
      <w:r>
        <w:rPr>
          <w:noProof/>
        </w:rPr>
        <w:tab/>
      </w:r>
      <w:r>
        <w:rPr>
          <w:noProof/>
        </w:rPr>
        <w:fldChar w:fldCharType="begin"/>
      </w:r>
      <w:r>
        <w:rPr>
          <w:noProof/>
        </w:rPr>
        <w:instrText xml:space="preserve"> PAGEREF _Toc403469708 \h </w:instrText>
      </w:r>
      <w:r>
        <w:rPr>
          <w:noProof/>
        </w:rPr>
      </w:r>
      <w:r>
        <w:rPr>
          <w:noProof/>
        </w:rPr>
        <w:fldChar w:fldCharType="separate"/>
      </w:r>
      <w:r w:rsidR="008A7DBA">
        <w:rPr>
          <w:noProof/>
        </w:rPr>
        <w:t>238</w:t>
      </w:r>
      <w:r>
        <w:rPr>
          <w:noProof/>
        </w:rPr>
        <w:fldChar w:fldCharType="end"/>
      </w:r>
    </w:p>
    <w:p w:rsidR="00C86248" w:rsidRDefault="00C86248" w:rsidP="00C04C3B">
      <w:r>
        <w:fldChar w:fldCharType="end"/>
      </w:r>
    </w:p>
    <w:p w:rsidR="00C04C3B" w:rsidRDefault="00C04C3B" w:rsidP="00C04C3B"/>
    <w:p w:rsidR="00C04C3B" w:rsidRDefault="00C04C3B" w:rsidP="00C04C3B">
      <w:pPr>
        <w:pStyle w:val="TOC1"/>
        <w:keepNext/>
      </w:pPr>
      <w:r>
        <w:t>List of Tables</w:t>
      </w:r>
    </w:p>
    <w:p w:rsidR="009E3907" w:rsidRDefault="00C04C3B">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9E3907">
        <w:rPr>
          <w:noProof/>
        </w:rPr>
        <w:t>Table A:</w:t>
      </w:r>
      <w:r w:rsidR="009E3907">
        <w:rPr>
          <w:noProof/>
        </w:rPr>
        <w:tab/>
        <w:t>Ministry of Health recommendations on weight gain in pregnancy</w:t>
      </w:r>
      <w:r w:rsidR="009E3907">
        <w:rPr>
          <w:noProof/>
        </w:rPr>
        <w:tab/>
      </w:r>
      <w:r w:rsidR="009E3907">
        <w:rPr>
          <w:noProof/>
        </w:rPr>
        <w:fldChar w:fldCharType="begin"/>
      </w:r>
      <w:r w:rsidR="009E3907">
        <w:rPr>
          <w:noProof/>
        </w:rPr>
        <w:instrText xml:space="preserve"> PAGEREF _Toc403635879 \h </w:instrText>
      </w:r>
      <w:r w:rsidR="009E3907">
        <w:rPr>
          <w:noProof/>
        </w:rPr>
      </w:r>
      <w:r w:rsidR="009E3907">
        <w:rPr>
          <w:noProof/>
        </w:rPr>
        <w:fldChar w:fldCharType="separate"/>
      </w:r>
      <w:r w:rsidR="008A7DBA">
        <w:rPr>
          <w:noProof/>
        </w:rPr>
        <w:t>26</w:t>
      </w:r>
      <w:r w:rsidR="009E3907">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B:</w:t>
      </w:r>
      <w:r>
        <w:rPr>
          <w:noProof/>
        </w:rPr>
        <w:tab/>
        <w:t xml:space="preserve">Participants’ knowledge of </w:t>
      </w:r>
      <w:r w:rsidRPr="005D3107">
        <w:rPr>
          <w:rFonts w:cs="Arial"/>
          <w:noProof/>
        </w:rPr>
        <w:t>gestational diabetes</w:t>
      </w:r>
      <w:r>
        <w:rPr>
          <w:noProof/>
        </w:rPr>
        <w:tab/>
      </w:r>
      <w:r>
        <w:rPr>
          <w:noProof/>
        </w:rPr>
        <w:fldChar w:fldCharType="begin"/>
      </w:r>
      <w:r>
        <w:rPr>
          <w:noProof/>
        </w:rPr>
        <w:instrText xml:space="preserve"> PAGEREF _Toc403635880 \h </w:instrText>
      </w:r>
      <w:r>
        <w:rPr>
          <w:noProof/>
        </w:rPr>
      </w:r>
      <w:r>
        <w:rPr>
          <w:noProof/>
        </w:rPr>
        <w:fldChar w:fldCharType="separate"/>
      </w:r>
      <w:r w:rsidR="008A7DBA">
        <w:rPr>
          <w:noProof/>
        </w:rPr>
        <w:t>62</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C:</w:t>
      </w:r>
      <w:r>
        <w:rPr>
          <w:noProof/>
        </w:rPr>
        <w:tab/>
        <w:t>Factors contributing to low screening rates for gestational diabetes</w:t>
      </w:r>
      <w:r>
        <w:rPr>
          <w:noProof/>
        </w:rPr>
        <w:tab/>
      </w:r>
      <w:r>
        <w:rPr>
          <w:noProof/>
        </w:rPr>
        <w:fldChar w:fldCharType="begin"/>
      </w:r>
      <w:r>
        <w:rPr>
          <w:noProof/>
        </w:rPr>
        <w:instrText xml:space="preserve"> PAGEREF _Toc403635881 \h </w:instrText>
      </w:r>
      <w:r>
        <w:rPr>
          <w:noProof/>
        </w:rPr>
      </w:r>
      <w:r>
        <w:rPr>
          <w:noProof/>
        </w:rPr>
        <w:fldChar w:fldCharType="separate"/>
      </w:r>
      <w:r w:rsidR="008A7DBA">
        <w:rPr>
          <w:noProof/>
        </w:rPr>
        <w:t>65</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1:</w:t>
      </w:r>
      <w:r>
        <w:rPr>
          <w:noProof/>
        </w:rPr>
        <w:tab/>
        <w:t>Percentage of women flagged with gestational diabetes mellitus by ethnicity in New Zealand (2012)</w:t>
      </w:r>
      <w:r>
        <w:rPr>
          <w:noProof/>
        </w:rPr>
        <w:tab/>
      </w:r>
      <w:r>
        <w:rPr>
          <w:noProof/>
        </w:rPr>
        <w:fldChar w:fldCharType="begin"/>
      </w:r>
      <w:r>
        <w:rPr>
          <w:noProof/>
        </w:rPr>
        <w:instrText xml:space="preserve"> PAGEREF _Toc403635882 \h </w:instrText>
      </w:r>
      <w:r>
        <w:rPr>
          <w:noProof/>
        </w:rPr>
      </w:r>
      <w:r>
        <w:rPr>
          <w:noProof/>
        </w:rPr>
        <w:fldChar w:fldCharType="separate"/>
      </w:r>
      <w:r w:rsidR="008A7DBA">
        <w:rPr>
          <w:noProof/>
        </w:rPr>
        <w:t>111</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2:</w:t>
      </w:r>
      <w:r>
        <w:rPr>
          <w:noProof/>
        </w:rPr>
        <w:tab/>
        <w:t>Summary of appraisals of national and international guidelines using the AGREE II tool</w:t>
      </w:r>
      <w:r>
        <w:rPr>
          <w:noProof/>
        </w:rPr>
        <w:tab/>
      </w:r>
      <w:r>
        <w:rPr>
          <w:noProof/>
        </w:rPr>
        <w:fldChar w:fldCharType="begin"/>
      </w:r>
      <w:r>
        <w:rPr>
          <w:noProof/>
        </w:rPr>
        <w:instrText xml:space="preserve"> PAGEREF _Toc403635883 \h </w:instrText>
      </w:r>
      <w:r>
        <w:rPr>
          <w:noProof/>
        </w:rPr>
      </w:r>
      <w:r>
        <w:rPr>
          <w:noProof/>
        </w:rPr>
        <w:fldChar w:fldCharType="separate"/>
      </w:r>
      <w:r w:rsidR="008A7DBA">
        <w:rPr>
          <w:noProof/>
        </w:rPr>
        <w:t>112</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3:</w:t>
      </w:r>
      <w:r>
        <w:rPr>
          <w:noProof/>
        </w:rPr>
        <w:tab/>
        <w:t>Risk factors for previously undiagnosed type 2 diabetes</w:t>
      </w:r>
      <w:r>
        <w:rPr>
          <w:noProof/>
        </w:rPr>
        <w:tab/>
      </w:r>
      <w:r>
        <w:rPr>
          <w:noProof/>
        </w:rPr>
        <w:fldChar w:fldCharType="begin"/>
      </w:r>
      <w:r>
        <w:rPr>
          <w:noProof/>
        </w:rPr>
        <w:instrText xml:space="preserve"> PAGEREF _Toc403635884 \h </w:instrText>
      </w:r>
      <w:r>
        <w:rPr>
          <w:noProof/>
        </w:rPr>
      </w:r>
      <w:r>
        <w:rPr>
          <w:noProof/>
        </w:rPr>
        <w:fldChar w:fldCharType="separate"/>
      </w:r>
      <w:r w:rsidR="008A7DBA">
        <w:rPr>
          <w:noProof/>
        </w:rPr>
        <w:t>128</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4:</w:t>
      </w:r>
      <w:r>
        <w:rPr>
          <w:noProof/>
        </w:rPr>
        <w:tab/>
        <w:t>Risk factors for gestational diabetes identified in clinical guidelines/position statements</w:t>
      </w:r>
      <w:r>
        <w:rPr>
          <w:noProof/>
        </w:rPr>
        <w:tab/>
      </w:r>
      <w:r>
        <w:rPr>
          <w:noProof/>
        </w:rPr>
        <w:fldChar w:fldCharType="begin"/>
      </w:r>
      <w:r>
        <w:rPr>
          <w:noProof/>
        </w:rPr>
        <w:instrText xml:space="preserve"> PAGEREF _Toc403635885 \h </w:instrText>
      </w:r>
      <w:r>
        <w:rPr>
          <w:noProof/>
        </w:rPr>
      </w:r>
      <w:r>
        <w:rPr>
          <w:noProof/>
        </w:rPr>
        <w:fldChar w:fldCharType="separate"/>
      </w:r>
      <w:r w:rsidR="008A7DBA">
        <w:rPr>
          <w:noProof/>
        </w:rPr>
        <w:t>132</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5:</w:t>
      </w:r>
      <w:r>
        <w:rPr>
          <w:noProof/>
        </w:rPr>
        <w:tab/>
        <w:t>Studies reporting on maternal age as a risk factor for developing hyperglycaemia in pregnancy</w:t>
      </w:r>
      <w:r>
        <w:rPr>
          <w:noProof/>
        </w:rPr>
        <w:tab/>
      </w:r>
      <w:r>
        <w:rPr>
          <w:noProof/>
        </w:rPr>
        <w:fldChar w:fldCharType="begin"/>
      </w:r>
      <w:r>
        <w:rPr>
          <w:noProof/>
        </w:rPr>
        <w:instrText xml:space="preserve"> PAGEREF _Toc403635886 \h </w:instrText>
      </w:r>
      <w:r>
        <w:rPr>
          <w:noProof/>
        </w:rPr>
      </w:r>
      <w:r>
        <w:rPr>
          <w:noProof/>
        </w:rPr>
        <w:fldChar w:fldCharType="separate"/>
      </w:r>
      <w:r w:rsidR="008A7DBA">
        <w:rPr>
          <w:noProof/>
        </w:rPr>
        <w:t>135</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6:</w:t>
      </w:r>
      <w:r>
        <w:rPr>
          <w:noProof/>
        </w:rPr>
        <w:tab/>
        <w:t>Studies reporting on ethnicity as a risk factor for developing gestational diabetes</w:t>
      </w:r>
      <w:r>
        <w:rPr>
          <w:noProof/>
        </w:rPr>
        <w:tab/>
      </w:r>
      <w:r>
        <w:rPr>
          <w:noProof/>
        </w:rPr>
        <w:fldChar w:fldCharType="begin"/>
      </w:r>
      <w:r>
        <w:rPr>
          <w:noProof/>
        </w:rPr>
        <w:instrText xml:space="preserve"> PAGEREF _Toc403635887 \h </w:instrText>
      </w:r>
      <w:r>
        <w:rPr>
          <w:noProof/>
        </w:rPr>
      </w:r>
      <w:r>
        <w:rPr>
          <w:noProof/>
        </w:rPr>
        <w:fldChar w:fldCharType="separate"/>
      </w:r>
      <w:r w:rsidR="008A7DBA">
        <w:rPr>
          <w:noProof/>
        </w:rPr>
        <w:t>140</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7:</w:t>
      </w:r>
      <w:r>
        <w:rPr>
          <w:noProof/>
        </w:rPr>
        <w:tab/>
        <w:t>Studies reporting on family history of diabetes as a risk factor for developing gestational diabetes</w:t>
      </w:r>
      <w:r>
        <w:rPr>
          <w:noProof/>
        </w:rPr>
        <w:tab/>
      </w:r>
      <w:r>
        <w:rPr>
          <w:noProof/>
        </w:rPr>
        <w:fldChar w:fldCharType="begin"/>
      </w:r>
      <w:r>
        <w:rPr>
          <w:noProof/>
        </w:rPr>
        <w:instrText xml:space="preserve"> PAGEREF _Toc403635888 \h </w:instrText>
      </w:r>
      <w:r>
        <w:rPr>
          <w:noProof/>
        </w:rPr>
      </w:r>
      <w:r>
        <w:rPr>
          <w:noProof/>
        </w:rPr>
        <w:fldChar w:fldCharType="separate"/>
      </w:r>
      <w:r w:rsidR="008A7DBA">
        <w:rPr>
          <w:noProof/>
        </w:rPr>
        <w:t>144</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8:</w:t>
      </w:r>
      <w:r>
        <w:rPr>
          <w:noProof/>
        </w:rPr>
        <w:tab/>
        <w:t>Studies reporting on previous history of gestational diabetes as a risk factor for developing gestational diabetes</w:t>
      </w:r>
      <w:r>
        <w:rPr>
          <w:noProof/>
        </w:rPr>
        <w:tab/>
      </w:r>
      <w:r>
        <w:rPr>
          <w:noProof/>
        </w:rPr>
        <w:fldChar w:fldCharType="begin"/>
      </w:r>
      <w:r>
        <w:rPr>
          <w:noProof/>
        </w:rPr>
        <w:instrText xml:space="preserve"> PAGEREF _Toc403635889 \h </w:instrText>
      </w:r>
      <w:r>
        <w:rPr>
          <w:noProof/>
        </w:rPr>
      </w:r>
      <w:r>
        <w:rPr>
          <w:noProof/>
        </w:rPr>
        <w:fldChar w:fldCharType="separate"/>
      </w:r>
      <w:r w:rsidR="008A7DBA">
        <w:rPr>
          <w:noProof/>
        </w:rPr>
        <w:t>147</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9:</w:t>
      </w:r>
      <w:r>
        <w:rPr>
          <w:noProof/>
        </w:rPr>
        <w:tab/>
        <w:t>Studies reporting on body mass index/weight gain as a risk factor for developing gestational diabetes</w:t>
      </w:r>
      <w:r>
        <w:rPr>
          <w:noProof/>
        </w:rPr>
        <w:tab/>
      </w:r>
      <w:r>
        <w:rPr>
          <w:noProof/>
        </w:rPr>
        <w:fldChar w:fldCharType="begin"/>
      </w:r>
      <w:r>
        <w:rPr>
          <w:noProof/>
        </w:rPr>
        <w:instrText xml:space="preserve"> PAGEREF _Toc403635890 \h </w:instrText>
      </w:r>
      <w:r>
        <w:rPr>
          <w:noProof/>
        </w:rPr>
      </w:r>
      <w:r>
        <w:rPr>
          <w:noProof/>
        </w:rPr>
        <w:fldChar w:fldCharType="separate"/>
      </w:r>
      <w:r w:rsidR="008A7DBA">
        <w:rPr>
          <w:noProof/>
        </w:rPr>
        <w:t>150</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10:</w:t>
      </w:r>
      <w:r>
        <w:rPr>
          <w:noProof/>
        </w:rPr>
        <w:tab/>
        <w:t>Studies reporting on macrosomia/large for gestational age as a risk factor for developing gestational diabetes</w:t>
      </w:r>
      <w:r>
        <w:rPr>
          <w:noProof/>
        </w:rPr>
        <w:tab/>
      </w:r>
      <w:r>
        <w:rPr>
          <w:noProof/>
        </w:rPr>
        <w:fldChar w:fldCharType="begin"/>
      </w:r>
      <w:r>
        <w:rPr>
          <w:noProof/>
        </w:rPr>
        <w:instrText xml:space="preserve"> PAGEREF _Toc403635891 \h </w:instrText>
      </w:r>
      <w:r>
        <w:rPr>
          <w:noProof/>
        </w:rPr>
      </w:r>
      <w:r>
        <w:rPr>
          <w:noProof/>
        </w:rPr>
        <w:fldChar w:fldCharType="separate"/>
      </w:r>
      <w:r w:rsidR="008A7DBA">
        <w:rPr>
          <w:noProof/>
        </w:rPr>
        <w:t>159</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11:</w:t>
      </w:r>
      <w:r>
        <w:rPr>
          <w:noProof/>
        </w:rPr>
        <w:tab/>
        <w:t>Studies reporting on parity as a risk factor for developing hyperglycaemia in pregnancy</w:t>
      </w:r>
      <w:r>
        <w:rPr>
          <w:noProof/>
        </w:rPr>
        <w:tab/>
      </w:r>
      <w:r>
        <w:rPr>
          <w:noProof/>
        </w:rPr>
        <w:fldChar w:fldCharType="begin"/>
      </w:r>
      <w:r>
        <w:rPr>
          <w:noProof/>
        </w:rPr>
        <w:instrText xml:space="preserve"> PAGEREF _Toc403635892 \h </w:instrText>
      </w:r>
      <w:r>
        <w:rPr>
          <w:noProof/>
        </w:rPr>
      </w:r>
      <w:r>
        <w:rPr>
          <w:noProof/>
        </w:rPr>
        <w:fldChar w:fldCharType="separate"/>
      </w:r>
      <w:r w:rsidR="008A7DBA">
        <w:rPr>
          <w:noProof/>
        </w:rPr>
        <w:t>161</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12:</w:t>
      </w:r>
      <w:r>
        <w:rPr>
          <w:noProof/>
        </w:rPr>
        <w:tab/>
        <w:t>Studies reporting on dietary factors as a risk factor for developing gestational diabetes</w:t>
      </w:r>
      <w:r>
        <w:rPr>
          <w:noProof/>
        </w:rPr>
        <w:tab/>
      </w:r>
      <w:r>
        <w:rPr>
          <w:noProof/>
        </w:rPr>
        <w:fldChar w:fldCharType="begin"/>
      </w:r>
      <w:r>
        <w:rPr>
          <w:noProof/>
        </w:rPr>
        <w:instrText xml:space="preserve"> PAGEREF _Toc403635893 \h </w:instrText>
      </w:r>
      <w:r>
        <w:rPr>
          <w:noProof/>
        </w:rPr>
      </w:r>
      <w:r>
        <w:rPr>
          <w:noProof/>
        </w:rPr>
        <w:fldChar w:fldCharType="separate"/>
      </w:r>
      <w:r w:rsidR="008A7DBA">
        <w:rPr>
          <w:noProof/>
        </w:rPr>
        <w:t>163</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13:</w:t>
      </w:r>
      <w:r>
        <w:rPr>
          <w:noProof/>
        </w:rPr>
        <w:tab/>
        <w:t>Studies reporting on vitamin D as a risk factor for developing gestational diabetes</w:t>
      </w:r>
      <w:r>
        <w:rPr>
          <w:noProof/>
        </w:rPr>
        <w:tab/>
      </w:r>
      <w:r>
        <w:rPr>
          <w:noProof/>
        </w:rPr>
        <w:fldChar w:fldCharType="begin"/>
      </w:r>
      <w:r>
        <w:rPr>
          <w:noProof/>
        </w:rPr>
        <w:instrText xml:space="preserve"> PAGEREF _Toc403635894 \h </w:instrText>
      </w:r>
      <w:r>
        <w:rPr>
          <w:noProof/>
        </w:rPr>
      </w:r>
      <w:r>
        <w:rPr>
          <w:noProof/>
        </w:rPr>
        <w:fldChar w:fldCharType="separate"/>
      </w:r>
      <w:r w:rsidR="008A7DBA">
        <w:rPr>
          <w:noProof/>
        </w:rPr>
        <w:t>166</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14:</w:t>
      </w:r>
      <w:r>
        <w:rPr>
          <w:noProof/>
        </w:rPr>
        <w:tab/>
        <w:t>Studies reporting on maternal history of subfertility as a risk factor for developing gestational diabetes</w:t>
      </w:r>
      <w:r>
        <w:rPr>
          <w:noProof/>
        </w:rPr>
        <w:tab/>
      </w:r>
      <w:r>
        <w:rPr>
          <w:noProof/>
        </w:rPr>
        <w:fldChar w:fldCharType="begin"/>
      </w:r>
      <w:r>
        <w:rPr>
          <w:noProof/>
        </w:rPr>
        <w:instrText xml:space="preserve"> PAGEREF _Toc403635895 \h </w:instrText>
      </w:r>
      <w:r>
        <w:rPr>
          <w:noProof/>
        </w:rPr>
      </w:r>
      <w:r>
        <w:rPr>
          <w:noProof/>
        </w:rPr>
        <w:fldChar w:fldCharType="separate"/>
      </w:r>
      <w:r w:rsidR="008A7DBA">
        <w:rPr>
          <w:noProof/>
        </w:rPr>
        <w:t>168</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15:</w:t>
      </w:r>
      <w:r>
        <w:rPr>
          <w:noProof/>
        </w:rPr>
        <w:tab/>
        <w:t>Recommendations and statements on early screening for diabetes in pregnancy</w:t>
      </w:r>
      <w:r>
        <w:rPr>
          <w:noProof/>
        </w:rPr>
        <w:tab/>
      </w:r>
      <w:r>
        <w:rPr>
          <w:noProof/>
        </w:rPr>
        <w:fldChar w:fldCharType="begin"/>
      </w:r>
      <w:r>
        <w:rPr>
          <w:noProof/>
        </w:rPr>
        <w:instrText xml:space="preserve"> PAGEREF _Toc403635896 \h </w:instrText>
      </w:r>
      <w:r>
        <w:rPr>
          <w:noProof/>
        </w:rPr>
      </w:r>
      <w:r>
        <w:rPr>
          <w:noProof/>
        </w:rPr>
        <w:fldChar w:fldCharType="separate"/>
      </w:r>
      <w:r w:rsidR="008A7DBA">
        <w:rPr>
          <w:noProof/>
        </w:rPr>
        <w:t>169</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16:</w:t>
      </w:r>
      <w:r>
        <w:rPr>
          <w:noProof/>
        </w:rPr>
        <w:tab/>
        <w:t>Diagnostic accuracy of HbA1c test reported in the Burlingame study (2012)</w:t>
      </w:r>
      <w:r>
        <w:rPr>
          <w:noProof/>
        </w:rPr>
        <w:tab/>
      </w:r>
      <w:r>
        <w:rPr>
          <w:noProof/>
        </w:rPr>
        <w:fldChar w:fldCharType="begin"/>
      </w:r>
      <w:r>
        <w:rPr>
          <w:noProof/>
        </w:rPr>
        <w:instrText xml:space="preserve"> PAGEREF _Toc403635897 \h </w:instrText>
      </w:r>
      <w:r>
        <w:rPr>
          <w:noProof/>
        </w:rPr>
      </w:r>
      <w:r>
        <w:rPr>
          <w:noProof/>
        </w:rPr>
        <w:fldChar w:fldCharType="separate"/>
      </w:r>
      <w:r w:rsidR="008A7DBA">
        <w:rPr>
          <w:noProof/>
        </w:rPr>
        <w:t>173</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17:</w:t>
      </w:r>
      <w:r>
        <w:rPr>
          <w:noProof/>
        </w:rPr>
        <w:tab/>
        <w:t>Commonly used screening and diagnostic procedures</w:t>
      </w:r>
      <w:r>
        <w:rPr>
          <w:noProof/>
        </w:rPr>
        <w:tab/>
      </w:r>
      <w:r>
        <w:rPr>
          <w:noProof/>
        </w:rPr>
        <w:fldChar w:fldCharType="begin"/>
      </w:r>
      <w:r>
        <w:rPr>
          <w:noProof/>
        </w:rPr>
        <w:instrText xml:space="preserve"> PAGEREF _Toc403635898 \h </w:instrText>
      </w:r>
      <w:r>
        <w:rPr>
          <w:noProof/>
        </w:rPr>
      </w:r>
      <w:r>
        <w:rPr>
          <w:noProof/>
        </w:rPr>
        <w:fldChar w:fldCharType="separate"/>
      </w:r>
      <w:r w:rsidR="008A7DBA">
        <w:rPr>
          <w:noProof/>
        </w:rPr>
        <w:t>180</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lang w:eastAsia="ja-JP"/>
        </w:rPr>
        <w:t>Table 18:</w:t>
      </w:r>
      <w:r>
        <w:rPr>
          <w:noProof/>
          <w:lang w:eastAsia="ja-JP"/>
        </w:rPr>
        <w:tab/>
        <w:t>Prevalence and characteristics of other screening tests by gestational diabetes diagnostic criteria</w:t>
      </w:r>
      <w:r>
        <w:rPr>
          <w:noProof/>
        </w:rPr>
        <w:tab/>
      </w:r>
      <w:r>
        <w:rPr>
          <w:noProof/>
        </w:rPr>
        <w:fldChar w:fldCharType="begin"/>
      </w:r>
      <w:r>
        <w:rPr>
          <w:noProof/>
        </w:rPr>
        <w:instrText xml:space="preserve"> PAGEREF _Toc403635899 \h </w:instrText>
      </w:r>
      <w:r>
        <w:rPr>
          <w:noProof/>
        </w:rPr>
      </w:r>
      <w:r>
        <w:rPr>
          <w:noProof/>
        </w:rPr>
        <w:fldChar w:fldCharType="separate"/>
      </w:r>
      <w:r w:rsidR="008A7DBA">
        <w:rPr>
          <w:noProof/>
        </w:rPr>
        <w:t>187</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19:</w:t>
      </w:r>
      <w:r>
        <w:rPr>
          <w:noProof/>
        </w:rPr>
        <w:tab/>
        <w:t>Effect of prevalence on positive and negative predictive values</w:t>
      </w:r>
      <w:r>
        <w:rPr>
          <w:noProof/>
        </w:rPr>
        <w:tab/>
      </w:r>
      <w:r>
        <w:rPr>
          <w:noProof/>
        </w:rPr>
        <w:fldChar w:fldCharType="begin"/>
      </w:r>
      <w:r>
        <w:rPr>
          <w:noProof/>
        </w:rPr>
        <w:instrText xml:space="preserve"> PAGEREF _Toc403635900 \h </w:instrText>
      </w:r>
      <w:r>
        <w:rPr>
          <w:noProof/>
        </w:rPr>
      </w:r>
      <w:r>
        <w:rPr>
          <w:noProof/>
        </w:rPr>
        <w:fldChar w:fldCharType="separate"/>
      </w:r>
      <w:r w:rsidR="008A7DBA">
        <w:rPr>
          <w:noProof/>
        </w:rPr>
        <w:t>189</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lang w:eastAsia="ja-JP"/>
        </w:rPr>
        <w:t>Table 20:</w:t>
      </w:r>
      <w:r>
        <w:rPr>
          <w:noProof/>
          <w:lang w:eastAsia="ja-JP"/>
        </w:rPr>
        <w:tab/>
        <w:t>Changes in prevalence of gestational diabetes based on diagnostic criteria</w:t>
      </w:r>
      <w:r>
        <w:rPr>
          <w:noProof/>
        </w:rPr>
        <w:tab/>
      </w:r>
      <w:r>
        <w:rPr>
          <w:noProof/>
        </w:rPr>
        <w:fldChar w:fldCharType="begin"/>
      </w:r>
      <w:r>
        <w:rPr>
          <w:noProof/>
        </w:rPr>
        <w:instrText xml:space="preserve"> PAGEREF _Toc403635901 \h </w:instrText>
      </w:r>
      <w:r>
        <w:rPr>
          <w:noProof/>
        </w:rPr>
      </w:r>
      <w:r>
        <w:rPr>
          <w:noProof/>
        </w:rPr>
        <w:fldChar w:fldCharType="separate"/>
      </w:r>
      <w:r w:rsidR="008A7DBA">
        <w:rPr>
          <w:noProof/>
        </w:rPr>
        <w:t>190</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lang w:eastAsia="en-NZ"/>
        </w:rPr>
        <w:t>Table 21:</w:t>
      </w:r>
      <w:r>
        <w:rPr>
          <w:noProof/>
          <w:lang w:eastAsia="en-NZ"/>
        </w:rPr>
        <w:tab/>
        <w:t xml:space="preserve">Outcomes for women who would have been diagnosed with gestational diabetes using the </w:t>
      </w:r>
      <w:r>
        <w:rPr>
          <w:noProof/>
        </w:rPr>
        <w:t>International Association of Diabetes and Pregnancy Study Groups’</w:t>
      </w:r>
      <w:r w:rsidRPr="005D3107">
        <w:rPr>
          <w:iCs/>
          <w:noProof/>
          <w:lang w:eastAsia="en-NZ"/>
        </w:rPr>
        <w:t xml:space="preserve"> </w:t>
      </w:r>
      <w:r>
        <w:rPr>
          <w:noProof/>
          <w:lang w:eastAsia="en-NZ"/>
        </w:rPr>
        <w:t>criteria compared with outcomes for women without gestational diabetes</w:t>
      </w:r>
      <w:r>
        <w:rPr>
          <w:noProof/>
        </w:rPr>
        <w:tab/>
      </w:r>
      <w:r>
        <w:rPr>
          <w:noProof/>
        </w:rPr>
        <w:fldChar w:fldCharType="begin"/>
      </w:r>
      <w:r>
        <w:rPr>
          <w:noProof/>
        </w:rPr>
        <w:instrText xml:space="preserve"> PAGEREF _Toc403635902 \h </w:instrText>
      </w:r>
      <w:r>
        <w:rPr>
          <w:noProof/>
        </w:rPr>
      </w:r>
      <w:r>
        <w:rPr>
          <w:noProof/>
        </w:rPr>
        <w:fldChar w:fldCharType="separate"/>
      </w:r>
      <w:r w:rsidR="008A7DBA">
        <w:rPr>
          <w:noProof/>
        </w:rPr>
        <w:t>190</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22:</w:t>
      </w:r>
      <w:r>
        <w:rPr>
          <w:noProof/>
        </w:rPr>
        <w:tab/>
      </w:r>
      <w:r>
        <w:rPr>
          <w:noProof/>
          <w:lang w:eastAsia="en-NZ"/>
        </w:rPr>
        <w:t xml:space="preserve">Outcomes for women who would have been diagnosed with gestational diabetes using the </w:t>
      </w:r>
      <w:r>
        <w:rPr>
          <w:noProof/>
        </w:rPr>
        <w:t xml:space="preserve">Carpenter and Coustan </w:t>
      </w:r>
      <w:r>
        <w:rPr>
          <w:noProof/>
          <w:lang w:eastAsia="en-NZ"/>
        </w:rPr>
        <w:t>criteria compared with outcomes for women diagnosed with gestational diabetes using the National Diabetes Data Group criteria</w:t>
      </w:r>
      <w:r>
        <w:rPr>
          <w:noProof/>
        </w:rPr>
        <w:tab/>
      </w:r>
      <w:r>
        <w:rPr>
          <w:noProof/>
        </w:rPr>
        <w:fldChar w:fldCharType="begin"/>
      </w:r>
      <w:r>
        <w:rPr>
          <w:noProof/>
        </w:rPr>
        <w:instrText xml:space="preserve"> PAGEREF _Toc403635903 \h </w:instrText>
      </w:r>
      <w:r>
        <w:rPr>
          <w:noProof/>
        </w:rPr>
      </w:r>
      <w:r>
        <w:rPr>
          <w:noProof/>
        </w:rPr>
        <w:fldChar w:fldCharType="separate"/>
      </w:r>
      <w:r w:rsidR="008A7DBA">
        <w:rPr>
          <w:noProof/>
        </w:rPr>
        <w:t>191</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23:</w:t>
      </w:r>
      <w:r>
        <w:rPr>
          <w:noProof/>
        </w:rPr>
        <w:tab/>
        <w:t>Maternal and infant outcomes according to the presence or absence of gestational diabetes and/or at least one risk factor</w:t>
      </w:r>
      <w:r>
        <w:rPr>
          <w:noProof/>
        </w:rPr>
        <w:tab/>
      </w:r>
      <w:r>
        <w:rPr>
          <w:noProof/>
        </w:rPr>
        <w:fldChar w:fldCharType="begin"/>
      </w:r>
      <w:r>
        <w:rPr>
          <w:noProof/>
        </w:rPr>
        <w:instrText xml:space="preserve"> PAGEREF _Toc403635904 \h </w:instrText>
      </w:r>
      <w:r>
        <w:rPr>
          <w:noProof/>
        </w:rPr>
      </w:r>
      <w:r>
        <w:rPr>
          <w:noProof/>
        </w:rPr>
        <w:fldChar w:fldCharType="separate"/>
      </w:r>
      <w:r w:rsidR="008A7DBA">
        <w:rPr>
          <w:noProof/>
        </w:rPr>
        <w:t>191</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24:</w:t>
      </w:r>
      <w:r>
        <w:rPr>
          <w:noProof/>
        </w:rPr>
        <w:tab/>
        <w:t>Table of effects: dietary interventions to prevent gestational diabetes</w:t>
      </w:r>
      <w:r>
        <w:rPr>
          <w:noProof/>
        </w:rPr>
        <w:tab/>
      </w:r>
      <w:r>
        <w:rPr>
          <w:noProof/>
        </w:rPr>
        <w:fldChar w:fldCharType="begin"/>
      </w:r>
      <w:r>
        <w:rPr>
          <w:noProof/>
        </w:rPr>
        <w:instrText xml:space="preserve"> PAGEREF _Toc403635905 \h </w:instrText>
      </w:r>
      <w:r>
        <w:rPr>
          <w:noProof/>
        </w:rPr>
      </w:r>
      <w:r>
        <w:rPr>
          <w:noProof/>
        </w:rPr>
        <w:fldChar w:fldCharType="separate"/>
      </w:r>
      <w:r w:rsidR="008A7DBA">
        <w:rPr>
          <w:noProof/>
        </w:rPr>
        <w:t>192</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25:</w:t>
      </w:r>
      <w:r>
        <w:rPr>
          <w:noProof/>
        </w:rPr>
        <w:tab/>
        <w:t>Table of effects: exercise interventions to prevent gestational diabetes</w:t>
      </w:r>
      <w:r>
        <w:rPr>
          <w:noProof/>
        </w:rPr>
        <w:tab/>
      </w:r>
      <w:r>
        <w:rPr>
          <w:noProof/>
        </w:rPr>
        <w:fldChar w:fldCharType="begin"/>
      </w:r>
      <w:r>
        <w:rPr>
          <w:noProof/>
        </w:rPr>
        <w:instrText xml:space="preserve"> PAGEREF _Toc403635906 \h </w:instrText>
      </w:r>
      <w:r>
        <w:rPr>
          <w:noProof/>
        </w:rPr>
      </w:r>
      <w:r>
        <w:rPr>
          <w:noProof/>
        </w:rPr>
        <w:fldChar w:fldCharType="separate"/>
      </w:r>
      <w:r w:rsidR="008A7DBA">
        <w:rPr>
          <w:noProof/>
        </w:rPr>
        <w:t>192</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26:</w:t>
      </w:r>
      <w:r>
        <w:rPr>
          <w:noProof/>
        </w:rPr>
        <w:tab/>
        <w:t>Table of effects: dietary and exercise interventions to prevent gestational diabetes</w:t>
      </w:r>
      <w:r>
        <w:rPr>
          <w:noProof/>
        </w:rPr>
        <w:tab/>
      </w:r>
      <w:r>
        <w:rPr>
          <w:noProof/>
        </w:rPr>
        <w:fldChar w:fldCharType="begin"/>
      </w:r>
      <w:r>
        <w:rPr>
          <w:noProof/>
        </w:rPr>
        <w:instrText xml:space="preserve"> PAGEREF _Toc403635907 \h </w:instrText>
      </w:r>
      <w:r>
        <w:rPr>
          <w:noProof/>
        </w:rPr>
      </w:r>
      <w:r>
        <w:rPr>
          <w:noProof/>
        </w:rPr>
        <w:fldChar w:fldCharType="separate"/>
      </w:r>
      <w:r w:rsidR="008A7DBA">
        <w:rPr>
          <w:noProof/>
        </w:rPr>
        <w:t>193</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27:</w:t>
      </w:r>
      <w:r>
        <w:rPr>
          <w:noProof/>
        </w:rPr>
        <w:tab/>
        <w:t>Details of screening/diagnostic criteria of interventions providing specific packages of treatment for women diagnosed with gestational diabetes</w:t>
      </w:r>
      <w:r>
        <w:rPr>
          <w:noProof/>
        </w:rPr>
        <w:tab/>
      </w:r>
      <w:r>
        <w:rPr>
          <w:noProof/>
        </w:rPr>
        <w:fldChar w:fldCharType="begin"/>
      </w:r>
      <w:r>
        <w:rPr>
          <w:noProof/>
        </w:rPr>
        <w:instrText xml:space="preserve"> PAGEREF _Toc403635908 \h </w:instrText>
      </w:r>
      <w:r>
        <w:rPr>
          <w:noProof/>
        </w:rPr>
      </w:r>
      <w:r>
        <w:rPr>
          <w:noProof/>
        </w:rPr>
        <w:fldChar w:fldCharType="separate"/>
      </w:r>
      <w:r w:rsidR="008A7DBA">
        <w:rPr>
          <w:noProof/>
        </w:rPr>
        <w:t>194</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28:</w:t>
      </w:r>
      <w:r>
        <w:rPr>
          <w:noProof/>
        </w:rPr>
        <w:tab/>
        <w:t>Demographic details of women included in randomised trials of specific packages of treatment for gestational diabetes</w:t>
      </w:r>
      <w:r>
        <w:rPr>
          <w:noProof/>
        </w:rPr>
        <w:tab/>
      </w:r>
      <w:r>
        <w:rPr>
          <w:noProof/>
        </w:rPr>
        <w:fldChar w:fldCharType="begin"/>
      </w:r>
      <w:r>
        <w:rPr>
          <w:noProof/>
        </w:rPr>
        <w:instrText xml:space="preserve"> PAGEREF _Toc403635909 \h </w:instrText>
      </w:r>
      <w:r>
        <w:rPr>
          <w:noProof/>
        </w:rPr>
      </w:r>
      <w:r>
        <w:rPr>
          <w:noProof/>
        </w:rPr>
        <w:fldChar w:fldCharType="separate"/>
      </w:r>
      <w:r w:rsidR="008A7DBA">
        <w:rPr>
          <w:noProof/>
        </w:rPr>
        <w:t>195</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29:</w:t>
      </w:r>
      <w:r>
        <w:rPr>
          <w:noProof/>
        </w:rPr>
        <w:tab/>
        <w:t>Components of interventions using specific packages of treatment for women with gestational diabetes</w:t>
      </w:r>
      <w:r>
        <w:rPr>
          <w:noProof/>
        </w:rPr>
        <w:tab/>
      </w:r>
      <w:r>
        <w:rPr>
          <w:noProof/>
        </w:rPr>
        <w:fldChar w:fldCharType="begin"/>
      </w:r>
      <w:r>
        <w:rPr>
          <w:noProof/>
        </w:rPr>
        <w:instrText xml:space="preserve"> PAGEREF _Toc403635910 \h </w:instrText>
      </w:r>
      <w:r>
        <w:rPr>
          <w:noProof/>
        </w:rPr>
      </w:r>
      <w:r>
        <w:rPr>
          <w:noProof/>
        </w:rPr>
        <w:fldChar w:fldCharType="separate"/>
      </w:r>
      <w:r w:rsidR="008A7DBA">
        <w:rPr>
          <w:noProof/>
        </w:rPr>
        <w:t>196</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30:</w:t>
      </w:r>
      <w:r>
        <w:rPr>
          <w:noProof/>
        </w:rPr>
        <w:tab/>
        <w:t>Exercise alone versus control in women with gestational diabetes – clinical outcomes</w:t>
      </w:r>
      <w:r>
        <w:rPr>
          <w:noProof/>
        </w:rPr>
        <w:tab/>
      </w:r>
      <w:r>
        <w:rPr>
          <w:noProof/>
        </w:rPr>
        <w:fldChar w:fldCharType="begin"/>
      </w:r>
      <w:r>
        <w:rPr>
          <w:noProof/>
        </w:rPr>
        <w:instrText xml:space="preserve"> PAGEREF _Toc403635911 \h </w:instrText>
      </w:r>
      <w:r>
        <w:rPr>
          <w:noProof/>
        </w:rPr>
      </w:r>
      <w:r>
        <w:rPr>
          <w:noProof/>
        </w:rPr>
        <w:fldChar w:fldCharType="separate"/>
      </w:r>
      <w:r w:rsidR="008A7DBA">
        <w:rPr>
          <w:noProof/>
        </w:rPr>
        <w:t>202</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31:</w:t>
      </w:r>
      <w:r>
        <w:rPr>
          <w:noProof/>
        </w:rPr>
        <w:tab/>
        <w:t>Recommendations for dietary interventions for women with gestational diabetes</w:t>
      </w:r>
      <w:r>
        <w:rPr>
          <w:noProof/>
        </w:rPr>
        <w:tab/>
      </w:r>
      <w:r>
        <w:rPr>
          <w:noProof/>
        </w:rPr>
        <w:fldChar w:fldCharType="begin"/>
      </w:r>
      <w:r>
        <w:rPr>
          <w:noProof/>
        </w:rPr>
        <w:instrText xml:space="preserve"> PAGEREF _Toc403635912 \h </w:instrText>
      </w:r>
      <w:r>
        <w:rPr>
          <w:noProof/>
        </w:rPr>
      </w:r>
      <w:r>
        <w:rPr>
          <w:noProof/>
        </w:rPr>
        <w:fldChar w:fldCharType="separate"/>
      </w:r>
      <w:r w:rsidR="008A7DBA">
        <w:rPr>
          <w:noProof/>
        </w:rPr>
        <w:t>203</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32:</w:t>
      </w:r>
      <w:r>
        <w:rPr>
          <w:noProof/>
        </w:rPr>
        <w:tab/>
        <w:t>Effects of dietary advice on maternal and infant outcomes</w:t>
      </w:r>
      <w:r>
        <w:rPr>
          <w:noProof/>
        </w:rPr>
        <w:tab/>
      </w:r>
      <w:r>
        <w:rPr>
          <w:noProof/>
        </w:rPr>
        <w:fldChar w:fldCharType="begin"/>
      </w:r>
      <w:r>
        <w:rPr>
          <w:noProof/>
        </w:rPr>
        <w:instrText xml:space="preserve"> PAGEREF _Toc403635913 \h </w:instrText>
      </w:r>
      <w:r>
        <w:rPr>
          <w:noProof/>
        </w:rPr>
      </w:r>
      <w:r>
        <w:rPr>
          <w:noProof/>
        </w:rPr>
        <w:fldChar w:fldCharType="separate"/>
      </w:r>
      <w:r w:rsidR="008A7DBA">
        <w:rPr>
          <w:noProof/>
        </w:rPr>
        <w:t>205</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33:</w:t>
      </w:r>
      <w:r>
        <w:rPr>
          <w:noProof/>
        </w:rPr>
        <w:tab/>
        <w:t>Ministry of Health guidelines on weight gain during pregnancy</w:t>
      </w:r>
      <w:r>
        <w:rPr>
          <w:noProof/>
        </w:rPr>
        <w:tab/>
      </w:r>
      <w:r>
        <w:rPr>
          <w:noProof/>
        </w:rPr>
        <w:fldChar w:fldCharType="begin"/>
      </w:r>
      <w:r>
        <w:rPr>
          <w:noProof/>
        </w:rPr>
        <w:instrText xml:space="preserve"> PAGEREF _Toc403635914 \h </w:instrText>
      </w:r>
      <w:r>
        <w:rPr>
          <w:noProof/>
        </w:rPr>
      </w:r>
      <w:r>
        <w:rPr>
          <w:noProof/>
        </w:rPr>
        <w:fldChar w:fldCharType="separate"/>
      </w:r>
      <w:r w:rsidR="008A7DBA">
        <w:rPr>
          <w:noProof/>
        </w:rPr>
        <w:t>206</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34:</w:t>
      </w:r>
      <w:r>
        <w:rPr>
          <w:noProof/>
        </w:rPr>
        <w:tab/>
        <w:t>Details of screening/diagnostic criteria</w:t>
      </w:r>
      <w:r>
        <w:rPr>
          <w:noProof/>
        </w:rPr>
        <w:tab/>
      </w:r>
      <w:r>
        <w:rPr>
          <w:noProof/>
        </w:rPr>
        <w:fldChar w:fldCharType="begin"/>
      </w:r>
      <w:r>
        <w:rPr>
          <w:noProof/>
        </w:rPr>
        <w:instrText xml:space="preserve"> PAGEREF _Toc403635915 \h </w:instrText>
      </w:r>
      <w:r>
        <w:rPr>
          <w:noProof/>
        </w:rPr>
      </w:r>
      <w:r>
        <w:rPr>
          <w:noProof/>
        </w:rPr>
        <w:fldChar w:fldCharType="separate"/>
      </w:r>
      <w:r w:rsidR="008A7DBA">
        <w:rPr>
          <w:noProof/>
        </w:rPr>
        <w:t>207</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35:</w:t>
      </w:r>
      <w:r>
        <w:rPr>
          <w:noProof/>
        </w:rPr>
        <w:tab/>
        <w:t>Demographic details of participants in randomised controlled trials comparing oral hypoglycaemics and insulin therapy for women with gestational diabetes</w:t>
      </w:r>
      <w:r>
        <w:rPr>
          <w:noProof/>
        </w:rPr>
        <w:tab/>
      </w:r>
      <w:r>
        <w:rPr>
          <w:noProof/>
        </w:rPr>
        <w:fldChar w:fldCharType="begin"/>
      </w:r>
      <w:r>
        <w:rPr>
          <w:noProof/>
        </w:rPr>
        <w:instrText xml:space="preserve"> PAGEREF _Toc403635916 \h </w:instrText>
      </w:r>
      <w:r>
        <w:rPr>
          <w:noProof/>
        </w:rPr>
      </w:r>
      <w:r>
        <w:rPr>
          <w:noProof/>
        </w:rPr>
        <w:fldChar w:fldCharType="separate"/>
      </w:r>
      <w:r w:rsidR="008A7DBA">
        <w:rPr>
          <w:noProof/>
        </w:rPr>
        <w:t>208</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36:</w:t>
      </w:r>
      <w:r>
        <w:rPr>
          <w:noProof/>
        </w:rPr>
        <w:tab/>
        <w:t>Treatment targets for glycaemic control recommended in clinical practice guidelines</w:t>
      </w:r>
      <w:r>
        <w:rPr>
          <w:noProof/>
        </w:rPr>
        <w:tab/>
      </w:r>
      <w:r>
        <w:rPr>
          <w:noProof/>
        </w:rPr>
        <w:fldChar w:fldCharType="begin"/>
      </w:r>
      <w:r>
        <w:rPr>
          <w:noProof/>
        </w:rPr>
        <w:instrText xml:space="preserve"> PAGEREF _Toc403635917 \h </w:instrText>
      </w:r>
      <w:r>
        <w:rPr>
          <w:noProof/>
        </w:rPr>
      </w:r>
      <w:r>
        <w:rPr>
          <w:noProof/>
        </w:rPr>
        <w:fldChar w:fldCharType="separate"/>
      </w:r>
      <w:r w:rsidR="008A7DBA">
        <w:rPr>
          <w:noProof/>
        </w:rPr>
        <w:t>211</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37:</w:t>
      </w:r>
      <w:r>
        <w:rPr>
          <w:noProof/>
        </w:rPr>
        <w:tab/>
        <w:t>Trial characteristics for optimal glucose targets</w:t>
      </w:r>
      <w:r>
        <w:rPr>
          <w:noProof/>
        </w:rPr>
        <w:tab/>
      </w:r>
      <w:r>
        <w:rPr>
          <w:noProof/>
        </w:rPr>
        <w:fldChar w:fldCharType="begin"/>
      </w:r>
      <w:r>
        <w:rPr>
          <w:noProof/>
        </w:rPr>
        <w:instrText xml:space="preserve"> PAGEREF _Toc403635918 \h </w:instrText>
      </w:r>
      <w:r>
        <w:rPr>
          <w:noProof/>
        </w:rPr>
      </w:r>
      <w:r>
        <w:rPr>
          <w:noProof/>
        </w:rPr>
        <w:fldChar w:fldCharType="separate"/>
      </w:r>
      <w:r w:rsidR="008A7DBA">
        <w:rPr>
          <w:noProof/>
        </w:rPr>
        <w:t>212</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38:</w:t>
      </w:r>
      <w:r>
        <w:rPr>
          <w:noProof/>
        </w:rPr>
        <w:tab/>
        <w:t>Trial characteristics for ultrasound guided treatment</w:t>
      </w:r>
      <w:r>
        <w:rPr>
          <w:noProof/>
        </w:rPr>
        <w:tab/>
      </w:r>
      <w:r>
        <w:rPr>
          <w:noProof/>
        </w:rPr>
        <w:fldChar w:fldCharType="begin"/>
      </w:r>
      <w:r>
        <w:rPr>
          <w:noProof/>
        </w:rPr>
        <w:instrText xml:space="preserve"> PAGEREF _Toc403635919 \h </w:instrText>
      </w:r>
      <w:r>
        <w:rPr>
          <w:noProof/>
        </w:rPr>
      </w:r>
      <w:r>
        <w:rPr>
          <w:noProof/>
        </w:rPr>
        <w:fldChar w:fldCharType="separate"/>
      </w:r>
      <w:r w:rsidR="008A7DBA">
        <w:rPr>
          <w:noProof/>
        </w:rPr>
        <w:t>215</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39:</w:t>
      </w:r>
      <w:r>
        <w:rPr>
          <w:noProof/>
        </w:rPr>
        <w:tab/>
        <w:t>Maternal and fetal outcomes for ultrasound guided treatment</w:t>
      </w:r>
      <w:r>
        <w:rPr>
          <w:noProof/>
        </w:rPr>
        <w:tab/>
      </w:r>
      <w:r>
        <w:rPr>
          <w:noProof/>
        </w:rPr>
        <w:fldChar w:fldCharType="begin"/>
      </w:r>
      <w:r>
        <w:rPr>
          <w:noProof/>
        </w:rPr>
        <w:instrText xml:space="preserve"> PAGEREF _Toc403635920 \h </w:instrText>
      </w:r>
      <w:r>
        <w:rPr>
          <w:noProof/>
        </w:rPr>
      </w:r>
      <w:r>
        <w:rPr>
          <w:noProof/>
        </w:rPr>
        <w:fldChar w:fldCharType="separate"/>
      </w:r>
      <w:r w:rsidR="008A7DBA">
        <w:rPr>
          <w:noProof/>
        </w:rPr>
        <w:t>219</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40:</w:t>
      </w:r>
      <w:r>
        <w:rPr>
          <w:noProof/>
        </w:rPr>
        <w:tab/>
        <w:t>Recommendations for the timing of delivery in women diagnosed with gestational diabetes</w:t>
      </w:r>
      <w:r>
        <w:rPr>
          <w:noProof/>
        </w:rPr>
        <w:tab/>
      </w:r>
      <w:r>
        <w:rPr>
          <w:noProof/>
        </w:rPr>
        <w:fldChar w:fldCharType="begin"/>
      </w:r>
      <w:r>
        <w:rPr>
          <w:noProof/>
        </w:rPr>
        <w:instrText xml:space="preserve"> PAGEREF _Toc403635921 \h </w:instrText>
      </w:r>
      <w:r>
        <w:rPr>
          <w:noProof/>
        </w:rPr>
      </w:r>
      <w:r>
        <w:rPr>
          <w:noProof/>
        </w:rPr>
        <w:fldChar w:fldCharType="separate"/>
      </w:r>
      <w:r w:rsidR="008A7DBA">
        <w:rPr>
          <w:noProof/>
        </w:rPr>
        <w:t>220</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41:</w:t>
      </w:r>
      <w:r>
        <w:rPr>
          <w:noProof/>
        </w:rPr>
        <w:tab/>
        <w:t>Recommendations from local district health boards for the postpartum monitoring of blood glucose levels in women diagnosed with gestational diabetes</w:t>
      </w:r>
      <w:r>
        <w:rPr>
          <w:noProof/>
        </w:rPr>
        <w:tab/>
      </w:r>
      <w:r>
        <w:rPr>
          <w:noProof/>
        </w:rPr>
        <w:fldChar w:fldCharType="begin"/>
      </w:r>
      <w:r>
        <w:rPr>
          <w:noProof/>
        </w:rPr>
        <w:instrText xml:space="preserve"> PAGEREF _Toc403635922 \h </w:instrText>
      </w:r>
      <w:r>
        <w:rPr>
          <w:noProof/>
        </w:rPr>
      </w:r>
      <w:r>
        <w:rPr>
          <w:noProof/>
        </w:rPr>
        <w:fldChar w:fldCharType="separate"/>
      </w:r>
      <w:r w:rsidR="008A7DBA">
        <w:rPr>
          <w:noProof/>
        </w:rPr>
        <w:t>222</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lang w:eastAsia="en-NZ"/>
        </w:rPr>
        <w:t>Table 42:</w:t>
      </w:r>
      <w:r>
        <w:rPr>
          <w:noProof/>
          <w:lang w:eastAsia="en-NZ"/>
        </w:rPr>
        <w:tab/>
        <w:t>Recommendations for postpartum screening in women diagnosed with gestational diabetes</w:t>
      </w:r>
      <w:r>
        <w:rPr>
          <w:noProof/>
        </w:rPr>
        <w:tab/>
      </w:r>
      <w:r>
        <w:rPr>
          <w:noProof/>
        </w:rPr>
        <w:fldChar w:fldCharType="begin"/>
      </w:r>
      <w:r>
        <w:rPr>
          <w:noProof/>
        </w:rPr>
        <w:instrText xml:space="preserve"> PAGEREF _Toc403635923 \h </w:instrText>
      </w:r>
      <w:r>
        <w:rPr>
          <w:noProof/>
        </w:rPr>
      </w:r>
      <w:r>
        <w:rPr>
          <w:noProof/>
        </w:rPr>
        <w:fldChar w:fldCharType="separate"/>
      </w:r>
      <w:r w:rsidR="008A7DBA">
        <w:rPr>
          <w:noProof/>
        </w:rPr>
        <w:t>223</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lang w:eastAsia="en-NZ"/>
        </w:rPr>
        <w:t>Table 43:</w:t>
      </w:r>
      <w:r>
        <w:rPr>
          <w:noProof/>
          <w:lang w:eastAsia="en-NZ"/>
        </w:rPr>
        <w:tab/>
        <w:t>Demographic details of participants in diagnostic cohort study for postpartum screening</w:t>
      </w:r>
      <w:r>
        <w:rPr>
          <w:noProof/>
        </w:rPr>
        <w:tab/>
      </w:r>
      <w:r>
        <w:rPr>
          <w:noProof/>
        </w:rPr>
        <w:fldChar w:fldCharType="begin"/>
      </w:r>
      <w:r>
        <w:rPr>
          <w:noProof/>
        </w:rPr>
        <w:instrText xml:space="preserve"> PAGEREF _Toc403635924 \h </w:instrText>
      </w:r>
      <w:r>
        <w:rPr>
          <w:noProof/>
        </w:rPr>
      </w:r>
      <w:r>
        <w:rPr>
          <w:noProof/>
        </w:rPr>
        <w:fldChar w:fldCharType="separate"/>
      </w:r>
      <w:r w:rsidR="008A7DBA">
        <w:rPr>
          <w:noProof/>
        </w:rPr>
        <w:t>227</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44:</w:t>
      </w:r>
      <w:r>
        <w:rPr>
          <w:noProof/>
        </w:rPr>
        <w:tab/>
        <w:t>Diagnostic accuracy outcomes in diagnostic cohort study for postpartum screening</w:t>
      </w:r>
      <w:r>
        <w:rPr>
          <w:noProof/>
        </w:rPr>
        <w:tab/>
      </w:r>
      <w:r>
        <w:rPr>
          <w:noProof/>
        </w:rPr>
        <w:fldChar w:fldCharType="begin"/>
      </w:r>
      <w:r>
        <w:rPr>
          <w:noProof/>
        </w:rPr>
        <w:instrText xml:space="preserve"> PAGEREF _Toc403635925 \h </w:instrText>
      </w:r>
      <w:r>
        <w:rPr>
          <w:noProof/>
        </w:rPr>
      </w:r>
      <w:r>
        <w:rPr>
          <w:noProof/>
        </w:rPr>
        <w:fldChar w:fldCharType="separate"/>
      </w:r>
      <w:r w:rsidR="008A7DBA">
        <w:rPr>
          <w:noProof/>
        </w:rPr>
        <w:t>227</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45:</w:t>
      </w:r>
      <w:r>
        <w:rPr>
          <w:noProof/>
        </w:rPr>
        <w:tab/>
        <w:t>Possible barriers and facilitators to attending postpartum screening</w:t>
      </w:r>
      <w:r>
        <w:rPr>
          <w:noProof/>
        </w:rPr>
        <w:tab/>
      </w:r>
      <w:r>
        <w:rPr>
          <w:noProof/>
        </w:rPr>
        <w:fldChar w:fldCharType="begin"/>
      </w:r>
      <w:r>
        <w:rPr>
          <w:noProof/>
        </w:rPr>
        <w:instrText xml:space="preserve"> PAGEREF _Toc403635926 \h </w:instrText>
      </w:r>
      <w:r>
        <w:rPr>
          <w:noProof/>
        </w:rPr>
      </w:r>
      <w:r>
        <w:rPr>
          <w:noProof/>
        </w:rPr>
        <w:fldChar w:fldCharType="separate"/>
      </w:r>
      <w:r w:rsidR="008A7DBA">
        <w:rPr>
          <w:noProof/>
        </w:rPr>
        <w:t>228</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46:</w:t>
      </w:r>
      <w:r>
        <w:rPr>
          <w:noProof/>
        </w:rPr>
        <w:tab/>
        <w:t>Prevalence of type 2 diabetes in women diagnosed with gestational diabetes</w:t>
      </w:r>
      <w:r>
        <w:rPr>
          <w:noProof/>
        </w:rPr>
        <w:tab/>
      </w:r>
      <w:r>
        <w:rPr>
          <w:noProof/>
        </w:rPr>
        <w:fldChar w:fldCharType="begin"/>
      </w:r>
      <w:r>
        <w:rPr>
          <w:noProof/>
        </w:rPr>
        <w:instrText xml:space="preserve"> PAGEREF _Toc403635927 \h </w:instrText>
      </w:r>
      <w:r>
        <w:rPr>
          <w:noProof/>
        </w:rPr>
      </w:r>
      <w:r>
        <w:rPr>
          <w:noProof/>
        </w:rPr>
        <w:fldChar w:fldCharType="separate"/>
      </w:r>
      <w:r w:rsidR="008A7DBA">
        <w:rPr>
          <w:noProof/>
        </w:rPr>
        <w:t>229</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47:</w:t>
      </w:r>
      <w:r>
        <w:rPr>
          <w:noProof/>
        </w:rPr>
        <w:tab/>
        <w:t>Risk factors associated with developing type 2 diabetes in women diagnosed with gestational diabetes</w:t>
      </w:r>
      <w:r>
        <w:rPr>
          <w:noProof/>
        </w:rPr>
        <w:tab/>
      </w:r>
      <w:r>
        <w:rPr>
          <w:noProof/>
        </w:rPr>
        <w:fldChar w:fldCharType="begin"/>
      </w:r>
      <w:r>
        <w:rPr>
          <w:noProof/>
        </w:rPr>
        <w:instrText xml:space="preserve"> PAGEREF _Toc403635928 \h </w:instrText>
      </w:r>
      <w:r>
        <w:rPr>
          <w:noProof/>
        </w:rPr>
      </w:r>
      <w:r>
        <w:rPr>
          <w:noProof/>
        </w:rPr>
        <w:fldChar w:fldCharType="separate"/>
      </w:r>
      <w:r w:rsidR="008A7DBA">
        <w:rPr>
          <w:noProof/>
        </w:rPr>
        <w:t>233</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48:</w:t>
      </w:r>
      <w:r>
        <w:rPr>
          <w:noProof/>
        </w:rPr>
        <w:tab/>
        <w:t>Effect of Diabetes Prevention Programme treatment on incidence of gestational diabetes</w:t>
      </w:r>
      <w:r>
        <w:rPr>
          <w:noProof/>
        </w:rPr>
        <w:tab/>
      </w:r>
      <w:r>
        <w:rPr>
          <w:noProof/>
        </w:rPr>
        <w:fldChar w:fldCharType="begin"/>
      </w:r>
      <w:r>
        <w:rPr>
          <w:noProof/>
        </w:rPr>
        <w:instrText xml:space="preserve"> PAGEREF _Toc403635929 \h </w:instrText>
      </w:r>
      <w:r>
        <w:rPr>
          <w:noProof/>
        </w:rPr>
      </w:r>
      <w:r>
        <w:rPr>
          <w:noProof/>
        </w:rPr>
        <w:fldChar w:fldCharType="separate"/>
      </w:r>
      <w:r w:rsidR="008A7DBA">
        <w:rPr>
          <w:noProof/>
        </w:rPr>
        <w:t>238</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49:</w:t>
      </w:r>
      <w:r>
        <w:rPr>
          <w:noProof/>
        </w:rPr>
        <w:tab/>
        <w:t>Table of effects: Lifestyle interventions for the prevention of type 2 diabetes for people with impaired glucose tolerance</w:t>
      </w:r>
      <w:r>
        <w:rPr>
          <w:noProof/>
        </w:rPr>
        <w:tab/>
      </w:r>
      <w:r>
        <w:rPr>
          <w:noProof/>
        </w:rPr>
        <w:fldChar w:fldCharType="begin"/>
      </w:r>
      <w:r>
        <w:rPr>
          <w:noProof/>
        </w:rPr>
        <w:instrText xml:space="preserve"> PAGEREF _Toc403635930 \h </w:instrText>
      </w:r>
      <w:r>
        <w:rPr>
          <w:noProof/>
        </w:rPr>
      </w:r>
      <w:r>
        <w:rPr>
          <w:noProof/>
        </w:rPr>
        <w:fldChar w:fldCharType="separate"/>
      </w:r>
      <w:r w:rsidR="008A7DBA">
        <w:rPr>
          <w:noProof/>
        </w:rPr>
        <w:t>238</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50:</w:t>
      </w:r>
      <w:r>
        <w:rPr>
          <w:noProof/>
        </w:rPr>
        <w:tab/>
        <w:t>Goals of the major diabetes prevention trials</w:t>
      </w:r>
      <w:r>
        <w:rPr>
          <w:noProof/>
        </w:rPr>
        <w:tab/>
      </w:r>
      <w:r>
        <w:rPr>
          <w:noProof/>
        </w:rPr>
        <w:fldChar w:fldCharType="begin"/>
      </w:r>
      <w:r>
        <w:rPr>
          <w:noProof/>
        </w:rPr>
        <w:instrText xml:space="preserve"> PAGEREF _Toc403635931 \h </w:instrText>
      </w:r>
      <w:r>
        <w:rPr>
          <w:noProof/>
        </w:rPr>
      </w:r>
      <w:r>
        <w:rPr>
          <w:noProof/>
        </w:rPr>
        <w:fldChar w:fldCharType="separate"/>
      </w:r>
      <w:r w:rsidR="008A7DBA">
        <w:rPr>
          <w:noProof/>
        </w:rPr>
        <w:t>239</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Table 51:</w:t>
      </w:r>
      <w:r>
        <w:rPr>
          <w:noProof/>
        </w:rPr>
        <w:tab/>
        <w:t>Table of effects: pharmacological treatments for people with impaired glucose tolerance</w:t>
      </w:r>
      <w:r>
        <w:rPr>
          <w:noProof/>
        </w:rPr>
        <w:tab/>
      </w:r>
      <w:r>
        <w:rPr>
          <w:noProof/>
        </w:rPr>
        <w:fldChar w:fldCharType="begin"/>
      </w:r>
      <w:r>
        <w:rPr>
          <w:noProof/>
        </w:rPr>
        <w:instrText xml:space="preserve"> PAGEREF _Toc403635932 \h </w:instrText>
      </w:r>
      <w:r>
        <w:rPr>
          <w:noProof/>
        </w:rPr>
      </w:r>
      <w:r>
        <w:rPr>
          <w:noProof/>
        </w:rPr>
        <w:fldChar w:fldCharType="separate"/>
      </w:r>
      <w:r w:rsidR="008A7DBA">
        <w:rPr>
          <w:noProof/>
        </w:rPr>
        <w:t>240</w:t>
      </w:r>
      <w:r>
        <w:rPr>
          <w:noProof/>
        </w:rPr>
        <w:fldChar w:fldCharType="end"/>
      </w:r>
    </w:p>
    <w:p w:rsidR="00C04C3B" w:rsidRDefault="00C04C3B" w:rsidP="00C04C3B">
      <w:r>
        <w:fldChar w:fldCharType="end"/>
      </w:r>
    </w:p>
    <w:p w:rsidR="00D17509" w:rsidRDefault="00D17509" w:rsidP="00C04C3B"/>
    <w:p w:rsidR="00C04C3B" w:rsidRDefault="00C04C3B" w:rsidP="009E3907">
      <w:pPr>
        <w:pStyle w:val="TOC1"/>
        <w:keepNext/>
      </w:pPr>
      <w:r>
        <w:t>List of Figures</w:t>
      </w:r>
    </w:p>
    <w:p w:rsidR="009E3907" w:rsidRDefault="00EF5FF5" w:rsidP="009E3907">
      <w:pPr>
        <w:pStyle w:val="TOC3"/>
        <w:keepNext/>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9E3907">
        <w:rPr>
          <w:noProof/>
        </w:rPr>
        <w:t>Figure 1:</w:t>
      </w:r>
      <w:r w:rsidR="009E3907">
        <w:rPr>
          <w:rFonts w:asciiTheme="minorHAnsi" w:eastAsiaTheme="minorEastAsia" w:hAnsiTheme="minorHAnsi" w:cstheme="minorBidi"/>
          <w:noProof/>
          <w:szCs w:val="22"/>
          <w:lang w:eastAsia="en-NZ"/>
        </w:rPr>
        <w:tab/>
      </w:r>
      <w:r w:rsidR="009E3907">
        <w:rPr>
          <w:noProof/>
        </w:rPr>
        <w:t>Percentage of women with gestational diabetes in New Zealand (2008–2012)</w:t>
      </w:r>
      <w:r w:rsidR="009E3907">
        <w:rPr>
          <w:noProof/>
        </w:rPr>
        <w:tab/>
      </w:r>
      <w:r w:rsidR="009E3907">
        <w:rPr>
          <w:noProof/>
        </w:rPr>
        <w:fldChar w:fldCharType="begin"/>
      </w:r>
      <w:r w:rsidR="009E3907">
        <w:rPr>
          <w:noProof/>
        </w:rPr>
        <w:instrText xml:space="preserve"> PAGEREF _Toc403636044 \h </w:instrText>
      </w:r>
      <w:r w:rsidR="009E3907">
        <w:rPr>
          <w:noProof/>
        </w:rPr>
      </w:r>
      <w:r w:rsidR="009E3907">
        <w:rPr>
          <w:noProof/>
        </w:rPr>
        <w:fldChar w:fldCharType="separate"/>
      </w:r>
      <w:r w:rsidR="008A7DBA">
        <w:rPr>
          <w:noProof/>
        </w:rPr>
        <w:t>110</w:t>
      </w:r>
      <w:r w:rsidR="009E3907">
        <w:rPr>
          <w:noProof/>
        </w:rPr>
        <w:fldChar w:fldCharType="end"/>
      </w:r>
    </w:p>
    <w:p w:rsidR="009E3907" w:rsidRDefault="009E3907" w:rsidP="009E3907">
      <w:pPr>
        <w:pStyle w:val="TOC3"/>
        <w:keepNext/>
        <w:rPr>
          <w:rFonts w:asciiTheme="minorHAnsi" w:eastAsiaTheme="minorEastAsia" w:hAnsiTheme="minorHAnsi" w:cstheme="minorBidi"/>
          <w:noProof/>
          <w:szCs w:val="22"/>
          <w:lang w:eastAsia="en-NZ"/>
        </w:rPr>
      </w:pPr>
      <w:r>
        <w:rPr>
          <w:noProof/>
        </w:rPr>
        <w:t>Figure 2:</w:t>
      </w:r>
      <w:r>
        <w:rPr>
          <w:noProof/>
        </w:rPr>
        <w:tab/>
        <w:t>Incidence of gestational diabetes at National Women’s Hospital (2002–2011)</w:t>
      </w:r>
      <w:r>
        <w:rPr>
          <w:noProof/>
        </w:rPr>
        <w:tab/>
      </w:r>
      <w:r>
        <w:rPr>
          <w:noProof/>
        </w:rPr>
        <w:fldChar w:fldCharType="begin"/>
      </w:r>
      <w:r>
        <w:rPr>
          <w:noProof/>
        </w:rPr>
        <w:instrText xml:space="preserve"> PAGEREF _Toc403636045 \h </w:instrText>
      </w:r>
      <w:r>
        <w:rPr>
          <w:noProof/>
        </w:rPr>
      </w:r>
      <w:r>
        <w:rPr>
          <w:noProof/>
        </w:rPr>
        <w:fldChar w:fldCharType="separate"/>
      </w:r>
      <w:r w:rsidR="008A7DBA">
        <w:rPr>
          <w:noProof/>
        </w:rPr>
        <w:t>110</w:t>
      </w:r>
      <w:r>
        <w:rPr>
          <w:noProof/>
        </w:rPr>
        <w:fldChar w:fldCharType="end"/>
      </w:r>
    </w:p>
    <w:p w:rsidR="009E3907" w:rsidRDefault="009E3907" w:rsidP="009E3907">
      <w:pPr>
        <w:pStyle w:val="TOC3"/>
        <w:keepNext/>
        <w:rPr>
          <w:rFonts w:asciiTheme="minorHAnsi" w:eastAsiaTheme="minorEastAsia" w:hAnsiTheme="minorHAnsi" w:cstheme="minorBidi"/>
          <w:noProof/>
          <w:szCs w:val="22"/>
          <w:lang w:eastAsia="en-NZ"/>
        </w:rPr>
      </w:pPr>
      <w:r>
        <w:rPr>
          <w:noProof/>
        </w:rPr>
        <w:t>Figure 3:</w:t>
      </w:r>
      <w:r>
        <w:rPr>
          <w:noProof/>
        </w:rPr>
        <w:tab/>
        <w:t>Incidence of gestational diabetes for Counties Manukau District Health Board (2006/07–2011/12)</w:t>
      </w:r>
      <w:r>
        <w:rPr>
          <w:noProof/>
        </w:rPr>
        <w:tab/>
      </w:r>
      <w:r>
        <w:rPr>
          <w:noProof/>
        </w:rPr>
        <w:fldChar w:fldCharType="begin"/>
      </w:r>
      <w:r>
        <w:rPr>
          <w:noProof/>
        </w:rPr>
        <w:instrText xml:space="preserve"> PAGEREF _Toc403636046 \h </w:instrText>
      </w:r>
      <w:r>
        <w:rPr>
          <w:noProof/>
        </w:rPr>
      </w:r>
      <w:r>
        <w:rPr>
          <w:noProof/>
        </w:rPr>
        <w:fldChar w:fldCharType="separate"/>
      </w:r>
      <w:r w:rsidR="008A7DBA">
        <w:rPr>
          <w:noProof/>
        </w:rPr>
        <w:t>110</w:t>
      </w:r>
      <w:r>
        <w:rPr>
          <w:noProof/>
        </w:rPr>
        <w:fldChar w:fldCharType="end"/>
      </w:r>
    </w:p>
    <w:p w:rsidR="009E3907" w:rsidRDefault="009E3907" w:rsidP="009E3907">
      <w:pPr>
        <w:pStyle w:val="TOC3"/>
        <w:keepNext/>
        <w:rPr>
          <w:rFonts w:asciiTheme="minorHAnsi" w:eastAsiaTheme="minorEastAsia" w:hAnsiTheme="minorHAnsi" w:cstheme="minorBidi"/>
          <w:noProof/>
          <w:szCs w:val="22"/>
          <w:lang w:eastAsia="en-NZ"/>
        </w:rPr>
      </w:pPr>
      <w:r>
        <w:rPr>
          <w:noProof/>
        </w:rPr>
        <w:t>Figure 4:</w:t>
      </w:r>
      <w:r>
        <w:rPr>
          <w:noProof/>
        </w:rPr>
        <w:tab/>
        <w:t>Sensitivity and specificity: 50 g oral glucose tolerance test by Carpenter and Coustan or American Diabetes Association (2000–2010) criteria</w:t>
      </w:r>
      <w:r>
        <w:rPr>
          <w:noProof/>
        </w:rPr>
        <w:tab/>
      </w:r>
      <w:r>
        <w:rPr>
          <w:noProof/>
        </w:rPr>
        <w:fldChar w:fldCharType="begin"/>
      </w:r>
      <w:r>
        <w:rPr>
          <w:noProof/>
        </w:rPr>
        <w:instrText xml:space="preserve"> PAGEREF _Toc403636047 \h </w:instrText>
      </w:r>
      <w:r>
        <w:rPr>
          <w:noProof/>
        </w:rPr>
      </w:r>
      <w:r>
        <w:rPr>
          <w:noProof/>
        </w:rPr>
        <w:fldChar w:fldCharType="separate"/>
      </w:r>
      <w:r w:rsidR="008A7DBA">
        <w:rPr>
          <w:noProof/>
        </w:rPr>
        <w:t>181</w:t>
      </w:r>
      <w:r>
        <w:rPr>
          <w:noProof/>
        </w:rPr>
        <w:fldChar w:fldCharType="end"/>
      </w:r>
    </w:p>
    <w:p w:rsidR="009E3907" w:rsidRDefault="009E3907" w:rsidP="009E3907">
      <w:pPr>
        <w:pStyle w:val="TOC3"/>
        <w:keepNext/>
        <w:rPr>
          <w:rFonts w:asciiTheme="minorHAnsi" w:eastAsiaTheme="minorEastAsia" w:hAnsiTheme="minorHAnsi" w:cstheme="minorBidi"/>
          <w:noProof/>
          <w:szCs w:val="22"/>
          <w:lang w:eastAsia="en-NZ"/>
        </w:rPr>
      </w:pPr>
      <w:r>
        <w:rPr>
          <w:noProof/>
          <w:lang w:eastAsia="ja-JP"/>
        </w:rPr>
        <w:t>Figure 5:</w:t>
      </w:r>
      <w:r>
        <w:rPr>
          <w:noProof/>
          <w:lang w:eastAsia="ja-JP"/>
        </w:rPr>
        <w:tab/>
        <w:t xml:space="preserve">Forest plot of sensitivity and specificity: </w:t>
      </w:r>
      <w:r>
        <w:rPr>
          <w:noProof/>
        </w:rPr>
        <w:t>50 g</w:t>
      </w:r>
      <w:r>
        <w:rPr>
          <w:noProof/>
          <w:lang w:eastAsia="ja-JP"/>
        </w:rPr>
        <w:t xml:space="preserve"> oral glucose challenge test by National Diabetes Data Group criteria</w:t>
      </w:r>
      <w:r>
        <w:rPr>
          <w:noProof/>
        </w:rPr>
        <w:tab/>
      </w:r>
      <w:r>
        <w:rPr>
          <w:noProof/>
        </w:rPr>
        <w:fldChar w:fldCharType="begin"/>
      </w:r>
      <w:r>
        <w:rPr>
          <w:noProof/>
        </w:rPr>
        <w:instrText xml:space="preserve"> PAGEREF _Toc403636048 \h </w:instrText>
      </w:r>
      <w:r>
        <w:rPr>
          <w:noProof/>
        </w:rPr>
      </w:r>
      <w:r>
        <w:rPr>
          <w:noProof/>
        </w:rPr>
        <w:fldChar w:fldCharType="separate"/>
      </w:r>
      <w:r w:rsidR="008A7DBA">
        <w:rPr>
          <w:noProof/>
        </w:rPr>
        <w:t>182</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lang w:eastAsia="ja-JP"/>
        </w:rPr>
        <w:t>Figure 6:</w:t>
      </w:r>
      <w:r>
        <w:rPr>
          <w:noProof/>
          <w:lang w:eastAsia="ja-JP"/>
        </w:rPr>
        <w:tab/>
        <w:t>Forest plot of sensitivity and specificity: 50 g oral glucose challenge test (different thresholds) by American Diabetes Association (2000–2010) 75 g criteria</w:t>
      </w:r>
      <w:r>
        <w:rPr>
          <w:noProof/>
        </w:rPr>
        <w:tab/>
      </w:r>
      <w:r>
        <w:rPr>
          <w:noProof/>
        </w:rPr>
        <w:fldChar w:fldCharType="begin"/>
      </w:r>
      <w:r>
        <w:rPr>
          <w:noProof/>
        </w:rPr>
        <w:instrText xml:space="preserve"> PAGEREF _Toc403636049 \h </w:instrText>
      </w:r>
      <w:r>
        <w:rPr>
          <w:noProof/>
        </w:rPr>
      </w:r>
      <w:r>
        <w:rPr>
          <w:noProof/>
        </w:rPr>
        <w:fldChar w:fldCharType="separate"/>
      </w:r>
      <w:r w:rsidR="008A7DBA">
        <w:rPr>
          <w:noProof/>
        </w:rPr>
        <w:t>183</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lang w:eastAsia="ja-JP"/>
        </w:rPr>
        <w:t>Figure 7:</w:t>
      </w:r>
      <w:r>
        <w:rPr>
          <w:noProof/>
          <w:lang w:eastAsia="ja-JP"/>
        </w:rPr>
        <w:tab/>
        <w:t>Forest plot of sensitivity and specificity: 50 g oral glucose challenge test by World Health Organization criteria</w:t>
      </w:r>
      <w:r>
        <w:rPr>
          <w:noProof/>
        </w:rPr>
        <w:tab/>
      </w:r>
      <w:r>
        <w:rPr>
          <w:noProof/>
        </w:rPr>
        <w:fldChar w:fldCharType="begin"/>
      </w:r>
      <w:r>
        <w:rPr>
          <w:noProof/>
        </w:rPr>
        <w:instrText xml:space="preserve"> PAGEREF _Toc403636050 \h </w:instrText>
      </w:r>
      <w:r>
        <w:rPr>
          <w:noProof/>
        </w:rPr>
      </w:r>
      <w:r>
        <w:rPr>
          <w:noProof/>
        </w:rPr>
        <w:fldChar w:fldCharType="separate"/>
      </w:r>
      <w:r w:rsidR="008A7DBA">
        <w:rPr>
          <w:noProof/>
        </w:rPr>
        <w:t>184</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lang w:eastAsia="ja-JP"/>
        </w:rPr>
        <w:t>Figure 8:</w:t>
      </w:r>
      <w:r>
        <w:rPr>
          <w:noProof/>
          <w:lang w:eastAsia="ja-JP"/>
        </w:rPr>
        <w:tab/>
        <w:t>Forest plot of sensitivity and specificity: fasting plasma glucose by Carpenter and Coustan/American Diabetes Association (2000–2010) criteria</w:t>
      </w:r>
      <w:r>
        <w:rPr>
          <w:noProof/>
        </w:rPr>
        <w:tab/>
      </w:r>
      <w:r>
        <w:rPr>
          <w:noProof/>
        </w:rPr>
        <w:fldChar w:fldCharType="begin"/>
      </w:r>
      <w:r>
        <w:rPr>
          <w:noProof/>
        </w:rPr>
        <w:instrText xml:space="preserve"> PAGEREF _Toc403636051 \h </w:instrText>
      </w:r>
      <w:r>
        <w:rPr>
          <w:noProof/>
        </w:rPr>
      </w:r>
      <w:r>
        <w:rPr>
          <w:noProof/>
        </w:rPr>
        <w:fldChar w:fldCharType="separate"/>
      </w:r>
      <w:r w:rsidR="008A7DBA">
        <w:rPr>
          <w:noProof/>
        </w:rPr>
        <w:t>185</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lang w:eastAsia="ja-JP"/>
        </w:rPr>
        <w:t>Figure 9:</w:t>
      </w:r>
      <w:r>
        <w:rPr>
          <w:noProof/>
          <w:lang w:eastAsia="ja-JP"/>
        </w:rPr>
        <w:tab/>
        <w:t>Other screening criteria used to diagnose gestational diabetes</w:t>
      </w:r>
      <w:r>
        <w:rPr>
          <w:noProof/>
        </w:rPr>
        <w:tab/>
      </w:r>
      <w:r>
        <w:rPr>
          <w:noProof/>
        </w:rPr>
        <w:fldChar w:fldCharType="begin"/>
      </w:r>
      <w:r>
        <w:rPr>
          <w:noProof/>
        </w:rPr>
        <w:instrText xml:space="preserve"> PAGEREF _Toc403636052 \h </w:instrText>
      </w:r>
      <w:r>
        <w:rPr>
          <w:noProof/>
        </w:rPr>
      </w:r>
      <w:r>
        <w:rPr>
          <w:noProof/>
        </w:rPr>
        <w:fldChar w:fldCharType="separate"/>
      </w:r>
      <w:r w:rsidR="008A7DBA">
        <w:rPr>
          <w:noProof/>
        </w:rPr>
        <w:t>186</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Figure 10:</w:t>
      </w:r>
      <w:r>
        <w:rPr>
          <w:noProof/>
        </w:rPr>
        <w:tab/>
        <w:t>Pre-eclampsia in women with gestational diabetes receiving a specific package of treatment or usual care</w:t>
      </w:r>
      <w:r>
        <w:rPr>
          <w:noProof/>
        </w:rPr>
        <w:tab/>
      </w:r>
      <w:r>
        <w:rPr>
          <w:noProof/>
        </w:rPr>
        <w:fldChar w:fldCharType="begin"/>
      </w:r>
      <w:r>
        <w:rPr>
          <w:noProof/>
        </w:rPr>
        <w:instrText xml:space="preserve"> PAGEREF _Toc403636053 \h </w:instrText>
      </w:r>
      <w:r>
        <w:rPr>
          <w:noProof/>
        </w:rPr>
      </w:r>
      <w:r>
        <w:rPr>
          <w:noProof/>
        </w:rPr>
        <w:fldChar w:fldCharType="separate"/>
      </w:r>
      <w:r w:rsidR="008A7DBA">
        <w:rPr>
          <w:noProof/>
        </w:rPr>
        <w:t>199</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Figure 11:</w:t>
      </w:r>
      <w:r>
        <w:rPr>
          <w:noProof/>
        </w:rPr>
        <w:tab/>
        <w:t>Caesarean section in women with gestational diabetes receiving a specific package of treatment or usual care</w:t>
      </w:r>
      <w:r>
        <w:rPr>
          <w:noProof/>
        </w:rPr>
        <w:tab/>
      </w:r>
      <w:r>
        <w:rPr>
          <w:noProof/>
        </w:rPr>
        <w:fldChar w:fldCharType="begin"/>
      </w:r>
      <w:r>
        <w:rPr>
          <w:noProof/>
        </w:rPr>
        <w:instrText xml:space="preserve"> PAGEREF _Toc403636054 \h </w:instrText>
      </w:r>
      <w:r>
        <w:rPr>
          <w:noProof/>
        </w:rPr>
      </w:r>
      <w:r>
        <w:rPr>
          <w:noProof/>
        </w:rPr>
        <w:fldChar w:fldCharType="separate"/>
      </w:r>
      <w:r w:rsidR="008A7DBA">
        <w:rPr>
          <w:noProof/>
        </w:rPr>
        <w:t>199</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Figure 12:</w:t>
      </w:r>
      <w:r>
        <w:rPr>
          <w:noProof/>
        </w:rPr>
        <w:tab/>
        <w:t>Induction of labour in women with gestational diabetes receiving a specific package of treatment or usual care</w:t>
      </w:r>
      <w:r>
        <w:rPr>
          <w:noProof/>
        </w:rPr>
        <w:tab/>
      </w:r>
      <w:r>
        <w:rPr>
          <w:noProof/>
        </w:rPr>
        <w:fldChar w:fldCharType="begin"/>
      </w:r>
      <w:r>
        <w:rPr>
          <w:noProof/>
        </w:rPr>
        <w:instrText xml:space="preserve"> PAGEREF _Toc403636055 \h </w:instrText>
      </w:r>
      <w:r>
        <w:rPr>
          <w:noProof/>
        </w:rPr>
      </w:r>
      <w:r>
        <w:rPr>
          <w:noProof/>
        </w:rPr>
        <w:fldChar w:fldCharType="separate"/>
      </w:r>
      <w:r w:rsidR="008A7DBA">
        <w:rPr>
          <w:noProof/>
        </w:rPr>
        <w:t>200</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Figure 13:</w:t>
      </w:r>
      <w:r>
        <w:rPr>
          <w:noProof/>
        </w:rPr>
        <w:tab/>
        <w:t>Large for gestational age in infants whose mothers were treated for gestational diabetes with a specific package of treatment or usual care</w:t>
      </w:r>
      <w:r>
        <w:rPr>
          <w:noProof/>
        </w:rPr>
        <w:tab/>
      </w:r>
      <w:r>
        <w:rPr>
          <w:noProof/>
        </w:rPr>
        <w:fldChar w:fldCharType="begin"/>
      </w:r>
      <w:r>
        <w:rPr>
          <w:noProof/>
        </w:rPr>
        <w:instrText xml:space="preserve"> PAGEREF _Toc403636056 \h </w:instrText>
      </w:r>
      <w:r>
        <w:rPr>
          <w:noProof/>
        </w:rPr>
      </w:r>
      <w:r>
        <w:rPr>
          <w:noProof/>
        </w:rPr>
        <w:fldChar w:fldCharType="separate"/>
      </w:r>
      <w:r w:rsidR="008A7DBA">
        <w:rPr>
          <w:noProof/>
        </w:rPr>
        <w:t>200</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Figure 14:</w:t>
      </w:r>
      <w:r>
        <w:rPr>
          <w:noProof/>
        </w:rPr>
        <w:tab/>
        <w:t>Hyperbilirubinaemia in infants whose mothers were treated for gestational diabetes with a specific package of treatment or usual care</w:t>
      </w:r>
      <w:r>
        <w:rPr>
          <w:noProof/>
        </w:rPr>
        <w:tab/>
      </w:r>
      <w:r>
        <w:rPr>
          <w:noProof/>
        </w:rPr>
        <w:fldChar w:fldCharType="begin"/>
      </w:r>
      <w:r>
        <w:rPr>
          <w:noProof/>
        </w:rPr>
        <w:instrText xml:space="preserve"> PAGEREF _Toc403636057 \h </w:instrText>
      </w:r>
      <w:r>
        <w:rPr>
          <w:noProof/>
        </w:rPr>
      </w:r>
      <w:r>
        <w:rPr>
          <w:noProof/>
        </w:rPr>
        <w:fldChar w:fldCharType="separate"/>
      </w:r>
      <w:r w:rsidR="008A7DBA">
        <w:rPr>
          <w:noProof/>
        </w:rPr>
        <w:t>201</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Figure 15:</w:t>
      </w:r>
      <w:r>
        <w:rPr>
          <w:noProof/>
        </w:rPr>
        <w:tab/>
        <w:t>Shoulder dystocia in infants whose mothers were treated for gestational diabetes with a specific package of treatment or usual care</w:t>
      </w:r>
      <w:r>
        <w:rPr>
          <w:noProof/>
        </w:rPr>
        <w:tab/>
      </w:r>
      <w:r>
        <w:rPr>
          <w:noProof/>
        </w:rPr>
        <w:fldChar w:fldCharType="begin"/>
      </w:r>
      <w:r>
        <w:rPr>
          <w:noProof/>
        </w:rPr>
        <w:instrText xml:space="preserve"> PAGEREF _Toc403636058 \h </w:instrText>
      </w:r>
      <w:r>
        <w:rPr>
          <w:noProof/>
        </w:rPr>
      </w:r>
      <w:r>
        <w:rPr>
          <w:noProof/>
        </w:rPr>
        <w:fldChar w:fldCharType="separate"/>
      </w:r>
      <w:r w:rsidR="008A7DBA">
        <w:rPr>
          <w:noProof/>
        </w:rPr>
        <w:t>201</w:t>
      </w:r>
      <w:r>
        <w:rPr>
          <w:noProof/>
        </w:rPr>
        <w:fldChar w:fldCharType="end"/>
      </w:r>
    </w:p>
    <w:p w:rsidR="009E3907" w:rsidRDefault="009E3907">
      <w:pPr>
        <w:pStyle w:val="TOC3"/>
        <w:rPr>
          <w:rFonts w:asciiTheme="minorHAnsi" w:eastAsiaTheme="minorEastAsia" w:hAnsiTheme="minorHAnsi" w:cstheme="minorBidi"/>
          <w:noProof/>
          <w:szCs w:val="22"/>
          <w:lang w:eastAsia="en-NZ"/>
        </w:rPr>
      </w:pPr>
      <w:r>
        <w:rPr>
          <w:noProof/>
        </w:rPr>
        <w:t>Figure 16:</w:t>
      </w:r>
      <w:r>
        <w:rPr>
          <w:noProof/>
        </w:rPr>
        <w:tab/>
        <w:t>Gestational age at delivery &lt; 37 weeks in women being treated for gestational diabetes</w:t>
      </w:r>
      <w:r>
        <w:rPr>
          <w:noProof/>
        </w:rPr>
        <w:tab/>
      </w:r>
      <w:r>
        <w:rPr>
          <w:noProof/>
        </w:rPr>
        <w:fldChar w:fldCharType="begin"/>
      </w:r>
      <w:r>
        <w:rPr>
          <w:noProof/>
        </w:rPr>
        <w:instrText xml:space="preserve"> PAGEREF _Toc403636059 \h </w:instrText>
      </w:r>
      <w:r>
        <w:rPr>
          <w:noProof/>
        </w:rPr>
      </w:r>
      <w:r>
        <w:rPr>
          <w:noProof/>
        </w:rPr>
        <w:fldChar w:fldCharType="separate"/>
      </w:r>
      <w:r w:rsidR="008A7DBA">
        <w:rPr>
          <w:noProof/>
        </w:rPr>
        <w:t>210</w:t>
      </w:r>
      <w:r>
        <w:rPr>
          <w:noProof/>
        </w:rPr>
        <w:fldChar w:fldCharType="end"/>
      </w:r>
    </w:p>
    <w:p w:rsidR="00C04C3B" w:rsidRDefault="00EF5FF5" w:rsidP="00C04C3B">
      <w:r>
        <w:rPr>
          <w:b/>
          <w:bCs/>
          <w:noProof/>
          <w:lang w:val="en-US"/>
        </w:rPr>
        <w:fldChar w:fldCharType="end"/>
      </w:r>
    </w:p>
    <w:p w:rsidR="008B73AF" w:rsidRDefault="008B73AF">
      <w:pPr>
        <w:sectPr w:rsidR="008B73AF" w:rsidSect="00A95BDA">
          <w:headerReference w:type="even" r:id="rId17"/>
          <w:headerReference w:type="default" r:id="rId18"/>
          <w:footerReference w:type="even" r:id="rId19"/>
          <w:footerReference w:type="default" r:id="rId20"/>
          <w:pgSz w:w="11907" w:h="16840" w:code="9"/>
          <w:pgMar w:top="851" w:right="1134" w:bottom="1418" w:left="1134" w:header="284" w:footer="567" w:gutter="284"/>
          <w:pgNumType w:fmt="lowerRoman"/>
          <w:cols w:space="720"/>
        </w:sectPr>
      </w:pPr>
    </w:p>
    <w:p w:rsidR="00C04C3B" w:rsidRDefault="00C04C3B"/>
    <w:p w:rsidR="008B73AF" w:rsidRDefault="008B73AF">
      <w:pPr>
        <w:sectPr w:rsidR="008B73AF" w:rsidSect="00A95BDA">
          <w:footerReference w:type="even" r:id="rId21"/>
          <w:pgSz w:w="11907" w:h="16840" w:code="9"/>
          <w:pgMar w:top="851" w:right="1134" w:bottom="1418" w:left="1134" w:header="284" w:footer="567" w:gutter="284"/>
          <w:pgNumType w:fmt="lowerRoman"/>
          <w:cols w:space="720"/>
        </w:sectPr>
      </w:pPr>
    </w:p>
    <w:p w:rsidR="0021763B" w:rsidRDefault="0021763B" w:rsidP="0021763B">
      <w:pPr>
        <w:pStyle w:val="Heading1"/>
      </w:pPr>
      <w:bookmarkStart w:id="3" w:name="_Toc403469599"/>
      <w:r>
        <w:t>Executive summary</w:t>
      </w:r>
      <w:bookmarkEnd w:id="3"/>
    </w:p>
    <w:p w:rsidR="0025490C" w:rsidRDefault="0025490C" w:rsidP="006E2033">
      <w:r w:rsidRPr="00E07B1B">
        <w:t>This guideline provide</w:t>
      </w:r>
      <w:r>
        <w:t>s</w:t>
      </w:r>
      <w:r w:rsidRPr="00E07B1B">
        <w:t xml:space="preserve"> evidence</w:t>
      </w:r>
      <w:r>
        <w:t>-</w:t>
      </w:r>
      <w:r w:rsidRPr="00E07B1B">
        <w:t>based recommendations for the diagnosis of probable undiagnosed diabetes in early pregnancy and of gestational diabetes mid-trimester in order to improve maternal and infant outcomes. It also provides recommendations of the treatment and subsequent management of women diagnosed with gestational diabetes.</w:t>
      </w:r>
    </w:p>
    <w:p w:rsidR="0025490C" w:rsidRPr="00E07B1B" w:rsidRDefault="0025490C" w:rsidP="00674A83"/>
    <w:p w:rsidR="0068074A" w:rsidRDefault="0025490C" w:rsidP="00674A83">
      <w:pPr>
        <w:pStyle w:val="Heading3"/>
      </w:pPr>
      <w:r w:rsidRPr="00E07B1B">
        <w:t>General healthy lifestyle</w:t>
      </w:r>
    </w:p>
    <w:p w:rsidR="0025490C" w:rsidRDefault="0025490C" w:rsidP="00674A83">
      <w:r w:rsidRPr="00E07B1B">
        <w:t xml:space="preserve">All pregnant women should be advised to eat a healthy, balanced diet with appropriate calorific intake and be encouraged to be physically active for at least 30 minutes per day most days of the week (as per </w:t>
      </w:r>
      <w:r w:rsidRPr="008746A1">
        <w:t>The New Zealand</w:t>
      </w:r>
      <w:r w:rsidR="0068074A">
        <w:t xml:space="preserve"> </w:t>
      </w:r>
      <w:r w:rsidRPr="008746A1">
        <w:t xml:space="preserve">Physical Activity Guidelines 2001). </w:t>
      </w:r>
      <w:r w:rsidRPr="00E07B1B">
        <w:t xml:space="preserve">Women with risk factors for diabetes or gestational diabetes should be offered additional advice. </w:t>
      </w:r>
      <w:r>
        <w:t xml:space="preserve">Women should avoid excessive weight gain during their pregnancy (Ministry of Health 2014). </w:t>
      </w:r>
      <w:r w:rsidRPr="00E07B1B">
        <w:t>The healthy approach to diet and lifestyle should continue after birth.</w:t>
      </w:r>
    </w:p>
    <w:p w:rsidR="0025490C" w:rsidRPr="00E07B1B" w:rsidRDefault="0025490C" w:rsidP="00674A83"/>
    <w:p w:rsidR="0025490C" w:rsidRPr="00E07B1B" w:rsidRDefault="0025490C" w:rsidP="00674A83">
      <w:pPr>
        <w:pStyle w:val="Heading3"/>
      </w:pPr>
      <w:r w:rsidRPr="00E07B1B">
        <w:t>Early pregnancy</w:t>
      </w:r>
    </w:p>
    <w:p w:rsidR="0025490C" w:rsidRDefault="0025490C" w:rsidP="00674A83">
      <w:r w:rsidRPr="00E07B1B">
        <w:t xml:space="preserve">Universal screening using glycated haemoglobin (HbA1c), as part of </w:t>
      </w:r>
      <w:r w:rsidR="0068074A">
        <w:t>‘</w:t>
      </w:r>
      <w:r w:rsidRPr="00E07B1B">
        <w:t>booking</w:t>
      </w:r>
      <w:r w:rsidR="0068074A">
        <w:t>’</w:t>
      </w:r>
      <w:r w:rsidRPr="00E07B1B">
        <w:t xml:space="preserve"> antenatal blood tests (ideally before 20 weeks)</w:t>
      </w:r>
      <w:r>
        <w:t>,</w:t>
      </w:r>
      <w:r w:rsidRPr="00E07B1B">
        <w:t xml:space="preserve"> will identify women with probable undiagnosed diabetes or prediabetes.</w:t>
      </w:r>
      <w:r>
        <w:t xml:space="preserve"> </w:t>
      </w:r>
      <w:r w:rsidRPr="00E07B1B">
        <w:t>Women with an HbA1c ≥ 50 mmol/mol should be under the care of a</w:t>
      </w:r>
      <w:r w:rsidRPr="001D6691">
        <w:t xml:space="preserve"> </w:t>
      </w:r>
      <w:r w:rsidRPr="00E07B1B">
        <w:t xml:space="preserve">service </w:t>
      </w:r>
      <w:r>
        <w:t xml:space="preserve">that </w:t>
      </w:r>
      <w:r w:rsidRPr="00E07B1B">
        <w:t>specialise</w:t>
      </w:r>
      <w:r>
        <w:t>s in</w:t>
      </w:r>
      <w:r w:rsidRPr="00E07B1B">
        <w:t xml:space="preserve"> diabetes in pregnancy. Women with HbA1c values in the range</w:t>
      </w:r>
      <w:r>
        <w:t xml:space="preserve"> of</w:t>
      </w:r>
      <w:r w:rsidRPr="00E07B1B">
        <w:t xml:space="preserve"> 41</w:t>
      </w:r>
      <w:r>
        <w:t>–</w:t>
      </w:r>
      <w:r w:rsidRPr="00E07B1B">
        <w:t>49 mmol/mol should be offered the diagnostic oral glucose tolerance test at 24</w:t>
      </w:r>
      <w:r>
        <w:t>–</w:t>
      </w:r>
      <w:r w:rsidRPr="00E07B1B">
        <w:t>28 weeks as they are at an increased risk of gestational diabetes. Some local policies currently treat women with HbA1c values in the range</w:t>
      </w:r>
      <w:r>
        <w:t xml:space="preserve"> of</w:t>
      </w:r>
      <w:r w:rsidRPr="00E07B1B">
        <w:t xml:space="preserve"> 41</w:t>
      </w:r>
      <w:r>
        <w:t>–</w:t>
      </w:r>
      <w:r w:rsidRPr="00E07B1B">
        <w:t>49 mmol/mol.</w:t>
      </w:r>
    </w:p>
    <w:p w:rsidR="0025490C" w:rsidRPr="00E07B1B" w:rsidRDefault="0025490C" w:rsidP="00674A83"/>
    <w:p w:rsidR="0025490C" w:rsidRPr="00E07B1B" w:rsidRDefault="0025490C" w:rsidP="00674A83">
      <w:pPr>
        <w:pStyle w:val="Heading3"/>
      </w:pPr>
      <w:r w:rsidRPr="00E07B1B">
        <w:t>At 24</w:t>
      </w:r>
      <w:r>
        <w:t>–</w:t>
      </w:r>
      <w:r w:rsidRPr="00E07B1B">
        <w:t>28 weeks</w:t>
      </w:r>
      <w:r w:rsidR="0068074A">
        <w:t>’</w:t>
      </w:r>
      <w:r w:rsidRPr="00E07B1B">
        <w:t xml:space="preserve"> gestation</w:t>
      </w:r>
    </w:p>
    <w:p w:rsidR="0025490C" w:rsidRDefault="0025490C" w:rsidP="00674A83">
      <w:r w:rsidRPr="003C026D">
        <w:t>At 24–28 weeks</w:t>
      </w:r>
      <w:r w:rsidR="0068074A">
        <w:t>’</w:t>
      </w:r>
      <w:r w:rsidRPr="003C026D">
        <w:t xml:space="preserve"> gestation, all women not previously diagnosed with diabetes who are at high risk of gestational diabetes (HbA1c of 41–49 mmol/mol) should be offered the diagnostic two</w:t>
      </w:r>
      <w:r w:rsidR="00674A83">
        <w:noBreakHyphen/>
      </w:r>
      <w:r w:rsidRPr="003C026D">
        <w:t>hour, 75 g oral glucose tolerance test. (If fasting glucose ≥ 5.5 mmol/L or two-hour value ≥</w:t>
      </w:r>
      <w:r w:rsidR="00674A83">
        <w:t> </w:t>
      </w:r>
      <w:r w:rsidRPr="003C026D">
        <w:t xml:space="preserve">9.0 mmol/L, refer to services that specialise in diabetes in pregnancy.) All other women should be offered screening for gestational diabetes using the one-hour, 50 g, oral glucose challenge test known as the polycose test. (If glucose ≥ 11.1 mmol/L, refer directly to services that specialise in diabetes in pregnancy without further testing; if glucose ≥ 7.8–11.0 mmol/L, arrange a 75 g, two-hour oral glucose tolerance test (OGTT) without delay). Offer enrolment in the randomised trial of different diagnostic criteria. For further details of the New Zealand GEMS Trial contact </w:t>
      </w:r>
      <w:hyperlink r:id="rId22" w:history="1">
        <w:r w:rsidRPr="00E40B78">
          <w:rPr>
            <w:rStyle w:val="Hyperlink"/>
            <w:rFonts w:cs="Arial"/>
            <w:szCs w:val="24"/>
          </w:rPr>
          <w:t>gems@auckland.ac.nz</w:t>
        </w:r>
      </w:hyperlink>
      <w:r>
        <w:t xml:space="preserve"> or go to </w:t>
      </w:r>
      <w:hyperlink r:id="rId23" w:history="1">
        <w:r w:rsidRPr="0068074A">
          <w:rPr>
            <w:rStyle w:val="Hyperlink"/>
            <w:szCs w:val="24"/>
          </w:rPr>
          <w:t>www.ligginstrials.org/GEMS</w:t>
        </w:r>
      </w:hyperlink>
      <w:r w:rsidRPr="001672BC">
        <w:t>.</w:t>
      </w:r>
    </w:p>
    <w:p w:rsidR="0025490C" w:rsidRPr="00E07B1B" w:rsidRDefault="0025490C" w:rsidP="00674A83"/>
    <w:p w:rsidR="0025490C" w:rsidRPr="00E07B1B" w:rsidRDefault="0025490C" w:rsidP="00674A83">
      <w:pPr>
        <w:pStyle w:val="Heading3"/>
      </w:pPr>
      <w:r w:rsidRPr="00E07B1B">
        <w:t>After diagnosis of gestational diabetes</w:t>
      </w:r>
    </w:p>
    <w:p w:rsidR="0025490C" w:rsidRDefault="0025490C" w:rsidP="00674A83">
      <w:r w:rsidRPr="00E07B1B">
        <w:t>All women diagnosed with gestational diabetes should be offered ongoing treatment provided by health professionals</w:t>
      </w:r>
      <w:r>
        <w:t>. That treatment should</w:t>
      </w:r>
      <w:r w:rsidRPr="00E07B1B">
        <w:t xml:space="preserve"> include specialised dietary advice, lifestyle</w:t>
      </w:r>
      <w:r>
        <w:t xml:space="preserve"> advice</w:t>
      </w:r>
      <w:r w:rsidRPr="00E07B1B">
        <w:t xml:space="preserve"> and educational material that is culturally and ethnically appropriate.</w:t>
      </w:r>
    </w:p>
    <w:p w:rsidR="0025490C" w:rsidRPr="00E07B1B" w:rsidRDefault="0025490C" w:rsidP="00674A83"/>
    <w:p w:rsidR="0068074A" w:rsidRDefault="0025490C" w:rsidP="00674A83">
      <w:pPr>
        <w:keepLines/>
      </w:pPr>
      <w:r w:rsidRPr="00E07B1B">
        <w:t>Women with poor glycaemic control (meeting &lt; 10% of treatment targets in a week)</w:t>
      </w:r>
      <w:r>
        <w:t>,</w:t>
      </w:r>
      <w:r w:rsidRPr="00E07B1B">
        <w:t xml:space="preserve"> including those who do not respond to dietary and lifestyle interventions</w:t>
      </w:r>
      <w:r>
        <w:t>,</w:t>
      </w:r>
      <w:r w:rsidRPr="00E07B1B">
        <w:t xml:space="preserve"> should be offered pharmacological therapy with oral hypoglycaemics and/or insulin. Treatment targets </w:t>
      </w:r>
      <w:r>
        <w:t>should be</w:t>
      </w:r>
      <w:r w:rsidRPr="00E07B1B">
        <w:t xml:space="preserve"> fasting ≤ 5.0 mmol/L</w:t>
      </w:r>
      <w:r>
        <w:t>; one-hour post-prandial ≤ 7.4 mmol/L</w:t>
      </w:r>
      <w:r w:rsidRPr="00E07B1B">
        <w:t xml:space="preserve"> and </w:t>
      </w:r>
      <w:r>
        <w:t>two-</w:t>
      </w:r>
      <w:r w:rsidRPr="00E07B1B">
        <w:t>hour postprandial ≤</w:t>
      </w:r>
      <w:r w:rsidR="00674A83">
        <w:t> </w:t>
      </w:r>
      <w:r w:rsidRPr="00E07B1B">
        <w:t>6.7</w:t>
      </w:r>
      <w:r w:rsidR="00674A83">
        <w:t> </w:t>
      </w:r>
      <w:r w:rsidRPr="00E07B1B">
        <w:t>mmol/L. A specialist review of treatment is required (</w:t>
      </w:r>
      <w:r>
        <w:t>which</w:t>
      </w:r>
      <w:r w:rsidRPr="00E07B1B">
        <w:t xml:space="preserve"> can be a remote consultation) where more than 10% of blood glucose values exceed these targets in one week. Treatment decisions should not be based solely on fetal ultrasound.</w:t>
      </w:r>
    </w:p>
    <w:p w:rsidR="0025490C" w:rsidRPr="00E07B1B" w:rsidRDefault="0025490C" w:rsidP="00674A83"/>
    <w:p w:rsidR="0025490C" w:rsidRPr="00E07B1B" w:rsidRDefault="0025490C" w:rsidP="00674A83">
      <w:pPr>
        <w:pStyle w:val="Heading3"/>
      </w:pPr>
      <w:r w:rsidRPr="00E07B1B">
        <w:t>At the time of birth</w:t>
      </w:r>
    </w:p>
    <w:p w:rsidR="0068074A" w:rsidRDefault="0025490C" w:rsidP="00674A83">
      <w:r w:rsidRPr="00E07B1B">
        <w:t>Pharmacological treatment should cease at the time of birth. Vaginal birth is the preferred mode of birth. Elective delivery prior to 40 weeks</w:t>
      </w:r>
      <w:r w:rsidR="0068074A">
        <w:t>’</w:t>
      </w:r>
      <w:r w:rsidRPr="00E07B1B">
        <w:t xml:space="preserve"> gestational age is not recommended in women who have no obstetric complications (including hypertension, pre-eclampsia, </w:t>
      </w:r>
      <w:r w:rsidRPr="00E07B1B">
        <w:rPr>
          <w:lang w:eastAsia="en-NZ"/>
        </w:rPr>
        <w:t>large for gestational age infant ≥</w:t>
      </w:r>
      <w:r>
        <w:rPr>
          <w:lang w:eastAsia="en-NZ"/>
        </w:rPr>
        <w:t xml:space="preserve"> </w:t>
      </w:r>
      <w:r w:rsidRPr="00E07B1B">
        <w:rPr>
          <w:lang w:eastAsia="en-NZ"/>
        </w:rPr>
        <w:t>90</w:t>
      </w:r>
      <w:r w:rsidRPr="003C026D">
        <w:t>th</w:t>
      </w:r>
      <w:r w:rsidRPr="00E07B1B">
        <w:rPr>
          <w:lang w:eastAsia="en-NZ"/>
        </w:rPr>
        <w:t xml:space="preserve"> centile, maternal age &gt;</w:t>
      </w:r>
      <w:r>
        <w:rPr>
          <w:lang w:eastAsia="en-NZ"/>
        </w:rPr>
        <w:t xml:space="preserve"> </w:t>
      </w:r>
      <w:r w:rsidRPr="00E07B1B">
        <w:rPr>
          <w:lang w:eastAsia="en-NZ"/>
        </w:rPr>
        <w:t>40 years)</w:t>
      </w:r>
      <w:r w:rsidRPr="00E07B1B">
        <w:t xml:space="preserve"> and who have had good glucose control (&gt;</w:t>
      </w:r>
      <w:r w:rsidR="00674A83">
        <w:t> </w:t>
      </w:r>
      <w:r w:rsidRPr="00E07B1B">
        <w:t>90% of glucose readings within glucose treatment targets) throughout their pregnancy.</w:t>
      </w:r>
    </w:p>
    <w:p w:rsidR="0025490C" w:rsidRPr="00E07B1B" w:rsidRDefault="0025490C" w:rsidP="00674A83"/>
    <w:p w:rsidR="0025490C" w:rsidRDefault="0025490C" w:rsidP="00674A83">
      <w:r w:rsidRPr="00E07B1B">
        <w:t>Women with poor glucose control (&gt; 10% of glucose reading</w:t>
      </w:r>
      <w:r>
        <w:t>s</w:t>
      </w:r>
      <w:r w:rsidRPr="00E07B1B">
        <w:t xml:space="preserve"> outside of treatment targets per week) or other obstetric complications (including hypertension, pre-eclampsia, </w:t>
      </w:r>
      <w:r w:rsidRPr="00E07B1B">
        <w:rPr>
          <w:lang w:eastAsia="en-NZ"/>
        </w:rPr>
        <w:t>large for gestational age infant &gt;</w:t>
      </w:r>
      <w:r>
        <w:rPr>
          <w:lang w:eastAsia="en-NZ"/>
        </w:rPr>
        <w:t xml:space="preserve"> </w:t>
      </w:r>
      <w:r w:rsidRPr="003C026D">
        <w:t>90th</w:t>
      </w:r>
      <w:r w:rsidRPr="00E07B1B">
        <w:rPr>
          <w:lang w:eastAsia="en-NZ"/>
        </w:rPr>
        <w:t xml:space="preserve"> centile, maternal age &gt;</w:t>
      </w:r>
      <w:r>
        <w:rPr>
          <w:lang w:eastAsia="en-NZ"/>
        </w:rPr>
        <w:t xml:space="preserve"> </w:t>
      </w:r>
      <w:r w:rsidRPr="00E07B1B">
        <w:rPr>
          <w:lang w:eastAsia="en-NZ"/>
        </w:rPr>
        <w:t>40 years)</w:t>
      </w:r>
      <w:r w:rsidRPr="00E07B1B">
        <w:t xml:space="preserve"> should be assessed individually by an obstetrician.</w:t>
      </w:r>
    </w:p>
    <w:p w:rsidR="0025490C" w:rsidRPr="00E07B1B" w:rsidRDefault="0025490C" w:rsidP="00674A83"/>
    <w:p w:rsidR="0068074A" w:rsidRDefault="0025490C" w:rsidP="00674A83">
      <w:r w:rsidRPr="00E07B1B">
        <w:t xml:space="preserve">Breastfeeding should be encouraged as soon as possible after delivery. Maternal monitoring of blood glucose should continue for 24 hours after birth to confirm the absence of hyperglycaemia. Neonatal blood sugar should be tested within </w:t>
      </w:r>
      <w:r>
        <w:t>one</w:t>
      </w:r>
      <w:r w:rsidRPr="00E07B1B">
        <w:t xml:space="preserve"> to </w:t>
      </w:r>
      <w:r>
        <w:t>two</w:t>
      </w:r>
      <w:r w:rsidRPr="00E07B1B">
        <w:t xml:space="preserve"> hours of birth for neonatal hypoglycaemia (&lt;</w:t>
      </w:r>
      <w:r>
        <w:t xml:space="preserve"> </w:t>
      </w:r>
      <w:r w:rsidRPr="00E07B1B">
        <w:t>2.6</w:t>
      </w:r>
      <w:r>
        <w:t xml:space="preserve"> </w:t>
      </w:r>
      <w:r w:rsidRPr="00E07B1B">
        <w:t>mmol/L).</w:t>
      </w:r>
    </w:p>
    <w:p w:rsidR="0025490C" w:rsidRPr="00E07B1B" w:rsidRDefault="0025490C" w:rsidP="00674A83"/>
    <w:p w:rsidR="0068074A" w:rsidRDefault="0025490C" w:rsidP="00674A83">
      <w:r w:rsidRPr="00E07B1B">
        <w:t>Contraception and family planning should be discussed in the early postnatal period.</w:t>
      </w:r>
    </w:p>
    <w:p w:rsidR="0025490C" w:rsidRPr="00E07B1B" w:rsidRDefault="0025490C" w:rsidP="00674A83"/>
    <w:p w:rsidR="0025490C" w:rsidRPr="00E07B1B" w:rsidRDefault="0025490C" w:rsidP="00674A83">
      <w:pPr>
        <w:pStyle w:val="Heading3"/>
      </w:pPr>
      <w:r w:rsidRPr="00E07B1B">
        <w:t>Follow-up of women with gestational diabetes</w:t>
      </w:r>
    </w:p>
    <w:p w:rsidR="0025490C" w:rsidRDefault="0025490C" w:rsidP="00674A83">
      <w:r w:rsidRPr="00E07B1B">
        <w:t>Women with gestational diabetes should be informed of their increased risk of having gestational diabetes in another pregnancy and of the lifelong risk of developing type 2 diabetes. The importance of returning for postpartum screening and ongoing surveillance should be emphasised and encouraged.</w:t>
      </w:r>
    </w:p>
    <w:p w:rsidR="0025490C" w:rsidRPr="00E07B1B" w:rsidRDefault="0025490C" w:rsidP="00674A83"/>
    <w:p w:rsidR="0025490C" w:rsidRDefault="0025490C" w:rsidP="00674A83">
      <w:r w:rsidRPr="00E07B1B">
        <w:t xml:space="preserve">Screening for diabetes and impaired glucose tolerance using HbA1c is recommended at </w:t>
      </w:r>
      <w:r>
        <w:t>three</w:t>
      </w:r>
      <w:r w:rsidRPr="00E07B1B">
        <w:t xml:space="preserve"> months postpartum (41</w:t>
      </w:r>
      <w:r>
        <w:t>–</w:t>
      </w:r>
      <w:r w:rsidRPr="00E07B1B">
        <w:t xml:space="preserve">49 mmol/mol repeat test in </w:t>
      </w:r>
      <w:r>
        <w:t xml:space="preserve">three </w:t>
      </w:r>
      <w:r w:rsidRPr="00E07B1B">
        <w:t>months; ≥</w:t>
      </w:r>
      <w:r>
        <w:t xml:space="preserve"> </w:t>
      </w:r>
      <w:r w:rsidRPr="00E07B1B">
        <w:t>50 mmol/mol confirms diabetes). This conforms with detection of diabetes outside of pregnancy and appears to be a preferable test to the woman. A reminder system should be introduced to increase the uptake of the postpartum screening test. Unless symptomatic of diabetes, women should return annually for HbA1c screening with their primary care provider.</w:t>
      </w:r>
    </w:p>
    <w:p w:rsidR="0025490C" w:rsidRPr="00E07B1B" w:rsidRDefault="0025490C" w:rsidP="00674A83"/>
    <w:p w:rsidR="0025490C" w:rsidRDefault="0025490C" w:rsidP="00674A83">
      <w:r w:rsidRPr="00E07B1B">
        <w:t>The oral glucose tolerance test</w:t>
      </w:r>
      <w:r>
        <w:t xml:space="preserve"> at</w:t>
      </w:r>
      <w:r w:rsidRPr="00E07B1B">
        <w:t xml:space="preserve"> 6</w:t>
      </w:r>
      <w:r>
        <w:t>–</w:t>
      </w:r>
      <w:r w:rsidRPr="00E07B1B">
        <w:t>12 week</w:t>
      </w:r>
      <w:r>
        <w:t>s</w:t>
      </w:r>
      <w:r w:rsidRPr="00E07B1B">
        <w:t xml:space="preserve"> postpartum is no longer recommended.</w:t>
      </w:r>
    </w:p>
    <w:p w:rsidR="0025490C" w:rsidRPr="00E07B1B" w:rsidRDefault="0025490C" w:rsidP="00674A83"/>
    <w:p w:rsidR="0025490C" w:rsidRPr="00E07B1B" w:rsidRDefault="0025490C" w:rsidP="00E533EA">
      <w:pPr>
        <w:pStyle w:val="Heading3"/>
        <w:ind w:left="0" w:firstLine="0"/>
      </w:pPr>
      <w:r w:rsidRPr="00E07B1B">
        <w:t>Implications for planning services for women with gestational diabetes</w:t>
      </w:r>
    </w:p>
    <w:p w:rsidR="0068074A" w:rsidRDefault="0025490C" w:rsidP="00674A83">
      <w:r w:rsidRPr="00E07B1B">
        <w:t>Workforce development, especially for specialised dietetic and laboratory services,</w:t>
      </w:r>
      <w:r>
        <w:t xml:space="preserve"> and</w:t>
      </w:r>
      <w:r w:rsidRPr="00E07B1B">
        <w:t xml:space="preserve"> midwifery and general practitioner education </w:t>
      </w:r>
      <w:r>
        <w:t>are</w:t>
      </w:r>
      <w:r w:rsidRPr="00E07B1B">
        <w:t xml:space="preserve"> priorit</w:t>
      </w:r>
      <w:r>
        <w:t>ies</w:t>
      </w:r>
      <w:r w:rsidRPr="00E07B1B">
        <w:t>.</w:t>
      </w:r>
    </w:p>
    <w:p w:rsidR="0025490C" w:rsidRDefault="0025490C" w:rsidP="00674A83"/>
    <w:p w:rsidR="00950152" w:rsidRDefault="00950152" w:rsidP="007A226C">
      <w:r w:rsidRPr="007A226C">
        <w:rPr>
          <w:noProof/>
          <w:lang w:eastAsia="en-NZ"/>
        </w:rPr>
        <w:drawing>
          <wp:inline distT="0" distB="0" distL="0" distR="0" wp14:anchorId="0A0EBE7B" wp14:editId="72AE2F20">
            <wp:extent cx="5438140" cy="8229600"/>
            <wp:effectExtent l="0" t="0" r="0" b="0"/>
            <wp:docPr id="6" name="Picture 6" descr="Flowchart that explains managing diabetes in pregnancy" title="Managing diabetes in preg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38140" cy="8229600"/>
                    </a:xfrm>
                    <a:prstGeom prst="rect">
                      <a:avLst/>
                    </a:prstGeom>
                  </pic:spPr>
                </pic:pic>
              </a:graphicData>
            </a:graphic>
          </wp:inline>
        </w:drawing>
      </w:r>
    </w:p>
    <w:p w:rsidR="00950152" w:rsidRDefault="00950152" w:rsidP="007A226C"/>
    <w:p w:rsidR="00950152" w:rsidRPr="007A226C" w:rsidRDefault="00950152" w:rsidP="00950152">
      <w:pPr>
        <w:pStyle w:val="TableText"/>
        <w:keepNext/>
        <w:ind w:left="567" w:hanging="567"/>
        <w:rPr>
          <w:b/>
        </w:rPr>
      </w:pPr>
      <w:r w:rsidRPr="007A226C">
        <w:rPr>
          <w:rFonts w:ascii="MS Gothic" w:eastAsia="MS Gothic" w:hAnsi="MS Gothic" w:cs="MS Gothic" w:hint="eastAsia"/>
          <w:b/>
        </w:rPr>
        <w:t>①</w:t>
      </w:r>
      <w:r>
        <w:rPr>
          <w:rFonts w:ascii="MS Gothic" w:eastAsia="MS Gothic" w:hAnsi="MS Gothic" w:cs="MS Gothic"/>
          <w:b/>
        </w:rPr>
        <w:tab/>
      </w:r>
      <w:r w:rsidRPr="007A226C">
        <w:rPr>
          <w:b/>
        </w:rPr>
        <w:t>What is HbA1c?</w:t>
      </w:r>
    </w:p>
    <w:p w:rsidR="00950152" w:rsidRDefault="00950152" w:rsidP="00950152">
      <w:pPr>
        <w:pStyle w:val="TableBullet"/>
        <w:keepNext/>
      </w:pPr>
      <w:r>
        <w:t xml:space="preserve">HbA1c (glycated </w:t>
      </w:r>
      <w:r w:rsidRPr="00E53E0E">
        <w:t>haemoglobin</w:t>
      </w:r>
      <w:r>
        <w:t>) indicates the average blood glucose levels over the previous six to eight weeks.</w:t>
      </w:r>
    </w:p>
    <w:p w:rsidR="00950152" w:rsidRDefault="00950152" w:rsidP="00950152">
      <w:pPr>
        <w:pStyle w:val="TableBullet"/>
        <w:keepNext/>
      </w:pPr>
      <w:r>
        <w:t>It is a reliable method of detecting probable undiagnosed diabetes in the first 20 weeks of pregnancy.</w:t>
      </w:r>
    </w:p>
    <w:p w:rsidR="00950152" w:rsidRDefault="00950152" w:rsidP="006E2033">
      <w:pPr>
        <w:pStyle w:val="TableBullet"/>
      </w:pPr>
      <w:r>
        <w:t>An HbA1c of ≥50 mmol/mol suggests probable undiagnosed diabetes. Refer these women to specialist services for diabetes in pregnancy.</w:t>
      </w:r>
    </w:p>
    <w:p w:rsidR="00950152" w:rsidRDefault="00950152" w:rsidP="006E2033">
      <w:pPr>
        <w:pStyle w:val="TableBullet"/>
      </w:pPr>
      <w:r>
        <w:t>An HbA1c of 41 to 49 mmol/mol suggests prediabetes. Give these women dietary and lifestyle advice. In some local policies, they are also referred to specialist services.</w:t>
      </w:r>
    </w:p>
    <w:p w:rsidR="00950152" w:rsidRPr="007A226C" w:rsidRDefault="00950152" w:rsidP="006E2033">
      <w:pPr>
        <w:pStyle w:val="TableText"/>
        <w:ind w:left="567" w:hanging="567"/>
        <w:rPr>
          <w:b/>
        </w:rPr>
      </w:pPr>
      <w:r w:rsidRPr="007A226C">
        <w:rPr>
          <w:rFonts w:ascii="MS Gothic" w:eastAsia="MS Gothic" w:hAnsi="MS Gothic" w:cs="MS Gothic" w:hint="eastAsia"/>
          <w:b/>
        </w:rPr>
        <w:t>②</w:t>
      </w:r>
      <w:r w:rsidRPr="007A226C">
        <w:rPr>
          <w:rFonts w:ascii="MS Gothic" w:eastAsia="MS Gothic" w:hAnsi="MS Gothic" w:cs="MS Gothic"/>
          <w:b/>
        </w:rPr>
        <w:tab/>
      </w:r>
      <w:r w:rsidRPr="007A226C">
        <w:rPr>
          <w:b/>
        </w:rPr>
        <w:t>At 24 to 28 weeks gestation</w:t>
      </w:r>
    </w:p>
    <w:p w:rsidR="00950152" w:rsidRDefault="00950152" w:rsidP="006E2033">
      <w:pPr>
        <w:pStyle w:val="TableBullet"/>
      </w:pPr>
      <w:r>
        <w:t>Women with a booking HbA1c of 41 to 49 mmol/mol should be offered a 75 g, two-hour oral glucose tolerance test (OGTT) due to an increased risk of gestational diabetes (some women with risk factors might be considered for OGTT based on local policies/prevalence levels) OR</w:t>
      </w:r>
    </w:p>
    <w:p w:rsidR="00950152" w:rsidRDefault="00950152" w:rsidP="006E2033">
      <w:pPr>
        <w:pStyle w:val="TableBullet"/>
      </w:pPr>
      <w:r>
        <w:t>All other women should be offered a 50 g, 1 hour oral glucose challenge test (polycose test) OR</w:t>
      </w:r>
    </w:p>
    <w:p w:rsidR="00950152" w:rsidRDefault="00950152" w:rsidP="006E2033">
      <w:pPr>
        <w:pStyle w:val="TableBullet"/>
      </w:pPr>
      <w:r>
        <w:t xml:space="preserve">Offer enrolment in the randomised trial of different diagnostic criteria. For details of the New Zealand GEMS Trial contact </w:t>
      </w:r>
      <w:hyperlink r:id="rId25" w:history="1">
        <w:r w:rsidRPr="00AD412E">
          <w:rPr>
            <w:rStyle w:val="Hyperlink"/>
          </w:rPr>
          <w:t>gems@auckland.ac.nz</w:t>
        </w:r>
      </w:hyperlink>
      <w:r>
        <w:t xml:space="preserve"> or go to </w:t>
      </w:r>
      <w:hyperlink r:id="rId26" w:history="1">
        <w:r w:rsidRPr="004444B7">
          <w:rPr>
            <w:rStyle w:val="Hyperlink"/>
            <w:rFonts w:cs="Arial"/>
            <w:szCs w:val="24"/>
          </w:rPr>
          <w:t>www.ligginstrials.org/GEMS</w:t>
        </w:r>
      </w:hyperlink>
      <w:r w:rsidRPr="009F2A95">
        <w:rPr>
          <w:rFonts w:cs="Arial"/>
          <w:szCs w:val="24"/>
        </w:rPr>
        <w:t>.</w:t>
      </w:r>
    </w:p>
    <w:p w:rsidR="00950152" w:rsidRPr="007A226C" w:rsidRDefault="00950152" w:rsidP="006E2033">
      <w:pPr>
        <w:pStyle w:val="TableText"/>
        <w:ind w:left="567" w:hanging="567"/>
        <w:rPr>
          <w:b/>
        </w:rPr>
      </w:pPr>
      <w:r w:rsidRPr="007A226C">
        <w:rPr>
          <w:rFonts w:ascii="MS Gothic" w:eastAsia="MS Gothic" w:hAnsi="MS Gothic" w:cs="MS Gothic" w:hint="eastAsia"/>
          <w:b/>
        </w:rPr>
        <w:t>③</w:t>
      </w:r>
      <w:r w:rsidRPr="007A226C">
        <w:rPr>
          <w:rFonts w:ascii="MS Gothic" w:eastAsia="MS Gothic" w:hAnsi="MS Gothic" w:cs="MS Gothic"/>
          <w:b/>
        </w:rPr>
        <w:tab/>
      </w:r>
      <w:r w:rsidRPr="007A226C">
        <w:rPr>
          <w:b/>
        </w:rPr>
        <w:t>Screening thresholds for gestational diabetes</w:t>
      </w:r>
    </w:p>
    <w:p w:rsidR="00950152" w:rsidRDefault="00950152" w:rsidP="006E2033">
      <w:pPr>
        <w:pStyle w:val="TableBullet"/>
      </w:pPr>
      <w:r>
        <w:t>A value of the non-fasting oral glucose challenge test of ≥ 7.8 to 11.0 mmol/L requires a confirmatory oral glucose tolerance test for diagnosis of gestational diabetes.</w:t>
      </w:r>
    </w:p>
    <w:p w:rsidR="00950152" w:rsidRDefault="00950152" w:rsidP="006E2033">
      <w:pPr>
        <w:pStyle w:val="TableBullet"/>
      </w:pPr>
      <w:r>
        <w:t xml:space="preserve">If value </w:t>
      </w:r>
      <w:r w:rsidRPr="006F4EC1">
        <w:rPr>
          <w:rFonts w:cs="Calibri"/>
        </w:rPr>
        <w:t>≥</w:t>
      </w:r>
      <w:r>
        <w:t xml:space="preserve"> 11.1 mmol/L refer to specialist services for diabetes in pregnancy.</w:t>
      </w:r>
    </w:p>
    <w:p w:rsidR="00950152" w:rsidRPr="007A226C" w:rsidRDefault="00950152" w:rsidP="006E2033">
      <w:pPr>
        <w:pStyle w:val="TableText"/>
        <w:ind w:left="567" w:hanging="567"/>
        <w:rPr>
          <w:b/>
        </w:rPr>
      </w:pPr>
      <w:r w:rsidRPr="007A226C">
        <w:rPr>
          <w:rFonts w:ascii="MS Gothic" w:eastAsia="MS Gothic" w:hAnsi="MS Gothic" w:cs="MS Gothic" w:hint="eastAsia"/>
          <w:b/>
        </w:rPr>
        <w:t>④</w:t>
      </w:r>
      <w:r w:rsidRPr="007A226C">
        <w:rPr>
          <w:rFonts w:ascii="MS Gothic" w:eastAsia="MS Gothic" w:hAnsi="MS Gothic" w:cs="MS Gothic"/>
          <w:b/>
        </w:rPr>
        <w:tab/>
      </w:r>
      <w:r w:rsidRPr="007A226C">
        <w:rPr>
          <w:b/>
        </w:rPr>
        <w:t>Diagnostic thresholds for gestational diabetes</w:t>
      </w:r>
    </w:p>
    <w:p w:rsidR="00950152" w:rsidRDefault="00950152" w:rsidP="006E2033">
      <w:pPr>
        <w:pStyle w:val="TableBullet"/>
      </w:pPr>
      <w:r>
        <w:t>Values of the oral glucose challenge test of fasting ≥ 5.5 mmol/L or two hour post-prandial ≥ 9.0 mmol/L requires referral to specialist services for diabetes in pregnancy.</w:t>
      </w:r>
    </w:p>
    <w:p w:rsidR="00950152" w:rsidRPr="007A226C" w:rsidRDefault="00950152" w:rsidP="006E2033">
      <w:pPr>
        <w:pStyle w:val="TableText"/>
        <w:ind w:left="567" w:hanging="567"/>
        <w:rPr>
          <w:b/>
        </w:rPr>
      </w:pPr>
      <w:r w:rsidRPr="007A226C">
        <w:rPr>
          <w:rFonts w:ascii="MS Gothic" w:eastAsia="MS Gothic" w:hAnsi="MS Gothic" w:cs="MS Gothic" w:hint="eastAsia"/>
          <w:b/>
        </w:rPr>
        <w:t>⑤</w:t>
      </w:r>
      <w:r w:rsidRPr="007A226C">
        <w:rPr>
          <w:rFonts w:ascii="MS Gothic" w:eastAsia="MS Gothic" w:hAnsi="MS Gothic" w:cs="MS Gothic"/>
          <w:b/>
        </w:rPr>
        <w:tab/>
      </w:r>
      <w:r w:rsidRPr="007A226C">
        <w:rPr>
          <w:b/>
        </w:rPr>
        <w:t>Diabetes in pregnancy pathway</w:t>
      </w:r>
    </w:p>
    <w:p w:rsidR="00950152" w:rsidRDefault="00950152" w:rsidP="006E2033">
      <w:pPr>
        <w:pStyle w:val="TableBullet"/>
      </w:pPr>
      <w:r>
        <w:t>Care is provided in consultation (including virtual clinics) with an obstetrician, a physician and a dietician as well as by the lead maternity carer (LMC).</w:t>
      </w:r>
    </w:p>
    <w:p w:rsidR="00950152" w:rsidRDefault="00950152" w:rsidP="006E2033">
      <w:pPr>
        <w:pStyle w:val="TableBullet"/>
      </w:pPr>
      <w:r>
        <w:t>Weight and lifestyle advice is ideally provided by a dietician or appropriately trained health professional.</w:t>
      </w:r>
    </w:p>
    <w:p w:rsidR="00950152" w:rsidRDefault="00950152" w:rsidP="006E2033">
      <w:pPr>
        <w:pStyle w:val="TableBullet"/>
      </w:pPr>
      <w:r>
        <w:t xml:space="preserve">Glucose targets during treatment are to achieve fasting </w:t>
      </w:r>
      <w:r w:rsidRPr="006F4EC1">
        <w:rPr>
          <w:rFonts w:cs="Calibri"/>
        </w:rPr>
        <w:t>≤</w:t>
      </w:r>
      <w:r>
        <w:t>5.0 mmol/L; one hour</w:t>
      </w:r>
      <w:r w:rsidR="0068074A">
        <w:t xml:space="preserve"> </w:t>
      </w:r>
      <w:r>
        <w:t xml:space="preserve">post-prandial </w:t>
      </w:r>
      <w:r>
        <w:rPr>
          <w:rFonts w:cs="Arial"/>
        </w:rPr>
        <w:t>≤ </w:t>
      </w:r>
      <w:r>
        <w:t>7.4 mmol/L and two hour post-prandial &lt; 6.7 mmol/L for more than 90% of readings during a week. Failure to meet these targets requires further consultation.</w:t>
      </w:r>
    </w:p>
    <w:p w:rsidR="00950152" w:rsidRDefault="00950152" w:rsidP="006E2033">
      <w:pPr>
        <w:pStyle w:val="TableBullet"/>
      </w:pPr>
      <w:r>
        <w:t>Metformin and/or insulin may be required where blood glucose treatment targets are unmet.</w:t>
      </w:r>
    </w:p>
    <w:p w:rsidR="00950152" w:rsidRDefault="00950152" w:rsidP="006E2033">
      <w:pPr>
        <w:pStyle w:val="TableBullet"/>
      </w:pPr>
      <w:r>
        <w:t>Fetal growth assessed by ultrasound should not be used to guide treatment as it is not reliable.</w:t>
      </w:r>
    </w:p>
    <w:p w:rsidR="00950152" w:rsidRPr="007A226C" w:rsidRDefault="00950152" w:rsidP="006E2033">
      <w:pPr>
        <w:pStyle w:val="TableText"/>
        <w:ind w:left="567" w:hanging="567"/>
        <w:rPr>
          <w:b/>
        </w:rPr>
      </w:pPr>
      <w:r w:rsidRPr="007A226C">
        <w:rPr>
          <w:rFonts w:ascii="MS Gothic" w:eastAsia="MS Gothic" w:hAnsi="MS Gothic" w:cs="MS Gothic" w:hint="eastAsia"/>
          <w:b/>
        </w:rPr>
        <w:t>⑥</w:t>
      </w:r>
      <w:r w:rsidRPr="007A226C">
        <w:rPr>
          <w:rFonts w:ascii="MS Gothic" w:eastAsia="MS Gothic" w:hAnsi="MS Gothic" w:cs="MS Gothic"/>
          <w:b/>
        </w:rPr>
        <w:tab/>
      </w:r>
      <w:r w:rsidRPr="007A226C">
        <w:rPr>
          <w:b/>
        </w:rPr>
        <w:t>Timing of delivery</w:t>
      </w:r>
    </w:p>
    <w:p w:rsidR="00950152" w:rsidRDefault="00950152" w:rsidP="006E2033">
      <w:pPr>
        <w:pStyle w:val="TableBullet"/>
      </w:pPr>
      <w:r>
        <w:t>If ultrasound at 36 to 37 weeks reports normal fetal growth (&lt; 90</w:t>
      </w:r>
      <w:r w:rsidRPr="001E25F0">
        <w:t>th</w:t>
      </w:r>
      <w:r>
        <w:t xml:space="preserve"> percentile) and there are no maternal or fetal comorbidities plan delivery at 40</w:t>
      </w:r>
      <w:r w:rsidRPr="00AF39E4">
        <w:rPr>
          <w:vertAlign w:val="superscript"/>
        </w:rPr>
        <w:t>+</w:t>
      </w:r>
      <w:r>
        <w:t xml:space="preserve"> weeks.</w:t>
      </w:r>
    </w:p>
    <w:p w:rsidR="00950152" w:rsidRDefault="00950152" w:rsidP="006E2033">
      <w:pPr>
        <w:pStyle w:val="TableBullet"/>
      </w:pPr>
      <w:r>
        <w:t>If growth is &gt; 90</w:t>
      </w:r>
      <w:r w:rsidRPr="001E25F0">
        <w:t>th</w:t>
      </w:r>
      <w:r>
        <w:t xml:space="preserve"> percentile or there are maternal and/or fetal comorbidities plan delivery for 38 to 39 weeks.</w:t>
      </w:r>
    </w:p>
    <w:p w:rsidR="00950152" w:rsidRPr="007A226C" w:rsidRDefault="00950152" w:rsidP="006E2033">
      <w:pPr>
        <w:pStyle w:val="TableText"/>
        <w:ind w:left="567" w:hanging="567"/>
        <w:rPr>
          <w:b/>
        </w:rPr>
      </w:pPr>
      <w:r w:rsidRPr="007A226C">
        <w:rPr>
          <w:rFonts w:ascii="MS Gothic" w:eastAsia="MS Gothic" w:hAnsi="MS Gothic" w:cs="MS Gothic" w:hint="eastAsia"/>
          <w:b/>
        </w:rPr>
        <w:t>⑦</w:t>
      </w:r>
      <w:r w:rsidRPr="007A226C">
        <w:rPr>
          <w:rFonts w:ascii="MS Gothic" w:eastAsia="MS Gothic" w:hAnsi="MS Gothic" w:cs="MS Gothic"/>
          <w:b/>
        </w:rPr>
        <w:tab/>
      </w:r>
      <w:r w:rsidRPr="007A226C">
        <w:rPr>
          <w:b/>
        </w:rPr>
        <w:t>Postpartum follow-up</w:t>
      </w:r>
    </w:p>
    <w:p w:rsidR="00950152" w:rsidRDefault="00950152" w:rsidP="006E2033">
      <w:pPr>
        <w:pStyle w:val="TableBullet"/>
      </w:pPr>
      <w:r>
        <w:t>Women with gestational diabetes are at increased risk of type 2 diabetes.</w:t>
      </w:r>
    </w:p>
    <w:p w:rsidR="00950152" w:rsidRDefault="00950152" w:rsidP="006E2033">
      <w:pPr>
        <w:pStyle w:val="TableBullet"/>
      </w:pPr>
      <w:r>
        <w:t>At three months postpartum and annually thereafter, all women with gestational diabetes should have an HbA1c. The oral glucose tolerance test at six weeks postpartum is no longer required. This is consistent with screening of type 2 diabetes in adults in the New Zealand Primary Care Handbook (New Zealand Guidelines Group 2012).</w:t>
      </w:r>
    </w:p>
    <w:p w:rsidR="00950152" w:rsidRDefault="00950152" w:rsidP="007A226C"/>
    <w:p w:rsidR="00A95BDA" w:rsidRDefault="00A95BDA" w:rsidP="00A95BDA">
      <w:r>
        <w:br w:type="page"/>
      </w:r>
    </w:p>
    <w:p w:rsidR="00A95BDA" w:rsidRDefault="00A95BDA" w:rsidP="00A95BDA">
      <w:pPr>
        <w:pStyle w:val="Heading1"/>
      </w:pPr>
      <w:bookmarkStart w:id="4" w:name="_Toc403469600"/>
      <w:r>
        <w:t>Scope and purpose of the guideline</w:t>
      </w:r>
      <w:bookmarkEnd w:id="4"/>
    </w:p>
    <w:p w:rsidR="00A95BDA" w:rsidRPr="00E07B1B" w:rsidRDefault="00A95BDA" w:rsidP="00E533EA">
      <w:pPr>
        <w:pStyle w:val="Heading3"/>
      </w:pPr>
      <w:bookmarkStart w:id="5" w:name="_Toc403469249"/>
      <w:r w:rsidRPr="00E07B1B">
        <w:t>Purpose</w:t>
      </w:r>
      <w:bookmarkEnd w:id="5"/>
    </w:p>
    <w:p w:rsidR="00A95BDA" w:rsidRDefault="00A95BDA" w:rsidP="00A95BDA">
      <w:pPr>
        <w:rPr>
          <w:rFonts w:cs="Arial"/>
          <w:szCs w:val="24"/>
        </w:rPr>
      </w:pPr>
      <w:r w:rsidRPr="00E07B1B">
        <w:rPr>
          <w:rFonts w:cs="Arial"/>
          <w:szCs w:val="24"/>
        </w:rPr>
        <w:t>The purpose of this guideline is to provide an evidence-based summary of best practice in the screening, diagnosis and management of gestational diabetes in pregnancy. This includes the early detection of probable undiagnosed diabetes, and the detection, treatment and follow-up of gestational diabetes in order to promote best clinical practice for these women and their infants.</w:t>
      </w:r>
    </w:p>
    <w:p w:rsidR="00A95BDA" w:rsidRPr="00E07B1B" w:rsidRDefault="00A95BDA" w:rsidP="00A95BDA"/>
    <w:p w:rsidR="00A95BDA" w:rsidRPr="00E07B1B" w:rsidRDefault="00A95BDA" w:rsidP="00E533EA">
      <w:pPr>
        <w:pStyle w:val="Heading3"/>
      </w:pPr>
      <w:bookmarkStart w:id="6" w:name="_Toc403469250"/>
      <w:r w:rsidRPr="00E07B1B">
        <w:t xml:space="preserve">Definitions </w:t>
      </w:r>
      <w:r>
        <w:t xml:space="preserve">for terms </w:t>
      </w:r>
      <w:r w:rsidRPr="00E07B1B">
        <w:t>used for this guideline</w:t>
      </w:r>
      <w:bookmarkEnd w:id="6"/>
    </w:p>
    <w:p w:rsidR="00A95BDA" w:rsidRDefault="00A95BDA" w:rsidP="00A95BDA">
      <w:r w:rsidRPr="00E07B1B">
        <w:t xml:space="preserve">The following </w:t>
      </w:r>
      <w:r>
        <w:t xml:space="preserve">terms are </w:t>
      </w:r>
      <w:r w:rsidRPr="00E07B1B">
        <w:t>used throughout the document</w:t>
      </w:r>
      <w:r>
        <w:t xml:space="preserve"> based on these definitions.</w:t>
      </w:r>
    </w:p>
    <w:p w:rsidR="00A95BDA" w:rsidRPr="00E07B1B" w:rsidRDefault="00A95BDA" w:rsidP="00A95BDA"/>
    <w:p w:rsidR="00A95BDA" w:rsidRDefault="00A95BDA" w:rsidP="00A95BDA">
      <w:r w:rsidRPr="00207604">
        <w:rPr>
          <w:b/>
        </w:rPr>
        <w:t xml:space="preserve">Diabetes in pregnancy </w:t>
      </w:r>
      <w:r w:rsidRPr="00E07B1B">
        <w:t>–</w:t>
      </w:r>
      <w:r>
        <w:t xml:space="preserve"> A</w:t>
      </w:r>
      <w:r w:rsidRPr="00E07B1B">
        <w:t>ny diagnosis of diabetes (type 1, type 2 or gestational diabetes) during a pregnancy</w:t>
      </w:r>
      <w:r>
        <w:t>.</w:t>
      </w:r>
    </w:p>
    <w:p w:rsidR="00A95BDA" w:rsidRPr="00E07B1B" w:rsidRDefault="00A95BDA" w:rsidP="00A95BDA"/>
    <w:p w:rsidR="00A95BDA" w:rsidRDefault="00A95BDA" w:rsidP="00A95BDA">
      <w:r w:rsidRPr="00207604">
        <w:rPr>
          <w:b/>
        </w:rPr>
        <w:t xml:space="preserve">Gestational diabetes </w:t>
      </w:r>
      <w:r w:rsidRPr="00E07B1B">
        <w:t>– Diabetes that is first detected in pregnancy and resolves following the birth of the baby.</w:t>
      </w:r>
    </w:p>
    <w:p w:rsidR="00A95BDA" w:rsidRPr="00E07B1B" w:rsidRDefault="00A95BDA" w:rsidP="00A95BDA"/>
    <w:p w:rsidR="00A95BDA" w:rsidRDefault="00A95BDA" w:rsidP="00A95BDA">
      <w:r w:rsidRPr="00207604">
        <w:rPr>
          <w:b/>
        </w:rPr>
        <w:t>Probable undiagnosed diabetes</w:t>
      </w:r>
      <w:r w:rsidRPr="00E07B1B">
        <w:t xml:space="preserve"> – Diabetes (type 1 or type 2) that is first detected in pregnancy and</w:t>
      </w:r>
      <w:r>
        <w:t xml:space="preserve"> that</w:t>
      </w:r>
      <w:r w:rsidRPr="00E07B1B">
        <w:t xml:space="preserve"> has often be</w:t>
      </w:r>
      <w:r>
        <w:t>en</w:t>
      </w:r>
      <w:r w:rsidRPr="00E07B1B">
        <w:t xml:space="preserve"> referred to as gestational diabetes.</w:t>
      </w:r>
      <w:r>
        <w:t xml:space="preserve"> </w:t>
      </w:r>
      <w:r w:rsidRPr="00E07B1B">
        <w:t xml:space="preserve">However, blood glucose levels do not return to normal ranges following the birth and diabetes is confirmed following postpartum screening (HbA1c value </w:t>
      </w:r>
      <w:r>
        <w:t xml:space="preserve">of </w:t>
      </w:r>
      <w:r w:rsidRPr="00E07B1B">
        <w:t>≥</w:t>
      </w:r>
      <w:r>
        <w:t xml:space="preserve"> </w:t>
      </w:r>
      <w:r w:rsidRPr="00E07B1B">
        <w:t>50 mmol/mol).</w:t>
      </w:r>
    </w:p>
    <w:p w:rsidR="00A95BDA" w:rsidRPr="00E07B1B" w:rsidRDefault="00A95BDA" w:rsidP="00A95BDA"/>
    <w:p w:rsidR="00A95BDA" w:rsidRDefault="00A95BDA" w:rsidP="00A95BDA">
      <w:r w:rsidRPr="00207604">
        <w:rPr>
          <w:b/>
        </w:rPr>
        <w:t>Prediabetes</w:t>
      </w:r>
      <w:r w:rsidRPr="00E07B1B">
        <w:t xml:space="preserve"> – </w:t>
      </w:r>
      <w:r>
        <w:t>A</w:t>
      </w:r>
      <w:r w:rsidRPr="00E07B1B">
        <w:t xml:space="preserve"> state </w:t>
      </w:r>
      <w:r>
        <w:t>in which</w:t>
      </w:r>
      <w:r w:rsidRPr="00E07B1B">
        <w:t xml:space="preserve"> some but not all of the criteria are met for a diagnosis of diabetes (type 1 or type 2). It is often termed </w:t>
      </w:r>
      <w:r>
        <w:t>‘</w:t>
      </w:r>
      <w:r w:rsidRPr="00E07B1B">
        <w:t>borderline diabetes</w:t>
      </w:r>
      <w:r>
        <w:t>’</w:t>
      </w:r>
      <w:r w:rsidRPr="00E07B1B">
        <w:t xml:space="preserve"> (HbA1c value of 41</w:t>
      </w:r>
      <w:r>
        <w:t>–</w:t>
      </w:r>
      <w:r w:rsidRPr="00E07B1B">
        <w:t>49 mmol/mol). Abnormal glucose levels are likely to continue after pregnancy.</w:t>
      </w:r>
    </w:p>
    <w:p w:rsidR="00A95BDA" w:rsidRPr="00E07B1B" w:rsidRDefault="00A95BDA" w:rsidP="00A95BDA"/>
    <w:p w:rsidR="00A95BDA" w:rsidRDefault="00A95BDA" w:rsidP="00A95BDA">
      <w:r w:rsidRPr="00207604">
        <w:rPr>
          <w:b/>
        </w:rPr>
        <w:t>Borderline gestational diabetes</w:t>
      </w:r>
      <w:r w:rsidRPr="00E07B1B">
        <w:rPr>
          <w:i/>
        </w:rPr>
        <w:t xml:space="preserve"> </w:t>
      </w:r>
      <w:r>
        <w:t>– A state</w:t>
      </w:r>
      <w:r w:rsidRPr="00E07B1B">
        <w:t xml:space="preserve"> first identified in pregnancy </w:t>
      </w:r>
      <w:r>
        <w:t>in which</w:t>
      </w:r>
      <w:r w:rsidRPr="00E07B1B">
        <w:t xml:space="preserve"> some but not all of the criteria are met for a diagnosis of gestational diabetes. Blood sugar levels are likely to be controlled by diet and lifestyle alone and usually return to within normal ranges after birth.</w:t>
      </w:r>
    </w:p>
    <w:p w:rsidR="00A95BDA" w:rsidRPr="00E07B1B" w:rsidRDefault="00A95BDA" w:rsidP="00A95BDA"/>
    <w:p w:rsidR="00A95BDA" w:rsidRDefault="00A95BDA" w:rsidP="00A95BDA">
      <w:r w:rsidRPr="00207604">
        <w:rPr>
          <w:b/>
        </w:rPr>
        <w:t>Hyperglycaemia/glucose intolerance</w:t>
      </w:r>
      <w:r w:rsidRPr="00E07B1B">
        <w:t xml:space="preserve"> </w:t>
      </w:r>
      <w:r>
        <w:t>–</w:t>
      </w:r>
      <w:r w:rsidRPr="00E07B1B">
        <w:t xml:space="preserve"> </w:t>
      </w:r>
      <w:r>
        <w:t>‘</w:t>
      </w:r>
      <w:r w:rsidRPr="00E07B1B">
        <w:t>Glucose intolerance</w:t>
      </w:r>
      <w:r>
        <w:t>’</w:t>
      </w:r>
      <w:r w:rsidRPr="00E07B1B">
        <w:t xml:space="preserve"> is used as an umbrella term for metabolic conditions resulting in higher than normal blood glucose levels – hyperglyc</w:t>
      </w:r>
      <w:r>
        <w:t>a</w:t>
      </w:r>
      <w:r w:rsidRPr="00E07B1B">
        <w:t>emia.</w:t>
      </w:r>
    </w:p>
    <w:p w:rsidR="00A95BDA" w:rsidRPr="00E07B1B" w:rsidRDefault="00A95BDA" w:rsidP="00A95BDA"/>
    <w:p w:rsidR="00A95BDA" w:rsidRDefault="00A95BDA" w:rsidP="00A95BDA">
      <w:r w:rsidRPr="00207604">
        <w:rPr>
          <w:b/>
        </w:rPr>
        <w:t>Type 1 diabetes</w:t>
      </w:r>
      <w:r w:rsidRPr="00E07B1B">
        <w:t xml:space="preserve"> – Usually diagnosed in childhood but can develop in adulthood. This is an autoimmune condition </w:t>
      </w:r>
      <w:r>
        <w:t>in which</w:t>
      </w:r>
      <w:r w:rsidRPr="00E07B1B">
        <w:t xml:space="preserve"> the body is unable to make insulin (or very little) and requires treatment with insulin.</w:t>
      </w:r>
    </w:p>
    <w:p w:rsidR="00A95BDA" w:rsidRPr="00E07B1B" w:rsidRDefault="00A95BDA" w:rsidP="00A95BDA"/>
    <w:p w:rsidR="00A95BDA" w:rsidRPr="00E07B1B" w:rsidRDefault="00A95BDA" w:rsidP="00A95BDA">
      <w:r w:rsidRPr="00207604">
        <w:rPr>
          <w:b/>
        </w:rPr>
        <w:t xml:space="preserve">Type 2 diabetes </w:t>
      </w:r>
      <w:r w:rsidRPr="00E07B1B">
        <w:t>– Usually diagnosed in adulthood and is due to insufficient insulin being made by the body. Depending on the severity of the condition</w:t>
      </w:r>
      <w:r>
        <w:t>,</w:t>
      </w:r>
      <w:r w:rsidRPr="00E07B1B">
        <w:t xml:space="preserve"> treatment can include di</w:t>
      </w:r>
      <w:r w:rsidR="00D562F2">
        <w:t>et al</w:t>
      </w:r>
      <w:r w:rsidRPr="00E07B1B">
        <w:t>one or in combination with oral hypoglycaemic drugs and/or insulin.</w:t>
      </w:r>
    </w:p>
    <w:p w:rsidR="00A95BDA" w:rsidRPr="00E07B1B" w:rsidRDefault="00A95BDA" w:rsidP="00A95BDA"/>
    <w:p w:rsidR="00A95BDA" w:rsidRPr="00E07B1B" w:rsidRDefault="00A95BDA" w:rsidP="00E533EA">
      <w:pPr>
        <w:pStyle w:val="Heading3"/>
      </w:pPr>
      <w:bookmarkStart w:id="7" w:name="_Toc403469251"/>
      <w:r w:rsidRPr="00E07B1B">
        <w:t>The need for the guideline</w:t>
      </w:r>
      <w:bookmarkEnd w:id="7"/>
    </w:p>
    <w:p w:rsidR="00A95BDA" w:rsidRDefault="00A95BDA" w:rsidP="00A95BDA">
      <w:r w:rsidRPr="00E07B1B">
        <w:t>The New Zealand Ministry of Health identified a need for evidence-based guidance on the screening, diagnosis and management of gestational diabetes. The need for the guideline was also identified as a priority by the Maternity Quality Initiative Expert Working Group. The Virtual Diabetes Register recorded 225</w:t>
      </w:r>
      <w:r>
        <w:t>,</w:t>
      </w:r>
      <w:r w:rsidRPr="00E07B1B">
        <w:t>731 individuals with diabetes in New Zealand as of 31</w:t>
      </w:r>
      <w:r>
        <w:t> </w:t>
      </w:r>
      <w:r w:rsidRPr="00E07B1B">
        <w:t>December 2012. Of these 14% are M</w:t>
      </w:r>
      <w:r>
        <w:t>ā</w:t>
      </w:r>
      <w:r w:rsidRPr="00E07B1B">
        <w:t>ori, 11.5% are Pacific peoples and 5.6% are Indian (</w:t>
      </w:r>
      <w:hyperlink r:id="rId27" w:history="1">
        <w:r w:rsidRPr="00E07B1B">
          <w:rPr>
            <w:rStyle w:val="Hyperlink"/>
            <w:rFonts w:cs="Arial"/>
            <w:szCs w:val="24"/>
          </w:rPr>
          <w:t>www.nzssd.org.nz/documents/misc/13%2006%20Virtual%20Diabetes%20Register%20release%2031%20Dec%202012%20(2).pdf</w:t>
        </w:r>
      </w:hyperlink>
      <w:r w:rsidRPr="00E07B1B">
        <w:t>)</w:t>
      </w:r>
      <w:r>
        <w:t>.</w:t>
      </w:r>
    </w:p>
    <w:p w:rsidR="00A95BDA" w:rsidRPr="00E07B1B" w:rsidRDefault="00A95BDA" w:rsidP="00A95BDA"/>
    <w:p w:rsidR="00A95BDA" w:rsidRDefault="00A95BDA" w:rsidP="00A95BDA">
      <w:r w:rsidRPr="00E07B1B">
        <w:t>Between 3000 and 4000 women per annum are diagnosed with gestational diabetes or recurrence in New Zealand (Auckland District Health Board 2012).</w:t>
      </w:r>
      <w:r w:rsidRPr="00415623">
        <w:rPr>
          <w:rStyle w:val="FootnoteReference"/>
        </w:rPr>
        <w:footnoteReference w:id="1"/>
      </w:r>
      <w:r w:rsidRPr="00E07B1B">
        <w:t xml:space="preserve"> The New Zealand Diabetes Workforce Service Review (2011) reported on the increasing prevalence of diabetes in New Zealand (mean 8</w:t>
      </w:r>
      <w:r>
        <w:t>–</w:t>
      </w:r>
      <w:r w:rsidRPr="00E07B1B">
        <w:t>9% compounded per annum). The prevalence was greater among Māori</w:t>
      </w:r>
      <w:r>
        <w:br/>
      </w:r>
      <w:r w:rsidRPr="00E07B1B">
        <w:t>(5</w:t>
      </w:r>
      <w:r>
        <w:t>–</w:t>
      </w:r>
      <w:r w:rsidRPr="00E07B1B">
        <w:t>10%), Pacific peoples (4</w:t>
      </w:r>
      <w:r>
        <w:t>–</w:t>
      </w:r>
      <w:r w:rsidRPr="00E07B1B">
        <w:t>8%) and Asian Indians (4%) compared with New Zealand Europeans (3%). Approximately 90% of individuals with diabetes have type 2</w:t>
      </w:r>
      <w:r>
        <w:t xml:space="preserve"> diabetes</w:t>
      </w:r>
      <w:r w:rsidRPr="00E07B1B">
        <w:t xml:space="preserve"> and the prevalence of gestational diabetes is increasing (Diabetes Workforce Service Review 2011).</w:t>
      </w:r>
    </w:p>
    <w:p w:rsidR="00A95BDA" w:rsidRPr="00E07B1B" w:rsidRDefault="00A95BDA" w:rsidP="00A95BDA"/>
    <w:p w:rsidR="00A95BDA" w:rsidRDefault="00A95BDA" w:rsidP="00A95BDA">
      <w:r w:rsidRPr="00E07B1B">
        <w:t>There are national and international differences of opinion especially on diagnosis and screening of women for hyperglycaemia in pregnancy which includes gestational diabetes. In New Zealand</w:t>
      </w:r>
      <w:r>
        <w:t>,</w:t>
      </w:r>
      <w:r w:rsidRPr="00E07B1B">
        <w:t xml:space="preserve"> </w:t>
      </w:r>
      <w:r>
        <w:t>opinions differ on</w:t>
      </w:r>
      <w:r w:rsidRPr="00E07B1B">
        <w:t xml:space="preserve"> where</w:t>
      </w:r>
      <w:r>
        <w:t xml:space="preserve"> it is</w:t>
      </w:r>
      <w:r w:rsidRPr="00E07B1B">
        <w:t xml:space="preserve"> best to treat women and </w:t>
      </w:r>
      <w:r>
        <w:t>what is</w:t>
      </w:r>
      <w:r w:rsidRPr="00E07B1B">
        <w:t xml:space="preserve"> </w:t>
      </w:r>
      <w:r>
        <w:t xml:space="preserve">the </w:t>
      </w:r>
      <w:r w:rsidRPr="00E07B1B">
        <w:t xml:space="preserve">best </w:t>
      </w:r>
      <w:r>
        <w:t>way of</w:t>
      </w:r>
      <w:r w:rsidRPr="00E07B1B">
        <w:t xml:space="preserve"> follow</w:t>
      </w:r>
      <w:r>
        <w:t>ing</w:t>
      </w:r>
      <w:r w:rsidRPr="00E07B1B">
        <w:t xml:space="preserve"> up both the women and their infants after delivery due to the increased risk of developing type 2 diabetes.</w:t>
      </w:r>
    </w:p>
    <w:p w:rsidR="00A95BDA" w:rsidRPr="00E07B1B" w:rsidRDefault="00A95BDA" w:rsidP="00A95BDA"/>
    <w:p w:rsidR="00A95BDA" w:rsidRDefault="00A95BDA" w:rsidP="00A95BDA">
      <w:r w:rsidRPr="00E07B1B">
        <w:t>Variations in international diagnostic criteria mean that prevalence of hyperglycaemia in pregnancy can range from 7.9% (Canadian Diabetes Association criteria) to 24.9% (Australian Diabetes in Pregnancy Society criteria) in the same group of women using the</w:t>
      </w:r>
      <w:r>
        <w:t xml:space="preserve"> two-</w:t>
      </w:r>
      <w:r w:rsidRPr="00E07B1B">
        <w:t>hour, 75</w:t>
      </w:r>
      <w:r>
        <w:t> </w:t>
      </w:r>
      <w:r w:rsidRPr="00E07B1B">
        <w:t>g oral glucose tolerance test (Agarwal 2005</w:t>
      </w:r>
      <w:r>
        <w:t>b</w:t>
      </w:r>
      <w:r w:rsidRPr="00E07B1B">
        <w:t>). This highlights the need for evidence-based guidance on screening and diagnosis for gestational diabetes in New Zealand.</w:t>
      </w:r>
    </w:p>
    <w:p w:rsidR="00A95BDA" w:rsidRPr="00E07B1B" w:rsidRDefault="00A95BDA" w:rsidP="00A95BDA"/>
    <w:p w:rsidR="00A95BDA" w:rsidRPr="00E07B1B" w:rsidRDefault="00A95BDA" w:rsidP="00E533EA">
      <w:pPr>
        <w:pStyle w:val="Heading3"/>
      </w:pPr>
      <w:bookmarkStart w:id="8" w:name="_Toc403469252"/>
      <w:r w:rsidRPr="00E07B1B">
        <w:t>Scope of the guideline</w:t>
      </w:r>
      <w:bookmarkEnd w:id="8"/>
    </w:p>
    <w:p w:rsidR="00A95BDA" w:rsidRDefault="00A95BDA" w:rsidP="00A95BDA">
      <w:r w:rsidRPr="00E07B1B">
        <w:t xml:space="preserve">This guideline covers the early screening of women for probable undiagnosed diabetes and screening, diagnosis and management of women with gestational diabetes. </w:t>
      </w:r>
      <w:r>
        <w:t>It</w:t>
      </w:r>
      <w:r w:rsidRPr="00E07B1B">
        <w:t xml:space="preserve"> also includes recommendations for follow-up of women with gestational diabetes to detect type 2 diabetes after birth.</w:t>
      </w:r>
    </w:p>
    <w:p w:rsidR="00A95BDA" w:rsidRPr="00E07B1B" w:rsidRDefault="00A95BDA" w:rsidP="00A95BDA"/>
    <w:p w:rsidR="00A95BDA" w:rsidRDefault="00A95BDA" w:rsidP="00A95BDA">
      <w:r w:rsidRPr="00E07B1B">
        <w:t xml:space="preserve">Although the early detection of women with probable undiagnosed diabetes (type 1 and type 2) and the appropriate referral pathway for these women </w:t>
      </w:r>
      <w:r>
        <w:t>are</w:t>
      </w:r>
      <w:r w:rsidRPr="00E07B1B">
        <w:t xml:space="preserve"> covered, their subsequent treatment and management during pregnancy </w:t>
      </w:r>
      <w:r>
        <w:t>are</w:t>
      </w:r>
      <w:r w:rsidRPr="00E07B1B">
        <w:t xml:space="preserve"> excluded from this guideline.</w:t>
      </w:r>
    </w:p>
    <w:p w:rsidR="00A95BDA" w:rsidRPr="00E07B1B" w:rsidRDefault="00A95BDA" w:rsidP="00A95BDA"/>
    <w:p w:rsidR="00A95BDA" w:rsidRDefault="00A95BDA" w:rsidP="00A95BDA">
      <w:r w:rsidRPr="00E07B1B">
        <w:t>Women with type 1 and type 2 diabetes diagnosed before pregnancy</w:t>
      </w:r>
      <w:r>
        <w:t xml:space="preserve"> </w:t>
      </w:r>
      <w:r w:rsidRPr="00E07B1B">
        <w:t xml:space="preserve">are not covered in this guideline. This guideline does not cover all clinical scenarios or medical and obstetric emergencies. </w:t>
      </w:r>
      <w:r>
        <w:t>It does</w:t>
      </w:r>
      <w:r w:rsidRPr="00E07B1B">
        <w:t xml:space="preserve"> not include drugs that have been withdrawn from the market.</w:t>
      </w:r>
    </w:p>
    <w:p w:rsidR="00A95BDA" w:rsidRPr="00E07B1B" w:rsidRDefault="00A95BDA" w:rsidP="00A95BDA">
      <w:pPr>
        <w:rPr>
          <w:rFonts w:cs="Arial"/>
          <w:szCs w:val="24"/>
        </w:rPr>
      </w:pPr>
    </w:p>
    <w:p w:rsidR="00A95BDA" w:rsidRDefault="00A95BDA" w:rsidP="00A95BDA">
      <w:pPr>
        <w:rPr>
          <w:rFonts w:cs="Arial"/>
          <w:szCs w:val="24"/>
        </w:rPr>
      </w:pPr>
      <w:r w:rsidRPr="00E07B1B">
        <w:rPr>
          <w:rFonts w:cs="Arial"/>
          <w:szCs w:val="24"/>
        </w:rPr>
        <w:t>The Guideline Development Team recommends that monitoring</w:t>
      </w:r>
      <w:r>
        <w:rPr>
          <w:rFonts w:cs="Arial"/>
          <w:szCs w:val="24"/>
        </w:rPr>
        <w:t xml:space="preserve"> of</w:t>
      </w:r>
      <w:r w:rsidRPr="00E07B1B">
        <w:rPr>
          <w:rFonts w:cs="Arial"/>
          <w:szCs w:val="24"/>
        </w:rPr>
        <w:t xml:space="preserve"> adherence to the guideline recommendations should be an integral aspect of the implementation process.</w:t>
      </w:r>
    </w:p>
    <w:p w:rsidR="00A95BDA" w:rsidRPr="00E07B1B" w:rsidRDefault="00A95BDA" w:rsidP="00A95BDA"/>
    <w:p w:rsidR="00A95BDA" w:rsidRPr="00E07B1B" w:rsidRDefault="00A95BDA" w:rsidP="00E533EA">
      <w:pPr>
        <w:pStyle w:val="Heading3"/>
      </w:pPr>
      <w:bookmarkStart w:id="9" w:name="_Toc403469253"/>
      <w:r w:rsidRPr="00E07B1B">
        <w:t>Target audience</w:t>
      </w:r>
      <w:bookmarkEnd w:id="9"/>
    </w:p>
    <w:p w:rsidR="00A95BDA" w:rsidRDefault="00A95BDA" w:rsidP="00A95BDA">
      <w:r w:rsidRPr="00E07B1B">
        <w:t>This guideline is intended for the providers of care to pregnant women and providers of care to women with gestational diabetes. It is also anticipated that this guideline will have implications for health service provider organisations, funders of maternity services and funders in primary and secondary care</w:t>
      </w:r>
      <w:r>
        <w:t>,</w:t>
      </w:r>
      <w:r w:rsidRPr="00E07B1B">
        <w:t xml:space="preserve"> and may be accessed by women with gestational diabetes and their families</w:t>
      </w:r>
      <w:r>
        <w:t xml:space="preserve"> and </w:t>
      </w:r>
      <w:r w:rsidRPr="00E07B1B">
        <w:t>wh</w:t>
      </w:r>
      <w:r>
        <w:t>ā</w:t>
      </w:r>
      <w:r w:rsidRPr="00E07B1B">
        <w:t>nau.</w:t>
      </w:r>
    </w:p>
    <w:p w:rsidR="00A95BDA" w:rsidRPr="00E07B1B" w:rsidRDefault="00A95BDA" w:rsidP="00A95BDA"/>
    <w:p w:rsidR="00A95BDA" w:rsidRDefault="00A95BDA" w:rsidP="00A95BDA">
      <w:r>
        <w:t>The Guideline Development Team has been</w:t>
      </w:r>
      <w:r w:rsidRPr="00E07B1B">
        <w:t xml:space="preserve"> committed to including consumers in the guideline development proces</w:t>
      </w:r>
      <w:r>
        <w:t>s. C</w:t>
      </w:r>
      <w:r w:rsidRPr="00E07B1B">
        <w:t>onsumers are an integral part of the Guideline Development Team and have helped with the evaluation of the evidence and the development of the recommendations.</w:t>
      </w:r>
    </w:p>
    <w:p w:rsidR="00A95BDA" w:rsidRPr="00E07B1B" w:rsidRDefault="00A95BDA" w:rsidP="00A95BDA"/>
    <w:p w:rsidR="00A95BDA" w:rsidRPr="00E07B1B" w:rsidRDefault="00A95BDA" w:rsidP="00E533EA">
      <w:pPr>
        <w:pStyle w:val="Heading3"/>
      </w:pPr>
      <w:bookmarkStart w:id="10" w:name="_Toc403469254"/>
      <w:r w:rsidRPr="00E07B1B">
        <w:t>Treaty of Waitangi</w:t>
      </w:r>
      <w:bookmarkEnd w:id="10"/>
    </w:p>
    <w:p w:rsidR="00A95BDA" w:rsidRDefault="00A95BDA" w:rsidP="00A95BDA">
      <w:r>
        <w:t>The Guideline Development Team</w:t>
      </w:r>
      <w:r w:rsidRPr="00E07B1B">
        <w:t xml:space="preserve"> acknowledge</w:t>
      </w:r>
      <w:r>
        <w:t>s</w:t>
      </w:r>
      <w:r w:rsidRPr="00E07B1B">
        <w:t xml:space="preserve"> the importance of the Treaty of Waitangi to New Zealand, and consider</w:t>
      </w:r>
      <w:r>
        <w:t>s</w:t>
      </w:r>
      <w:r w:rsidRPr="00E07B1B">
        <w:t xml:space="preserve"> the Treaty principles of partnership, participation and protection </w:t>
      </w:r>
      <w:r>
        <w:t>to be</w:t>
      </w:r>
      <w:r w:rsidRPr="00E07B1B">
        <w:t xml:space="preserve"> central to improving Māori health. As part of </w:t>
      </w:r>
      <w:r>
        <w:t>its</w:t>
      </w:r>
      <w:r w:rsidRPr="00E07B1B">
        <w:t xml:space="preserve"> commitment to the Treaty</w:t>
      </w:r>
      <w:r>
        <w:t>, it has</w:t>
      </w:r>
      <w:r w:rsidRPr="00E07B1B">
        <w:t xml:space="preserve"> involved a Māori consumer and Māori health care practitioners in </w:t>
      </w:r>
      <w:r>
        <w:t>its</w:t>
      </w:r>
      <w:r w:rsidRPr="00E07B1B">
        <w:t xml:space="preserve"> work and Māori are represented on the Guideline Development Team.</w:t>
      </w:r>
    </w:p>
    <w:p w:rsidR="00A95BDA" w:rsidRDefault="00A95BDA" w:rsidP="00A95BDA"/>
    <w:p w:rsidR="00A95BDA" w:rsidRDefault="00A95BDA" w:rsidP="00A95BDA">
      <w:r>
        <w:t xml:space="preserve">The Guideline Development Team has </w:t>
      </w:r>
      <w:r w:rsidRPr="00E07B1B">
        <w:t xml:space="preserve">specifically considered Māori health issues that are pertinent to the guideline and its implementation. </w:t>
      </w:r>
      <w:r>
        <w:t>It has</w:t>
      </w:r>
      <w:r w:rsidRPr="00E07B1B">
        <w:t xml:space="preserve"> considered specific barriers in the guideline development process where Māori health must be considered and addressed. Māori health has been considered at all points in the guideline in a less explicit manner.</w:t>
      </w:r>
    </w:p>
    <w:p w:rsidR="00A95BDA" w:rsidRPr="00E07B1B" w:rsidRDefault="00A95BDA" w:rsidP="00A95BDA"/>
    <w:p w:rsidR="00A95BDA" w:rsidRPr="00E07B1B" w:rsidRDefault="00A95BDA" w:rsidP="00E533EA">
      <w:pPr>
        <w:pStyle w:val="Heading3"/>
      </w:pPr>
      <w:bookmarkStart w:id="11" w:name="_Toc403469255"/>
      <w:r w:rsidRPr="00E07B1B">
        <w:t>Guideline development process</w:t>
      </w:r>
      <w:bookmarkEnd w:id="11"/>
    </w:p>
    <w:p w:rsidR="00A95BDA" w:rsidRDefault="00A95BDA" w:rsidP="00A95BDA">
      <w:r>
        <w:t>The Guideline Development Team</w:t>
      </w:r>
      <w:r w:rsidRPr="00E07B1B">
        <w:t xml:space="preserve"> followed a structured process for guideline development. </w:t>
      </w:r>
      <w:r>
        <w:t>This process</w:t>
      </w:r>
      <w:r w:rsidRPr="00E07B1B">
        <w:t xml:space="preserve"> is outlined in Appendix A.</w:t>
      </w:r>
    </w:p>
    <w:p w:rsidR="00A95BDA" w:rsidRPr="00E07B1B" w:rsidRDefault="00A95BDA" w:rsidP="00A95BDA"/>
    <w:p w:rsidR="00A95BDA" w:rsidRDefault="00A95BDA" w:rsidP="00A95BDA">
      <w:r w:rsidRPr="00E07B1B">
        <w:t xml:space="preserve">In summary, </w:t>
      </w:r>
      <w:r>
        <w:t>the</w:t>
      </w:r>
      <w:r w:rsidRPr="00E07B1B">
        <w:t xml:space="preserve"> multidisciplinary Guideline Development Team </w:t>
      </w:r>
      <w:r>
        <w:t xml:space="preserve">was </w:t>
      </w:r>
      <w:r w:rsidRPr="00E07B1B">
        <w:t>comprised of members nominated by key stakeholder groups who had been identified from the Ministry of Health and the research group</w:t>
      </w:r>
      <w:r>
        <w:t xml:space="preserve"> (Appendix B)</w:t>
      </w:r>
      <w:r w:rsidRPr="00E07B1B">
        <w:t>. There were four, one day, face-to-face meetings of the Guideline Development Team, where evidence was presented by the research team on 21 clinical questions. The Guideline Development Team reviewed this evidence and recommendations were developed. The 21 clinical questions were used to guide systematic and narrative reviews of the evidence. The different levels of evidence that were searched included (but were not limited to) existing clinical practice guidelines, systematic reviews, randomised controlled trials and observational studies. For continuity of the document</w:t>
      </w:r>
      <w:r>
        <w:t>, the Guideline Development Team has</w:t>
      </w:r>
      <w:r w:rsidRPr="00E07B1B">
        <w:t xml:space="preserve"> incorporated New Zealand</w:t>
      </w:r>
      <w:r>
        <w:t>–</w:t>
      </w:r>
      <w:r w:rsidRPr="00E07B1B">
        <w:t>specific evidence or data (where available) into each relevant chapter.</w:t>
      </w:r>
    </w:p>
    <w:p w:rsidR="00A95BDA" w:rsidRDefault="00A95BDA" w:rsidP="00A95BDA"/>
    <w:p w:rsidR="00A95BDA" w:rsidRDefault="00A95BDA" w:rsidP="00A95BDA">
      <w:r>
        <w:t>For</w:t>
      </w:r>
      <w:r w:rsidRPr="00E07B1B">
        <w:t xml:space="preserve"> the clinical questions and maternal and infant outcomes</w:t>
      </w:r>
      <w:r>
        <w:t>,</w:t>
      </w:r>
      <w:r w:rsidRPr="00E07B1B">
        <w:t xml:space="preserve"> refer to Appendices </w:t>
      </w:r>
      <w:r>
        <w:t xml:space="preserve">C and </w:t>
      </w:r>
      <w:r w:rsidRPr="00E07B1B">
        <w:t>D.</w:t>
      </w:r>
    </w:p>
    <w:p w:rsidR="00A95BDA" w:rsidRPr="00E07B1B" w:rsidRDefault="00A95BDA" w:rsidP="00A95BDA"/>
    <w:p w:rsidR="00A95BDA" w:rsidRDefault="00A95BDA" w:rsidP="00E533EA">
      <w:r w:rsidRPr="00E07B1B">
        <w:t>The adapted Grading of Recommendations Assessment, Development and Evaluation (GRADE) method allows for the development of clinical practice recommendations to be STRONG or CONDITIONAL based on the balance of benefits to harms. Recommendations can be made for or against clinical practice. Where there is insufficient evidence to make a recommendation, or in areas where a narrative review has been conducted</w:t>
      </w:r>
      <w:r>
        <w:t>,</w:t>
      </w:r>
      <w:r w:rsidRPr="00E07B1B">
        <w:t xml:space="preserve"> a good practice point (GPP) is made based on expert opinion/consensus. Where there is a lack of high</w:t>
      </w:r>
      <w:r>
        <w:t>-</w:t>
      </w:r>
      <w:r w:rsidRPr="00E07B1B">
        <w:t>quality evidence on which to make a recommendation</w:t>
      </w:r>
      <w:r>
        <w:t>,</w:t>
      </w:r>
      <w:r w:rsidRPr="00E07B1B">
        <w:t xml:space="preserve"> the Guideline Development Team has made a research recommendation.</w:t>
      </w:r>
    </w:p>
    <w:p w:rsidR="00A95BDA" w:rsidRPr="00E07B1B" w:rsidRDefault="00A95BDA" w:rsidP="00A95BDA"/>
    <w:p w:rsidR="00A95BDA" w:rsidRPr="00E07B1B" w:rsidRDefault="00A95BDA" w:rsidP="00E533EA">
      <w:pPr>
        <w:pStyle w:val="Heading3"/>
      </w:pPr>
      <w:bookmarkStart w:id="12" w:name="_Toc403469256"/>
      <w:r w:rsidRPr="00E07B1B">
        <w:t>Funding of the guideline</w:t>
      </w:r>
      <w:bookmarkEnd w:id="12"/>
    </w:p>
    <w:p w:rsidR="00A95BDA" w:rsidRDefault="00A95BDA" w:rsidP="00A95BDA">
      <w:r w:rsidRPr="00E07B1B">
        <w:t>The guideline has been commissioned and funded by the Ministry of Health. A representative of the Ministry of Health attended each Guideline Development Team meeting in an ex officio capacity and had no influence on the development of the clinical recommendations.</w:t>
      </w:r>
    </w:p>
    <w:p w:rsidR="00A95BDA" w:rsidRDefault="00A95BDA" w:rsidP="00A95BDA"/>
    <w:p w:rsidR="00A95BDA" w:rsidRDefault="00A95BDA" w:rsidP="00A95BDA">
      <w:r w:rsidRPr="00E07B1B">
        <w:rPr>
          <w:sz w:val="24"/>
          <w:szCs w:val="24"/>
        </w:rPr>
        <w:br w:type="page"/>
      </w:r>
    </w:p>
    <w:p w:rsidR="00A95BDA" w:rsidRPr="00E07B1B" w:rsidRDefault="00A95BDA" w:rsidP="00A95BDA">
      <w:pPr>
        <w:pStyle w:val="Heading1"/>
      </w:pPr>
      <w:bookmarkStart w:id="13" w:name="_Toc363207271"/>
      <w:bookmarkStart w:id="14" w:name="_Toc402873502"/>
      <w:bookmarkStart w:id="15" w:name="_Toc403469601"/>
      <w:r w:rsidRPr="00E07B1B">
        <w:t xml:space="preserve">Summary of </w:t>
      </w:r>
      <w:r>
        <w:t>r</w:t>
      </w:r>
      <w:r w:rsidRPr="00E07B1B">
        <w:t>ecommendations</w:t>
      </w:r>
      <w:bookmarkEnd w:id="13"/>
      <w:bookmarkEnd w:id="14"/>
      <w:bookmarkEnd w:id="15"/>
    </w:p>
    <w:p w:rsidR="00A95BDA" w:rsidRDefault="00A95BDA" w:rsidP="00A95BDA">
      <w:r w:rsidRPr="00E07B1B">
        <w:t>The evidence</w:t>
      </w:r>
      <w:r>
        <w:t>-</w:t>
      </w:r>
      <w:r w:rsidRPr="00E07B1B">
        <w:t>based recommendations developed by the Guideline Development Team are summarised below.</w:t>
      </w:r>
    </w:p>
    <w:p w:rsidR="00A95BDA" w:rsidRPr="00E07B1B" w:rsidRDefault="00A95BDA" w:rsidP="00A95BDA"/>
    <w:p w:rsidR="00A95BDA" w:rsidRPr="00E07B1B" w:rsidRDefault="00A95BDA" w:rsidP="00E533EA">
      <w:pPr>
        <w:pStyle w:val="Heading3"/>
        <w:ind w:left="0" w:firstLine="0"/>
      </w:pPr>
      <w:bookmarkStart w:id="16" w:name="_Toc403469258"/>
      <w:r w:rsidRPr="00E07B1B">
        <w:t>Diagnosis of probable undiagnosed diabetes in early pregnancy</w:t>
      </w:r>
      <w:bookmarkEnd w:id="16"/>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6096"/>
        <w:gridCol w:w="1984"/>
        <w:gridCol w:w="1276"/>
      </w:tblGrid>
      <w:tr w:rsidR="00A95BDA" w:rsidRPr="00553844" w:rsidTr="00D562F2">
        <w:trPr>
          <w:cantSplit/>
        </w:trPr>
        <w:tc>
          <w:tcPr>
            <w:tcW w:w="6096" w:type="dxa"/>
            <w:tcBorders>
              <w:top w:val="single" w:sz="4" w:space="0" w:color="auto"/>
              <w:bottom w:val="single" w:sz="4" w:space="0" w:color="auto"/>
            </w:tcBorders>
            <w:shd w:val="clear" w:color="auto" w:fill="F7F9FB"/>
          </w:tcPr>
          <w:p w:rsidR="00A95BDA" w:rsidRPr="00553844" w:rsidRDefault="00A95BDA" w:rsidP="00D562F2">
            <w:pPr>
              <w:pStyle w:val="TableText"/>
              <w:rPr>
                <w:b/>
              </w:rPr>
            </w:pPr>
            <w:r w:rsidRPr="00553844">
              <w:rPr>
                <w:b/>
              </w:rPr>
              <w:t>Recommendation</w:t>
            </w:r>
          </w:p>
        </w:tc>
        <w:tc>
          <w:tcPr>
            <w:tcW w:w="1984" w:type="dxa"/>
            <w:tcBorders>
              <w:top w:val="single" w:sz="4" w:space="0" w:color="auto"/>
              <w:bottom w:val="single" w:sz="4" w:space="0" w:color="auto"/>
            </w:tcBorders>
            <w:shd w:val="clear" w:color="auto" w:fill="F7F9FB"/>
          </w:tcPr>
          <w:p w:rsidR="00A95BDA" w:rsidRPr="00553844" w:rsidRDefault="00A95BDA" w:rsidP="00D562F2">
            <w:pPr>
              <w:pStyle w:val="TableText"/>
              <w:jc w:val="center"/>
              <w:rPr>
                <w:b/>
              </w:rPr>
            </w:pPr>
            <w:r w:rsidRPr="00553844">
              <w:rPr>
                <w:b/>
              </w:rPr>
              <w:t>Strength of recommendation or good practice point (GPP)</w:t>
            </w:r>
          </w:p>
        </w:tc>
        <w:tc>
          <w:tcPr>
            <w:tcW w:w="1276" w:type="dxa"/>
            <w:tcBorders>
              <w:top w:val="single" w:sz="4" w:space="0" w:color="auto"/>
              <w:bottom w:val="single" w:sz="4" w:space="0" w:color="auto"/>
            </w:tcBorders>
            <w:shd w:val="clear" w:color="auto" w:fill="F7F9FB"/>
          </w:tcPr>
          <w:p w:rsidR="00A95BDA" w:rsidRPr="00553844" w:rsidRDefault="00A95BDA" w:rsidP="00D562F2">
            <w:pPr>
              <w:pStyle w:val="TableText"/>
              <w:jc w:val="center"/>
              <w:rPr>
                <w:b/>
              </w:rPr>
            </w:pPr>
            <w:r w:rsidRPr="00553844">
              <w:rPr>
                <w:b/>
              </w:rPr>
              <w:t>Where to refer in guideline</w:t>
            </w:r>
          </w:p>
        </w:tc>
      </w:tr>
      <w:tr w:rsidR="00A95BDA" w:rsidRPr="00E07B1B" w:rsidTr="00D562F2">
        <w:trPr>
          <w:cantSplit/>
        </w:trPr>
        <w:tc>
          <w:tcPr>
            <w:tcW w:w="6096" w:type="dxa"/>
            <w:tcBorders>
              <w:top w:val="single" w:sz="4" w:space="0" w:color="auto"/>
              <w:bottom w:val="single" w:sz="4" w:space="0" w:color="FFFFFF" w:themeColor="background1"/>
            </w:tcBorders>
            <w:shd w:val="clear" w:color="auto" w:fill="C6D9F1"/>
          </w:tcPr>
          <w:p w:rsidR="00A95BDA" w:rsidRPr="00E07B1B" w:rsidRDefault="00A95BDA" w:rsidP="00D562F2">
            <w:pPr>
              <w:pStyle w:val="TableText"/>
              <w:ind w:left="425" w:right="142" w:hanging="425"/>
              <w:rPr>
                <w:lang w:eastAsia="en-NZ"/>
              </w:rPr>
            </w:pPr>
            <w:r w:rsidRPr="00E07B1B">
              <w:rPr>
                <w:lang w:eastAsia="en-NZ"/>
              </w:rPr>
              <w:t>1</w:t>
            </w:r>
            <w:r>
              <w:rPr>
                <w:lang w:eastAsia="en-NZ"/>
              </w:rPr>
              <w:tab/>
            </w:r>
            <w:r w:rsidRPr="00E07B1B">
              <w:rPr>
                <w:lang w:eastAsia="en-NZ"/>
              </w:rPr>
              <w:t xml:space="preserve">Offer all women an HbA1c test in their </w:t>
            </w:r>
            <w:r>
              <w:rPr>
                <w:lang w:eastAsia="en-NZ"/>
              </w:rPr>
              <w:t>‘</w:t>
            </w:r>
            <w:r w:rsidRPr="00E07B1B">
              <w:rPr>
                <w:lang w:eastAsia="en-NZ"/>
              </w:rPr>
              <w:t>booking</w:t>
            </w:r>
            <w:r>
              <w:rPr>
                <w:lang w:eastAsia="en-NZ"/>
              </w:rPr>
              <w:t>’</w:t>
            </w:r>
            <w:r w:rsidRPr="00E07B1B">
              <w:rPr>
                <w:lang w:eastAsia="en-NZ"/>
              </w:rPr>
              <w:t xml:space="preserve"> antenatal bloods to detect undiagnosed diabetes</w:t>
            </w:r>
            <w:r>
              <w:rPr>
                <w:lang w:eastAsia="en-NZ"/>
              </w:rPr>
              <w:t>.</w:t>
            </w:r>
          </w:p>
        </w:tc>
        <w:tc>
          <w:tcPr>
            <w:tcW w:w="1984" w:type="dxa"/>
            <w:tcBorders>
              <w:top w:val="single" w:sz="4" w:space="0" w:color="auto"/>
              <w:bottom w:val="single" w:sz="4" w:space="0" w:color="FFFFFF" w:themeColor="background1"/>
            </w:tcBorders>
            <w:shd w:val="clear" w:color="auto" w:fill="C6D9F1"/>
          </w:tcPr>
          <w:p w:rsidR="00A95BDA" w:rsidRPr="00E07B1B" w:rsidRDefault="00A95BDA" w:rsidP="00D562F2">
            <w:pPr>
              <w:pStyle w:val="TableText"/>
              <w:jc w:val="center"/>
            </w:pPr>
            <w:r w:rsidRPr="00E07B1B">
              <w:t>CONDITIONAL</w:t>
            </w:r>
          </w:p>
        </w:tc>
        <w:tc>
          <w:tcPr>
            <w:tcW w:w="1276" w:type="dxa"/>
            <w:tcBorders>
              <w:top w:val="single" w:sz="4" w:space="0" w:color="auto"/>
              <w:bottom w:val="single" w:sz="4" w:space="0" w:color="FFFFFF" w:themeColor="background1"/>
            </w:tcBorders>
            <w:shd w:val="clear" w:color="auto" w:fill="C6D9F1"/>
          </w:tcPr>
          <w:p w:rsidR="00A95BDA" w:rsidRPr="00E07B1B" w:rsidRDefault="00A95BDA" w:rsidP="00D562F2">
            <w:pPr>
              <w:pStyle w:val="TableText"/>
              <w:jc w:val="center"/>
            </w:pPr>
            <w:r w:rsidRPr="00E07B1B">
              <w:t>Chapter 2</w:t>
            </w:r>
          </w:p>
        </w:tc>
      </w:tr>
      <w:tr w:rsidR="00A95BDA" w:rsidRPr="00E07B1B" w:rsidTr="00D562F2">
        <w:trPr>
          <w:cantSplit/>
        </w:trPr>
        <w:tc>
          <w:tcPr>
            <w:tcW w:w="6096" w:type="dxa"/>
            <w:tcBorders>
              <w:top w:val="single" w:sz="4" w:space="0" w:color="FFFFFF" w:themeColor="background1"/>
              <w:bottom w:val="single" w:sz="4" w:space="0" w:color="FFFFFF" w:themeColor="background1"/>
            </w:tcBorders>
            <w:shd w:val="clear" w:color="auto" w:fill="C6D9F1"/>
          </w:tcPr>
          <w:p w:rsidR="00A95BDA" w:rsidRPr="00E07B1B" w:rsidRDefault="00A95BDA" w:rsidP="00D562F2">
            <w:pPr>
              <w:pStyle w:val="TableText"/>
              <w:ind w:left="425" w:right="142" w:hanging="425"/>
              <w:rPr>
                <w:lang w:eastAsia="en-NZ"/>
              </w:rPr>
            </w:pPr>
            <w:r w:rsidRPr="00E07B1B">
              <w:rPr>
                <w:lang w:eastAsia="en-NZ"/>
              </w:rPr>
              <w:t>2a</w:t>
            </w:r>
            <w:r>
              <w:rPr>
                <w:lang w:eastAsia="en-NZ"/>
              </w:rPr>
              <w:tab/>
            </w:r>
            <w:r w:rsidRPr="00E07B1B">
              <w:rPr>
                <w:lang w:eastAsia="en-NZ"/>
              </w:rPr>
              <w:t>Women with HbA1c ≥</w:t>
            </w:r>
            <w:r>
              <w:rPr>
                <w:lang w:eastAsia="en-NZ"/>
              </w:rPr>
              <w:t xml:space="preserve"> </w:t>
            </w:r>
            <w:r w:rsidRPr="00E07B1B">
              <w:rPr>
                <w:lang w:eastAsia="en-NZ"/>
              </w:rPr>
              <w:t xml:space="preserve">50 mmol/mol should be under the care of a </w:t>
            </w:r>
            <w:r>
              <w:rPr>
                <w:lang w:eastAsia="en-NZ"/>
              </w:rPr>
              <w:t>service that specialises in diabetes in pregnancy</w:t>
            </w:r>
            <w:r w:rsidRPr="00E07B1B">
              <w:rPr>
                <w:lang w:eastAsia="en-NZ"/>
              </w:rPr>
              <w:t>.</w:t>
            </w:r>
          </w:p>
        </w:tc>
        <w:tc>
          <w:tcPr>
            <w:tcW w:w="1984" w:type="dxa"/>
            <w:tcBorders>
              <w:top w:val="single" w:sz="4" w:space="0" w:color="FFFFFF" w:themeColor="background1"/>
              <w:bottom w:val="single" w:sz="4" w:space="0" w:color="FFFFFF" w:themeColor="background1"/>
            </w:tcBorders>
            <w:shd w:val="clear" w:color="auto" w:fill="C6D9F1"/>
          </w:tcPr>
          <w:p w:rsidR="00A95BDA" w:rsidRPr="00E07B1B" w:rsidRDefault="00A95BDA" w:rsidP="00D562F2">
            <w:pPr>
              <w:pStyle w:val="TableText"/>
              <w:jc w:val="center"/>
            </w:pPr>
            <w:r w:rsidRPr="00E07B1B">
              <w:t>CONDITIONAL</w:t>
            </w:r>
          </w:p>
        </w:tc>
        <w:tc>
          <w:tcPr>
            <w:tcW w:w="1276" w:type="dxa"/>
            <w:tcBorders>
              <w:top w:val="single" w:sz="4" w:space="0" w:color="FFFFFF" w:themeColor="background1"/>
              <w:bottom w:val="single" w:sz="4" w:space="0" w:color="FFFFFF" w:themeColor="background1"/>
            </w:tcBorders>
            <w:shd w:val="clear" w:color="auto" w:fill="C6D9F1"/>
          </w:tcPr>
          <w:p w:rsidR="00A95BDA" w:rsidRPr="00E07B1B" w:rsidRDefault="00A95BDA" w:rsidP="00D562F2">
            <w:pPr>
              <w:pStyle w:val="TableText"/>
              <w:jc w:val="center"/>
            </w:pPr>
            <w:r w:rsidRPr="00E07B1B">
              <w:t>Chapter 2</w:t>
            </w:r>
          </w:p>
        </w:tc>
      </w:tr>
      <w:tr w:rsidR="00A95BDA" w:rsidRPr="00E07B1B" w:rsidTr="00D562F2">
        <w:trPr>
          <w:cantSplit/>
        </w:trPr>
        <w:tc>
          <w:tcPr>
            <w:tcW w:w="6096"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ind w:left="425" w:right="142" w:hanging="425"/>
            </w:pPr>
            <w:r w:rsidRPr="00E07B1B">
              <w:rPr>
                <w:lang w:eastAsia="en-NZ"/>
              </w:rPr>
              <w:t>2b</w:t>
            </w:r>
            <w:r>
              <w:rPr>
                <w:lang w:eastAsia="en-NZ"/>
              </w:rPr>
              <w:tab/>
            </w:r>
            <w:r>
              <w:t>All w</w:t>
            </w:r>
            <w:r w:rsidRPr="00E07B1B">
              <w:t>omen with HbA1c 41</w:t>
            </w:r>
            <w:r>
              <w:t>–</w:t>
            </w:r>
            <w:r w:rsidRPr="00E07B1B">
              <w:t>49 mmol/mol should receive dietary and lifestyle advice and have an oral glucose</w:t>
            </w:r>
            <w:r>
              <w:t xml:space="preserve"> </w:t>
            </w:r>
            <w:r w:rsidRPr="00E07B1B">
              <w:t>tolerance test at</w:t>
            </w:r>
            <w:r>
              <w:br/>
            </w:r>
            <w:r w:rsidRPr="00E07B1B">
              <w:t>24</w:t>
            </w:r>
            <w:r>
              <w:t>–</w:t>
            </w:r>
            <w:r w:rsidRPr="00E07B1B">
              <w:t>28 weeks</w:t>
            </w:r>
            <w:r>
              <w:t>.</w:t>
            </w:r>
          </w:p>
        </w:tc>
        <w:tc>
          <w:tcPr>
            <w:tcW w:w="1984"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jc w:val="center"/>
            </w:pPr>
            <w:r w:rsidRPr="00E07B1B">
              <w:t>GPP</w:t>
            </w:r>
          </w:p>
        </w:tc>
        <w:tc>
          <w:tcPr>
            <w:tcW w:w="1276"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jc w:val="center"/>
            </w:pPr>
            <w:r w:rsidRPr="00E07B1B">
              <w:t>Chapter 2</w:t>
            </w:r>
          </w:p>
        </w:tc>
      </w:tr>
      <w:tr w:rsidR="00A95BDA" w:rsidRPr="00E07B1B" w:rsidTr="00D562F2">
        <w:trPr>
          <w:cantSplit/>
        </w:trPr>
        <w:tc>
          <w:tcPr>
            <w:tcW w:w="6096" w:type="dxa"/>
            <w:tcBorders>
              <w:top w:val="single" w:sz="4" w:space="0" w:color="FFFFFF" w:themeColor="background1"/>
              <w:bottom w:val="single" w:sz="4" w:space="0" w:color="FFFFFF" w:themeColor="background1"/>
            </w:tcBorders>
            <w:shd w:val="clear" w:color="auto" w:fill="C6D9F1"/>
          </w:tcPr>
          <w:p w:rsidR="00A95BDA" w:rsidRPr="00E07B1B" w:rsidRDefault="00A95BDA" w:rsidP="00D562F2">
            <w:pPr>
              <w:pStyle w:val="TableText"/>
              <w:ind w:left="425" w:right="142" w:hanging="425"/>
            </w:pPr>
            <w:r w:rsidRPr="00E07B1B">
              <w:rPr>
                <w:lang w:eastAsia="en-NZ"/>
              </w:rPr>
              <w:t>3</w:t>
            </w:r>
            <w:r>
              <w:rPr>
                <w:lang w:eastAsia="en-NZ"/>
              </w:rPr>
              <w:tab/>
            </w:r>
            <w:r w:rsidRPr="00E07B1B">
              <w:rPr>
                <w:lang w:eastAsia="en-NZ"/>
              </w:rPr>
              <w:t>Do not offer an HbA1c as a diagnostic test for gestational diabetes as it is not sensitive enough to detect gestational diabetes.</w:t>
            </w:r>
          </w:p>
        </w:tc>
        <w:tc>
          <w:tcPr>
            <w:tcW w:w="1984" w:type="dxa"/>
            <w:tcBorders>
              <w:top w:val="single" w:sz="4" w:space="0" w:color="FFFFFF" w:themeColor="background1"/>
              <w:bottom w:val="single" w:sz="4" w:space="0" w:color="FFFFFF" w:themeColor="background1"/>
            </w:tcBorders>
            <w:shd w:val="clear" w:color="auto" w:fill="C6D9F1"/>
          </w:tcPr>
          <w:p w:rsidR="00A95BDA" w:rsidRPr="00E07B1B" w:rsidRDefault="00A95BDA" w:rsidP="00D562F2">
            <w:pPr>
              <w:pStyle w:val="TableText"/>
              <w:jc w:val="center"/>
            </w:pPr>
            <w:r w:rsidRPr="00E07B1B">
              <w:t>CONDITIONAL</w:t>
            </w:r>
          </w:p>
        </w:tc>
        <w:tc>
          <w:tcPr>
            <w:tcW w:w="1276" w:type="dxa"/>
            <w:tcBorders>
              <w:top w:val="single" w:sz="4" w:space="0" w:color="FFFFFF" w:themeColor="background1"/>
              <w:bottom w:val="single" w:sz="4" w:space="0" w:color="FFFFFF" w:themeColor="background1"/>
            </w:tcBorders>
            <w:shd w:val="clear" w:color="auto" w:fill="C6D9F1"/>
          </w:tcPr>
          <w:p w:rsidR="00A95BDA" w:rsidRPr="00E07B1B" w:rsidRDefault="00A95BDA" w:rsidP="00D562F2">
            <w:pPr>
              <w:pStyle w:val="TableText"/>
              <w:jc w:val="center"/>
            </w:pPr>
            <w:r w:rsidRPr="00E07B1B">
              <w:t>Chapter 2</w:t>
            </w:r>
          </w:p>
        </w:tc>
      </w:tr>
      <w:tr w:rsidR="00A95BDA" w:rsidRPr="00E07B1B" w:rsidTr="00D562F2">
        <w:trPr>
          <w:cantSplit/>
        </w:trPr>
        <w:tc>
          <w:tcPr>
            <w:tcW w:w="9356" w:type="dxa"/>
            <w:gridSpan w:val="3"/>
            <w:tcBorders>
              <w:top w:val="single" w:sz="4" w:space="0" w:color="FFFFFF" w:themeColor="background1"/>
              <w:bottom w:val="single" w:sz="4" w:space="0" w:color="FFFFFF" w:themeColor="background1"/>
            </w:tcBorders>
            <w:shd w:val="clear" w:color="auto" w:fill="E5DFEC"/>
          </w:tcPr>
          <w:p w:rsidR="00A95BDA" w:rsidRPr="00E07B1B" w:rsidRDefault="00A95BDA" w:rsidP="00D562F2">
            <w:pPr>
              <w:pStyle w:val="TableText"/>
              <w:rPr>
                <w:lang w:eastAsia="en-NZ"/>
              </w:rPr>
            </w:pPr>
            <w:r w:rsidRPr="00847D8D">
              <w:rPr>
                <w:b/>
                <w:lang w:eastAsia="en-NZ"/>
              </w:rPr>
              <w:t>Research recommendation</w:t>
            </w:r>
            <w:r w:rsidRPr="00E07B1B">
              <w:rPr>
                <w:lang w:eastAsia="en-NZ"/>
              </w:rPr>
              <w:t xml:space="preserve">: Randomised controlled trial comparing dietary and lifestyle advice </w:t>
            </w:r>
            <w:r>
              <w:rPr>
                <w:lang w:eastAsia="en-NZ"/>
              </w:rPr>
              <w:t>with</w:t>
            </w:r>
            <w:r w:rsidRPr="00E07B1B">
              <w:rPr>
                <w:lang w:eastAsia="en-NZ"/>
              </w:rPr>
              <w:t xml:space="preserve"> pharmacotherapy for women </w:t>
            </w:r>
            <w:r>
              <w:rPr>
                <w:lang w:eastAsia="en-NZ"/>
              </w:rPr>
              <w:t>whose</w:t>
            </w:r>
            <w:r w:rsidRPr="00E07B1B">
              <w:rPr>
                <w:lang w:eastAsia="en-NZ"/>
              </w:rPr>
              <w:t xml:space="preserve"> HbA1c </w:t>
            </w:r>
            <w:r>
              <w:rPr>
                <w:lang w:eastAsia="en-NZ"/>
              </w:rPr>
              <w:t xml:space="preserve">at booking is </w:t>
            </w:r>
            <w:r w:rsidRPr="00E07B1B">
              <w:rPr>
                <w:lang w:eastAsia="en-NZ"/>
              </w:rPr>
              <w:t>in the range of 41</w:t>
            </w:r>
            <w:r>
              <w:rPr>
                <w:lang w:eastAsia="en-NZ"/>
              </w:rPr>
              <w:t>–</w:t>
            </w:r>
            <w:r w:rsidRPr="00E07B1B">
              <w:rPr>
                <w:lang w:eastAsia="en-NZ"/>
              </w:rPr>
              <w:t>49 mmol/mol</w:t>
            </w:r>
            <w:r>
              <w:rPr>
                <w:lang w:eastAsia="en-NZ"/>
              </w:rPr>
              <w:t>, in terms of their impact</w:t>
            </w:r>
            <w:r w:rsidRPr="00E07B1B">
              <w:rPr>
                <w:lang w:eastAsia="en-NZ"/>
              </w:rPr>
              <w:t xml:space="preserve"> on maternal and infant outcomes and development of gestational diabetes.</w:t>
            </w:r>
          </w:p>
        </w:tc>
      </w:tr>
      <w:tr w:rsidR="00A95BDA" w:rsidRPr="00E07B1B" w:rsidTr="00D562F2">
        <w:trPr>
          <w:cantSplit/>
        </w:trPr>
        <w:tc>
          <w:tcPr>
            <w:tcW w:w="9356" w:type="dxa"/>
            <w:gridSpan w:val="3"/>
            <w:tcBorders>
              <w:top w:val="single" w:sz="4" w:space="0" w:color="FFFFFF" w:themeColor="background1"/>
              <w:bottom w:val="single" w:sz="4" w:space="0" w:color="auto"/>
            </w:tcBorders>
            <w:shd w:val="clear" w:color="auto" w:fill="E5DFEC"/>
          </w:tcPr>
          <w:p w:rsidR="00A95BDA" w:rsidRPr="00E07B1B" w:rsidRDefault="00A95BDA" w:rsidP="00D562F2">
            <w:pPr>
              <w:pStyle w:val="TableText"/>
              <w:rPr>
                <w:lang w:eastAsia="en-NZ"/>
              </w:rPr>
            </w:pPr>
            <w:r w:rsidRPr="00847D8D">
              <w:rPr>
                <w:b/>
                <w:lang w:eastAsia="en-NZ"/>
              </w:rPr>
              <w:t>Research recommendation</w:t>
            </w:r>
            <w:r w:rsidRPr="00E07B1B">
              <w:rPr>
                <w:lang w:eastAsia="en-NZ"/>
              </w:rPr>
              <w:t xml:space="preserve">: Studies that </w:t>
            </w:r>
            <w:r>
              <w:rPr>
                <w:lang w:eastAsia="en-NZ"/>
              </w:rPr>
              <w:t>investigate whether</w:t>
            </w:r>
            <w:r w:rsidRPr="00E07B1B">
              <w:rPr>
                <w:lang w:eastAsia="en-NZ"/>
              </w:rPr>
              <w:t xml:space="preserve"> early diagnosis and treatment lead to improved maternal and infant outcomes.</w:t>
            </w:r>
          </w:p>
        </w:tc>
      </w:tr>
    </w:tbl>
    <w:p w:rsidR="00A95BDA" w:rsidRPr="00E07B1B" w:rsidRDefault="00A95BDA" w:rsidP="00A95BDA"/>
    <w:p w:rsidR="00A95BDA" w:rsidRPr="00E07B1B" w:rsidRDefault="00A95BDA" w:rsidP="00E533EA">
      <w:pPr>
        <w:pStyle w:val="Heading3"/>
        <w:ind w:left="0" w:firstLine="0"/>
      </w:pPr>
      <w:bookmarkStart w:id="17" w:name="_Toc403469259"/>
      <w:r w:rsidRPr="00E07B1B">
        <w:t>Diagnosis of gestational diabetes at</w:t>
      </w:r>
      <w:r w:rsidR="00E533EA">
        <w:t xml:space="preserve"> </w:t>
      </w:r>
      <w:r w:rsidRPr="00E07B1B">
        <w:t>24</w:t>
      </w:r>
      <w:r>
        <w:t>–</w:t>
      </w:r>
      <w:r w:rsidRPr="00E07B1B">
        <w:t>28 weeks</w:t>
      </w:r>
      <w:bookmarkEnd w:id="17"/>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6096"/>
        <w:gridCol w:w="1984"/>
        <w:gridCol w:w="1276"/>
      </w:tblGrid>
      <w:tr w:rsidR="00A95BDA" w:rsidRPr="000C35E3" w:rsidTr="00D562F2">
        <w:trPr>
          <w:cantSplit/>
        </w:trPr>
        <w:tc>
          <w:tcPr>
            <w:tcW w:w="6096" w:type="dxa"/>
            <w:tcBorders>
              <w:top w:val="single" w:sz="4" w:space="0" w:color="auto"/>
              <w:bottom w:val="single" w:sz="4" w:space="0" w:color="auto"/>
            </w:tcBorders>
            <w:shd w:val="clear" w:color="auto" w:fill="F7F9FB"/>
          </w:tcPr>
          <w:p w:rsidR="00A95BDA" w:rsidRPr="000C35E3" w:rsidRDefault="00A95BDA" w:rsidP="00D562F2">
            <w:pPr>
              <w:pStyle w:val="TableText"/>
              <w:keepNext/>
              <w:ind w:right="142"/>
              <w:rPr>
                <w:b/>
              </w:rPr>
            </w:pPr>
            <w:r w:rsidRPr="000C35E3">
              <w:rPr>
                <w:b/>
              </w:rPr>
              <w:t>Recommendation</w:t>
            </w:r>
          </w:p>
        </w:tc>
        <w:tc>
          <w:tcPr>
            <w:tcW w:w="1984" w:type="dxa"/>
            <w:tcBorders>
              <w:top w:val="single" w:sz="4" w:space="0" w:color="auto"/>
              <w:bottom w:val="single" w:sz="4" w:space="0" w:color="auto"/>
            </w:tcBorders>
            <w:shd w:val="clear" w:color="auto" w:fill="F7F9FB"/>
          </w:tcPr>
          <w:p w:rsidR="00A95BDA" w:rsidRPr="000C35E3" w:rsidRDefault="00A95BDA" w:rsidP="00D562F2">
            <w:pPr>
              <w:pStyle w:val="TableText"/>
              <w:keepNext/>
              <w:jc w:val="center"/>
              <w:rPr>
                <w:b/>
              </w:rPr>
            </w:pPr>
            <w:r w:rsidRPr="000C35E3">
              <w:rPr>
                <w:b/>
              </w:rPr>
              <w:t>Strength of recommendation or good practice point (GPP)</w:t>
            </w:r>
          </w:p>
        </w:tc>
        <w:tc>
          <w:tcPr>
            <w:tcW w:w="1276" w:type="dxa"/>
            <w:tcBorders>
              <w:top w:val="single" w:sz="4" w:space="0" w:color="auto"/>
              <w:bottom w:val="single" w:sz="4" w:space="0" w:color="auto"/>
            </w:tcBorders>
            <w:shd w:val="clear" w:color="auto" w:fill="F7F9FB"/>
          </w:tcPr>
          <w:p w:rsidR="00A95BDA" w:rsidRPr="000C35E3" w:rsidRDefault="00A95BDA" w:rsidP="00D562F2">
            <w:pPr>
              <w:pStyle w:val="TableText"/>
              <w:keepNext/>
              <w:jc w:val="center"/>
              <w:rPr>
                <w:b/>
              </w:rPr>
            </w:pPr>
            <w:r w:rsidRPr="000C35E3">
              <w:rPr>
                <w:b/>
              </w:rPr>
              <w:t>Where to refer in guideline</w:t>
            </w:r>
          </w:p>
        </w:tc>
      </w:tr>
      <w:tr w:rsidR="00A95BDA" w:rsidRPr="00E07B1B" w:rsidTr="00D562F2">
        <w:trPr>
          <w:cantSplit/>
        </w:trPr>
        <w:tc>
          <w:tcPr>
            <w:tcW w:w="6096" w:type="dxa"/>
            <w:tcBorders>
              <w:top w:val="single" w:sz="4" w:space="0" w:color="auto"/>
              <w:bottom w:val="nil"/>
            </w:tcBorders>
            <w:shd w:val="clear" w:color="auto" w:fill="DBE5F1"/>
          </w:tcPr>
          <w:p w:rsidR="00A95BDA" w:rsidRPr="00AE558F" w:rsidRDefault="00A95BDA" w:rsidP="00E533EA">
            <w:pPr>
              <w:pStyle w:val="TableText"/>
              <w:keepNext/>
              <w:ind w:right="142"/>
              <w:rPr>
                <w:b/>
              </w:rPr>
            </w:pPr>
            <w:r w:rsidRPr="00AE558F">
              <w:rPr>
                <w:b/>
              </w:rPr>
              <w:t>At 24</w:t>
            </w:r>
            <w:r>
              <w:rPr>
                <w:b/>
              </w:rPr>
              <w:t>–</w:t>
            </w:r>
            <w:r w:rsidRPr="00AE558F">
              <w:rPr>
                <w:b/>
              </w:rPr>
              <w:t>28 weeks</w:t>
            </w:r>
          </w:p>
          <w:p w:rsidR="00A95BDA" w:rsidRDefault="00A95BDA" w:rsidP="00E533EA">
            <w:pPr>
              <w:pStyle w:val="TableText"/>
              <w:keepNext/>
              <w:ind w:left="425" w:right="142" w:hanging="425"/>
            </w:pPr>
            <w:r>
              <w:t>4</w:t>
            </w:r>
            <w:r>
              <w:tab/>
              <w:t>For</w:t>
            </w:r>
            <w:r w:rsidRPr="00AE558F">
              <w:t xml:space="preserve"> all women not previously diagnosed with diabetes who are at high risk of gestational diabetes (HbA1c of 41</w:t>
            </w:r>
            <w:r>
              <w:t>–</w:t>
            </w:r>
            <w:r w:rsidRPr="00AE558F">
              <w:t>49 mmol/mol)</w:t>
            </w:r>
            <w:r>
              <w:t>, offer</w:t>
            </w:r>
            <w:r w:rsidRPr="00AE558F">
              <w:t xml:space="preserve"> a </w:t>
            </w:r>
            <w:r>
              <w:t>two</w:t>
            </w:r>
            <w:r w:rsidRPr="00AE558F">
              <w:t>-hour, 75 g oral glucose tolerance test</w:t>
            </w:r>
            <w:r>
              <w:t>.</w:t>
            </w:r>
          </w:p>
          <w:p w:rsidR="00A95BDA" w:rsidRPr="00AE558F" w:rsidRDefault="00A95BDA" w:rsidP="00E533EA">
            <w:pPr>
              <w:pStyle w:val="TableBullet"/>
              <w:keepNext/>
              <w:ind w:left="709" w:right="142"/>
            </w:pPr>
            <w:r w:rsidRPr="00AE558F">
              <w:t>If fasting glucose</w:t>
            </w:r>
            <w:r>
              <w:t xml:space="preserve"> is</w:t>
            </w:r>
            <w:r w:rsidRPr="00AE558F">
              <w:t xml:space="preserve"> ≥ 5.5 mmol/L or </w:t>
            </w:r>
            <w:r>
              <w:t>two</w:t>
            </w:r>
            <w:r w:rsidRPr="00AE558F">
              <w:t>-hour value</w:t>
            </w:r>
            <w:r>
              <w:t xml:space="preserve"> is</w:t>
            </w:r>
            <w:r w:rsidRPr="00AE558F">
              <w:t xml:space="preserve"> ≥</w:t>
            </w:r>
            <w:r>
              <w:t> </w:t>
            </w:r>
            <w:r w:rsidRPr="00AE558F">
              <w:t>9.0</w:t>
            </w:r>
            <w:r>
              <w:t> </w:t>
            </w:r>
            <w:r w:rsidRPr="00AE558F">
              <w:t>mmol/L</w:t>
            </w:r>
            <w:r>
              <w:t>,</w:t>
            </w:r>
            <w:r w:rsidRPr="00AE558F">
              <w:t xml:space="preserve"> refer</w:t>
            </w:r>
            <w:r>
              <w:t xml:space="preserve"> the woman</w:t>
            </w:r>
            <w:r w:rsidRPr="00AE558F">
              <w:t xml:space="preserve"> to</w:t>
            </w:r>
            <w:r>
              <w:t xml:space="preserve"> a</w:t>
            </w:r>
            <w:r w:rsidRPr="00AE558F">
              <w:t xml:space="preserve"> diabetes in pregnancy clinic</w:t>
            </w:r>
            <w:r>
              <w:t>.</w:t>
            </w:r>
          </w:p>
          <w:p w:rsidR="00A95BDA" w:rsidRPr="00E07B1B" w:rsidRDefault="00A95BDA" w:rsidP="00E533EA">
            <w:pPr>
              <w:pStyle w:val="TableText"/>
              <w:keepNext/>
              <w:ind w:left="425" w:right="142"/>
            </w:pPr>
            <w:r w:rsidRPr="00AE558F">
              <w:t xml:space="preserve">Offer all other women a </w:t>
            </w:r>
            <w:r>
              <w:t>one-</w:t>
            </w:r>
            <w:r w:rsidRPr="00AE558F">
              <w:t>hour, 50 g, oral glucose challenge test</w:t>
            </w:r>
            <w:r>
              <w:t>.</w:t>
            </w:r>
          </w:p>
        </w:tc>
        <w:tc>
          <w:tcPr>
            <w:tcW w:w="1984" w:type="dxa"/>
            <w:tcBorders>
              <w:top w:val="single" w:sz="4" w:space="0" w:color="auto"/>
              <w:bottom w:val="nil"/>
            </w:tcBorders>
            <w:shd w:val="clear" w:color="auto" w:fill="DBE5F1"/>
          </w:tcPr>
          <w:p w:rsidR="00A95BDA" w:rsidRPr="00E07B1B" w:rsidRDefault="00A95BDA" w:rsidP="00E533EA">
            <w:pPr>
              <w:pStyle w:val="TableText"/>
              <w:keepNext/>
              <w:jc w:val="center"/>
            </w:pPr>
            <w:r w:rsidRPr="00E07B1B">
              <w:t>GPP</w:t>
            </w:r>
          </w:p>
        </w:tc>
        <w:tc>
          <w:tcPr>
            <w:tcW w:w="1276" w:type="dxa"/>
            <w:tcBorders>
              <w:top w:val="single" w:sz="4" w:space="0" w:color="auto"/>
              <w:bottom w:val="nil"/>
            </w:tcBorders>
            <w:shd w:val="clear" w:color="auto" w:fill="DBE5F1"/>
          </w:tcPr>
          <w:p w:rsidR="00A95BDA" w:rsidRPr="00E07B1B" w:rsidRDefault="00A95BDA" w:rsidP="00E533EA">
            <w:pPr>
              <w:pStyle w:val="TableText"/>
              <w:keepNext/>
              <w:jc w:val="center"/>
            </w:pPr>
            <w:r w:rsidRPr="00E07B1B">
              <w:t>Chapter 3</w:t>
            </w:r>
          </w:p>
        </w:tc>
      </w:tr>
      <w:tr w:rsidR="00A95BDA" w:rsidRPr="00E07B1B" w:rsidTr="00D562F2">
        <w:trPr>
          <w:cantSplit/>
        </w:trPr>
        <w:tc>
          <w:tcPr>
            <w:tcW w:w="6096" w:type="dxa"/>
            <w:tcBorders>
              <w:top w:val="nil"/>
              <w:bottom w:val="single" w:sz="4" w:space="0" w:color="FFFFFF" w:themeColor="background1"/>
            </w:tcBorders>
            <w:shd w:val="clear" w:color="auto" w:fill="DBE5F1"/>
          </w:tcPr>
          <w:p w:rsidR="00A95BDA" w:rsidRPr="00AE558F" w:rsidRDefault="00A95BDA" w:rsidP="00D562F2">
            <w:pPr>
              <w:pStyle w:val="TableBullet"/>
              <w:ind w:left="709" w:right="142"/>
            </w:pPr>
            <w:r w:rsidRPr="00AE558F">
              <w:t>If glucose</w:t>
            </w:r>
            <w:r>
              <w:t xml:space="preserve"> is</w:t>
            </w:r>
            <w:r w:rsidRPr="00AE558F">
              <w:t xml:space="preserve"> ≥ 11.1 mmol/L</w:t>
            </w:r>
            <w:r>
              <w:t>,</w:t>
            </w:r>
            <w:r w:rsidRPr="00AE558F">
              <w:t xml:space="preserve"> refer directly to diabetes in pregnancy clinic without further testing</w:t>
            </w:r>
            <w:r>
              <w:t>.</w:t>
            </w:r>
          </w:p>
          <w:p w:rsidR="00A95BDA" w:rsidRDefault="00A95BDA" w:rsidP="00D562F2">
            <w:pPr>
              <w:pStyle w:val="TableBullet"/>
              <w:ind w:left="709" w:right="142"/>
            </w:pPr>
            <w:r w:rsidRPr="00AE558F">
              <w:t>If glucose ≥ 7.8 mmol/L to &lt; 11.0 mmol/L</w:t>
            </w:r>
            <w:r>
              <w:t>,</w:t>
            </w:r>
            <w:r w:rsidRPr="00AE558F">
              <w:t xml:space="preserve"> then arrange a 75 g, </w:t>
            </w:r>
            <w:r>
              <w:t>two</w:t>
            </w:r>
            <w:r w:rsidRPr="00AE558F">
              <w:t>-hour oral glucose tolerance test without delay</w:t>
            </w:r>
            <w:r>
              <w:t>.</w:t>
            </w:r>
          </w:p>
          <w:p w:rsidR="00A95BDA" w:rsidRPr="00AE558F" w:rsidRDefault="00A95BDA" w:rsidP="00D562F2">
            <w:pPr>
              <w:pStyle w:val="TableText"/>
              <w:ind w:left="425" w:right="142"/>
              <w:rPr>
                <w:b/>
              </w:rPr>
            </w:pPr>
            <w:r>
              <w:t>Consider enrolment in the randomised trial of different diagnostic criteria*</w:t>
            </w:r>
          </w:p>
        </w:tc>
        <w:tc>
          <w:tcPr>
            <w:tcW w:w="1984" w:type="dxa"/>
            <w:tcBorders>
              <w:top w:val="nil"/>
              <w:bottom w:val="single" w:sz="4" w:space="0" w:color="FFFFFF" w:themeColor="background1"/>
            </w:tcBorders>
            <w:shd w:val="clear" w:color="auto" w:fill="DBE5F1"/>
          </w:tcPr>
          <w:p w:rsidR="00A95BDA" w:rsidRPr="00E07B1B" w:rsidRDefault="00A95BDA" w:rsidP="00D562F2">
            <w:pPr>
              <w:pStyle w:val="TableText"/>
              <w:jc w:val="center"/>
            </w:pPr>
            <w:r>
              <w:t>GPP</w:t>
            </w:r>
          </w:p>
        </w:tc>
        <w:tc>
          <w:tcPr>
            <w:tcW w:w="1276" w:type="dxa"/>
            <w:tcBorders>
              <w:top w:val="nil"/>
              <w:bottom w:val="single" w:sz="4" w:space="0" w:color="FFFFFF" w:themeColor="background1"/>
            </w:tcBorders>
            <w:shd w:val="clear" w:color="auto" w:fill="DBE5F1"/>
          </w:tcPr>
          <w:p w:rsidR="00A95BDA" w:rsidRPr="00E07B1B" w:rsidRDefault="00A95BDA" w:rsidP="00D562F2">
            <w:pPr>
              <w:pStyle w:val="TableText"/>
              <w:jc w:val="center"/>
            </w:pPr>
          </w:p>
        </w:tc>
      </w:tr>
      <w:tr w:rsidR="00A95BDA" w:rsidRPr="00E07B1B" w:rsidTr="00D562F2">
        <w:trPr>
          <w:cantSplit/>
        </w:trPr>
        <w:tc>
          <w:tcPr>
            <w:tcW w:w="6096"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ind w:left="425" w:right="142" w:hanging="425"/>
            </w:pPr>
            <w:r w:rsidRPr="00AE558F">
              <w:rPr>
                <w:lang w:eastAsia="en-NZ"/>
              </w:rPr>
              <w:t>5</w:t>
            </w:r>
            <w:r>
              <w:rPr>
                <w:lang w:eastAsia="en-NZ"/>
              </w:rPr>
              <w:tab/>
            </w:r>
            <w:r w:rsidRPr="00AE558F">
              <w:rPr>
                <w:lang w:eastAsia="en-NZ"/>
              </w:rPr>
              <w:t xml:space="preserve">If the fasting or </w:t>
            </w:r>
            <w:r>
              <w:rPr>
                <w:lang w:eastAsia="en-NZ"/>
              </w:rPr>
              <w:t>two-</w:t>
            </w:r>
            <w:r w:rsidRPr="00AE558F">
              <w:rPr>
                <w:lang w:eastAsia="en-NZ"/>
              </w:rPr>
              <w:t>hour values are borderline and there are risk factors for gestational diabetes</w:t>
            </w:r>
            <w:r>
              <w:rPr>
                <w:lang w:eastAsia="en-NZ"/>
              </w:rPr>
              <w:t>,</w:t>
            </w:r>
            <w:r w:rsidRPr="00AE558F">
              <w:rPr>
                <w:lang w:eastAsia="en-NZ"/>
              </w:rPr>
              <w:t xml:space="preserve"> consider self-monitoring of blood glucose levels weekly</w:t>
            </w:r>
            <w:r>
              <w:rPr>
                <w:lang w:eastAsia="en-NZ"/>
              </w:rPr>
              <w:t>.</w:t>
            </w:r>
          </w:p>
        </w:tc>
        <w:tc>
          <w:tcPr>
            <w:tcW w:w="1984"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jc w:val="center"/>
            </w:pPr>
            <w:r w:rsidRPr="00E07B1B">
              <w:t>GPP</w:t>
            </w:r>
          </w:p>
        </w:tc>
        <w:tc>
          <w:tcPr>
            <w:tcW w:w="1276"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jc w:val="center"/>
            </w:pPr>
            <w:r w:rsidRPr="00E07B1B">
              <w:t xml:space="preserve">Chapter 2 (section 2.3) – </w:t>
            </w:r>
            <w:r>
              <w:t>r</w:t>
            </w:r>
            <w:r w:rsidRPr="00E07B1B">
              <w:t>isk factors</w:t>
            </w:r>
            <w:r>
              <w:br/>
            </w:r>
            <w:r w:rsidRPr="00E07B1B">
              <w:t>Chapter 3</w:t>
            </w:r>
          </w:p>
        </w:tc>
      </w:tr>
      <w:tr w:rsidR="00A95BDA" w:rsidRPr="00E07B1B" w:rsidTr="00D562F2">
        <w:trPr>
          <w:cantSplit/>
        </w:trPr>
        <w:tc>
          <w:tcPr>
            <w:tcW w:w="9356" w:type="dxa"/>
            <w:gridSpan w:val="3"/>
            <w:tcBorders>
              <w:top w:val="single" w:sz="4" w:space="0" w:color="FFFFFF" w:themeColor="background1"/>
              <w:bottom w:val="single" w:sz="4" w:space="0" w:color="auto"/>
            </w:tcBorders>
            <w:shd w:val="clear" w:color="auto" w:fill="E5DFEC"/>
          </w:tcPr>
          <w:p w:rsidR="00A95BDA" w:rsidRPr="00E07B1B" w:rsidRDefault="00A95BDA" w:rsidP="00D562F2">
            <w:pPr>
              <w:pStyle w:val="TableText"/>
              <w:rPr>
                <w:lang w:eastAsia="en-NZ"/>
              </w:rPr>
            </w:pPr>
            <w:r w:rsidRPr="00FF0F2C">
              <w:rPr>
                <w:b/>
                <w:lang w:eastAsia="en-NZ"/>
              </w:rPr>
              <w:t>Research recommendation:</w:t>
            </w:r>
            <w:r w:rsidRPr="00AE558F">
              <w:rPr>
                <w:lang w:eastAsia="en-NZ"/>
              </w:rPr>
              <w:t xml:space="preserve"> A randomised controlled trial that compares current </w:t>
            </w:r>
            <w:r>
              <w:rPr>
                <w:lang w:eastAsia="en-NZ"/>
              </w:rPr>
              <w:t xml:space="preserve">New Zealand </w:t>
            </w:r>
            <w:r w:rsidRPr="00AE558F">
              <w:rPr>
                <w:lang w:eastAsia="en-NZ"/>
              </w:rPr>
              <w:t xml:space="preserve">screening and diagnostic criteria with those proposed by the International Association of Diabetes </w:t>
            </w:r>
            <w:r>
              <w:rPr>
                <w:lang w:eastAsia="en-NZ"/>
              </w:rPr>
              <w:t>and</w:t>
            </w:r>
            <w:r w:rsidRPr="00AE558F">
              <w:rPr>
                <w:lang w:eastAsia="en-NZ"/>
              </w:rPr>
              <w:t xml:space="preserve"> Pregnancy Study Groups</w:t>
            </w:r>
            <w:r>
              <w:rPr>
                <w:lang w:eastAsia="en-NZ"/>
              </w:rPr>
              <w:t xml:space="preserve"> in terms of their impact</w:t>
            </w:r>
            <w:r w:rsidRPr="00AE558F">
              <w:rPr>
                <w:lang w:eastAsia="en-NZ"/>
              </w:rPr>
              <w:t xml:space="preserve"> on maternal and infant outcomes</w:t>
            </w:r>
            <w:r>
              <w:rPr>
                <w:lang w:eastAsia="en-NZ"/>
              </w:rPr>
              <w:t xml:space="preserve"> is required</w:t>
            </w:r>
            <w:r w:rsidRPr="00AE558F">
              <w:rPr>
                <w:lang w:eastAsia="en-NZ"/>
              </w:rPr>
              <w:t>.</w:t>
            </w:r>
          </w:p>
        </w:tc>
      </w:tr>
    </w:tbl>
    <w:p w:rsidR="00A95BDA" w:rsidRPr="00FF0F2C" w:rsidRDefault="00A95BDA" w:rsidP="00A95BDA">
      <w:pPr>
        <w:pStyle w:val="Note"/>
      </w:pPr>
      <w:r w:rsidRPr="00FF0F2C">
        <w:t>*</w:t>
      </w:r>
      <w:r>
        <w:tab/>
      </w:r>
      <w:r w:rsidRPr="00FF0F2C">
        <w:t xml:space="preserve">For further details of the New Zealand GEMS Trial contact </w:t>
      </w:r>
      <w:hyperlink r:id="rId28" w:history="1">
        <w:r w:rsidRPr="003C7398">
          <w:rPr>
            <w:rStyle w:val="Hyperlink"/>
          </w:rPr>
          <w:t>gems@auckland.ac.nz</w:t>
        </w:r>
      </w:hyperlink>
      <w:r>
        <w:t xml:space="preserve"> or go to </w:t>
      </w:r>
      <w:hyperlink r:id="rId29" w:history="1">
        <w:r w:rsidRPr="0068074A">
          <w:rPr>
            <w:rStyle w:val="Hyperlink"/>
            <w:rFonts w:cs="Arial"/>
          </w:rPr>
          <w:t>www.ligginstrials.org/GEMS</w:t>
        </w:r>
      </w:hyperlink>
      <w:r w:rsidRPr="00A402CD">
        <w:rPr>
          <w:rFonts w:cs="Arial"/>
        </w:rPr>
        <w:t>.</w:t>
      </w:r>
    </w:p>
    <w:p w:rsidR="00A95BDA" w:rsidRPr="00E07B1B" w:rsidRDefault="00A95BDA" w:rsidP="00A95BDA"/>
    <w:p w:rsidR="00A95BDA" w:rsidRPr="00E07B1B" w:rsidRDefault="00A95BDA" w:rsidP="00E533EA">
      <w:pPr>
        <w:pStyle w:val="Heading3"/>
      </w:pPr>
      <w:bookmarkStart w:id="18" w:name="_Toc403469260"/>
      <w:r>
        <w:t>P</w:t>
      </w:r>
      <w:r w:rsidRPr="00E07B1B">
        <w:t>revention of gestational diabetes</w:t>
      </w:r>
      <w:bookmarkEnd w:id="18"/>
    </w:p>
    <w:tbl>
      <w:tblPr>
        <w:tblW w:w="494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6095"/>
        <w:gridCol w:w="1905"/>
        <w:gridCol w:w="1355"/>
      </w:tblGrid>
      <w:tr w:rsidR="00A95BDA" w:rsidRPr="001244A8" w:rsidTr="00D562F2">
        <w:trPr>
          <w:cantSplit/>
        </w:trPr>
        <w:tc>
          <w:tcPr>
            <w:tcW w:w="3258" w:type="pct"/>
            <w:tcBorders>
              <w:top w:val="single" w:sz="4" w:space="0" w:color="auto"/>
              <w:bottom w:val="single" w:sz="4" w:space="0" w:color="auto"/>
            </w:tcBorders>
            <w:shd w:val="clear" w:color="auto" w:fill="F7F9FB"/>
          </w:tcPr>
          <w:p w:rsidR="00A95BDA" w:rsidRPr="001244A8" w:rsidRDefault="00A95BDA" w:rsidP="00E533EA">
            <w:pPr>
              <w:pStyle w:val="TableText"/>
              <w:ind w:right="142"/>
              <w:rPr>
                <w:b/>
              </w:rPr>
            </w:pPr>
            <w:r w:rsidRPr="001244A8">
              <w:rPr>
                <w:b/>
              </w:rPr>
              <w:t>Recommendation</w:t>
            </w:r>
          </w:p>
        </w:tc>
        <w:tc>
          <w:tcPr>
            <w:tcW w:w="1018" w:type="pct"/>
            <w:tcBorders>
              <w:top w:val="single" w:sz="4" w:space="0" w:color="auto"/>
              <w:bottom w:val="single" w:sz="4" w:space="0" w:color="auto"/>
            </w:tcBorders>
            <w:shd w:val="clear" w:color="auto" w:fill="F7F9FB"/>
          </w:tcPr>
          <w:p w:rsidR="00A95BDA" w:rsidRPr="001244A8" w:rsidRDefault="00A95BDA" w:rsidP="00E533EA">
            <w:pPr>
              <w:pStyle w:val="TableText"/>
              <w:jc w:val="center"/>
              <w:rPr>
                <w:b/>
              </w:rPr>
            </w:pPr>
            <w:r w:rsidRPr="001244A8">
              <w:rPr>
                <w:b/>
              </w:rPr>
              <w:t>Strength of recommendation or good practice point (GPP)</w:t>
            </w:r>
          </w:p>
        </w:tc>
        <w:tc>
          <w:tcPr>
            <w:tcW w:w="724" w:type="pct"/>
            <w:tcBorders>
              <w:top w:val="single" w:sz="4" w:space="0" w:color="auto"/>
              <w:bottom w:val="single" w:sz="4" w:space="0" w:color="auto"/>
            </w:tcBorders>
            <w:shd w:val="clear" w:color="auto" w:fill="F7F9FB"/>
          </w:tcPr>
          <w:p w:rsidR="00A95BDA" w:rsidRPr="001244A8" w:rsidRDefault="00A95BDA" w:rsidP="00E533EA">
            <w:pPr>
              <w:pStyle w:val="TableText"/>
              <w:jc w:val="center"/>
              <w:rPr>
                <w:b/>
              </w:rPr>
            </w:pPr>
            <w:r w:rsidRPr="001244A8">
              <w:rPr>
                <w:b/>
              </w:rPr>
              <w:t>Where to refer in guideline</w:t>
            </w:r>
          </w:p>
        </w:tc>
      </w:tr>
      <w:tr w:rsidR="00A95BDA" w:rsidRPr="00E07B1B" w:rsidTr="00D562F2">
        <w:trPr>
          <w:cantSplit/>
        </w:trPr>
        <w:tc>
          <w:tcPr>
            <w:tcW w:w="3258" w:type="pct"/>
            <w:tcBorders>
              <w:top w:val="single" w:sz="4" w:space="0" w:color="auto"/>
              <w:bottom w:val="single" w:sz="4" w:space="0" w:color="FFFFFF" w:themeColor="background1"/>
            </w:tcBorders>
            <w:shd w:val="clear" w:color="auto" w:fill="C6D9F1"/>
          </w:tcPr>
          <w:p w:rsidR="00A95BDA" w:rsidRPr="00E07B1B" w:rsidRDefault="00A95BDA" w:rsidP="00E533EA">
            <w:pPr>
              <w:pStyle w:val="TableText"/>
              <w:ind w:left="425" w:right="142" w:hanging="425"/>
            </w:pPr>
            <w:r w:rsidRPr="00E07B1B">
              <w:t>6</w:t>
            </w:r>
            <w:r>
              <w:tab/>
            </w:r>
            <w:r w:rsidRPr="00E07B1B">
              <w:t xml:space="preserve">Encourage all women and their families to eat a balanced, healthy diet with appropriate calorie intake to prevent the onset of gestational diabetes prior to and during pregnancy. </w:t>
            </w:r>
            <w:r w:rsidRPr="00E07B1B">
              <w:rPr>
                <w:lang w:eastAsia="en-NZ"/>
              </w:rPr>
              <w:t>Discuss how they could make their diet healthier, taking account of their needs, preferences and individual circumstances</w:t>
            </w:r>
            <w:r>
              <w:rPr>
                <w:lang w:eastAsia="en-NZ"/>
              </w:rPr>
              <w:t>.</w:t>
            </w:r>
          </w:p>
        </w:tc>
        <w:tc>
          <w:tcPr>
            <w:tcW w:w="1018" w:type="pct"/>
            <w:tcBorders>
              <w:top w:val="single" w:sz="4" w:space="0" w:color="auto"/>
              <w:bottom w:val="single" w:sz="4" w:space="0" w:color="FFFFFF" w:themeColor="background1"/>
            </w:tcBorders>
            <w:shd w:val="clear" w:color="auto" w:fill="C6D9F1"/>
          </w:tcPr>
          <w:p w:rsidR="00A95BDA" w:rsidRPr="00E07B1B" w:rsidRDefault="00A95BDA" w:rsidP="00E533EA">
            <w:pPr>
              <w:pStyle w:val="TableText"/>
              <w:jc w:val="center"/>
            </w:pPr>
            <w:r w:rsidRPr="00E07B1B">
              <w:t>CONDITIONAL</w:t>
            </w:r>
          </w:p>
        </w:tc>
        <w:tc>
          <w:tcPr>
            <w:tcW w:w="724" w:type="pct"/>
            <w:tcBorders>
              <w:top w:val="single" w:sz="4" w:space="0" w:color="auto"/>
              <w:bottom w:val="single" w:sz="4" w:space="0" w:color="FFFFFF" w:themeColor="background1"/>
            </w:tcBorders>
            <w:shd w:val="clear" w:color="auto" w:fill="C6D9F1"/>
          </w:tcPr>
          <w:p w:rsidR="00A95BDA" w:rsidRPr="00E07B1B" w:rsidRDefault="00A95BDA" w:rsidP="00E533EA">
            <w:pPr>
              <w:pStyle w:val="TableText"/>
              <w:jc w:val="center"/>
            </w:pPr>
            <w:r w:rsidRPr="00E07B1B">
              <w:t>Chapter 4</w:t>
            </w:r>
          </w:p>
        </w:tc>
      </w:tr>
      <w:tr w:rsidR="00A95BDA" w:rsidRPr="00E07B1B" w:rsidTr="00D562F2">
        <w:trPr>
          <w:cantSplit/>
        </w:trPr>
        <w:tc>
          <w:tcPr>
            <w:tcW w:w="3258" w:type="pct"/>
            <w:tcBorders>
              <w:top w:val="single" w:sz="4" w:space="0" w:color="FFFFFF" w:themeColor="background1"/>
              <w:bottom w:val="single" w:sz="4" w:space="0" w:color="FFFFFF" w:themeColor="background1"/>
            </w:tcBorders>
            <w:shd w:val="clear" w:color="auto" w:fill="DBE5F1"/>
          </w:tcPr>
          <w:p w:rsidR="00A95BDA" w:rsidRPr="00E07B1B" w:rsidRDefault="00A95BDA" w:rsidP="00E533EA">
            <w:pPr>
              <w:pStyle w:val="TableText"/>
              <w:ind w:left="425" w:right="142" w:hanging="425"/>
            </w:pPr>
            <w:r w:rsidRPr="00E07B1B">
              <w:t>7</w:t>
            </w:r>
            <w:r>
              <w:tab/>
            </w:r>
            <w:r w:rsidRPr="00E07B1B">
              <w:rPr>
                <w:lang w:eastAsia="en-NZ"/>
              </w:rPr>
              <w:t>Encourage all women to be physically active for at least 30</w:t>
            </w:r>
            <w:r>
              <w:rPr>
                <w:lang w:eastAsia="en-NZ"/>
              </w:rPr>
              <w:t> </w:t>
            </w:r>
            <w:r w:rsidRPr="00E07B1B">
              <w:rPr>
                <w:lang w:eastAsia="en-NZ"/>
              </w:rPr>
              <w:t>minutes most days of the week (this can be in 10</w:t>
            </w:r>
            <w:r>
              <w:rPr>
                <w:lang w:eastAsia="en-NZ"/>
              </w:rPr>
              <w:t>-</w:t>
            </w:r>
            <w:r w:rsidRPr="00E07B1B">
              <w:rPr>
                <w:lang w:eastAsia="en-NZ"/>
              </w:rPr>
              <w:t>minute blocks) in the absence of medical contra</w:t>
            </w:r>
            <w:r>
              <w:rPr>
                <w:lang w:eastAsia="en-NZ"/>
              </w:rPr>
              <w:t>-</w:t>
            </w:r>
            <w:r w:rsidRPr="00E07B1B">
              <w:rPr>
                <w:lang w:eastAsia="en-NZ"/>
              </w:rPr>
              <w:t>indications</w:t>
            </w:r>
            <w:r>
              <w:rPr>
                <w:lang w:eastAsia="en-NZ"/>
              </w:rPr>
              <w:t>.</w:t>
            </w:r>
          </w:p>
        </w:tc>
        <w:tc>
          <w:tcPr>
            <w:tcW w:w="1018" w:type="pct"/>
            <w:tcBorders>
              <w:top w:val="single" w:sz="4" w:space="0" w:color="FFFFFF" w:themeColor="background1"/>
              <w:bottom w:val="single" w:sz="4" w:space="0" w:color="FFFFFF" w:themeColor="background1"/>
            </w:tcBorders>
            <w:shd w:val="clear" w:color="auto" w:fill="DBE5F1"/>
          </w:tcPr>
          <w:p w:rsidR="00A95BDA" w:rsidRPr="00E07B1B" w:rsidRDefault="00A95BDA" w:rsidP="00E533EA">
            <w:pPr>
              <w:pStyle w:val="TableText"/>
              <w:jc w:val="center"/>
            </w:pPr>
            <w:r w:rsidRPr="00E07B1B">
              <w:t>GPP</w:t>
            </w:r>
          </w:p>
        </w:tc>
        <w:tc>
          <w:tcPr>
            <w:tcW w:w="724" w:type="pct"/>
            <w:tcBorders>
              <w:top w:val="single" w:sz="4" w:space="0" w:color="FFFFFF" w:themeColor="background1"/>
              <w:bottom w:val="single" w:sz="4" w:space="0" w:color="FFFFFF" w:themeColor="background1"/>
            </w:tcBorders>
            <w:shd w:val="clear" w:color="auto" w:fill="DBE5F1"/>
          </w:tcPr>
          <w:p w:rsidR="00A95BDA" w:rsidRPr="00E07B1B" w:rsidRDefault="00A95BDA" w:rsidP="00E533EA">
            <w:pPr>
              <w:pStyle w:val="TableText"/>
              <w:jc w:val="center"/>
            </w:pPr>
            <w:r w:rsidRPr="00E07B1B">
              <w:t>Chapter 4</w:t>
            </w:r>
          </w:p>
        </w:tc>
      </w:tr>
      <w:tr w:rsidR="00A95BDA" w:rsidRPr="00E07B1B" w:rsidTr="00D562F2">
        <w:trPr>
          <w:cantSplit/>
        </w:trPr>
        <w:tc>
          <w:tcPr>
            <w:tcW w:w="3258" w:type="pct"/>
            <w:tcBorders>
              <w:top w:val="single" w:sz="4" w:space="0" w:color="FFFFFF" w:themeColor="background1"/>
              <w:bottom w:val="single" w:sz="4" w:space="0" w:color="auto"/>
            </w:tcBorders>
            <w:shd w:val="clear" w:color="auto" w:fill="DBE5F1"/>
          </w:tcPr>
          <w:p w:rsidR="00A95BDA" w:rsidRPr="00E07B1B" w:rsidRDefault="00A95BDA" w:rsidP="00E533EA">
            <w:pPr>
              <w:pStyle w:val="TableText"/>
              <w:ind w:left="425" w:right="142" w:hanging="425"/>
            </w:pPr>
            <w:r w:rsidRPr="00E07B1B">
              <w:t>8</w:t>
            </w:r>
            <w:r>
              <w:tab/>
            </w:r>
            <w:r w:rsidRPr="00E07B1B">
              <w:t>Measure and record maternal weight at routine antenatal visit</w:t>
            </w:r>
            <w:r>
              <w:t>s.</w:t>
            </w:r>
            <w:r w:rsidRPr="00E07B1B">
              <w:t>*</w:t>
            </w:r>
          </w:p>
        </w:tc>
        <w:tc>
          <w:tcPr>
            <w:tcW w:w="1018" w:type="pct"/>
            <w:tcBorders>
              <w:top w:val="single" w:sz="4" w:space="0" w:color="FFFFFF" w:themeColor="background1"/>
              <w:bottom w:val="single" w:sz="4" w:space="0" w:color="auto"/>
            </w:tcBorders>
            <w:shd w:val="clear" w:color="auto" w:fill="DBE5F1"/>
          </w:tcPr>
          <w:p w:rsidR="00A95BDA" w:rsidRPr="00E07B1B" w:rsidRDefault="00A95BDA" w:rsidP="00E533EA">
            <w:pPr>
              <w:pStyle w:val="TableText"/>
              <w:jc w:val="center"/>
            </w:pPr>
            <w:r w:rsidRPr="00E07B1B">
              <w:t>GPP</w:t>
            </w:r>
          </w:p>
        </w:tc>
        <w:tc>
          <w:tcPr>
            <w:tcW w:w="724" w:type="pct"/>
            <w:tcBorders>
              <w:top w:val="single" w:sz="4" w:space="0" w:color="FFFFFF" w:themeColor="background1"/>
              <w:bottom w:val="single" w:sz="4" w:space="0" w:color="auto"/>
            </w:tcBorders>
            <w:shd w:val="clear" w:color="auto" w:fill="DBE5F1"/>
          </w:tcPr>
          <w:p w:rsidR="00A95BDA" w:rsidRPr="00E07B1B" w:rsidRDefault="00A95BDA" w:rsidP="00E533EA">
            <w:pPr>
              <w:pStyle w:val="TableText"/>
              <w:jc w:val="center"/>
            </w:pPr>
            <w:r w:rsidRPr="00E07B1B">
              <w:t>Chapter 4</w:t>
            </w:r>
          </w:p>
        </w:tc>
      </w:tr>
    </w:tbl>
    <w:p w:rsidR="00A95BDA" w:rsidRDefault="00A95BDA" w:rsidP="00A95BDA">
      <w:pPr>
        <w:pStyle w:val="Note"/>
      </w:pPr>
      <w:r>
        <w:t xml:space="preserve">Note: </w:t>
      </w:r>
      <w:r w:rsidRPr="00E07B1B">
        <w:t>*</w:t>
      </w:r>
      <w:r>
        <w:t xml:space="preserve"> </w:t>
      </w:r>
      <w:r w:rsidRPr="00E07B1B">
        <w:t>Refer to Ministry of Health guidelines</w:t>
      </w:r>
      <w:r>
        <w:t xml:space="preserve"> in</w:t>
      </w:r>
      <w:r w:rsidRPr="00E07B1B">
        <w:t xml:space="preserve"> Appendix </w:t>
      </w:r>
      <w:r>
        <w:t>K</w:t>
      </w:r>
      <w:r w:rsidRPr="00E07B1B">
        <w:t>, Table 33</w:t>
      </w:r>
      <w:r>
        <w:t>.</w:t>
      </w:r>
    </w:p>
    <w:p w:rsidR="00A95BDA" w:rsidRDefault="00A95BDA" w:rsidP="00A95BDA"/>
    <w:p w:rsidR="00A95BDA" w:rsidRPr="00E07B1B" w:rsidRDefault="00A95BDA" w:rsidP="00E533EA">
      <w:pPr>
        <w:pStyle w:val="Heading3"/>
        <w:ind w:left="0" w:firstLine="0"/>
      </w:pPr>
      <w:bookmarkStart w:id="19" w:name="_Toc403469261"/>
      <w:r w:rsidRPr="00E07B1B">
        <w:t>Treatment of women with gestational diabetes</w:t>
      </w:r>
      <w:bookmarkEnd w:id="19"/>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5954"/>
        <w:gridCol w:w="1984"/>
        <w:gridCol w:w="1418"/>
      </w:tblGrid>
      <w:tr w:rsidR="00A95BDA" w:rsidRPr="001244A8" w:rsidTr="00D562F2">
        <w:trPr>
          <w:cantSplit/>
          <w:tblHeader/>
        </w:trPr>
        <w:tc>
          <w:tcPr>
            <w:tcW w:w="5954" w:type="dxa"/>
            <w:tcBorders>
              <w:top w:val="single" w:sz="4" w:space="0" w:color="auto"/>
              <w:bottom w:val="single" w:sz="4" w:space="0" w:color="auto"/>
            </w:tcBorders>
            <w:shd w:val="clear" w:color="auto" w:fill="F7F9FB"/>
          </w:tcPr>
          <w:p w:rsidR="00A95BDA" w:rsidRPr="001244A8" w:rsidRDefault="00A95BDA" w:rsidP="00D562F2">
            <w:pPr>
              <w:pStyle w:val="TableText"/>
              <w:rPr>
                <w:b/>
              </w:rPr>
            </w:pPr>
            <w:r w:rsidRPr="001244A8">
              <w:rPr>
                <w:b/>
              </w:rPr>
              <w:t>Recommendation</w:t>
            </w:r>
          </w:p>
        </w:tc>
        <w:tc>
          <w:tcPr>
            <w:tcW w:w="1984" w:type="dxa"/>
            <w:tcBorders>
              <w:top w:val="single" w:sz="4" w:space="0" w:color="auto"/>
              <w:bottom w:val="single" w:sz="4" w:space="0" w:color="auto"/>
            </w:tcBorders>
            <w:shd w:val="clear" w:color="auto" w:fill="F7F9FB"/>
          </w:tcPr>
          <w:p w:rsidR="00A95BDA" w:rsidRPr="001244A8" w:rsidRDefault="00A95BDA" w:rsidP="00D562F2">
            <w:pPr>
              <w:pStyle w:val="TableText"/>
              <w:jc w:val="center"/>
              <w:rPr>
                <w:b/>
              </w:rPr>
            </w:pPr>
            <w:r w:rsidRPr="001244A8">
              <w:rPr>
                <w:b/>
              </w:rPr>
              <w:t>Strength of recommendation or good practice point (GPP)</w:t>
            </w:r>
          </w:p>
        </w:tc>
        <w:tc>
          <w:tcPr>
            <w:tcW w:w="1418" w:type="dxa"/>
            <w:tcBorders>
              <w:top w:val="single" w:sz="4" w:space="0" w:color="auto"/>
              <w:bottom w:val="single" w:sz="4" w:space="0" w:color="auto"/>
            </w:tcBorders>
            <w:shd w:val="clear" w:color="auto" w:fill="F7F9FB"/>
          </w:tcPr>
          <w:p w:rsidR="00A95BDA" w:rsidRPr="001244A8" w:rsidRDefault="00A95BDA" w:rsidP="00D562F2">
            <w:pPr>
              <w:pStyle w:val="TableText"/>
              <w:jc w:val="center"/>
              <w:rPr>
                <w:b/>
              </w:rPr>
            </w:pPr>
            <w:r w:rsidRPr="001244A8">
              <w:rPr>
                <w:b/>
              </w:rPr>
              <w:t>Where to refer in guideline</w:t>
            </w:r>
          </w:p>
        </w:tc>
      </w:tr>
      <w:tr w:rsidR="00A95BDA" w:rsidRPr="00E07B1B" w:rsidTr="00D562F2">
        <w:trPr>
          <w:cantSplit/>
        </w:trPr>
        <w:tc>
          <w:tcPr>
            <w:tcW w:w="5954" w:type="dxa"/>
            <w:tcBorders>
              <w:top w:val="single" w:sz="4" w:space="0" w:color="auto"/>
              <w:bottom w:val="single" w:sz="4" w:space="0" w:color="FFFFFF" w:themeColor="background1"/>
            </w:tcBorders>
            <w:shd w:val="clear" w:color="auto" w:fill="B8CCE4"/>
          </w:tcPr>
          <w:p w:rsidR="00A95BDA" w:rsidRPr="00E07B1B" w:rsidRDefault="00A95BDA" w:rsidP="00D562F2">
            <w:pPr>
              <w:pStyle w:val="TableText"/>
              <w:ind w:left="425" w:right="142" w:hanging="425"/>
            </w:pPr>
            <w:r w:rsidRPr="00E07B1B">
              <w:t>9</w:t>
            </w:r>
            <w:r>
              <w:tab/>
            </w:r>
            <w:r w:rsidRPr="00E07B1B">
              <w:t>Offer all women diagnosed with gestational diabetes ongoing treatment by health professionals</w:t>
            </w:r>
            <w:r>
              <w:t>, including</w:t>
            </w:r>
            <w:r w:rsidRPr="00E07B1B">
              <w:t xml:space="preserve"> specialised dietary advice, lifestyle advice and educational material that is culturally and ethnically appropriate</w:t>
            </w:r>
            <w:r>
              <w:t>.</w:t>
            </w:r>
          </w:p>
        </w:tc>
        <w:tc>
          <w:tcPr>
            <w:tcW w:w="1984" w:type="dxa"/>
            <w:tcBorders>
              <w:top w:val="single" w:sz="4" w:space="0" w:color="auto"/>
              <w:bottom w:val="single" w:sz="4" w:space="0" w:color="FFFFFF" w:themeColor="background1"/>
            </w:tcBorders>
            <w:shd w:val="clear" w:color="auto" w:fill="B8CCE4"/>
          </w:tcPr>
          <w:p w:rsidR="00A95BDA" w:rsidRPr="00E07B1B" w:rsidRDefault="00A95BDA" w:rsidP="00D562F2">
            <w:pPr>
              <w:pStyle w:val="TableText"/>
              <w:jc w:val="center"/>
            </w:pPr>
            <w:r w:rsidRPr="00E07B1B">
              <w:t>STRONG</w:t>
            </w:r>
          </w:p>
        </w:tc>
        <w:tc>
          <w:tcPr>
            <w:tcW w:w="1418" w:type="dxa"/>
            <w:tcBorders>
              <w:top w:val="single" w:sz="4" w:space="0" w:color="auto"/>
              <w:bottom w:val="single" w:sz="4" w:space="0" w:color="FFFFFF" w:themeColor="background1"/>
            </w:tcBorders>
            <w:shd w:val="clear" w:color="auto" w:fill="B8CCE4"/>
          </w:tcPr>
          <w:p w:rsidR="00A95BDA" w:rsidRPr="00E07B1B" w:rsidRDefault="00A95BDA" w:rsidP="00D562F2">
            <w:pPr>
              <w:pStyle w:val="TableText"/>
              <w:jc w:val="center"/>
            </w:pPr>
            <w:r w:rsidRPr="00E07B1B">
              <w:t>Chapter 5 (section 5.2)</w:t>
            </w:r>
          </w:p>
        </w:tc>
      </w:tr>
      <w:tr w:rsidR="00A95BDA" w:rsidRPr="00E07B1B" w:rsidTr="00D562F2">
        <w:trPr>
          <w:cantSplit/>
        </w:trPr>
        <w:tc>
          <w:tcPr>
            <w:tcW w:w="5954"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ind w:left="425" w:right="142" w:hanging="425"/>
            </w:pPr>
            <w:r w:rsidRPr="00E07B1B">
              <w:t>10</w:t>
            </w:r>
            <w:r>
              <w:tab/>
            </w:r>
            <w:r w:rsidRPr="00E07B1B">
              <w:rPr>
                <w:lang w:eastAsia="en-NZ"/>
              </w:rPr>
              <w:t xml:space="preserve">Advise pregnant women with gestational diabetes that their </w:t>
            </w:r>
            <w:r w:rsidRPr="00E07B1B">
              <w:t>dietary recommendations could include:</w:t>
            </w:r>
          </w:p>
          <w:p w:rsidR="00A95BDA" w:rsidRPr="00E07B1B" w:rsidRDefault="00A95BDA" w:rsidP="00D562F2">
            <w:pPr>
              <w:pStyle w:val="TableBullet"/>
              <w:ind w:left="709" w:right="142"/>
            </w:pPr>
            <w:r>
              <w:t>consuming a</w:t>
            </w:r>
            <w:r w:rsidRPr="00E07B1B">
              <w:t xml:space="preserve"> minimum of 175 g carbohydrate per day</w:t>
            </w:r>
          </w:p>
          <w:p w:rsidR="00A95BDA" w:rsidRDefault="00A95BDA" w:rsidP="00D562F2">
            <w:pPr>
              <w:pStyle w:val="TableBullet"/>
              <w:ind w:left="709" w:right="142"/>
            </w:pPr>
            <w:r>
              <w:t>spreading c</w:t>
            </w:r>
            <w:r w:rsidRPr="00E07B1B">
              <w:t>arbohydrates evenly throughout the day between meals and snacks</w:t>
            </w:r>
          </w:p>
          <w:p w:rsidR="00A95BDA" w:rsidRPr="00E07B1B" w:rsidRDefault="00A95BDA" w:rsidP="00D562F2">
            <w:pPr>
              <w:pStyle w:val="TableBullet"/>
              <w:ind w:left="709" w:right="142"/>
            </w:pPr>
            <w:r w:rsidRPr="00E07B1B">
              <w:t>reduc</w:t>
            </w:r>
            <w:r>
              <w:t>ing</w:t>
            </w:r>
            <w:r w:rsidRPr="00E07B1B">
              <w:t xml:space="preserve"> intake of saturated fats</w:t>
            </w:r>
          </w:p>
          <w:p w:rsidR="00A95BDA" w:rsidRDefault="00A95BDA" w:rsidP="00D562F2">
            <w:pPr>
              <w:pStyle w:val="TableBullet"/>
              <w:ind w:left="709" w:right="142"/>
            </w:pPr>
            <w:r>
              <w:t xml:space="preserve">consuming </w:t>
            </w:r>
            <w:r w:rsidRPr="00E07B1B">
              <w:t>lean protein</w:t>
            </w:r>
          </w:p>
          <w:p w:rsidR="00A95BDA" w:rsidRPr="00E07B1B" w:rsidRDefault="00A95BDA" w:rsidP="00D562F2">
            <w:pPr>
              <w:pStyle w:val="TableBullet"/>
              <w:ind w:left="709" w:right="142"/>
            </w:pPr>
            <w:r>
              <w:t>keeping w</w:t>
            </w:r>
            <w:r w:rsidRPr="00E07B1B">
              <w:t>eight gain in pregnancy in line with Ministry of Health recommendations</w:t>
            </w:r>
            <w:r>
              <w:t>.</w:t>
            </w:r>
            <w:r w:rsidRPr="00E07B1B">
              <w:t>*</w:t>
            </w:r>
          </w:p>
          <w:p w:rsidR="00A95BDA" w:rsidRPr="00E533EA" w:rsidRDefault="00A95BDA" w:rsidP="00E533EA">
            <w:pPr>
              <w:pStyle w:val="TableText"/>
              <w:ind w:left="425"/>
              <w:rPr>
                <w:spacing w:val="-4"/>
              </w:rPr>
            </w:pPr>
            <w:r w:rsidRPr="00E533EA">
              <w:rPr>
                <w:spacing w:val="-4"/>
              </w:rPr>
              <w:t>This recommendation is dependent on individual requirements.</w:t>
            </w:r>
          </w:p>
        </w:tc>
        <w:tc>
          <w:tcPr>
            <w:tcW w:w="1984"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jc w:val="center"/>
            </w:pPr>
            <w:r w:rsidRPr="00E07B1B">
              <w:t>GPP</w:t>
            </w:r>
          </w:p>
        </w:tc>
        <w:tc>
          <w:tcPr>
            <w:tcW w:w="1418"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jc w:val="center"/>
            </w:pPr>
            <w:r w:rsidRPr="00E07B1B">
              <w:t>Chapter 5 (section 5.4)</w:t>
            </w:r>
          </w:p>
        </w:tc>
      </w:tr>
      <w:tr w:rsidR="00A95BDA" w:rsidRPr="00E07B1B" w:rsidTr="00D562F2">
        <w:trPr>
          <w:cantSplit/>
        </w:trPr>
        <w:tc>
          <w:tcPr>
            <w:tcW w:w="5954" w:type="dxa"/>
            <w:tcBorders>
              <w:top w:val="single" w:sz="4" w:space="0" w:color="FFFFFF" w:themeColor="background1"/>
              <w:bottom w:val="single" w:sz="4" w:space="0" w:color="FFFFFF" w:themeColor="background1"/>
            </w:tcBorders>
            <w:shd w:val="clear" w:color="auto" w:fill="B8CCE4"/>
          </w:tcPr>
          <w:p w:rsidR="00A95BDA" w:rsidRPr="00E07B1B" w:rsidRDefault="00A95BDA" w:rsidP="00D562F2">
            <w:pPr>
              <w:pStyle w:val="TableText"/>
              <w:keepNext/>
              <w:ind w:left="425" w:right="142" w:hanging="425"/>
            </w:pPr>
            <w:r w:rsidRPr="00E07B1B">
              <w:t>11</w:t>
            </w:r>
            <w:r>
              <w:tab/>
              <w:t>Where</w:t>
            </w:r>
            <w:r w:rsidRPr="00E07B1B">
              <w:t xml:space="preserve"> women </w:t>
            </w:r>
            <w:r>
              <w:t>who have</w:t>
            </w:r>
            <w:r w:rsidRPr="00E07B1B">
              <w:t xml:space="preserve"> gestational diabetes </w:t>
            </w:r>
            <w:r>
              <w:t xml:space="preserve">and </w:t>
            </w:r>
            <w:r w:rsidRPr="00E07B1B">
              <w:t>poor glycaemic control (above treatment targets) in spite of dietary and lifestyle interventions</w:t>
            </w:r>
            <w:r>
              <w:t>, offer</w:t>
            </w:r>
            <w:r w:rsidRPr="00E07B1B">
              <w:t xml:space="preserve"> oral hypoglycaemics (metformin or glibenclamide) and/or insulin therapy.</w:t>
            </w:r>
            <w:r w:rsidRPr="00E07B1B">
              <w:rPr>
                <w:lang w:eastAsia="en-NZ"/>
              </w:rPr>
              <w:t xml:space="preserve"> In deciding whether to use oral therapy or insuli</w:t>
            </w:r>
            <w:r>
              <w:rPr>
                <w:lang w:eastAsia="en-NZ"/>
              </w:rPr>
              <w:t>n,</w:t>
            </w:r>
            <w:r w:rsidRPr="00E07B1B">
              <w:t xml:space="preserve"> </w:t>
            </w:r>
            <w:r>
              <w:rPr>
                <w:lang w:eastAsia="en-NZ"/>
              </w:rPr>
              <w:t>t</w:t>
            </w:r>
            <w:r w:rsidRPr="00E07B1B">
              <w:rPr>
                <w:lang w:eastAsia="en-NZ"/>
              </w:rPr>
              <w:t>ake account of the clinical assessment and advice, and the woman</w:t>
            </w:r>
            <w:r>
              <w:rPr>
                <w:lang w:eastAsia="en-NZ"/>
              </w:rPr>
              <w:t>’</w:t>
            </w:r>
            <w:r w:rsidRPr="00E07B1B">
              <w:rPr>
                <w:lang w:eastAsia="en-NZ"/>
              </w:rPr>
              <w:t>s preferences and her ability to adhere to medication and self-monitoring</w:t>
            </w:r>
            <w:r>
              <w:rPr>
                <w:lang w:eastAsia="en-NZ"/>
              </w:rPr>
              <w:t>.</w:t>
            </w:r>
          </w:p>
        </w:tc>
        <w:tc>
          <w:tcPr>
            <w:tcW w:w="1984" w:type="dxa"/>
            <w:tcBorders>
              <w:top w:val="single" w:sz="4" w:space="0" w:color="FFFFFF" w:themeColor="background1"/>
              <w:bottom w:val="single" w:sz="4" w:space="0" w:color="FFFFFF" w:themeColor="background1"/>
            </w:tcBorders>
            <w:shd w:val="clear" w:color="auto" w:fill="B8CCE4"/>
          </w:tcPr>
          <w:p w:rsidR="00A95BDA" w:rsidRPr="00E07B1B" w:rsidRDefault="00A95BDA" w:rsidP="00D562F2">
            <w:pPr>
              <w:pStyle w:val="TableText"/>
              <w:keepNext/>
              <w:jc w:val="center"/>
            </w:pPr>
            <w:r w:rsidRPr="00E07B1B">
              <w:t>STRONG</w:t>
            </w:r>
          </w:p>
        </w:tc>
        <w:tc>
          <w:tcPr>
            <w:tcW w:w="1418" w:type="dxa"/>
            <w:tcBorders>
              <w:top w:val="single" w:sz="4" w:space="0" w:color="FFFFFF" w:themeColor="background1"/>
              <w:bottom w:val="single" w:sz="4" w:space="0" w:color="FFFFFF" w:themeColor="background1"/>
            </w:tcBorders>
            <w:shd w:val="clear" w:color="auto" w:fill="B8CCE4"/>
          </w:tcPr>
          <w:p w:rsidR="00A95BDA" w:rsidRPr="00E07B1B" w:rsidRDefault="00A95BDA" w:rsidP="00D562F2">
            <w:pPr>
              <w:pStyle w:val="TableText"/>
              <w:keepNext/>
              <w:jc w:val="center"/>
            </w:pPr>
            <w:r w:rsidRPr="00E07B1B">
              <w:t>Chapter 5 (section 5.5)</w:t>
            </w:r>
          </w:p>
        </w:tc>
      </w:tr>
      <w:tr w:rsidR="00A95BDA" w:rsidRPr="00E07B1B" w:rsidTr="00D562F2">
        <w:trPr>
          <w:cantSplit/>
        </w:trPr>
        <w:tc>
          <w:tcPr>
            <w:tcW w:w="5954" w:type="dxa"/>
            <w:tcBorders>
              <w:top w:val="single" w:sz="4" w:space="0" w:color="FFFFFF" w:themeColor="background1"/>
              <w:bottom w:val="single" w:sz="4" w:space="0" w:color="FFFFFF" w:themeColor="background1"/>
            </w:tcBorders>
            <w:shd w:val="clear" w:color="auto" w:fill="DBE5F1"/>
          </w:tcPr>
          <w:p w:rsidR="00A95BDA" w:rsidRPr="00E07B1B" w:rsidRDefault="00A95BDA" w:rsidP="00E533EA">
            <w:pPr>
              <w:pStyle w:val="TableText"/>
              <w:spacing w:after="40"/>
              <w:ind w:left="425" w:hanging="425"/>
              <w:rPr>
                <w:rFonts w:ascii="Times New Roman" w:hAnsi="Times New Roman"/>
                <w:lang w:eastAsia="en-NZ"/>
              </w:rPr>
            </w:pPr>
            <w:r w:rsidRPr="00E07B1B">
              <w:t>12</w:t>
            </w:r>
            <w:r>
              <w:tab/>
            </w:r>
            <w:r w:rsidRPr="00E07B1B">
              <w:t>T</w:t>
            </w:r>
            <w:r w:rsidRPr="00E07B1B">
              <w:rPr>
                <w:lang w:eastAsia="en-NZ"/>
              </w:rPr>
              <w:t>reatment targets for capillary glucose are:</w:t>
            </w:r>
          </w:p>
          <w:p w:rsidR="00A95BDA" w:rsidRDefault="00A95BDA" w:rsidP="00E533EA">
            <w:pPr>
              <w:pStyle w:val="TableBullet"/>
              <w:spacing w:after="40"/>
              <w:ind w:left="709"/>
              <w:rPr>
                <w:lang w:eastAsia="en-NZ"/>
              </w:rPr>
            </w:pPr>
            <w:r>
              <w:rPr>
                <w:lang w:eastAsia="en-NZ"/>
              </w:rPr>
              <w:t>f</w:t>
            </w:r>
            <w:r w:rsidRPr="00E07B1B">
              <w:rPr>
                <w:lang w:eastAsia="en-NZ"/>
              </w:rPr>
              <w:t>asting glucose ≤ 5.0 mmol/L</w:t>
            </w:r>
          </w:p>
          <w:p w:rsidR="00A95BDA" w:rsidRPr="00E07B1B" w:rsidRDefault="00A95BDA" w:rsidP="00E533EA">
            <w:pPr>
              <w:pStyle w:val="TableBullet"/>
              <w:spacing w:after="40"/>
              <w:ind w:left="709"/>
              <w:rPr>
                <w:rFonts w:ascii="Times New Roman" w:hAnsi="Times New Roman"/>
                <w:lang w:eastAsia="en-NZ"/>
              </w:rPr>
            </w:pPr>
            <w:r>
              <w:rPr>
                <w:lang w:eastAsia="en-NZ"/>
              </w:rPr>
              <w:t>one-hour post-prandial** ≤ 7.4 mmol/L</w:t>
            </w:r>
          </w:p>
          <w:p w:rsidR="00A95BDA" w:rsidRPr="00E07B1B" w:rsidRDefault="00A95BDA" w:rsidP="00D562F2">
            <w:pPr>
              <w:pStyle w:val="TableBullet"/>
              <w:ind w:left="709"/>
            </w:pPr>
            <w:r>
              <w:rPr>
                <w:lang w:eastAsia="en-NZ"/>
              </w:rPr>
              <w:t>t</w:t>
            </w:r>
            <w:r w:rsidRPr="00E07B1B">
              <w:rPr>
                <w:lang w:eastAsia="en-NZ"/>
              </w:rPr>
              <w:t>wo</w:t>
            </w:r>
            <w:r>
              <w:rPr>
                <w:lang w:eastAsia="en-NZ"/>
              </w:rPr>
              <w:t>-</w:t>
            </w:r>
            <w:r w:rsidRPr="00E07B1B">
              <w:rPr>
                <w:lang w:eastAsia="en-NZ"/>
              </w:rPr>
              <w:t>hour post</w:t>
            </w:r>
            <w:r>
              <w:rPr>
                <w:lang w:eastAsia="en-NZ"/>
              </w:rPr>
              <w:t>-</w:t>
            </w:r>
            <w:r w:rsidRPr="00E07B1B">
              <w:rPr>
                <w:lang w:eastAsia="en-NZ"/>
              </w:rPr>
              <w:t>prandial*</w:t>
            </w:r>
            <w:r>
              <w:rPr>
                <w:lang w:eastAsia="en-NZ"/>
              </w:rPr>
              <w:t>*</w:t>
            </w:r>
            <w:r w:rsidRPr="00E07B1B">
              <w:rPr>
                <w:lang w:eastAsia="en-NZ"/>
              </w:rPr>
              <w:t xml:space="preserve"> ≤ 6.7 mmol/L</w:t>
            </w:r>
            <w:r>
              <w:rPr>
                <w:lang w:eastAsia="en-NZ"/>
              </w:rPr>
              <w:t>.</w:t>
            </w:r>
          </w:p>
        </w:tc>
        <w:tc>
          <w:tcPr>
            <w:tcW w:w="1984"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jc w:val="center"/>
            </w:pPr>
            <w:r w:rsidRPr="00E07B1B">
              <w:t>GPP</w:t>
            </w:r>
          </w:p>
        </w:tc>
        <w:tc>
          <w:tcPr>
            <w:tcW w:w="1418"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jc w:val="center"/>
            </w:pPr>
            <w:r w:rsidRPr="00E07B1B">
              <w:t>Chapter 5 (section 5.6)</w:t>
            </w:r>
          </w:p>
        </w:tc>
      </w:tr>
      <w:tr w:rsidR="00A95BDA" w:rsidRPr="00E07B1B" w:rsidTr="00D562F2">
        <w:trPr>
          <w:cantSplit/>
        </w:trPr>
        <w:tc>
          <w:tcPr>
            <w:tcW w:w="5954"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ind w:left="425" w:hanging="425"/>
              <w:rPr>
                <w:lang w:eastAsia="en-NZ"/>
              </w:rPr>
            </w:pPr>
            <w:r w:rsidRPr="00E07B1B">
              <w:t>13a</w:t>
            </w:r>
            <w:r>
              <w:tab/>
            </w:r>
            <w:r w:rsidRPr="00E07B1B">
              <w:rPr>
                <w:lang w:eastAsia="en-NZ"/>
              </w:rPr>
              <w:t>Women with 10% of readings (</w:t>
            </w:r>
            <w:r>
              <w:rPr>
                <w:lang w:eastAsia="en-NZ"/>
              </w:rPr>
              <w:t>three</w:t>
            </w:r>
            <w:r w:rsidRPr="00E07B1B">
              <w:rPr>
                <w:lang w:eastAsia="en-NZ"/>
              </w:rPr>
              <w:t xml:space="preserve"> to </w:t>
            </w:r>
            <w:r>
              <w:rPr>
                <w:lang w:eastAsia="en-NZ"/>
              </w:rPr>
              <w:t>four</w:t>
            </w:r>
            <w:r w:rsidRPr="00E07B1B">
              <w:rPr>
                <w:lang w:eastAsia="en-NZ"/>
              </w:rPr>
              <w:t xml:space="preserve"> readings) above the treatment targets</w:t>
            </w:r>
            <w:r>
              <w:rPr>
                <w:lang w:eastAsia="en-NZ"/>
              </w:rPr>
              <w:t xml:space="preserve"> </w:t>
            </w:r>
            <w:r w:rsidRPr="00E07B1B">
              <w:rPr>
                <w:lang w:eastAsia="en-NZ"/>
              </w:rPr>
              <w:t>should have their treatment reassessed</w:t>
            </w:r>
            <w:r>
              <w:rPr>
                <w:lang w:eastAsia="en-NZ"/>
              </w:rPr>
              <w:t>.</w:t>
            </w:r>
          </w:p>
          <w:p w:rsidR="00A95BDA" w:rsidRPr="00E07B1B" w:rsidRDefault="00A95BDA" w:rsidP="00D562F2">
            <w:pPr>
              <w:pStyle w:val="TableText"/>
              <w:ind w:left="425" w:hanging="425"/>
            </w:pPr>
            <w:r w:rsidRPr="00E07B1B">
              <w:rPr>
                <w:lang w:eastAsia="en-NZ"/>
              </w:rPr>
              <w:t>13b</w:t>
            </w:r>
            <w:r>
              <w:rPr>
                <w:lang w:eastAsia="en-NZ"/>
              </w:rPr>
              <w:tab/>
            </w:r>
            <w:r w:rsidRPr="00E07B1B">
              <w:rPr>
                <w:lang w:eastAsia="en-NZ"/>
              </w:rPr>
              <w:t xml:space="preserve">Discuss high postprandial blood glucose levels with the woman to establish what </w:t>
            </w:r>
            <w:r>
              <w:rPr>
                <w:lang w:eastAsia="en-NZ"/>
              </w:rPr>
              <w:t>she</w:t>
            </w:r>
            <w:r w:rsidRPr="00E07B1B">
              <w:rPr>
                <w:lang w:eastAsia="en-NZ"/>
              </w:rPr>
              <w:t xml:space="preserve"> had eaten for that meal</w:t>
            </w:r>
            <w:r>
              <w:rPr>
                <w:lang w:eastAsia="en-NZ"/>
              </w:rPr>
              <w:t>.</w:t>
            </w:r>
          </w:p>
        </w:tc>
        <w:tc>
          <w:tcPr>
            <w:tcW w:w="1984"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jc w:val="center"/>
            </w:pPr>
            <w:r w:rsidRPr="00E07B1B">
              <w:t>GPP</w:t>
            </w:r>
          </w:p>
        </w:tc>
        <w:tc>
          <w:tcPr>
            <w:tcW w:w="1418"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jc w:val="center"/>
            </w:pPr>
            <w:r w:rsidRPr="00E07B1B">
              <w:t>Chapter 5 (section 5.8)</w:t>
            </w:r>
          </w:p>
        </w:tc>
      </w:tr>
      <w:tr w:rsidR="00A95BDA" w:rsidRPr="00E07B1B" w:rsidTr="00D562F2">
        <w:trPr>
          <w:cantSplit/>
        </w:trPr>
        <w:tc>
          <w:tcPr>
            <w:tcW w:w="5954" w:type="dxa"/>
            <w:tcBorders>
              <w:top w:val="single" w:sz="4" w:space="0" w:color="FFFFFF" w:themeColor="background1"/>
              <w:bottom w:val="single" w:sz="4" w:space="0" w:color="FFFFFF" w:themeColor="background1"/>
            </w:tcBorders>
            <w:shd w:val="clear" w:color="auto" w:fill="C6D9F1"/>
          </w:tcPr>
          <w:p w:rsidR="00A95BDA" w:rsidRPr="00E07B1B" w:rsidRDefault="00A95BDA" w:rsidP="00E533EA">
            <w:pPr>
              <w:pStyle w:val="TableText"/>
              <w:ind w:left="425" w:right="85" w:hanging="425"/>
              <w:rPr>
                <w:lang w:eastAsia="en-NZ"/>
              </w:rPr>
            </w:pPr>
            <w:r w:rsidRPr="00E07B1B">
              <w:rPr>
                <w:lang w:eastAsia="en-NZ"/>
              </w:rPr>
              <w:t>14</w:t>
            </w:r>
            <w:r>
              <w:rPr>
                <w:lang w:eastAsia="en-NZ"/>
              </w:rPr>
              <w:tab/>
            </w:r>
            <w:r w:rsidRPr="00E533EA">
              <w:rPr>
                <w:spacing w:val="-2"/>
                <w:lang w:eastAsia="en-NZ"/>
              </w:rPr>
              <w:t>Offer women with gestational diabetes an ultrasound scan at the time of diagnosis and at 36–37 weeks. Further ultrasound scans should be based on clinical indications. Treatment decisions should not be based solely on fetal ultrasound.</w:t>
            </w:r>
          </w:p>
        </w:tc>
        <w:tc>
          <w:tcPr>
            <w:tcW w:w="1984" w:type="dxa"/>
            <w:tcBorders>
              <w:top w:val="single" w:sz="4" w:space="0" w:color="FFFFFF" w:themeColor="background1"/>
              <w:bottom w:val="single" w:sz="4" w:space="0" w:color="FFFFFF" w:themeColor="background1"/>
            </w:tcBorders>
            <w:shd w:val="clear" w:color="auto" w:fill="C6D9F1"/>
          </w:tcPr>
          <w:p w:rsidR="00A95BDA" w:rsidRPr="00E07B1B" w:rsidRDefault="00A95BDA" w:rsidP="00D562F2">
            <w:pPr>
              <w:pStyle w:val="TableText"/>
              <w:jc w:val="center"/>
            </w:pPr>
            <w:r w:rsidRPr="00E07B1B">
              <w:t>CONDITIONAL</w:t>
            </w:r>
          </w:p>
        </w:tc>
        <w:tc>
          <w:tcPr>
            <w:tcW w:w="1418" w:type="dxa"/>
            <w:tcBorders>
              <w:top w:val="single" w:sz="4" w:space="0" w:color="FFFFFF" w:themeColor="background1"/>
              <w:bottom w:val="single" w:sz="4" w:space="0" w:color="FFFFFF" w:themeColor="background1"/>
            </w:tcBorders>
            <w:shd w:val="clear" w:color="auto" w:fill="C6D9F1"/>
          </w:tcPr>
          <w:p w:rsidR="00A95BDA" w:rsidRPr="00E07B1B" w:rsidRDefault="00A95BDA" w:rsidP="00D562F2">
            <w:pPr>
              <w:pStyle w:val="TableText"/>
              <w:jc w:val="center"/>
            </w:pPr>
            <w:r w:rsidRPr="00E07B1B">
              <w:t>Chapter 5 (section 5.7)</w:t>
            </w:r>
          </w:p>
        </w:tc>
      </w:tr>
      <w:tr w:rsidR="00A95BDA" w:rsidRPr="00E07B1B" w:rsidTr="00D562F2">
        <w:trPr>
          <w:cantSplit/>
        </w:trPr>
        <w:tc>
          <w:tcPr>
            <w:tcW w:w="9356" w:type="dxa"/>
            <w:gridSpan w:val="3"/>
            <w:tcBorders>
              <w:top w:val="single" w:sz="4" w:space="0" w:color="FFFFFF" w:themeColor="background1"/>
              <w:bottom w:val="single" w:sz="4" w:space="0" w:color="FFFFFF" w:themeColor="background1"/>
            </w:tcBorders>
            <w:shd w:val="clear" w:color="auto" w:fill="E5DFEC"/>
          </w:tcPr>
          <w:p w:rsidR="00A95BDA" w:rsidRPr="00E07B1B" w:rsidRDefault="00A95BDA" w:rsidP="00D562F2">
            <w:pPr>
              <w:pStyle w:val="TableText"/>
            </w:pPr>
            <w:r w:rsidRPr="009A2A8F">
              <w:rPr>
                <w:b/>
              </w:rPr>
              <w:t>Research recommendation</w:t>
            </w:r>
            <w:r w:rsidRPr="00E07B1B">
              <w:t>: A randomised controlled trial to compare tight with less tight glycaemic control in women diagnosed with gestational diabetes</w:t>
            </w:r>
            <w:r>
              <w:t xml:space="preserve"> in terms of their impact</w:t>
            </w:r>
            <w:r w:rsidRPr="00E07B1B">
              <w:t xml:space="preserve"> on maternal and infant outcomes.</w:t>
            </w:r>
          </w:p>
        </w:tc>
      </w:tr>
      <w:tr w:rsidR="00A95BDA" w:rsidRPr="00E07B1B" w:rsidTr="00E533EA">
        <w:trPr>
          <w:cantSplit/>
        </w:trPr>
        <w:tc>
          <w:tcPr>
            <w:tcW w:w="9356" w:type="dxa"/>
            <w:gridSpan w:val="3"/>
            <w:tcBorders>
              <w:top w:val="single" w:sz="4" w:space="0" w:color="FFFFFF" w:themeColor="background1"/>
              <w:bottom w:val="single" w:sz="4" w:space="0" w:color="FFFFFF" w:themeColor="background1"/>
            </w:tcBorders>
            <w:shd w:val="clear" w:color="auto" w:fill="E5DFEC"/>
          </w:tcPr>
          <w:p w:rsidR="00A95BDA" w:rsidRPr="00E07B1B" w:rsidRDefault="00A95BDA" w:rsidP="00D562F2">
            <w:pPr>
              <w:pStyle w:val="TableText"/>
            </w:pPr>
            <w:r w:rsidRPr="009A2A8F">
              <w:rPr>
                <w:b/>
              </w:rPr>
              <w:t>Research recommendation</w:t>
            </w:r>
            <w:r w:rsidRPr="00E07B1B">
              <w:t>: A randomised controlled trial comparing more intensive ultrasound scanning with usual care in women with gestational diabetes</w:t>
            </w:r>
            <w:r>
              <w:t xml:space="preserve"> in terms of their impact</w:t>
            </w:r>
            <w:r w:rsidRPr="00E07B1B">
              <w:t xml:space="preserve"> on maternal and infant outcomes.</w:t>
            </w:r>
          </w:p>
        </w:tc>
      </w:tr>
      <w:tr w:rsidR="00A95BDA" w:rsidRPr="00E07B1B" w:rsidTr="00E533EA">
        <w:trPr>
          <w:cantSplit/>
        </w:trPr>
        <w:tc>
          <w:tcPr>
            <w:tcW w:w="9356" w:type="dxa"/>
            <w:gridSpan w:val="3"/>
            <w:tcBorders>
              <w:top w:val="single" w:sz="4" w:space="0" w:color="FFFFFF" w:themeColor="background1"/>
              <w:bottom w:val="single" w:sz="4" w:space="0" w:color="auto"/>
            </w:tcBorders>
            <w:shd w:val="clear" w:color="auto" w:fill="E5DFEC"/>
          </w:tcPr>
          <w:p w:rsidR="00A95BDA" w:rsidRPr="00E07B1B" w:rsidRDefault="00A95BDA" w:rsidP="00D562F2">
            <w:pPr>
              <w:pStyle w:val="TableText"/>
            </w:pPr>
            <w:r w:rsidRPr="009A2A8F">
              <w:rPr>
                <w:b/>
              </w:rPr>
              <w:t>Research recommendation</w:t>
            </w:r>
            <w:r w:rsidRPr="00E07B1B">
              <w:t>: A randomised controlled trial of leisure activity interventions for the treatment of gestational diabetes.</w:t>
            </w:r>
          </w:p>
        </w:tc>
      </w:tr>
    </w:tbl>
    <w:p w:rsidR="00A95BDA" w:rsidRPr="009A2A8F" w:rsidRDefault="00A95BDA" w:rsidP="00A95BDA">
      <w:pPr>
        <w:pStyle w:val="Note"/>
        <w:tabs>
          <w:tab w:val="left" w:pos="567"/>
          <w:tab w:val="left" w:pos="851"/>
        </w:tabs>
      </w:pPr>
      <w:r w:rsidRPr="009A2A8F">
        <w:t>Note:</w:t>
      </w:r>
      <w:r>
        <w:tab/>
      </w:r>
      <w:r w:rsidRPr="009A2A8F">
        <w:t>*</w:t>
      </w:r>
      <w:r>
        <w:tab/>
      </w:r>
      <w:r w:rsidRPr="009A2A8F">
        <w:t>Ministry of Health (2014)</w:t>
      </w:r>
      <w:r>
        <w:br/>
      </w:r>
      <w:r>
        <w:tab/>
      </w:r>
      <w:r w:rsidRPr="009A2A8F">
        <w:t>**</w:t>
      </w:r>
      <w:r>
        <w:tab/>
      </w:r>
      <w:r w:rsidRPr="009A2A8F">
        <w:t>After the start of eating</w:t>
      </w:r>
      <w:r>
        <w:t>.</w:t>
      </w:r>
    </w:p>
    <w:p w:rsidR="00A95BDA" w:rsidRPr="00E07B1B" w:rsidRDefault="00A95BDA" w:rsidP="00D17509">
      <w:pPr>
        <w:pStyle w:val="Heading3"/>
        <w:spacing w:before="360"/>
        <w:ind w:left="0" w:firstLine="0"/>
      </w:pPr>
      <w:bookmarkStart w:id="20" w:name="_Toc403469262"/>
      <w:r w:rsidRPr="00E07B1B">
        <w:t>Timing and mode of birth</w:t>
      </w:r>
      <w:bookmarkEnd w:id="20"/>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6096"/>
        <w:gridCol w:w="1984"/>
        <w:gridCol w:w="1276"/>
      </w:tblGrid>
      <w:tr w:rsidR="00A95BDA" w:rsidRPr="001244A8" w:rsidTr="00D562F2">
        <w:trPr>
          <w:cantSplit/>
        </w:trPr>
        <w:tc>
          <w:tcPr>
            <w:tcW w:w="6096" w:type="dxa"/>
            <w:tcBorders>
              <w:top w:val="single" w:sz="4" w:space="0" w:color="auto"/>
              <w:bottom w:val="single" w:sz="4" w:space="0" w:color="auto"/>
            </w:tcBorders>
            <w:shd w:val="clear" w:color="auto" w:fill="F7F9FB"/>
          </w:tcPr>
          <w:p w:rsidR="00A95BDA" w:rsidRPr="001244A8" w:rsidRDefault="00A95BDA" w:rsidP="00E533EA">
            <w:pPr>
              <w:pStyle w:val="TableText"/>
              <w:rPr>
                <w:b/>
              </w:rPr>
            </w:pPr>
            <w:r w:rsidRPr="001244A8">
              <w:rPr>
                <w:b/>
              </w:rPr>
              <w:t>Recommendation</w:t>
            </w:r>
          </w:p>
        </w:tc>
        <w:tc>
          <w:tcPr>
            <w:tcW w:w="1984" w:type="dxa"/>
            <w:tcBorders>
              <w:top w:val="single" w:sz="4" w:space="0" w:color="auto"/>
              <w:bottom w:val="single" w:sz="4" w:space="0" w:color="auto"/>
            </w:tcBorders>
            <w:shd w:val="clear" w:color="auto" w:fill="F7F9FB"/>
          </w:tcPr>
          <w:p w:rsidR="00A95BDA" w:rsidRPr="001244A8" w:rsidRDefault="00A95BDA" w:rsidP="00E533EA">
            <w:pPr>
              <w:pStyle w:val="TableText"/>
              <w:jc w:val="center"/>
              <w:rPr>
                <w:b/>
              </w:rPr>
            </w:pPr>
            <w:r w:rsidRPr="001244A8">
              <w:rPr>
                <w:b/>
              </w:rPr>
              <w:t>Strength of recommendation or good practice point (GPP)</w:t>
            </w:r>
          </w:p>
        </w:tc>
        <w:tc>
          <w:tcPr>
            <w:tcW w:w="1276" w:type="dxa"/>
            <w:tcBorders>
              <w:top w:val="single" w:sz="4" w:space="0" w:color="auto"/>
              <w:bottom w:val="single" w:sz="4" w:space="0" w:color="auto"/>
            </w:tcBorders>
            <w:shd w:val="clear" w:color="auto" w:fill="F7F9FB"/>
          </w:tcPr>
          <w:p w:rsidR="00A95BDA" w:rsidRPr="001244A8" w:rsidRDefault="00A95BDA" w:rsidP="00E533EA">
            <w:pPr>
              <w:pStyle w:val="TableText"/>
              <w:jc w:val="center"/>
              <w:rPr>
                <w:b/>
              </w:rPr>
            </w:pPr>
            <w:r w:rsidRPr="001244A8">
              <w:rPr>
                <w:b/>
              </w:rPr>
              <w:t>Where to refer in guideline</w:t>
            </w:r>
          </w:p>
        </w:tc>
      </w:tr>
      <w:tr w:rsidR="00A95BDA" w:rsidRPr="00E07B1B" w:rsidTr="00D562F2">
        <w:trPr>
          <w:cantSplit/>
        </w:trPr>
        <w:tc>
          <w:tcPr>
            <w:tcW w:w="6096" w:type="dxa"/>
            <w:tcBorders>
              <w:top w:val="single" w:sz="4" w:space="0" w:color="auto"/>
              <w:bottom w:val="single" w:sz="4" w:space="0" w:color="FFFFFF" w:themeColor="background1"/>
            </w:tcBorders>
            <w:shd w:val="clear" w:color="auto" w:fill="C6D9F1"/>
          </w:tcPr>
          <w:p w:rsidR="00A95BDA" w:rsidRPr="00E07B1B" w:rsidRDefault="00A95BDA" w:rsidP="00E533EA">
            <w:pPr>
              <w:pStyle w:val="TableText"/>
              <w:ind w:left="425" w:right="142" w:hanging="425"/>
            </w:pPr>
            <w:r w:rsidRPr="00E07B1B">
              <w:t>15</w:t>
            </w:r>
            <w:r>
              <w:tab/>
            </w:r>
            <w:r w:rsidRPr="00E07B1B">
              <w:t>Recommend vaginal birth for women with gestational diabetes whose pregnancy is progressing well, with good glycaemic control (≥ 90% of glucose readings within treatment targets), normal fetal growth (≥ 10</w:t>
            </w:r>
            <w:r w:rsidRPr="00E93F08">
              <w:t>th</w:t>
            </w:r>
            <w:r w:rsidRPr="00FC6663">
              <w:t xml:space="preserve"> </w:t>
            </w:r>
            <w:r w:rsidRPr="00E07B1B">
              <w:t>to ≤ 90</w:t>
            </w:r>
            <w:r w:rsidRPr="00E93F08">
              <w:t>th</w:t>
            </w:r>
            <w:r w:rsidRPr="00E07B1B">
              <w:t xml:space="preserve"> percentile) and no obstetric complications.</w:t>
            </w:r>
          </w:p>
        </w:tc>
        <w:tc>
          <w:tcPr>
            <w:tcW w:w="1984" w:type="dxa"/>
            <w:tcBorders>
              <w:top w:val="single" w:sz="4" w:space="0" w:color="auto"/>
              <w:bottom w:val="single" w:sz="4" w:space="0" w:color="FFFFFF" w:themeColor="background1"/>
            </w:tcBorders>
            <w:shd w:val="clear" w:color="auto" w:fill="C6D9F1"/>
          </w:tcPr>
          <w:p w:rsidR="00A95BDA" w:rsidRPr="00E07B1B" w:rsidRDefault="00A95BDA" w:rsidP="00E533EA">
            <w:pPr>
              <w:pStyle w:val="TableText"/>
              <w:jc w:val="center"/>
            </w:pPr>
            <w:r w:rsidRPr="00E07B1B">
              <w:t>CONDITIONAL</w:t>
            </w:r>
          </w:p>
        </w:tc>
        <w:tc>
          <w:tcPr>
            <w:tcW w:w="1276" w:type="dxa"/>
            <w:tcBorders>
              <w:top w:val="single" w:sz="4" w:space="0" w:color="auto"/>
              <w:bottom w:val="single" w:sz="4" w:space="0" w:color="FFFFFF" w:themeColor="background1"/>
            </w:tcBorders>
            <w:shd w:val="clear" w:color="auto" w:fill="C6D9F1"/>
          </w:tcPr>
          <w:p w:rsidR="00A95BDA" w:rsidRPr="00E07B1B" w:rsidRDefault="00A95BDA" w:rsidP="00E533EA">
            <w:pPr>
              <w:pStyle w:val="TableText"/>
              <w:jc w:val="center"/>
            </w:pPr>
            <w:r w:rsidRPr="00E07B1B">
              <w:t>Chapter 6 (section 6.2)</w:t>
            </w:r>
          </w:p>
        </w:tc>
      </w:tr>
      <w:tr w:rsidR="00A95BDA" w:rsidRPr="00E07B1B" w:rsidTr="00D562F2">
        <w:trPr>
          <w:cantSplit/>
        </w:trPr>
        <w:tc>
          <w:tcPr>
            <w:tcW w:w="6096"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ind w:left="425" w:right="142" w:hanging="425"/>
            </w:pPr>
            <w:r w:rsidRPr="00E07B1B">
              <w:t>16</w:t>
            </w:r>
            <w:r>
              <w:tab/>
            </w:r>
            <w:r w:rsidRPr="00E07B1B">
              <w:t>Planned</w:t>
            </w:r>
            <w:r w:rsidRPr="00E07B1B">
              <w:rPr>
                <w:lang w:eastAsia="en-NZ"/>
              </w:rPr>
              <w:t xml:space="preserve"> delivery before 40 weeks is not recommended for women with </w:t>
            </w:r>
            <w:r w:rsidRPr="00E07B1B">
              <w:t>gestational diabetes</w:t>
            </w:r>
            <w:r w:rsidRPr="00E07B1B">
              <w:rPr>
                <w:lang w:eastAsia="en-NZ"/>
              </w:rPr>
              <w:t xml:space="preserve"> </w:t>
            </w:r>
            <w:r>
              <w:rPr>
                <w:lang w:eastAsia="en-NZ"/>
              </w:rPr>
              <w:t>who have</w:t>
            </w:r>
            <w:r w:rsidRPr="00E07B1B">
              <w:rPr>
                <w:lang w:eastAsia="en-NZ"/>
              </w:rPr>
              <w:t xml:space="preserve"> good glucose control</w:t>
            </w:r>
            <w:r>
              <w:rPr>
                <w:lang w:eastAsia="en-NZ"/>
              </w:rPr>
              <w:t xml:space="preserve"> </w:t>
            </w:r>
            <w:r w:rsidRPr="00E07B1B">
              <w:rPr>
                <w:lang w:eastAsia="en-NZ"/>
              </w:rPr>
              <w:t>(≥</w:t>
            </w:r>
            <w:r>
              <w:rPr>
                <w:lang w:eastAsia="en-NZ"/>
              </w:rPr>
              <w:t xml:space="preserve"> </w:t>
            </w:r>
            <w:r w:rsidRPr="00E07B1B">
              <w:rPr>
                <w:lang w:eastAsia="en-NZ"/>
              </w:rPr>
              <w:t>90% of blood glucose readings within treatment targets) unless there are other complications</w:t>
            </w:r>
            <w:r>
              <w:rPr>
                <w:lang w:eastAsia="en-NZ"/>
              </w:rPr>
              <w:t xml:space="preserve"> </w:t>
            </w:r>
            <w:r w:rsidRPr="00E07B1B">
              <w:rPr>
                <w:lang w:eastAsia="en-NZ"/>
              </w:rPr>
              <w:t>present</w:t>
            </w:r>
            <w:r>
              <w:rPr>
                <w:lang w:eastAsia="en-NZ"/>
              </w:rPr>
              <w:t>.</w:t>
            </w:r>
          </w:p>
        </w:tc>
        <w:tc>
          <w:tcPr>
            <w:tcW w:w="1984"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jc w:val="center"/>
            </w:pPr>
            <w:r w:rsidRPr="00E07B1B">
              <w:t>GPP</w:t>
            </w:r>
          </w:p>
        </w:tc>
        <w:tc>
          <w:tcPr>
            <w:tcW w:w="1276"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jc w:val="center"/>
            </w:pPr>
            <w:r w:rsidRPr="00E07B1B">
              <w:t>Chapter 6 (section 6.3)</w:t>
            </w:r>
          </w:p>
        </w:tc>
      </w:tr>
      <w:tr w:rsidR="00A95BDA" w:rsidRPr="00E07B1B" w:rsidTr="00D562F2">
        <w:trPr>
          <w:cantSplit/>
        </w:trPr>
        <w:tc>
          <w:tcPr>
            <w:tcW w:w="6096"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ind w:left="425" w:right="142" w:hanging="425"/>
            </w:pPr>
            <w:r w:rsidRPr="00E07B1B">
              <w:t>17</w:t>
            </w:r>
            <w:r>
              <w:tab/>
            </w:r>
            <w:r w:rsidRPr="00E07B1B">
              <w:rPr>
                <w:lang w:eastAsia="en-NZ"/>
              </w:rPr>
              <w:t xml:space="preserve">Assess timing of birth individually </w:t>
            </w:r>
            <w:r>
              <w:rPr>
                <w:lang w:eastAsia="en-NZ"/>
              </w:rPr>
              <w:t>where</w:t>
            </w:r>
            <w:r w:rsidRPr="00E07B1B">
              <w:rPr>
                <w:lang w:eastAsia="en-NZ"/>
              </w:rPr>
              <w:t xml:space="preserve"> women </w:t>
            </w:r>
            <w:r>
              <w:rPr>
                <w:lang w:eastAsia="en-NZ"/>
              </w:rPr>
              <w:t>have</w:t>
            </w:r>
            <w:r w:rsidRPr="00E07B1B">
              <w:rPr>
                <w:lang w:eastAsia="en-NZ"/>
              </w:rPr>
              <w:t xml:space="preserve"> poorly controlled </w:t>
            </w:r>
            <w:r w:rsidRPr="00E07B1B">
              <w:t>gestational diabetes</w:t>
            </w:r>
            <w:r w:rsidRPr="00E07B1B">
              <w:rPr>
                <w:lang w:eastAsia="en-NZ"/>
              </w:rPr>
              <w:t xml:space="preserve"> </w:t>
            </w:r>
            <w:r w:rsidRPr="00E07B1B">
              <w:t xml:space="preserve">(&lt; 90% of blood glucose readings within treatment targets) </w:t>
            </w:r>
            <w:r w:rsidRPr="00E07B1B">
              <w:rPr>
                <w:lang w:eastAsia="en-NZ"/>
              </w:rPr>
              <w:t xml:space="preserve">or </w:t>
            </w:r>
            <w:r>
              <w:rPr>
                <w:lang w:eastAsia="en-NZ"/>
              </w:rPr>
              <w:t xml:space="preserve">there are </w:t>
            </w:r>
            <w:r w:rsidRPr="00E07B1B">
              <w:rPr>
                <w:lang w:eastAsia="en-NZ"/>
              </w:rPr>
              <w:t xml:space="preserve">other maternal or infant comorbidities (including hypertension, pre-eclampsia, large for gestational age </w:t>
            </w:r>
            <w:r>
              <w:rPr>
                <w:lang w:eastAsia="en-NZ"/>
              </w:rPr>
              <w:t xml:space="preserve">infant </w:t>
            </w:r>
            <w:r w:rsidRPr="00E07B1B">
              <w:rPr>
                <w:lang w:eastAsia="en-NZ"/>
              </w:rPr>
              <w:t>&gt; 90</w:t>
            </w:r>
            <w:r w:rsidRPr="00E93F08">
              <w:t xml:space="preserve">th </w:t>
            </w:r>
            <w:r w:rsidRPr="00E07B1B">
              <w:rPr>
                <w:lang w:eastAsia="en-NZ"/>
              </w:rPr>
              <w:t>centile, maternal age &gt; 40 years)</w:t>
            </w:r>
            <w:r>
              <w:rPr>
                <w:lang w:eastAsia="en-NZ"/>
              </w:rPr>
              <w:t>.</w:t>
            </w:r>
          </w:p>
        </w:tc>
        <w:tc>
          <w:tcPr>
            <w:tcW w:w="1984"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jc w:val="center"/>
            </w:pPr>
            <w:r w:rsidRPr="00E07B1B">
              <w:t>GPP</w:t>
            </w:r>
          </w:p>
        </w:tc>
        <w:tc>
          <w:tcPr>
            <w:tcW w:w="1276"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jc w:val="center"/>
            </w:pPr>
            <w:r w:rsidRPr="00E07B1B">
              <w:t>Chapter 6</w:t>
            </w:r>
          </w:p>
        </w:tc>
      </w:tr>
      <w:tr w:rsidR="00A95BDA" w:rsidRPr="00E07B1B" w:rsidTr="00D562F2">
        <w:trPr>
          <w:cantSplit/>
        </w:trPr>
        <w:tc>
          <w:tcPr>
            <w:tcW w:w="6096" w:type="dxa"/>
            <w:tcBorders>
              <w:top w:val="single" w:sz="4" w:space="0" w:color="FFFFFF" w:themeColor="background1"/>
              <w:bottom w:val="single" w:sz="4" w:space="0" w:color="auto"/>
            </w:tcBorders>
            <w:shd w:val="clear" w:color="auto" w:fill="DBE5F1"/>
          </w:tcPr>
          <w:p w:rsidR="00A95BDA" w:rsidRPr="00E07B1B" w:rsidRDefault="00A95BDA" w:rsidP="00D562F2">
            <w:pPr>
              <w:pStyle w:val="TableText"/>
              <w:ind w:left="425" w:right="142" w:hanging="425"/>
            </w:pPr>
            <w:r w:rsidRPr="00E07B1B">
              <w:t>18</w:t>
            </w:r>
            <w:r>
              <w:tab/>
            </w:r>
            <w:r w:rsidRPr="00E07B1B">
              <w:t>Advise women to report a</w:t>
            </w:r>
            <w:r>
              <w:t>ny</w:t>
            </w:r>
            <w:r w:rsidRPr="00E07B1B">
              <w:t xml:space="preserve"> reduction or change in fetal movements from 28 weeks</w:t>
            </w:r>
            <w:r>
              <w:t>’</w:t>
            </w:r>
            <w:r w:rsidRPr="00E07B1B">
              <w:t xml:space="preserve"> gestational age onwards</w:t>
            </w:r>
            <w:r>
              <w:t>.</w:t>
            </w:r>
          </w:p>
        </w:tc>
        <w:tc>
          <w:tcPr>
            <w:tcW w:w="1984" w:type="dxa"/>
            <w:tcBorders>
              <w:top w:val="single" w:sz="4" w:space="0" w:color="FFFFFF" w:themeColor="background1"/>
              <w:bottom w:val="single" w:sz="4" w:space="0" w:color="auto"/>
            </w:tcBorders>
            <w:shd w:val="clear" w:color="auto" w:fill="DBE5F1"/>
          </w:tcPr>
          <w:p w:rsidR="00A95BDA" w:rsidRPr="00E07B1B" w:rsidRDefault="00A95BDA" w:rsidP="00D562F2">
            <w:pPr>
              <w:pStyle w:val="TableText"/>
              <w:jc w:val="center"/>
            </w:pPr>
            <w:r w:rsidRPr="00E07B1B">
              <w:t>GPP</w:t>
            </w:r>
          </w:p>
        </w:tc>
        <w:tc>
          <w:tcPr>
            <w:tcW w:w="1276" w:type="dxa"/>
            <w:tcBorders>
              <w:top w:val="single" w:sz="4" w:space="0" w:color="FFFFFF" w:themeColor="background1"/>
              <w:bottom w:val="single" w:sz="4" w:space="0" w:color="auto"/>
            </w:tcBorders>
            <w:shd w:val="clear" w:color="auto" w:fill="DBE5F1"/>
          </w:tcPr>
          <w:p w:rsidR="00A95BDA" w:rsidRPr="00E07B1B" w:rsidRDefault="00A95BDA" w:rsidP="00D562F2">
            <w:pPr>
              <w:pStyle w:val="TableText"/>
              <w:jc w:val="center"/>
            </w:pPr>
            <w:r w:rsidRPr="00E07B1B">
              <w:t>Chapter 6</w:t>
            </w:r>
          </w:p>
        </w:tc>
      </w:tr>
    </w:tbl>
    <w:p w:rsidR="00A95BDA" w:rsidRPr="00E07B1B" w:rsidRDefault="00A95BDA" w:rsidP="00A95BDA"/>
    <w:p w:rsidR="00A95BDA" w:rsidRPr="00E07B1B" w:rsidRDefault="00A95BDA" w:rsidP="00D17509">
      <w:pPr>
        <w:pStyle w:val="Heading3"/>
        <w:ind w:left="0" w:firstLine="0"/>
      </w:pPr>
      <w:bookmarkStart w:id="21" w:name="_Toc403469263"/>
      <w:r w:rsidRPr="00E07B1B">
        <w:t>Immediate postpartum care</w:t>
      </w:r>
      <w:bookmarkEnd w:id="21"/>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6096"/>
        <w:gridCol w:w="1984"/>
        <w:gridCol w:w="1276"/>
      </w:tblGrid>
      <w:tr w:rsidR="00A95BDA" w:rsidRPr="002D2371" w:rsidTr="00D562F2">
        <w:trPr>
          <w:cantSplit/>
        </w:trPr>
        <w:tc>
          <w:tcPr>
            <w:tcW w:w="6096" w:type="dxa"/>
            <w:tcBorders>
              <w:top w:val="single" w:sz="4" w:space="0" w:color="auto"/>
              <w:bottom w:val="single" w:sz="4" w:space="0" w:color="auto"/>
            </w:tcBorders>
            <w:shd w:val="clear" w:color="auto" w:fill="F7F9FB"/>
          </w:tcPr>
          <w:p w:rsidR="00A95BDA" w:rsidRPr="002D2371" w:rsidRDefault="00A95BDA" w:rsidP="00D562F2">
            <w:pPr>
              <w:pStyle w:val="TableText"/>
              <w:keepNext/>
              <w:rPr>
                <w:b/>
              </w:rPr>
            </w:pPr>
            <w:r w:rsidRPr="002D2371">
              <w:rPr>
                <w:b/>
              </w:rPr>
              <w:t>Recommendation</w:t>
            </w:r>
          </w:p>
        </w:tc>
        <w:tc>
          <w:tcPr>
            <w:tcW w:w="1984" w:type="dxa"/>
            <w:tcBorders>
              <w:top w:val="single" w:sz="4" w:space="0" w:color="auto"/>
              <w:bottom w:val="single" w:sz="4" w:space="0" w:color="auto"/>
            </w:tcBorders>
            <w:shd w:val="clear" w:color="auto" w:fill="F7F9FB"/>
          </w:tcPr>
          <w:p w:rsidR="00A95BDA" w:rsidRPr="002D2371" w:rsidRDefault="00A95BDA" w:rsidP="00D562F2">
            <w:pPr>
              <w:pStyle w:val="TableText"/>
              <w:keepNext/>
              <w:jc w:val="center"/>
              <w:rPr>
                <w:b/>
              </w:rPr>
            </w:pPr>
            <w:r w:rsidRPr="002D2371">
              <w:rPr>
                <w:b/>
              </w:rPr>
              <w:t>Strength of recommendation or good practice point (GPP)</w:t>
            </w:r>
          </w:p>
        </w:tc>
        <w:tc>
          <w:tcPr>
            <w:tcW w:w="1276" w:type="dxa"/>
            <w:tcBorders>
              <w:top w:val="single" w:sz="4" w:space="0" w:color="auto"/>
              <w:bottom w:val="single" w:sz="4" w:space="0" w:color="auto"/>
            </w:tcBorders>
            <w:shd w:val="clear" w:color="auto" w:fill="F7F9FB"/>
          </w:tcPr>
          <w:p w:rsidR="00A95BDA" w:rsidRPr="002D2371" w:rsidRDefault="00A95BDA" w:rsidP="00D562F2">
            <w:pPr>
              <w:pStyle w:val="TableText"/>
              <w:keepNext/>
              <w:jc w:val="center"/>
              <w:rPr>
                <w:b/>
              </w:rPr>
            </w:pPr>
            <w:r w:rsidRPr="002D2371">
              <w:rPr>
                <w:b/>
              </w:rPr>
              <w:t>Where to refer in guideline</w:t>
            </w:r>
          </w:p>
        </w:tc>
      </w:tr>
      <w:tr w:rsidR="00A95BDA" w:rsidRPr="00E07B1B" w:rsidTr="00D562F2">
        <w:trPr>
          <w:cantSplit/>
        </w:trPr>
        <w:tc>
          <w:tcPr>
            <w:tcW w:w="6096" w:type="dxa"/>
            <w:tcBorders>
              <w:top w:val="single" w:sz="4" w:space="0" w:color="auto"/>
              <w:bottom w:val="single" w:sz="4" w:space="0" w:color="FFFFFF" w:themeColor="background1"/>
            </w:tcBorders>
            <w:shd w:val="clear" w:color="auto" w:fill="DBE5F1"/>
          </w:tcPr>
          <w:p w:rsidR="00A95BDA" w:rsidRPr="00E07B1B" w:rsidRDefault="00A95BDA" w:rsidP="00A95BDA">
            <w:pPr>
              <w:pStyle w:val="TableText"/>
              <w:keepNext/>
              <w:ind w:left="425" w:right="142" w:hanging="425"/>
            </w:pPr>
            <w:r w:rsidRPr="00E07B1B">
              <w:t>19</w:t>
            </w:r>
            <w:r>
              <w:tab/>
            </w:r>
            <w:r w:rsidRPr="00E07B1B">
              <w:t>Encourage women diagnosed with gestational diabetes</w:t>
            </w:r>
            <w:r>
              <w:t xml:space="preserve"> to start</w:t>
            </w:r>
            <w:r w:rsidRPr="00E07B1B">
              <w:t xml:space="preserve"> breastfeeding and</w:t>
            </w:r>
            <w:r>
              <w:t xml:space="preserve"> have</w:t>
            </w:r>
            <w:r w:rsidRPr="00E07B1B">
              <w:t xml:space="preserve"> skin to skin contact as early as possible after birth (preferably within one hour)</w:t>
            </w:r>
            <w:r>
              <w:t>.</w:t>
            </w:r>
          </w:p>
        </w:tc>
        <w:tc>
          <w:tcPr>
            <w:tcW w:w="1984" w:type="dxa"/>
            <w:tcBorders>
              <w:top w:val="single" w:sz="4" w:space="0" w:color="auto"/>
              <w:bottom w:val="single" w:sz="4" w:space="0" w:color="FFFFFF" w:themeColor="background1"/>
            </w:tcBorders>
            <w:shd w:val="clear" w:color="auto" w:fill="DBE5F1"/>
          </w:tcPr>
          <w:p w:rsidR="00A95BDA" w:rsidRPr="00E07B1B" w:rsidRDefault="00A95BDA" w:rsidP="00D562F2">
            <w:pPr>
              <w:pStyle w:val="TableText"/>
              <w:keepNext/>
              <w:jc w:val="center"/>
            </w:pPr>
            <w:r w:rsidRPr="00E07B1B">
              <w:t>GPP</w:t>
            </w:r>
          </w:p>
        </w:tc>
        <w:tc>
          <w:tcPr>
            <w:tcW w:w="1276" w:type="dxa"/>
            <w:tcBorders>
              <w:top w:val="single" w:sz="4" w:space="0" w:color="auto"/>
              <w:bottom w:val="single" w:sz="4" w:space="0" w:color="FFFFFF" w:themeColor="background1"/>
            </w:tcBorders>
            <w:shd w:val="clear" w:color="auto" w:fill="DBE5F1"/>
          </w:tcPr>
          <w:p w:rsidR="00A95BDA" w:rsidRPr="00E07B1B" w:rsidRDefault="00A95BDA" w:rsidP="00D562F2">
            <w:pPr>
              <w:pStyle w:val="TableText"/>
              <w:keepNext/>
              <w:jc w:val="center"/>
            </w:pPr>
            <w:r w:rsidRPr="00E07B1B">
              <w:t>Chapter 7 (section 7.2)</w:t>
            </w:r>
          </w:p>
        </w:tc>
      </w:tr>
      <w:tr w:rsidR="00A95BDA" w:rsidRPr="00E07B1B" w:rsidTr="00D562F2">
        <w:trPr>
          <w:cantSplit/>
        </w:trPr>
        <w:tc>
          <w:tcPr>
            <w:tcW w:w="6096"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keepNext/>
              <w:ind w:left="425" w:right="142" w:hanging="425"/>
            </w:pPr>
            <w:r w:rsidRPr="00E07B1B">
              <w:t>20</w:t>
            </w:r>
            <w:r>
              <w:tab/>
            </w:r>
            <w:r w:rsidRPr="00E07B1B">
              <w:rPr>
                <w:lang w:eastAsia="en-NZ"/>
              </w:rPr>
              <w:t xml:space="preserve">Encourage mothers diagnosed with gestational diabetes to feed their infants frequently (every </w:t>
            </w:r>
            <w:r>
              <w:rPr>
                <w:lang w:eastAsia="en-NZ"/>
              </w:rPr>
              <w:t>two</w:t>
            </w:r>
            <w:r w:rsidRPr="00E07B1B">
              <w:rPr>
                <w:lang w:eastAsia="en-NZ"/>
              </w:rPr>
              <w:t xml:space="preserve"> to </w:t>
            </w:r>
            <w:r>
              <w:rPr>
                <w:lang w:eastAsia="en-NZ"/>
              </w:rPr>
              <w:t>three</w:t>
            </w:r>
            <w:r w:rsidRPr="00E07B1B">
              <w:rPr>
                <w:lang w:eastAsia="en-NZ"/>
              </w:rPr>
              <w:t xml:space="preserve"> hours) during the first 48 hours after birth</w:t>
            </w:r>
            <w:r>
              <w:rPr>
                <w:lang w:eastAsia="en-NZ"/>
              </w:rPr>
              <w:t>.</w:t>
            </w:r>
          </w:p>
        </w:tc>
        <w:tc>
          <w:tcPr>
            <w:tcW w:w="1984"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keepNext/>
              <w:jc w:val="center"/>
            </w:pPr>
            <w:r w:rsidRPr="00E07B1B">
              <w:t>GPP</w:t>
            </w:r>
          </w:p>
        </w:tc>
        <w:tc>
          <w:tcPr>
            <w:tcW w:w="1276"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keepNext/>
              <w:jc w:val="center"/>
            </w:pPr>
            <w:r w:rsidRPr="00E07B1B">
              <w:t>Chapter 7 (section 7.2)</w:t>
            </w:r>
          </w:p>
        </w:tc>
      </w:tr>
      <w:tr w:rsidR="00A95BDA" w:rsidRPr="00E07B1B" w:rsidTr="00D562F2">
        <w:trPr>
          <w:cantSplit/>
        </w:trPr>
        <w:tc>
          <w:tcPr>
            <w:tcW w:w="6096"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keepNext/>
              <w:ind w:left="425" w:right="142" w:hanging="425"/>
            </w:pPr>
            <w:r w:rsidRPr="003C6E1F">
              <w:t>21</w:t>
            </w:r>
            <w:r>
              <w:tab/>
            </w:r>
            <w:r w:rsidRPr="00A042F9">
              <w:rPr>
                <w:color w:val="000000"/>
              </w:rPr>
              <w:t xml:space="preserve">Measure </w:t>
            </w:r>
            <w:r>
              <w:rPr>
                <w:color w:val="000000"/>
              </w:rPr>
              <w:t xml:space="preserve">the </w:t>
            </w:r>
            <w:r w:rsidR="00291C12">
              <w:rPr>
                <w:color w:val="000000"/>
              </w:rPr>
              <w:t>infant’s</w:t>
            </w:r>
            <w:r>
              <w:rPr>
                <w:color w:val="000000"/>
              </w:rPr>
              <w:t xml:space="preserve"> </w:t>
            </w:r>
            <w:r w:rsidRPr="00A042F9">
              <w:rPr>
                <w:color w:val="000000"/>
              </w:rPr>
              <w:t xml:space="preserve">plasma glucose at </w:t>
            </w:r>
            <w:r>
              <w:rPr>
                <w:color w:val="000000"/>
              </w:rPr>
              <w:t>one</w:t>
            </w:r>
            <w:r w:rsidRPr="00A042F9">
              <w:rPr>
                <w:color w:val="000000"/>
              </w:rPr>
              <w:t xml:space="preserve"> to </w:t>
            </w:r>
            <w:r>
              <w:rPr>
                <w:color w:val="000000"/>
              </w:rPr>
              <w:t>two</w:t>
            </w:r>
            <w:r w:rsidRPr="00A042F9">
              <w:rPr>
                <w:color w:val="000000"/>
              </w:rPr>
              <w:t xml:space="preserve"> hours of age, </w:t>
            </w:r>
            <w:r>
              <w:rPr>
                <w:color w:val="000000"/>
              </w:rPr>
              <w:t>four</w:t>
            </w:r>
            <w:r w:rsidRPr="00A042F9">
              <w:rPr>
                <w:color w:val="000000"/>
              </w:rPr>
              <w:t xml:space="preserve"> hours, and then </w:t>
            </w:r>
            <w:r>
              <w:rPr>
                <w:color w:val="000000"/>
              </w:rPr>
              <w:t>four</w:t>
            </w:r>
            <w:r w:rsidRPr="00A042F9">
              <w:rPr>
                <w:color w:val="000000"/>
              </w:rPr>
              <w:t xml:space="preserve"> hourly, preferably before feeds</w:t>
            </w:r>
            <w:r>
              <w:rPr>
                <w:color w:val="000000"/>
              </w:rPr>
              <w:t>,</w:t>
            </w:r>
            <w:r w:rsidRPr="003C6E1F">
              <w:t xml:space="preserve"> until there have been </w:t>
            </w:r>
            <w:r>
              <w:t>three</w:t>
            </w:r>
            <w:r w:rsidRPr="003C6E1F">
              <w:t xml:space="preserve"> consecutive readings &gt;</w:t>
            </w:r>
            <w:r>
              <w:t> </w:t>
            </w:r>
            <w:r w:rsidRPr="003C6E1F">
              <w:t>2.6</w:t>
            </w:r>
            <w:r>
              <w:t> </w:t>
            </w:r>
            <w:r w:rsidRPr="003C6E1F">
              <w:t>mmol/L.*</w:t>
            </w:r>
          </w:p>
        </w:tc>
        <w:tc>
          <w:tcPr>
            <w:tcW w:w="1984"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keepNext/>
              <w:jc w:val="center"/>
            </w:pPr>
            <w:r w:rsidRPr="00E07B1B">
              <w:t>GPP</w:t>
            </w:r>
          </w:p>
        </w:tc>
        <w:tc>
          <w:tcPr>
            <w:tcW w:w="1276"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keepNext/>
              <w:jc w:val="center"/>
            </w:pPr>
            <w:r w:rsidRPr="00E07B1B">
              <w:t>Chapter 7 (section 7.3)</w:t>
            </w:r>
          </w:p>
        </w:tc>
      </w:tr>
      <w:tr w:rsidR="00A95BDA" w:rsidRPr="00E07B1B" w:rsidTr="00A95BDA">
        <w:trPr>
          <w:cantSplit/>
        </w:trPr>
        <w:tc>
          <w:tcPr>
            <w:tcW w:w="6096"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keepNext/>
              <w:ind w:left="425" w:right="142" w:hanging="425"/>
            </w:pPr>
            <w:r w:rsidRPr="00E07B1B">
              <w:t>22</w:t>
            </w:r>
            <w:r>
              <w:tab/>
            </w:r>
            <w:r w:rsidRPr="00E07B1B">
              <w:t>For infants with blood glucose levels &lt; 2.6 mmol/L:</w:t>
            </w:r>
          </w:p>
          <w:p w:rsidR="00A95BDA" w:rsidRPr="00E07B1B" w:rsidRDefault="00A95BDA" w:rsidP="00A95BDA">
            <w:pPr>
              <w:pStyle w:val="TableBullet"/>
              <w:keepNext/>
              <w:ind w:left="709" w:right="142"/>
            </w:pPr>
            <w:r>
              <w:t>o</w:t>
            </w:r>
            <w:r w:rsidRPr="00E07B1B">
              <w:t>ffer supplementary breastfeeds where possible</w:t>
            </w:r>
          </w:p>
          <w:p w:rsidR="00A95BDA" w:rsidRPr="00E07B1B" w:rsidRDefault="00A95BDA" w:rsidP="00A95BDA">
            <w:pPr>
              <w:pStyle w:val="TableBullet"/>
              <w:keepNext/>
              <w:ind w:left="709" w:right="142"/>
            </w:pPr>
            <w:r>
              <w:t>i</w:t>
            </w:r>
            <w:r w:rsidRPr="00E07B1B">
              <w:t xml:space="preserve">f blood sugar levels remain &lt; 2.6 mmol/L for </w:t>
            </w:r>
            <w:r>
              <w:t>two</w:t>
            </w:r>
            <w:r w:rsidRPr="00E07B1B">
              <w:t xml:space="preserve"> consecutive readings one hour apart</w:t>
            </w:r>
            <w:r>
              <w:t>,</w:t>
            </w:r>
            <w:r w:rsidRPr="00E07B1B">
              <w:t xml:space="preserve"> refer the infant to the neonatal team</w:t>
            </w:r>
          </w:p>
          <w:p w:rsidR="00A95BDA" w:rsidRPr="00E07B1B" w:rsidRDefault="00A95BDA" w:rsidP="00A95BDA">
            <w:pPr>
              <w:pStyle w:val="TableBullet"/>
              <w:keepNext/>
              <w:ind w:left="709" w:right="142"/>
            </w:pPr>
            <w:r>
              <w:t>i</w:t>
            </w:r>
            <w:r w:rsidRPr="00E07B1B">
              <w:t xml:space="preserve">f </w:t>
            </w:r>
            <w:r>
              <w:t xml:space="preserve">any reading is </w:t>
            </w:r>
            <w:r w:rsidRPr="00E07B1B">
              <w:t>≤ 2.0 mmol/L</w:t>
            </w:r>
            <w:r>
              <w:t>,</w:t>
            </w:r>
            <w:r w:rsidRPr="00E07B1B">
              <w:t xml:space="preserve"> refer immediately to the neonatal team</w:t>
            </w:r>
            <w:r>
              <w:t>.</w:t>
            </w:r>
          </w:p>
        </w:tc>
        <w:tc>
          <w:tcPr>
            <w:tcW w:w="1984"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keepNext/>
              <w:jc w:val="center"/>
            </w:pPr>
            <w:r w:rsidRPr="00E07B1B">
              <w:t>GPP</w:t>
            </w:r>
          </w:p>
        </w:tc>
        <w:tc>
          <w:tcPr>
            <w:tcW w:w="1276"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keepNext/>
              <w:jc w:val="center"/>
            </w:pPr>
            <w:r w:rsidRPr="00E07B1B">
              <w:t>Chapter 7 (section 7.3)</w:t>
            </w:r>
          </w:p>
        </w:tc>
      </w:tr>
      <w:tr w:rsidR="00A95BDA" w:rsidRPr="00E07B1B" w:rsidTr="00A95BDA">
        <w:trPr>
          <w:cantSplit/>
        </w:trPr>
        <w:tc>
          <w:tcPr>
            <w:tcW w:w="6096"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ind w:left="425" w:right="142" w:hanging="425"/>
              <w:rPr>
                <w:lang w:eastAsia="en-NZ"/>
              </w:rPr>
            </w:pPr>
            <w:r w:rsidRPr="00E07B1B">
              <w:t>23</w:t>
            </w:r>
            <w:r>
              <w:tab/>
            </w:r>
            <w:r w:rsidRPr="00E07B1B">
              <w:rPr>
                <w:lang w:eastAsia="en-NZ"/>
              </w:rPr>
              <w:t xml:space="preserve">Monitor the blood glucose of women who have been diagnosed with gestational diabetes before breakfast (fasting blood sugar) and </w:t>
            </w:r>
            <w:r>
              <w:rPr>
                <w:lang w:eastAsia="en-NZ"/>
              </w:rPr>
              <w:t>two</w:t>
            </w:r>
            <w:r w:rsidRPr="00E07B1B">
              <w:rPr>
                <w:lang w:eastAsia="en-NZ"/>
              </w:rPr>
              <w:t xml:space="preserve"> hours after meals for 24 hours after delivery. Refer to the medical team if values are between 7</w:t>
            </w:r>
            <w:r>
              <w:rPr>
                <w:lang w:eastAsia="en-NZ"/>
              </w:rPr>
              <w:t> </w:t>
            </w:r>
            <w:r w:rsidRPr="00E07B1B">
              <w:rPr>
                <w:lang w:eastAsia="en-NZ"/>
              </w:rPr>
              <w:t>mmol/L and ≥</w:t>
            </w:r>
            <w:r>
              <w:rPr>
                <w:lang w:eastAsia="en-NZ"/>
              </w:rPr>
              <w:t> </w:t>
            </w:r>
            <w:r w:rsidRPr="00E07B1B">
              <w:rPr>
                <w:lang w:eastAsia="en-NZ"/>
              </w:rPr>
              <w:t>11</w:t>
            </w:r>
            <w:r>
              <w:rPr>
                <w:lang w:eastAsia="en-NZ"/>
              </w:rPr>
              <w:t> </w:t>
            </w:r>
            <w:r w:rsidRPr="00E07B1B">
              <w:rPr>
                <w:lang w:eastAsia="en-NZ"/>
              </w:rPr>
              <w:t xml:space="preserve">mmol/L on </w:t>
            </w:r>
            <w:r>
              <w:rPr>
                <w:lang w:eastAsia="en-NZ"/>
              </w:rPr>
              <w:t>two</w:t>
            </w:r>
            <w:r w:rsidRPr="00E07B1B">
              <w:rPr>
                <w:lang w:eastAsia="en-NZ"/>
              </w:rPr>
              <w:t xml:space="preserve"> consecutive occasions.</w:t>
            </w:r>
          </w:p>
          <w:p w:rsidR="00A95BDA" w:rsidRPr="00E07B1B" w:rsidRDefault="00A95BDA" w:rsidP="00A95BDA">
            <w:pPr>
              <w:pStyle w:val="TableText"/>
              <w:ind w:left="425" w:right="142"/>
            </w:pPr>
            <w:r w:rsidRPr="00E07B1B">
              <w:rPr>
                <w:lang w:eastAsia="en-NZ"/>
              </w:rPr>
              <w:t>If blood glucose levels are within normal range</w:t>
            </w:r>
            <w:r>
              <w:rPr>
                <w:lang w:eastAsia="en-NZ"/>
              </w:rPr>
              <w:t>,</w:t>
            </w:r>
            <w:r w:rsidRPr="00E07B1B">
              <w:rPr>
                <w:lang w:eastAsia="en-NZ"/>
              </w:rPr>
              <w:t xml:space="preserve"> stop monitoring</w:t>
            </w:r>
            <w:r>
              <w:rPr>
                <w:lang w:eastAsia="en-NZ"/>
              </w:rPr>
              <w:t xml:space="preserve"> after 24 hours.</w:t>
            </w:r>
          </w:p>
        </w:tc>
        <w:tc>
          <w:tcPr>
            <w:tcW w:w="1984"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jc w:val="center"/>
            </w:pPr>
            <w:r w:rsidRPr="00E07B1B">
              <w:t>GPP</w:t>
            </w:r>
          </w:p>
        </w:tc>
        <w:tc>
          <w:tcPr>
            <w:tcW w:w="1276" w:type="dxa"/>
            <w:tcBorders>
              <w:top w:val="single" w:sz="4" w:space="0" w:color="FFFFFF" w:themeColor="background1"/>
              <w:bottom w:val="single" w:sz="4" w:space="0" w:color="FFFFFF" w:themeColor="background1"/>
            </w:tcBorders>
            <w:shd w:val="clear" w:color="auto" w:fill="DBE5F1"/>
          </w:tcPr>
          <w:p w:rsidR="00A95BDA" w:rsidRPr="00E07B1B" w:rsidRDefault="00A95BDA" w:rsidP="00D562F2">
            <w:pPr>
              <w:pStyle w:val="TableText"/>
              <w:jc w:val="center"/>
            </w:pPr>
            <w:r w:rsidRPr="00E07B1B">
              <w:t>Chapter 7 (section 7.4)</w:t>
            </w:r>
          </w:p>
        </w:tc>
      </w:tr>
      <w:tr w:rsidR="00A95BDA" w:rsidRPr="00E07B1B" w:rsidTr="00A95BDA">
        <w:trPr>
          <w:cantSplit/>
        </w:trPr>
        <w:tc>
          <w:tcPr>
            <w:tcW w:w="6096" w:type="dxa"/>
            <w:tcBorders>
              <w:top w:val="single" w:sz="4" w:space="0" w:color="FFFFFF" w:themeColor="background1"/>
              <w:bottom w:val="single" w:sz="4" w:space="0" w:color="auto"/>
            </w:tcBorders>
            <w:shd w:val="clear" w:color="auto" w:fill="DBE5F1"/>
          </w:tcPr>
          <w:p w:rsidR="00A95BDA" w:rsidRPr="00E07B1B" w:rsidRDefault="00A95BDA" w:rsidP="00A95BDA">
            <w:pPr>
              <w:pStyle w:val="TableText"/>
              <w:ind w:left="425" w:right="142" w:hanging="425"/>
            </w:pPr>
            <w:r w:rsidRPr="00E07B1B">
              <w:t>24</w:t>
            </w:r>
            <w:r>
              <w:tab/>
            </w:r>
            <w:r w:rsidRPr="00E07B1B">
              <w:rPr>
                <w:lang w:eastAsia="en-NZ"/>
              </w:rPr>
              <w:t>Discontinue diabetes medication for women with a diagnosis of gestational diabetes at birth</w:t>
            </w:r>
            <w:r>
              <w:rPr>
                <w:lang w:eastAsia="en-NZ"/>
              </w:rPr>
              <w:t>.</w:t>
            </w:r>
          </w:p>
        </w:tc>
        <w:tc>
          <w:tcPr>
            <w:tcW w:w="1984" w:type="dxa"/>
            <w:tcBorders>
              <w:top w:val="single" w:sz="4" w:space="0" w:color="FFFFFF" w:themeColor="background1"/>
              <w:bottom w:val="single" w:sz="4" w:space="0" w:color="auto"/>
            </w:tcBorders>
            <w:shd w:val="clear" w:color="auto" w:fill="DBE5F1"/>
          </w:tcPr>
          <w:p w:rsidR="00A95BDA" w:rsidRPr="00E07B1B" w:rsidRDefault="00A95BDA" w:rsidP="00D562F2">
            <w:pPr>
              <w:pStyle w:val="TableText"/>
              <w:jc w:val="center"/>
            </w:pPr>
            <w:r w:rsidRPr="00E07B1B">
              <w:t>GPP</w:t>
            </w:r>
          </w:p>
        </w:tc>
        <w:tc>
          <w:tcPr>
            <w:tcW w:w="1276" w:type="dxa"/>
            <w:tcBorders>
              <w:top w:val="single" w:sz="4" w:space="0" w:color="FFFFFF" w:themeColor="background1"/>
              <w:bottom w:val="single" w:sz="4" w:space="0" w:color="auto"/>
            </w:tcBorders>
            <w:shd w:val="clear" w:color="auto" w:fill="DBE5F1"/>
          </w:tcPr>
          <w:p w:rsidR="00A95BDA" w:rsidRPr="00E07B1B" w:rsidRDefault="00A95BDA" w:rsidP="00D562F2">
            <w:pPr>
              <w:pStyle w:val="TableText"/>
              <w:jc w:val="center"/>
            </w:pPr>
            <w:r w:rsidRPr="00E07B1B">
              <w:t>Chapter 7 (section 7.5)</w:t>
            </w:r>
          </w:p>
        </w:tc>
      </w:tr>
    </w:tbl>
    <w:p w:rsidR="00A95BDA" w:rsidRPr="00A042F9" w:rsidRDefault="00A95BDA" w:rsidP="00A95BDA">
      <w:pPr>
        <w:pStyle w:val="Note"/>
        <w:ind w:left="0" w:firstLine="0"/>
      </w:pPr>
      <w:r w:rsidRPr="00A042F9">
        <w:t>Note: * An appropriately sensitive method, such as the glucose oxidase method, should be used to test for neonatal hypoglycaemia. Accucheck is not sensitive enough and should not be used to measure neonatal blood glucose.</w:t>
      </w:r>
    </w:p>
    <w:p w:rsidR="00A95BDA" w:rsidRDefault="00A95BDA" w:rsidP="00A95BDA"/>
    <w:p w:rsidR="00A95BDA" w:rsidRPr="00E07B1B" w:rsidRDefault="00A95BDA" w:rsidP="00D17509">
      <w:pPr>
        <w:pStyle w:val="Heading3"/>
        <w:ind w:left="0" w:firstLine="0"/>
      </w:pPr>
      <w:bookmarkStart w:id="22" w:name="_Toc403469264"/>
      <w:r w:rsidRPr="00E07B1B">
        <w:t>Information and follow-up</w:t>
      </w:r>
      <w:bookmarkEnd w:id="22"/>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5954"/>
        <w:gridCol w:w="1984"/>
        <w:gridCol w:w="1418"/>
      </w:tblGrid>
      <w:tr w:rsidR="00A95BDA" w:rsidRPr="00A95BDA" w:rsidTr="00A95BDA">
        <w:trPr>
          <w:cantSplit/>
        </w:trPr>
        <w:tc>
          <w:tcPr>
            <w:tcW w:w="5954" w:type="dxa"/>
            <w:tcBorders>
              <w:top w:val="single" w:sz="4" w:space="0" w:color="auto"/>
              <w:bottom w:val="single" w:sz="4" w:space="0" w:color="auto"/>
            </w:tcBorders>
            <w:shd w:val="clear" w:color="auto" w:fill="F7F9FB"/>
          </w:tcPr>
          <w:p w:rsidR="00A95BDA" w:rsidRPr="00A95BDA" w:rsidRDefault="00A95BDA" w:rsidP="00A95BDA">
            <w:pPr>
              <w:pStyle w:val="TableText"/>
              <w:keepNext/>
              <w:rPr>
                <w:b/>
              </w:rPr>
            </w:pPr>
            <w:r w:rsidRPr="00A95BDA">
              <w:rPr>
                <w:b/>
              </w:rPr>
              <w:t>Recommendation</w:t>
            </w:r>
          </w:p>
        </w:tc>
        <w:tc>
          <w:tcPr>
            <w:tcW w:w="1984" w:type="dxa"/>
            <w:tcBorders>
              <w:top w:val="single" w:sz="4" w:space="0" w:color="auto"/>
              <w:bottom w:val="single" w:sz="4" w:space="0" w:color="auto"/>
            </w:tcBorders>
            <w:shd w:val="clear" w:color="auto" w:fill="F7F9FB"/>
          </w:tcPr>
          <w:p w:rsidR="00A95BDA" w:rsidRPr="00A95BDA" w:rsidRDefault="00A95BDA" w:rsidP="00A95BDA">
            <w:pPr>
              <w:pStyle w:val="TableText"/>
              <w:keepNext/>
              <w:jc w:val="center"/>
              <w:rPr>
                <w:b/>
              </w:rPr>
            </w:pPr>
            <w:r w:rsidRPr="00A95BDA">
              <w:rPr>
                <w:b/>
              </w:rPr>
              <w:t>Strength of recommendation or good practice point (GPP)</w:t>
            </w:r>
          </w:p>
        </w:tc>
        <w:tc>
          <w:tcPr>
            <w:tcW w:w="1418" w:type="dxa"/>
            <w:tcBorders>
              <w:top w:val="single" w:sz="4" w:space="0" w:color="auto"/>
              <w:bottom w:val="single" w:sz="4" w:space="0" w:color="auto"/>
            </w:tcBorders>
            <w:shd w:val="clear" w:color="auto" w:fill="F7F9FB"/>
          </w:tcPr>
          <w:p w:rsidR="00A95BDA" w:rsidRPr="00A95BDA" w:rsidRDefault="00A95BDA" w:rsidP="00A95BDA">
            <w:pPr>
              <w:pStyle w:val="TableText"/>
              <w:keepNext/>
              <w:jc w:val="center"/>
              <w:rPr>
                <w:b/>
              </w:rPr>
            </w:pPr>
            <w:r w:rsidRPr="00A95BDA">
              <w:rPr>
                <w:b/>
              </w:rPr>
              <w:t>Where to refer in guideline</w:t>
            </w:r>
          </w:p>
        </w:tc>
      </w:tr>
      <w:tr w:rsidR="00A95BDA" w:rsidRPr="00E07B1B" w:rsidTr="00A95BDA">
        <w:trPr>
          <w:cantSplit/>
        </w:trPr>
        <w:tc>
          <w:tcPr>
            <w:tcW w:w="5954" w:type="dxa"/>
            <w:tcBorders>
              <w:top w:val="single" w:sz="4" w:space="0" w:color="auto"/>
              <w:bottom w:val="single" w:sz="4" w:space="0" w:color="FFFFFF" w:themeColor="background1"/>
            </w:tcBorders>
            <w:shd w:val="clear" w:color="auto" w:fill="DBE5F1"/>
          </w:tcPr>
          <w:p w:rsidR="00A95BDA" w:rsidRPr="00E07B1B" w:rsidRDefault="00A95BDA" w:rsidP="00A95BDA">
            <w:pPr>
              <w:pStyle w:val="TableText"/>
              <w:keepNext/>
              <w:ind w:left="425" w:right="142" w:hanging="425"/>
            </w:pPr>
            <w:r w:rsidRPr="00E07B1B">
              <w:t>25</w:t>
            </w:r>
            <w:r>
              <w:tab/>
            </w:r>
            <w:r w:rsidRPr="00E07B1B">
              <w:t xml:space="preserve">Encourage and support women with gestational diabetes to exclusively breastfeed for a minimum of </w:t>
            </w:r>
            <w:r>
              <w:t>six</w:t>
            </w:r>
            <w:r w:rsidRPr="00E07B1B">
              <w:t xml:space="preserve"> months</w:t>
            </w:r>
            <w:r>
              <w:t>.</w:t>
            </w:r>
          </w:p>
        </w:tc>
        <w:tc>
          <w:tcPr>
            <w:tcW w:w="1984" w:type="dxa"/>
            <w:tcBorders>
              <w:top w:val="single" w:sz="4" w:space="0" w:color="auto"/>
              <w:bottom w:val="single" w:sz="4" w:space="0" w:color="FFFFFF" w:themeColor="background1"/>
            </w:tcBorders>
            <w:shd w:val="clear" w:color="auto" w:fill="DBE5F1"/>
          </w:tcPr>
          <w:p w:rsidR="00A95BDA" w:rsidRPr="00E07B1B" w:rsidRDefault="00A95BDA" w:rsidP="00A95BDA">
            <w:pPr>
              <w:pStyle w:val="TableText"/>
              <w:keepNext/>
              <w:jc w:val="center"/>
            </w:pPr>
            <w:r w:rsidRPr="00E07B1B">
              <w:t>GPP</w:t>
            </w:r>
          </w:p>
        </w:tc>
        <w:tc>
          <w:tcPr>
            <w:tcW w:w="1418" w:type="dxa"/>
            <w:tcBorders>
              <w:top w:val="single" w:sz="4" w:space="0" w:color="auto"/>
              <w:bottom w:val="single" w:sz="4" w:space="0" w:color="FFFFFF" w:themeColor="background1"/>
            </w:tcBorders>
            <w:shd w:val="clear" w:color="auto" w:fill="DBE5F1"/>
          </w:tcPr>
          <w:p w:rsidR="00A95BDA" w:rsidRPr="00E07B1B" w:rsidRDefault="00A95BDA" w:rsidP="00A95BDA">
            <w:pPr>
              <w:pStyle w:val="TableText"/>
              <w:keepNext/>
              <w:jc w:val="center"/>
            </w:pPr>
            <w:r w:rsidRPr="00E07B1B">
              <w:t>Chapter 8 (</w:t>
            </w:r>
            <w:r>
              <w:t xml:space="preserve">section </w:t>
            </w:r>
            <w:r w:rsidRPr="00E07B1B">
              <w:t>8.2)</w:t>
            </w:r>
          </w:p>
        </w:tc>
      </w:tr>
      <w:tr w:rsidR="00A95BDA" w:rsidRPr="00E07B1B" w:rsidTr="00A95BDA">
        <w:trPr>
          <w:cantSplit/>
        </w:trPr>
        <w:tc>
          <w:tcPr>
            <w:tcW w:w="5954"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keepNext/>
              <w:ind w:left="425" w:right="142" w:hanging="425"/>
            </w:pPr>
            <w:r w:rsidRPr="00E07B1B">
              <w:t>26</w:t>
            </w:r>
            <w:r>
              <w:tab/>
            </w:r>
            <w:r w:rsidRPr="00E07B1B">
              <w:t>Encourage women who are unable to breastfeed, or do not wish to breastfeed, to use donor breast milk before formula milk. The decision should be based on maternal preference.</w:t>
            </w:r>
          </w:p>
        </w:tc>
        <w:tc>
          <w:tcPr>
            <w:tcW w:w="1984"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keepNext/>
              <w:jc w:val="center"/>
            </w:pPr>
            <w:r w:rsidRPr="00E07B1B">
              <w:t>GPP</w:t>
            </w:r>
          </w:p>
        </w:tc>
        <w:tc>
          <w:tcPr>
            <w:tcW w:w="1418"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keepNext/>
              <w:jc w:val="center"/>
            </w:pPr>
            <w:r w:rsidRPr="00E07B1B">
              <w:t>Chapter 8 (</w:t>
            </w:r>
            <w:r>
              <w:t xml:space="preserve">section </w:t>
            </w:r>
            <w:r w:rsidRPr="00E07B1B">
              <w:t>8.2)</w:t>
            </w:r>
          </w:p>
        </w:tc>
      </w:tr>
      <w:tr w:rsidR="00A95BDA" w:rsidRPr="00E07B1B" w:rsidTr="00A95BDA">
        <w:trPr>
          <w:cantSplit/>
        </w:trPr>
        <w:tc>
          <w:tcPr>
            <w:tcW w:w="5954"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keepNext/>
              <w:ind w:left="425" w:right="142" w:hanging="425"/>
            </w:pPr>
            <w:r w:rsidRPr="00E07B1B">
              <w:t>27</w:t>
            </w:r>
            <w:r>
              <w:tab/>
            </w:r>
            <w:r w:rsidRPr="00E07B1B">
              <w:t>There is currently insufficient evidence to recommend the use of antenatal breast milk expression for women with gestational diabetes</w:t>
            </w:r>
            <w:r>
              <w:t>.</w:t>
            </w:r>
          </w:p>
        </w:tc>
        <w:tc>
          <w:tcPr>
            <w:tcW w:w="1984"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keepNext/>
              <w:jc w:val="center"/>
            </w:pPr>
            <w:r w:rsidRPr="00E07B1B">
              <w:t>GPP</w:t>
            </w:r>
          </w:p>
        </w:tc>
        <w:tc>
          <w:tcPr>
            <w:tcW w:w="1418"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keepNext/>
              <w:jc w:val="center"/>
            </w:pPr>
            <w:r w:rsidRPr="00E07B1B">
              <w:t>Chapter 8</w:t>
            </w:r>
          </w:p>
        </w:tc>
      </w:tr>
      <w:tr w:rsidR="00A95BDA" w:rsidRPr="00E07B1B" w:rsidTr="00A95BDA">
        <w:trPr>
          <w:cantSplit/>
        </w:trPr>
        <w:tc>
          <w:tcPr>
            <w:tcW w:w="5954"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ind w:left="425" w:right="142" w:hanging="425"/>
            </w:pPr>
            <w:r w:rsidRPr="00E07B1B">
              <w:t>28</w:t>
            </w:r>
            <w:r>
              <w:tab/>
            </w:r>
            <w:r w:rsidRPr="00E07B1B">
              <w:t>Discuss methods of contraception agreeable with the woman and her partner and prescribe contraceptives based on maternal risk factors for cardiovascular disease, in the early postnatal period</w:t>
            </w:r>
            <w:r>
              <w:t>.</w:t>
            </w:r>
          </w:p>
        </w:tc>
        <w:tc>
          <w:tcPr>
            <w:tcW w:w="1984"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jc w:val="center"/>
            </w:pPr>
            <w:r w:rsidRPr="00E07B1B">
              <w:t>GPP</w:t>
            </w:r>
          </w:p>
        </w:tc>
        <w:tc>
          <w:tcPr>
            <w:tcW w:w="1418"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jc w:val="center"/>
            </w:pPr>
            <w:r w:rsidRPr="00E07B1B">
              <w:t>Chapter 8 (</w:t>
            </w:r>
            <w:r>
              <w:t xml:space="preserve">section </w:t>
            </w:r>
            <w:r w:rsidRPr="00E07B1B">
              <w:t>8.3)</w:t>
            </w:r>
          </w:p>
        </w:tc>
      </w:tr>
      <w:tr w:rsidR="00A95BDA" w:rsidRPr="00E07B1B" w:rsidTr="00A95BDA">
        <w:trPr>
          <w:cantSplit/>
        </w:trPr>
        <w:tc>
          <w:tcPr>
            <w:tcW w:w="5954"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ind w:left="425" w:right="142" w:hanging="425"/>
            </w:pPr>
            <w:r w:rsidRPr="00E07B1B">
              <w:t>29</w:t>
            </w:r>
            <w:r>
              <w:tab/>
            </w:r>
            <w:r w:rsidRPr="00E07B1B">
              <w:t>Inform women diagnosed with gestational diabetes of the increased risk of gestational diabetes in a subsequent pregnancy and the increased risk for developing type 2 diabetes</w:t>
            </w:r>
            <w:r>
              <w:t>.</w:t>
            </w:r>
          </w:p>
        </w:tc>
        <w:tc>
          <w:tcPr>
            <w:tcW w:w="1984"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jc w:val="center"/>
            </w:pPr>
            <w:r w:rsidRPr="00E07B1B">
              <w:t>GPP</w:t>
            </w:r>
          </w:p>
        </w:tc>
        <w:tc>
          <w:tcPr>
            <w:tcW w:w="1418"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jc w:val="center"/>
            </w:pPr>
            <w:r w:rsidRPr="00E07B1B">
              <w:t>Chapter 8</w:t>
            </w:r>
          </w:p>
        </w:tc>
      </w:tr>
      <w:tr w:rsidR="00A95BDA" w:rsidRPr="00E07B1B" w:rsidTr="00A95BDA">
        <w:trPr>
          <w:cantSplit/>
        </w:trPr>
        <w:tc>
          <w:tcPr>
            <w:tcW w:w="5954" w:type="dxa"/>
            <w:tcBorders>
              <w:top w:val="single" w:sz="4" w:space="0" w:color="FFFFFF" w:themeColor="background1"/>
              <w:bottom w:val="single" w:sz="4" w:space="0" w:color="auto"/>
            </w:tcBorders>
            <w:shd w:val="clear" w:color="auto" w:fill="DBE5F1"/>
          </w:tcPr>
          <w:p w:rsidR="00A95BDA" w:rsidRPr="00E07B1B" w:rsidRDefault="00A95BDA" w:rsidP="00A95BDA">
            <w:pPr>
              <w:pStyle w:val="TableText"/>
              <w:ind w:left="425" w:right="142" w:hanging="425"/>
            </w:pPr>
            <w:r w:rsidRPr="00E07B1B">
              <w:t>30</w:t>
            </w:r>
            <w:r>
              <w:tab/>
            </w:r>
            <w:r w:rsidRPr="00E07B1B">
              <w:t xml:space="preserve">Inform women (in particular those who are obese or overweight) that they can reduce their risk of recurrent gestational diabetes or type 2 diabetes by maintaining a healthy, balanced diet and increasing physical activity </w:t>
            </w:r>
            <w:r>
              <w:t xml:space="preserve">at </w:t>
            </w:r>
            <w:r w:rsidRPr="00E07B1B">
              <w:t>moderate levels.</w:t>
            </w:r>
          </w:p>
        </w:tc>
        <w:tc>
          <w:tcPr>
            <w:tcW w:w="1984" w:type="dxa"/>
            <w:tcBorders>
              <w:top w:val="single" w:sz="4" w:space="0" w:color="FFFFFF" w:themeColor="background1"/>
              <w:bottom w:val="single" w:sz="4" w:space="0" w:color="auto"/>
            </w:tcBorders>
            <w:shd w:val="clear" w:color="auto" w:fill="DBE5F1"/>
          </w:tcPr>
          <w:p w:rsidR="00A95BDA" w:rsidRPr="00E07B1B" w:rsidRDefault="00A95BDA" w:rsidP="00A95BDA">
            <w:pPr>
              <w:pStyle w:val="TableText"/>
              <w:jc w:val="center"/>
            </w:pPr>
            <w:r w:rsidRPr="00E07B1B">
              <w:t>GPP</w:t>
            </w:r>
          </w:p>
        </w:tc>
        <w:tc>
          <w:tcPr>
            <w:tcW w:w="1418" w:type="dxa"/>
            <w:tcBorders>
              <w:top w:val="single" w:sz="4" w:space="0" w:color="FFFFFF" w:themeColor="background1"/>
              <w:bottom w:val="single" w:sz="4" w:space="0" w:color="auto"/>
            </w:tcBorders>
            <w:shd w:val="clear" w:color="auto" w:fill="DBE5F1"/>
          </w:tcPr>
          <w:p w:rsidR="00A95BDA" w:rsidRPr="00E07B1B" w:rsidRDefault="00A95BDA" w:rsidP="00A95BDA">
            <w:pPr>
              <w:pStyle w:val="TableText"/>
              <w:jc w:val="center"/>
            </w:pPr>
            <w:r w:rsidRPr="00E07B1B">
              <w:t>Chapter 8</w:t>
            </w:r>
            <w:r>
              <w:br/>
            </w:r>
            <w:r w:rsidRPr="00E07B1B">
              <w:t>(</w:t>
            </w:r>
            <w:r>
              <w:t xml:space="preserve">section </w:t>
            </w:r>
            <w:r w:rsidRPr="00E07B1B">
              <w:t>8.4)</w:t>
            </w:r>
          </w:p>
        </w:tc>
      </w:tr>
    </w:tbl>
    <w:p w:rsidR="00A95BDA" w:rsidRPr="00E07B1B" w:rsidRDefault="00A95BDA" w:rsidP="00A95BDA">
      <w:pPr>
        <w:rPr>
          <w:rFonts w:cs="Arial"/>
          <w:szCs w:val="24"/>
        </w:rPr>
      </w:pPr>
    </w:p>
    <w:p w:rsidR="00A95BDA" w:rsidRPr="00E07B1B" w:rsidRDefault="00A95BDA" w:rsidP="00D17509">
      <w:pPr>
        <w:pStyle w:val="Heading3"/>
        <w:ind w:left="0" w:firstLine="0"/>
      </w:pPr>
      <w:bookmarkStart w:id="23" w:name="_Toc403469265"/>
      <w:r w:rsidRPr="00E07B1B">
        <w:t>Postpartum screening</w:t>
      </w:r>
      <w:bookmarkEnd w:id="23"/>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5954"/>
        <w:gridCol w:w="1984"/>
        <w:gridCol w:w="1418"/>
      </w:tblGrid>
      <w:tr w:rsidR="00A95BDA" w:rsidRPr="00A95BDA" w:rsidTr="00A95BDA">
        <w:trPr>
          <w:cantSplit/>
        </w:trPr>
        <w:tc>
          <w:tcPr>
            <w:tcW w:w="5954" w:type="dxa"/>
            <w:tcBorders>
              <w:top w:val="single" w:sz="4" w:space="0" w:color="auto"/>
              <w:bottom w:val="single" w:sz="4" w:space="0" w:color="auto"/>
            </w:tcBorders>
            <w:shd w:val="clear" w:color="auto" w:fill="F7F9FB"/>
          </w:tcPr>
          <w:p w:rsidR="00A95BDA" w:rsidRPr="00A95BDA" w:rsidRDefault="00A95BDA" w:rsidP="00A95BDA">
            <w:pPr>
              <w:pStyle w:val="TableText"/>
              <w:keepNext/>
              <w:rPr>
                <w:b/>
              </w:rPr>
            </w:pPr>
            <w:r>
              <w:rPr>
                <w:b/>
              </w:rPr>
              <w:t>Recommendation</w:t>
            </w:r>
          </w:p>
        </w:tc>
        <w:tc>
          <w:tcPr>
            <w:tcW w:w="1984" w:type="dxa"/>
            <w:tcBorders>
              <w:top w:val="single" w:sz="4" w:space="0" w:color="auto"/>
              <w:bottom w:val="single" w:sz="4" w:space="0" w:color="auto"/>
            </w:tcBorders>
            <w:shd w:val="clear" w:color="auto" w:fill="F7F9FB"/>
          </w:tcPr>
          <w:p w:rsidR="00A95BDA" w:rsidRPr="00A95BDA" w:rsidRDefault="00A95BDA" w:rsidP="00A95BDA">
            <w:pPr>
              <w:pStyle w:val="TableText"/>
              <w:keepNext/>
              <w:jc w:val="center"/>
              <w:rPr>
                <w:b/>
              </w:rPr>
            </w:pPr>
            <w:r w:rsidRPr="00A95BDA">
              <w:rPr>
                <w:b/>
              </w:rPr>
              <w:t>Strength of recommendation or good practice point (GPP)</w:t>
            </w:r>
          </w:p>
        </w:tc>
        <w:tc>
          <w:tcPr>
            <w:tcW w:w="1418" w:type="dxa"/>
            <w:tcBorders>
              <w:top w:val="single" w:sz="4" w:space="0" w:color="auto"/>
              <w:bottom w:val="single" w:sz="4" w:space="0" w:color="auto"/>
            </w:tcBorders>
            <w:shd w:val="clear" w:color="auto" w:fill="F7F9FB"/>
          </w:tcPr>
          <w:p w:rsidR="00A95BDA" w:rsidRPr="00A95BDA" w:rsidRDefault="00A95BDA" w:rsidP="00A95BDA">
            <w:pPr>
              <w:pStyle w:val="TableText"/>
              <w:keepNext/>
              <w:jc w:val="center"/>
              <w:rPr>
                <w:b/>
              </w:rPr>
            </w:pPr>
            <w:r w:rsidRPr="00A95BDA">
              <w:rPr>
                <w:b/>
              </w:rPr>
              <w:t>Where to refer in guideline</w:t>
            </w:r>
          </w:p>
        </w:tc>
      </w:tr>
      <w:tr w:rsidR="00A95BDA" w:rsidRPr="00E07B1B" w:rsidTr="00A95BDA">
        <w:trPr>
          <w:cantSplit/>
        </w:trPr>
        <w:tc>
          <w:tcPr>
            <w:tcW w:w="5954" w:type="dxa"/>
            <w:tcBorders>
              <w:top w:val="single" w:sz="4" w:space="0" w:color="auto"/>
              <w:bottom w:val="single" w:sz="4" w:space="0" w:color="FFFFFF" w:themeColor="background1"/>
            </w:tcBorders>
            <w:shd w:val="clear" w:color="auto" w:fill="C6D9F1"/>
          </w:tcPr>
          <w:p w:rsidR="00A95BDA" w:rsidRPr="00E07B1B" w:rsidRDefault="00A95BDA" w:rsidP="00A95BDA">
            <w:pPr>
              <w:pStyle w:val="TableText"/>
              <w:keepNext/>
              <w:ind w:left="425" w:right="142" w:hanging="425"/>
            </w:pPr>
            <w:r w:rsidRPr="00E07B1B">
              <w:t>31</w:t>
            </w:r>
            <w:r>
              <w:tab/>
              <w:t>For</w:t>
            </w:r>
            <w:r w:rsidRPr="00E07B1B">
              <w:t xml:space="preserve"> all women diagnosed with gestational diabetes</w:t>
            </w:r>
            <w:r>
              <w:t>, their</w:t>
            </w:r>
            <w:r w:rsidRPr="00E07B1B">
              <w:t xml:space="preserve"> lead maternity carer or diabetes clinic in the postnatal review </w:t>
            </w:r>
            <w:r>
              <w:t>should provide</w:t>
            </w:r>
            <w:r w:rsidRPr="00E07B1B">
              <w:t xml:space="preserve"> printed information </w:t>
            </w:r>
            <w:r>
              <w:t xml:space="preserve">about </w:t>
            </w:r>
            <w:r w:rsidRPr="00E07B1B">
              <w:t xml:space="preserve">the importance of postpartum screening and the risk of developing type 2 </w:t>
            </w:r>
            <w:r>
              <w:t>diabetes.</w:t>
            </w:r>
          </w:p>
        </w:tc>
        <w:tc>
          <w:tcPr>
            <w:tcW w:w="1984" w:type="dxa"/>
            <w:tcBorders>
              <w:top w:val="single" w:sz="4" w:space="0" w:color="auto"/>
              <w:bottom w:val="single" w:sz="4" w:space="0" w:color="FFFFFF" w:themeColor="background1"/>
            </w:tcBorders>
            <w:shd w:val="clear" w:color="auto" w:fill="C6D9F1"/>
          </w:tcPr>
          <w:p w:rsidR="00A95BDA" w:rsidRPr="00E07B1B" w:rsidRDefault="00A95BDA" w:rsidP="00A95BDA">
            <w:pPr>
              <w:pStyle w:val="TableText"/>
              <w:keepNext/>
              <w:jc w:val="center"/>
            </w:pPr>
            <w:r w:rsidRPr="00E07B1B">
              <w:t>CONDITIONAL</w:t>
            </w:r>
          </w:p>
        </w:tc>
        <w:tc>
          <w:tcPr>
            <w:tcW w:w="1418" w:type="dxa"/>
            <w:tcBorders>
              <w:top w:val="single" w:sz="4" w:space="0" w:color="auto"/>
              <w:bottom w:val="single" w:sz="4" w:space="0" w:color="FFFFFF" w:themeColor="background1"/>
            </w:tcBorders>
            <w:shd w:val="clear" w:color="auto" w:fill="C6D9F1"/>
          </w:tcPr>
          <w:p w:rsidR="00A95BDA" w:rsidRPr="00E07B1B" w:rsidRDefault="00A95BDA" w:rsidP="00A95BDA">
            <w:pPr>
              <w:pStyle w:val="TableText"/>
              <w:keepNext/>
              <w:jc w:val="center"/>
            </w:pPr>
            <w:r w:rsidRPr="00E07B1B">
              <w:t>Chapter 9</w:t>
            </w:r>
          </w:p>
        </w:tc>
      </w:tr>
      <w:tr w:rsidR="00A95BDA" w:rsidRPr="00E07B1B" w:rsidTr="00A95BDA">
        <w:trPr>
          <w:cantSplit/>
        </w:trPr>
        <w:tc>
          <w:tcPr>
            <w:tcW w:w="5954" w:type="dxa"/>
            <w:tcBorders>
              <w:top w:val="single" w:sz="4" w:space="0" w:color="FFFFFF" w:themeColor="background1"/>
              <w:bottom w:val="single" w:sz="4" w:space="0" w:color="FFFFFF" w:themeColor="background1"/>
            </w:tcBorders>
            <w:shd w:val="clear" w:color="auto" w:fill="C6D9F1"/>
          </w:tcPr>
          <w:p w:rsidR="00A95BDA" w:rsidRPr="00E07B1B" w:rsidRDefault="00A95BDA" w:rsidP="00A95BDA">
            <w:pPr>
              <w:pStyle w:val="TableText"/>
              <w:keepNext/>
              <w:ind w:left="425" w:right="142" w:hanging="425"/>
            </w:pPr>
            <w:r w:rsidRPr="00E07B1B">
              <w:t>32</w:t>
            </w:r>
            <w:r>
              <w:tab/>
            </w:r>
            <w:r w:rsidRPr="00E07B1B">
              <w:t xml:space="preserve">Remind all women with gestational diabetes and their primary care provider (at the time of hospital discharge) of the need to participate in screening at </w:t>
            </w:r>
            <w:r>
              <w:t>three</w:t>
            </w:r>
            <w:r w:rsidRPr="00E07B1B">
              <w:t xml:space="preserve"> months after birth</w:t>
            </w:r>
            <w:r>
              <w:t xml:space="preserve"> and annually thereafter</w:t>
            </w:r>
            <w:r w:rsidRPr="00E07B1B">
              <w:t>.</w:t>
            </w:r>
          </w:p>
        </w:tc>
        <w:tc>
          <w:tcPr>
            <w:tcW w:w="1984" w:type="dxa"/>
            <w:tcBorders>
              <w:top w:val="single" w:sz="4" w:space="0" w:color="FFFFFF" w:themeColor="background1"/>
              <w:bottom w:val="single" w:sz="4" w:space="0" w:color="FFFFFF" w:themeColor="background1"/>
            </w:tcBorders>
            <w:shd w:val="clear" w:color="auto" w:fill="C6D9F1"/>
          </w:tcPr>
          <w:p w:rsidR="00A95BDA" w:rsidRPr="00E07B1B" w:rsidRDefault="00A95BDA" w:rsidP="00A95BDA">
            <w:pPr>
              <w:pStyle w:val="TableText"/>
              <w:keepNext/>
              <w:jc w:val="center"/>
            </w:pPr>
            <w:r w:rsidRPr="00E07B1B">
              <w:t>CONDITIONAL</w:t>
            </w:r>
          </w:p>
        </w:tc>
        <w:tc>
          <w:tcPr>
            <w:tcW w:w="1418" w:type="dxa"/>
            <w:tcBorders>
              <w:top w:val="single" w:sz="4" w:space="0" w:color="FFFFFF" w:themeColor="background1"/>
              <w:bottom w:val="single" w:sz="4" w:space="0" w:color="FFFFFF" w:themeColor="background1"/>
            </w:tcBorders>
            <w:shd w:val="clear" w:color="auto" w:fill="C6D9F1"/>
          </w:tcPr>
          <w:p w:rsidR="00A95BDA" w:rsidRPr="00E07B1B" w:rsidRDefault="00A95BDA" w:rsidP="00A95BDA">
            <w:pPr>
              <w:pStyle w:val="TableText"/>
              <w:keepNext/>
              <w:jc w:val="center"/>
            </w:pPr>
            <w:r w:rsidRPr="00E07B1B">
              <w:t>Chapter 9</w:t>
            </w:r>
          </w:p>
        </w:tc>
      </w:tr>
      <w:tr w:rsidR="00A95BDA" w:rsidRPr="00E07B1B" w:rsidTr="00A95BDA">
        <w:trPr>
          <w:cantSplit/>
        </w:trPr>
        <w:tc>
          <w:tcPr>
            <w:tcW w:w="5954" w:type="dxa"/>
            <w:tcBorders>
              <w:top w:val="single" w:sz="4" w:space="0" w:color="FFFFFF" w:themeColor="background1"/>
              <w:bottom w:val="single" w:sz="4" w:space="0" w:color="FFFFFF" w:themeColor="background1"/>
            </w:tcBorders>
            <w:shd w:val="clear" w:color="auto" w:fill="DBE5F1"/>
          </w:tcPr>
          <w:p w:rsidR="00A95BDA" w:rsidRDefault="00A95BDA" w:rsidP="00A95BDA">
            <w:pPr>
              <w:pStyle w:val="TableText"/>
              <w:ind w:left="425" w:right="142" w:hanging="425"/>
            </w:pPr>
            <w:r w:rsidRPr="00E07B1B">
              <w:t>33</w:t>
            </w:r>
            <w:r>
              <w:tab/>
            </w:r>
            <w:r w:rsidRPr="00E07B1B">
              <w:t xml:space="preserve">The primary care provider </w:t>
            </w:r>
            <w:r>
              <w:t xml:space="preserve">of women with gestational diabetes </w:t>
            </w:r>
            <w:r w:rsidRPr="00E07B1B">
              <w:t xml:space="preserve">should offer screening for type 2 diabetes at </w:t>
            </w:r>
            <w:r>
              <w:t>three</w:t>
            </w:r>
            <w:r w:rsidRPr="00E07B1B">
              <w:t xml:space="preserve"> months postpartum using HbA1c</w:t>
            </w:r>
            <w:r>
              <w:t>. If the value is</w:t>
            </w:r>
            <w:r w:rsidRPr="00E07B1B">
              <w:t>:</w:t>
            </w:r>
          </w:p>
          <w:p w:rsidR="00A95BDA" w:rsidRDefault="00A95BDA" w:rsidP="00A95BDA">
            <w:pPr>
              <w:pStyle w:val="TableBullet"/>
              <w:ind w:left="709" w:right="142"/>
            </w:pPr>
            <w:r w:rsidRPr="00E07B1B">
              <w:t>≤ 40 mmol/mol</w:t>
            </w:r>
            <w:r>
              <w:t>,</w:t>
            </w:r>
            <w:r w:rsidRPr="00E07B1B">
              <w:t xml:space="preserve"> the result is normal. Repeat the test in one year</w:t>
            </w:r>
          </w:p>
          <w:p w:rsidR="00A95BDA" w:rsidRPr="00E07B1B" w:rsidRDefault="00A95BDA" w:rsidP="00A95BDA">
            <w:pPr>
              <w:pStyle w:val="TableBullet"/>
              <w:ind w:left="709" w:right="142"/>
            </w:pPr>
            <w:r w:rsidRPr="00E07B1B">
              <w:t>41</w:t>
            </w:r>
            <w:r>
              <w:t>–</w:t>
            </w:r>
            <w:r w:rsidRPr="00E07B1B">
              <w:t>49 mmol/mol (prediabetes or impaired fasting glucose)</w:t>
            </w:r>
            <w:r>
              <w:t>, a</w:t>
            </w:r>
            <w:r w:rsidRPr="00E07B1B">
              <w:t>dvise on diet and lifestyle modification. If</w:t>
            </w:r>
            <w:r>
              <w:t xml:space="preserve"> the woman is</w:t>
            </w:r>
            <w:r w:rsidRPr="00E07B1B">
              <w:t xml:space="preserve"> over 35 years</w:t>
            </w:r>
            <w:r>
              <w:t>,</w:t>
            </w:r>
            <w:r w:rsidRPr="00E07B1B">
              <w:t xml:space="preserve"> a full cardiovascular risk assessment and appropriate management </w:t>
            </w:r>
            <w:r>
              <w:t>are</w:t>
            </w:r>
            <w:r w:rsidRPr="00E07B1B">
              <w:t xml:space="preserve"> indicated. Repeat test after </w:t>
            </w:r>
            <w:r>
              <w:t>six</w:t>
            </w:r>
            <w:r w:rsidRPr="00E07B1B">
              <w:t xml:space="preserve"> months</w:t>
            </w:r>
          </w:p>
          <w:p w:rsidR="00A95BDA" w:rsidRPr="00877D81" w:rsidRDefault="00A95BDA" w:rsidP="00A95BDA">
            <w:pPr>
              <w:pStyle w:val="TableBullet"/>
              <w:ind w:left="709" w:right="142"/>
            </w:pPr>
            <w:r w:rsidRPr="00E07B1B">
              <w:t>≥</w:t>
            </w:r>
            <w:r>
              <w:t xml:space="preserve"> </w:t>
            </w:r>
            <w:r w:rsidRPr="00E07B1B">
              <w:t xml:space="preserve">50 mmol/mol and symptomatic </w:t>
            </w:r>
            <w:r>
              <w:t>‘</w:t>
            </w:r>
            <w:r w:rsidRPr="00E07B1B">
              <w:t>diabetes</w:t>
            </w:r>
            <w:r>
              <w:t>’,</w:t>
            </w:r>
            <w:r w:rsidRPr="00E07B1B">
              <w:t xml:space="preserve"> </w:t>
            </w:r>
            <w:r>
              <w:t>r</w:t>
            </w:r>
            <w:r w:rsidRPr="00E07B1B">
              <w:t>efer to medical specialist</w:t>
            </w:r>
          </w:p>
          <w:p w:rsidR="00A95BDA" w:rsidRPr="00E07B1B" w:rsidRDefault="00A95BDA" w:rsidP="00A95BDA">
            <w:pPr>
              <w:pStyle w:val="TableBullet"/>
              <w:ind w:left="709" w:right="142"/>
            </w:pPr>
            <w:r w:rsidRPr="00E07B1B">
              <w:t>≥</w:t>
            </w:r>
            <w:r>
              <w:t xml:space="preserve"> </w:t>
            </w:r>
            <w:r w:rsidRPr="00E07B1B">
              <w:t>50 mmol/mol and asymptomatic</w:t>
            </w:r>
            <w:r>
              <w:t>,</w:t>
            </w:r>
            <w:r w:rsidRPr="00E07B1B">
              <w:t xml:space="preserve"> repeat HbA1c or fasting plasma glucose</w:t>
            </w:r>
            <w:r>
              <w:t>.</w:t>
            </w:r>
            <w:r w:rsidRPr="00E07B1B">
              <w:t>*</w:t>
            </w:r>
          </w:p>
        </w:tc>
        <w:tc>
          <w:tcPr>
            <w:tcW w:w="1984"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jc w:val="center"/>
            </w:pPr>
            <w:r w:rsidRPr="00E07B1B">
              <w:t>GPP</w:t>
            </w:r>
          </w:p>
        </w:tc>
        <w:tc>
          <w:tcPr>
            <w:tcW w:w="1418" w:type="dxa"/>
            <w:tcBorders>
              <w:top w:val="single" w:sz="4" w:space="0" w:color="FFFFFF" w:themeColor="background1"/>
              <w:bottom w:val="single" w:sz="4" w:space="0" w:color="FFFFFF" w:themeColor="background1"/>
            </w:tcBorders>
            <w:shd w:val="clear" w:color="auto" w:fill="DBE5F1"/>
          </w:tcPr>
          <w:p w:rsidR="00A95BDA" w:rsidRPr="00E07B1B" w:rsidRDefault="00A95BDA" w:rsidP="00A95BDA">
            <w:pPr>
              <w:pStyle w:val="TableText"/>
              <w:jc w:val="center"/>
            </w:pPr>
            <w:r w:rsidRPr="00E07B1B">
              <w:t>Chapter 9 (section 9.3)</w:t>
            </w:r>
          </w:p>
        </w:tc>
      </w:tr>
      <w:tr w:rsidR="00A95BDA" w:rsidRPr="00E07B1B" w:rsidTr="00A95BDA">
        <w:trPr>
          <w:cantSplit/>
        </w:trPr>
        <w:tc>
          <w:tcPr>
            <w:tcW w:w="5954" w:type="dxa"/>
            <w:tcBorders>
              <w:top w:val="single" w:sz="4" w:space="0" w:color="FFFFFF" w:themeColor="background1"/>
              <w:bottom w:val="single" w:sz="4" w:space="0" w:color="auto"/>
            </w:tcBorders>
            <w:shd w:val="clear" w:color="auto" w:fill="DBE5F1"/>
          </w:tcPr>
          <w:p w:rsidR="00A95BDA" w:rsidRPr="00E07B1B" w:rsidRDefault="00A95BDA" w:rsidP="00A95BDA">
            <w:pPr>
              <w:pStyle w:val="TableText"/>
              <w:ind w:left="425" w:right="142" w:hanging="425"/>
            </w:pPr>
            <w:r w:rsidRPr="00E07B1B">
              <w:t>34</w:t>
            </w:r>
            <w:r>
              <w:tab/>
            </w:r>
            <w:r w:rsidRPr="00E07B1B">
              <w:t xml:space="preserve">The </w:t>
            </w:r>
            <w:r>
              <w:t>primary health organisation</w:t>
            </w:r>
            <w:r w:rsidRPr="00E07B1B">
              <w:t xml:space="preserve"> performance programme should be used to encourage primary care practitioners to record postpartum gestational diabetes screening</w:t>
            </w:r>
            <w:r>
              <w:t>.</w:t>
            </w:r>
          </w:p>
        </w:tc>
        <w:tc>
          <w:tcPr>
            <w:tcW w:w="1984" w:type="dxa"/>
            <w:tcBorders>
              <w:top w:val="single" w:sz="4" w:space="0" w:color="FFFFFF" w:themeColor="background1"/>
              <w:bottom w:val="single" w:sz="4" w:space="0" w:color="auto"/>
            </w:tcBorders>
            <w:shd w:val="clear" w:color="auto" w:fill="DBE5F1"/>
          </w:tcPr>
          <w:p w:rsidR="00A95BDA" w:rsidRPr="00E07B1B" w:rsidRDefault="00A95BDA" w:rsidP="00A95BDA">
            <w:pPr>
              <w:pStyle w:val="TableText"/>
              <w:jc w:val="center"/>
            </w:pPr>
            <w:r w:rsidRPr="00E07B1B">
              <w:t>GPP</w:t>
            </w:r>
          </w:p>
        </w:tc>
        <w:tc>
          <w:tcPr>
            <w:tcW w:w="1418" w:type="dxa"/>
            <w:tcBorders>
              <w:top w:val="single" w:sz="4" w:space="0" w:color="FFFFFF" w:themeColor="background1"/>
              <w:bottom w:val="single" w:sz="4" w:space="0" w:color="auto"/>
            </w:tcBorders>
            <w:shd w:val="clear" w:color="auto" w:fill="DBE5F1"/>
          </w:tcPr>
          <w:p w:rsidR="00A95BDA" w:rsidRPr="00E07B1B" w:rsidRDefault="00A95BDA" w:rsidP="00A95BDA">
            <w:pPr>
              <w:pStyle w:val="TableText"/>
              <w:jc w:val="center"/>
            </w:pPr>
            <w:r w:rsidRPr="00E07B1B">
              <w:t>Chapter 9</w:t>
            </w:r>
          </w:p>
        </w:tc>
      </w:tr>
    </w:tbl>
    <w:p w:rsidR="00A95BDA" w:rsidRPr="0067150A" w:rsidRDefault="00A95BDA" w:rsidP="00A95BDA">
      <w:pPr>
        <w:pStyle w:val="Note"/>
      </w:pPr>
      <w:r>
        <w:t xml:space="preserve">Note: </w:t>
      </w:r>
      <w:r w:rsidRPr="0067150A">
        <w:t>*</w:t>
      </w:r>
      <w:r>
        <w:t xml:space="preserve"> </w:t>
      </w:r>
      <w:r w:rsidRPr="0067150A">
        <w:t xml:space="preserve">Two results above the diagnostic cut-offs are required for diagnosis of diabetes if </w:t>
      </w:r>
      <w:r>
        <w:t xml:space="preserve">the woman is </w:t>
      </w:r>
      <w:r w:rsidRPr="0067150A">
        <w:t>asymptomatic</w:t>
      </w:r>
      <w:r>
        <w:t>.</w:t>
      </w:r>
    </w:p>
    <w:p w:rsidR="00A95BDA" w:rsidRPr="00E07B1B" w:rsidRDefault="00A95BDA" w:rsidP="00A95BDA"/>
    <w:p w:rsidR="00A95BDA" w:rsidRPr="00E07B1B" w:rsidRDefault="00A95BDA" w:rsidP="00D17509">
      <w:pPr>
        <w:pStyle w:val="Heading3"/>
        <w:ind w:left="0" w:firstLine="0"/>
      </w:pPr>
      <w:bookmarkStart w:id="24" w:name="_Toc403469266"/>
      <w:r w:rsidRPr="00E07B1B">
        <w:t>Gestational diabetes and risk of type 2 diabetes</w:t>
      </w:r>
      <w:bookmarkEnd w:id="24"/>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5812"/>
        <w:gridCol w:w="2268"/>
        <w:gridCol w:w="1276"/>
      </w:tblGrid>
      <w:tr w:rsidR="0031600D" w:rsidRPr="0031600D" w:rsidTr="0031600D">
        <w:trPr>
          <w:cantSplit/>
        </w:trPr>
        <w:tc>
          <w:tcPr>
            <w:tcW w:w="5812" w:type="dxa"/>
            <w:tcBorders>
              <w:top w:val="single" w:sz="4" w:space="0" w:color="auto"/>
              <w:bottom w:val="single" w:sz="4" w:space="0" w:color="auto"/>
            </w:tcBorders>
            <w:shd w:val="clear" w:color="auto" w:fill="F7F9FB"/>
          </w:tcPr>
          <w:p w:rsidR="00A95BDA" w:rsidRPr="0031600D" w:rsidRDefault="0031600D" w:rsidP="0031600D">
            <w:pPr>
              <w:pStyle w:val="TableText"/>
              <w:keepNext/>
              <w:rPr>
                <w:b/>
              </w:rPr>
            </w:pPr>
            <w:r w:rsidRPr="0031600D">
              <w:rPr>
                <w:b/>
              </w:rPr>
              <w:t>Recommendation</w:t>
            </w:r>
          </w:p>
        </w:tc>
        <w:tc>
          <w:tcPr>
            <w:tcW w:w="2268" w:type="dxa"/>
            <w:tcBorders>
              <w:top w:val="single" w:sz="4" w:space="0" w:color="auto"/>
              <w:bottom w:val="single" w:sz="4" w:space="0" w:color="auto"/>
            </w:tcBorders>
            <w:shd w:val="clear" w:color="auto" w:fill="F7F9FB"/>
          </w:tcPr>
          <w:p w:rsidR="00A95BDA" w:rsidRPr="0031600D" w:rsidRDefault="00A95BDA" w:rsidP="0031600D">
            <w:pPr>
              <w:pStyle w:val="TableText"/>
              <w:keepNext/>
              <w:jc w:val="center"/>
              <w:rPr>
                <w:b/>
              </w:rPr>
            </w:pPr>
            <w:r w:rsidRPr="0031600D">
              <w:rPr>
                <w:b/>
              </w:rPr>
              <w:t>Strength of recommendation or good practice point (GPP)</w:t>
            </w:r>
          </w:p>
        </w:tc>
        <w:tc>
          <w:tcPr>
            <w:tcW w:w="1276" w:type="dxa"/>
            <w:tcBorders>
              <w:top w:val="single" w:sz="4" w:space="0" w:color="auto"/>
              <w:bottom w:val="single" w:sz="4" w:space="0" w:color="auto"/>
            </w:tcBorders>
            <w:shd w:val="clear" w:color="auto" w:fill="F7F9FB"/>
          </w:tcPr>
          <w:p w:rsidR="00A95BDA" w:rsidRPr="0031600D" w:rsidRDefault="00A95BDA" w:rsidP="0031600D">
            <w:pPr>
              <w:pStyle w:val="TableText"/>
              <w:keepNext/>
              <w:jc w:val="center"/>
              <w:rPr>
                <w:b/>
              </w:rPr>
            </w:pPr>
            <w:r w:rsidRPr="0031600D">
              <w:rPr>
                <w:b/>
              </w:rPr>
              <w:t>Where to refer in guideline</w:t>
            </w:r>
          </w:p>
        </w:tc>
      </w:tr>
      <w:tr w:rsidR="0031600D" w:rsidRPr="00E07B1B" w:rsidTr="0031600D">
        <w:trPr>
          <w:cantSplit/>
        </w:trPr>
        <w:tc>
          <w:tcPr>
            <w:tcW w:w="5812" w:type="dxa"/>
            <w:tcBorders>
              <w:top w:val="single" w:sz="4" w:space="0" w:color="auto"/>
              <w:bottom w:val="nil"/>
            </w:tcBorders>
            <w:shd w:val="clear" w:color="auto" w:fill="C6D9F1"/>
          </w:tcPr>
          <w:p w:rsidR="00A95BDA" w:rsidRPr="00E07B1B" w:rsidRDefault="00A95BDA" w:rsidP="0031600D">
            <w:pPr>
              <w:pStyle w:val="TableText"/>
              <w:keepNext/>
              <w:ind w:left="425" w:right="142" w:hanging="425"/>
              <w:rPr>
                <w:lang w:eastAsia="ja-JP"/>
              </w:rPr>
            </w:pPr>
            <w:r w:rsidRPr="00E07B1B">
              <w:t>35</w:t>
            </w:r>
            <w:r w:rsidR="0031600D">
              <w:tab/>
            </w:r>
            <w:r>
              <w:t>Consider m</w:t>
            </w:r>
            <w:r w:rsidRPr="00E07B1B">
              <w:t>etformin in women (with previous gestational diabetes) who have HbA1c 41</w:t>
            </w:r>
            <w:r>
              <w:t>–</w:t>
            </w:r>
            <w:r w:rsidRPr="00E07B1B">
              <w:t>49 mmol/mol and who are not successful with lifestyle modification (in particular those planning another pregnancy)</w:t>
            </w:r>
            <w:r>
              <w:t>.</w:t>
            </w:r>
          </w:p>
        </w:tc>
        <w:tc>
          <w:tcPr>
            <w:tcW w:w="2268" w:type="dxa"/>
            <w:tcBorders>
              <w:top w:val="single" w:sz="4" w:space="0" w:color="auto"/>
              <w:bottom w:val="nil"/>
            </w:tcBorders>
            <w:shd w:val="clear" w:color="auto" w:fill="C6D9F1"/>
          </w:tcPr>
          <w:p w:rsidR="00A95BDA" w:rsidRPr="00E07B1B" w:rsidRDefault="00A95BDA" w:rsidP="0031600D">
            <w:pPr>
              <w:pStyle w:val="TableText"/>
              <w:keepNext/>
              <w:jc w:val="center"/>
            </w:pPr>
            <w:r w:rsidRPr="00E07B1B">
              <w:t>CONDITIONAL</w:t>
            </w:r>
          </w:p>
        </w:tc>
        <w:tc>
          <w:tcPr>
            <w:tcW w:w="1276" w:type="dxa"/>
            <w:tcBorders>
              <w:top w:val="single" w:sz="4" w:space="0" w:color="auto"/>
              <w:bottom w:val="nil"/>
            </w:tcBorders>
            <w:shd w:val="clear" w:color="auto" w:fill="C6D9F1"/>
          </w:tcPr>
          <w:p w:rsidR="00A95BDA" w:rsidRPr="00E07B1B" w:rsidRDefault="00A95BDA" w:rsidP="0031600D">
            <w:pPr>
              <w:pStyle w:val="TableText"/>
              <w:keepNext/>
              <w:jc w:val="center"/>
            </w:pPr>
            <w:r w:rsidRPr="00E07B1B">
              <w:t>Chapter 10</w:t>
            </w:r>
          </w:p>
        </w:tc>
      </w:tr>
      <w:tr w:rsidR="0031600D" w:rsidRPr="00E07B1B" w:rsidTr="0031600D">
        <w:trPr>
          <w:cantSplit/>
        </w:trPr>
        <w:tc>
          <w:tcPr>
            <w:tcW w:w="5812" w:type="dxa"/>
            <w:tcBorders>
              <w:top w:val="nil"/>
              <w:bottom w:val="nil"/>
            </w:tcBorders>
            <w:shd w:val="clear" w:color="auto" w:fill="C6D9F1"/>
          </w:tcPr>
          <w:p w:rsidR="00A95BDA" w:rsidRPr="00E07B1B" w:rsidRDefault="00A95BDA" w:rsidP="0031600D">
            <w:pPr>
              <w:pStyle w:val="TableText"/>
              <w:keepNext/>
              <w:ind w:left="425" w:right="142" w:hanging="425"/>
            </w:pPr>
            <w:r w:rsidRPr="00E07B1B">
              <w:t>36</w:t>
            </w:r>
            <w:r w:rsidR="0031600D">
              <w:tab/>
            </w:r>
            <w:r w:rsidRPr="00E07B1B">
              <w:t>Provide women diagnosed with gestational diabetes with lifestyle and dietary advice and advise on</w:t>
            </w:r>
            <w:r>
              <w:t xml:space="preserve"> how to maintain a</w:t>
            </w:r>
            <w:r w:rsidRPr="00E07B1B">
              <w:t xml:space="preserve"> healthy weight</w:t>
            </w:r>
            <w:r>
              <w:t>.</w:t>
            </w:r>
          </w:p>
        </w:tc>
        <w:tc>
          <w:tcPr>
            <w:tcW w:w="2268" w:type="dxa"/>
            <w:tcBorders>
              <w:top w:val="nil"/>
              <w:bottom w:val="nil"/>
            </w:tcBorders>
            <w:shd w:val="clear" w:color="auto" w:fill="C6D9F1"/>
          </w:tcPr>
          <w:p w:rsidR="00A95BDA" w:rsidRPr="00E07B1B" w:rsidRDefault="00A95BDA" w:rsidP="0031600D">
            <w:pPr>
              <w:pStyle w:val="TableText"/>
              <w:keepNext/>
              <w:jc w:val="center"/>
            </w:pPr>
            <w:r w:rsidRPr="00E07B1B">
              <w:t>CONDITIONAL</w:t>
            </w:r>
          </w:p>
        </w:tc>
        <w:tc>
          <w:tcPr>
            <w:tcW w:w="1276" w:type="dxa"/>
            <w:tcBorders>
              <w:top w:val="nil"/>
              <w:bottom w:val="nil"/>
            </w:tcBorders>
            <w:shd w:val="clear" w:color="auto" w:fill="C6D9F1"/>
          </w:tcPr>
          <w:p w:rsidR="00A95BDA" w:rsidRPr="00E07B1B" w:rsidRDefault="00A95BDA" w:rsidP="0031600D">
            <w:pPr>
              <w:pStyle w:val="TableText"/>
              <w:keepNext/>
              <w:jc w:val="center"/>
            </w:pPr>
            <w:r w:rsidRPr="00E07B1B">
              <w:t>Chapter 10</w:t>
            </w:r>
          </w:p>
        </w:tc>
      </w:tr>
      <w:tr w:rsidR="00A95BDA" w:rsidRPr="00E07B1B" w:rsidTr="0031600D">
        <w:trPr>
          <w:cantSplit/>
        </w:trPr>
        <w:tc>
          <w:tcPr>
            <w:tcW w:w="5812" w:type="dxa"/>
            <w:tcBorders>
              <w:top w:val="nil"/>
              <w:bottom w:val="nil"/>
            </w:tcBorders>
            <w:shd w:val="clear" w:color="auto" w:fill="DBE5F1"/>
          </w:tcPr>
          <w:p w:rsidR="00A95BDA" w:rsidRPr="00E07B1B" w:rsidRDefault="00A95BDA" w:rsidP="00D17509">
            <w:pPr>
              <w:pStyle w:val="TableText"/>
              <w:keepNext/>
              <w:ind w:left="425" w:right="142" w:hanging="425"/>
            </w:pPr>
            <w:r w:rsidRPr="00E07B1B">
              <w:t>37</w:t>
            </w:r>
            <w:r w:rsidR="0031600D">
              <w:tab/>
            </w:r>
            <w:r w:rsidRPr="00E07B1B">
              <w:t>Inform women with a previous diagnosis of gestational diabetes and/or prediabetes of the risk of gestational diabetes and offer early pre-pregnancy screening for diabetes when</w:t>
            </w:r>
            <w:r>
              <w:t xml:space="preserve"> they are</w:t>
            </w:r>
            <w:r w:rsidRPr="00E07B1B">
              <w:t xml:space="preserve"> planning future pregnancies</w:t>
            </w:r>
            <w:r>
              <w:t>.</w:t>
            </w:r>
          </w:p>
        </w:tc>
        <w:tc>
          <w:tcPr>
            <w:tcW w:w="2268" w:type="dxa"/>
            <w:tcBorders>
              <w:top w:val="nil"/>
              <w:bottom w:val="nil"/>
            </w:tcBorders>
            <w:shd w:val="clear" w:color="auto" w:fill="DBE5F1"/>
          </w:tcPr>
          <w:p w:rsidR="00A95BDA" w:rsidRPr="00E07B1B" w:rsidRDefault="00A95BDA" w:rsidP="00D17509">
            <w:pPr>
              <w:pStyle w:val="TableText"/>
              <w:keepNext/>
              <w:jc w:val="center"/>
            </w:pPr>
            <w:r w:rsidRPr="00E07B1B">
              <w:t>GPP</w:t>
            </w:r>
          </w:p>
        </w:tc>
        <w:tc>
          <w:tcPr>
            <w:tcW w:w="1276" w:type="dxa"/>
            <w:tcBorders>
              <w:top w:val="nil"/>
              <w:bottom w:val="nil"/>
            </w:tcBorders>
            <w:shd w:val="clear" w:color="auto" w:fill="DBE5F1"/>
          </w:tcPr>
          <w:p w:rsidR="00A95BDA" w:rsidRPr="00E07B1B" w:rsidRDefault="00A95BDA" w:rsidP="00D17509">
            <w:pPr>
              <w:pStyle w:val="TableText"/>
              <w:keepNext/>
              <w:jc w:val="center"/>
            </w:pPr>
            <w:r w:rsidRPr="00E07B1B">
              <w:t>Chapter 10</w:t>
            </w:r>
          </w:p>
        </w:tc>
      </w:tr>
      <w:tr w:rsidR="00A95BDA" w:rsidRPr="00E07B1B" w:rsidTr="0031600D">
        <w:trPr>
          <w:cantSplit/>
        </w:trPr>
        <w:tc>
          <w:tcPr>
            <w:tcW w:w="9356" w:type="dxa"/>
            <w:gridSpan w:val="3"/>
            <w:tcBorders>
              <w:top w:val="nil"/>
              <w:bottom w:val="single" w:sz="4" w:space="0" w:color="auto"/>
            </w:tcBorders>
            <w:shd w:val="clear" w:color="auto" w:fill="E5DFEC"/>
          </w:tcPr>
          <w:p w:rsidR="00A95BDA" w:rsidRPr="00E07B1B" w:rsidRDefault="00A95BDA" w:rsidP="0031600D">
            <w:pPr>
              <w:pStyle w:val="TableText"/>
            </w:pPr>
            <w:r w:rsidRPr="00D82046">
              <w:rPr>
                <w:b/>
              </w:rPr>
              <w:t>Research recommendation</w:t>
            </w:r>
            <w:r w:rsidRPr="00E07B1B">
              <w:t>: Randomised controlled trials that evaluate the outcomes of lifestyle versus pharmacological interventions to prevent type 2 diabetes in women with a previous history of gestational diabetes</w:t>
            </w:r>
            <w:r>
              <w:t>.</w:t>
            </w:r>
          </w:p>
        </w:tc>
      </w:tr>
    </w:tbl>
    <w:p w:rsidR="00A95BDA" w:rsidRPr="00AE558F" w:rsidRDefault="00A95BDA" w:rsidP="007A226C"/>
    <w:p w:rsidR="00C86248" w:rsidRDefault="00C86248" w:rsidP="0086388B"/>
    <w:p w:rsidR="00C86248" w:rsidRDefault="00C86248">
      <w:pPr>
        <w:sectPr w:rsidR="00C86248" w:rsidSect="00A95BDA">
          <w:footerReference w:type="even" r:id="rId30"/>
          <w:pgSz w:w="11907" w:h="16840" w:code="9"/>
          <w:pgMar w:top="851" w:right="1134" w:bottom="1418" w:left="1134" w:header="284" w:footer="567" w:gutter="284"/>
          <w:pgNumType w:fmt="lowerRoman"/>
          <w:cols w:space="720"/>
        </w:sectPr>
      </w:pPr>
    </w:p>
    <w:p w:rsidR="0068074A" w:rsidRDefault="0025490C" w:rsidP="00EF023B">
      <w:pPr>
        <w:pStyle w:val="Heading1"/>
      </w:pPr>
      <w:bookmarkStart w:id="25" w:name="_Toc363207272"/>
      <w:bookmarkStart w:id="26" w:name="_Toc402873503"/>
      <w:bookmarkStart w:id="27" w:name="_Toc403469602"/>
      <w:r w:rsidRPr="00E07B1B">
        <w:t>Chapter 1</w:t>
      </w:r>
      <w:r>
        <w:t>:</w:t>
      </w:r>
      <w:r w:rsidRPr="00E07B1B">
        <w:t xml:space="preserve"> Introduction</w:t>
      </w:r>
      <w:bookmarkEnd w:id="25"/>
      <w:bookmarkEnd w:id="26"/>
      <w:bookmarkEnd w:id="27"/>
    </w:p>
    <w:p w:rsidR="0025490C" w:rsidRDefault="0025490C" w:rsidP="00EF023B">
      <w:r w:rsidRPr="00E07B1B">
        <w:t>The World Health Organi</w:t>
      </w:r>
      <w:r>
        <w:t>z</w:t>
      </w:r>
      <w:r w:rsidRPr="00E07B1B">
        <w:t xml:space="preserve">ation </w:t>
      </w:r>
      <w:r>
        <w:t xml:space="preserve">(WHO) </w:t>
      </w:r>
      <w:r w:rsidRPr="00E07B1B">
        <w:t xml:space="preserve">defines gestational diabetes as </w:t>
      </w:r>
      <w:r w:rsidR="0068074A">
        <w:t>‘</w:t>
      </w:r>
      <w:r w:rsidRPr="00E07B1B">
        <w:t>carbohydrate intolerance resulting in hyperglycaemia of variable severity with onset or first recognition during pregnancy</w:t>
      </w:r>
      <w:r w:rsidR="0068074A">
        <w:t>’</w:t>
      </w:r>
      <w:r w:rsidRPr="00E07B1B">
        <w:t xml:space="preserve"> (W</w:t>
      </w:r>
      <w:r>
        <w:t>HO</w:t>
      </w:r>
      <w:r w:rsidRPr="00E07B1B">
        <w:t xml:space="preserve"> and Department of Noncommunicable Disease Surveillance 1999). This definition currently includes those women with previously undiagnosed diabetes.</w:t>
      </w:r>
    </w:p>
    <w:p w:rsidR="0025490C" w:rsidRPr="00E07B1B" w:rsidRDefault="0025490C" w:rsidP="00EF023B"/>
    <w:p w:rsidR="0025490C" w:rsidRPr="00E07B1B" w:rsidRDefault="0025490C" w:rsidP="00EF023B">
      <w:pPr>
        <w:pStyle w:val="Heading2"/>
      </w:pPr>
      <w:bookmarkStart w:id="28" w:name="_Toc363207273"/>
      <w:bookmarkStart w:id="29" w:name="_Toc402873504"/>
      <w:bookmarkStart w:id="30" w:name="_Toc403469603"/>
      <w:r w:rsidRPr="00E07B1B">
        <w:t>1.1</w:t>
      </w:r>
      <w:r w:rsidR="00EF023B">
        <w:tab/>
      </w:r>
      <w:r w:rsidRPr="00E07B1B">
        <w:t xml:space="preserve">Epidemiology of </w:t>
      </w:r>
      <w:r w:rsidRPr="00E07B1B">
        <w:rPr>
          <w:szCs w:val="24"/>
        </w:rPr>
        <w:t>gestational diabetes</w:t>
      </w:r>
      <w:r w:rsidRPr="00E07B1B">
        <w:t xml:space="preserve"> in New Zealand</w:t>
      </w:r>
      <w:bookmarkEnd w:id="28"/>
      <w:bookmarkEnd w:id="29"/>
      <w:bookmarkEnd w:id="30"/>
    </w:p>
    <w:p w:rsidR="0025490C" w:rsidRDefault="0025490C" w:rsidP="00EF023B">
      <w:r>
        <w:t>S</w:t>
      </w:r>
      <w:r w:rsidRPr="00E07B1B">
        <w:t>everal sources report</w:t>
      </w:r>
      <w:r>
        <w:t xml:space="preserve"> evidence</w:t>
      </w:r>
      <w:r w:rsidRPr="00E07B1B">
        <w:t xml:space="preserve"> on the rates and trends of gestational diabetes in New Zealand (Auckland District Health Board 2012; Drury</w:t>
      </w:r>
      <w:r>
        <w:t xml:space="preserve"> </w:t>
      </w:r>
      <w:r w:rsidR="00D562F2">
        <w:t>et al</w:t>
      </w:r>
      <w:r w:rsidRPr="00E07B1B">
        <w:t xml:space="preserve"> 2013; Winnard </w:t>
      </w:r>
      <w:r w:rsidR="00D562F2">
        <w:t>et al</w:t>
      </w:r>
      <w:r>
        <w:t xml:space="preserve"> </w:t>
      </w:r>
      <w:r w:rsidRPr="00E07B1B">
        <w:t>2013).</w:t>
      </w:r>
      <w:r w:rsidRPr="00EF023B">
        <w:rPr>
          <w:rStyle w:val="FootnoteReference"/>
        </w:rPr>
        <w:footnoteReference w:id="2"/>
      </w:r>
    </w:p>
    <w:p w:rsidR="0025490C" w:rsidRDefault="0025490C" w:rsidP="00EF023B"/>
    <w:p w:rsidR="0025490C" w:rsidRDefault="0025490C" w:rsidP="00EF023B">
      <w:r w:rsidRPr="00E07B1B">
        <w:t>Gestational diabetes</w:t>
      </w:r>
      <w:r w:rsidRPr="00E07B1B">
        <w:rPr>
          <w:lang w:eastAsia="en-NZ"/>
        </w:rPr>
        <w:t xml:space="preserve"> is a</w:t>
      </w:r>
      <w:r>
        <w:rPr>
          <w:lang w:eastAsia="en-NZ"/>
        </w:rPr>
        <w:t xml:space="preserve"> growing</w:t>
      </w:r>
      <w:r w:rsidRPr="00E07B1B">
        <w:rPr>
          <w:lang w:eastAsia="en-NZ"/>
        </w:rPr>
        <w:t xml:space="preserve"> problem in New Zealand and rates have been increasing over the last </w:t>
      </w:r>
      <w:r>
        <w:rPr>
          <w:lang w:eastAsia="en-NZ"/>
        </w:rPr>
        <w:t>five</w:t>
      </w:r>
      <w:r w:rsidRPr="00E07B1B">
        <w:rPr>
          <w:lang w:eastAsia="en-NZ"/>
        </w:rPr>
        <w:t xml:space="preserve"> years, in particular over the last two years (Appendix E, Figure 1). </w:t>
      </w:r>
      <w:r w:rsidRPr="00E07B1B">
        <w:t xml:space="preserve">The </w:t>
      </w:r>
      <w:r>
        <w:t>d</w:t>
      </w:r>
      <w:r w:rsidRPr="00E07B1B">
        <w:t xml:space="preserve">istrict </w:t>
      </w:r>
      <w:r>
        <w:t>h</w:t>
      </w:r>
      <w:r w:rsidRPr="00E07B1B">
        <w:t xml:space="preserve">ealth </w:t>
      </w:r>
      <w:r>
        <w:t>b</w:t>
      </w:r>
      <w:r w:rsidRPr="00E07B1B">
        <w:t>oards with the highest prevalence of gestational diabetes are Auckland (8.2%), Waitemata (7.1%) and Counties Manukau (7.1%). The lowest rates are found in Tairawhiti (2.2%) and Wairarapa (1.4%).</w:t>
      </w:r>
      <w:r w:rsidRPr="00EF023B">
        <w:rPr>
          <w:rStyle w:val="FootnoteReference"/>
        </w:rPr>
        <w:footnoteReference w:id="3"/>
      </w:r>
    </w:p>
    <w:p w:rsidR="0025490C" w:rsidRPr="00E07B1B" w:rsidRDefault="0025490C" w:rsidP="00EF023B"/>
    <w:p w:rsidR="0025490C" w:rsidRDefault="0025490C" w:rsidP="00EF023B">
      <w:r w:rsidRPr="00E07B1B">
        <w:rPr>
          <w:lang w:eastAsia="en-NZ"/>
        </w:rPr>
        <w:t>The number of pregnancies (in New Zealand) associated with gestational diabetes has increased from 1.3% in 2001 to 2% in 2006 to 4.9% in 2012, equating to an annual increase of 13.9% (</w:t>
      </w:r>
      <w:r w:rsidRPr="00B06389">
        <w:rPr>
          <w:i/>
          <w:lang w:eastAsia="en-NZ"/>
        </w:rPr>
        <w:t>p</w:t>
      </w:r>
      <w:r w:rsidR="00EF023B">
        <w:rPr>
          <w:i/>
          <w:lang w:eastAsia="en-NZ"/>
        </w:rPr>
        <w:t> </w:t>
      </w:r>
      <w:r w:rsidRPr="00E07B1B">
        <w:rPr>
          <w:lang w:eastAsia="en-NZ"/>
        </w:rPr>
        <w:t>&lt;</w:t>
      </w:r>
      <w:r w:rsidR="00EF023B">
        <w:rPr>
          <w:lang w:eastAsia="en-NZ"/>
        </w:rPr>
        <w:t> </w:t>
      </w:r>
      <w:r w:rsidRPr="00E07B1B">
        <w:rPr>
          <w:lang w:eastAsia="en-NZ"/>
        </w:rPr>
        <w:t>0.01) (Drury</w:t>
      </w:r>
      <w:r>
        <w:rPr>
          <w:lang w:eastAsia="en-NZ"/>
        </w:rPr>
        <w:t xml:space="preserve"> </w:t>
      </w:r>
      <w:r w:rsidR="00D562F2">
        <w:rPr>
          <w:lang w:eastAsia="en-NZ"/>
        </w:rPr>
        <w:t>et al</w:t>
      </w:r>
      <w:r w:rsidRPr="00E07B1B">
        <w:rPr>
          <w:lang w:eastAsia="en-NZ"/>
        </w:rPr>
        <w:t xml:space="preserve"> 2013). Similar data are reported by several </w:t>
      </w:r>
      <w:r>
        <w:rPr>
          <w:lang w:eastAsia="en-NZ"/>
        </w:rPr>
        <w:t>d</w:t>
      </w:r>
      <w:r w:rsidRPr="00E07B1B">
        <w:rPr>
          <w:lang w:eastAsia="en-NZ"/>
        </w:rPr>
        <w:t xml:space="preserve">istrict </w:t>
      </w:r>
      <w:r>
        <w:rPr>
          <w:lang w:eastAsia="en-NZ"/>
        </w:rPr>
        <w:t>h</w:t>
      </w:r>
      <w:r w:rsidRPr="00E07B1B">
        <w:rPr>
          <w:lang w:eastAsia="en-NZ"/>
        </w:rPr>
        <w:t xml:space="preserve">ealth </w:t>
      </w:r>
      <w:r>
        <w:rPr>
          <w:lang w:eastAsia="en-NZ"/>
        </w:rPr>
        <w:t>b</w:t>
      </w:r>
      <w:r w:rsidRPr="00E07B1B">
        <w:rPr>
          <w:lang w:eastAsia="en-NZ"/>
        </w:rPr>
        <w:t>oards (Auckland District Health Board 2012; Winnard</w:t>
      </w:r>
      <w:r>
        <w:rPr>
          <w:lang w:eastAsia="en-NZ"/>
        </w:rPr>
        <w:t xml:space="preserve"> </w:t>
      </w:r>
      <w:r w:rsidR="00D562F2">
        <w:rPr>
          <w:lang w:eastAsia="en-NZ"/>
        </w:rPr>
        <w:t>et al</w:t>
      </w:r>
      <w:r w:rsidRPr="00E07B1B">
        <w:rPr>
          <w:lang w:eastAsia="en-NZ"/>
        </w:rPr>
        <w:t xml:space="preserve"> 2013</w:t>
      </w:r>
      <w:r>
        <w:rPr>
          <w:lang w:eastAsia="en-NZ"/>
        </w:rPr>
        <w:t>; r</w:t>
      </w:r>
      <w:r w:rsidRPr="00E07B1B">
        <w:rPr>
          <w:lang w:eastAsia="en-NZ"/>
        </w:rPr>
        <w:t>efer to Appendix E, Figures 2 and</w:t>
      </w:r>
      <w:r w:rsidR="00EF023B">
        <w:rPr>
          <w:lang w:eastAsia="en-NZ"/>
        </w:rPr>
        <w:t> </w:t>
      </w:r>
      <w:r w:rsidRPr="00E07B1B">
        <w:rPr>
          <w:lang w:eastAsia="en-NZ"/>
        </w:rPr>
        <w:t>3</w:t>
      </w:r>
      <w:r>
        <w:rPr>
          <w:lang w:eastAsia="en-NZ"/>
        </w:rPr>
        <w:t>)</w:t>
      </w:r>
      <w:r w:rsidRPr="00E07B1B">
        <w:rPr>
          <w:lang w:eastAsia="en-NZ"/>
        </w:rPr>
        <w:t xml:space="preserve">. </w:t>
      </w:r>
      <w:r w:rsidRPr="00E07B1B">
        <w:t>The increased rates of gestational diabetes over the last two years may reflect changes in local policy for the diagnosis of gestational diabetes.</w:t>
      </w:r>
    </w:p>
    <w:p w:rsidR="0025490C" w:rsidRPr="00E07B1B" w:rsidRDefault="0025490C" w:rsidP="0025490C">
      <w:pPr>
        <w:autoSpaceDE w:val="0"/>
        <w:autoSpaceDN w:val="0"/>
        <w:adjustRightInd w:val="0"/>
        <w:rPr>
          <w:rFonts w:cs="Arial"/>
          <w:szCs w:val="24"/>
        </w:rPr>
      </w:pPr>
    </w:p>
    <w:p w:rsidR="0025490C" w:rsidRDefault="0025490C" w:rsidP="0025490C">
      <w:pPr>
        <w:rPr>
          <w:rFonts w:cs="Arial"/>
          <w:szCs w:val="24"/>
        </w:rPr>
      </w:pPr>
      <w:r w:rsidRPr="00E07B1B">
        <w:rPr>
          <w:rFonts w:cs="Arial"/>
          <w:szCs w:val="24"/>
        </w:rPr>
        <w:t>Estimated rates of gestational diabetes vary by ethnicity (Appendix E, Table 1)</w:t>
      </w:r>
      <w:r>
        <w:rPr>
          <w:rFonts w:cs="Arial"/>
          <w:szCs w:val="24"/>
        </w:rPr>
        <w:t>. T</w:t>
      </w:r>
      <w:r w:rsidRPr="00E07B1B">
        <w:rPr>
          <w:rFonts w:cs="Arial"/>
          <w:szCs w:val="24"/>
        </w:rPr>
        <w:t xml:space="preserve">he highest rates </w:t>
      </w:r>
      <w:r>
        <w:rPr>
          <w:rFonts w:cs="Arial"/>
          <w:szCs w:val="24"/>
        </w:rPr>
        <w:t xml:space="preserve">are </w:t>
      </w:r>
      <w:r w:rsidRPr="00E07B1B">
        <w:rPr>
          <w:rFonts w:cs="Arial"/>
          <w:szCs w:val="24"/>
        </w:rPr>
        <w:t xml:space="preserve">identified in Asian (median 8.1%), Pacific (median 7.2%), and Middle Eastern, Latin American and African (median 7.5%) </w:t>
      </w:r>
      <w:r>
        <w:rPr>
          <w:rFonts w:cs="Arial"/>
          <w:szCs w:val="24"/>
        </w:rPr>
        <w:t>ethnicities</w:t>
      </w:r>
      <w:r w:rsidRPr="00E07B1B">
        <w:rPr>
          <w:rFonts w:cs="Arial"/>
          <w:szCs w:val="24"/>
        </w:rPr>
        <w:t>.</w:t>
      </w:r>
      <w:r>
        <w:rPr>
          <w:rStyle w:val="FootnoteReference"/>
          <w:szCs w:val="24"/>
        </w:rPr>
        <w:footnoteReference w:id="4"/>
      </w:r>
      <w:r w:rsidRPr="00E07B1B">
        <w:rPr>
          <w:rFonts w:cs="Arial"/>
          <w:szCs w:val="24"/>
        </w:rPr>
        <w:t xml:space="preserve"> Lower rates for Māori (median 3.3%) may be a reflection of low </w:t>
      </w:r>
      <w:r>
        <w:rPr>
          <w:rFonts w:cs="Arial"/>
          <w:szCs w:val="24"/>
        </w:rPr>
        <w:t xml:space="preserve">rates of </w:t>
      </w:r>
      <w:r w:rsidRPr="00E07B1B">
        <w:rPr>
          <w:rFonts w:cs="Arial"/>
          <w:szCs w:val="24"/>
        </w:rPr>
        <w:t>screening attendance rather than lower rates of gestational diabetes.</w:t>
      </w:r>
    </w:p>
    <w:p w:rsidR="0025490C" w:rsidRPr="00E07B1B" w:rsidRDefault="0025490C" w:rsidP="00EF023B"/>
    <w:p w:rsidR="0025490C" w:rsidRPr="00E07B1B" w:rsidRDefault="0025490C" w:rsidP="00EF023B">
      <w:pPr>
        <w:pStyle w:val="Heading2"/>
      </w:pPr>
      <w:bookmarkStart w:id="31" w:name="_Toc363207274"/>
      <w:bookmarkStart w:id="32" w:name="_Toc402873505"/>
      <w:bookmarkStart w:id="33" w:name="_Toc403469604"/>
      <w:r w:rsidRPr="00E07B1B">
        <w:t>1.2</w:t>
      </w:r>
      <w:r w:rsidR="00EF023B">
        <w:tab/>
      </w:r>
      <w:r w:rsidRPr="00E07B1B">
        <w:t>Adverse outcomes associated with gestational diabetes</w:t>
      </w:r>
      <w:bookmarkEnd w:id="31"/>
      <w:bookmarkEnd w:id="32"/>
      <w:bookmarkEnd w:id="33"/>
    </w:p>
    <w:p w:rsidR="0025490C" w:rsidRPr="00E07B1B" w:rsidRDefault="0025490C" w:rsidP="00EF023B">
      <w:pPr>
        <w:keepNext/>
      </w:pPr>
      <w:r w:rsidRPr="00E07B1B">
        <w:t>Hyperglycaemia in pregnancy, including gestational diabetes</w:t>
      </w:r>
      <w:r>
        <w:t>,</w:t>
      </w:r>
      <w:r w:rsidRPr="00E07B1B">
        <w:t xml:space="preserve"> is associated with a</w:t>
      </w:r>
      <w:r>
        <w:t xml:space="preserve">n </w:t>
      </w:r>
      <w:r w:rsidRPr="00E07B1B">
        <w:t>increased</w:t>
      </w:r>
      <w:r>
        <w:t xml:space="preserve"> risk of </w:t>
      </w:r>
      <w:r w:rsidRPr="00E07B1B">
        <w:t>maternal and infant adverse outcome</w:t>
      </w:r>
      <w:r>
        <w:t>s</w:t>
      </w:r>
      <w:r w:rsidRPr="00E07B1B">
        <w:t xml:space="preserve"> (The HAPO Study Cooperative Research Group 2008</w:t>
      </w:r>
      <w:r>
        <w:t xml:space="preserve">; </w:t>
      </w:r>
      <w:r w:rsidRPr="00E07B1B">
        <w:t xml:space="preserve">Wendland </w:t>
      </w:r>
      <w:r w:rsidR="00D562F2">
        <w:t>et al</w:t>
      </w:r>
      <w:r>
        <w:t xml:space="preserve"> </w:t>
      </w:r>
      <w:r w:rsidRPr="00E07B1B">
        <w:t xml:space="preserve">2012; Wang </w:t>
      </w:r>
      <w:r w:rsidR="00D562F2">
        <w:t>et al</w:t>
      </w:r>
      <w:r>
        <w:t xml:space="preserve"> </w:t>
      </w:r>
      <w:r w:rsidRPr="00E07B1B">
        <w:t>2013).</w:t>
      </w:r>
    </w:p>
    <w:p w:rsidR="0025490C" w:rsidRDefault="0025490C" w:rsidP="00EF023B">
      <w:pPr>
        <w:keepNext/>
        <w:rPr>
          <w:rFonts w:cs="Arial"/>
          <w:szCs w:val="24"/>
        </w:rPr>
      </w:pPr>
    </w:p>
    <w:tbl>
      <w:tblPr>
        <w:tblStyle w:val="TableGrid"/>
        <w:tblW w:w="0" w:type="auto"/>
        <w:tblInd w:w="113" w:type="dxa"/>
        <w:tblLayout w:type="fixed"/>
        <w:tblCellMar>
          <w:left w:w="113" w:type="dxa"/>
          <w:right w:w="113" w:type="dxa"/>
        </w:tblCellMar>
        <w:tblLook w:val="04A0" w:firstRow="1" w:lastRow="0" w:firstColumn="1" w:lastColumn="0" w:noHBand="0" w:noVBand="1"/>
      </w:tblPr>
      <w:tblGrid>
        <w:gridCol w:w="4678"/>
        <w:gridCol w:w="4678"/>
      </w:tblGrid>
      <w:tr w:rsidR="00EF023B" w:rsidRPr="00EF023B" w:rsidTr="00D562F2">
        <w:trPr>
          <w:cantSplit/>
        </w:trPr>
        <w:tc>
          <w:tcPr>
            <w:tcW w:w="9356" w:type="dxa"/>
            <w:gridSpan w:val="2"/>
            <w:tcBorders>
              <w:bottom w:val="nil"/>
            </w:tcBorders>
          </w:tcPr>
          <w:p w:rsidR="00EF023B" w:rsidRPr="00EF023B" w:rsidRDefault="00EF023B" w:rsidP="00EF023B">
            <w:pPr>
              <w:pStyle w:val="TableText"/>
              <w:keepNext/>
              <w:jc w:val="center"/>
              <w:rPr>
                <w:b/>
              </w:rPr>
            </w:pPr>
            <w:r w:rsidRPr="00EF023B">
              <w:rPr>
                <w:b/>
              </w:rPr>
              <w:t>Adverse outcomes for women with gestational diabetes</w:t>
            </w:r>
          </w:p>
        </w:tc>
      </w:tr>
      <w:tr w:rsidR="00EF023B" w:rsidTr="00D562F2">
        <w:trPr>
          <w:cantSplit/>
        </w:trPr>
        <w:tc>
          <w:tcPr>
            <w:tcW w:w="4678" w:type="dxa"/>
            <w:tcBorders>
              <w:top w:val="nil"/>
              <w:bottom w:val="nil"/>
              <w:right w:val="nil"/>
            </w:tcBorders>
          </w:tcPr>
          <w:p w:rsidR="00EF023B" w:rsidRPr="00EF023B" w:rsidRDefault="00EF023B" w:rsidP="00EF023B">
            <w:pPr>
              <w:pStyle w:val="TableText"/>
              <w:keepNext/>
              <w:rPr>
                <w:szCs w:val="24"/>
              </w:rPr>
            </w:pPr>
            <w:r w:rsidRPr="00EF023B">
              <w:rPr>
                <w:szCs w:val="24"/>
              </w:rPr>
              <w:t>Pregnancy associated hypertension</w:t>
            </w:r>
          </w:p>
        </w:tc>
        <w:tc>
          <w:tcPr>
            <w:tcW w:w="4678" w:type="dxa"/>
            <w:tcBorders>
              <w:top w:val="nil"/>
              <w:left w:val="nil"/>
              <w:bottom w:val="nil"/>
            </w:tcBorders>
          </w:tcPr>
          <w:p w:rsidR="00EF023B" w:rsidRPr="00EF023B" w:rsidRDefault="00EF023B" w:rsidP="00EF023B">
            <w:pPr>
              <w:pStyle w:val="TableText"/>
              <w:keepNext/>
              <w:rPr>
                <w:szCs w:val="24"/>
              </w:rPr>
            </w:pPr>
            <w:r w:rsidRPr="00EF023B">
              <w:rPr>
                <w:szCs w:val="24"/>
              </w:rPr>
              <w:t>Caesarean section</w:t>
            </w:r>
          </w:p>
        </w:tc>
      </w:tr>
      <w:tr w:rsidR="00EF023B" w:rsidTr="00D562F2">
        <w:trPr>
          <w:cantSplit/>
        </w:trPr>
        <w:tc>
          <w:tcPr>
            <w:tcW w:w="4678" w:type="dxa"/>
            <w:tcBorders>
              <w:top w:val="nil"/>
              <w:bottom w:val="nil"/>
              <w:right w:val="nil"/>
            </w:tcBorders>
          </w:tcPr>
          <w:p w:rsidR="00EF023B" w:rsidRPr="00EF023B" w:rsidRDefault="00EF023B" w:rsidP="00EF023B">
            <w:pPr>
              <w:pStyle w:val="TableText"/>
              <w:keepNext/>
              <w:spacing w:before="0"/>
              <w:rPr>
                <w:szCs w:val="24"/>
              </w:rPr>
            </w:pPr>
            <w:r w:rsidRPr="00EF023B">
              <w:rPr>
                <w:szCs w:val="24"/>
              </w:rPr>
              <w:t>3rd and 4th degree perineal tear</w:t>
            </w:r>
          </w:p>
        </w:tc>
        <w:tc>
          <w:tcPr>
            <w:tcW w:w="4678" w:type="dxa"/>
            <w:tcBorders>
              <w:top w:val="nil"/>
              <w:left w:val="nil"/>
              <w:bottom w:val="nil"/>
            </w:tcBorders>
          </w:tcPr>
          <w:p w:rsidR="00EF023B" w:rsidRPr="00EF023B" w:rsidRDefault="00EF023B" w:rsidP="00EF023B">
            <w:pPr>
              <w:pStyle w:val="TableText"/>
              <w:keepNext/>
              <w:spacing w:before="0"/>
              <w:rPr>
                <w:szCs w:val="24"/>
              </w:rPr>
            </w:pPr>
            <w:r w:rsidRPr="00EF023B">
              <w:rPr>
                <w:szCs w:val="24"/>
              </w:rPr>
              <w:t>Operative vaginal birth</w:t>
            </w:r>
          </w:p>
        </w:tc>
      </w:tr>
      <w:tr w:rsidR="00EF023B" w:rsidTr="00D562F2">
        <w:trPr>
          <w:cantSplit/>
        </w:trPr>
        <w:tc>
          <w:tcPr>
            <w:tcW w:w="4678" w:type="dxa"/>
            <w:tcBorders>
              <w:top w:val="nil"/>
              <w:bottom w:val="nil"/>
              <w:right w:val="nil"/>
            </w:tcBorders>
          </w:tcPr>
          <w:p w:rsidR="00EF023B" w:rsidRPr="00EF023B" w:rsidRDefault="00EF023B" w:rsidP="00EF023B">
            <w:pPr>
              <w:pStyle w:val="TableText"/>
              <w:spacing w:before="0"/>
              <w:rPr>
                <w:szCs w:val="24"/>
              </w:rPr>
            </w:pPr>
            <w:r w:rsidRPr="00EF023B">
              <w:rPr>
                <w:szCs w:val="24"/>
              </w:rPr>
              <w:t>Type 2 diabetes in later life</w:t>
            </w:r>
          </w:p>
        </w:tc>
        <w:tc>
          <w:tcPr>
            <w:tcW w:w="4678" w:type="dxa"/>
            <w:tcBorders>
              <w:top w:val="nil"/>
              <w:left w:val="nil"/>
              <w:bottom w:val="nil"/>
            </w:tcBorders>
          </w:tcPr>
          <w:p w:rsidR="00EF023B" w:rsidRPr="00EF023B" w:rsidRDefault="00EF023B" w:rsidP="00EF023B">
            <w:pPr>
              <w:pStyle w:val="TableText"/>
              <w:spacing w:before="0"/>
              <w:rPr>
                <w:szCs w:val="24"/>
              </w:rPr>
            </w:pPr>
            <w:r w:rsidRPr="00EF023B">
              <w:rPr>
                <w:szCs w:val="24"/>
              </w:rPr>
              <w:t>Preterm labour</w:t>
            </w:r>
          </w:p>
        </w:tc>
      </w:tr>
      <w:tr w:rsidR="00EF023B" w:rsidTr="00D562F2">
        <w:trPr>
          <w:cantSplit/>
        </w:trPr>
        <w:tc>
          <w:tcPr>
            <w:tcW w:w="4678" w:type="dxa"/>
            <w:tcBorders>
              <w:top w:val="nil"/>
              <w:right w:val="nil"/>
            </w:tcBorders>
          </w:tcPr>
          <w:p w:rsidR="00EF023B" w:rsidRPr="00EF023B" w:rsidRDefault="00EF023B" w:rsidP="00EF023B">
            <w:pPr>
              <w:pStyle w:val="TableText"/>
              <w:spacing w:before="0"/>
              <w:rPr>
                <w:szCs w:val="24"/>
              </w:rPr>
            </w:pPr>
            <w:r w:rsidRPr="00EF023B">
              <w:rPr>
                <w:szCs w:val="24"/>
              </w:rPr>
              <w:t>Postpartum haemorrhage</w:t>
            </w:r>
          </w:p>
        </w:tc>
        <w:tc>
          <w:tcPr>
            <w:tcW w:w="4678" w:type="dxa"/>
            <w:tcBorders>
              <w:top w:val="nil"/>
              <w:left w:val="nil"/>
            </w:tcBorders>
          </w:tcPr>
          <w:p w:rsidR="00EF023B" w:rsidRPr="00EF023B" w:rsidRDefault="00EF023B" w:rsidP="00EF023B">
            <w:pPr>
              <w:pStyle w:val="TableText"/>
              <w:spacing w:before="0"/>
              <w:rPr>
                <w:szCs w:val="24"/>
              </w:rPr>
            </w:pPr>
            <w:r w:rsidRPr="00EF023B">
              <w:rPr>
                <w:szCs w:val="24"/>
              </w:rPr>
              <w:t>Polyhydramnios</w:t>
            </w:r>
          </w:p>
        </w:tc>
      </w:tr>
      <w:tr w:rsidR="00EF023B" w:rsidTr="00D562F2">
        <w:trPr>
          <w:cantSplit/>
        </w:trPr>
        <w:tc>
          <w:tcPr>
            <w:tcW w:w="9356" w:type="dxa"/>
            <w:gridSpan w:val="2"/>
            <w:tcBorders>
              <w:bottom w:val="nil"/>
            </w:tcBorders>
          </w:tcPr>
          <w:p w:rsidR="00EF023B" w:rsidRPr="00EF023B" w:rsidRDefault="00EF023B" w:rsidP="00EF023B">
            <w:pPr>
              <w:pStyle w:val="TableText"/>
              <w:jc w:val="center"/>
              <w:rPr>
                <w:b/>
              </w:rPr>
            </w:pPr>
            <w:r w:rsidRPr="00EF023B">
              <w:rPr>
                <w:b/>
              </w:rPr>
              <w:t>Adverse outcomes for infants born to women with gestational diabetes</w:t>
            </w:r>
          </w:p>
        </w:tc>
      </w:tr>
      <w:tr w:rsidR="00EF023B" w:rsidTr="00D562F2">
        <w:trPr>
          <w:cantSplit/>
        </w:trPr>
        <w:tc>
          <w:tcPr>
            <w:tcW w:w="4678" w:type="dxa"/>
            <w:tcBorders>
              <w:top w:val="nil"/>
              <w:bottom w:val="nil"/>
              <w:right w:val="nil"/>
            </w:tcBorders>
          </w:tcPr>
          <w:p w:rsidR="00EF023B" w:rsidRPr="00EF023B" w:rsidRDefault="00EF023B" w:rsidP="00EF023B">
            <w:pPr>
              <w:pStyle w:val="TableText"/>
              <w:rPr>
                <w:szCs w:val="24"/>
              </w:rPr>
            </w:pPr>
            <w:r w:rsidRPr="00EF023B">
              <w:rPr>
                <w:szCs w:val="24"/>
              </w:rPr>
              <w:t>Shoulder dystocia</w:t>
            </w:r>
          </w:p>
        </w:tc>
        <w:tc>
          <w:tcPr>
            <w:tcW w:w="4678" w:type="dxa"/>
            <w:tcBorders>
              <w:top w:val="nil"/>
              <w:left w:val="nil"/>
              <w:bottom w:val="nil"/>
            </w:tcBorders>
          </w:tcPr>
          <w:p w:rsidR="00EF023B" w:rsidRPr="00EF023B" w:rsidRDefault="00EF023B" w:rsidP="00EF023B">
            <w:pPr>
              <w:pStyle w:val="TableText"/>
              <w:rPr>
                <w:szCs w:val="24"/>
              </w:rPr>
            </w:pPr>
            <w:r w:rsidRPr="00EF023B">
              <w:rPr>
                <w:szCs w:val="24"/>
              </w:rPr>
              <w:t>Bone fractures, nerve palsy</w:t>
            </w:r>
          </w:p>
        </w:tc>
      </w:tr>
      <w:tr w:rsidR="00EF023B" w:rsidTr="00D562F2">
        <w:trPr>
          <w:cantSplit/>
        </w:trPr>
        <w:tc>
          <w:tcPr>
            <w:tcW w:w="4678" w:type="dxa"/>
            <w:tcBorders>
              <w:top w:val="nil"/>
              <w:bottom w:val="nil"/>
              <w:right w:val="nil"/>
            </w:tcBorders>
          </w:tcPr>
          <w:p w:rsidR="00EF023B" w:rsidRPr="00EF023B" w:rsidRDefault="00EF023B" w:rsidP="00EF023B">
            <w:pPr>
              <w:pStyle w:val="TableText"/>
              <w:spacing w:before="0"/>
              <w:rPr>
                <w:szCs w:val="24"/>
              </w:rPr>
            </w:pPr>
            <w:r w:rsidRPr="00EF023B">
              <w:rPr>
                <w:szCs w:val="24"/>
              </w:rPr>
              <w:t>Macrosomia</w:t>
            </w:r>
          </w:p>
        </w:tc>
        <w:tc>
          <w:tcPr>
            <w:tcW w:w="4678" w:type="dxa"/>
            <w:tcBorders>
              <w:top w:val="nil"/>
              <w:left w:val="nil"/>
              <w:bottom w:val="nil"/>
            </w:tcBorders>
          </w:tcPr>
          <w:p w:rsidR="00EF023B" w:rsidRPr="00EF023B" w:rsidRDefault="00EF023B" w:rsidP="00EF023B">
            <w:pPr>
              <w:pStyle w:val="TableText"/>
              <w:spacing w:before="0"/>
              <w:rPr>
                <w:szCs w:val="24"/>
              </w:rPr>
            </w:pPr>
            <w:r w:rsidRPr="00EF023B">
              <w:rPr>
                <w:szCs w:val="24"/>
              </w:rPr>
              <w:t>Large for gestational age</w:t>
            </w:r>
          </w:p>
        </w:tc>
      </w:tr>
      <w:tr w:rsidR="00EF023B" w:rsidTr="00D562F2">
        <w:trPr>
          <w:cantSplit/>
        </w:trPr>
        <w:tc>
          <w:tcPr>
            <w:tcW w:w="4678" w:type="dxa"/>
            <w:tcBorders>
              <w:top w:val="nil"/>
              <w:bottom w:val="nil"/>
              <w:right w:val="nil"/>
            </w:tcBorders>
          </w:tcPr>
          <w:p w:rsidR="00EF023B" w:rsidRPr="00EF023B" w:rsidRDefault="00EF023B" w:rsidP="00EF023B">
            <w:pPr>
              <w:pStyle w:val="TableText"/>
              <w:spacing w:before="0"/>
              <w:rPr>
                <w:szCs w:val="24"/>
              </w:rPr>
            </w:pPr>
            <w:r w:rsidRPr="00EF023B">
              <w:rPr>
                <w:szCs w:val="24"/>
              </w:rPr>
              <w:t>Hypoglycaemia</w:t>
            </w:r>
          </w:p>
        </w:tc>
        <w:tc>
          <w:tcPr>
            <w:tcW w:w="4678" w:type="dxa"/>
            <w:tcBorders>
              <w:top w:val="nil"/>
              <w:left w:val="nil"/>
              <w:bottom w:val="nil"/>
            </w:tcBorders>
          </w:tcPr>
          <w:p w:rsidR="00EF023B" w:rsidRPr="00EF023B" w:rsidRDefault="00EF023B" w:rsidP="00EF023B">
            <w:pPr>
              <w:pStyle w:val="TableText"/>
              <w:spacing w:before="0"/>
              <w:rPr>
                <w:szCs w:val="24"/>
              </w:rPr>
            </w:pPr>
            <w:r w:rsidRPr="00EF023B">
              <w:rPr>
                <w:szCs w:val="24"/>
              </w:rPr>
              <w:t>Hyperbilirubinaemia</w:t>
            </w:r>
          </w:p>
        </w:tc>
      </w:tr>
      <w:tr w:rsidR="00EF023B" w:rsidTr="00D562F2">
        <w:trPr>
          <w:cantSplit/>
        </w:trPr>
        <w:tc>
          <w:tcPr>
            <w:tcW w:w="4678" w:type="dxa"/>
            <w:tcBorders>
              <w:top w:val="nil"/>
              <w:bottom w:val="nil"/>
              <w:right w:val="nil"/>
            </w:tcBorders>
          </w:tcPr>
          <w:p w:rsidR="00EF023B" w:rsidRPr="00EF023B" w:rsidRDefault="00EF023B" w:rsidP="00EF023B">
            <w:pPr>
              <w:pStyle w:val="TableText"/>
              <w:spacing w:before="0"/>
              <w:rPr>
                <w:szCs w:val="24"/>
              </w:rPr>
            </w:pPr>
            <w:r w:rsidRPr="00EF023B">
              <w:rPr>
                <w:szCs w:val="24"/>
              </w:rPr>
              <w:t>Congenital malformation</w:t>
            </w:r>
          </w:p>
        </w:tc>
        <w:tc>
          <w:tcPr>
            <w:tcW w:w="4678" w:type="dxa"/>
            <w:tcBorders>
              <w:top w:val="nil"/>
              <w:left w:val="nil"/>
              <w:bottom w:val="nil"/>
            </w:tcBorders>
          </w:tcPr>
          <w:p w:rsidR="00EF023B" w:rsidRPr="00EF023B" w:rsidRDefault="00EF023B" w:rsidP="00EF023B">
            <w:pPr>
              <w:pStyle w:val="TableText"/>
              <w:spacing w:before="0"/>
              <w:rPr>
                <w:szCs w:val="24"/>
              </w:rPr>
            </w:pPr>
            <w:r w:rsidRPr="00EF023B">
              <w:rPr>
                <w:szCs w:val="24"/>
              </w:rPr>
              <w:t>Small for gestational age</w:t>
            </w:r>
          </w:p>
        </w:tc>
      </w:tr>
      <w:tr w:rsidR="00EF023B" w:rsidTr="00D562F2">
        <w:trPr>
          <w:cantSplit/>
        </w:trPr>
        <w:tc>
          <w:tcPr>
            <w:tcW w:w="4678" w:type="dxa"/>
            <w:tcBorders>
              <w:top w:val="nil"/>
              <w:bottom w:val="nil"/>
              <w:right w:val="nil"/>
            </w:tcBorders>
          </w:tcPr>
          <w:p w:rsidR="00EF023B" w:rsidRPr="00EF023B" w:rsidRDefault="00EF023B" w:rsidP="00EF023B">
            <w:pPr>
              <w:pStyle w:val="TableText"/>
              <w:spacing w:before="0"/>
              <w:rPr>
                <w:szCs w:val="24"/>
              </w:rPr>
            </w:pPr>
            <w:r w:rsidRPr="00EF023B">
              <w:rPr>
                <w:szCs w:val="24"/>
              </w:rPr>
              <w:t>Respiratory distress syndrome</w:t>
            </w:r>
          </w:p>
        </w:tc>
        <w:tc>
          <w:tcPr>
            <w:tcW w:w="4678" w:type="dxa"/>
            <w:tcBorders>
              <w:top w:val="nil"/>
              <w:left w:val="nil"/>
              <w:bottom w:val="nil"/>
            </w:tcBorders>
          </w:tcPr>
          <w:p w:rsidR="00EF023B" w:rsidRPr="00EF023B" w:rsidRDefault="00EF023B" w:rsidP="00EF023B">
            <w:pPr>
              <w:pStyle w:val="TableText"/>
              <w:spacing w:before="0"/>
              <w:rPr>
                <w:szCs w:val="24"/>
              </w:rPr>
            </w:pPr>
            <w:r w:rsidRPr="00EF023B">
              <w:rPr>
                <w:szCs w:val="24"/>
              </w:rPr>
              <w:t>Stillbirth</w:t>
            </w:r>
          </w:p>
        </w:tc>
      </w:tr>
      <w:tr w:rsidR="00EF023B" w:rsidTr="00D562F2">
        <w:trPr>
          <w:cantSplit/>
        </w:trPr>
        <w:tc>
          <w:tcPr>
            <w:tcW w:w="4678" w:type="dxa"/>
            <w:tcBorders>
              <w:top w:val="nil"/>
              <w:bottom w:val="nil"/>
              <w:right w:val="nil"/>
            </w:tcBorders>
          </w:tcPr>
          <w:p w:rsidR="00EF023B" w:rsidRPr="00EF023B" w:rsidRDefault="00EF023B" w:rsidP="00EF023B">
            <w:pPr>
              <w:pStyle w:val="TableText"/>
              <w:spacing w:before="0"/>
              <w:rPr>
                <w:szCs w:val="24"/>
              </w:rPr>
            </w:pPr>
            <w:r w:rsidRPr="00EF023B">
              <w:rPr>
                <w:szCs w:val="24"/>
              </w:rPr>
              <w:t>Overweight and childhood obesity</w:t>
            </w:r>
          </w:p>
        </w:tc>
        <w:tc>
          <w:tcPr>
            <w:tcW w:w="4678" w:type="dxa"/>
            <w:tcBorders>
              <w:top w:val="nil"/>
              <w:left w:val="nil"/>
              <w:bottom w:val="nil"/>
            </w:tcBorders>
          </w:tcPr>
          <w:p w:rsidR="00EF023B" w:rsidRPr="00EF023B" w:rsidRDefault="00EF023B" w:rsidP="00EF023B">
            <w:pPr>
              <w:pStyle w:val="TableText"/>
              <w:spacing w:before="0"/>
              <w:rPr>
                <w:szCs w:val="24"/>
              </w:rPr>
            </w:pPr>
            <w:r w:rsidRPr="00EF023B">
              <w:rPr>
                <w:szCs w:val="24"/>
              </w:rPr>
              <w:t>Type 2 diabetes in later life</w:t>
            </w:r>
          </w:p>
        </w:tc>
      </w:tr>
      <w:tr w:rsidR="00EF023B" w:rsidTr="00D562F2">
        <w:trPr>
          <w:cantSplit/>
        </w:trPr>
        <w:tc>
          <w:tcPr>
            <w:tcW w:w="4678" w:type="dxa"/>
            <w:tcBorders>
              <w:top w:val="nil"/>
              <w:right w:val="nil"/>
            </w:tcBorders>
          </w:tcPr>
          <w:p w:rsidR="00EF023B" w:rsidRPr="00EF023B" w:rsidRDefault="00EF023B" w:rsidP="00EF023B">
            <w:pPr>
              <w:pStyle w:val="TableText"/>
              <w:spacing w:before="0"/>
              <w:rPr>
                <w:szCs w:val="24"/>
              </w:rPr>
            </w:pPr>
            <w:r w:rsidRPr="00EF023B">
              <w:rPr>
                <w:szCs w:val="24"/>
              </w:rPr>
              <w:t>Metabolic syndrome in later life</w:t>
            </w:r>
          </w:p>
        </w:tc>
        <w:tc>
          <w:tcPr>
            <w:tcW w:w="4678" w:type="dxa"/>
            <w:tcBorders>
              <w:top w:val="nil"/>
              <w:left w:val="nil"/>
            </w:tcBorders>
          </w:tcPr>
          <w:p w:rsidR="00EF023B" w:rsidRDefault="00EF023B" w:rsidP="00EF023B">
            <w:pPr>
              <w:pStyle w:val="TableText"/>
              <w:spacing w:before="0"/>
            </w:pPr>
          </w:p>
        </w:tc>
      </w:tr>
    </w:tbl>
    <w:p w:rsidR="00EF023B" w:rsidRDefault="00EF023B" w:rsidP="00D562F2"/>
    <w:p w:rsidR="0025490C" w:rsidRPr="00E07B1B" w:rsidRDefault="0025490C" w:rsidP="00EF023B">
      <w:pPr>
        <w:pStyle w:val="Heading2"/>
      </w:pPr>
      <w:bookmarkStart w:id="34" w:name="_Toc363207276"/>
      <w:bookmarkStart w:id="35" w:name="_Toc402873506"/>
      <w:bookmarkStart w:id="36" w:name="_Toc403469605"/>
      <w:bookmarkStart w:id="37" w:name="_Toc363207275"/>
      <w:r w:rsidRPr="00E07B1B">
        <w:t>1.3</w:t>
      </w:r>
      <w:r w:rsidR="00EF023B">
        <w:tab/>
      </w:r>
      <w:r w:rsidRPr="00E07B1B">
        <w:t>Guidelines and position statements</w:t>
      </w:r>
      <w:bookmarkEnd w:id="34"/>
      <w:bookmarkEnd w:id="35"/>
      <w:bookmarkEnd w:id="36"/>
    </w:p>
    <w:p w:rsidR="0025490C" w:rsidRDefault="0025490C" w:rsidP="00EF023B">
      <w:r w:rsidRPr="00E07B1B">
        <w:t xml:space="preserve">Twenty international and national guidelines and position statements were identified and critically appraised using the AGREE II tool. They are summarised in Appendix E, Table 2. </w:t>
      </w:r>
      <w:r>
        <w:t>T</w:t>
      </w:r>
      <w:r w:rsidRPr="00E07B1B">
        <w:t xml:space="preserve">hese guidelines are </w:t>
      </w:r>
      <w:r>
        <w:t>referred to</w:t>
      </w:r>
      <w:r w:rsidRPr="00E07B1B">
        <w:t xml:space="preserve"> throughout th</w:t>
      </w:r>
      <w:r>
        <w:t>is</w:t>
      </w:r>
      <w:r w:rsidRPr="00E07B1B">
        <w:t xml:space="preserve"> document.</w:t>
      </w:r>
    </w:p>
    <w:p w:rsidR="0025490C" w:rsidRPr="00E07B1B" w:rsidRDefault="0025490C" w:rsidP="00EF023B"/>
    <w:p w:rsidR="0025490C" w:rsidRPr="00E07B1B" w:rsidRDefault="0025490C" w:rsidP="00EF023B">
      <w:pPr>
        <w:pStyle w:val="Heading2"/>
      </w:pPr>
      <w:bookmarkStart w:id="38" w:name="_Toc402873507"/>
      <w:bookmarkStart w:id="39" w:name="_Toc403469606"/>
      <w:r w:rsidRPr="00E07B1B">
        <w:t>1.4</w:t>
      </w:r>
      <w:bookmarkStart w:id="40" w:name="_Toc363207277"/>
      <w:r w:rsidR="00EF023B">
        <w:tab/>
      </w:r>
      <w:r w:rsidRPr="00E07B1B">
        <w:t>Women</w:t>
      </w:r>
      <w:r w:rsidR="0068074A">
        <w:t>’</w:t>
      </w:r>
      <w:r w:rsidRPr="00E07B1B">
        <w:t>s perspectives on gestational diabetes</w:t>
      </w:r>
      <w:bookmarkEnd w:id="38"/>
      <w:bookmarkEnd w:id="39"/>
      <w:bookmarkEnd w:id="40"/>
    </w:p>
    <w:bookmarkEnd w:id="37"/>
    <w:p w:rsidR="0068074A" w:rsidRDefault="0025490C" w:rsidP="00D562F2">
      <w:pPr>
        <w:rPr>
          <w:rFonts w:eastAsia="MS Mincho"/>
        </w:rPr>
      </w:pPr>
      <w:r>
        <w:rPr>
          <w:rFonts w:eastAsia="MS Mincho"/>
        </w:rPr>
        <w:t>W</w:t>
      </w:r>
      <w:r w:rsidRPr="00E07B1B">
        <w:rPr>
          <w:rFonts w:eastAsia="MS Mincho"/>
        </w:rPr>
        <w:t>here possible</w:t>
      </w:r>
      <w:r>
        <w:rPr>
          <w:rFonts w:eastAsia="MS Mincho"/>
        </w:rPr>
        <w:t>,</w:t>
      </w:r>
      <w:r w:rsidRPr="00E07B1B">
        <w:rPr>
          <w:rFonts w:eastAsia="MS Mincho"/>
        </w:rPr>
        <w:t xml:space="preserve"> a woman</w:t>
      </w:r>
      <w:r>
        <w:rPr>
          <w:rFonts w:eastAsia="MS Mincho"/>
        </w:rPr>
        <w:t>-</w:t>
      </w:r>
      <w:r w:rsidRPr="00E07B1B">
        <w:rPr>
          <w:rFonts w:eastAsia="MS Mincho"/>
        </w:rPr>
        <w:t xml:space="preserve">centred perspective </w:t>
      </w:r>
      <w:r>
        <w:rPr>
          <w:rFonts w:eastAsia="MS Mincho"/>
        </w:rPr>
        <w:t xml:space="preserve">has been taken </w:t>
      </w:r>
      <w:r w:rsidRPr="00E07B1B">
        <w:rPr>
          <w:rFonts w:eastAsia="MS Mincho"/>
        </w:rPr>
        <w:t>in this guideline.</w:t>
      </w:r>
      <w:r>
        <w:rPr>
          <w:rFonts w:eastAsia="MS Mincho"/>
        </w:rPr>
        <w:t xml:space="preserve"> </w:t>
      </w:r>
      <w:r w:rsidRPr="00E07B1B">
        <w:rPr>
          <w:rFonts w:eastAsia="MS Mincho"/>
        </w:rPr>
        <w:t>Chapter 1</w:t>
      </w:r>
      <w:r>
        <w:rPr>
          <w:rFonts w:eastAsia="MS Mincho"/>
        </w:rPr>
        <w:t>3</w:t>
      </w:r>
      <w:r w:rsidRPr="00E07B1B">
        <w:rPr>
          <w:rFonts w:eastAsia="MS Mincho"/>
        </w:rPr>
        <w:t xml:space="preserve"> summarises interviews with women with gestational diabetes conducted by </w:t>
      </w:r>
      <w:r>
        <w:rPr>
          <w:rFonts w:eastAsia="MS Mincho"/>
        </w:rPr>
        <w:t>the Guideline Development Team</w:t>
      </w:r>
      <w:r w:rsidRPr="00E07B1B">
        <w:rPr>
          <w:rFonts w:eastAsia="MS Mincho"/>
        </w:rPr>
        <w:t xml:space="preserve"> and other organisations.</w:t>
      </w:r>
    </w:p>
    <w:p w:rsidR="0025490C" w:rsidRPr="00E07B1B" w:rsidRDefault="0025490C" w:rsidP="00D562F2">
      <w:pPr>
        <w:rPr>
          <w:rFonts w:eastAsia="MS Mincho"/>
        </w:rPr>
      </w:pPr>
    </w:p>
    <w:p w:rsidR="0025490C" w:rsidRDefault="0025490C" w:rsidP="00D562F2">
      <w:pPr>
        <w:rPr>
          <w:rFonts w:eastAsia="MS Mincho"/>
        </w:rPr>
      </w:pPr>
      <w:r w:rsidRPr="00E07B1B">
        <w:rPr>
          <w:rFonts w:eastAsia="MS Mincho"/>
        </w:rPr>
        <w:t xml:space="preserve">Women considering being screened for </w:t>
      </w:r>
      <w:r w:rsidRPr="00E07B1B">
        <w:rPr>
          <w:rFonts w:cs="Arial"/>
        </w:rPr>
        <w:t>gestational diabetes</w:t>
      </w:r>
      <w:r w:rsidRPr="00E07B1B">
        <w:rPr>
          <w:rFonts w:eastAsia="MS Mincho"/>
        </w:rPr>
        <w:t xml:space="preserve"> need to understand the reason </w:t>
      </w:r>
      <w:r>
        <w:rPr>
          <w:rFonts w:eastAsia="MS Mincho"/>
        </w:rPr>
        <w:t>for being</w:t>
      </w:r>
      <w:r w:rsidRPr="00E07B1B">
        <w:rPr>
          <w:rFonts w:eastAsia="MS Mincho"/>
        </w:rPr>
        <w:t xml:space="preserve"> screened and what will happen as they go through the care pathway from screening and diagnosis to treatment and follow-up.</w:t>
      </w:r>
    </w:p>
    <w:p w:rsidR="0025490C" w:rsidRPr="00E07B1B" w:rsidRDefault="0025490C" w:rsidP="00D562F2">
      <w:pPr>
        <w:rPr>
          <w:rFonts w:eastAsia="MS Mincho"/>
        </w:rPr>
      </w:pPr>
    </w:p>
    <w:p w:rsidR="0068074A" w:rsidRDefault="0025490C" w:rsidP="00D562F2">
      <w:pPr>
        <w:rPr>
          <w:rFonts w:eastAsia="MS Mincho"/>
        </w:rPr>
      </w:pPr>
      <w:r w:rsidRPr="00E07B1B">
        <w:rPr>
          <w:rFonts w:eastAsia="MS Mincho"/>
        </w:rPr>
        <w:t xml:space="preserve">Some women will feel significant anxiety when they learn they have gestational diabetes, but most studies reported that this </w:t>
      </w:r>
      <w:r>
        <w:rPr>
          <w:rFonts w:eastAsia="MS Mincho"/>
        </w:rPr>
        <w:t>feeling is</w:t>
      </w:r>
      <w:r w:rsidRPr="00E07B1B">
        <w:rPr>
          <w:rFonts w:eastAsia="MS Mincho"/>
        </w:rPr>
        <w:t xml:space="preserve"> not sustained in the antepartum or postpartum period. There is evidence that the treatment of gestational diabetes may improve a woman</w:t>
      </w:r>
      <w:r w:rsidR="0068074A">
        <w:rPr>
          <w:rFonts w:eastAsia="MS Mincho"/>
        </w:rPr>
        <w:t>’</w:t>
      </w:r>
      <w:r w:rsidRPr="00E07B1B">
        <w:rPr>
          <w:rFonts w:eastAsia="MS Mincho"/>
        </w:rPr>
        <w:t xml:space="preserve">s health-related quality of life and reduce the incidence of depression after birth (Crowther </w:t>
      </w:r>
      <w:r w:rsidR="00D562F2">
        <w:rPr>
          <w:rFonts w:eastAsia="MS Mincho"/>
        </w:rPr>
        <w:t>et al</w:t>
      </w:r>
      <w:r w:rsidRPr="00E07B1B">
        <w:rPr>
          <w:rFonts w:eastAsia="MS Mincho"/>
        </w:rPr>
        <w:t xml:space="preserve"> 2005).</w:t>
      </w:r>
    </w:p>
    <w:p w:rsidR="0025490C" w:rsidRPr="00E07B1B" w:rsidRDefault="0025490C" w:rsidP="00D562F2">
      <w:pPr>
        <w:rPr>
          <w:rFonts w:eastAsia="MS Mincho"/>
        </w:rPr>
      </w:pPr>
    </w:p>
    <w:p w:rsidR="0025490C" w:rsidRDefault="0025490C" w:rsidP="00D562F2">
      <w:pPr>
        <w:keepLines/>
        <w:rPr>
          <w:rFonts w:eastAsia="MS Mincho"/>
        </w:rPr>
      </w:pPr>
      <w:r>
        <w:rPr>
          <w:rFonts w:eastAsia="MS Mincho"/>
        </w:rPr>
        <w:t>Given that their</w:t>
      </w:r>
      <w:r w:rsidRPr="00E07B1B">
        <w:rPr>
          <w:rFonts w:eastAsia="MS Mincho"/>
        </w:rPr>
        <w:t xml:space="preserve"> views, needs and expectations are as varied as women themselves</w:t>
      </w:r>
      <w:r>
        <w:rPr>
          <w:rFonts w:eastAsia="MS Mincho"/>
        </w:rPr>
        <w:t xml:space="preserve">, women </w:t>
      </w:r>
      <w:r w:rsidRPr="00E07B1B">
        <w:rPr>
          <w:rFonts w:eastAsia="MS Mincho"/>
        </w:rPr>
        <w:t>need a responsive and flexible service.</w:t>
      </w:r>
      <w:r>
        <w:rPr>
          <w:rFonts w:eastAsia="MS Mincho"/>
        </w:rPr>
        <w:t xml:space="preserve"> They</w:t>
      </w:r>
      <w:r w:rsidRPr="00E07B1B">
        <w:rPr>
          <w:rFonts w:eastAsia="MS Mincho"/>
        </w:rPr>
        <w:t xml:space="preserve"> need to be informed of and understand the importance of adhering to treatment for the health of both themselves and their baby. Effective and satisfactory communication between these pregnant</w:t>
      </w:r>
      <w:r>
        <w:rPr>
          <w:rFonts w:eastAsia="MS Mincho"/>
        </w:rPr>
        <w:t xml:space="preserve"> women</w:t>
      </w:r>
      <w:r w:rsidRPr="00E07B1B">
        <w:rPr>
          <w:rFonts w:eastAsia="MS Mincho"/>
        </w:rPr>
        <w:t xml:space="preserve"> and their health care providers may reduce anxiety and facilitate adherence to screening and treatment regimens.</w:t>
      </w:r>
    </w:p>
    <w:p w:rsidR="0025490C" w:rsidRPr="00E07B1B" w:rsidRDefault="0025490C" w:rsidP="00D562F2">
      <w:pPr>
        <w:rPr>
          <w:rFonts w:eastAsia="MS Mincho"/>
        </w:rPr>
      </w:pPr>
    </w:p>
    <w:p w:rsidR="0025490C" w:rsidRDefault="0025490C" w:rsidP="00D562F2">
      <w:pPr>
        <w:rPr>
          <w:rFonts w:eastAsia="MS Mincho"/>
        </w:rPr>
      </w:pPr>
      <w:r w:rsidRPr="00E07B1B">
        <w:rPr>
          <w:rFonts w:eastAsia="MS Mincho"/>
        </w:rPr>
        <w:t xml:space="preserve">Barriers to treatment include personal costs (time off work and travel to appointments) which may place additional pressure on pregnant women with </w:t>
      </w:r>
      <w:r w:rsidRPr="00E07B1B">
        <w:rPr>
          <w:rFonts w:cs="Arial"/>
        </w:rPr>
        <w:t>gestational diabetes</w:t>
      </w:r>
      <w:r>
        <w:rPr>
          <w:rFonts w:eastAsia="MS Mincho"/>
        </w:rPr>
        <w:t xml:space="preserve"> and</w:t>
      </w:r>
      <w:r w:rsidRPr="00E07B1B">
        <w:rPr>
          <w:rFonts w:eastAsia="MS Mincho"/>
        </w:rPr>
        <w:t xml:space="preserve"> their partners</w:t>
      </w:r>
      <w:r>
        <w:rPr>
          <w:rFonts w:eastAsia="MS Mincho"/>
        </w:rPr>
        <w:t>,</w:t>
      </w:r>
      <w:r w:rsidRPr="00E07B1B">
        <w:rPr>
          <w:rFonts w:eastAsia="MS Mincho"/>
        </w:rPr>
        <w:t xml:space="preserve"> family</w:t>
      </w:r>
      <w:r>
        <w:rPr>
          <w:rFonts w:eastAsia="MS Mincho"/>
        </w:rPr>
        <w:t xml:space="preserve"> and </w:t>
      </w:r>
      <w:r w:rsidRPr="00E07B1B">
        <w:rPr>
          <w:rFonts w:eastAsia="MS Mincho"/>
        </w:rPr>
        <w:t>wh</w:t>
      </w:r>
      <w:r w:rsidRPr="00E07B1B">
        <w:rPr>
          <w:rFonts w:eastAsia="MS Mincho" w:cs="Arial"/>
        </w:rPr>
        <w:t>ā</w:t>
      </w:r>
      <w:r w:rsidRPr="00E07B1B">
        <w:rPr>
          <w:rFonts w:eastAsia="MS Mincho"/>
        </w:rPr>
        <w:t>nau. Increased physical activity often requires social support from multiple sources to assist with child</w:t>
      </w:r>
      <w:r>
        <w:rPr>
          <w:rFonts w:eastAsia="MS Mincho"/>
        </w:rPr>
        <w:t xml:space="preserve"> </w:t>
      </w:r>
      <w:r w:rsidRPr="00E07B1B">
        <w:rPr>
          <w:rFonts w:eastAsia="MS Mincho"/>
        </w:rPr>
        <w:t>care arrangements.</w:t>
      </w:r>
    </w:p>
    <w:p w:rsidR="0025490C" w:rsidRPr="00E07B1B" w:rsidRDefault="0025490C" w:rsidP="00D562F2">
      <w:pPr>
        <w:rPr>
          <w:rFonts w:eastAsia="MS Mincho"/>
        </w:rPr>
      </w:pPr>
    </w:p>
    <w:p w:rsidR="0068074A" w:rsidRDefault="0025490C" w:rsidP="00D562F2">
      <w:pPr>
        <w:rPr>
          <w:rFonts w:eastAsia="MS Mincho"/>
        </w:rPr>
      </w:pPr>
      <w:r w:rsidRPr="00E07B1B">
        <w:rPr>
          <w:rFonts w:eastAsia="MS Mincho"/>
        </w:rPr>
        <w:t>Woman-centred care focuses on the woman</w:t>
      </w:r>
      <w:r w:rsidR="0068074A">
        <w:rPr>
          <w:rFonts w:eastAsia="MS Mincho"/>
        </w:rPr>
        <w:t>’</w:t>
      </w:r>
      <w:r w:rsidRPr="00E07B1B">
        <w:rPr>
          <w:rFonts w:eastAsia="MS Mincho"/>
        </w:rPr>
        <w:t>s unique needs, expectations and aspirations; recognises her right to self-determination in terms of choice, control and continuity of care; and addresses her social, emotional, physical, psychological, spiritual and cultural needs and expectations. It also acknowledges that a woman and her unborn baby do not exist independently of the woman</w:t>
      </w:r>
      <w:r w:rsidR="0068074A">
        <w:rPr>
          <w:rFonts w:eastAsia="MS Mincho"/>
        </w:rPr>
        <w:t>’</w:t>
      </w:r>
      <w:r w:rsidRPr="00E07B1B">
        <w:rPr>
          <w:rFonts w:eastAsia="MS Mincho"/>
        </w:rPr>
        <w:t xml:space="preserve">s social and emotional environment, and incorporates this understanding in assessment and provision of health care </w:t>
      </w:r>
      <w:r w:rsidRPr="00E07B1B">
        <w:rPr>
          <w:rFonts w:eastAsia="MS Mincho"/>
          <w:noProof/>
        </w:rPr>
        <w:t>(Australian Health Ministers</w:t>
      </w:r>
      <w:r w:rsidR="0068074A">
        <w:rPr>
          <w:rFonts w:eastAsia="MS Mincho"/>
          <w:noProof/>
        </w:rPr>
        <w:t>’</w:t>
      </w:r>
      <w:r w:rsidRPr="00E07B1B">
        <w:rPr>
          <w:rFonts w:eastAsia="MS Mincho"/>
          <w:noProof/>
        </w:rPr>
        <w:t xml:space="preserve"> Advisory Council 2012)</w:t>
      </w:r>
      <w:r w:rsidRPr="00E07B1B">
        <w:rPr>
          <w:rFonts w:eastAsia="MS Mincho"/>
        </w:rPr>
        <w:t>.</w:t>
      </w:r>
    </w:p>
    <w:p w:rsidR="0025490C" w:rsidRPr="00E07B1B" w:rsidRDefault="0025490C" w:rsidP="00D562F2">
      <w:pPr>
        <w:rPr>
          <w:rFonts w:eastAsia="MS Mincho"/>
        </w:rPr>
      </w:pPr>
    </w:p>
    <w:p w:rsidR="0025490C" w:rsidRDefault="0025490C" w:rsidP="00D562F2">
      <w:pPr>
        <w:rPr>
          <w:rFonts w:eastAsia="MS Mincho"/>
        </w:rPr>
      </w:pPr>
      <w:r w:rsidRPr="00E07B1B">
        <w:rPr>
          <w:rFonts w:eastAsia="MS Mincho"/>
        </w:rPr>
        <w:t>Recently published clinical practice antenatal guidelines provide a summary of the World Health Organization principles of antenatal care and include a series of principles regarding the provision of woman-centred care (refer to Appendix F).</w:t>
      </w:r>
    </w:p>
    <w:p w:rsidR="0025490C" w:rsidRPr="00E07B1B" w:rsidRDefault="0025490C" w:rsidP="00D562F2">
      <w:pPr>
        <w:rPr>
          <w:rFonts w:eastAsia="MS Mincho"/>
        </w:rPr>
      </w:pPr>
    </w:p>
    <w:p w:rsidR="0025490C" w:rsidRPr="00E07B1B" w:rsidRDefault="0025490C" w:rsidP="00D562F2">
      <w:pPr>
        <w:pStyle w:val="Heading2"/>
      </w:pPr>
      <w:bookmarkStart w:id="41" w:name="_Toc402873508"/>
      <w:bookmarkStart w:id="42" w:name="_Toc403469607"/>
      <w:r w:rsidRPr="00E07B1B">
        <w:t>1.5</w:t>
      </w:r>
      <w:r w:rsidR="00D562F2">
        <w:tab/>
      </w:r>
      <w:r w:rsidRPr="00E07B1B">
        <w:t>Summary</w:t>
      </w:r>
      <w:bookmarkEnd w:id="41"/>
      <w:bookmarkEnd w:id="42"/>
    </w:p>
    <w:p w:rsidR="0025490C" w:rsidRDefault="0025490C" w:rsidP="00D562F2">
      <w:r w:rsidRPr="00E07B1B">
        <w:t xml:space="preserve">Rates of gestational diabetes are increasing in New Zealand, particularly in centres in the </w:t>
      </w:r>
      <w:r>
        <w:t>g</w:t>
      </w:r>
      <w:r w:rsidRPr="00E07B1B">
        <w:t>reater Auckland region and Northland (reflecting high</w:t>
      </w:r>
      <w:r>
        <w:t>-</w:t>
      </w:r>
      <w:r w:rsidRPr="00E07B1B">
        <w:t xml:space="preserve">risk ethnic groups). Rates are likely to continue to increase as the obesity epidemic </w:t>
      </w:r>
      <w:r>
        <w:t>spreads</w:t>
      </w:r>
      <w:r w:rsidRPr="00E07B1B">
        <w:t>.</w:t>
      </w:r>
      <w:r>
        <w:t xml:space="preserve"> </w:t>
      </w:r>
      <w:r w:rsidRPr="00E07B1B">
        <w:t>Probable undiagnosed or untreated gestational diabetes poses a significant potential health risk to the mother and the infant. Timely diagnosis, treatment and continued follow-up are essential to prevent or minimise these adverse outcomes.</w:t>
      </w:r>
    </w:p>
    <w:p w:rsidR="00D562F2" w:rsidRPr="00E07B1B" w:rsidRDefault="00D562F2" w:rsidP="00D562F2"/>
    <w:p w:rsidR="00D562F2" w:rsidRDefault="00D562F2" w:rsidP="00D562F2">
      <w:bookmarkStart w:id="43" w:name="_Toc363207278"/>
      <w:bookmarkStart w:id="44" w:name="_Toc402873509"/>
      <w:r>
        <w:br w:type="page"/>
      </w:r>
    </w:p>
    <w:p w:rsidR="0025490C" w:rsidRDefault="0025490C" w:rsidP="00D562F2">
      <w:pPr>
        <w:pStyle w:val="Heading1"/>
      </w:pPr>
      <w:bookmarkStart w:id="45" w:name="_Toc403469608"/>
      <w:r w:rsidRPr="00E07B1B">
        <w:t>Chapter 2</w:t>
      </w:r>
      <w:r>
        <w:t>:</w:t>
      </w:r>
      <w:r w:rsidRPr="00E07B1B">
        <w:t xml:space="preserve"> Who should be screened for hyperglycaemia in pregnancy and how?</w:t>
      </w:r>
      <w:bookmarkEnd w:id="43"/>
      <w:bookmarkEnd w:id="44"/>
      <w:bookmarkEnd w:id="45"/>
    </w:p>
    <w:p w:rsidR="0025490C" w:rsidRPr="00E07B1B" w:rsidRDefault="0025490C" w:rsidP="00D562F2">
      <w:pPr>
        <w:pStyle w:val="Heading2"/>
      </w:pPr>
      <w:bookmarkStart w:id="46" w:name="_Toc363207279"/>
      <w:bookmarkStart w:id="47" w:name="_Toc402873510"/>
      <w:bookmarkStart w:id="48" w:name="_Toc403469609"/>
      <w:r w:rsidRPr="00E07B1B">
        <w:t>2.1</w:t>
      </w:r>
      <w:r w:rsidR="00D562F2">
        <w:tab/>
      </w:r>
      <w:r w:rsidRPr="00E07B1B">
        <w:t>Background</w:t>
      </w:r>
      <w:bookmarkEnd w:id="46"/>
      <w:bookmarkEnd w:id="47"/>
      <w:bookmarkEnd w:id="48"/>
    </w:p>
    <w:p w:rsidR="0068074A" w:rsidRDefault="0025490C" w:rsidP="00D562F2">
      <w:r w:rsidRPr="00E07B1B">
        <w:t xml:space="preserve">Increasing rates of diabetes in the general population </w:t>
      </w:r>
      <w:r>
        <w:t>are</w:t>
      </w:r>
      <w:r w:rsidRPr="00E07B1B">
        <w:t xml:space="preserve"> </w:t>
      </w:r>
      <w:r>
        <w:t>mirrored by</w:t>
      </w:r>
      <w:r w:rsidRPr="00E07B1B">
        <w:t xml:space="preserve"> an increase in the number of women with diabetes in pregnancy. Probable undiagnosed diabetes may result in maternal hyperglycaemia being present at the time of conception. This poses a threat to the developing fetus (increased risk of congenital abnormalities) and the mother (risk of diabetes</w:t>
      </w:r>
      <w:r>
        <w:t>-</w:t>
      </w:r>
      <w:r w:rsidRPr="00E07B1B">
        <w:t>associated complications requiring therapy during pregnancy) and will require treatment to normalise glycaemic control during pregnancy (IADPSG 2010). Women with type 2 diabetes require immediate treatment and management and are outside the scope of this clinical guideline.</w:t>
      </w:r>
    </w:p>
    <w:p w:rsidR="0025490C" w:rsidRPr="00E07B1B" w:rsidRDefault="0025490C" w:rsidP="00D562F2"/>
    <w:p w:rsidR="0025490C" w:rsidRPr="00E07B1B" w:rsidRDefault="0025490C" w:rsidP="00D562F2">
      <w:pPr>
        <w:pStyle w:val="Heading2"/>
      </w:pPr>
      <w:bookmarkStart w:id="49" w:name="_Toc363207280"/>
      <w:bookmarkStart w:id="50" w:name="_Toc402873511"/>
      <w:bookmarkStart w:id="51" w:name="_Toc403469610"/>
      <w:r w:rsidRPr="00E07B1B">
        <w:t>2.2</w:t>
      </w:r>
      <w:r w:rsidR="00D562F2">
        <w:tab/>
      </w:r>
      <w:r w:rsidRPr="00E07B1B">
        <w:t>Prevalence of probable undiagnosed diabetes in New Zealand</w:t>
      </w:r>
      <w:bookmarkEnd w:id="49"/>
      <w:bookmarkEnd w:id="50"/>
      <w:bookmarkEnd w:id="51"/>
    </w:p>
    <w:p w:rsidR="0025490C" w:rsidRDefault="0025490C" w:rsidP="00D562F2">
      <w:r w:rsidRPr="00E07B1B">
        <w:t>The overall prevalence of (diagnosed and undiagnosed) diabetes in the adult general population</w:t>
      </w:r>
      <w:r>
        <w:t>,</w:t>
      </w:r>
      <w:r w:rsidRPr="00E07B1B">
        <w:t xml:space="preserve"> as identified by survey data (2008/</w:t>
      </w:r>
      <w:r>
        <w:t>0</w:t>
      </w:r>
      <w:r w:rsidRPr="00E07B1B">
        <w:t>9 New Zealand Adult Nutrition Survey)</w:t>
      </w:r>
      <w:r>
        <w:t>,</w:t>
      </w:r>
      <w:r w:rsidRPr="00E07B1B">
        <w:t xml:space="preserve"> was 7%</w:t>
      </w:r>
      <w:r>
        <w:t>,</w:t>
      </w:r>
      <w:r w:rsidRPr="00E07B1B">
        <w:t xml:space="preserve"> and for prediabetes </w:t>
      </w:r>
      <w:r>
        <w:t xml:space="preserve">was </w:t>
      </w:r>
      <w:r w:rsidRPr="00E07B1B">
        <w:t xml:space="preserve">18.6% (Coppell </w:t>
      </w:r>
      <w:r w:rsidR="00D562F2">
        <w:t>et al</w:t>
      </w:r>
      <w:r>
        <w:t xml:space="preserve"> </w:t>
      </w:r>
      <w:r w:rsidRPr="00E07B1B">
        <w:t xml:space="preserve">2013). Probable undiagnosed diabetes was highest in Pacific peoples (6.4%) compared with Māori (2.2%) and Europeans and others (1.5%) (Coppell </w:t>
      </w:r>
      <w:r w:rsidR="00D562F2">
        <w:t>et al</w:t>
      </w:r>
      <w:r>
        <w:t xml:space="preserve"> </w:t>
      </w:r>
      <w:r w:rsidRPr="00E07B1B">
        <w:t>2013).</w:t>
      </w:r>
    </w:p>
    <w:p w:rsidR="0025490C" w:rsidRDefault="0025490C" w:rsidP="00D562F2"/>
    <w:p w:rsidR="0025490C" w:rsidRDefault="0025490C" w:rsidP="00D562F2">
      <w:r>
        <w:t>In women, t</w:t>
      </w:r>
      <w:r w:rsidRPr="00E07B1B">
        <w:t>he prevalence of undiagnosed diabetes was 1.5%. For women aged 25</w:t>
      </w:r>
      <w:r>
        <w:t>–</w:t>
      </w:r>
      <w:r w:rsidRPr="00E07B1B">
        <w:t>34 years the incidence was 1.1% and for women aged 35</w:t>
      </w:r>
      <w:r>
        <w:t>–</w:t>
      </w:r>
      <w:r w:rsidRPr="00E07B1B">
        <w:t xml:space="preserve">44 years </w:t>
      </w:r>
      <w:r>
        <w:t>it</w:t>
      </w:r>
      <w:r w:rsidRPr="00E07B1B">
        <w:t xml:space="preserve"> was 2%. Prevalence was much higher in women who were obese (4.1%) compared </w:t>
      </w:r>
      <w:r>
        <w:t>with</w:t>
      </w:r>
      <w:r w:rsidRPr="00E07B1B">
        <w:t xml:space="preserve"> those who were normal weight (0.5%) or overweight (0.6%) (Coppell</w:t>
      </w:r>
      <w:r>
        <w:t xml:space="preserve"> </w:t>
      </w:r>
      <w:r w:rsidR="00D562F2">
        <w:t>et al</w:t>
      </w:r>
      <w:r w:rsidRPr="00E07B1B">
        <w:t xml:space="preserve"> 2013).</w:t>
      </w:r>
    </w:p>
    <w:p w:rsidR="0025490C" w:rsidRPr="00E07B1B" w:rsidRDefault="0025490C" w:rsidP="00D562F2"/>
    <w:p w:rsidR="0025490C" w:rsidRPr="00E07B1B" w:rsidRDefault="0025490C" w:rsidP="00D562F2">
      <w:pPr>
        <w:pStyle w:val="Heading2"/>
      </w:pPr>
      <w:bookmarkStart w:id="52" w:name="_Toc363207281"/>
      <w:bookmarkStart w:id="53" w:name="_Toc402873512"/>
      <w:bookmarkStart w:id="54" w:name="_Toc403469611"/>
      <w:r w:rsidRPr="00E07B1B">
        <w:t>2.3</w:t>
      </w:r>
      <w:r w:rsidR="00D562F2">
        <w:tab/>
      </w:r>
      <w:r w:rsidRPr="00E07B1B">
        <w:t>Risk factors associated with probable undiagnosed diabetes and gestational diabetes</w:t>
      </w:r>
      <w:bookmarkEnd w:id="52"/>
      <w:bookmarkEnd w:id="53"/>
      <w:bookmarkEnd w:id="54"/>
    </w:p>
    <w:p w:rsidR="0025490C" w:rsidRDefault="0025490C" w:rsidP="00D562F2">
      <w:r w:rsidRPr="00E07B1B">
        <w:t>The risk factors identified from clinical guidelines and professional bodies for the screening of probable undiagnosed diabetes and for gestational diabetes are listed in Appendix G, Tables 3 and 4.</w:t>
      </w:r>
    </w:p>
    <w:p w:rsidR="0025490C" w:rsidRPr="00E07B1B" w:rsidRDefault="0025490C" w:rsidP="00D562F2"/>
    <w:p w:rsidR="0025490C" w:rsidRDefault="0025490C" w:rsidP="00D562F2">
      <w:r w:rsidRPr="00E07B1B">
        <w:t>A total of six systematic reviews and 58 additional observational studies were identified. Overall the quality of the evidence is very low</w:t>
      </w:r>
      <w:r>
        <w:t xml:space="preserve"> (r</w:t>
      </w:r>
      <w:r w:rsidRPr="00E07B1B">
        <w:t>efer to Appendix G, Tables 5</w:t>
      </w:r>
      <w:r>
        <w:t>–</w:t>
      </w:r>
      <w:r w:rsidRPr="00E07B1B">
        <w:t>14</w:t>
      </w:r>
      <w:r>
        <w:t>)</w:t>
      </w:r>
      <w:r w:rsidRPr="00E07B1B">
        <w:t>. A systematic review of 49</w:t>
      </w:r>
      <w:r w:rsidR="00D562F2">
        <w:t> </w:t>
      </w:r>
      <w:r w:rsidRPr="00E07B1B">
        <w:t>observational studies</w:t>
      </w:r>
      <w:r>
        <w:t xml:space="preserve">, which </w:t>
      </w:r>
      <w:r w:rsidRPr="00E07B1B">
        <w:t xml:space="preserve">included New Zealand </w:t>
      </w:r>
      <w:r>
        <w:t xml:space="preserve">studies, </w:t>
      </w:r>
      <w:r w:rsidRPr="00E07B1B">
        <w:t xml:space="preserve">identified indigenous women as being at higher risk of having undiagnosed type 2 diabetes (Chamberlain </w:t>
      </w:r>
      <w:r w:rsidR="00D562F2">
        <w:t>et al</w:t>
      </w:r>
      <w:r>
        <w:t xml:space="preserve"> </w:t>
      </w:r>
      <w:r w:rsidRPr="00E07B1B">
        <w:t>2013).</w:t>
      </w:r>
    </w:p>
    <w:p w:rsidR="0025490C" w:rsidRPr="00E07B1B" w:rsidRDefault="0025490C" w:rsidP="00D562F2"/>
    <w:p w:rsidR="0068074A" w:rsidRDefault="0025490C" w:rsidP="00D562F2">
      <w:r>
        <w:t>It is likely that</w:t>
      </w:r>
      <w:r w:rsidRPr="00E07B1B">
        <w:t xml:space="preserve"> interactions between risk factors</w:t>
      </w:r>
      <w:r>
        <w:t>,</w:t>
      </w:r>
      <w:r w:rsidRPr="001E7E4C">
        <w:t xml:space="preserve"> </w:t>
      </w:r>
      <w:r w:rsidRPr="00E07B1B">
        <w:t>rather than any single risk factor</w:t>
      </w:r>
      <w:r>
        <w:t>,</w:t>
      </w:r>
      <w:r w:rsidRPr="00E07B1B">
        <w:t xml:space="preserve"> predispose a woman to gestational diabetes.</w:t>
      </w:r>
    </w:p>
    <w:p w:rsidR="00D562F2" w:rsidRDefault="00D562F2" w:rsidP="00D562F2"/>
    <w:p w:rsidR="00D562F2" w:rsidRPr="00FF61C5" w:rsidRDefault="00D562F2" w:rsidP="00D562F2">
      <w:pPr>
        <w:pStyle w:val="BoxHeading"/>
      </w:pPr>
      <w:r>
        <w:t>Summary of r</w:t>
      </w:r>
      <w:r w:rsidRPr="00FF61C5">
        <w:t xml:space="preserve">isk factors associated with </w:t>
      </w:r>
      <w:r>
        <w:t xml:space="preserve">probable </w:t>
      </w:r>
      <w:r w:rsidRPr="00FF61C5">
        <w:t>undiagnosed</w:t>
      </w:r>
      <w:r>
        <w:t xml:space="preserve"> diab</w:t>
      </w:r>
      <w:r w:rsidRPr="00FF61C5">
        <w:t>etes and gestational diabetes</w:t>
      </w:r>
    </w:p>
    <w:p w:rsidR="00D562F2" w:rsidRPr="00BE72CC" w:rsidRDefault="00D562F2" w:rsidP="00D562F2">
      <w:pPr>
        <w:pStyle w:val="BoxBullet"/>
      </w:pPr>
      <w:r w:rsidRPr="00BE72CC">
        <w:t>Increasing maternal age (in particular &gt; 40 years)</w:t>
      </w:r>
    </w:p>
    <w:p w:rsidR="00D562F2" w:rsidRPr="00CD6B72" w:rsidRDefault="00D562F2" w:rsidP="00D562F2">
      <w:pPr>
        <w:pStyle w:val="BoxBullet"/>
      </w:pPr>
      <w:r w:rsidRPr="00BE72CC">
        <w:t xml:space="preserve">Family history of diabetes </w:t>
      </w:r>
      <w:r w:rsidRPr="00CD6B72">
        <w:t>in</w:t>
      </w:r>
      <w:r>
        <w:rPr>
          <w:vertAlign w:val="superscript"/>
        </w:rPr>
        <w:t xml:space="preserve"> </w:t>
      </w:r>
      <w:r>
        <w:t>first-</w:t>
      </w:r>
      <w:r w:rsidRPr="00CD6B72">
        <w:t>degree relative</w:t>
      </w:r>
    </w:p>
    <w:p w:rsidR="00D562F2" w:rsidRPr="00CD6B72" w:rsidRDefault="00D562F2" w:rsidP="00D562F2">
      <w:pPr>
        <w:pStyle w:val="BoxBullet"/>
      </w:pPr>
      <w:r w:rsidRPr="00BE72CC">
        <w:t>High</w:t>
      </w:r>
      <w:r>
        <w:t>-</w:t>
      </w:r>
      <w:r w:rsidRPr="00BE72CC">
        <w:t xml:space="preserve">risk ethnic group </w:t>
      </w:r>
      <w:r w:rsidRPr="00CD6B72">
        <w:t>(Indo-Asian, Māori, Pacific peoples, Middle Eastern)</w:t>
      </w:r>
    </w:p>
    <w:p w:rsidR="00D562F2" w:rsidRPr="00CD6B72" w:rsidRDefault="00D562F2" w:rsidP="00D562F2">
      <w:pPr>
        <w:pStyle w:val="BoxBullet"/>
      </w:pPr>
      <w:r w:rsidRPr="00BE72CC">
        <w:t>Elevated body mass index</w:t>
      </w:r>
      <w:r>
        <w:t>:</w:t>
      </w:r>
      <w:r w:rsidRPr="00BE72CC">
        <w:t xml:space="preserve"> </w:t>
      </w:r>
      <w:r w:rsidRPr="00CD6B72">
        <w:t>≥ 27 kg/m</w:t>
      </w:r>
      <w:r w:rsidRPr="00CD6B72">
        <w:rPr>
          <w:vertAlign w:val="superscript"/>
        </w:rPr>
        <w:t>2</w:t>
      </w:r>
      <w:r w:rsidRPr="00CD6B72">
        <w:t xml:space="preserve"> in Indo-Asian, ≥ 30</w:t>
      </w:r>
      <w:r>
        <w:t xml:space="preserve"> </w:t>
      </w:r>
      <w:r w:rsidRPr="00CD6B72">
        <w:t>kg/m</w:t>
      </w:r>
      <w:r w:rsidRPr="00CD6B72">
        <w:rPr>
          <w:vertAlign w:val="superscript"/>
        </w:rPr>
        <w:t>2</w:t>
      </w:r>
      <w:r w:rsidRPr="00CD6B72">
        <w:t xml:space="preserve"> in other ethnicit</w:t>
      </w:r>
      <w:r>
        <w:t>ies</w:t>
      </w:r>
    </w:p>
    <w:p w:rsidR="00D562F2" w:rsidRPr="00CD6B72" w:rsidRDefault="00D562F2" w:rsidP="00D562F2">
      <w:pPr>
        <w:pStyle w:val="BoxBullet"/>
      </w:pPr>
      <w:r w:rsidRPr="00BE72CC">
        <w:t xml:space="preserve">Previous macrosomic infant </w:t>
      </w:r>
      <w:r w:rsidRPr="00CD6B72">
        <w:t>(&gt; 4000 g)</w:t>
      </w:r>
    </w:p>
    <w:p w:rsidR="00D562F2" w:rsidRPr="00CD6B72" w:rsidRDefault="00D562F2" w:rsidP="00D562F2">
      <w:pPr>
        <w:pStyle w:val="BoxBullet"/>
      </w:pPr>
      <w:r w:rsidRPr="00BE72CC">
        <w:t>Previous history of gestational diabetes mellitus</w:t>
      </w:r>
    </w:p>
    <w:p w:rsidR="00D562F2" w:rsidRPr="00CD6B72" w:rsidRDefault="00D562F2" w:rsidP="00D562F2">
      <w:pPr>
        <w:pStyle w:val="BoxBullet"/>
      </w:pPr>
      <w:r w:rsidRPr="00BE72CC">
        <w:t>Previous history of impaired fasting glucose or impaired glucose tolerance</w:t>
      </w:r>
    </w:p>
    <w:p w:rsidR="00D562F2" w:rsidRPr="00CD6B72" w:rsidRDefault="00D562F2" w:rsidP="00D562F2">
      <w:pPr>
        <w:pStyle w:val="BoxBullet"/>
      </w:pPr>
      <w:r w:rsidRPr="00BE72CC">
        <w:t>Women with polycystic ovary syndrome</w:t>
      </w:r>
    </w:p>
    <w:p w:rsidR="00D562F2" w:rsidRPr="00CD6B72" w:rsidRDefault="00D562F2" w:rsidP="00D562F2">
      <w:pPr>
        <w:pStyle w:val="BoxBullet"/>
      </w:pPr>
      <w:r w:rsidRPr="00BE72CC">
        <w:t>Known cardiovascular disease, persistent hypertension (&gt; 135/80 mmHg), elevated triglycerides/cholesterol</w:t>
      </w:r>
    </w:p>
    <w:p w:rsidR="00D562F2" w:rsidRPr="00CD6B72" w:rsidRDefault="00D562F2" w:rsidP="00D562F2">
      <w:pPr>
        <w:pStyle w:val="BoxBullet"/>
      </w:pPr>
      <w:r w:rsidRPr="00BE72CC">
        <w:t xml:space="preserve">Advancing age: </w:t>
      </w:r>
      <w:r w:rsidRPr="00CD6B72">
        <w:t>≥ 35 years for Māori, Indo-Asian and Pacific peoples; ≥</w:t>
      </w:r>
      <w:r>
        <w:t xml:space="preserve"> </w:t>
      </w:r>
      <w:r w:rsidRPr="00CD6B72">
        <w:t>45 years for other ethnicity</w:t>
      </w:r>
    </w:p>
    <w:p w:rsidR="00D562F2" w:rsidRPr="00CD6B72" w:rsidRDefault="00D562F2" w:rsidP="00D562F2">
      <w:pPr>
        <w:pStyle w:val="BoxBullet"/>
      </w:pPr>
      <w:r w:rsidRPr="00BE72CC">
        <w:t>Acanthosis nigricans</w:t>
      </w:r>
    </w:p>
    <w:p w:rsidR="00D562F2" w:rsidRPr="00CD6B72" w:rsidRDefault="00D562F2" w:rsidP="00D562F2">
      <w:pPr>
        <w:pStyle w:val="BoxBullet"/>
      </w:pPr>
      <w:r w:rsidRPr="00BE72CC">
        <w:t>Long</w:t>
      </w:r>
      <w:r>
        <w:t>-</w:t>
      </w:r>
      <w:r w:rsidRPr="00BE72CC">
        <w:t>term use of steroids/antipsychotic medication</w:t>
      </w:r>
    </w:p>
    <w:p w:rsidR="00D562F2" w:rsidRDefault="00D562F2" w:rsidP="00D562F2">
      <w:pPr>
        <w:pStyle w:val="BoxBullet"/>
      </w:pPr>
      <w:r w:rsidRPr="00BE72CC">
        <w:t>Physical inactivity/sedentary lifestyle</w:t>
      </w:r>
    </w:p>
    <w:p w:rsidR="00D562F2" w:rsidRDefault="00D562F2" w:rsidP="00D562F2"/>
    <w:p w:rsidR="0025490C" w:rsidRDefault="0025490C" w:rsidP="00D562F2">
      <w:r w:rsidRPr="00E07B1B">
        <w:t>Some women with no known risk factors may still be diagnosed with gestational diabetes. Risk factor screening would fail to identify these women. For women with probable undiagnosed diabetes</w:t>
      </w:r>
      <w:r>
        <w:t>,</w:t>
      </w:r>
      <w:r w:rsidRPr="00E07B1B">
        <w:t xml:space="preserve"> </w:t>
      </w:r>
      <w:r>
        <w:t>t</w:t>
      </w:r>
      <w:r w:rsidRPr="00E07B1B">
        <w:t xml:space="preserve">he risk of adverse outcomes for mother and infant </w:t>
      </w:r>
      <w:r>
        <w:t xml:space="preserve">from </w:t>
      </w:r>
      <w:r w:rsidRPr="00E07B1B">
        <w:t>waiting until 24</w:t>
      </w:r>
      <w:r>
        <w:t>–</w:t>
      </w:r>
      <w:r w:rsidRPr="00E07B1B">
        <w:t>28 weeks</w:t>
      </w:r>
      <w:r w:rsidR="0068074A">
        <w:t>’</w:t>
      </w:r>
      <w:r w:rsidRPr="00E07B1B">
        <w:t xml:space="preserve"> gestation for screening and diagnosis for gestational diabetes (as currently recommended) </w:t>
      </w:r>
      <w:r>
        <w:t>is</w:t>
      </w:r>
      <w:r w:rsidRPr="00E07B1B">
        <w:t xml:space="preserve"> unknown. Identification of women with diabetes early in pregnancy allows preventive me</w:t>
      </w:r>
      <w:r>
        <w:t>asures to be commenced earlier.</w:t>
      </w:r>
    </w:p>
    <w:p w:rsidR="0025490C" w:rsidRPr="00E07B1B" w:rsidRDefault="0025490C" w:rsidP="00D562F2"/>
    <w:p w:rsidR="0025490C" w:rsidRPr="00E07B1B" w:rsidRDefault="0025490C" w:rsidP="00D562F2">
      <w:pPr>
        <w:pStyle w:val="Heading2"/>
      </w:pPr>
      <w:bookmarkStart w:id="55" w:name="_Toc363207282"/>
      <w:bookmarkStart w:id="56" w:name="_Toc402873513"/>
      <w:bookmarkStart w:id="57" w:name="_Toc403469612"/>
      <w:r w:rsidRPr="00E07B1B">
        <w:t>2.4</w:t>
      </w:r>
      <w:r w:rsidR="00D562F2">
        <w:tab/>
      </w:r>
      <w:r w:rsidRPr="00E07B1B">
        <w:t>Screening for undiagnosed diabetes in New Zealand</w:t>
      </w:r>
      <w:bookmarkEnd w:id="55"/>
      <w:bookmarkEnd w:id="56"/>
      <w:bookmarkEnd w:id="57"/>
    </w:p>
    <w:p w:rsidR="0025490C" w:rsidRDefault="0025490C" w:rsidP="00D562F2">
      <w:r w:rsidRPr="00E07B1B">
        <w:t>A New Zealand study screened for asymptomatic type 2 diabetes in a population of 2130</w:t>
      </w:r>
      <w:r w:rsidR="00D562F2">
        <w:t> </w:t>
      </w:r>
      <w:r w:rsidRPr="00E07B1B">
        <w:t>European</w:t>
      </w:r>
      <w:r>
        <w:t>s</w:t>
      </w:r>
      <w:r w:rsidRPr="00E07B1B">
        <w:t>, Māori and Pacific peoples (age</w:t>
      </w:r>
      <w:r>
        <w:t>d</w:t>
      </w:r>
      <w:r w:rsidRPr="00E07B1B">
        <w:t xml:space="preserve"> 40</w:t>
      </w:r>
      <w:r>
        <w:t>–</w:t>
      </w:r>
      <w:r w:rsidRPr="00E07B1B">
        <w:t>79 years) in South Auckland (Simmons</w:t>
      </w:r>
      <w:r>
        <w:t xml:space="preserve"> </w:t>
      </w:r>
      <w:r w:rsidR="00D562F2">
        <w:t>et al</w:t>
      </w:r>
      <w:r w:rsidRPr="00E07B1B">
        <w:t xml:space="preserve"> 2004). Risk factor screening (family history of diabetes, known hypertension, and past history of gestational diabetes) was compared </w:t>
      </w:r>
      <w:r>
        <w:t>with</w:t>
      </w:r>
      <w:r w:rsidRPr="00E07B1B">
        <w:t xml:space="preserve"> a random glucose test, which </w:t>
      </w:r>
      <w:r>
        <w:t>was</w:t>
      </w:r>
      <w:r w:rsidRPr="00E07B1B">
        <w:t xml:space="preserve"> positive</w:t>
      </w:r>
      <w:r>
        <w:t xml:space="preserve"> if the value was </w:t>
      </w:r>
      <w:r w:rsidRPr="00E07B1B">
        <w:t xml:space="preserve">≥ 6.5 mmol/L at less than </w:t>
      </w:r>
      <w:r>
        <w:t>two</w:t>
      </w:r>
      <w:r w:rsidRPr="00E07B1B">
        <w:t xml:space="preserve"> hours, or </w:t>
      </w:r>
      <m:oMath>
        <m:r>
          <w:rPr>
            <w:rFonts w:ascii="Cambria Math" w:hAnsi="Cambria Math"/>
          </w:rPr>
          <m:t>≥</m:t>
        </m:r>
      </m:oMath>
      <w:r w:rsidRPr="00E07B1B">
        <w:rPr>
          <w:rFonts w:eastAsia="MS Mincho"/>
        </w:rPr>
        <w:t xml:space="preserve"> </w:t>
      </w:r>
      <w:r w:rsidRPr="00E07B1B">
        <w:t xml:space="preserve">6.0 mmol/L at more than </w:t>
      </w:r>
      <w:r>
        <w:t>two</w:t>
      </w:r>
      <w:r w:rsidRPr="00E07B1B">
        <w:t xml:space="preserve"> hours postprandial. In addition, 28% of those who had a negative random glucose test also underwent an oral glucose tolerance test (OGTT). Obesity (body mass index ≥ 30 kg/m</w:t>
      </w:r>
      <w:r w:rsidRPr="00E07B1B">
        <w:rPr>
          <w:vertAlign w:val="superscript"/>
        </w:rPr>
        <w:t>2</w:t>
      </w:r>
      <w:r w:rsidRPr="00E07B1B">
        <w:t>) was identified as a risk factor in 80% of those with newly diagnosed type 2 diabetes and 34% had a first</w:t>
      </w:r>
      <w:r>
        <w:t>-</w:t>
      </w:r>
      <w:r w:rsidRPr="00E07B1B">
        <w:t>degree relative with diabetes. A high proportion of Polynesians had risk factors. The authors report that a quarter of newly diagnosed Europeans with type 2 diabetes had no kno</w:t>
      </w:r>
      <w:r>
        <w:t>wn risk factors for diabetes.</w:t>
      </w:r>
    </w:p>
    <w:p w:rsidR="0025490C" w:rsidRPr="00E07B1B" w:rsidRDefault="0025490C" w:rsidP="00D562F2"/>
    <w:p w:rsidR="0025490C" w:rsidRPr="00E07B1B" w:rsidRDefault="0025490C" w:rsidP="00D562F2">
      <w:pPr>
        <w:keepLines/>
      </w:pPr>
      <w:r w:rsidRPr="00E07B1B">
        <w:t>In a non-pregnant population, random glucose and glycated haemoglobin (HbA1c) were comparable when screening for dysglycaemia. HbA1c was superior for detecting diabetes alone and HbA1c screening (threshold ≥ 34.4 mmol/mol) was superior to risk factor screening. Risk factor screening alone would have missed 18% of all subjects and a third of Europeans who had an HbA1c ≥ 8% (Simmons</w:t>
      </w:r>
      <w:r>
        <w:t xml:space="preserve"> </w:t>
      </w:r>
      <w:r w:rsidR="00D562F2">
        <w:t>et al</w:t>
      </w:r>
      <w:r w:rsidRPr="00E07B1B">
        <w:t xml:space="preserve"> 2004).</w:t>
      </w:r>
    </w:p>
    <w:p w:rsidR="0025490C" w:rsidRPr="00E07B1B" w:rsidRDefault="0025490C" w:rsidP="00D562F2"/>
    <w:p w:rsidR="0025490C" w:rsidRPr="00D562F2" w:rsidRDefault="0025490C" w:rsidP="00164D1B">
      <w:pPr>
        <w:pStyle w:val="Heading2"/>
      </w:pPr>
      <w:bookmarkStart w:id="58" w:name="_Toc363207283"/>
      <w:bookmarkStart w:id="59" w:name="_Toc402873514"/>
      <w:bookmarkStart w:id="60" w:name="_Toc403469613"/>
      <w:r w:rsidRPr="00E07B1B">
        <w:rPr>
          <w:noProof/>
        </w:rPr>
        <w:t>2.5</w:t>
      </w:r>
      <w:r w:rsidR="00D562F2">
        <w:rPr>
          <w:noProof/>
        </w:rPr>
        <w:tab/>
      </w:r>
      <w:r w:rsidRPr="00E07B1B">
        <w:rPr>
          <w:noProof/>
        </w:rPr>
        <w:t>HbA1c to detect previously undiagnosed diabetes or prediabetes in early pregnancy (&lt; 20 weeks</w:t>
      </w:r>
      <w:r w:rsidR="0068074A">
        <w:rPr>
          <w:noProof/>
        </w:rPr>
        <w:t>’</w:t>
      </w:r>
      <w:r w:rsidRPr="00E07B1B">
        <w:rPr>
          <w:noProof/>
        </w:rPr>
        <w:t xml:space="preserve"> gestation)</w:t>
      </w:r>
      <w:bookmarkEnd w:id="58"/>
      <w:bookmarkEnd w:id="59"/>
      <w:bookmarkEnd w:id="60"/>
    </w:p>
    <w:p w:rsidR="0025490C" w:rsidRPr="00E07B1B" w:rsidRDefault="0025490C" w:rsidP="00164D1B">
      <w:pPr>
        <w:pStyle w:val="Heading3"/>
        <w:spacing w:before="240"/>
      </w:pPr>
      <w:bookmarkStart w:id="61" w:name="_Toc402873515"/>
      <w:r w:rsidRPr="00E07B1B">
        <w:t>2.5.1</w:t>
      </w:r>
      <w:r w:rsidR="00D562F2">
        <w:tab/>
      </w:r>
      <w:r w:rsidRPr="00E07B1B">
        <w:t>Background</w:t>
      </w:r>
      <w:bookmarkEnd w:id="61"/>
    </w:p>
    <w:p w:rsidR="0025490C" w:rsidRPr="00E07B1B" w:rsidRDefault="0025490C" w:rsidP="00164D1B">
      <w:r>
        <w:t>The Guideline Development Team</w:t>
      </w:r>
      <w:r w:rsidRPr="00E07B1B">
        <w:t xml:space="preserve"> assessed the evidence for screening with HbA1c in early pregnancy (&lt;</w:t>
      </w:r>
      <w:r>
        <w:t xml:space="preserve"> </w:t>
      </w:r>
      <w:r w:rsidRPr="00E07B1B">
        <w:t xml:space="preserve">20 weeks). No published randomised controlled trial evidence was found. </w:t>
      </w:r>
      <w:bookmarkStart w:id="62" w:name="_Toc363207284"/>
      <w:r w:rsidRPr="00E07B1B">
        <w:t>The recommendations and statements on early screening in the guidelines and reports generally appear to be derived from consensus; where the statements or recommendations are graded, the evidence supporting the grading is frequently unreported (</w:t>
      </w:r>
      <w:r>
        <w:t>r</w:t>
      </w:r>
      <w:r w:rsidRPr="00E07B1B">
        <w:t>efer to Appendix G, Table 15).</w:t>
      </w:r>
    </w:p>
    <w:p w:rsidR="0025490C" w:rsidRPr="00E07B1B" w:rsidRDefault="0025490C" w:rsidP="00164D1B"/>
    <w:p w:rsidR="0025490C" w:rsidRPr="00E07B1B" w:rsidRDefault="0025490C" w:rsidP="00164D1B">
      <w:pPr>
        <w:pStyle w:val="Heading3"/>
      </w:pPr>
      <w:bookmarkStart w:id="63" w:name="_Toc402873516"/>
      <w:r w:rsidRPr="00E07B1B">
        <w:t>2.5.2</w:t>
      </w:r>
      <w:r w:rsidR="00164D1B">
        <w:tab/>
      </w:r>
      <w:r w:rsidRPr="00E07B1B">
        <w:t>Observational studies</w:t>
      </w:r>
      <w:bookmarkEnd w:id="62"/>
      <w:bookmarkEnd w:id="63"/>
    </w:p>
    <w:p w:rsidR="0068074A" w:rsidRDefault="0025490C" w:rsidP="00164D1B">
      <w:r w:rsidRPr="00E07B1B">
        <w:t>Three observational studies assessed HbA1c as an early screening tool in pregnant women (Maegawa</w:t>
      </w:r>
      <w:r>
        <w:t xml:space="preserve"> </w:t>
      </w:r>
      <w:r w:rsidR="00D562F2">
        <w:t>et al</w:t>
      </w:r>
      <w:r w:rsidRPr="00E07B1B">
        <w:t xml:space="preserve"> 2003</w:t>
      </w:r>
      <w:r>
        <w:t>;</w:t>
      </w:r>
      <w:r w:rsidRPr="00DB0966">
        <w:t xml:space="preserve"> </w:t>
      </w:r>
      <w:r w:rsidRPr="00E07B1B">
        <w:t xml:space="preserve">Moore </w:t>
      </w:r>
      <w:r w:rsidR="00164D1B">
        <w:t>et al</w:t>
      </w:r>
      <w:r>
        <w:t xml:space="preserve"> </w:t>
      </w:r>
      <w:r w:rsidRPr="00E07B1B">
        <w:t xml:space="preserve">2013; Hughes </w:t>
      </w:r>
      <w:r w:rsidR="00D562F2">
        <w:t>et al</w:t>
      </w:r>
      <w:r>
        <w:t xml:space="preserve"> </w:t>
      </w:r>
      <w:r w:rsidRPr="00E07B1B">
        <w:t>201</w:t>
      </w:r>
      <w:r>
        <w:t>4</w:t>
      </w:r>
      <w:r w:rsidRPr="00E07B1B">
        <w:t>). One study screened 296 women with an HbA1c test at the first antenatal visit (all prior to 20 weeks) (</w:t>
      </w:r>
      <w:r w:rsidR="00164D1B">
        <w:t xml:space="preserve">Moore et al </w:t>
      </w:r>
      <w:r w:rsidRPr="00E07B1B">
        <w:t>2013). Those with an HbA1c ≥ 48 mmol/mol (group 1) were considered to have diabetes and were instructed on diet and daily self</w:t>
      </w:r>
      <w:r>
        <w:t>-</w:t>
      </w:r>
      <w:r w:rsidRPr="00E07B1B">
        <w:t>monitoring of blood glucose. Those with an HbA1c between 39 and 47</w:t>
      </w:r>
      <w:r w:rsidR="00164D1B">
        <w:t> </w:t>
      </w:r>
      <w:r w:rsidRPr="00E07B1B">
        <w:t>mmol/mol (group 2) were considered to have glucose intolerance and were tested immediately for gestational diabetes and if necessary again at 24</w:t>
      </w:r>
      <w:r>
        <w:t>–</w:t>
      </w:r>
      <w:r w:rsidRPr="00E07B1B">
        <w:t>28 weeks. Women with an HbA1c &lt;</w:t>
      </w:r>
      <w:r w:rsidR="00164D1B">
        <w:t> </w:t>
      </w:r>
      <w:r w:rsidRPr="00E07B1B">
        <w:t>39 mmol/mol (group 3) were tested at 24</w:t>
      </w:r>
      <w:r>
        <w:t>–</w:t>
      </w:r>
      <w:r w:rsidRPr="00E07B1B">
        <w:t>28 weeks for gestational diabetes.</w:t>
      </w:r>
    </w:p>
    <w:p w:rsidR="0025490C" w:rsidRPr="00E07B1B" w:rsidRDefault="0025490C" w:rsidP="00164D1B"/>
    <w:p w:rsidR="0025490C" w:rsidRDefault="0025490C" w:rsidP="00164D1B">
      <w:r w:rsidRPr="00E07B1B">
        <w:t>The authors concluded that HbA1c testing at the first antenatal visit can be used to optimise the timing of later screening for gestational diabetes. The study did not have a control group so it was unable to determine whether screening early in pregnancy was associated with beneficial outcomes for pregnant women (</w:t>
      </w:r>
      <w:r w:rsidR="00164D1B">
        <w:t xml:space="preserve">Moore et al </w:t>
      </w:r>
      <w:r w:rsidRPr="00E07B1B">
        <w:t>2013).</w:t>
      </w:r>
    </w:p>
    <w:p w:rsidR="0025490C" w:rsidRPr="00E07B1B" w:rsidRDefault="0025490C" w:rsidP="00164D1B"/>
    <w:p w:rsidR="0025490C" w:rsidRDefault="0025490C" w:rsidP="00164D1B">
      <w:r w:rsidRPr="00E07B1B">
        <w:t xml:space="preserve">A Japanese study assessed four different approaches </w:t>
      </w:r>
      <w:r>
        <w:t>to</w:t>
      </w:r>
      <w:r w:rsidRPr="00E07B1B">
        <w:t xml:space="preserve"> detecting gestational diabetes (50 g oral glucose challenge test (</w:t>
      </w:r>
      <w:r>
        <w:t xml:space="preserve">also </w:t>
      </w:r>
      <w:r w:rsidRPr="00E07B1B">
        <w:t xml:space="preserve">known as the polycose test), random plasma glucose measurement, HbA1c and fasting blood glucose) and compared screening in the first and second trimesters of pregnancy (Maegawa </w:t>
      </w:r>
      <w:r w:rsidR="00D562F2">
        <w:t>et al</w:t>
      </w:r>
      <w:r>
        <w:t xml:space="preserve"> </w:t>
      </w:r>
      <w:r w:rsidRPr="00E07B1B">
        <w:t>2003). Gestational diabetes was conf</w:t>
      </w:r>
      <w:r>
        <w:t>i</w:t>
      </w:r>
      <w:r w:rsidRPr="00E07B1B">
        <w:t xml:space="preserve">rmed with a 75 g oral glucose tolerance test within four weeks of being screened. The glucose challenge test was found to be the optimal test for gestational diabetes screening based on assessments of different thresholds of the tests used. The authors conclude that first trimester screening for glucose intolerance was important as it suggests that the problem was probably present before pregnancy (Maegawa </w:t>
      </w:r>
      <w:r w:rsidR="00D562F2">
        <w:t>et al</w:t>
      </w:r>
      <w:r>
        <w:t xml:space="preserve"> </w:t>
      </w:r>
      <w:r w:rsidRPr="00E07B1B">
        <w:t>2003).</w:t>
      </w:r>
    </w:p>
    <w:p w:rsidR="0025490C" w:rsidRPr="00E07B1B" w:rsidRDefault="0025490C" w:rsidP="00164D1B"/>
    <w:p w:rsidR="0025490C" w:rsidRDefault="0025490C" w:rsidP="00164D1B">
      <w:pPr>
        <w:keepLines/>
      </w:pPr>
      <w:bookmarkStart w:id="64" w:name="_Toc363207285"/>
      <w:r w:rsidRPr="00E07B1B">
        <w:t>The New Zealand STEP</w:t>
      </w:r>
      <w:r>
        <w:t xml:space="preserve"> (Screening for type 2 diabetes in Early Pregnancy</w:t>
      </w:r>
      <w:r w:rsidRPr="00E07B1B">
        <w:t>) or gestational diabetes in early pregnancy. Women (</w:t>
      </w:r>
      <w:r w:rsidRPr="008902B1">
        <w:rPr>
          <w:i/>
        </w:rPr>
        <w:t>n</w:t>
      </w:r>
      <w:r>
        <w:t xml:space="preserve"> </w:t>
      </w:r>
      <w:r w:rsidRPr="00E07B1B">
        <w:t>=</w:t>
      </w:r>
      <w:r>
        <w:t xml:space="preserve"> </w:t>
      </w:r>
      <w:r w:rsidRPr="00E07B1B">
        <w:t>16,122) were screened with an HbA1c and random blood glucose measured with the first antenatal blood tests.</w:t>
      </w:r>
      <w:r>
        <w:t xml:space="preserve"> </w:t>
      </w:r>
      <w:r w:rsidRPr="00E07B1B">
        <w:t>Women with HbA1c ≥</w:t>
      </w:r>
      <w:r w:rsidR="00164D1B">
        <w:t> </w:t>
      </w:r>
      <w:r w:rsidRPr="00E07B1B">
        <w:t>38</w:t>
      </w:r>
      <w:r w:rsidR="00164D1B">
        <w:t> </w:t>
      </w:r>
      <w:r w:rsidRPr="00E07B1B">
        <w:t>mmol/mol or a random blood glucose ≥</w:t>
      </w:r>
      <w:r>
        <w:t xml:space="preserve"> </w:t>
      </w:r>
      <w:r w:rsidRPr="00E07B1B">
        <w:t xml:space="preserve">5.5 mmol/L and a consecutive series of 1000 women with results below these thresholds (control group) were invited to have a </w:t>
      </w:r>
      <w:r>
        <w:t>two-</w:t>
      </w:r>
      <w:r w:rsidRPr="00E07B1B">
        <w:t>hour</w:t>
      </w:r>
      <w:r>
        <w:t>,</w:t>
      </w:r>
      <w:r w:rsidRPr="00E07B1B">
        <w:t xml:space="preserve"> 75</w:t>
      </w:r>
      <w:r w:rsidR="00164D1B">
        <w:t> </w:t>
      </w:r>
      <w:r w:rsidRPr="00E07B1B">
        <w:t>g OGTT before 20 weeks</w:t>
      </w:r>
      <w:r w:rsidR="0068074A">
        <w:t>’</w:t>
      </w:r>
      <w:r w:rsidRPr="00E07B1B">
        <w:t xml:space="preserve"> gestation. Diabetes in pregnancy and gestational diabetes were diagnosed by </w:t>
      </w:r>
      <w:r>
        <w:t>WHO</w:t>
      </w:r>
      <w:r w:rsidRPr="00E07B1B">
        <w:t xml:space="preserve"> glucose criteria. The uptake of the diagnostic invitation (OGTT) was very low</w:t>
      </w:r>
      <w:r>
        <w:t>:</w:t>
      </w:r>
      <w:r w:rsidRPr="00E07B1B">
        <w:t xml:space="preserve"> 16.4% of the control group and 21.3% of those women above the threshold</w:t>
      </w:r>
      <w:r>
        <w:t xml:space="preserve"> participated</w:t>
      </w:r>
      <w:r w:rsidRPr="00E07B1B">
        <w:t xml:space="preserve">. An early OGTT was performed </w:t>
      </w:r>
      <w:r>
        <w:t>for</w:t>
      </w:r>
      <w:r w:rsidRPr="00E07B1B">
        <w:t xml:space="preserve"> only 983 women</w:t>
      </w:r>
      <w:r>
        <w:t>;</w:t>
      </w:r>
      <w:r w:rsidRPr="00E07B1B">
        <w:t xml:space="preserve"> however</w:t>
      </w:r>
      <w:r>
        <w:t>,</w:t>
      </w:r>
      <w:r w:rsidRPr="00E07B1B">
        <w:t xml:space="preserve"> the analysis weighted the results to adjust for the discrepancy in the number of women with low and high screening test results (Hughes</w:t>
      </w:r>
      <w:r>
        <w:rPr>
          <w:rFonts w:cs="Arial"/>
          <w:szCs w:val="24"/>
        </w:rPr>
        <w:t xml:space="preserve"> </w:t>
      </w:r>
      <w:r w:rsidR="00D562F2">
        <w:rPr>
          <w:rFonts w:cs="Arial"/>
          <w:szCs w:val="24"/>
        </w:rPr>
        <w:t>et al</w:t>
      </w:r>
      <w:r w:rsidRPr="00E07B1B">
        <w:rPr>
          <w:i/>
        </w:rPr>
        <w:t xml:space="preserve"> </w:t>
      </w:r>
      <w:r w:rsidRPr="00E07B1B">
        <w:t>2014).</w:t>
      </w:r>
    </w:p>
    <w:p w:rsidR="0025490C" w:rsidRPr="00E07B1B" w:rsidRDefault="0025490C" w:rsidP="00164D1B"/>
    <w:p w:rsidR="0025490C" w:rsidRDefault="0025490C" w:rsidP="00164D1B">
      <w:r w:rsidRPr="00E07B1B">
        <w:t>Only 0.6% (99</w:t>
      </w:r>
      <w:r>
        <w:t xml:space="preserve"> out of </w:t>
      </w:r>
      <w:r w:rsidRPr="00E07B1B">
        <w:t>16,122) of the study population had probable undiagnosed diabetes. The authors conclude that the HbA1c test was superior to random blood glucose for detecting probable undiagnosed diabetes in pregnancy. They also state that HbA1c is likely to be a cost</w:t>
      </w:r>
      <w:r>
        <w:t>-</w:t>
      </w:r>
      <w:r w:rsidRPr="00E07B1B">
        <w:t xml:space="preserve">effective addition to the first antenatal screen, especially in a population with a high prevalence of diabetes. The authors note </w:t>
      </w:r>
      <w:r>
        <w:t>the need for</w:t>
      </w:r>
      <w:r w:rsidRPr="00E07B1B">
        <w:t xml:space="preserve"> studies confirming that earlier treatment improve</w:t>
      </w:r>
      <w:r>
        <w:t>s</w:t>
      </w:r>
      <w:r w:rsidRPr="00E07B1B">
        <w:t xml:space="preserve"> pregnancy outcomes (Hughes</w:t>
      </w:r>
      <w:r>
        <w:t xml:space="preserve"> </w:t>
      </w:r>
      <w:r w:rsidR="00D562F2">
        <w:t>et al</w:t>
      </w:r>
      <w:r w:rsidRPr="00E07B1B">
        <w:t xml:space="preserve"> 2014).</w:t>
      </w:r>
    </w:p>
    <w:p w:rsidR="0025490C" w:rsidRPr="00E07B1B" w:rsidRDefault="0025490C" w:rsidP="00164D1B"/>
    <w:p w:rsidR="0025490C" w:rsidRPr="00E07B1B" w:rsidRDefault="0025490C" w:rsidP="00164D1B">
      <w:pPr>
        <w:pStyle w:val="Heading3"/>
      </w:pPr>
      <w:bookmarkStart w:id="65" w:name="_Toc402873517"/>
      <w:r w:rsidRPr="00E07B1B">
        <w:t>2.5.3</w:t>
      </w:r>
      <w:r w:rsidR="00164D1B">
        <w:tab/>
      </w:r>
      <w:r w:rsidRPr="00E07B1B">
        <w:t>Summary</w:t>
      </w:r>
      <w:bookmarkEnd w:id="64"/>
      <w:bookmarkEnd w:id="65"/>
    </w:p>
    <w:p w:rsidR="0025490C" w:rsidRPr="00E07B1B" w:rsidRDefault="0025490C" w:rsidP="00164D1B">
      <w:pPr>
        <w:rPr>
          <w:b/>
        </w:rPr>
      </w:pPr>
      <w:r w:rsidRPr="00E07B1B">
        <w:t>There is minimal evidence to determine if all pregnant women</w:t>
      </w:r>
      <w:r>
        <w:t xml:space="preserve"> at</w:t>
      </w:r>
      <w:r w:rsidRPr="00E07B1B">
        <w:t xml:space="preserve"> less than 20 weeks</w:t>
      </w:r>
      <w:r w:rsidR="0068074A">
        <w:t>’</w:t>
      </w:r>
      <w:r w:rsidRPr="00E07B1B">
        <w:t xml:space="preserve"> gestation should be offered an HbA1c to detect previously undiagnosed type 2 diabetes. Recommendations from guidelines and position statements for HbA1c testing </w:t>
      </w:r>
      <w:r>
        <w:t xml:space="preserve">of </w:t>
      </w:r>
      <w:r w:rsidRPr="00E07B1B">
        <w:t>all women or women with risk factors prior to 20 weeks appear to have been mostly derived from consensus.</w:t>
      </w:r>
      <w:r>
        <w:t xml:space="preserve"> </w:t>
      </w:r>
      <w:r w:rsidRPr="00E07B1B">
        <w:t xml:space="preserve">No evidence was identified to link screening </w:t>
      </w:r>
      <w:r>
        <w:t>using</w:t>
      </w:r>
      <w:r w:rsidRPr="00E07B1B">
        <w:t xml:space="preserve"> HbA1c early in pregnancy with later maternal or fetal outcomes.</w:t>
      </w:r>
    </w:p>
    <w:p w:rsidR="0025490C" w:rsidRPr="00E07B1B" w:rsidRDefault="0025490C" w:rsidP="00164D1B"/>
    <w:p w:rsidR="0025490C" w:rsidRPr="00E07B1B" w:rsidRDefault="0025490C" w:rsidP="00164D1B">
      <w:pPr>
        <w:pStyle w:val="Heading2"/>
      </w:pPr>
      <w:bookmarkStart w:id="66" w:name="_Toc363207286"/>
      <w:bookmarkStart w:id="67" w:name="_Toc402873518"/>
      <w:bookmarkStart w:id="68" w:name="_Toc403469614"/>
      <w:r w:rsidRPr="00E07B1B">
        <w:t>2.6</w:t>
      </w:r>
      <w:r w:rsidR="00164D1B">
        <w:tab/>
      </w:r>
      <w:r w:rsidRPr="00E07B1B">
        <w:t>HbA1c thresholds to identify probable undiagnosed diabetes or prediabetes in pregnant women</w:t>
      </w:r>
      <w:r>
        <w:t xml:space="preserve"> at</w:t>
      </w:r>
      <w:r w:rsidRPr="00E07B1B">
        <w:t xml:space="preserve"> less than 20 weeks</w:t>
      </w:r>
      <w:r w:rsidR="0068074A">
        <w:t>’</w:t>
      </w:r>
      <w:r w:rsidRPr="00E07B1B">
        <w:t xml:space="preserve"> gestation</w:t>
      </w:r>
      <w:bookmarkEnd w:id="66"/>
      <w:bookmarkEnd w:id="67"/>
      <w:bookmarkEnd w:id="68"/>
    </w:p>
    <w:p w:rsidR="0025490C" w:rsidRPr="00E07B1B" w:rsidRDefault="0025490C" w:rsidP="00164D1B">
      <w:pPr>
        <w:pStyle w:val="Heading3"/>
        <w:spacing w:before="240"/>
      </w:pPr>
      <w:bookmarkStart w:id="69" w:name="_Toc363207287"/>
      <w:bookmarkStart w:id="70" w:name="_Toc402873519"/>
      <w:r w:rsidRPr="00E07B1B">
        <w:t>2.6.1</w:t>
      </w:r>
      <w:r w:rsidR="00164D1B">
        <w:tab/>
      </w:r>
      <w:r w:rsidRPr="00E07B1B">
        <w:t>Background</w:t>
      </w:r>
      <w:bookmarkEnd w:id="69"/>
      <w:bookmarkEnd w:id="70"/>
    </w:p>
    <w:p w:rsidR="0025490C" w:rsidRPr="00E07B1B" w:rsidRDefault="0025490C" w:rsidP="0025490C">
      <w:pPr>
        <w:rPr>
          <w:rFonts w:cs="Arial"/>
          <w:szCs w:val="24"/>
        </w:rPr>
      </w:pPr>
      <w:r w:rsidRPr="00E07B1B">
        <w:t>Measurement of HbA1c is currently recommended by many international diabetes societies as a legitimate diagnostic test for diabetes in a non-pregnant population using a threshold of 48</w:t>
      </w:r>
      <w:r w:rsidR="00164D1B">
        <w:t> </w:t>
      </w:r>
      <w:r w:rsidRPr="00E07B1B">
        <w:t xml:space="preserve">mmol/mol (American Diabetes Association 2011; Goldenberg </w:t>
      </w:r>
      <w:r w:rsidR="00D562F2">
        <w:t>et al</w:t>
      </w:r>
      <w:r w:rsidRPr="00E07B1B">
        <w:t xml:space="preserve"> 2011; W</w:t>
      </w:r>
      <w:r>
        <w:t>HO</w:t>
      </w:r>
      <w:r w:rsidRPr="00E07B1B">
        <w:t xml:space="preserve"> 2011a). The New Zealand Society for the Study of Diabetes Working Party recommends </w:t>
      </w:r>
      <w:r>
        <w:t xml:space="preserve">regarding </w:t>
      </w:r>
      <w:r w:rsidRPr="00E07B1B">
        <w:t>a value of</w:t>
      </w:r>
      <w:r>
        <w:t xml:space="preserve"> </w:t>
      </w:r>
      <w:r w:rsidRPr="00E07B1B">
        <w:t>≤</w:t>
      </w:r>
      <w:r w:rsidR="00164D1B">
        <w:t> </w:t>
      </w:r>
      <w:r w:rsidRPr="00E07B1B">
        <w:t>40</w:t>
      </w:r>
      <w:r w:rsidR="00164D1B">
        <w:t> </w:t>
      </w:r>
      <w:r w:rsidRPr="00E07B1B">
        <w:t xml:space="preserve">mmol/mol as normal glucose tolerance and a value </w:t>
      </w:r>
      <w:r>
        <w:t>of</w:t>
      </w:r>
      <w:r w:rsidR="00164D1B">
        <w:t xml:space="preserve"> </w:t>
      </w:r>
      <w:r w:rsidRPr="00E07B1B">
        <w:rPr>
          <w:rFonts w:cs="Arial"/>
          <w:szCs w:val="24"/>
        </w:rPr>
        <w:t>≥</w:t>
      </w:r>
      <w:r>
        <w:rPr>
          <w:rFonts w:cs="Arial"/>
          <w:szCs w:val="24"/>
        </w:rPr>
        <w:t xml:space="preserve"> </w:t>
      </w:r>
      <w:r w:rsidRPr="00E07B1B">
        <w:rPr>
          <w:rFonts w:cs="Arial"/>
          <w:szCs w:val="24"/>
        </w:rPr>
        <w:t>50</w:t>
      </w:r>
      <w:r>
        <w:rPr>
          <w:rFonts w:cs="Arial"/>
          <w:szCs w:val="24"/>
        </w:rPr>
        <w:t xml:space="preserve"> </w:t>
      </w:r>
      <w:r w:rsidRPr="00E07B1B">
        <w:rPr>
          <w:rFonts w:cs="Arial"/>
          <w:szCs w:val="24"/>
        </w:rPr>
        <w:t>mmol/mol as diagnostic of diabetes, with values</w:t>
      </w:r>
      <w:r>
        <w:rPr>
          <w:rFonts w:cs="Arial"/>
          <w:szCs w:val="24"/>
        </w:rPr>
        <w:t xml:space="preserve"> of</w:t>
      </w:r>
      <w:r w:rsidRPr="00E07B1B">
        <w:rPr>
          <w:rFonts w:cs="Arial"/>
          <w:szCs w:val="24"/>
        </w:rPr>
        <w:t xml:space="preserve"> 41</w:t>
      </w:r>
      <w:r>
        <w:rPr>
          <w:rFonts w:cs="Arial"/>
          <w:szCs w:val="24"/>
        </w:rPr>
        <w:t>–</w:t>
      </w:r>
      <w:r w:rsidRPr="00E07B1B">
        <w:rPr>
          <w:rFonts w:cs="Arial"/>
          <w:szCs w:val="24"/>
        </w:rPr>
        <w:t xml:space="preserve">49 mmol/mol representing prediabetes or dysglycaemia (Braatvedt </w:t>
      </w:r>
      <w:r w:rsidR="00D562F2">
        <w:rPr>
          <w:rFonts w:cs="Arial"/>
          <w:szCs w:val="24"/>
        </w:rPr>
        <w:t>et al</w:t>
      </w:r>
      <w:r w:rsidRPr="00E07B1B">
        <w:rPr>
          <w:rFonts w:cs="Arial"/>
          <w:szCs w:val="24"/>
        </w:rPr>
        <w:t xml:space="preserve"> 2012). </w:t>
      </w:r>
      <w:r>
        <w:rPr>
          <w:rFonts w:cs="Arial"/>
          <w:szCs w:val="24"/>
        </w:rPr>
        <w:t>The Working Party recommends that i</w:t>
      </w:r>
      <w:r w:rsidRPr="00E07B1B">
        <w:rPr>
          <w:rFonts w:cs="Arial"/>
          <w:szCs w:val="24"/>
        </w:rPr>
        <w:t>ndividuals with intermediate values</w:t>
      </w:r>
      <w:r w:rsidR="00164D1B">
        <w:rPr>
          <w:rFonts w:cs="Arial"/>
          <w:szCs w:val="24"/>
        </w:rPr>
        <w:br/>
      </w:r>
      <w:r w:rsidRPr="00E07B1B">
        <w:rPr>
          <w:rFonts w:cs="Arial"/>
          <w:szCs w:val="24"/>
        </w:rPr>
        <w:t>(41</w:t>
      </w:r>
      <w:r>
        <w:rPr>
          <w:rFonts w:cs="Arial"/>
          <w:szCs w:val="24"/>
        </w:rPr>
        <w:t>–</w:t>
      </w:r>
      <w:r w:rsidRPr="00E07B1B">
        <w:rPr>
          <w:rFonts w:cs="Arial"/>
          <w:szCs w:val="24"/>
        </w:rPr>
        <w:t>49 mmol/mol) have repeat HbA1c screening in 6</w:t>
      </w:r>
      <w:r>
        <w:rPr>
          <w:rFonts w:cs="Arial"/>
          <w:szCs w:val="24"/>
        </w:rPr>
        <w:t>–</w:t>
      </w:r>
      <w:r w:rsidRPr="00E07B1B">
        <w:rPr>
          <w:rFonts w:cs="Arial"/>
          <w:szCs w:val="24"/>
        </w:rPr>
        <w:t>12 months. However, these thresholds have not yet been recommended for identification of pre-gestational or probable undiagnosed diabetes in pregnancy.</w:t>
      </w:r>
    </w:p>
    <w:p w:rsidR="0025490C" w:rsidRPr="00E07B1B" w:rsidRDefault="0025490C" w:rsidP="00164D1B"/>
    <w:p w:rsidR="0025490C" w:rsidRDefault="0025490C" w:rsidP="00164D1B">
      <w:pPr>
        <w:keepLines/>
      </w:pPr>
      <w:r w:rsidRPr="00E07B1B">
        <w:t xml:space="preserve">One rationale for investigating alternative thresholds required for the HbA1c test in pregnant women (as compared </w:t>
      </w:r>
      <w:r>
        <w:t>with</w:t>
      </w:r>
      <w:r w:rsidRPr="00E07B1B">
        <w:t xml:space="preserve"> current thresholds for use of HbA1c in a non-pregnant population) is provided by the drop in the reference range for HbA1c during early pregnancy due to a reduced fasting glucose level and changes in erythrocyte turnover (Nielsen </w:t>
      </w:r>
      <w:r w:rsidR="00D562F2">
        <w:t>et al</w:t>
      </w:r>
      <w:r w:rsidRPr="00E07B1B">
        <w:t xml:space="preserve"> 2004</w:t>
      </w:r>
      <w:r>
        <w:t xml:space="preserve">; </w:t>
      </w:r>
      <w:r w:rsidRPr="00E07B1B">
        <w:t>Moses 2012</w:t>
      </w:r>
      <w:r>
        <w:t>a, b</w:t>
      </w:r>
      <w:r w:rsidRPr="00E07B1B">
        <w:t xml:space="preserve">). It has been suggested that the upper reference range for HbA1c may be about 0.6% </w:t>
      </w:r>
      <w:r>
        <w:t>lower</w:t>
      </w:r>
      <w:r w:rsidRPr="00E07B1B">
        <w:t xml:space="preserve"> than in the non-pregnant state (Mosca </w:t>
      </w:r>
      <w:r w:rsidR="00D562F2">
        <w:t>et al</w:t>
      </w:r>
      <w:r w:rsidRPr="00E07B1B">
        <w:t xml:space="preserve"> 2006).</w:t>
      </w:r>
    </w:p>
    <w:p w:rsidR="0025490C" w:rsidRPr="00E07B1B" w:rsidRDefault="0025490C" w:rsidP="00164D1B"/>
    <w:p w:rsidR="0025490C" w:rsidRPr="00E07B1B" w:rsidRDefault="0025490C" w:rsidP="00164D1B">
      <w:pPr>
        <w:pStyle w:val="Heading3"/>
      </w:pPr>
      <w:bookmarkStart w:id="71" w:name="_Toc363207288"/>
      <w:bookmarkStart w:id="72" w:name="_Toc402873520"/>
      <w:r w:rsidRPr="00E07B1B">
        <w:t>2.6.2</w:t>
      </w:r>
      <w:r w:rsidR="00164D1B">
        <w:tab/>
      </w:r>
      <w:r w:rsidRPr="00E07B1B">
        <w:t>Observational studies</w:t>
      </w:r>
      <w:bookmarkEnd w:id="71"/>
      <w:bookmarkEnd w:id="72"/>
    </w:p>
    <w:p w:rsidR="0068074A" w:rsidRDefault="0025490C" w:rsidP="00164D1B">
      <w:r w:rsidRPr="00E07B1B">
        <w:t>Two studies with direct evidence from women early in pregnancy were identified (</w:t>
      </w:r>
      <w:r w:rsidR="00164D1B">
        <w:t>Hughes et al</w:t>
      </w:r>
      <w:r w:rsidRPr="00E07B1B">
        <w:t xml:space="preserve"> 2009</w:t>
      </w:r>
      <w:r>
        <w:t>;</w:t>
      </w:r>
      <w:r w:rsidRPr="00251E6B">
        <w:t xml:space="preserve"> </w:t>
      </w:r>
      <w:r w:rsidRPr="00E07B1B">
        <w:t xml:space="preserve">Burlingame </w:t>
      </w:r>
      <w:r w:rsidR="00D562F2">
        <w:t>et al</w:t>
      </w:r>
      <w:r w:rsidRPr="00E07B1B">
        <w:t xml:space="preserve"> 2012; Hughes </w:t>
      </w:r>
      <w:r w:rsidR="00D562F2">
        <w:t>et al</w:t>
      </w:r>
      <w:r w:rsidRPr="00E07B1B">
        <w:t xml:space="preserve"> 201</w:t>
      </w:r>
      <w:r>
        <w:t>4</w:t>
      </w:r>
      <w:r w:rsidRPr="00E07B1B">
        <w:t>).</w:t>
      </w:r>
    </w:p>
    <w:p w:rsidR="0025490C" w:rsidRPr="00E07B1B" w:rsidRDefault="0025490C" w:rsidP="00164D1B"/>
    <w:p w:rsidR="0068074A" w:rsidRDefault="0025490C" w:rsidP="00164D1B">
      <w:r w:rsidRPr="00E07B1B">
        <w:t>The Burlingame study (conference abstract) was a retrospective cohort of women diagnosed with gestational diabetes. The women had an antepartum HbA1c test (at different gestational weeks) and a postpartum 75 g oral glucose tolerance test to diagnose probable undiagnosed type</w:t>
      </w:r>
      <w:r w:rsidR="00164D1B">
        <w:t> </w:t>
      </w:r>
      <w:r w:rsidRPr="00E07B1B">
        <w:t>2 diabetes. Almost 8% of 403 women</w:t>
      </w:r>
      <w:r>
        <w:t xml:space="preserve"> who</w:t>
      </w:r>
      <w:r w:rsidRPr="00E07B1B">
        <w:t xml:space="preserve"> had an HbA1c test result ≥ 48 mmol/mol were diagnosed with diabetes postpartum (Burlingame </w:t>
      </w:r>
      <w:r w:rsidR="00D562F2">
        <w:t>et al</w:t>
      </w:r>
      <w:r w:rsidRPr="00E07B1B">
        <w:t xml:space="preserve"> 2012</w:t>
      </w:r>
      <w:r>
        <w:t>; r</w:t>
      </w:r>
      <w:r w:rsidRPr="00E07B1B">
        <w:t>efer to Appendix G, Table 16</w:t>
      </w:r>
      <w:r>
        <w:t>)</w:t>
      </w:r>
      <w:r w:rsidRPr="00E07B1B">
        <w:t>.</w:t>
      </w:r>
    </w:p>
    <w:p w:rsidR="0025490C" w:rsidRPr="00E07B1B" w:rsidRDefault="0025490C" w:rsidP="00164D1B"/>
    <w:p w:rsidR="0025490C" w:rsidRPr="00E07B1B" w:rsidRDefault="0025490C" w:rsidP="00164D1B">
      <w:r w:rsidRPr="00E07B1B">
        <w:t>The authors were unable to demonstrate a clinical</w:t>
      </w:r>
      <w:r>
        <w:t>ly</w:t>
      </w:r>
      <w:r w:rsidRPr="00E07B1B">
        <w:t xml:space="preserve"> useful positive predictive value for defining type 2 diabetes using the HbA1c threshold of ≥ 48 mmol/mol. Numbers of participants were limited and 87% had their HbA1c test after 20 weeks.</w:t>
      </w:r>
    </w:p>
    <w:p w:rsidR="0025490C" w:rsidRPr="00E07B1B" w:rsidRDefault="0025490C" w:rsidP="00164D1B"/>
    <w:p w:rsidR="0025490C" w:rsidRPr="00E07B1B" w:rsidRDefault="0025490C" w:rsidP="00164D1B">
      <w:r w:rsidRPr="00E07B1B">
        <w:t xml:space="preserve">In the STEP study, the areas under the </w:t>
      </w:r>
      <w:r>
        <w:t>r</w:t>
      </w:r>
      <w:r w:rsidRPr="00E07B1B">
        <w:t xml:space="preserve">eceiver </w:t>
      </w:r>
      <w:r>
        <w:t>o</w:t>
      </w:r>
      <w:r w:rsidRPr="00E07B1B">
        <w:t xml:space="preserve">perating </w:t>
      </w:r>
      <w:r>
        <w:t>characteristic (ROC) c</w:t>
      </w:r>
      <w:r w:rsidRPr="00E07B1B">
        <w:t>urves for HbA1c versus random blood glucose for detecting probable undiagnosed diabetes were 0.99 versus 0.81</w:t>
      </w:r>
      <w:r w:rsidR="00164D1B">
        <w:t xml:space="preserve"> </w:t>
      </w:r>
      <w:r w:rsidRPr="00E07B1B">
        <w:t xml:space="preserve"> and for detecting early gestational diabetes were 0.72 versus 0.66, respectively (</w:t>
      </w:r>
      <w:r w:rsidR="00164D1B">
        <w:t>Hughes et al</w:t>
      </w:r>
      <w:r>
        <w:t xml:space="preserve"> </w:t>
      </w:r>
      <w:r w:rsidRPr="00E07B1B">
        <w:t>2009</w:t>
      </w:r>
      <w:r>
        <w:t>;</w:t>
      </w:r>
      <w:r w:rsidRPr="00E07B1B">
        <w:t xml:space="preserve"> Hughes </w:t>
      </w:r>
      <w:r w:rsidR="00D562F2">
        <w:t>et al</w:t>
      </w:r>
      <w:r>
        <w:t xml:space="preserve"> </w:t>
      </w:r>
      <w:r w:rsidRPr="00E07B1B">
        <w:t>2014).</w:t>
      </w:r>
      <w:r>
        <w:t xml:space="preserve"> </w:t>
      </w:r>
      <w:r w:rsidRPr="00E07B1B">
        <w:t>The optimal threshold for detecting probable undiagnosed diabetes was 41</w:t>
      </w:r>
      <w:r>
        <w:t xml:space="preserve"> </w:t>
      </w:r>
      <w:r w:rsidRPr="00E07B1B">
        <w:t>mmol/mol (sensitivity 100%, specificity 97.4%). In this population (which had a low prevalence for diabetes) the positive predictive value of an HbA1c ≥ 41 mmol/mol for probable undiagnosed diabetes was 18.8%. No random blood glucose threshold had an adequate sensitivity and specificity combination for screening purposes.</w:t>
      </w:r>
    </w:p>
    <w:p w:rsidR="0025490C" w:rsidRPr="00E07B1B" w:rsidRDefault="0025490C" w:rsidP="00164D1B"/>
    <w:p w:rsidR="0068074A" w:rsidRDefault="0025490C" w:rsidP="00164D1B">
      <w:r w:rsidRPr="00E07B1B">
        <w:t>The HbA1c threshold ≥ 41</w:t>
      </w:r>
      <w:r w:rsidR="00164D1B">
        <w:t> </w:t>
      </w:r>
      <w:r w:rsidRPr="00E07B1B">
        <w:t xml:space="preserve">mmol/mol was seen in 2.9% of the women screened. This threshold was also highly specific for </w:t>
      </w:r>
      <w:r w:rsidR="0068074A">
        <w:t>‘</w:t>
      </w:r>
      <w:r w:rsidRPr="00E07B1B">
        <w:t>early gestational diabetes</w:t>
      </w:r>
      <w:r w:rsidR="0068074A">
        <w:t>’</w:t>
      </w:r>
      <w:r w:rsidRPr="00E07B1B">
        <w:t xml:space="preserve"> (98.4%) which was considered to be a useful finding as these women do not require an oral glucose tolerance test to confirm their gestational diabetes diagnosis.</w:t>
      </w:r>
      <w:r>
        <w:t xml:space="preserve"> </w:t>
      </w:r>
      <w:r w:rsidRPr="00E07B1B">
        <w:t>The positive predictive value of an HbA1c ≥</w:t>
      </w:r>
      <w:r>
        <w:t xml:space="preserve"> </w:t>
      </w:r>
      <w:r w:rsidRPr="00E07B1B">
        <w:t>41</w:t>
      </w:r>
      <w:r>
        <w:t xml:space="preserve"> </w:t>
      </w:r>
      <w:r w:rsidRPr="00E07B1B">
        <w:t xml:space="preserve">mmol/mol for early gestational diabetes was 52.9% and in total 74% of women with an HbA1c above this threshold developed OGTT criteria for </w:t>
      </w:r>
      <w:r>
        <w:t>gestational diabetes</w:t>
      </w:r>
      <w:r w:rsidRPr="00E07B1B">
        <w:t xml:space="preserve"> at some stage in pregnancy.</w:t>
      </w:r>
      <w:r>
        <w:t xml:space="preserve"> </w:t>
      </w:r>
      <w:r w:rsidRPr="00E07B1B">
        <w:t>Women with an HbA1c value &lt; 41 mmol/mol require further testing for gestational diabetes in later pregnancy (24</w:t>
      </w:r>
      <w:r w:rsidR="00164D1B">
        <w:t>–</w:t>
      </w:r>
      <w:r w:rsidRPr="00E07B1B">
        <w:t>28 weeks</w:t>
      </w:r>
      <w:r w:rsidR="0068074A">
        <w:t>’</w:t>
      </w:r>
      <w:r w:rsidRPr="00E07B1B">
        <w:t xml:space="preserve"> gestation). The authors suggest that further studies are required to assess how earlier treatment influences pregnancy outcomes (Hughes </w:t>
      </w:r>
      <w:r w:rsidR="00D562F2">
        <w:t>et al</w:t>
      </w:r>
      <w:r>
        <w:t xml:space="preserve"> </w:t>
      </w:r>
      <w:r w:rsidRPr="00E07B1B">
        <w:t>2014).</w:t>
      </w:r>
    </w:p>
    <w:p w:rsidR="0025490C" w:rsidRPr="00E07B1B" w:rsidRDefault="0025490C" w:rsidP="00164D1B"/>
    <w:p w:rsidR="0025490C" w:rsidRPr="00E07B1B" w:rsidRDefault="0025490C" w:rsidP="00164D1B">
      <w:pPr>
        <w:pStyle w:val="Heading3"/>
      </w:pPr>
      <w:bookmarkStart w:id="73" w:name="_Toc402873521"/>
      <w:r w:rsidRPr="00E07B1B">
        <w:t>2.6.3</w:t>
      </w:r>
      <w:r w:rsidR="00164D1B">
        <w:tab/>
      </w:r>
      <w:r w:rsidRPr="00E07B1B">
        <w:t>Summary</w:t>
      </w:r>
      <w:bookmarkEnd w:id="73"/>
    </w:p>
    <w:p w:rsidR="0025490C" w:rsidRPr="00E07B1B" w:rsidRDefault="0025490C" w:rsidP="00164D1B">
      <w:r w:rsidRPr="00E07B1B">
        <w:t xml:space="preserve">Guidelines and position statements have suggested two thresholds for the screening and/or diagnosis of diabetes using the HbA1c test (either 42 or 48 mmol/mol) but these recommendations appear to have been derived from consensus. One primary study had insufficient numbers to adequately assess thresholds in pregnant women. However, a recent New Zealand study has reported both high sensitivity and </w:t>
      </w:r>
      <w:r>
        <w:t xml:space="preserve">high </w:t>
      </w:r>
      <w:r w:rsidRPr="00E07B1B">
        <w:t>specificity using an HbA1c threshold of &gt; 40 mmol/mol for detecting probable undiagnosed diabetes in a pregnant population.</w:t>
      </w:r>
    </w:p>
    <w:p w:rsidR="0025490C" w:rsidRPr="00E07B1B" w:rsidRDefault="0025490C" w:rsidP="00164D1B">
      <w:bookmarkStart w:id="74" w:name="_Toc363207290"/>
      <w:bookmarkStart w:id="75" w:name="_Toc363207289"/>
    </w:p>
    <w:p w:rsidR="0025490C" w:rsidRPr="00E07B1B" w:rsidRDefault="0025490C" w:rsidP="00164D1B">
      <w:pPr>
        <w:pStyle w:val="Heading2"/>
      </w:pPr>
      <w:bookmarkStart w:id="76" w:name="_Toc402873522"/>
      <w:bookmarkStart w:id="77" w:name="_Toc403469615"/>
      <w:r w:rsidRPr="00E07B1B">
        <w:t>2.7</w:t>
      </w:r>
      <w:r w:rsidR="00164D1B">
        <w:tab/>
      </w:r>
      <w:r w:rsidRPr="00E07B1B">
        <w:t>Screening principles applied to first trimester screening for undiagnosed diabetes</w:t>
      </w:r>
      <w:bookmarkEnd w:id="74"/>
      <w:bookmarkEnd w:id="76"/>
      <w:bookmarkEnd w:id="77"/>
    </w:p>
    <w:p w:rsidR="0025490C" w:rsidRPr="00164D1B" w:rsidRDefault="0025490C" w:rsidP="00164D1B">
      <w:pPr>
        <w:rPr>
          <w:spacing w:val="-2"/>
        </w:rPr>
      </w:pPr>
      <w:r w:rsidRPr="00164D1B">
        <w:rPr>
          <w:spacing w:val="-2"/>
        </w:rPr>
        <w:t>For a full summary addressing the requirements of a screening programme, refer to Appendix H.</w:t>
      </w:r>
    </w:p>
    <w:p w:rsidR="0025490C" w:rsidRPr="00E07B1B" w:rsidRDefault="0025490C" w:rsidP="00164D1B"/>
    <w:p w:rsidR="0068074A" w:rsidRDefault="0025490C" w:rsidP="00164D1B">
      <w:r w:rsidRPr="00E07B1B">
        <w:t>Screening protocols, together with the appropriate management</w:t>
      </w:r>
      <w:r w:rsidRPr="00885F8B">
        <w:t xml:space="preserve"> </w:t>
      </w:r>
      <w:r w:rsidRPr="00E07B1B">
        <w:t>subsequent</w:t>
      </w:r>
      <w:r>
        <w:t>ly</w:t>
      </w:r>
      <w:r w:rsidRPr="00E07B1B">
        <w:t xml:space="preserve">, can affect health outcomes and ideally should be evaluated with randomised controlled trials. No randomised controlled trials were identified. </w:t>
      </w:r>
      <w:r>
        <w:t>S</w:t>
      </w:r>
      <w:r w:rsidRPr="00E07B1B">
        <w:t>creening recommendations in guidelines</w:t>
      </w:r>
      <w:r>
        <w:t xml:space="preserve"> vary widely</w:t>
      </w:r>
      <w:r w:rsidRPr="00E07B1B">
        <w:t xml:space="preserve"> and most are based on consensus statements. A study of 296 women concluded that HbA1c was useful to optimise the timing of screening for gestational diabetes, allowing for treatment at any earlier stage of pregnancy</w:t>
      </w:r>
      <w:r>
        <w:t>,</w:t>
      </w:r>
      <w:r w:rsidRPr="00E07B1B">
        <w:t xml:space="preserve"> but</w:t>
      </w:r>
      <w:r>
        <w:t xml:space="preserve"> that this finding</w:t>
      </w:r>
      <w:r w:rsidRPr="00E07B1B">
        <w:t xml:space="preserve"> needs confirmation by larger studies (</w:t>
      </w:r>
      <w:r w:rsidR="00164D1B">
        <w:t xml:space="preserve">Moore et al </w:t>
      </w:r>
      <w:r w:rsidRPr="00E07B1B">
        <w:t>2013).</w:t>
      </w:r>
    </w:p>
    <w:p w:rsidR="0025490C" w:rsidRPr="00E07B1B" w:rsidRDefault="0025490C" w:rsidP="00164D1B"/>
    <w:p w:rsidR="0025490C" w:rsidRDefault="0025490C" w:rsidP="00164D1B">
      <w:r>
        <w:t xml:space="preserve">In </w:t>
      </w:r>
      <w:r w:rsidRPr="00E07B1B">
        <w:t>regard to screening thresholds (for early identification of probable undiagnosed type 2 diabetes), the only relevant direct evidence was from the STEP study</w:t>
      </w:r>
      <w:r>
        <w:t>,</w:t>
      </w:r>
      <w:r w:rsidRPr="00E07B1B">
        <w:t xml:space="preserve"> which reported high sensitivity and specificity with an HbA1c threshold of 41 mmol/mol (&gt; 40 mmol/L). The positive predictive value was 18.8% in this low</w:t>
      </w:r>
      <w:r>
        <w:t>-</w:t>
      </w:r>
      <w:r w:rsidRPr="00E07B1B">
        <w:t xml:space="preserve">prevalence population (Hughes </w:t>
      </w:r>
      <w:r w:rsidR="00D562F2">
        <w:t>et al</w:t>
      </w:r>
      <w:r w:rsidRPr="00E07B1B">
        <w:t xml:space="preserve"> 201</w:t>
      </w:r>
      <w:r>
        <w:t>4</w:t>
      </w:r>
      <w:r w:rsidRPr="00E07B1B">
        <w:t>). Additional research is required to confirm these findings.</w:t>
      </w:r>
    </w:p>
    <w:p w:rsidR="0025490C" w:rsidRPr="00E07B1B" w:rsidRDefault="0025490C" w:rsidP="00164D1B"/>
    <w:p w:rsidR="0025490C" w:rsidRDefault="0025490C" w:rsidP="00164D1B">
      <w:r w:rsidRPr="00E07B1B">
        <w:t xml:space="preserve">The New Zealand STEP study has suggested thresholds for the use of HbA1c early in pregnancy </w:t>
      </w:r>
      <w:r>
        <w:t>that</w:t>
      </w:r>
      <w:r w:rsidRPr="00E07B1B">
        <w:t xml:space="preserve"> maximise the chance of identifying women with diabetes or prediabetes</w:t>
      </w:r>
      <w:r>
        <w:t>,</w:t>
      </w:r>
      <w:r w:rsidRPr="00E07B1B">
        <w:t xml:space="preserve"> who are then referred to a different management pathway. Although it is unclear how outcomes are impacted, these women may benefit from increased surveillance and intervention throughout their pregnancy.</w:t>
      </w:r>
      <w:r>
        <w:t xml:space="preserve"> </w:t>
      </w:r>
      <w:r w:rsidRPr="00E07B1B">
        <w:t>High</w:t>
      </w:r>
      <w:r>
        <w:t>-</w:t>
      </w:r>
      <w:r w:rsidRPr="00E07B1B">
        <w:t>quality randomised controlled trials are needed</w:t>
      </w:r>
      <w:r>
        <w:t xml:space="preserve"> to provide stronger evidence on the impact of this approach</w:t>
      </w:r>
      <w:r w:rsidRPr="00E07B1B">
        <w:t>.</w:t>
      </w:r>
    </w:p>
    <w:p w:rsidR="0025490C" w:rsidRPr="00E07B1B" w:rsidRDefault="0025490C" w:rsidP="00164D1B"/>
    <w:p w:rsidR="0068074A" w:rsidRDefault="0025490C" w:rsidP="00164D1B">
      <w:r w:rsidRPr="00E07B1B">
        <w:t xml:space="preserve">It is important to distinguish between HbA1c testing in early pregnancy (&lt; 20 weeks) </w:t>
      </w:r>
      <w:r>
        <w:t xml:space="preserve">and </w:t>
      </w:r>
      <w:r w:rsidRPr="00E07B1B">
        <w:t>testing between 24 and 28 weeks to identify gestational diabetes.</w:t>
      </w:r>
    </w:p>
    <w:p w:rsidR="0025490C" w:rsidRDefault="0025490C" w:rsidP="00164D1B"/>
    <w:p w:rsidR="0025490C" w:rsidRPr="00E07B1B" w:rsidRDefault="0025490C" w:rsidP="00164D1B">
      <w:r w:rsidRPr="00E07B1B">
        <w:t xml:space="preserve">HbA1c measurements later in pregnancy do not adequately separate women with normal pregnancy from those with gestational diabetes as HbA1c levels decline during pregnancy (Kurishita </w:t>
      </w:r>
      <w:r w:rsidR="00D562F2">
        <w:t>et al</w:t>
      </w:r>
      <w:r w:rsidRPr="00E07B1B">
        <w:t xml:space="preserve"> 1992). The </w:t>
      </w:r>
      <w:r w:rsidRPr="00E07B1B">
        <w:rPr>
          <w:lang w:eastAsia="en-NZ"/>
        </w:rPr>
        <w:t>Hyperglycaemia and Adverse Pregnancy Outcomes</w:t>
      </w:r>
      <w:r w:rsidRPr="00E07B1B">
        <w:t xml:space="preserve"> </w:t>
      </w:r>
      <w:r>
        <w:t>(</w:t>
      </w:r>
      <w:r w:rsidRPr="00E07B1B">
        <w:t>HAPO</w:t>
      </w:r>
      <w:r>
        <w:t>)</w:t>
      </w:r>
      <w:r w:rsidRPr="00E07B1B">
        <w:t xml:space="preserve"> study assessed whether HbA1c could be used as an alternative to measurement of glucose in pregnant women and reported that, at an average of 28 weeks</w:t>
      </w:r>
      <w:r w:rsidR="0068074A">
        <w:t>’</w:t>
      </w:r>
      <w:r w:rsidRPr="00E07B1B">
        <w:t xml:space="preserve"> gestation, HbA1c was not associated as strongly with adverse pregnancy outcomes as the oral glucose tolerance test (Lowe </w:t>
      </w:r>
      <w:r w:rsidR="00D562F2">
        <w:t>et al</w:t>
      </w:r>
      <w:r w:rsidRPr="00E07B1B">
        <w:t xml:space="preserve"> 2012). Another study evaluated HbA1c as a screening test between 24 and 28 weeks for gestational diabetes mellitus in a high</w:t>
      </w:r>
      <w:r>
        <w:t>-</w:t>
      </w:r>
      <w:r w:rsidRPr="00E07B1B">
        <w:t xml:space="preserve">risk population in India (Agarwal </w:t>
      </w:r>
      <w:r w:rsidR="00D562F2">
        <w:t>et al</w:t>
      </w:r>
      <w:r w:rsidRPr="00E07B1B">
        <w:t xml:space="preserve"> 2005</w:t>
      </w:r>
      <w:r>
        <w:t>a</w:t>
      </w:r>
      <w:r w:rsidRPr="00E07B1B">
        <w:t>). HbA1c would eliminate the need for an oral glucose tolerance test in 25% of this population</w:t>
      </w:r>
      <w:r>
        <w:t>,</w:t>
      </w:r>
      <w:r w:rsidRPr="00E07B1B">
        <w:t xml:space="preserve"> of whom 27% would be misclassified. At any HbA1c threshold with an acceptabl</w:t>
      </w:r>
      <w:r>
        <w:t>e</w:t>
      </w:r>
      <w:r w:rsidRPr="00E07B1B">
        <w:t xml:space="preserve"> sensitivity, the false positive rate remained high</w:t>
      </w:r>
      <w:r>
        <w:t>,</w:t>
      </w:r>
      <w:r w:rsidRPr="00E07B1B">
        <w:t xml:space="preserve"> making it necessary for too many healthy women to undergo the confirmatory oral glucose tolerance test. The</w:t>
      </w:r>
      <w:r>
        <w:t xml:space="preserve"> authors</w:t>
      </w:r>
      <w:r w:rsidRPr="00E07B1B">
        <w:t xml:space="preserve"> concluded that HbA1c was a poor test to screen for gestational diabetes later in pregnancy.</w:t>
      </w:r>
    </w:p>
    <w:p w:rsidR="00164D1B" w:rsidRDefault="00164D1B" w:rsidP="00164D1B">
      <w:bookmarkStart w:id="78" w:name="_Toc363207291"/>
      <w:bookmarkEnd w:id="75"/>
    </w:p>
    <w:p w:rsidR="00164D1B" w:rsidRPr="007E6932" w:rsidRDefault="00164D1B" w:rsidP="00164D1B">
      <w:pPr>
        <w:pStyle w:val="BoxHeading"/>
        <w:keepNext/>
      </w:pPr>
      <w:r w:rsidRPr="007E6932">
        <w:t>Key points</w:t>
      </w:r>
    </w:p>
    <w:p w:rsidR="00164D1B" w:rsidRDefault="00164D1B" w:rsidP="00164D1B">
      <w:pPr>
        <w:pStyle w:val="BoxBullet"/>
        <w:keepNext/>
      </w:pPr>
      <w:r>
        <w:t>HbA1c is used to diagnose diabetes and prediabetes in the non-pregnant population.</w:t>
      </w:r>
    </w:p>
    <w:p w:rsidR="00164D1B" w:rsidRDefault="00164D1B" w:rsidP="00E95F5E">
      <w:pPr>
        <w:pStyle w:val="BoxBullet"/>
        <w:keepNext/>
      </w:pPr>
      <w:r>
        <w:t>It is important to identify and treat women with probable undiagnosed diabetes early in pregnancy to prevent maternal and fetal adverse events.</w:t>
      </w:r>
    </w:p>
    <w:p w:rsidR="00164D1B" w:rsidRDefault="00164D1B" w:rsidP="00164D1B">
      <w:pPr>
        <w:pStyle w:val="BoxBullet"/>
      </w:pPr>
      <w:r>
        <w:t>The sensitivity of HbA1c to detect gestational diabetes declines during pregnancy.</w:t>
      </w:r>
    </w:p>
    <w:p w:rsidR="00164D1B" w:rsidRPr="00E07B1B" w:rsidRDefault="00164D1B" w:rsidP="00164D1B"/>
    <w:p w:rsidR="0025490C" w:rsidRPr="00E07B1B" w:rsidRDefault="0025490C" w:rsidP="00164D1B">
      <w:pPr>
        <w:pStyle w:val="Heading2"/>
      </w:pPr>
      <w:bookmarkStart w:id="79" w:name="_Toc402873523"/>
      <w:bookmarkStart w:id="80" w:name="_Toc403469616"/>
      <w:r w:rsidRPr="00E07B1B">
        <w:t>2.8</w:t>
      </w:r>
      <w:r w:rsidR="00164D1B">
        <w:tab/>
      </w:r>
      <w:r w:rsidRPr="00E07B1B">
        <w:t>Evidence to recommendations</w:t>
      </w:r>
      <w:bookmarkEnd w:id="78"/>
      <w:bookmarkEnd w:id="79"/>
      <w:bookmarkEnd w:id="80"/>
    </w:p>
    <w:p w:rsidR="0025490C" w:rsidRDefault="0025490C" w:rsidP="00164D1B">
      <w:pPr>
        <w:rPr>
          <w:rFonts w:eastAsia="MS Mincho"/>
          <w:lang w:eastAsia="ja-JP"/>
        </w:rPr>
      </w:pPr>
      <w:r w:rsidRPr="00E07B1B">
        <w:rPr>
          <w:rFonts w:eastAsia="MS Mincho"/>
          <w:lang w:eastAsia="ja-JP"/>
        </w:rPr>
        <w:t xml:space="preserve">The Guideline Development Team took into consideration the high prevalence of previously undiagnosed diabetes and gestational diabetes in certain areas of New Zealand and the high chance </w:t>
      </w:r>
      <w:r>
        <w:rPr>
          <w:rFonts w:eastAsia="MS Mincho"/>
          <w:lang w:eastAsia="ja-JP"/>
        </w:rPr>
        <w:t>that</w:t>
      </w:r>
      <w:r w:rsidRPr="00E07B1B">
        <w:rPr>
          <w:rFonts w:eastAsia="MS Mincho"/>
          <w:lang w:eastAsia="ja-JP"/>
        </w:rPr>
        <w:t xml:space="preserve"> many women </w:t>
      </w:r>
      <w:r>
        <w:rPr>
          <w:rFonts w:eastAsia="MS Mincho"/>
          <w:lang w:eastAsia="ja-JP"/>
        </w:rPr>
        <w:t xml:space="preserve">would have </w:t>
      </w:r>
      <w:r w:rsidRPr="00E07B1B">
        <w:rPr>
          <w:rFonts w:eastAsia="MS Mincho"/>
          <w:lang w:eastAsia="ja-JP"/>
        </w:rPr>
        <w:t xml:space="preserve">one or more risk factors. </w:t>
      </w:r>
      <w:r>
        <w:rPr>
          <w:rFonts w:eastAsia="MS Mincho"/>
          <w:lang w:eastAsia="ja-JP"/>
        </w:rPr>
        <w:t>It</w:t>
      </w:r>
      <w:r w:rsidRPr="00E07B1B">
        <w:rPr>
          <w:rFonts w:eastAsia="MS Mincho"/>
          <w:lang w:eastAsia="ja-JP"/>
        </w:rPr>
        <w:t xml:space="preserve"> decided that using universal screening at booking would be more appropriate in the New Zealand context than risk</w:t>
      </w:r>
      <w:r>
        <w:rPr>
          <w:rFonts w:eastAsia="MS Mincho"/>
          <w:lang w:eastAsia="ja-JP"/>
        </w:rPr>
        <w:t>-</w:t>
      </w:r>
      <w:r w:rsidRPr="00E07B1B">
        <w:rPr>
          <w:rFonts w:eastAsia="MS Mincho"/>
          <w:lang w:eastAsia="ja-JP"/>
        </w:rPr>
        <w:t>based screening in early pregnancy.</w:t>
      </w:r>
    </w:p>
    <w:p w:rsidR="0025490C" w:rsidRPr="00E07B1B" w:rsidRDefault="0025490C" w:rsidP="00164D1B">
      <w:pPr>
        <w:rPr>
          <w:rFonts w:eastAsia="MS Mincho"/>
          <w:lang w:eastAsia="ja-JP"/>
        </w:rPr>
      </w:pPr>
    </w:p>
    <w:p w:rsidR="0025490C" w:rsidRDefault="0025490C" w:rsidP="00164D1B">
      <w:r w:rsidRPr="00E07B1B">
        <w:t>The Guideline Development Team accepted that HbA1c is used to diagnose diabetes in the non-pregnant population and</w:t>
      </w:r>
      <w:r>
        <w:t>,</w:t>
      </w:r>
      <w:r w:rsidRPr="00E07B1B">
        <w:t xml:space="preserve"> although the evidence is mostly indirect</w:t>
      </w:r>
      <w:r>
        <w:t>, it</w:t>
      </w:r>
      <w:r w:rsidRPr="00E07B1B">
        <w:t xml:space="preserve"> felt that there was sufficient emerging evidence to support the use of HbA1c in early pregnancy for the detection of probable undiagnosed diabetes and prediabetes. The current thresholds recommended by the New Zealand Society for the Study of Diabetes are ≥ 50 mmol/mol to suggest diabetes and</w:t>
      </w:r>
      <w:r w:rsidR="00164D1B">
        <w:br/>
      </w:r>
      <w:r w:rsidRPr="00E07B1B">
        <w:t>41</w:t>
      </w:r>
      <w:r>
        <w:t>–</w:t>
      </w:r>
      <w:r w:rsidRPr="00E07B1B">
        <w:t>49 mmol/mol for prediabetes in non-pregnant adults. Values less than 40 mmol/mol are considered to be in the normal range (</w:t>
      </w:r>
      <w:hyperlink r:id="rId31" w:history="1">
        <w:r w:rsidRPr="00E07B1B">
          <w:rPr>
            <w:rStyle w:val="Hyperlink"/>
            <w:rFonts w:cs="Arial"/>
            <w:szCs w:val="24"/>
          </w:rPr>
          <w:t>www.nzssd.org.nz</w:t>
        </w:r>
      </w:hyperlink>
      <w:r w:rsidRPr="00E07B1B">
        <w:t>).</w:t>
      </w:r>
    </w:p>
    <w:p w:rsidR="0025490C" w:rsidRPr="00E07B1B" w:rsidRDefault="0025490C" w:rsidP="00164D1B"/>
    <w:p w:rsidR="0068074A" w:rsidRDefault="0025490C" w:rsidP="0025490C">
      <w:pPr>
        <w:widowControl w:val="0"/>
        <w:autoSpaceDE w:val="0"/>
        <w:autoSpaceDN w:val="0"/>
        <w:adjustRightInd w:val="0"/>
        <w:rPr>
          <w:rFonts w:eastAsia="MS Mincho" w:cs="Arial"/>
          <w:color w:val="000000"/>
          <w:szCs w:val="24"/>
          <w:lang w:eastAsia="ja-JP"/>
        </w:rPr>
      </w:pPr>
      <w:r w:rsidRPr="00E07B1B">
        <w:rPr>
          <w:rFonts w:eastAsia="MS Mincho" w:cs="Arial"/>
          <w:color w:val="000000"/>
          <w:szCs w:val="24"/>
          <w:lang w:eastAsia="ja-JP"/>
        </w:rPr>
        <w:t>Ther</w:t>
      </w:r>
      <w:r w:rsidRPr="00164D1B">
        <w:rPr>
          <w:rFonts w:eastAsia="MS Mincho"/>
        </w:rPr>
        <w:t>e</w:t>
      </w:r>
      <w:r w:rsidRPr="00E07B1B">
        <w:rPr>
          <w:rFonts w:eastAsia="MS Mincho" w:cs="Arial"/>
          <w:color w:val="000000"/>
          <w:szCs w:val="24"/>
          <w:lang w:eastAsia="ja-JP"/>
        </w:rPr>
        <w:t xml:space="preserve"> was some debate within the Guideline Development Team regarding the management of pregnant women with HbA1c of 41</w:t>
      </w:r>
      <w:r>
        <w:rPr>
          <w:rFonts w:eastAsia="MS Mincho" w:cs="Arial"/>
          <w:color w:val="000000"/>
          <w:szCs w:val="24"/>
          <w:lang w:eastAsia="ja-JP"/>
        </w:rPr>
        <w:t>–</w:t>
      </w:r>
      <w:r w:rsidRPr="00E07B1B">
        <w:rPr>
          <w:rFonts w:eastAsia="MS Mincho" w:cs="Arial"/>
          <w:color w:val="000000"/>
          <w:szCs w:val="24"/>
          <w:lang w:eastAsia="ja-JP"/>
        </w:rPr>
        <w:t>49 mmol/mol</w:t>
      </w:r>
      <w:r>
        <w:rPr>
          <w:rFonts w:eastAsia="MS Mincho" w:cs="Arial"/>
          <w:color w:val="000000"/>
          <w:szCs w:val="24"/>
          <w:lang w:eastAsia="ja-JP"/>
        </w:rPr>
        <w:t xml:space="preserve"> at booking</w:t>
      </w:r>
      <w:r w:rsidRPr="00E07B1B">
        <w:rPr>
          <w:rFonts w:eastAsia="MS Mincho" w:cs="Arial"/>
          <w:color w:val="000000"/>
          <w:szCs w:val="24"/>
          <w:lang w:eastAsia="ja-JP"/>
        </w:rPr>
        <w:t>.</w:t>
      </w:r>
      <w:r>
        <w:rPr>
          <w:rFonts w:eastAsia="MS Mincho" w:cs="Arial"/>
          <w:color w:val="000000"/>
          <w:szCs w:val="24"/>
          <w:lang w:eastAsia="ja-JP"/>
        </w:rPr>
        <w:t xml:space="preserve"> </w:t>
      </w:r>
      <w:r w:rsidRPr="00E07B1B">
        <w:rPr>
          <w:rFonts w:eastAsia="MS Mincho" w:cs="Arial"/>
          <w:color w:val="000000"/>
          <w:szCs w:val="24"/>
          <w:lang w:eastAsia="ja-JP"/>
        </w:rPr>
        <w:t>The consensus of the group was that these women should be provided with appropriate dietary and lifestyle advice and should be offered a one-step diagnostic test for gestational diabetes at 24</w:t>
      </w:r>
      <w:r>
        <w:rPr>
          <w:rFonts w:eastAsia="MS Mincho" w:cs="Arial"/>
          <w:color w:val="000000"/>
          <w:szCs w:val="24"/>
          <w:lang w:eastAsia="ja-JP"/>
        </w:rPr>
        <w:t>–</w:t>
      </w:r>
      <w:r w:rsidRPr="00E07B1B">
        <w:rPr>
          <w:rFonts w:eastAsia="MS Mincho" w:cs="Arial"/>
          <w:color w:val="000000"/>
          <w:szCs w:val="24"/>
          <w:lang w:eastAsia="ja-JP"/>
        </w:rPr>
        <w:t>28 weeks. The Guideline Development Team acknowledges that</w:t>
      </w:r>
      <w:r>
        <w:rPr>
          <w:rFonts w:eastAsia="MS Mincho" w:cs="Arial"/>
          <w:color w:val="000000"/>
          <w:szCs w:val="24"/>
          <w:lang w:eastAsia="ja-JP"/>
        </w:rPr>
        <w:t>,</w:t>
      </w:r>
      <w:r w:rsidRPr="00E07B1B">
        <w:rPr>
          <w:rFonts w:eastAsia="MS Mincho" w:cs="Arial"/>
          <w:color w:val="000000"/>
          <w:szCs w:val="24"/>
          <w:lang w:eastAsia="ja-JP"/>
        </w:rPr>
        <w:t xml:space="preserve"> in some areas of New Zealand</w:t>
      </w:r>
      <w:r>
        <w:rPr>
          <w:rFonts w:eastAsia="MS Mincho" w:cs="Arial"/>
          <w:color w:val="000000"/>
          <w:szCs w:val="24"/>
          <w:lang w:eastAsia="ja-JP"/>
        </w:rPr>
        <w:t>,</w:t>
      </w:r>
      <w:r w:rsidRPr="00E07B1B">
        <w:rPr>
          <w:rFonts w:eastAsia="MS Mincho" w:cs="Arial"/>
          <w:color w:val="000000"/>
          <w:szCs w:val="24"/>
          <w:lang w:eastAsia="ja-JP"/>
        </w:rPr>
        <w:t xml:space="preserve"> services </w:t>
      </w:r>
      <w:r>
        <w:rPr>
          <w:rFonts w:eastAsia="MS Mincho" w:cs="Arial"/>
          <w:color w:val="000000"/>
          <w:szCs w:val="24"/>
          <w:lang w:eastAsia="ja-JP"/>
        </w:rPr>
        <w:t>that specialise in</w:t>
      </w:r>
      <w:r w:rsidRPr="00E07B1B">
        <w:rPr>
          <w:rFonts w:eastAsia="MS Mincho" w:cs="Arial"/>
          <w:color w:val="000000"/>
          <w:szCs w:val="24"/>
          <w:lang w:eastAsia="ja-JP"/>
        </w:rPr>
        <w:t xml:space="preserve"> diabetes in pregnancy</w:t>
      </w:r>
      <w:r>
        <w:rPr>
          <w:rFonts w:eastAsia="MS Mincho" w:cs="Arial"/>
          <w:color w:val="000000"/>
          <w:szCs w:val="24"/>
          <w:lang w:eastAsia="ja-JP"/>
        </w:rPr>
        <w:t xml:space="preserve"> review </w:t>
      </w:r>
      <w:r w:rsidRPr="00E07B1B">
        <w:rPr>
          <w:rFonts w:eastAsia="MS Mincho" w:cs="Arial"/>
          <w:color w:val="000000"/>
          <w:szCs w:val="24"/>
          <w:lang w:eastAsia="ja-JP"/>
        </w:rPr>
        <w:t>women with HbA1c of 41</w:t>
      </w:r>
      <w:r>
        <w:rPr>
          <w:rFonts w:eastAsia="MS Mincho" w:cs="Arial"/>
          <w:color w:val="000000"/>
          <w:szCs w:val="24"/>
          <w:lang w:eastAsia="ja-JP"/>
        </w:rPr>
        <w:t>–</w:t>
      </w:r>
      <w:r w:rsidRPr="00E07B1B">
        <w:rPr>
          <w:rFonts w:eastAsia="MS Mincho" w:cs="Arial"/>
          <w:color w:val="000000"/>
          <w:szCs w:val="24"/>
          <w:lang w:eastAsia="ja-JP"/>
        </w:rPr>
        <w:t xml:space="preserve">49 mmol/mol </w:t>
      </w:r>
      <w:r>
        <w:rPr>
          <w:rFonts w:eastAsia="MS Mincho" w:cs="Arial"/>
          <w:color w:val="000000"/>
          <w:szCs w:val="24"/>
          <w:lang w:eastAsia="ja-JP"/>
        </w:rPr>
        <w:t xml:space="preserve">at booking </w:t>
      </w:r>
      <w:r w:rsidRPr="00E07B1B">
        <w:rPr>
          <w:rFonts w:eastAsia="MS Mincho" w:cs="Arial"/>
          <w:color w:val="000000"/>
          <w:szCs w:val="24"/>
          <w:lang w:eastAsia="ja-JP"/>
        </w:rPr>
        <w:t>and that this practice can continue although randomised controlled trials are lacking.</w:t>
      </w:r>
    </w:p>
    <w:p w:rsidR="00164D1B" w:rsidRDefault="00164D1B" w:rsidP="00164D1B">
      <w:pPr>
        <w:rPr>
          <w:rFonts w:eastAsia="MS Mincho"/>
          <w:lang w:eastAsia="ja-JP"/>
        </w:rPr>
      </w:pPr>
    </w:p>
    <w:p w:rsidR="0025490C" w:rsidRPr="00E07B1B" w:rsidRDefault="0025490C" w:rsidP="001C4705">
      <w:pPr>
        <w:pStyle w:val="Heading3"/>
      </w:pPr>
      <w:r w:rsidRPr="00E07B1B">
        <w:t>Diagnosis of probable undiagnosed diabetes in early pregnancy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37"/>
        <w:gridCol w:w="3119"/>
      </w:tblGrid>
      <w:tr w:rsidR="0025490C" w:rsidRPr="0086616F" w:rsidTr="0086616F">
        <w:trPr>
          <w:cantSplit/>
        </w:trPr>
        <w:tc>
          <w:tcPr>
            <w:tcW w:w="6237" w:type="dxa"/>
            <w:tcBorders>
              <w:left w:val="nil"/>
              <w:bottom w:val="single" w:sz="4" w:space="0" w:color="auto"/>
              <w:right w:val="nil"/>
            </w:tcBorders>
            <w:shd w:val="clear" w:color="auto" w:fill="F7F9FB"/>
          </w:tcPr>
          <w:p w:rsidR="0025490C" w:rsidRPr="0086616F" w:rsidRDefault="0086616F" w:rsidP="0086616F">
            <w:pPr>
              <w:pStyle w:val="TableText"/>
              <w:keepNext/>
              <w:rPr>
                <w:b/>
              </w:rPr>
            </w:pPr>
            <w:r w:rsidRPr="0086616F">
              <w:rPr>
                <w:b/>
              </w:rPr>
              <w:t>Recommendation</w:t>
            </w:r>
          </w:p>
        </w:tc>
        <w:tc>
          <w:tcPr>
            <w:tcW w:w="3119" w:type="dxa"/>
            <w:tcBorders>
              <w:left w:val="nil"/>
              <w:bottom w:val="single" w:sz="4" w:space="0" w:color="auto"/>
              <w:right w:val="nil"/>
            </w:tcBorders>
            <w:shd w:val="clear" w:color="auto" w:fill="F7F9FB"/>
          </w:tcPr>
          <w:p w:rsidR="0025490C" w:rsidRPr="0086616F" w:rsidRDefault="0025490C" w:rsidP="0086616F">
            <w:pPr>
              <w:pStyle w:val="TableText"/>
              <w:keepNext/>
              <w:rPr>
                <w:b/>
              </w:rPr>
            </w:pPr>
            <w:r w:rsidRPr="0086616F">
              <w:rPr>
                <w:b/>
              </w:rPr>
              <w:t>Strength of recommendation or good practice point (GPP)</w:t>
            </w:r>
          </w:p>
        </w:tc>
      </w:tr>
      <w:tr w:rsidR="0025490C" w:rsidRPr="00E07B1B" w:rsidTr="0086616F">
        <w:trPr>
          <w:cantSplit/>
        </w:trPr>
        <w:tc>
          <w:tcPr>
            <w:tcW w:w="6237" w:type="dxa"/>
            <w:tcBorders>
              <w:top w:val="single" w:sz="4" w:space="0" w:color="auto"/>
              <w:left w:val="nil"/>
              <w:bottom w:val="single" w:sz="4" w:space="0" w:color="FFFFFF" w:themeColor="background1"/>
              <w:right w:val="nil"/>
            </w:tcBorders>
            <w:shd w:val="clear" w:color="auto" w:fill="C6D9F1"/>
          </w:tcPr>
          <w:p w:rsidR="0025490C" w:rsidRPr="00E07B1B" w:rsidRDefault="0025490C" w:rsidP="0086616F">
            <w:pPr>
              <w:pStyle w:val="TableText"/>
              <w:keepNext/>
              <w:ind w:left="425" w:right="142" w:hanging="425"/>
              <w:rPr>
                <w:lang w:eastAsia="en-NZ"/>
              </w:rPr>
            </w:pPr>
            <w:r w:rsidRPr="00E07B1B">
              <w:rPr>
                <w:lang w:eastAsia="en-NZ"/>
              </w:rPr>
              <w:t>1</w:t>
            </w:r>
            <w:r w:rsidR="0086616F">
              <w:rPr>
                <w:lang w:eastAsia="en-NZ"/>
              </w:rPr>
              <w:tab/>
            </w:r>
            <w:r w:rsidRPr="00E07B1B">
              <w:rPr>
                <w:lang w:eastAsia="en-NZ"/>
              </w:rPr>
              <w:t xml:space="preserve">Offer all women an HbA1c test in their </w:t>
            </w:r>
            <w:r w:rsidR="0068074A">
              <w:rPr>
                <w:lang w:eastAsia="en-NZ"/>
              </w:rPr>
              <w:t>‘</w:t>
            </w:r>
            <w:r w:rsidRPr="00E07B1B">
              <w:rPr>
                <w:lang w:eastAsia="en-NZ"/>
              </w:rPr>
              <w:t>booking</w:t>
            </w:r>
            <w:r w:rsidR="0068074A">
              <w:rPr>
                <w:lang w:eastAsia="en-NZ"/>
              </w:rPr>
              <w:t>’</w:t>
            </w:r>
            <w:r w:rsidRPr="00E07B1B">
              <w:rPr>
                <w:lang w:eastAsia="en-NZ"/>
              </w:rPr>
              <w:t xml:space="preserve"> antenatal bloods to detect undiagnosed diabetes</w:t>
            </w:r>
            <w:r>
              <w:rPr>
                <w:lang w:eastAsia="en-NZ"/>
              </w:rPr>
              <w:t>.</w:t>
            </w:r>
          </w:p>
        </w:tc>
        <w:tc>
          <w:tcPr>
            <w:tcW w:w="3119" w:type="dxa"/>
            <w:tcBorders>
              <w:top w:val="single" w:sz="4" w:space="0" w:color="auto"/>
              <w:left w:val="nil"/>
              <w:bottom w:val="single" w:sz="4" w:space="0" w:color="FFFFFF" w:themeColor="background1"/>
              <w:right w:val="nil"/>
            </w:tcBorders>
            <w:shd w:val="clear" w:color="auto" w:fill="C6D9F1"/>
          </w:tcPr>
          <w:p w:rsidR="0025490C" w:rsidRPr="00E07B1B" w:rsidRDefault="0025490C" w:rsidP="0086616F">
            <w:pPr>
              <w:pStyle w:val="TableText"/>
              <w:keepNext/>
              <w:jc w:val="center"/>
            </w:pPr>
            <w:r w:rsidRPr="00E07B1B">
              <w:t>CONDITIONAL</w:t>
            </w:r>
          </w:p>
        </w:tc>
      </w:tr>
      <w:tr w:rsidR="0086616F" w:rsidRPr="00E07B1B" w:rsidTr="0086616F">
        <w:trPr>
          <w:cantSplit/>
        </w:trPr>
        <w:tc>
          <w:tcPr>
            <w:tcW w:w="6237" w:type="dxa"/>
            <w:tcBorders>
              <w:top w:val="single" w:sz="4" w:space="0" w:color="FFFFFF" w:themeColor="background1"/>
              <w:left w:val="nil"/>
              <w:bottom w:val="single" w:sz="4" w:space="0" w:color="FFFFFF" w:themeColor="background1"/>
              <w:right w:val="nil"/>
            </w:tcBorders>
            <w:shd w:val="clear" w:color="auto" w:fill="C6D9F1"/>
          </w:tcPr>
          <w:p w:rsidR="0086616F" w:rsidRPr="00E07B1B" w:rsidRDefault="0086616F" w:rsidP="0086616F">
            <w:pPr>
              <w:pStyle w:val="TableText"/>
              <w:keepNext/>
              <w:ind w:left="425" w:right="142" w:hanging="425"/>
              <w:rPr>
                <w:lang w:eastAsia="en-NZ"/>
              </w:rPr>
            </w:pPr>
            <w:r w:rsidRPr="00E07B1B">
              <w:rPr>
                <w:lang w:eastAsia="en-NZ"/>
              </w:rPr>
              <w:t>2a</w:t>
            </w:r>
            <w:r>
              <w:rPr>
                <w:lang w:eastAsia="en-NZ"/>
              </w:rPr>
              <w:tab/>
            </w:r>
            <w:r w:rsidRPr="00E07B1B">
              <w:rPr>
                <w:lang w:eastAsia="en-NZ"/>
              </w:rPr>
              <w:t>Women with HbA1c ≥</w:t>
            </w:r>
            <w:r>
              <w:rPr>
                <w:lang w:eastAsia="en-NZ"/>
              </w:rPr>
              <w:t xml:space="preserve"> </w:t>
            </w:r>
            <w:r w:rsidRPr="00E07B1B">
              <w:rPr>
                <w:lang w:eastAsia="en-NZ"/>
              </w:rPr>
              <w:t xml:space="preserve">50 mmol/mol should be under the care of a </w:t>
            </w:r>
            <w:r>
              <w:rPr>
                <w:lang w:eastAsia="en-NZ"/>
              </w:rPr>
              <w:t>service that specialises in diabetes in pregnancy</w:t>
            </w:r>
            <w:r w:rsidRPr="00E07B1B">
              <w:rPr>
                <w:lang w:eastAsia="en-NZ"/>
              </w:rPr>
              <w:t>.</w:t>
            </w:r>
          </w:p>
        </w:tc>
        <w:tc>
          <w:tcPr>
            <w:tcW w:w="3119" w:type="dxa"/>
            <w:tcBorders>
              <w:top w:val="single" w:sz="4" w:space="0" w:color="FFFFFF" w:themeColor="background1"/>
              <w:left w:val="nil"/>
              <w:bottom w:val="single" w:sz="4" w:space="0" w:color="FFFFFF" w:themeColor="background1"/>
              <w:right w:val="nil"/>
            </w:tcBorders>
            <w:shd w:val="clear" w:color="auto" w:fill="C6D9F1"/>
          </w:tcPr>
          <w:p w:rsidR="0086616F" w:rsidRPr="00E07B1B" w:rsidRDefault="0086616F" w:rsidP="0086616F">
            <w:pPr>
              <w:pStyle w:val="TableText"/>
              <w:keepNext/>
              <w:jc w:val="center"/>
            </w:pPr>
            <w:r w:rsidRPr="00E07B1B">
              <w:t>CONDITIONAL</w:t>
            </w:r>
          </w:p>
        </w:tc>
      </w:tr>
      <w:tr w:rsidR="0086616F" w:rsidRPr="00E07B1B" w:rsidTr="0086616F">
        <w:trPr>
          <w:cantSplit/>
        </w:trPr>
        <w:tc>
          <w:tcPr>
            <w:tcW w:w="6237" w:type="dxa"/>
            <w:tcBorders>
              <w:top w:val="single" w:sz="4" w:space="0" w:color="FFFFFF" w:themeColor="background1"/>
              <w:left w:val="nil"/>
              <w:bottom w:val="single" w:sz="4" w:space="0" w:color="FFFFFF" w:themeColor="background1"/>
              <w:right w:val="nil"/>
            </w:tcBorders>
            <w:shd w:val="clear" w:color="auto" w:fill="DBE5F1"/>
          </w:tcPr>
          <w:p w:rsidR="0086616F" w:rsidRPr="00E07B1B" w:rsidRDefault="0086616F" w:rsidP="0086616F">
            <w:pPr>
              <w:pStyle w:val="TableText"/>
              <w:keepNext/>
              <w:ind w:left="425" w:right="142" w:hanging="425"/>
            </w:pPr>
            <w:r w:rsidRPr="00E07B1B">
              <w:rPr>
                <w:lang w:eastAsia="en-NZ"/>
              </w:rPr>
              <w:t>2b</w:t>
            </w:r>
            <w:r>
              <w:rPr>
                <w:lang w:eastAsia="en-NZ"/>
              </w:rPr>
              <w:tab/>
            </w:r>
            <w:r>
              <w:t>All w</w:t>
            </w:r>
            <w:r w:rsidRPr="00E07B1B">
              <w:t>omen with HbA1c 41</w:t>
            </w:r>
            <w:r>
              <w:t>–</w:t>
            </w:r>
            <w:r w:rsidRPr="00E07B1B">
              <w:t>49 mmol/mol should receive dietary and lifestyle advice and have an oral glucose</w:t>
            </w:r>
            <w:r>
              <w:t xml:space="preserve"> </w:t>
            </w:r>
            <w:r w:rsidRPr="00E07B1B">
              <w:t>tolerance test at 24</w:t>
            </w:r>
            <w:r>
              <w:t>–</w:t>
            </w:r>
            <w:r w:rsidRPr="00E07B1B">
              <w:t>28 weeks</w:t>
            </w:r>
            <w:r>
              <w:t>.</w:t>
            </w:r>
          </w:p>
        </w:tc>
        <w:tc>
          <w:tcPr>
            <w:tcW w:w="3119" w:type="dxa"/>
            <w:tcBorders>
              <w:top w:val="single" w:sz="4" w:space="0" w:color="FFFFFF" w:themeColor="background1"/>
              <w:left w:val="nil"/>
              <w:bottom w:val="single" w:sz="4" w:space="0" w:color="FFFFFF" w:themeColor="background1"/>
              <w:right w:val="nil"/>
            </w:tcBorders>
            <w:shd w:val="clear" w:color="auto" w:fill="DBE5F1"/>
          </w:tcPr>
          <w:p w:rsidR="0086616F" w:rsidRPr="00E07B1B" w:rsidRDefault="0086616F" w:rsidP="0086616F">
            <w:pPr>
              <w:pStyle w:val="TableText"/>
              <w:keepNext/>
              <w:jc w:val="center"/>
            </w:pPr>
            <w:r w:rsidRPr="00E07B1B">
              <w:t>GPP</w:t>
            </w:r>
          </w:p>
        </w:tc>
      </w:tr>
      <w:tr w:rsidR="0025490C" w:rsidRPr="00E07B1B" w:rsidTr="0086616F">
        <w:trPr>
          <w:cantSplit/>
        </w:trPr>
        <w:tc>
          <w:tcPr>
            <w:tcW w:w="6237" w:type="dxa"/>
            <w:tcBorders>
              <w:top w:val="single" w:sz="4" w:space="0" w:color="FFFFFF" w:themeColor="background1"/>
              <w:left w:val="nil"/>
              <w:bottom w:val="single" w:sz="4" w:space="0" w:color="FFFFFF" w:themeColor="background1"/>
              <w:right w:val="nil"/>
            </w:tcBorders>
            <w:shd w:val="clear" w:color="auto" w:fill="C6D9F1"/>
          </w:tcPr>
          <w:p w:rsidR="0025490C" w:rsidRPr="00E07B1B" w:rsidRDefault="0025490C" w:rsidP="0086616F">
            <w:pPr>
              <w:pStyle w:val="TableText"/>
              <w:keepNext/>
              <w:ind w:left="425" w:right="142" w:hanging="425"/>
            </w:pPr>
            <w:r w:rsidRPr="00E07B1B">
              <w:rPr>
                <w:lang w:eastAsia="en-NZ"/>
              </w:rPr>
              <w:t>3</w:t>
            </w:r>
            <w:r w:rsidR="0086616F">
              <w:rPr>
                <w:lang w:eastAsia="en-NZ"/>
              </w:rPr>
              <w:tab/>
            </w:r>
            <w:r w:rsidRPr="00E07B1B">
              <w:rPr>
                <w:lang w:eastAsia="en-NZ"/>
              </w:rPr>
              <w:t>Do not offer an HbA1c as a diagnostic test for gestational diabetes as it is not sensitive enough to detect gestational diabetes.</w:t>
            </w:r>
          </w:p>
        </w:tc>
        <w:tc>
          <w:tcPr>
            <w:tcW w:w="3119" w:type="dxa"/>
            <w:tcBorders>
              <w:top w:val="single" w:sz="4" w:space="0" w:color="FFFFFF" w:themeColor="background1"/>
              <w:left w:val="nil"/>
              <w:bottom w:val="single" w:sz="4" w:space="0" w:color="FFFFFF" w:themeColor="background1"/>
              <w:right w:val="nil"/>
            </w:tcBorders>
            <w:shd w:val="clear" w:color="auto" w:fill="C6D9F1"/>
          </w:tcPr>
          <w:p w:rsidR="0025490C" w:rsidRPr="00E07B1B" w:rsidRDefault="0025490C" w:rsidP="0086616F">
            <w:pPr>
              <w:pStyle w:val="TableText"/>
              <w:keepNext/>
              <w:jc w:val="center"/>
            </w:pPr>
            <w:r w:rsidRPr="00E07B1B">
              <w:t>CONDITIONAL</w:t>
            </w:r>
          </w:p>
        </w:tc>
      </w:tr>
      <w:tr w:rsidR="0025490C" w:rsidRPr="00E07B1B" w:rsidTr="0086616F">
        <w:trPr>
          <w:cantSplit/>
        </w:trPr>
        <w:tc>
          <w:tcPr>
            <w:tcW w:w="9356" w:type="dxa"/>
            <w:gridSpan w:val="2"/>
            <w:tcBorders>
              <w:top w:val="single" w:sz="4" w:space="0" w:color="FFFFFF" w:themeColor="background1"/>
              <w:left w:val="nil"/>
              <w:bottom w:val="single" w:sz="4" w:space="0" w:color="FFFFFF" w:themeColor="background1"/>
              <w:right w:val="nil"/>
            </w:tcBorders>
            <w:shd w:val="clear" w:color="auto" w:fill="E5DFEC"/>
          </w:tcPr>
          <w:p w:rsidR="0025490C" w:rsidRPr="00E07B1B" w:rsidRDefault="0025490C" w:rsidP="0086616F">
            <w:pPr>
              <w:pStyle w:val="TableText"/>
              <w:keepNext/>
              <w:rPr>
                <w:lang w:eastAsia="en-NZ"/>
              </w:rPr>
            </w:pPr>
            <w:r w:rsidRPr="00847D8D">
              <w:rPr>
                <w:b/>
                <w:lang w:eastAsia="en-NZ"/>
              </w:rPr>
              <w:t>Research recommendation</w:t>
            </w:r>
            <w:r w:rsidRPr="00E07B1B">
              <w:rPr>
                <w:lang w:eastAsia="en-NZ"/>
              </w:rPr>
              <w:t xml:space="preserve">: Randomised controlled trial comparing dietary and lifestyle advice </w:t>
            </w:r>
            <w:r>
              <w:rPr>
                <w:lang w:eastAsia="en-NZ"/>
              </w:rPr>
              <w:t>with</w:t>
            </w:r>
            <w:r w:rsidRPr="00E07B1B">
              <w:rPr>
                <w:lang w:eastAsia="en-NZ"/>
              </w:rPr>
              <w:t xml:space="preserve"> pharmacotherapy for women </w:t>
            </w:r>
            <w:r>
              <w:rPr>
                <w:lang w:eastAsia="en-NZ"/>
              </w:rPr>
              <w:t>whose</w:t>
            </w:r>
            <w:r w:rsidRPr="00E07B1B">
              <w:rPr>
                <w:lang w:eastAsia="en-NZ"/>
              </w:rPr>
              <w:t xml:space="preserve"> HbA1c </w:t>
            </w:r>
            <w:r>
              <w:rPr>
                <w:lang w:eastAsia="en-NZ"/>
              </w:rPr>
              <w:t xml:space="preserve">at booking is </w:t>
            </w:r>
            <w:r w:rsidRPr="00E07B1B">
              <w:rPr>
                <w:lang w:eastAsia="en-NZ"/>
              </w:rPr>
              <w:t>in the range of 41</w:t>
            </w:r>
            <w:r>
              <w:rPr>
                <w:lang w:eastAsia="en-NZ"/>
              </w:rPr>
              <w:t>–</w:t>
            </w:r>
            <w:r w:rsidRPr="00E07B1B">
              <w:rPr>
                <w:lang w:eastAsia="en-NZ"/>
              </w:rPr>
              <w:t>49 mmol/mol</w:t>
            </w:r>
            <w:r>
              <w:rPr>
                <w:lang w:eastAsia="en-NZ"/>
              </w:rPr>
              <w:t>, in terms of their impact</w:t>
            </w:r>
            <w:r w:rsidRPr="00E07B1B">
              <w:rPr>
                <w:lang w:eastAsia="en-NZ"/>
              </w:rPr>
              <w:t xml:space="preserve"> on maternal and infant outcomes and development of gestational diabetes.</w:t>
            </w:r>
          </w:p>
        </w:tc>
      </w:tr>
      <w:tr w:rsidR="0025490C" w:rsidRPr="00E07B1B" w:rsidTr="0086616F">
        <w:trPr>
          <w:cantSplit/>
        </w:trPr>
        <w:tc>
          <w:tcPr>
            <w:tcW w:w="9356" w:type="dxa"/>
            <w:gridSpan w:val="2"/>
            <w:tcBorders>
              <w:top w:val="single" w:sz="4" w:space="0" w:color="FFFFFF" w:themeColor="background1"/>
              <w:left w:val="nil"/>
              <w:right w:val="nil"/>
            </w:tcBorders>
            <w:shd w:val="clear" w:color="auto" w:fill="E5DFEC"/>
          </w:tcPr>
          <w:p w:rsidR="0025490C" w:rsidRPr="00E07B1B" w:rsidRDefault="0025490C" w:rsidP="0086616F">
            <w:pPr>
              <w:pStyle w:val="TableText"/>
              <w:rPr>
                <w:lang w:eastAsia="en-NZ"/>
              </w:rPr>
            </w:pPr>
            <w:r w:rsidRPr="00847D8D">
              <w:rPr>
                <w:b/>
                <w:lang w:eastAsia="en-NZ"/>
              </w:rPr>
              <w:t>Research recommendation</w:t>
            </w:r>
            <w:r w:rsidRPr="00E07B1B">
              <w:rPr>
                <w:lang w:eastAsia="en-NZ"/>
              </w:rPr>
              <w:t xml:space="preserve">: Studies that </w:t>
            </w:r>
            <w:r>
              <w:rPr>
                <w:lang w:eastAsia="en-NZ"/>
              </w:rPr>
              <w:t>investigate whether</w:t>
            </w:r>
            <w:r w:rsidRPr="00E07B1B">
              <w:rPr>
                <w:lang w:eastAsia="en-NZ"/>
              </w:rPr>
              <w:t xml:space="preserve"> early diagnosis and treatment lead to improved maternal and infant outcomes.</w:t>
            </w:r>
          </w:p>
        </w:tc>
      </w:tr>
    </w:tbl>
    <w:p w:rsidR="0025490C" w:rsidRPr="00E07B1B" w:rsidRDefault="0025490C" w:rsidP="0086616F"/>
    <w:p w:rsidR="0025490C" w:rsidRPr="00E07B1B" w:rsidRDefault="0025490C" w:rsidP="00521282">
      <w:pPr>
        <w:pStyle w:val="Heading1"/>
      </w:pPr>
      <w:r w:rsidRPr="00E07B1B">
        <w:br w:type="page"/>
      </w:r>
      <w:bookmarkStart w:id="81" w:name="_Toc363207292"/>
      <w:bookmarkStart w:id="82" w:name="_Toc402873524"/>
      <w:bookmarkStart w:id="83" w:name="_Toc403469617"/>
      <w:r w:rsidRPr="00E07B1B">
        <w:t>Chapter 3</w:t>
      </w:r>
      <w:r>
        <w:t>:</w:t>
      </w:r>
      <w:r w:rsidRPr="00E07B1B">
        <w:t xml:space="preserve"> Screening and diagnosis of gestational diabetes at 24</w:t>
      </w:r>
      <w:r>
        <w:t>–</w:t>
      </w:r>
      <w:r w:rsidRPr="00E07B1B">
        <w:t>28 weeks</w:t>
      </w:r>
      <w:bookmarkEnd w:id="81"/>
      <w:bookmarkEnd w:id="82"/>
      <w:bookmarkEnd w:id="83"/>
    </w:p>
    <w:p w:rsidR="0025490C" w:rsidRPr="00E07B1B" w:rsidRDefault="0025490C" w:rsidP="00521282">
      <w:pPr>
        <w:pStyle w:val="Heading2"/>
      </w:pPr>
      <w:bookmarkStart w:id="84" w:name="_Toc363207293"/>
      <w:bookmarkStart w:id="85" w:name="_Toc402873525"/>
      <w:bookmarkStart w:id="86" w:name="_Toc403469618"/>
      <w:r w:rsidRPr="00E07B1B">
        <w:t>3.1</w:t>
      </w:r>
      <w:r w:rsidR="00521282">
        <w:tab/>
      </w:r>
      <w:r w:rsidRPr="00E07B1B">
        <w:t>Background</w:t>
      </w:r>
      <w:bookmarkEnd w:id="84"/>
      <w:bookmarkEnd w:id="85"/>
      <w:bookmarkEnd w:id="86"/>
    </w:p>
    <w:p w:rsidR="0068074A" w:rsidRDefault="0025490C" w:rsidP="00521282">
      <w:r>
        <w:t>The Guideline Development Team</w:t>
      </w:r>
      <w:r w:rsidRPr="00E07B1B">
        <w:t xml:space="preserve"> examined the accuracy of commonly used screening and diagnostic tests for gestational diabetes. Different methods and diagnostic criteria have been suggested (O</w:t>
      </w:r>
      <w:r w:rsidR="0068074A">
        <w:t>’</w:t>
      </w:r>
      <w:r w:rsidRPr="00E07B1B">
        <w:t xml:space="preserve">Sullivan </w:t>
      </w:r>
      <w:r w:rsidR="00521282">
        <w:t>et al</w:t>
      </w:r>
      <w:r w:rsidRPr="00E07B1B">
        <w:t xml:space="preserve"> 1964; National Diabetes Data Group 1979; Carpenter </w:t>
      </w:r>
      <w:r w:rsidR="00521282">
        <w:t>et al</w:t>
      </w:r>
      <w:r w:rsidRPr="00E07B1B">
        <w:t xml:space="preserve"> 1982; Sacks </w:t>
      </w:r>
      <w:r w:rsidR="00D562F2">
        <w:t>et al</w:t>
      </w:r>
      <w:r w:rsidRPr="00E07B1B">
        <w:t xml:space="preserve"> 1989; IADPSG 2010).</w:t>
      </w:r>
    </w:p>
    <w:p w:rsidR="0025490C" w:rsidRPr="00E07B1B" w:rsidRDefault="0025490C" w:rsidP="00521282"/>
    <w:p w:rsidR="0025490C" w:rsidRPr="00E07B1B" w:rsidRDefault="0025490C" w:rsidP="00521282">
      <w:r w:rsidRPr="00E07B1B">
        <w:t>The International Association of Diabetes and Pregnancy</w:t>
      </w:r>
      <w:r>
        <w:t xml:space="preserve"> Study</w:t>
      </w:r>
      <w:r w:rsidRPr="00E07B1B">
        <w:t xml:space="preserve"> Groups (IADPSG 2010) proposed diagnostic thresholds based on the incidence of adverse perinatal outcomes reported in the Hyperglycaemia and Adverse Pregnancy Outcomes</w:t>
      </w:r>
      <w:r>
        <w:t xml:space="preserve"> </w:t>
      </w:r>
      <w:r w:rsidRPr="00E07B1B">
        <w:t xml:space="preserve">study (The HAPO Study Cooperative Research Group 2008). Refer to </w:t>
      </w:r>
      <w:r w:rsidR="0011795B">
        <w:t>Appendix I</w:t>
      </w:r>
      <w:r w:rsidRPr="00E07B1B">
        <w:t>, Table 17.</w:t>
      </w:r>
    </w:p>
    <w:p w:rsidR="0025490C" w:rsidRPr="00E07B1B" w:rsidRDefault="0025490C" w:rsidP="00521282"/>
    <w:p w:rsidR="0068074A" w:rsidRDefault="0025490C" w:rsidP="00521282">
      <w:r w:rsidRPr="00E07B1B">
        <w:t>Because o</w:t>
      </w:r>
      <w:r w:rsidRPr="00521282">
        <w:t>f</w:t>
      </w:r>
      <w:r w:rsidRPr="00E07B1B">
        <w:t xml:space="preserve"> the evidence showing beneficial effects of treating gestational diabetes (Chapter 5), accurately identifying women with gestational diabetes in order to provide appropriate and effective treatment has become more important.</w:t>
      </w:r>
    </w:p>
    <w:p w:rsidR="0025490C" w:rsidRPr="00E07B1B" w:rsidRDefault="0025490C" w:rsidP="00521282"/>
    <w:p w:rsidR="0025490C" w:rsidRPr="00E07B1B" w:rsidRDefault="0025490C" w:rsidP="00521282">
      <w:pPr>
        <w:pStyle w:val="Heading2"/>
      </w:pPr>
      <w:bookmarkStart w:id="87" w:name="_Toc363207294"/>
      <w:bookmarkStart w:id="88" w:name="_Toc402873526"/>
      <w:bookmarkStart w:id="89" w:name="_Toc403469619"/>
      <w:r w:rsidRPr="00E07B1B">
        <w:t>3.2</w:t>
      </w:r>
      <w:r w:rsidR="00521282">
        <w:tab/>
      </w:r>
      <w:r w:rsidRPr="00E07B1B">
        <w:t>Systematic review evidence</w:t>
      </w:r>
      <w:bookmarkEnd w:id="87"/>
      <w:bookmarkEnd w:id="88"/>
      <w:bookmarkEnd w:id="89"/>
    </w:p>
    <w:p w:rsidR="0025490C" w:rsidRDefault="0025490C" w:rsidP="00521282">
      <w:r w:rsidRPr="00E07B1B">
        <w:t xml:space="preserve">The screening and diagnostic values recommended by various international organisations are shown in </w:t>
      </w:r>
      <w:r w:rsidR="0011795B">
        <w:t>Appendix I</w:t>
      </w:r>
      <w:r w:rsidRPr="00E07B1B">
        <w:t>, Table 17.</w:t>
      </w:r>
    </w:p>
    <w:p w:rsidR="0025490C" w:rsidRPr="00E07B1B" w:rsidRDefault="0025490C" w:rsidP="00521282"/>
    <w:p w:rsidR="0025490C" w:rsidRPr="00E07B1B" w:rsidRDefault="0025490C" w:rsidP="00521282">
      <w:r>
        <w:t>The Guideline Development Team has drawn its</w:t>
      </w:r>
      <w:r w:rsidRPr="00E07B1B">
        <w:t xml:space="preserve"> evidence </w:t>
      </w:r>
      <w:r>
        <w:t xml:space="preserve">from </w:t>
      </w:r>
      <w:r w:rsidRPr="00E07B1B">
        <w:t xml:space="preserve">a recent technology assessment and systematic review conducted by the Agency for Healthcare Research and Quality (Hartling </w:t>
      </w:r>
      <w:r w:rsidR="00D562F2">
        <w:t>et al</w:t>
      </w:r>
      <w:r w:rsidRPr="00E07B1B">
        <w:t xml:space="preserve"> 2012). Some of the following data have been taken directly from the Agency for Healthcare Research and Quality report. Appropriate permission for reproductions ha</w:t>
      </w:r>
      <w:r>
        <w:t>s</w:t>
      </w:r>
      <w:r w:rsidRPr="00E07B1B">
        <w:t xml:space="preserve"> been obtained. </w:t>
      </w:r>
      <w:r>
        <w:t>U</w:t>
      </w:r>
      <w:r w:rsidRPr="00E07B1B">
        <w:t xml:space="preserve">nits </w:t>
      </w:r>
      <w:r>
        <w:t xml:space="preserve">are converted </w:t>
      </w:r>
      <w:r w:rsidRPr="00E07B1B">
        <w:t>to mmol/L where possible.</w:t>
      </w:r>
    </w:p>
    <w:p w:rsidR="0025490C" w:rsidRPr="00E07B1B" w:rsidRDefault="0025490C" w:rsidP="00521282"/>
    <w:p w:rsidR="0025490C" w:rsidRDefault="0025490C" w:rsidP="00521282">
      <w:r w:rsidRPr="00E07B1B">
        <w:t xml:space="preserve">The included studies lack an agreed reference standard, although most studies have used the </w:t>
      </w:r>
      <w:r w:rsidRPr="00E07B1B">
        <w:rPr>
          <w:lang w:eastAsia="ja-JP"/>
        </w:rPr>
        <w:t xml:space="preserve">oral glucose tolerance test. </w:t>
      </w:r>
      <w:r>
        <w:rPr>
          <w:lang w:eastAsia="ja-JP"/>
        </w:rPr>
        <w:t>Due to their differences in</w:t>
      </w:r>
      <w:r w:rsidRPr="00E07B1B">
        <w:t xml:space="preserve"> diagnostic criteria</w:t>
      </w:r>
      <w:r>
        <w:t>, studies have produced</w:t>
      </w:r>
      <w:r w:rsidRPr="00E07B1B">
        <w:t xml:space="preserve"> different prevalence rates which makes it difficult to compare studies internationally.</w:t>
      </w:r>
    </w:p>
    <w:p w:rsidR="0025490C" w:rsidRPr="00E07B1B" w:rsidRDefault="0025490C" w:rsidP="00521282"/>
    <w:p w:rsidR="0025490C" w:rsidRPr="00E07B1B" w:rsidRDefault="0025490C" w:rsidP="00521282">
      <w:pPr>
        <w:pStyle w:val="Heading3"/>
        <w:rPr>
          <w:lang w:eastAsia="ja-JP"/>
        </w:rPr>
      </w:pPr>
      <w:bookmarkStart w:id="90" w:name="_Toc363207295"/>
      <w:bookmarkStart w:id="91" w:name="_Toc402873527"/>
      <w:r w:rsidRPr="00E07B1B">
        <w:rPr>
          <w:lang w:eastAsia="ja-JP"/>
        </w:rPr>
        <w:t>3.2.1</w:t>
      </w:r>
      <w:r w:rsidR="00521282">
        <w:rPr>
          <w:lang w:eastAsia="ja-JP"/>
        </w:rPr>
        <w:tab/>
      </w:r>
      <w:r w:rsidRPr="00E07B1B">
        <w:rPr>
          <w:lang w:eastAsia="ja-JP"/>
        </w:rPr>
        <w:t>Screening using 50 g oral glucose challenge</w:t>
      </w:r>
      <w:r>
        <w:rPr>
          <w:lang w:eastAsia="ja-JP"/>
        </w:rPr>
        <w:t xml:space="preserve"> test</w:t>
      </w:r>
      <w:r w:rsidRPr="00E07B1B">
        <w:rPr>
          <w:lang w:eastAsia="ja-JP"/>
        </w:rPr>
        <w:t xml:space="preserve">; gestational diabetes confirmed using a 100 g, </w:t>
      </w:r>
      <w:r>
        <w:rPr>
          <w:lang w:eastAsia="ja-JP"/>
        </w:rPr>
        <w:t>three-</w:t>
      </w:r>
      <w:r w:rsidRPr="00E07B1B">
        <w:rPr>
          <w:lang w:eastAsia="ja-JP"/>
        </w:rPr>
        <w:t>hour oral glucose tolerance test</w:t>
      </w:r>
      <w:bookmarkEnd w:id="90"/>
      <w:bookmarkEnd w:id="91"/>
    </w:p>
    <w:p w:rsidR="0025490C" w:rsidRPr="00E07B1B" w:rsidRDefault="0025490C" w:rsidP="00521282">
      <w:pPr>
        <w:keepNext/>
        <w:keepLines/>
        <w:rPr>
          <w:lang w:eastAsia="ja-JP"/>
        </w:rPr>
      </w:pPr>
      <w:r w:rsidRPr="00E07B1B">
        <w:rPr>
          <w:lang w:eastAsia="ja-JP"/>
        </w:rPr>
        <w:t>Nine studies provided test accuracy data for a 50 g oral glucose challenge test (threshold ≥</w:t>
      </w:r>
      <w:r w:rsidR="00521282">
        <w:rPr>
          <w:lang w:eastAsia="ja-JP"/>
        </w:rPr>
        <w:t> </w:t>
      </w:r>
      <w:r w:rsidRPr="00E07B1B">
        <w:rPr>
          <w:lang w:eastAsia="ja-JP"/>
        </w:rPr>
        <w:t>7.8</w:t>
      </w:r>
      <w:r w:rsidR="00521282">
        <w:rPr>
          <w:lang w:eastAsia="ja-JP"/>
        </w:rPr>
        <w:t> </w:t>
      </w:r>
      <w:r w:rsidRPr="00E07B1B">
        <w:rPr>
          <w:lang w:eastAsia="ja-JP"/>
        </w:rPr>
        <w:t>mmol/L); gestational diabetes was confirmed using a</w:t>
      </w:r>
      <w:r w:rsidR="0068074A">
        <w:rPr>
          <w:lang w:eastAsia="ja-JP"/>
        </w:rPr>
        <w:t xml:space="preserve"> </w:t>
      </w:r>
      <w:r w:rsidRPr="00E07B1B">
        <w:rPr>
          <w:lang w:eastAsia="ja-JP"/>
        </w:rPr>
        <w:t>100</w:t>
      </w:r>
      <w:r>
        <w:rPr>
          <w:lang w:eastAsia="ja-JP"/>
        </w:rPr>
        <w:t xml:space="preserve"> </w:t>
      </w:r>
      <w:r w:rsidRPr="00E07B1B">
        <w:rPr>
          <w:lang w:eastAsia="ja-JP"/>
        </w:rPr>
        <w:t>g, 3</w:t>
      </w:r>
      <w:r>
        <w:rPr>
          <w:lang w:eastAsia="ja-JP"/>
        </w:rPr>
        <w:t>-</w:t>
      </w:r>
      <w:r w:rsidRPr="00E07B1B">
        <w:rPr>
          <w:lang w:eastAsia="ja-JP"/>
        </w:rPr>
        <w:t xml:space="preserve">hour oral glucose tolerance test (Carpenter </w:t>
      </w:r>
      <w:r w:rsidR="00521282">
        <w:rPr>
          <w:lang w:eastAsia="ja-JP"/>
        </w:rPr>
        <w:t>et al</w:t>
      </w:r>
      <w:r w:rsidRPr="00E07B1B">
        <w:rPr>
          <w:lang w:eastAsia="ja-JP"/>
        </w:rPr>
        <w:t xml:space="preserve"> criteria). Six studies reported results for a lower threshold of ≥</w:t>
      </w:r>
      <w:r w:rsidR="00521282">
        <w:rPr>
          <w:lang w:eastAsia="ja-JP"/>
        </w:rPr>
        <w:t> </w:t>
      </w:r>
      <w:r w:rsidRPr="00E07B1B">
        <w:rPr>
          <w:lang w:eastAsia="ja-JP"/>
        </w:rPr>
        <w:t>7.2</w:t>
      </w:r>
      <w:r w:rsidR="00521282">
        <w:rPr>
          <w:lang w:eastAsia="ja-JP"/>
        </w:rPr>
        <w:t> </w:t>
      </w:r>
      <w:r w:rsidRPr="00E07B1B">
        <w:rPr>
          <w:lang w:eastAsia="ja-JP"/>
        </w:rPr>
        <w:t xml:space="preserve">mmol/L on the 50 g oral glucose challenge test and one study used a threshold of ≥ 11.1 mmol/L. Sensitivity and specificity were both high </w:t>
      </w:r>
      <w:r w:rsidRPr="00E07B1B">
        <w:t xml:space="preserve">(Hartling </w:t>
      </w:r>
      <w:r w:rsidR="00D562F2">
        <w:t>et al</w:t>
      </w:r>
      <w:r w:rsidRPr="00E07B1B">
        <w:t xml:space="preserve"> 2012)</w:t>
      </w:r>
      <w:r w:rsidRPr="00E07B1B">
        <w:rPr>
          <w:lang w:eastAsia="ja-JP"/>
        </w:rPr>
        <w:t xml:space="preserve">. Refer to </w:t>
      </w:r>
      <w:r w:rsidR="00521282">
        <w:rPr>
          <w:lang w:eastAsia="ja-JP"/>
        </w:rPr>
        <w:t xml:space="preserve">Appendix </w:t>
      </w:r>
      <w:r w:rsidR="0011795B">
        <w:rPr>
          <w:lang w:eastAsia="ja-JP"/>
        </w:rPr>
        <w:t>I</w:t>
      </w:r>
      <w:r w:rsidRPr="00E07B1B">
        <w:rPr>
          <w:lang w:eastAsia="ja-JP"/>
        </w:rPr>
        <w:t>, Figure 6.</w:t>
      </w:r>
    </w:p>
    <w:p w:rsidR="0025490C" w:rsidRPr="00E07B1B" w:rsidRDefault="0025490C" w:rsidP="00521282">
      <w:pPr>
        <w:rPr>
          <w:lang w:eastAsia="ja-JP"/>
        </w:rPr>
      </w:pPr>
    </w:p>
    <w:p w:rsidR="0025490C" w:rsidRPr="00E07B1B" w:rsidRDefault="0025490C" w:rsidP="00521282">
      <w:pPr>
        <w:rPr>
          <w:lang w:eastAsia="ja-JP"/>
        </w:rPr>
      </w:pPr>
      <w:r w:rsidRPr="00E07B1B">
        <w:rPr>
          <w:lang w:eastAsia="ja-JP"/>
        </w:rPr>
        <w:t>The 50 g oral glucose challenge test with the ≥ 7.2 mmol/L threshold had higher sensitivity when compared with ≥ 7.8 mmol/L</w:t>
      </w:r>
      <w:r>
        <w:rPr>
          <w:lang w:eastAsia="ja-JP"/>
        </w:rPr>
        <w:t>,</w:t>
      </w:r>
      <w:r w:rsidRPr="00E07B1B">
        <w:rPr>
          <w:lang w:eastAsia="ja-JP"/>
        </w:rPr>
        <w:t xml:space="preserve"> although specificity was lower. Both thresholds have high negative predictive values but variable positive predictive values across a range of </w:t>
      </w:r>
      <w:r>
        <w:rPr>
          <w:lang w:eastAsia="ja-JP"/>
        </w:rPr>
        <w:t xml:space="preserve">data on </w:t>
      </w:r>
      <w:r w:rsidRPr="00E07B1B">
        <w:rPr>
          <w:lang w:eastAsia="ja-JP"/>
        </w:rPr>
        <w:t>gestational diabetes prevalence. The Toronto Trihospital study found evidence to support the use of the lower screening threshold for higher</w:t>
      </w:r>
      <w:r>
        <w:rPr>
          <w:lang w:eastAsia="ja-JP"/>
        </w:rPr>
        <w:t>-</w:t>
      </w:r>
      <w:r w:rsidRPr="00E07B1B">
        <w:rPr>
          <w:lang w:eastAsia="ja-JP"/>
        </w:rPr>
        <w:t>risk patients, and the higher screening threshold for lower</w:t>
      </w:r>
      <w:r>
        <w:rPr>
          <w:lang w:eastAsia="ja-JP"/>
        </w:rPr>
        <w:t>-</w:t>
      </w:r>
      <w:r w:rsidRPr="00E07B1B">
        <w:rPr>
          <w:lang w:eastAsia="ja-JP"/>
        </w:rPr>
        <w:t xml:space="preserve">risk patients. Refer to </w:t>
      </w:r>
      <w:r w:rsidR="00521282">
        <w:rPr>
          <w:lang w:eastAsia="ja-JP"/>
        </w:rPr>
        <w:t xml:space="preserve">Appendix </w:t>
      </w:r>
      <w:r w:rsidR="0011795B">
        <w:rPr>
          <w:lang w:eastAsia="ja-JP"/>
        </w:rPr>
        <w:t>I</w:t>
      </w:r>
      <w:r w:rsidRPr="00E07B1B">
        <w:rPr>
          <w:lang w:eastAsia="ja-JP"/>
        </w:rPr>
        <w:t xml:space="preserve">, Figure 6 </w:t>
      </w:r>
      <w:r w:rsidRPr="00E07B1B">
        <w:t xml:space="preserve">(Hartling </w:t>
      </w:r>
      <w:r w:rsidR="00D562F2">
        <w:t>et al</w:t>
      </w:r>
      <w:r w:rsidRPr="00E07B1B">
        <w:t xml:space="preserve"> 2012).</w:t>
      </w:r>
    </w:p>
    <w:p w:rsidR="0025490C" w:rsidRPr="00E07B1B" w:rsidRDefault="0025490C" w:rsidP="00521282">
      <w:pPr>
        <w:rPr>
          <w:lang w:eastAsia="ja-JP"/>
        </w:rPr>
      </w:pPr>
    </w:p>
    <w:p w:rsidR="0025490C" w:rsidRDefault="0025490C" w:rsidP="00521282">
      <w:pPr>
        <w:rPr>
          <w:lang w:eastAsia="ja-JP"/>
        </w:rPr>
      </w:pPr>
      <w:r w:rsidRPr="00E07B1B">
        <w:rPr>
          <w:lang w:eastAsia="ja-JP"/>
        </w:rPr>
        <w:t>Seven studies assessed a 50 g oral glucose challenge test with a ≥ 7.8 mmol/L threshold where gestational diabetes was confirmed using the National Diabetes Data Group criteria. Three studies reported on a lower threshold of ≥ 7.2 mmol/L and one study used a threshold of &gt;</w:t>
      </w:r>
      <w:r w:rsidR="00521282">
        <w:rPr>
          <w:lang w:eastAsia="ja-JP"/>
        </w:rPr>
        <w:t> </w:t>
      </w:r>
      <w:r w:rsidRPr="00E07B1B">
        <w:rPr>
          <w:lang w:eastAsia="ja-JP"/>
        </w:rPr>
        <w:t>11.1</w:t>
      </w:r>
      <w:r w:rsidR="00521282">
        <w:rPr>
          <w:lang w:eastAsia="ja-JP"/>
        </w:rPr>
        <w:t> </w:t>
      </w:r>
      <w:r w:rsidRPr="00E07B1B">
        <w:rPr>
          <w:lang w:eastAsia="ja-JP"/>
        </w:rPr>
        <w:t xml:space="preserve">mmol/L. Sensitivity and specificity were both high </w:t>
      </w:r>
      <w:r w:rsidRPr="00E07B1B">
        <w:t xml:space="preserve">(Hartling </w:t>
      </w:r>
      <w:r w:rsidR="00D562F2">
        <w:t>et al</w:t>
      </w:r>
      <w:r w:rsidRPr="00E07B1B">
        <w:t xml:space="preserve"> 2012).</w:t>
      </w:r>
      <w:r w:rsidRPr="00E07B1B">
        <w:rPr>
          <w:lang w:eastAsia="ja-JP"/>
        </w:rPr>
        <w:t xml:space="preserve"> Refer to </w:t>
      </w:r>
      <w:r w:rsidR="00521282">
        <w:rPr>
          <w:lang w:eastAsia="ja-JP"/>
        </w:rPr>
        <w:t xml:space="preserve">Appendix </w:t>
      </w:r>
      <w:r w:rsidR="0011795B">
        <w:rPr>
          <w:lang w:eastAsia="ja-JP"/>
        </w:rPr>
        <w:t>I</w:t>
      </w:r>
      <w:r w:rsidRPr="00E07B1B">
        <w:rPr>
          <w:lang w:eastAsia="ja-JP"/>
        </w:rPr>
        <w:t>, Figure 7.</w:t>
      </w:r>
    </w:p>
    <w:p w:rsidR="0025490C" w:rsidRPr="00E07B1B" w:rsidRDefault="0025490C" w:rsidP="00521282">
      <w:pPr>
        <w:rPr>
          <w:lang w:eastAsia="ja-JP"/>
        </w:rPr>
      </w:pPr>
    </w:p>
    <w:p w:rsidR="0025490C" w:rsidRPr="00E07B1B" w:rsidRDefault="0025490C" w:rsidP="00521282">
      <w:pPr>
        <w:pStyle w:val="Heading3"/>
      </w:pPr>
      <w:bookmarkStart w:id="92" w:name="_Toc363207296"/>
      <w:bookmarkStart w:id="93" w:name="_Toc402873528"/>
      <w:r w:rsidRPr="00E07B1B">
        <w:t>3.2.2</w:t>
      </w:r>
      <w:r w:rsidR="00521282">
        <w:tab/>
      </w:r>
      <w:r w:rsidRPr="00E07B1B">
        <w:t>Screen</w:t>
      </w:r>
      <w:r>
        <w:t>ing</w:t>
      </w:r>
      <w:r w:rsidRPr="00E07B1B">
        <w:t xml:space="preserve"> using 50 g oral glucose challenge test</w:t>
      </w:r>
      <w:r>
        <w:t>;</w:t>
      </w:r>
      <w:r w:rsidRPr="00E07B1B">
        <w:t xml:space="preserve"> gestational diabetes confirmed using 75 g oral glucose tolerance test</w:t>
      </w:r>
      <w:bookmarkEnd w:id="92"/>
      <w:bookmarkEnd w:id="93"/>
    </w:p>
    <w:p w:rsidR="0025490C" w:rsidRPr="00E07B1B" w:rsidRDefault="0025490C" w:rsidP="00521282">
      <w:pPr>
        <w:rPr>
          <w:lang w:eastAsia="ja-JP"/>
        </w:rPr>
      </w:pPr>
      <w:r w:rsidRPr="00E07B1B">
        <w:rPr>
          <w:lang w:eastAsia="ja-JP"/>
        </w:rPr>
        <w:t>Three studies assessed a one</w:t>
      </w:r>
      <w:r>
        <w:rPr>
          <w:lang w:eastAsia="ja-JP"/>
        </w:rPr>
        <w:t>-</w:t>
      </w:r>
      <w:r w:rsidRPr="00E07B1B">
        <w:rPr>
          <w:lang w:eastAsia="ja-JP"/>
        </w:rPr>
        <w:t>hour 50 g oral glucose challenge test (different thresholds); gestational diabetes was confirmed using the American Diabetes Association (2000</w:t>
      </w:r>
      <w:r>
        <w:rPr>
          <w:lang w:eastAsia="ja-JP"/>
        </w:rPr>
        <w:t>–</w:t>
      </w:r>
      <w:r w:rsidRPr="00E07B1B">
        <w:rPr>
          <w:lang w:eastAsia="ja-JP"/>
        </w:rPr>
        <w:t xml:space="preserve">2010) 75 g, </w:t>
      </w:r>
      <w:r>
        <w:rPr>
          <w:lang w:eastAsia="ja-JP"/>
        </w:rPr>
        <w:t>two-</w:t>
      </w:r>
      <w:r w:rsidRPr="00E07B1B">
        <w:rPr>
          <w:lang w:eastAsia="ja-JP"/>
        </w:rPr>
        <w:t>hour criteria</w:t>
      </w:r>
      <w:r>
        <w:rPr>
          <w:lang w:eastAsia="ja-JP"/>
        </w:rPr>
        <w:t>. O</w:t>
      </w:r>
      <w:r w:rsidRPr="00E07B1B">
        <w:rPr>
          <w:lang w:eastAsia="ja-JP"/>
        </w:rPr>
        <w:t xml:space="preserve">ne Canadian study confirmed diagnosis using the Canadian Diabetes Association 75 g, </w:t>
      </w:r>
      <w:r>
        <w:rPr>
          <w:lang w:eastAsia="ja-JP"/>
        </w:rPr>
        <w:t>two-</w:t>
      </w:r>
      <w:r w:rsidRPr="00E07B1B">
        <w:rPr>
          <w:lang w:eastAsia="ja-JP"/>
        </w:rPr>
        <w:t xml:space="preserve">hour criteria </w:t>
      </w:r>
      <w:r w:rsidRPr="00E07B1B">
        <w:t xml:space="preserve">(Hartling </w:t>
      </w:r>
      <w:r w:rsidR="00D562F2">
        <w:t>et al</w:t>
      </w:r>
      <w:r w:rsidRPr="00E07B1B">
        <w:t xml:space="preserve"> 2012)</w:t>
      </w:r>
      <w:r w:rsidRPr="00E07B1B">
        <w:rPr>
          <w:lang w:eastAsia="ja-JP"/>
        </w:rPr>
        <w:t xml:space="preserve">. Refer to </w:t>
      </w:r>
      <w:r w:rsidR="00521282">
        <w:rPr>
          <w:lang w:eastAsia="ja-JP"/>
        </w:rPr>
        <w:t xml:space="preserve">Appendix </w:t>
      </w:r>
      <w:r w:rsidR="0011795B">
        <w:rPr>
          <w:lang w:eastAsia="ja-JP"/>
        </w:rPr>
        <w:t>I</w:t>
      </w:r>
      <w:r w:rsidRPr="00E07B1B">
        <w:rPr>
          <w:lang w:eastAsia="ja-JP"/>
        </w:rPr>
        <w:t>, Figure 8</w:t>
      </w:r>
      <w:r>
        <w:rPr>
          <w:lang w:eastAsia="ja-JP"/>
        </w:rPr>
        <w:t>.</w:t>
      </w:r>
    </w:p>
    <w:p w:rsidR="0025490C" w:rsidRPr="00E07B1B" w:rsidRDefault="0025490C" w:rsidP="00521282">
      <w:pPr>
        <w:rPr>
          <w:lang w:eastAsia="ja-JP"/>
        </w:rPr>
      </w:pPr>
    </w:p>
    <w:p w:rsidR="0025490C" w:rsidRDefault="0025490C" w:rsidP="00521282">
      <w:pPr>
        <w:rPr>
          <w:lang w:eastAsia="ja-JP"/>
        </w:rPr>
      </w:pPr>
      <w:r w:rsidRPr="00E07B1B">
        <w:rPr>
          <w:lang w:eastAsia="ja-JP"/>
        </w:rPr>
        <w:t xml:space="preserve">Three studies assessed a 50 g oral glucose challenge test (≥ 7.8 mmol/L) with gestational diabetes confirmed using the World Health Organization 75 g criteria </w:t>
      </w:r>
      <w:r w:rsidRPr="00E07B1B">
        <w:t xml:space="preserve">(Hartling </w:t>
      </w:r>
      <w:r w:rsidR="00D562F2">
        <w:t>et al</w:t>
      </w:r>
      <w:r w:rsidRPr="00E07B1B">
        <w:t xml:space="preserve"> 2012)</w:t>
      </w:r>
      <w:r w:rsidRPr="00E07B1B">
        <w:rPr>
          <w:lang w:eastAsia="ja-JP"/>
        </w:rPr>
        <w:t xml:space="preserve">. There was a wide range in diagnostic accuracy. Refer to </w:t>
      </w:r>
      <w:r w:rsidR="0011795B">
        <w:rPr>
          <w:lang w:eastAsia="ja-JP"/>
        </w:rPr>
        <w:t>Appendix I</w:t>
      </w:r>
      <w:r w:rsidRPr="00E07B1B">
        <w:rPr>
          <w:lang w:eastAsia="ja-JP"/>
        </w:rPr>
        <w:t>, Figure 9.</w:t>
      </w:r>
    </w:p>
    <w:p w:rsidR="0025490C" w:rsidRPr="00E07B1B" w:rsidRDefault="0025490C" w:rsidP="00521282">
      <w:pPr>
        <w:rPr>
          <w:lang w:eastAsia="ja-JP"/>
        </w:rPr>
      </w:pPr>
    </w:p>
    <w:p w:rsidR="0025490C" w:rsidRPr="00E07B1B" w:rsidRDefault="0025490C" w:rsidP="00521282">
      <w:pPr>
        <w:pStyle w:val="Heading3"/>
        <w:rPr>
          <w:lang w:eastAsia="ja-JP"/>
        </w:rPr>
      </w:pPr>
      <w:bookmarkStart w:id="94" w:name="_Toc363207297"/>
      <w:bookmarkStart w:id="95" w:name="_Toc402873529"/>
      <w:r w:rsidRPr="00E07B1B">
        <w:rPr>
          <w:lang w:eastAsia="ja-JP"/>
        </w:rPr>
        <w:t>3.2.3</w:t>
      </w:r>
      <w:r w:rsidR="00521282">
        <w:rPr>
          <w:lang w:eastAsia="ja-JP"/>
        </w:rPr>
        <w:tab/>
      </w:r>
      <w:r w:rsidRPr="00E07B1B">
        <w:rPr>
          <w:lang w:eastAsia="ja-JP"/>
        </w:rPr>
        <w:t>Fasting plasma glucose</w:t>
      </w:r>
      <w:bookmarkEnd w:id="94"/>
      <w:bookmarkEnd w:id="95"/>
    </w:p>
    <w:p w:rsidR="0068074A" w:rsidRDefault="0025490C" w:rsidP="00521282">
      <w:pPr>
        <w:rPr>
          <w:lang w:eastAsia="ja-JP"/>
        </w:rPr>
      </w:pPr>
      <w:r w:rsidRPr="00E07B1B">
        <w:rPr>
          <w:lang w:eastAsia="ja-JP"/>
        </w:rPr>
        <w:t xml:space="preserve">Seven studies assessed fasting plasma glucose to screen for gestational diabetes which was confirmed using Carpenter and Coustan criteria. </w:t>
      </w:r>
      <w:r>
        <w:rPr>
          <w:lang w:eastAsia="ja-JP"/>
        </w:rPr>
        <w:t>For t</w:t>
      </w:r>
      <w:r w:rsidRPr="00E07B1B">
        <w:rPr>
          <w:lang w:eastAsia="ja-JP"/>
        </w:rPr>
        <w:t>he joint estimates of sensitivity and specificity for the different fasting plasma glucose threshold values</w:t>
      </w:r>
      <w:r>
        <w:rPr>
          <w:lang w:eastAsia="ja-JP"/>
        </w:rPr>
        <w:t>,</w:t>
      </w:r>
      <w:r w:rsidRPr="00E07B1B">
        <w:rPr>
          <w:lang w:eastAsia="ja-JP"/>
        </w:rPr>
        <w:t xml:space="preserve"> refer to </w:t>
      </w:r>
      <w:r w:rsidR="0011795B">
        <w:rPr>
          <w:lang w:eastAsia="ja-JP"/>
        </w:rPr>
        <w:t>Appendix I</w:t>
      </w:r>
      <w:r w:rsidRPr="00E07B1B">
        <w:rPr>
          <w:lang w:eastAsia="ja-JP"/>
        </w:rPr>
        <w:t>, Figure</w:t>
      </w:r>
      <w:r w:rsidR="00521282">
        <w:rPr>
          <w:lang w:eastAsia="ja-JP"/>
        </w:rPr>
        <w:t> </w:t>
      </w:r>
      <w:r w:rsidRPr="00E07B1B">
        <w:rPr>
          <w:lang w:eastAsia="ja-JP"/>
        </w:rPr>
        <w:t xml:space="preserve">10 </w:t>
      </w:r>
      <w:r w:rsidRPr="00E07B1B">
        <w:t xml:space="preserve">(Hartling </w:t>
      </w:r>
      <w:r w:rsidR="00D562F2">
        <w:t>et al</w:t>
      </w:r>
      <w:r w:rsidRPr="00E07B1B">
        <w:t xml:space="preserve"> 2012)</w:t>
      </w:r>
      <w:r w:rsidRPr="00E07B1B">
        <w:rPr>
          <w:lang w:eastAsia="ja-JP"/>
        </w:rPr>
        <w:t>.</w:t>
      </w:r>
    </w:p>
    <w:p w:rsidR="0025490C" w:rsidRPr="00E07B1B" w:rsidRDefault="0025490C" w:rsidP="00521282">
      <w:pPr>
        <w:rPr>
          <w:lang w:eastAsia="ja-JP"/>
        </w:rPr>
      </w:pPr>
    </w:p>
    <w:p w:rsidR="0025490C" w:rsidRPr="00E07B1B" w:rsidRDefault="0025490C" w:rsidP="00521282">
      <w:pPr>
        <w:pStyle w:val="Heading3"/>
        <w:rPr>
          <w:lang w:eastAsia="ja-JP"/>
        </w:rPr>
      </w:pPr>
      <w:bookmarkStart w:id="96" w:name="_Toc363207298"/>
      <w:bookmarkStart w:id="97" w:name="_Toc402873530"/>
      <w:r w:rsidRPr="00E07B1B">
        <w:rPr>
          <w:lang w:eastAsia="ja-JP"/>
        </w:rPr>
        <w:t>3.2.4</w:t>
      </w:r>
      <w:r w:rsidR="00521282">
        <w:rPr>
          <w:lang w:eastAsia="ja-JP"/>
        </w:rPr>
        <w:tab/>
      </w:r>
      <w:r w:rsidRPr="00E07B1B">
        <w:rPr>
          <w:lang w:eastAsia="ja-JP"/>
        </w:rPr>
        <w:t>Other screening criteria and screening tests</w:t>
      </w:r>
      <w:bookmarkEnd w:id="96"/>
      <w:bookmarkEnd w:id="97"/>
    </w:p>
    <w:p w:rsidR="0025490C" w:rsidRPr="00E07B1B" w:rsidRDefault="0025490C" w:rsidP="00521282">
      <w:pPr>
        <w:keepLines/>
        <w:rPr>
          <w:lang w:eastAsia="ja-JP"/>
        </w:rPr>
      </w:pPr>
      <w:r>
        <w:rPr>
          <w:lang w:eastAsia="ja-JP"/>
        </w:rPr>
        <w:t>The results</w:t>
      </w:r>
      <w:r w:rsidRPr="00E07B1B">
        <w:rPr>
          <w:lang w:eastAsia="ja-JP"/>
        </w:rPr>
        <w:t xml:space="preserve"> of studies using other criteria </w:t>
      </w:r>
      <w:r>
        <w:rPr>
          <w:lang w:eastAsia="ja-JP"/>
        </w:rPr>
        <w:t>are summarised</w:t>
      </w:r>
      <w:r w:rsidRPr="00E07B1B">
        <w:rPr>
          <w:lang w:eastAsia="ja-JP"/>
        </w:rPr>
        <w:t xml:space="preserve"> in </w:t>
      </w:r>
      <w:r w:rsidR="00521282">
        <w:rPr>
          <w:lang w:eastAsia="ja-JP"/>
        </w:rPr>
        <w:t xml:space="preserve">Appendix </w:t>
      </w:r>
      <w:r w:rsidR="0011795B">
        <w:rPr>
          <w:lang w:eastAsia="ja-JP"/>
        </w:rPr>
        <w:t>I</w:t>
      </w:r>
      <w:r w:rsidRPr="00E07B1B">
        <w:rPr>
          <w:lang w:eastAsia="ja-JP"/>
        </w:rPr>
        <w:t xml:space="preserve">, Figure 11 </w:t>
      </w:r>
      <w:r w:rsidRPr="00E07B1B">
        <w:t xml:space="preserve">(Hartling </w:t>
      </w:r>
      <w:r w:rsidR="00D562F2">
        <w:t>et al</w:t>
      </w:r>
      <w:r w:rsidRPr="00E07B1B">
        <w:t xml:space="preserve"> 2012)</w:t>
      </w:r>
      <w:r w:rsidRPr="00E07B1B">
        <w:rPr>
          <w:lang w:eastAsia="ja-JP"/>
        </w:rPr>
        <w:t xml:space="preserve">. </w:t>
      </w:r>
      <w:r>
        <w:rPr>
          <w:lang w:eastAsia="ja-JP"/>
        </w:rPr>
        <w:t>For t</w:t>
      </w:r>
      <w:r w:rsidRPr="00E07B1B">
        <w:rPr>
          <w:lang w:eastAsia="ja-JP"/>
        </w:rPr>
        <w:t>he diagnostic accuracy of other screening tests</w:t>
      </w:r>
      <w:r>
        <w:rPr>
          <w:lang w:eastAsia="ja-JP"/>
        </w:rPr>
        <w:t>,</w:t>
      </w:r>
      <w:r w:rsidRPr="00E07B1B">
        <w:rPr>
          <w:lang w:eastAsia="ja-JP"/>
        </w:rPr>
        <w:t xml:space="preserve"> refer to </w:t>
      </w:r>
      <w:r w:rsidR="00521282">
        <w:rPr>
          <w:lang w:eastAsia="ja-JP"/>
        </w:rPr>
        <w:t xml:space="preserve">Appendix </w:t>
      </w:r>
      <w:r w:rsidR="0011795B">
        <w:rPr>
          <w:lang w:eastAsia="ja-JP"/>
        </w:rPr>
        <w:t>I</w:t>
      </w:r>
      <w:r w:rsidRPr="00E07B1B">
        <w:rPr>
          <w:lang w:eastAsia="ja-JP"/>
        </w:rPr>
        <w:t>, Table 1</w:t>
      </w:r>
      <w:r>
        <w:rPr>
          <w:lang w:eastAsia="ja-JP"/>
        </w:rPr>
        <w:t>8</w:t>
      </w:r>
      <w:r w:rsidRPr="00E07B1B">
        <w:rPr>
          <w:lang w:eastAsia="ja-JP"/>
        </w:rPr>
        <w:t>. Limited data support the use of HbA1c as a screening test at 24</w:t>
      </w:r>
      <w:r>
        <w:rPr>
          <w:lang w:eastAsia="ja-JP"/>
        </w:rPr>
        <w:t>–</w:t>
      </w:r>
      <w:r w:rsidRPr="00E07B1B">
        <w:rPr>
          <w:lang w:eastAsia="ja-JP"/>
        </w:rPr>
        <w:t>28 weeks. One study conducted in the United Arab Emirates using an HbA1c value of ≥ 37 mmol/mol lacked specificity (21%) despite good sensitivity (82%). A Turkish study showed that an HbA1c threshold of</w:t>
      </w:r>
      <w:r>
        <w:rPr>
          <w:lang w:eastAsia="ja-JP"/>
        </w:rPr>
        <w:t xml:space="preserve"> </w:t>
      </w:r>
      <w:r w:rsidRPr="00E07B1B">
        <w:rPr>
          <w:lang w:eastAsia="ja-JP"/>
        </w:rPr>
        <w:t>≥</w:t>
      </w:r>
      <w:r w:rsidR="00521282">
        <w:rPr>
          <w:lang w:eastAsia="ja-JP"/>
        </w:rPr>
        <w:t> </w:t>
      </w:r>
      <w:r w:rsidRPr="00E07B1B">
        <w:rPr>
          <w:lang w:eastAsia="ja-JP"/>
        </w:rPr>
        <w:t>55</w:t>
      </w:r>
      <w:r w:rsidR="00521282">
        <w:rPr>
          <w:lang w:eastAsia="ja-JP"/>
        </w:rPr>
        <w:t> </w:t>
      </w:r>
      <w:r w:rsidRPr="00E07B1B">
        <w:rPr>
          <w:lang w:eastAsia="ja-JP"/>
        </w:rPr>
        <w:t>mmol/mol had 64% sensitivity and specificity. HbA1c does not perform as well as the 50</w:t>
      </w:r>
      <w:r w:rsidR="00521282">
        <w:rPr>
          <w:lang w:eastAsia="ja-JP"/>
        </w:rPr>
        <w:t> </w:t>
      </w:r>
      <w:r w:rsidRPr="00E07B1B">
        <w:rPr>
          <w:lang w:eastAsia="ja-JP"/>
        </w:rPr>
        <w:t xml:space="preserve">g oral glucose challenge test as a screening test for gestational diabetes later in pregnancy except when HbA1c is markedly elevated </w:t>
      </w:r>
      <w:r w:rsidRPr="00E07B1B">
        <w:t xml:space="preserve">(Hartling </w:t>
      </w:r>
      <w:r w:rsidR="00D562F2">
        <w:t>et al</w:t>
      </w:r>
      <w:r w:rsidRPr="00E07B1B">
        <w:t xml:space="preserve"> 2012)</w:t>
      </w:r>
      <w:r w:rsidRPr="00E07B1B">
        <w:rPr>
          <w:lang w:eastAsia="ja-JP"/>
        </w:rPr>
        <w:t>.</w:t>
      </w:r>
    </w:p>
    <w:p w:rsidR="0025490C" w:rsidRPr="00E07B1B" w:rsidRDefault="0025490C" w:rsidP="00521282">
      <w:pPr>
        <w:rPr>
          <w:lang w:eastAsia="ja-JP"/>
        </w:rPr>
      </w:pPr>
    </w:p>
    <w:p w:rsidR="0025490C" w:rsidRPr="00E07B1B" w:rsidRDefault="0025490C" w:rsidP="00521282">
      <w:pPr>
        <w:pStyle w:val="Heading3"/>
        <w:rPr>
          <w:lang w:eastAsia="ja-JP"/>
        </w:rPr>
      </w:pPr>
      <w:bookmarkStart w:id="98" w:name="_Toc363207299"/>
      <w:bookmarkStart w:id="99" w:name="_Toc402873531"/>
      <w:r w:rsidRPr="00E07B1B">
        <w:rPr>
          <w:lang w:eastAsia="ja-JP"/>
        </w:rPr>
        <w:t>3.2.5</w:t>
      </w:r>
      <w:r w:rsidR="00521282">
        <w:rPr>
          <w:lang w:eastAsia="ja-JP"/>
        </w:rPr>
        <w:tab/>
      </w:r>
      <w:r w:rsidRPr="00E07B1B">
        <w:rPr>
          <w:lang w:eastAsia="ja-JP"/>
        </w:rPr>
        <w:t>Effect of prevalence on diagnostic test accuracy</w:t>
      </w:r>
      <w:bookmarkEnd w:id="98"/>
      <w:bookmarkEnd w:id="99"/>
    </w:p>
    <w:p w:rsidR="0025490C" w:rsidRDefault="00521282" w:rsidP="00521282">
      <w:r>
        <w:t xml:space="preserve">Appendix </w:t>
      </w:r>
      <w:r w:rsidR="0011795B">
        <w:t>I</w:t>
      </w:r>
      <w:r w:rsidR="0025490C" w:rsidRPr="00E07B1B">
        <w:t>, Table19 presents a series of scenarios that demonstrate the changes in positive and negative predictive values for three levels of prevalence (7%, 15% and 25%). The higher the prevalence of gestational diabetes, the higher the positive predictive value (</w:t>
      </w:r>
      <w:r w:rsidR="0025490C">
        <w:t xml:space="preserve">that is, </w:t>
      </w:r>
      <w:r w:rsidR="0025490C" w:rsidRPr="00E07B1B">
        <w:t xml:space="preserve">the more likely </w:t>
      </w:r>
      <w:r w:rsidR="0025490C">
        <w:t xml:space="preserve">it is that </w:t>
      </w:r>
      <w:r w:rsidR="0025490C" w:rsidRPr="00E07B1B">
        <w:t>a positive result is able to predict the presence of gestational diabetes). When the prevalence of gestational diabetes is low, the positive predictive value is also low, even when the test has high sensitivity and specificity. Generally the negative predictive value (which rules out gestational diabetes) is very high</w:t>
      </w:r>
      <w:r w:rsidR="0025490C">
        <w:t xml:space="preserve"> – </w:t>
      </w:r>
      <w:r w:rsidR="0025490C" w:rsidRPr="00E07B1B">
        <w:t xml:space="preserve">98% or better at a gestational diabetes prevalence of 7% (Hartling </w:t>
      </w:r>
      <w:r w:rsidR="00D562F2">
        <w:t>et al</w:t>
      </w:r>
      <w:r w:rsidR="0025490C" w:rsidRPr="00E07B1B">
        <w:t xml:space="preserve"> 2012).</w:t>
      </w:r>
    </w:p>
    <w:p w:rsidR="0025490C" w:rsidRPr="00E07B1B" w:rsidRDefault="0025490C" w:rsidP="00521282"/>
    <w:p w:rsidR="0025490C" w:rsidRPr="00E07B1B" w:rsidRDefault="0025490C" w:rsidP="00521282">
      <w:pPr>
        <w:rPr>
          <w:lang w:eastAsia="ja-JP"/>
        </w:rPr>
      </w:pPr>
      <w:r w:rsidRPr="00E07B1B">
        <w:rPr>
          <w:lang w:eastAsia="ja-JP"/>
        </w:rPr>
        <w:t xml:space="preserve">Differences in prevalence associated with different diagnostic criteria were identified in </w:t>
      </w:r>
      <w:r>
        <w:rPr>
          <w:lang w:eastAsia="ja-JP"/>
        </w:rPr>
        <w:t>five</w:t>
      </w:r>
      <w:r w:rsidRPr="00E07B1B">
        <w:rPr>
          <w:lang w:eastAsia="ja-JP"/>
        </w:rPr>
        <w:t xml:space="preserve"> observational studies (</w:t>
      </w:r>
      <w:r>
        <w:rPr>
          <w:lang w:eastAsia="ja-JP"/>
        </w:rPr>
        <w:t>r</w:t>
      </w:r>
      <w:r w:rsidRPr="00E07B1B">
        <w:rPr>
          <w:lang w:eastAsia="ja-JP"/>
        </w:rPr>
        <w:t xml:space="preserve">efer to </w:t>
      </w:r>
      <w:r w:rsidR="00521282">
        <w:rPr>
          <w:lang w:eastAsia="ja-JP"/>
        </w:rPr>
        <w:t xml:space="preserve">Appendix </w:t>
      </w:r>
      <w:r w:rsidR="0011795B">
        <w:rPr>
          <w:lang w:eastAsia="ja-JP"/>
        </w:rPr>
        <w:t>I</w:t>
      </w:r>
      <w:r w:rsidRPr="00E07B1B">
        <w:rPr>
          <w:lang w:eastAsia="ja-JP"/>
        </w:rPr>
        <w:t>, Table 20).</w:t>
      </w:r>
    </w:p>
    <w:p w:rsidR="0025490C" w:rsidRPr="00E07B1B" w:rsidRDefault="0025490C" w:rsidP="00521282">
      <w:pPr>
        <w:rPr>
          <w:lang w:eastAsia="ja-JP"/>
        </w:rPr>
      </w:pPr>
    </w:p>
    <w:p w:rsidR="0025490C" w:rsidRDefault="0025490C" w:rsidP="00521282">
      <w:pPr>
        <w:pStyle w:val="Heading2"/>
      </w:pPr>
      <w:bookmarkStart w:id="100" w:name="_Toc363207300"/>
      <w:bookmarkStart w:id="101" w:name="_Toc402873532"/>
      <w:bookmarkStart w:id="102" w:name="_Toc403469620"/>
      <w:r w:rsidRPr="00E07B1B">
        <w:t>3.3</w:t>
      </w:r>
      <w:r w:rsidR="00521282">
        <w:tab/>
      </w:r>
      <w:r w:rsidRPr="00E07B1B">
        <w:t>Optimal diagnostic threshold for maternal and infant outcomes</w:t>
      </w:r>
      <w:bookmarkEnd w:id="100"/>
      <w:bookmarkEnd w:id="101"/>
      <w:bookmarkEnd w:id="102"/>
    </w:p>
    <w:p w:rsidR="0025490C" w:rsidRPr="00E07B1B" w:rsidRDefault="0025490C" w:rsidP="00521282">
      <w:pPr>
        <w:pStyle w:val="Heading3"/>
        <w:spacing w:before="240"/>
        <w:rPr>
          <w:lang w:eastAsia="en-NZ"/>
        </w:rPr>
      </w:pPr>
      <w:bookmarkStart w:id="103" w:name="_Toc363207301"/>
      <w:bookmarkStart w:id="104" w:name="_Toc402873533"/>
      <w:r w:rsidRPr="00E07B1B">
        <w:rPr>
          <w:lang w:eastAsia="en-NZ"/>
        </w:rPr>
        <w:t>3.3.1</w:t>
      </w:r>
      <w:r w:rsidR="00521282">
        <w:rPr>
          <w:lang w:eastAsia="en-NZ"/>
        </w:rPr>
        <w:tab/>
      </w:r>
      <w:r w:rsidRPr="00E07B1B">
        <w:rPr>
          <w:lang w:eastAsia="en-NZ"/>
        </w:rPr>
        <w:t>The Hyperglycaemia and Adverse Pregnancy Outcomes (HAPO) study</w:t>
      </w:r>
      <w:bookmarkEnd w:id="103"/>
      <w:bookmarkEnd w:id="104"/>
    </w:p>
    <w:p w:rsidR="0025490C" w:rsidRPr="00E07B1B" w:rsidRDefault="0025490C" w:rsidP="00521282">
      <w:pPr>
        <w:rPr>
          <w:lang w:eastAsia="en-NZ"/>
        </w:rPr>
      </w:pPr>
      <w:r w:rsidRPr="00E07B1B">
        <w:rPr>
          <w:lang w:eastAsia="en-NZ"/>
        </w:rPr>
        <w:t>The HAPO study reported no obvious thresholds at which risks for adverse pregnancy outcomes increased. The study found strong, continuous associations of maternal glucose levels below those diagnostic of diabetes with increased birthweight and increased cord-blood serum C</w:t>
      </w:r>
      <w:r w:rsidR="00521282">
        <w:rPr>
          <w:lang w:eastAsia="en-NZ"/>
        </w:rPr>
        <w:noBreakHyphen/>
      </w:r>
      <w:r w:rsidRPr="00E07B1B">
        <w:rPr>
          <w:lang w:eastAsia="en-NZ"/>
        </w:rPr>
        <w:t>peptide levels (</w:t>
      </w:r>
      <w:r w:rsidRPr="00E07B1B">
        <w:t>The HAPO Study Cooperative Research Group 2008)</w:t>
      </w:r>
      <w:r w:rsidRPr="00E07B1B">
        <w:rPr>
          <w:lang w:eastAsia="en-NZ"/>
        </w:rPr>
        <w:t>.</w:t>
      </w:r>
    </w:p>
    <w:p w:rsidR="0025490C" w:rsidRPr="00E07B1B" w:rsidRDefault="0025490C" w:rsidP="00521282">
      <w:pPr>
        <w:rPr>
          <w:lang w:eastAsia="en-NZ"/>
        </w:rPr>
      </w:pPr>
    </w:p>
    <w:p w:rsidR="0025490C" w:rsidRPr="00E07B1B" w:rsidRDefault="0025490C" w:rsidP="00521282">
      <w:pPr>
        <w:pStyle w:val="Heading3"/>
      </w:pPr>
      <w:bookmarkStart w:id="105" w:name="_Toc363207302"/>
      <w:bookmarkStart w:id="106" w:name="_Toc402873534"/>
      <w:r w:rsidRPr="00E07B1B">
        <w:t>3.3.2</w:t>
      </w:r>
      <w:r w:rsidR="00521282">
        <w:tab/>
      </w:r>
      <w:r w:rsidRPr="00E07B1B">
        <w:t xml:space="preserve">Evaluating the new International Association of Diabetes </w:t>
      </w:r>
      <w:r>
        <w:t>and</w:t>
      </w:r>
      <w:r w:rsidRPr="00E07B1B">
        <w:t xml:space="preserve"> Pregnancy Study Groups</w:t>
      </w:r>
      <w:r w:rsidR="0068074A">
        <w:t>’</w:t>
      </w:r>
      <w:r w:rsidRPr="00E07B1B">
        <w:t xml:space="preserve"> (IADPSG) criteria</w:t>
      </w:r>
      <w:bookmarkEnd w:id="105"/>
      <w:bookmarkEnd w:id="106"/>
    </w:p>
    <w:p w:rsidR="0025490C" w:rsidRPr="00E07B1B" w:rsidRDefault="0025490C" w:rsidP="00521282">
      <w:r w:rsidRPr="00E07B1B">
        <w:rPr>
          <w:lang w:eastAsia="en-NZ"/>
        </w:rPr>
        <w:t>Based on the HAPO data, the IADPSG panel made a consensus</w:t>
      </w:r>
      <w:r>
        <w:rPr>
          <w:lang w:eastAsia="en-NZ"/>
        </w:rPr>
        <w:t>-</w:t>
      </w:r>
      <w:r w:rsidRPr="00E07B1B">
        <w:rPr>
          <w:lang w:eastAsia="en-NZ"/>
        </w:rPr>
        <w:t xml:space="preserve">based recommendation for diagnostic thresholds based on the average glucose values at which odds for adverse neonatal outcomes reached 1.75 times the estimated odds of these outcomes (Hadar </w:t>
      </w:r>
      <w:r w:rsidR="00521282">
        <w:rPr>
          <w:lang w:eastAsia="en-NZ"/>
        </w:rPr>
        <w:t>et al</w:t>
      </w:r>
      <w:r w:rsidRPr="00E07B1B">
        <w:rPr>
          <w:lang w:eastAsia="en-NZ"/>
        </w:rPr>
        <w:t xml:space="preserve"> 2010). Refer to </w:t>
      </w:r>
      <w:r w:rsidR="00521282">
        <w:rPr>
          <w:lang w:eastAsia="en-NZ"/>
        </w:rPr>
        <w:t xml:space="preserve">Appendix </w:t>
      </w:r>
      <w:r w:rsidR="0011795B">
        <w:rPr>
          <w:lang w:eastAsia="en-NZ"/>
        </w:rPr>
        <w:t>I</w:t>
      </w:r>
      <w:r w:rsidRPr="00E07B1B">
        <w:rPr>
          <w:lang w:eastAsia="en-NZ"/>
        </w:rPr>
        <w:t>, Table 17.</w:t>
      </w:r>
    </w:p>
    <w:p w:rsidR="0025490C" w:rsidRPr="00E07B1B" w:rsidRDefault="0025490C" w:rsidP="00521282"/>
    <w:p w:rsidR="0025490C" w:rsidRDefault="0025490C" w:rsidP="00521282">
      <w:pPr>
        <w:keepLines/>
        <w:rPr>
          <w:lang w:eastAsia="en-NZ"/>
        </w:rPr>
      </w:pPr>
      <w:r w:rsidRPr="00E07B1B">
        <w:rPr>
          <w:lang w:eastAsia="en-NZ"/>
        </w:rPr>
        <w:t xml:space="preserve">A systematic review </w:t>
      </w:r>
      <w:r>
        <w:rPr>
          <w:lang w:eastAsia="en-NZ"/>
        </w:rPr>
        <w:t>of</w:t>
      </w:r>
      <w:r w:rsidRPr="00E07B1B">
        <w:rPr>
          <w:lang w:eastAsia="en-NZ"/>
        </w:rPr>
        <w:t xml:space="preserve"> eight studies (44,829 women) evaluated the association of gestational diabetes as diagnosed by different criteria with adverse pregnancy outcomes in untreated women (Wendland </w:t>
      </w:r>
      <w:r w:rsidR="00D562F2">
        <w:rPr>
          <w:lang w:eastAsia="en-NZ"/>
        </w:rPr>
        <w:t>et al</w:t>
      </w:r>
      <w:r w:rsidRPr="00E07B1B">
        <w:rPr>
          <w:lang w:eastAsia="en-NZ"/>
        </w:rPr>
        <w:t xml:space="preserve"> 2012). Statistically significant associations were reported between W</w:t>
      </w:r>
      <w:r>
        <w:rPr>
          <w:lang w:eastAsia="en-NZ"/>
        </w:rPr>
        <w:t>HO</w:t>
      </w:r>
      <w:r w:rsidRPr="00E07B1B">
        <w:rPr>
          <w:lang w:eastAsia="en-NZ"/>
        </w:rPr>
        <w:t xml:space="preserve"> </w:t>
      </w:r>
      <w:r>
        <w:rPr>
          <w:lang w:eastAsia="en-NZ"/>
        </w:rPr>
        <w:t>and</w:t>
      </w:r>
      <w:r w:rsidRPr="00E07B1B">
        <w:rPr>
          <w:lang w:eastAsia="en-NZ"/>
        </w:rPr>
        <w:t xml:space="preserve"> </w:t>
      </w:r>
      <w:r>
        <w:rPr>
          <w:lang w:eastAsia="en-NZ"/>
        </w:rPr>
        <w:t xml:space="preserve">the </w:t>
      </w:r>
      <w:r w:rsidRPr="00E07B1B">
        <w:t xml:space="preserve">International Association of Diabetes </w:t>
      </w:r>
      <w:r>
        <w:t>and</w:t>
      </w:r>
      <w:r w:rsidRPr="00E07B1B">
        <w:t xml:space="preserve"> Pregnancy Study Groups</w:t>
      </w:r>
      <w:r w:rsidR="0068074A">
        <w:t>’</w:t>
      </w:r>
      <w:r w:rsidRPr="00E07B1B">
        <w:rPr>
          <w:bCs/>
          <w:iCs/>
          <w:lang w:eastAsia="en-NZ"/>
        </w:rPr>
        <w:t xml:space="preserve"> </w:t>
      </w:r>
      <w:r w:rsidRPr="00E07B1B">
        <w:rPr>
          <w:lang w:eastAsia="en-NZ"/>
        </w:rPr>
        <w:t xml:space="preserve">diagnostic criteria for fetal macrosomia and large for gestational age births. There was no statistical association between </w:t>
      </w:r>
      <w:r>
        <w:rPr>
          <w:lang w:eastAsia="en-NZ"/>
        </w:rPr>
        <w:t>the two sets of</w:t>
      </w:r>
      <w:r w:rsidRPr="00E07B1B">
        <w:rPr>
          <w:lang w:eastAsia="en-NZ"/>
        </w:rPr>
        <w:t xml:space="preserve"> criteria for perinatal mortality. For maternal outcomes, statistically significant associations were reported between World Health Organization diagnostic criteria and </w:t>
      </w:r>
      <w:r w:rsidRPr="00E07B1B">
        <w:t xml:space="preserve">International Association of Diabetes </w:t>
      </w:r>
      <w:r>
        <w:t>and</w:t>
      </w:r>
      <w:r w:rsidRPr="00E07B1B">
        <w:t xml:space="preserve"> Pregnancy Study Groups</w:t>
      </w:r>
      <w:r w:rsidR="0068074A">
        <w:t>’</w:t>
      </w:r>
      <w:r w:rsidRPr="00E07B1B">
        <w:rPr>
          <w:lang w:eastAsia="en-NZ"/>
        </w:rPr>
        <w:t xml:space="preserve"> criteria </w:t>
      </w:r>
      <w:r>
        <w:rPr>
          <w:lang w:eastAsia="en-NZ"/>
        </w:rPr>
        <w:t>for</w:t>
      </w:r>
      <w:r w:rsidRPr="00E07B1B">
        <w:rPr>
          <w:lang w:eastAsia="en-NZ"/>
        </w:rPr>
        <w:t xml:space="preserve"> pre-eclampsia and caesarean delivery. The authors concluded that both</w:t>
      </w:r>
      <w:r>
        <w:rPr>
          <w:lang w:eastAsia="en-NZ"/>
        </w:rPr>
        <w:t xml:space="preserve"> sets of</w:t>
      </w:r>
      <w:r w:rsidRPr="00E07B1B">
        <w:rPr>
          <w:bCs/>
          <w:iCs/>
          <w:lang w:eastAsia="en-NZ"/>
        </w:rPr>
        <w:t xml:space="preserve"> </w:t>
      </w:r>
      <w:r w:rsidRPr="00E07B1B">
        <w:rPr>
          <w:lang w:eastAsia="en-NZ"/>
        </w:rPr>
        <w:t xml:space="preserve">criteria identified women with gestational diabetes at a </w:t>
      </w:r>
      <w:r>
        <w:rPr>
          <w:lang w:eastAsia="en-NZ"/>
        </w:rPr>
        <w:t>slightly</w:t>
      </w:r>
      <w:r w:rsidRPr="00E07B1B">
        <w:rPr>
          <w:lang w:eastAsia="en-NZ"/>
        </w:rPr>
        <w:t xml:space="preserve"> increased risk for adverse pregnancy outcomes (Wendland </w:t>
      </w:r>
      <w:r w:rsidR="00D562F2">
        <w:rPr>
          <w:lang w:eastAsia="en-NZ"/>
        </w:rPr>
        <w:t>et al</w:t>
      </w:r>
      <w:r w:rsidRPr="00E07B1B">
        <w:rPr>
          <w:lang w:eastAsia="en-NZ"/>
        </w:rPr>
        <w:t xml:space="preserve"> 2012).</w:t>
      </w:r>
    </w:p>
    <w:p w:rsidR="0025490C" w:rsidRPr="00E07B1B" w:rsidRDefault="0025490C" w:rsidP="00521282">
      <w:pPr>
        <w:rPr>
          <w:lang w:eastAsia="en-NZ"/>
        </w:rPr>
      </w:pPr>
    </w:p>
    <w:p w:rsidR="0025490C" w:rsidRPr="00E07B1B" w:rsidRDefault="0025490C" w:rsidP="00521282">
      <w:pPr>
        <w:rPr>
          <w:lang w:eastAsia="en-NZ"/>
        </w:rPr>
      </w:pPr>
      <w:r>
        <w:rPr>
          <w:lang w:eastAsia="en-NZ"/>
        </w:rPr>
        <w:t>Five studies compared t</w:t>
      </w:r>
      <w:r w:rsidRPr="00E07B1B">
        <w:rPr>
          <w:lang w:eastAsia="en-NZ"/>
        </w:rPr>
        <w:t xml:space="preserve">he outcomes of women who would have been diagnosed with gestational diabetes using the International Diabetes </w:t>
      </w:r>
      <w:r>
        <w:rPr>
          <w:lang w:eastAsia="en-NZ"/>
        </w:rPr>
        <w:t>and</w:t>
      </w:r>
      <w:r w:rsidRPr="00E07B1B">
        <w:rPr>
          <w:lang w:eastAsia="en-NZ"/>
        </w:rPr>
        <w:t xml:space="preserve"> Pregnancy Study Groups</w:t>
      </w:r>
      <w:r w:rsidR="0068074A">
        <w:rPr>
          <w:lang w:eastAsia="en-NZ"/>
        </w:rPr>
        <w:t>’</w:t>
      </w:r>
      <w:r w:rsidRPr="00E07B1B">
        <w:rPr>
          <w:lang w:eastAsia="en-NZ"/>
        </w:rPr>
        <w:t xml:space="preserve"> criteria </w:t>
      </w:r>
      <w:r>
        <w:rPr>
          <w:lang w:eastAsia="en-NZ"/>
        </w:rPr>
        <w:t>with</w:t>
      </w:r>
      <w:r w:rsidRPr="00E07B1B">
        <w:rPr>
          <w:lang w:eastAsia="en-NZ"/>
        </w:rPr>
        <w:t xml:space="preserve"> </w:t>
      </w:r>
      <w:r>
        <w:rPr>
          <w:lang w:eastAsia="en-NZ"/>
        </w:rPr>
        <w:t xml:space="preserve">the outcomes of </w:t>
      </w:r>
      <w:r w:rsidRPr="00E07B1B">
        <w:rPr>
          <w:lang w:eastAsia="en-NZ"/>
        </w:rPr>
        <w:t xml:space="preserve">women without </w:t>
      </w:r>
      <w:r w:rsidRPr="00E07B1B">
        <w:rPr>
          <w:lang w:eastAsia="ja-JP"/>
        </w:rPr>
        <w:t>gestational diabetes</w:t>
      </w:r>
      <w:r w:rsidRPr="00E07B1B">
        <w:rPr>
          <w:lang w:eastAsia="en-NZ"/>
        </w:rPr>
        <w:t xml:space="preserve"> </w:t>
      </w:r>
      <w:r>
        <w:rPr>
          <w:lang w:eastAsia="en-NZ"/>
        </w:rPr>
        <w:t>(</w:t>
      </w:r>
      <w:r w:rsidRPr="00E07B1B">
        <w:rPr>
          <w:lang w:eastAsia="en-NZ"/>
        </w:rPr>
        <w:t xml:space="preserve">refer to </w:t>
      </w:r>
      <w:r w:rsidR="00521282">
        <w:rPr>
          <w:lang w:eastAsia="en-NZ"/>
        </w:rPr>
        <w:t xml:space="preserve">Appendix </w:t>
      </w:r>
      <w:r w:rsidR="0011795B">
        <w:rPr>
          <w:lang w:eastAsia="en-NZ"/>
        </w:rPr>
        <w:t>I</w:t>
      </w:r>
      <w:r w:rsidRPr="00E07B1B">
        <w:rPr>
          <w:lang w:eastAsia="en-NZ"/>
        </w:rPr>
        <w:t>, Table 21</w:t>
      </w:r>
      <w:r>
        <w:rPr>
          <w:lang w:eastAsia="en-NZ"/>
        </w:rPr>
        <w:t>)</w:t>
      </w:r>
      <w:r w:rsidRPr="00E07B1B">
        <w:rPr>
          <w:lang w:eastAsia="en-NZ"/>
        </w:rPr>
        <w:t>.</w:t>
      </w:r>
    </w:p>
    <w:p w:rsidR="0025490C" w:rsidRPr="00E07B1B" w:rsidRDefault="0025490C" w:rsidP="00521282">
      <w:pPr>
        <w:rPr>
          <w:lang w:eastAsia="en-NZ"/>
        </w:rPr>
      </w:pPr>
    </w:p>
    <w:p w:rsidR="0025490C" w:rsidRPr="00E07B1B" w:rsidRDefault="0025490C" w:rsidP="00521282">
      <w:pPr>
        <w:pStyle w:val="Heading3"/>
      </w:pPr>
      <w:bookmarkStart w:id="107" w:name="_Toc363207303"/>
      <w:bookmarkStart w:id="108" w:name="_Toc402873535"/>
      <w:r w:rsidRPr="00E07B1B">
        <w:t>3.3.3</w:t>
      </w:r>
      <w:r w:rsidR="00521282">
        <w:tab/>
      </w:r>
      <w:r w:rsidRPr="00E07B1B">
        <w:t>National Diabetes Data Group</w:t>
      </w:r>
      <w:r w:rsidR="0068074A">
        <w:t>’</w:t>
      </w:r>
      <w:r>
        <w:t>s criteria</w:t>
      </w:r>
      <w:r w:rsidRPr="00E07B1B">
        <w:t xml:space="preserve"> compared </w:t>
      </w:r>
      <w:r>
        <w:t>with</w:t>
      </w:r>
      <w:r w:rsidRPr="00E07B1B">
        <w:t xml:space="preserve"> Carpenter and Coustan criteria</w:t>
      </w:r>
      <w:bookmarkEnd w:id="107"/>
      <w:bookmarkEnd w:id="108"/>
    </w:p>
    <w:p w:rsidR="0025490C" w:rsidRPr="00E07B1B" w:rsidRDefault="0025490C" w:rsidP="00521282">
      <w:pPr>
        <w:rPr>
          <w:lang w:eastAsia="en-NZ"/>
        </w:rPr>
      </w:pPr>
      <w:r w:rsidRPr="00E07B1B">
        <w:rPr>
          <w:lang w:eastAsia="en-NZ"/>
        </w:rPr>
        <w:t xml:space="preserve">Two retrospective cohorts compared perinatal outcomes among women diagnosed with gestational diabetes by the National Diabetes Data Group criteria with women meeting only Carpenter </w:t>
      </w:r>
      <w:r w:rsidR="00521282">
        <w:rPr>
          <w:lang w:eastAsia="en-NZ"/>
        </w:rPr>
        <w:t>et al</w:t>
      </w:r>
      <w:r w:rsidRPr="00E07B1B">
        <w:rPr>
          <w:lang w:eastAsia="en-NZ"/>
        </w:rPr>
        <w:t xml:space="preserve"> criteria (</w:t>
      </w:r>
      <w:r w:rsidR="00521282">
        <w:rPr>
          <w:lang w:eastAsia="en-NZ"/>
        </w:rPr>
        <w:t xml:space="preserve">Appendix </w:t>
      </w:r>
      <w:r w:rsidR="0011795B">
        <w:rPr>
          <w:lang w:eastAsia="en-NZ"/>
        </w:rPr>
        <w:t>I</w:t>
      </w:r>
      <w:r w:rsidRPr="00E07B1B">
        <w:rPr>
          <w:lang w:eastAsia="en-NZ"/>
        </w:rPr>
        <w:t>, Table 22). One study concluded that women who meet the more inclusive Carpenter and Coustan criteria (</w:t>
      </w:r>
      <w:r w:rsidR="00521282">
        <w:rPr>
          <w:lang w:eastAsia="en-NZ"/>
        </w:rPr>
        <w:t xml:space="preserve">Appendix </w:t>
      </w:r>
      <w:r w:rsidR="0011795B">
        <w:rPr>
          <w:lang w:eastAsia="en-NZ"/>
        </w:rPr>
        <w:t>I</w:t>
      </w:r>
      <w:r w:rsidRPr="00E07B1B">
        <w:rPr>
          <w:lang w:eastAsia="en-NZ"/>
        </w:rPr>
        <w:t>, Table 17) would potentially benefit from treatment, but acknowledge</w:t>
      </w:r>
      <w:r>
        <w:rPr>
          <w:lang w:eastAsia="en-NZ"/>
        </w:rPr>
        <w:t>d</w:t>
      </w:r>
      <w:r w:rsidRPr="00E07B1B">
        <w:rPr>
          <w:lang w:eastAsia="en-NZ"/>
        </w:rPr>
        <w:t xml:space="preserve"> the resource difficulties </w:t>
      </w:r>
      <w:r>
        <w:rPr>
          <w:lang w:eastAsia="en-NZ"/>
        </w:rPr>
        <w:t xml:space="preserve">associated </w:t>
      </w:r>
      <w:r w:rsidRPr="00E07B1B">
        <w:rPr>
          <w:lang w:eastAsia="en-NZ"/>
        </w:rPr>
        <w:t xml:space="preserve">with the increased prevalence (Berggren </w:t>
      </w:r>
      <w:r w:rsidR="00D562F2">
        <w:rPr>
          <w:lang w:eastAsia="en-NZ"/>
        </w:rPr>
        <w:t>et al</w:t>
      </w:r>
      <w:r w:rsidRPr="00E07B1B">
        <w:rPr>
          <w:lang w:eastAsia="en-NZ"/>
        </w:rPr>
        <w:t xml:space="preserve"> 2011). The second study concluded that the more stringent National Diabetes Data Group criteria may miss a subgroup of women still at risk for complications (</w:t>
      </w:r>
      <w:r w:rsidRPr="00E07B1B">
        <w:t>Cheng</w:t>
      </w:r>
      <w:r>
        <w:t xml:space="preserve"> </w:t>
      </w:r>
      <w:r w:rsidR="00D562F2">
        <w:t>et al</w:t>
      </w:r>
      <w:r w:rsidRPr="00E07B1B">
        <w:t xml:space="preserve"> </w:t>
      </w:r>
      <w:r w:rsidRPr="00E07B1B">
        <w:rPr>
          <w:lang w:eastAsia="en-NZ"/>
        </w:rPr>
        <w:t>2009).</w:t>
      </w:r>
    </w:p>
    <w:p w:rsidR="0025490C" w:rsidRPr="00E07B1B" w:rsidRDefault="0025490C" w:rsidP="00521282">
      <w:pPr>
        <w:rPr>
          <w:lang w:eastAsia="en-NZ"/>
        </w:rPr>
      </w:pPr>
    </w:p>
    <w:p w:rsidR="0025490C" w:rsidRPr="00E07B1B" w:rsidRDefault="0025490C" w:rsidP="00521282">
      <w:pPr>
        <w:pStyle w:val="Heading2"/>
      </w:pPr>
      <w:bookmarkStart w:id="109" w:name="_Toc363207304"/>
      <w:bookmarkStart w:id="110" w:name="_Toc402873536"/>
      <w:bookmarkStart w:id="111" w:name="_Toc403469621"/>
      <w:r w:rsidRPr="00E07B1B">
        <w:t>3.4</w:t>
      </w:r>
      <w:r w:rsidR="00521282">
        <w:tab/>
      </w:r>
      <w:r w:rsidRPr="00E07B1B">
        <w:t>Risk factor versus universal screening</w:t>
      </w:r>
      <w:bookmarkEnd w:id="109"/>
      <w:bookmarkEnd w:id="110"/>
      <w:bookmarkEnd w:id="111"/>
    </w:p>
    <w:p w:rsidR="0025490C" w:rsidRPr="00E07B1B" w:rsidRDefault="0025490C" w:rsidP="00521282">
      <w:pPr>
        <w:pStyle w:val="Heading3"/>
        <w:spacing w:before="240"/>
        <w:rPr>
          <w:rFonts w:eastAsia="MS Mincho"/>
          <w:lang w:eastAsia="ja-JP"/>
        </w:rPr>
      </w:pPr>
      <w:bookmarkStart w:id="112" w:name="_Toc363207305"/>
      <w:bookmarkStart w:id="113" w:name="_Toc402873537"/>
      <w:r w:rsidRPr="00E07B1B">
        <w:rPr>
          <w:rFonts w:eastAsia="MS Mincho"/>
          <w:lang w:eastAsia="ja-JP"/>
        </w:rPr>
        <w:t>3.4.1</w:t>
      </w:r>
      <w:r w:rsidR="00521282">
        <w:rPr>
          <w:rFonts w:eastAsia="MS Mincho"/>
          <w:lang w:eastAsia="ja-JP"/>
        </w:rPr>
        <w:tab/>
      </w:r>
      <w:r w:rsidRPr="00E07B1B">
        <w:rPr>
          <w:rFonts w:eastAsia="MS Mincho"/>
          <w:lang w:eastAsia="ja-JP"/>
        </w:rPr>
        <w:t>Background</w:t>
      </w:r>
      <w:bookmarkEnd w:id="112"/>
      <w:bookmarkEnd w:id="113"/>
    </w:p>
    <w:p w:rsidR="0025490C" w:rsidRDefault="0025490C" w:rsidP="00521282">
      <w:pPr>
        <w:rPr>
          <w:rFonts w:eastAsia="MS Mincho"/>
          <w:lang w:eastAsia="ja-JP"/>
        </w:rPr>
      </w:pPr>
      <w:r w:rsidRPr="00E07B1B">
        <w:t xml:space="preserve">There </w:t>
      </w:r>
      <w:r>
        <w:t>is</w:t>
      </w:r>
      <w:r w:rsidRPr="00E07B1B">
        <w:t xml:space="preserve"> a variety of screening approaches, including universal routine screening of all pregnant women, selective screening based on various risk factors, </w:t>
      </w:r>
      <w:r>
        <w:t>and</w:t>
      </w:r>
      <w:r w:rsidRPr="00E07B1B">
        <w:t xml:space="preserve"> a mixed approach </w:t>
      </w:r>
      <w:r>
        <w:t>involving</w:t>
      </w:r>
      <w:r w:rsidRPr="00E07B1B">
        <w:t xml:space="preserve"> both</w:t>
      </w:r>
      <w:r>
        <w:t xml:space="preserve"> of these methods</w:t>
      </w:r>
      <w:r w:rsidRPr="00E07B1B">
        <w:t xml:space="preserve">. The most common selective screening criteria </w:t>
      </w:r>
      <w:r w:rsidRPr="00E07B1B">
        <w:rPr>
          <w:rFonts w:eastAsia="MS Mincho"/>
          <w:lang w:eastAsia="ja-JP"/>
        </w:rPr>
        <w:t>are</w:t>
      </w:r>
      <w:r>
        <w:rPr>
          <w:rFonts w:eastAsia="MS Mincho"/>
          <w:lang w:eastAsia="ja-JP"/>
        </w:rPr>
        <w:t>:</w:t>
      </w:r>
      <w:r w:rsidRPr="00E07B1B">
        <w:rPr>
          <w:rFonts w:eastAsia="MS Mincho"/>
          <w:lang w:eastAsia="ja-JP"/>
        </w:rPr>
        <w:t xml:space="preserve"> previous history or family</w:t>
      </w:r>
      <w:r w:rsidRPr="00E07B1B">
        <w:t xml:space="preserve"> </w:t>
      </w:r>
      <w:r w:rsidRPr="00E07B1B">
        <w:rPr>
          <w:rFonts w:eastAsia="MS Mincho"/>
          <w:lang w:eastAsia="ja-JP"/>
        </w:rPr>
        <w:t xml:space="preserve">history of </w:t>
      </w:r>
      <w:r w:rsidRPr="00E07B1B">
        <w:t>gestational diabetes</w:t>
      </w:r>
      <w:r w:rsidRPr="00E07B1B">
        <w:rPr>
          <w:rFonts w:eastAsia="MS Mincho"/>
          <w:lang w:eastAsia="ja-JP"/>
        </w:rPr>
        <w:t>, family history of diabetes, previous poor obstetric</w:t>
      </w:r>
      <w:r w:rsidRPr="00E07B1B">
        <w:t xml:space="preserve"> </w:t>
      </w:r>
      <w:r w:rsidRPr="00E07B1B">
        <w:rPr>
          <w:rFonts w:eastAsia="MS Mincho"/>
          <w:lang w:eastAsia="ja-JP"/>
        </w:rPr>
        <w:t>history (including previous unexplained perinatal death,</w:t>
      </w:r>
      <w:r w:rsidRPr="00E07B1B">
        <w:t xml:space="preserve"> </w:t>
      </w:r>
      <w:r w:rsidRPr="00E07B1B">
        <w:rPr>
          <w:rFonts w:eastAsia="MS Mincho"/>
          <w:lang w:eastAsia="ja-JP"/>
        </w:rPr>
        <w:t>history of infant with congenital malformations, history of preeclampsia)</w:t>
      </w:r>
      <w:r w:rsidRPr="00E07B1B">
        <w:t xml:space="preserve"> </w:t>
      </w:r>
      <w:r w:rsidRPr="00E07B1B">
        <w:rPr>
          <w:rFonts w:eastAsia="MS Mincho"/>
          <w:lang w:eastAsia="ja-JP"/>
        </w:rPr>
        <w:t xml:space="preserve">and body mass index (Jiwani </w:t>
      </w:r>
      <w:r w:rsidR="00D562F2">
        <w:rPr>
          <w:rFonts w:eastAsia="MS Mincho"/>
          <w:lang w:eastAsia="ja-JP"/>
        </w:rPr>
        <w:t>et al</w:t>
      </w:r>
      <w:r w:rsidRPr="00E07B1B">
        <w:rPr>
          <w:rFonts w:eastAsia="MS Mincho"/>
          <w:lang w:eastAsia="ja-JP"/>
        </w:rPr>
        <w:t xml:space="preserve"> 2012). Section 2.3 of this guideline </w:t>
      </w:r>
      <w:r>
        <w:rPr>
          <w:rFonts w:eastAsia="MS Mincho"/>
          <w:lang w:eastAsia="ja-JP"/>
        </w:rPr>
        <w:t xml:space="preserve">has </w:t>
      </w:r>
      <w:r w:rsidRPr="00E07B1B">
        <w:rPr>
          <w:rFonts w:eastAsia="MS Mincho"/>
          <w:lang w:eastAsia="ja-JP"/>
        </w:rPr>
        <w:t>identified important risk factors.</w:t>
      </w:r>
    </w:p>
    <w:p w:rsidR="0025490C" w:rsidRPr="00E07B1B" w:rsidRDefault="0025490C" w:rsidP="00521282">
      <w:pPr>
        <w:rPr>
          <w:rFonts w:eastAsia="MS Mincho"/>
          <w:lang w:eastAsia="ja-JP"/>
        </w:rPr>
      </w:pPr>
    </w:p>
    <w:p w:rsidR="0025490C" w:rsidRPr="00E07B1B" w:rsidRDefault="0025490C" w:rsidP="00521282">
      <w:pPr>
        <w:pStyle w:val="Heading3"/>
      </w:pPr>
      <w:bookmarkStart w:id="114" w:name="_Toc363207306"/>
      <w:bookmarkStart w:id="115" w:name="_Toc402873538"/>
      <w:r w:rsidRPr="00E07B1B">
        <w:t>3.4.2</w:t>
      </w:r>
      <w:r w:rsidR="00521282">
        <w:tab/>
      </w:r>
      <w:r w:rsidRPr="00E07B1B">
        <w:t>Systematic review evidence</w:t>
      </w:r>
      <w:bookmarkEnd w:id="114"/>
      <w:bookmarkEnd w:id="115"/>
    </w:p>
    <w:p w:rsidR="0025490C" w:rsidRDefault="0025490C" w:rsidP="00521282">
      <w:r w:rsidRPr="00E07B1B">
        <w:t xml:space="preserve">One systematic review summarising the evidence for screening for gestational diabetes was identified (Tieu </w:t>
      </w:r>
      <w:r w:rsidR="00D562F2">
        <w:t>et al</w:t>
      </w:r>
      <w:r w:rsidRPr="00E07B1B">
        <w:t xml:space="preserve"> 2010</w:t>
      </w:r>
      <w:r>
        <w:t>b</w:t>
      </w:r>
      <w:r w:rsidRPr="00E07B1B">
        <w:t>). Among the trials included in the review there was one quasi</w:t>
      </w:r>
      <w:r w:rsidR="00521282">
        <w:noBreakHyphen/>
      </w:r>
      <w:r w:rsidRPr="00E07B1B">
        <w:t>randomised trial that compared risk factor</w:t>
      </w:r>
      <w:r>
        <w:t xml:space="preserve"> screening</w:t>
      </w:r>
      <w:r w:rsidRPr="00E07B1B">
        <w:t xml:space="preserve"> </w:t>
      </w:r>
      <w:r>
        <w:t>with</w:t>
      </w:r>
      <w:r w:rsidRPr="00E07B1B">
        <w:t xml:space="preserve"> universal screening (50 g </w:t>
      </w:r>
      <w:r>
        <w:t xml:space="preserve">oral </w:t>
      </w:r>
      <w:r w:rsidRPr="00E07B1B">
        <w:t xml:space="preserve">glucose challenge test) </w:t>
      </w:r>
      <w:r>
        <w:t xml:space="preserve">in terms of their impact </w:t>
      </w:r>
      <w:r w:rsidRPr="00E07B1B">
        <w:t xml:space="preserve">on health outcomes (Tieu </w:t>
      </w:r>
      <w:r w:rsidR="00D562F2">
        <w:t>et al</w:t>
      </w:r>
      <w:r w:rsidRPr="00E07B1B">
        <w:t xml:space="preserve"> 2010</w:t>
      </w:r>
      <w:r>
        <w:t>b</w:t>
      </w:r>
      <w:r w:rsidRPr="00E07B1B">
        <w:t>).</w:t>
      </w:r>
    </w:p>
    <w:p w:rsidR="0025490C" w:rsidRPr="00E07B1B" w:rsidRDefault="0025490C" w:rsidP="00521282"/>
    <w:p w:rsidR="0025490C" w:rsidRDefault="0025490C" w:rsidP="00521282">
      <w:pPr>
        <w:keepLines/>
        <w:rPr>
          <w:rFonts w:eastAsia="MS Mincho"/>
          <w:lang w:eastAsia="ja-JP"/>
        </w:rPr>
      </w:pPr>
      <w:r w:rsidRPr="00E07B1B">
        <w:t>T</w:t>
      </w:r>
      <w:r w:rsidRPr="00E07B1B">
        <w:rPr>
          <w:rFonts w:eastAsia="MS Mincho"/>
          <w:lang w:eastAsia="ja-JP"/>
        </w:rPr>
        <w:t>he risk factor group received glucose testing by a 100 g oral glucose tolerance test at 32 weeks</w:t>
      </w:r>
      <w:r w:rsidR="0068074A">
        <w:rPr>
          <w:rFonts w:eastAsia="MS Mincho"/>
          <w:lang w:eastAsia="ja-JP"/>
        </w:rPr>
        <w:t>’</w:t>
      </w:r>
      <w:r w:rsidRPr="00E07B1B">
        <w:rPr>
          <w:rFonts w:eastAsia="MS Mincho"/>
          <w:lang w:eastAsia="ja-JP"/>
        </w:rPr>
        <w:t xml:space="preserve"> gestation </w:t>
      </w:r>
      <w:r>
        <w:rPr>
          <w:rFonts w:eastAsia="MS Mincho"/>
          <w:lang w:eastAsia="ja-JP"/>
        </w:rPr>
        <w:t>if</w:t>
      </w:r>
      <w:r w:rsidRPr="00E07B1B">
        <w:rPr>
          <w:rFonts w:eastAsia="MS Mincho"/>
          <w:lang w:eastAsia="ja-JP"/>
        </w:rPr>
        <w:t xml:space="preserve"> they</w:t>
      </w:r>
      <w:r w:rsidRPr="00E07B1B">
        <w:rPr>
          <w:rFonts w:eastAsia="MS Mincho"/>
          <w:color w:val="0000FF"/>
          <w:lang w:eastAsia="ja-JP"/>
        </w:rPr>
        <w:t xml:space="preserve"> </w:t>
      </w:r>
      <w:r w:rsidRPr="00E07B1B">
        <w:rPr>
          <w:rFonts w:eastAsia="MS Mincho"/>
          <w:lang w:eastAsia="ja-JP"/>
        </w:rPr>
        <w:t>were found to have any of the risk factors listed (having a first-degree relative with diabetes mellitus,</w:t>
      </w:r>
      <w:r w:rsidRPr="00E07B1B">
        <w:rPr>
          <w:rFonts w:eastAsia="MS Mincho"/>
          <w:color w:val="0000FF"/>
          <w:lang w:eastAsia="ja-JP"/>
        </w:rPr>
        <w:t xml:space="preserve"> </w:t>
      </w:r>
      <w:r w:rsidRPr="00E07B1B">
        <w:rPr>
          <w:rFonts w:eastAsia="MS Mincho"/>
          <w:lang w:eastAsia="ja-JP"/>
        </w:rPr>
        <w:t>weighing more than 100 kg in the current pregnancy, having</w:t>
      </w:r>
      <w:r w:rsidRPr="00E07B1B">
        <w:rPr>
          <w:rFonts w:eastAsia="MS Mincho"/>
          <w:color w:val="0000FF"/>
          <w:lang w:eastAsia="ja-JP"/>
        </w:rPr>
        <w:t xml:space="preserve"> </w:t>
      </w:r>
      <w:r w:rsidRPr="00E07B1B">
        <w:rPr>
          <w:rFonts w:eastAsia="MS Mincho"/>
          <w:lang w:eastAsia="ja-JP"/>
        </w:rPr>
        <w:t xml:space="preserve">a previous baby </w:t>
      </w:r>
      <w:r>
        <w:rPr>
          <w:rFonts w:eastAsia="MS Mincho"/>
          <w:lang w:eastAsia="ja-JP"/>
        </w:rPr>
        <w:t>heavier</w:t>
      </w:r>
      <w:r w:rsidRPr="00E07B1B">
        <w:rPr>
          <w:rFonts w:eastAsia="MS Mincho"/>
          <w:lang w:eastAsia="ja-JP"/>
        </w:rPr>
        <w:t xml:space="preserve"> than 4.5 kg, previous unexplained stillbirth</w:t>
      </w:r>
      <w:r w:rsidRPr="00E07B1B">
        <w:rPr>
          <w:rFonts w:eastAsia="MS Mincho"/>
          <w:color w:val="0000FF"/>
          <w:lang w:eastAsia="ja-JP"/>
        </w:rPr>
        <w:t xml:space="preserve"> </w:t>
      </w:r>
      <w:r w:rsidRPr="00E07B1B">
        <w:rPr>
          <w:rFonts w:eastAsia="MS Mincho"/>
          <w:lang w:eastAsia="ja-JP"/>
        </w:rPr>
        <w:t>or intrauterine death, previous major malformation, previous</w:t>
      </w:r>
      <w:r w:rsidRPr="00E07B1B">
        <w:rPr>
          <w:rFonts w:eastAsia="MS Mincho"/>
          <w:color w:val="0000FF"/>
          <w:lang w:eastAsia="ja-JP"/>
        </w:rPr>
        <w:t xml:space="preserve"> </w:t>
      </w:r>
      <w:r w:rsidRPr="00E07B1B">
        <w:t>gestational diabetes</w:t>
      </w:r>
      <w:r w:rsidRPr="00E07B1B">
        <w:rPr>
          <w:rFonts w:eastAsia="MS Mincho"/>
          <w:lang w:eastAsia="ja-JP"/>
        </w:rPr>
        <w:t>, glycosuria in second fasting urine sample,</w:t>
      </w:r>
      <w:r w:rsidRPr="00E07B1B">
        <w:rPr>
          <w:rFonts w:eastAsia="MS Mincho"/>
          <w:color w:val="0000FF"/>
          <w:lang w:eastAsia="ja-JP"/>
        </w:rPr>
        <w:t xml:space="preserve"> </w:t>
      </w:r>
      <w:r w:rsidRPr="00E07B1B">
        <w:rPr>
          <w:rFonts w:eastAsia="MS Mincho"/>
          <w:lang w:eastAsia="ja-JP"/>
        </w:rPr>
        <w:t>macrosomia in the current pregnancy and polyhydramnios in the</w:t>
      </w:r>
      <w:r w:rsidRPr="00E07B1B">
        <w:rPr>
          <w:rFonts w:eastAsia="MS Mincho"/>
          <w:color w:val="0000FF"/>
          <w:lang w:eastAsia="ja-JP"/>
        </w:rPr>
        <w:t xml:space="preserve"> </w:t>
      </w:r>
      <w:r w:rsidRPr="00E07B1B">
        <w:rPr>
          <w:rFonts w:eastAsia="MS Mincho"/>
          <w:lang w:eastAsia="ja-JP"/>
        </w:rPr>
        <w:t>current pregnancy). The universal screening group underwent</w:t>
      </w:r>
      <w:r>
        <w:rPr>
          <w:rFonts w:eastAsia="MS Mincho"/>
          <w:lang w:eastAsia="ja-JP"/>
        </w:rPr>
        <w:t xml:space="preserve"> </w:t>
      </w:r>
      <w:r w:rsidRPr="00E07B1B">
        <w:rPr>
          <w:rFonts w:eastAsia="MS Mincho"/>
          <w:lang w:eastAsia="ja-JP"/>
        </w:rPr>
        <w:t>a one</w:t>
      </w:r>
      <w:r>
        <w:rPr>
          <w:rFonts w:eastAsia="MS Mincho"/>
          <w:lang w:eastAsia="ja-JP"/>
        </w:rPr>
        <w:t>-</w:t>
      </w:r>
      <w:r w:rsidRPr="00E07B1B">
        <w:rPr>
          <w:rFonts w:eastAsia="MS Mincho"/>
          <w:lang w:eastAsia="ja-JP"/>
        </w:rPr>
        <w:t>hour</w:t>
      </w:r>
      <w:r>
        <w:rPr>
          <w:rFonts w:eastAsia="MS Mincho"/>
          <w:lang w:eastAsia="ja-JP"/>
        </w:rPr>
        <w:t>,</w:t>
      </w:r>
      <w:r w:rsidRPr="00E07B1B">
        <w:rPr>
          <w:rFonts w:eastAsia="MS Mincho"/>
          <w:lang w:eastAsia="ja-JP"/>
        </w:rPr>
        <w:t xml:space="preserve"> 50 g </w:t>
      </w:r>
      <w:r w:rsidRPr="00E07B1B">
        <w:t xml:space="preserve">glucose challenge test </w:t>
      </w:r>
      <w:r w:rsidRPr="00E07B1B">
        <w:rPr>
          <w:rFonts w:eastAsia="MS Mincho"/>
          <w:lang w:eastAsia="ja-JP"/>
        </w:rPr>
        <w:t>at 26</w:t>
      </w:r>
      <w:r>
        <w:rPr>
          <w:rFonts w:eastAsia="MS Mincho"/>
          <w:lang w:eastAsia="ja-JP"/>
        </w:rPr>
        <w:t>–</w:t>
      </w:r>
      <w:r w:rsidRPr="00E07B1B">
        <w:rPr>
          <w:rFonts w:eastAsia="MS Mincho"/>
          <w:lang w:eastAsia="ja-JP"/>
        </w:rPr>
        <w:t>28 weeks</w:t>
      </w:r>
      <w:r w:rsidR="0068074A">
        <w:rPr>
          <w:rFonts w:eastAsia="MS Mincho"/>
          <w:lang w:eastAsia="ja-JP"/>
        </w:rPr>
        <w:t>’</w:t>
      </w:r>
      <w:r w:rsidRPr="00E07B1B">
        <w:rPr>
          <w:rFonts w:eastAsia="MS Mincho"/>
          <w:lang w:eastAsia="ja-JP"/>
        </w:rPr>
        <w:t xml:space="preserve"> gestation. A positive screening test (≥ 7.8 mmol/L) was an indication for a full 100 g oral glucose tolerance test using the National Diabetes Data Group</w:t>
      </w:r>
      <w:r w:rsidR="0068074A">
        <w:rPr>
          <w:rFonts w:eastAsia="MS Mincho"/>
          <w:lang w:eastAsia="ja-JP"/>
        </w:rPr>
        <w:t>’</w:t>
      </w:r>
      <w:r>
        <w:rPr>
          <w:rFonts w:eastAsia="MS Mincho"/>
          <w:lang w:eastAsia="ja-JP"/>
        </w:rPr>
        <w:t>s</w:t>
      </w:r>
      <w:r w:rsidRPr="00E07B1B">
        <w:rPr>
          <w:rFonts w:eastAsia="MS Mincho"/>
          <w:lang w:eastAsia="ja-JP"/>
        </w:rPr>
        <w:t xml:space="preserve"> criteria for diagnosis. The 50 g </w:t>
      </w:r>
      <w:r w:rsidRPr="00E07B1B">
        <w:t xml:space="preserve">glucose challenge test </w:t>
      </w:r>
      <w:r w:rsidRPr="00E07B1B">
        <w:rPr>
          <w:rFonts w:eastAsia="MS Mincho"/>
          <w:lang w:eastAsia="ja-JP"/>
        </w:rPr>
        <w:t xml:space="preserve">was repeated in those with a negative test and with risk factors for </w:t>
      </w:r>
      <w:r w:rsidRPr="00E07B1B">
        <w:t>gestational diabetes</w:t>
      </w:r>
      <w:r w:rsidRPr="00E07B1B">
        <w:rPr>
          <w:rFonts w:eastAsia="MS Mincho"/>
          <w:lang w:eastAsia="ja-JP"/>
        </w:rPr>
        <w:t xml:space="preserve"> </w:t>
      </w:r>
      <w:r w:rsidR="00521282">
        <w:rPr>
          <w:rFonts w:eastAsia="MS Mincho"/>
          <w:lang w:eastAsia="ja-JP"/>
        </w:rPr>
        <w:t>4–6</w:t>
      </w:r>
      <w:r w:rsidRPr="00E07B1B">
        <w:rPr>
          <w:rFonts w:eastAsia="MS Mincho"/>
          <w:lang w:eastAsia="ja-JP"/>
        </w:rPr>
        <w:t xml:space="preserve"> weeks after the initial </w:t>
      </w:r>
      <w:r w:rsidRPr="00E07B1B">
        <w:t xml:space="preserve">glucose challenge test (Tieu </w:t>
      </w:r>
      <w:r w:rsidR="00D562F2">
        <w:t>et al</w:t>
      </w:r>
      <w:r w:rsidRPr="00E07B1B">
        <w:t xml:space="preserve"> 2010</w:t>
      </w:r>
      <w:r>
        <w:t>b</w:t>
      </w:r>
      <w:r w:rsidRPr="00E07B1B">
        <w:t>)</w:t>
      </w:r>
      <w:r w:rsidRPr="00E07B1B">
        <w:rPr>
          <w:rFonts w:eastAsia="MS Mincho"/>
          <w:lang w:eastAsia="ja-JP"/>
        </w:rPr>
        <w:t>.</w:t>
      </w:r>
    </w:p>
    <w:p w:rsidR="0025490C" w:rsidRPr="00E07B1B" w:rsidRDefault="0025490C" w:rsidP="00521282">
      <w:pPr>
        <w:rPr>
          <w:rFonts w:eastAsia="MS Mincho"/>
          <w:lang w:eastAsia="ja-JP"/>
        </w:rPr>
      </w:pPr>
    </w:p>
    <w:p w:rsidR="0025490C" w:rsidRDefault="0025490C" w:rsidP="00521282">
      <w:r w:rsidRPr="00E07B1B">
        <w:rPr>
          <w:rFonts w:eastAsia="MS Mincho"/>
          <w:lang w:eastAsia="ja-JP"/>
        </w:rPr>
        <w:t xml:space="preserve">Significantly more women were diagnosed with </w:t>
      </w:r>
      <w:r w:rsidRPr="00E07B1B">
        <w:t>gestational diabetes</w:t>
      </w:r>
      <w:r w:rsidRPr="00E07B1B">
        <w:rPr>
          <w:rFonts w:eastAsia="MS Mincho"/>
          <w:lang w:eastAsia="ja-JP"/>
        </w:rPr>
        <w:t xml:space="preserve"> in the universal screening group than the risk factor screening group. Infants of mothers in the risk factor group were born earlier but the difference is unlikely to be of clinical significance. Although women who were routinely screened by 50 g </w:t>
      </w:r>
      <w:r w:rsidRPr="00E07B1B">
        <w:t xml:space="preserve">glucose challenge test </w:t>
      </w:r>
      <w:r w:rsidRPr="00E07B1B">
        <w:rPr>
          <w:rFonts w:eastAsia="MS Mincho"/>
          <w:lang w:eastAsia="ja-JP"/>
        </w:rPr>
        <w:t xml:space="preserve">were more likely to be diagnosed with </w:t>
      </w:r>
      <w:r w:rsidRPr="00E07B1B">
        <w:t>gestational diabetes</w:t>
      </w:r>
      <w:r w:rsidRPr="00E07B1B">
        <w:rPr>
          <w:rFonts w:eastAsia="MS Mincho"/>
          <w:lang w:eastAsia="ja-JP"/>
        </w:rPr>
        <w:t xml:space="preserve"> than those screened by their risk factors, effects of subsequent management on health outcome are unclear </w:t>
      </w:r>
      <w:r w:rsidRPr="00E07B1B">
        <w:t xml:space="preserve">(Tieu </w:t>
      </w:r>
      <w:r w:rsidR="00D562F2">
        <w:t>et al</w:t>
      </w:r>
      <w:r w:rsidRPr="00E07B1B">
        <w:t xml:space="preserve"> 2010</w:t>
      </w:r>
      <w:r>
        <w:t>b</w:t>
      </w:r>
      <w:r w:rsidRPr="00E07B1B">
        <w:t>).</w:t>
      </w:r>
    </w:p>
    <w:p w:rsidR="0025490C" w:rsidRPr="00E07B1B" w:rsidRDefault="0025490C" w:rsidP="00521282">
      <w:pPr>
        <w:rPr>
          <w:rFonts w:eastAsia="MS Mincho"/>
          <w:lang w:eastAsia="ja-JP"/>
        </w:rPr>
      </w:pPr>
    </w:p>
    <w:p w:rsidR="0025490C" w:rsidRPr="00E07B1B" w:rsidRDefault="0025490C" w:rsidP="00521282">
      <w:pPr>
        <w:pStyle w:val="Heading3"/>
      </w:pPr>
      <w:bookmarkStart w:id="116" w:name="_Toc363207307"/>
      <w:bookmarkStart w:id="117" w:name="_Toc402873539"/>
      <w:r w:rsidRPr="00E07B1B">
        <w:t>3.4.3</w:t>
      </w:r>
      <w:r w:rsidR="00521282">
        <w:tab/>
      </w:r>
      <w:r w:rsidRPr="00E07B1B">
        <w:t>Observational studies</w:t>
      </w:r>
      <w:bookmarkEnd w:id="116"/>
      <w:bookmarkEnd w:id="117"/>
    </w:p>
    <w:p w:rsidR="0025490C" w:rsidRDefault="0025490C" w:rsidP="00521282">
      <w:r w:rsidRPr="00E07B1B">
        <w:t>One retrospective cohort study evaluated a selective screening strategy for gestational diabetes based on the presence of body mass index ≥ 25 kg/m</w:t>
      </w:r>
      <w:r w:rsidRPr="00E07B1B">
        <w:rPr>
          <w:vertAlign w:val="superscript"/>
        </w:rPr>
        <w:t>2</w:t>
      </w:r>
      <w:r w:rsidRPr="00E07B1B">
        <w:t xml:space="preserve">, age ≥ 35 years, family history of diabetes, personal history of gestational diabetes, or birth of a child with macrosomia (Cosson </w:t>
      </w:r>
      <w:r w:rsidR="00D562F2">
        <w:t>et al</w:t>
      </w:r>
      <w:r w:rsidRPr="00E07B1B">
        <w:t xml:space="preserve"> 2013).</w:t>
      </w:r>
    </w:p>
    <w:p w:rsidR="0025490C" w:rsidRPr="00E07B1B" w:rsidRDefault="0025490C" w:rsidP="00521282"/>
    <w:p w:rsidR="0025490C" w:rsidRDefault="0025490C" w:rsidP="00521282">
      <w:r w:rsidRPr="00E07B1B">
        <w:t>Gestational diabetes screening at 24</w:t>
      </w:r>
      <w:r>
        <w:t>–</w:t>
      </w:r>
      <w:r w:rsidRPr="00E07B1B">
        <w:t xml:space="preserve">28 weeks was diagnosed using </w:t>
      </w:r>
      <w:r>
        <w:t>WHO</w:t>
      </w:r>
      <w:r w:rsidRPr="00E07B1B">
        <w:t xml:space="preserve"> criteria. Women were screened at 15 weeks if they had a history of gestational diabetes or two or more risk factors.</w:t>
      </w:r>
      <w:r>
        <w:t xml:space="preserve"> </w:t>
      </w:r>
      <w:r w:rsidRPr="00E07B1B">
        <w:t>At least one risk factor was present in 59% of women</w:t>
      </w:r>
      <w:r>
        <w:t>,</w:t>
      </w:r>
      <w:r w:rsidRPr="00E07B1B">
        <w:t xml:space="preserve"> who represented 65% of all those with gestational diabetes. The presence of risk factors was significantly associated with gestational diabetes (</w:t>
      </w:r>
      <w:r w:rsidRPr="00CD5650">
        <w:rPr>
          <w:i/>
        </w:rPr>
        <w:t>p</w:t>
      </w:r>
      <w:r w:rsidRPr="00E07B1B">
        <w:t xml:space="preserve"> = 0.001) and with gestational diabetes-related events (pre-eclampsia</w:t>
      </w:r>
      <w:r>
        <w:t xml:space="preserve">, </w:t>
      </w:r>
      <w:r w:rsidRPr="00E07B1B">
        <w:t>large for gestational age</w:t>
      </w:r>
      <w:r>
        <w:t xml:space="preserve"> infant,</w:t>
      </w:r>
      <w:r w:rsidRPr="00E07B1B">
        <w:t xml:space="preserve"> shoulder dystocia)</w:t>
      </w:r>
      <w:r w:rsidR="0068074A">
        <w:t xml:space="preserve"> </w:t>
      </w:r>
      <w:r w:rsidRPr="00E07B1B">
        <w:t>(</w:t>
      </w:r>
      <w:r w:rsidRPr="00CD5650">
        <w:rPr>
          <w:i/>
        </w:rPr>
        <w:t>p</w:t>
      </w:r>
      <w:r>
        <w:t xml:space="preserve"> </w:t>
      </w:r>
      <w:r w:rsidRPr="00E07B1B">
        <w:t>=</w:t>
      </w:r>
      <w:r>
        <w:t xml:space="preserve"> </w:t>
      </w:r>
      <w:r w:rsidRPr="00E07B1B">
        <w:t xml:space="preserve">0.001). </w:t>
      </w:r>
      <w:r>
        <w:t>With s</w:t>
      </w:r>
      <w:r w:rsidRPr="00E07B1B">
        <w:t>elective screening</w:t>
      </w:r>
      <w:r>
        <w:t>,</w:t>
      </w:r>
      <w:r w:rsidRPr="00E07B1B">
        <w:t xml:space="preserve"> one-third of the women with gestational diabetes </w:t>
      </w:r>
      <w:r>
        <w:t>would have been missed and these women</w:t>
      </w:r>
      <w:r w:rsidRPr="00E07B1B">
        <w:t xml:space="preserve">, even without risk factors, had more events than women without gestational diabetes (Cosson </w:t>
      </w:r>
      <w:r w:rsidR="00D562F2">
        <w:t>et al</w:t>
      </w:r>
      <w:r w:rsidRPr="00E07B1B">
        <w:t xml:space="preserve"> 2013). Refer to </w:t>
      </w:r>
      <w:r w:rsidR="00521282">
        <w:t xml:space="preserve">Appendix </w:t>
      </w:r>
      <w:r w:rsidR="0011795B">
        <w:t>I</w:t>
      </w:r>
      <w:r w:rsidRPr="00E07B1B">
        <w:t>, Table 23.</w:t>
      </w:r>
    </w:p>
    <w:p w:rsidR="0025490C" w:rsidRPr="00E07B1B" w:rsidRDefault="0025490C" w:rsidP="00521282"/>
    <w:p w:rsidR="0025490C" w:rsidRPr="00E07B1B" w:rsidRDefault="0025490C" w:rsidP="00521282">
      <w:r w:rsidRPr="00E07B1B">
        <w:t xml:space="preserve">The prevalence of gestational diabetes was particularly high when </w:t>
      </w:r>
      <w:r>
        <w:t>there were three or more</w:t>
      </w:r>
      <w:r w:rsidRPr="00E07B1B">
        <w:t xml:space="preserve"> risk factors, although only 3% of the cohort</w:t>
      </w:r>
      <w:r>
        <w:t xml:space="preserve"> were in this category</w:t>
      </w:r>
      <w:r w:rsidRPr="00E07B1B">
        <w:t>. It was suggested that women with gestational diabetes, but no risk factors, would have a good prognosis and therefore missing their diagnosis would be of minimal consequence. The incidence of gestational diabetes</w:t>
      </w:r>
      <w:r>
        <w:t>-</w:t>
      </w:r>
      <w:r w:rsidRPr="00E07B1B">
        <w:t xml:space="preserve">related events was found to be very high when </w:t>
      </w:r>
      <w:r>
        <w:t>four or more</w:t>
      </w:r>
      <w:r w:rsidRPr="00E07B1B">
        <w:t xml:space="preserve"> risk factors were identified. This is restricted to multiparous women, as two risk factors (macrosomia and gestational diabetes) depend on a previous pregnancy (Cosson </w:t>
      </w:r>
      <w:r w:rsidR="00D562F2">
        <w:t>et al</w:t>
      </w:r>
      <w:r w:rsidRPr="00E07B1B">
        <w:t xml:space="preserve"> 2013).</w:t>
      </w:r>
    </w:p>
    <w:p w:rsidR="0025490C" w:rsidRDefault="0025490C" w:rsidP="00521282">
      <w:bookmarkStart w:id="118" w:name="_Toc363207308"/>
    </w:p>
    <w:p w:rsidR="00521282" w:rsidRPr="00DD1326" w:rsidRDefault="00521282" w:rsidP="00521282">
      <w:pPr>
        <w:pStyle w:val="BoxHeading"/>
        <w:keepNext/>
      </w:pPr>
      <w:r w:rsidRPr="00CD5650">
        <w:t>Key points</w:t>
      </w:r>
    </w:p>
    <w:p w:rsidR="00521282" w:rsidRPr="00521282" w:rsidRDefault="00521282" w:rsidP="00521282">
      <w:pPr>
        <w:pStyle w:val="BoxBullet"/>
        <w:keepNext/>
      </w:pPr>
      <w:r>
        <w:t>It is difficult to compare</w:t>
      </w:r>
      <w:r w:rsidRPr="00DD1326">
        <w:t xml:space="preserve"> screening tests and diagnostic thresholds because of </w:t>
      </w:r>
      <w:r w:rsidRPr="00521282">
        <w:t>the variety of populations and tests.</w:t>
      </w:r>
    </w:p>
    <w:p w:rsidR="00521282" w:rsidRDefault="00521282" w:rsidP="00521282">
      <w:pPr>
        <w:pStyle w:val="BoxBullet"/>
        <w:keepNext/>
      </w:pPr>
      <w:r w:rsidRPr="00DD1326">
        <w:t>Prevalence of gestational diabetes varie</w:t>
      </w:r>
      <w:r>
        <w:t>s</w:t>
      </w:r>
      <w:r w:rsidRPr="00DD1326">
        <w:t xml:space="preserve"> across studies and the diagnostic criteria used.</w:t>
      </w:r>
    </w:p>
    <w:p w:rsidR="00521282" w:rsidRPr="009F6FD3" w:rsidRDefault="00521282" w:rsidP="00521282">
      <w:pPr>
        <w:pStyle w:val="BoxBullet"/>
        <w:keepLines/>
      </w:pPr>
      <w:r w:rsidRPr="00DD1326">
        <w:t>The 50</w:t>
      </w:r>
      <w:r>
        <w:t xml:space="preserve"> </w:t>
      </w:r>
      <w:r w:rsidRPr="00DD1326">
        <w:t>g oral glucose challenge test with the 7.2</w:t>
      </w:r>
      <w:r>
        <w:t xml:space="preserve"> </w:t>
      </w:r>
      <w:r w:rsidRPr="00DD1326">
        <w:t xml:space="preserve">mmol/L </w:t>
      </w:r>
      <w:r>
        <w:t xml:space="preserve">threshold </w:t>
      </w:r>
      <w:r w:rsidRPr="00DD1326">
        <w:t xml:space="preserve">has higher sensitivity </w:t>
      </w:r>
      <w:r>
        <w:t>than</w:t>
      </w:r>
      <w:r w:rsidRPr="00DD1326">
        <w:t xml:space="preserve"> the 7.8</w:t>
      </w:r>
      <w:r>
        <w:t xml:space="preserve"> </w:t>
      </w:r>
      <w:r w:rsidRPr="00DD1326">
        <w:t xml:space="preserve">mmol/L </w:t>
      </w:r>
      <w:r>
        <w:t>threshold;</w:t>
      </w:r>
      <w:r w:rsidRPr="00DD1326">
        <w:t xml:space="preserve"> however, specificity is lower. Both thresholds have high negative predictive value but variable positive predictive value across a range of</w:t>
      </w:r>
      <w:r>
        <w:t xml:space="preserve"> data on</w:t>
      </w:r>
      <w:r w:rsidRPr="00DD1326">
        <w:t xml:space="preserve"> gestational diabetes prevalence.</w:t>
      </w:r>
    </w:p>
    <w:p w:rsidR="00521282" w:rsidRPr="009F6FD3" w:rsidRDefault="00521282" w:rsidP="00521282">
      <w:pPr>
        <w:pStyle w:val="BoxBullet"/>
      </w:pPr>
      <w:r w:rsidRPr="00DD1326">
        <w:t>Fasting plasma glucose at a threshold of ≥</w:t>
      </w:r>
      <w:r>
        <w:t xml:space="preserve"> </w:t>
      </w:r>
      <w:r w:rsidRPr="00DD1326">
        <w:t>4.7</w:t>
      </w:r>
      <w:r>
        <w:t xml:space="preserve"> </w:t>
      </w:r>
      <w:r w:rsidRPr="00DD1326">
        <w:t>mmol/L has similar sensitivity to 50</w:t>
      </w:r>
      <w:r>
        <w:t> </w:t>
      </w:r>
      <w:r w:rsidRPr="00DD1326">
        <w:t>g oral glucose challenge test; specificity is lower.</w:t>
      </w:r>
    </w:p>
    <w:p w:rsidR="00521282" w:rsidRPr="009F6FD3" w:rsidRDefault="00521282" w:rsidP="00521282">
      <w:pPr>
        <w:pStyle w:val="BoxBullet"/>
      </w:pPr>
      <w:r w:rsidRPr="00DD1326">
        <w:t xml:space="preserve">The prevalence of </w:t>
      </w:r>
      <w:r>
        <w:rPr>
          <w:lang w:eastAsia="ja-JP"/>
        </w:rPr>
        <w:t>gestational diabetes</w:t>
      </w:r>
      <w:r w:rsidRPr="00DD1326">
        <w:t xml:space="preserve"> ranged from 1.4</w:t>
      </w:r>
      <w:r>
        <w:t>–</w:t>
      </w:r>
      <w:r w:rsidRPr="00DD1326">
        <w:t>50</w:t>
      </w:r>
      <w:r>
        <w:t>% when</w:t>
      </w:r>
      <w:r w:rsidRPr="00DD1326">
        <w:t xml:space="preserve"> a 75</w:t>
      </w:r>
      <w:r>
        <w:t xml:space="preserve"> </w:t>
      </w:r>
      <w:r w:rsidRPr="00DD1326">
        <w:t xml:space="preserve">g load </w:t>
      </w:r>
      <w:r>
        <w:t xml:space="preserve">was compared </w:t>
      </w:r>
      <w:r w:rsidRPr="00DD1326">
        <w:t>with a 100</w:t>
      </w:r>
      <w:r>
        <w:t xml:space="preserve"> </w:t>
      </w:r>
      <w:r w:rsidRPr="00DD1326">
        <w:t>g load (reference standard</w:t>
      </w:r>
      <w:r>
        <w:t>)</w:t>
      </w:r>
      <w:r w:rsidRPr="00DD1326">
        <w:t>. Median sensitivity and positive predictive value were low; median specificity and negative predictive value were high.</w:t>
      </w:r>
    </w:p>
    <w:p w:rsidR="00521282" w:rsidRPr="00CD5650" w:rsidRDefault="00521282" w:rsidP="00521282">
      <w:pPr>
        <w:pStyle w:val="BoxBullet"/>
      </w:pPr>
      <w:r w:rsidRPr="001F2B82">
        <w:t>One study compared a one-step with a two-step strategy. Prevalence of gestational diabetes was 13% with one-step strategy and 9.6% with the two-step strategy. Positive and negative predictive values were 61% and 98%, respectively</w:t>
      </w:r>
      <w:r w:rsidRPr="001F2B82">
        <w:rPr>
          <w:sz w:val="20"/>
        </w:rPr>
        <w:t xml:space="preserve"> </w:t>
      </w:r>
      <w:r w:rsidRPr="00CD5650">
        <w:t>(Hartling</w:t>
      </w:r>
      <w:r>
        <w:t xml:space="preserve"> et al</w:t>
      </w:r>
      <w:r w:rsidRPr="00CD5650">
        <w:t xml:space="preserve"> 201</w:t>
      </w:r>
      <w:r>
        <w:t>2</w:t>
      </w:r>
      <w:r w:rsidRPr="00CD5650">
        <w:t>).</w:t>
      </w:r>
    </w:p>
    <w:p w:rsidR="00521282" w:rsidRPr="001B4668" w:rsidRDefault="00521282" w:rsidP="00521282">
      <w:pPr>
        <w:pStyle w:val="BoxBullet"/>
      </w:pPr>
      <w:r w:rsidRPr="0068074A">
        <w:rPr>
          <w:lang w:eastAsia="ja-JP"/>
        </w:rPr>
        <w:t xml:space="preserve">Risk factor-based screening has the potential to miss up to one-third of women with </w:t>
      </w:r>
      <w:r w:rsidRPr="0068074A">
        <w:t>gestational diabetes</w:t>
      </w:r>
      <w:r>
        <w:t>.</w:t>
      </w:r>
    </w:p>
    <w:p w:rsidR="0025490C" w:rsidRDefault="0025490C" w:rsidP="00521282"/>
    <w:p w:rsidR="0025490C" w:rsidRPr="00E07B1B" w:rsidRDefault="0025490C" w:rsidP="00521282">
      <w:pPr>
        <w:pStyle w:val="Heading2"/>
      </w:pPr>
      <w:bookmarkStart w:id="119" w:name="_Toc402873540"/>
      <w:bookmarkStart w:id="120" w:name="_Toc403469622"/>
      <w:r w:rsidRPr="00E07B1B">
        <w:t>3.5</w:t>
      </w:r>
      <w:r w:rsidR="00521282">
        <w:tab/>
      </w:r>
      <w:r w:rsidRPr="00E07B1B">
        <w:t>Evidence to recommendation</w:t>
      </w:r>
      <w:bookmarkEnd w:id="118"/>
      <w:r>
        <w:t>s</w:t>
      </w:r>
      <w:bookmarkEnd w:id="119"/>
      <w:bookmarkEnd w:id="120"/>
    </w:p>
    <w:p w:rsidR="0025490C" w:rsidRPr="00E07B1B" w:rsidRDefault="0025490C" w:rsidP="00521282">
      <w:r w:rsidRPr="00E07B1B">
        <w:t xml:space="preserve">While evidence supports a positive association </w:t>
      </w:r>
      <w:r>
        <w:t>between</w:t>
      </w:r>
      <w:r w:rsidRPr="00E07B1B">
        <w:t xml:space="preserve"> increasing plasma glucose on a 75</w:t>
      </w:r>
      <w:r w:rsidR="00521282">
        <w:t> </w:t>
      </w:r>
      <w:r w:rsidRPr="00E07B1B">
        <w:t>g or 100</w:t>
      </w:r>
      <w:r w:rsidR="00521282">
        <w:t> </w:t>
      </w:r>
      <w:r w:rsidRPr="00E07B1B">
        <w:t xml:space="preserve">g oral glucose tolerance test and macrosomia and primary caesarean section, clear thresholds for increased risk were not found. The 50 g oral glucose challenge test has high negative predictive value but variable positive predictive value (Hartling </w:t>
      </w:r>
      <w:r w:rsidR="00D562F2">
        <w:t>et al</w:t>
      </w:r>
      <w:r w:rsidRPr="00E07B1B">
        <w:t xml:space="preserve"> 2012).</w:t>
      </w:r>
    </w:p>
    <w:p w:rsidR="0025490C" w:rsidRPr="00E07B1B" w:rsidRDefault="0025490C" w:rsidP="00521282"/>
    <w:p w:rsidR="0025490C" w:rsidRPr="00E07B1B" w:rsidRDefault="0025490C" w:rsidP="00521282">
      <w:r w:rsidRPr="00E07B1B">
        <w:t xml:space="preserve">The </w:t>
      </w:r>
      <w:r w:rsidRPr="00E07B1B">
        <w:rPr>
          <w:lang w:eastAsia="en-NZ"/>
        </w:rPr>
        <w:t xml:space="preserve">International Association of Diabetes </w:t>
      </w:r>
      <w:r>
        <w:rPr>
          <w:lang w:eastAsia="en-NZ"/>
        </w:rPr>
        <w:t>and</w:t>
      </w:r>
      <w:r w:rsidRPr="00E07B1B">
        <w:rPr>
          <w:lang w:eastAsia="en-NZ"/>
        </w:rPr>
        <w:t xml:space="preserve"> Pregnancy Study Groups</w:t>
      </w:r>
      <w:r w:rsidR="0068074A">
        <w:rPr>
          <w:lang w:eastAsia="en-NZ"/>
        </w:rPr>
        <w:t>’</w:t>
      </w:r>
      <w:r w:rsidRPr="00E07B1B">
        <w:rPr>
          <w:lang w:eastAsia="en-NZ"/>
        </w:rPr>
        <w:t xml:space="preserve"> </w:t>
      </w:r>
      <w:r w:rsidRPr="00E07B1B">
        <w:t>criteria (one</w:t>
      </w:r>
      <w:r>
        <w:t>-</w:t>
      </w:r>
      <w:r w:rsidRPr="00E07B1B">
        <w:t>step strategy) identif</w:t>
      </w:r>
      <w:r>
        <w:t>y</w:t>
      </w:r>
      <w:r w:rsidRPr="00E07B1B">
        <w:t xml:space="preserve"> women who have significantly worse outcomes compared </w:t>
      </w:r>
      <w:r>
        <w:t>with</w:t>
      </w:r>
      <w:r w:rsidRPr="00E07B1B">
        <w:t xml:space="preserve"> women without gestational diabetes, particularly </w:t>
      </w:r>
      <w:r>
        <w:t>among women who have a</w:t>
      </w:r>
      <w:r w:rsidRPr="00E07B1B">
        <w:t xml:space="preserve"> caesarean section. What remains unclear is the effectiveness of treatment for these women.</w:t>
      </w:r>
    </w:p>
    <w:p w:rsidR="0025490C" w:rsidRPr="00E07B1B" w:rsidRDefault="0025490C" w:rsidP="00521282"/>
    <w:p w:rsidR="0025490C" w:rsidRDefault="0025490C" w:rsidP="00521282">
      <w:pPr>
        <w:rPr>
          <w:rFonts w:eastAsia="MS Mincho"/>
          <w:lang w:eastAsia="ja-JP"/>
        </w:rPr>
      </w:pPr>
      <w:r w:rsidRPr="00E07B1B">
        <w:rPr>
          <w:rFonts w:eastAsia="MS Mincho"/>
          <w:lang w:eastAsia="ja-JP"/>
        </w:rPr>
        <w:t xml:space="preserve">Risk factor-based screening has the potential to miss up to one-third of women with </w:t>
      </w:r>
      <w:r w:rsidRPr="00E07B1B">
        <w:t>gestational diabetes</w:t>
      </w:r>
      <w:r w:rsidRPr="00E07B1B">
        <w:rPr>
          <w:rFonts w:eastAsia="MS Mincho"/>
          <w:lang w:eastAsia="ja-JP"/>
        </w:rPr>
        <w:t xml:space="preserve">. Universal screening will identify more women with </w:t>
      </w:r>
      <w:r w:rsidRPr="00E07B1B">
        <w:t>gestational diabetes</w:t>
      </w:r>
      <w:r w:rsidRPr="00E07B1B">
        <w:rPr>
          <w:rFonts w:eastAsia="MS Mincho"/>
          <w:lang w:eastAsia="ja-JP"/>
        </w:rPr>
        <w:t xml:space="preserve"> than risk factor-based screening but the effects of subsequent management on health outcome are unclear.</w:t>
      </w:r>
    </w:p>
    <w:p w:rsidR="0025490C" w:rsidRPr="00E07B1B" w:rsidRDefault="0025490C" w:rsidP="00521282">
      <w:pPr>
        <w:rPr>
          <w:rFonts w:eastAsia="MS Mincho"/>
          <w:lang w:eastAsia="ja-JP"/>
        </w:rPr>
      </w:pPr>
    </w:p>
    <w:p w:rsidR="0068074A" w:rsidRDefault="0025490C" w:rsidP="00521282">
      <w:pPr>
        <w:rPr>
          <w:rFonts w:eastAsia="MS Mincho"/>
          <w:lang w:eastAsia="ja-JP"/>
        </w:rPr>
      </w:pPr>
      <w:r w:rsidRPr="00E07B1B">
        <w:rPr>
          <w:rFonts w:eastAsia="MS Mincho"/>
          <w:lang w:eastAsia="ja-JP"/>
        </w:rPr>
        <w:t xml:space="preserve">When considering risk factor </w:t>
      </w:r>
      <w:r>
        <w:rPr>
          <w:rFonts w:eastAsia="MS Mincho"/>
          <w:lang w:eastAsia="ja-JP"/>
        </w:rPr>
        <w:t xml:space="preserve">screening </w:t>
      </w:r>
      <w:r w:rsidRPr="00E07B1B">
        <w:rPr>
          <w:rFonts w:eastAsia="MS Mincho"/>
          <w:lang w:eastAsia="ja-JP"/>
        </w:rPr>
        <w:t xml:space="preserve">versus universal screening for </w:t>
      </w:r>
      <w:r w:rsidRPr="00E07B1B">
        <w:t>gestational diabetes</w:t>
      </w:r>
      <w:r w:rsidRPr="00E07B1B">
        <w:rPr>
          <w:rFonts w:eastAsia="MS Mincho"/>
          <w:lang w:eastAsia="ja-JP"/>
        </w:rPr>
        <w:t xml:space="preserve">, </w:t>
      </w:r>
      <w:r>
        <w:rPr>
          <w:rFonts w:eastAsia="MS Mincho"/>
          <w:lang w:eastAsia="ja-JP"/>
        </w:rPr>
        <w:t xml:space="preserve">it is important to take account of </w:t>
      </w:r>
      <w:r w:rsidRPr="00E07B1B">
        <w:rPr>
          <w:rFonts w:eastAsia="MS Mincho"/>
          <w:lang w:eastAsia="ja-JP"/>
        </w:rPr>
        <w:t>women</w:t>
      </w:r>
      <w:r w:rsidR="0068074A">
        <w:rPr>
          <w:rFonts w:eastAsia="MS Mincho"/>
          <w:lang w:eastAsia="ja-JP"/>
        </w:rPr>
        <w:t>’</w:t>
      </w:r>
      <w:r w:rsidRPr="00E07B1B">
        <w:rPr>
          <w:rFonts w:eastAsia="MS Mincho"/>
          <w:lang w:eastAsia="ja-JP"/>
        </w:rPr>
        <w:t xml:space="preserve">s views of the two forms of screening. Some women may find the tests inconvenient and unpleasant. The National Institute </w:t>
      </w:r>
      <w:r>
        <w:rPr>
          <w:rFonts w:eastAsia="MS Mincho"/>
          <w:lang w:eastAsia="ja-JP"/>
        </w:rPr>
        <w:t>for</w:t>
      </w:r>
      <w:r w:rsidRPr="00E07B1B">
        <w:rPr>
          <w:rFonts w:eastAsia="MS Mincho"/>
          <w:lang w:eastAsia="ja-JP"/>
        </w:rPr>
        <w:t xml:space="preserve"> Health and </w:t>
      </w:r>
      <w:r>
        <w:rPr>
          <w:rFonts w:eastAsia="MS Mincho"/>
          <w:lang w:eastAsia="ja-JP"/>
        </w:rPr>
        <w:t>Care</w:t>
      </w:r>
      <w:r w:rsidRPr="00E07B1B">
        <w:rPr>
          <w:rFonts w:eastAsia="MS Mincho"/>
          <w:lang w:eastAsia="ja-JP"/>
        </w:rPr>
        <w:t xml:space="preserve"> Excellence</w:t>
      </w:r>
      <w:r>
        <w:rPr>
          <w:rFonts w:eastAsia="MS Mincho"/>
          <w:lang w:eastAsia="ja-JP"/>
        </w:rPr>
        <w:t xml:space="preserve"> (NICE)</w:t>
      </w:r>
      <w:r w:rsidRPr="00E07B1B">
        <w:rPr>
          <w:rFonts w:eastAsia="MS Mincho"/>
          <w:lang w:eastAsia="ja-JP"/>
        </w:rPr>
        <w:t xml:space="preserve"> cost</w:t>
      </w:r>
      <w:r>
        <w:rPr>
          <w:rFonts w:eastAsia="MS Mincho"/>
          <w:lang w:eastAsia="ja-JP"/>
        </w:rPr>
        <w:t>-</w:t>
      </w:r>
      <w:r w:rsidRPr="00E07B1B">
        <w:rPr>
          <w:rFonts w:eastAsia="MS Mincho"/>
          <w:lang w:eastAsia="ja-JP"/>
        </w:rPr>
        <w:t>effectiveness model for diabetes in pregnancy assumed that women were more likely to accept a test if they had already been identified as being at higher risk, either by risk factor</w:t>
      </w:r>
      <w:r>
        <w:rPr>
          <w:rFonts w:eastAsia="MS Mincho"/>
          <w:lang w:eastAsia="ja-JP"/>
        </w:rPr>
        <w:t>s</w:t>
      </w:r>
      <w:r w:rsidRPr="00E07B1B">
        <w:rPr>
          <w:rFonts w:eastAsia="MS Mincho"/>
          <w:lang w:eastAsia="ja-JP"/>
        </w:rPr>
        <w:t xml:space="preserve"> or a previous screening test (</w:t>
      </w:r>
      <w:r>
        <w:rPr>
          <w:rFonts w:eastAsia="MS Mincho"/>
          <w:lang w:eastAsia="ja-JP"/>
        </w:rPr>
        <w:t>NICE</w:t>
      </w:r>
      <w:r w:rsidRPr="00E07B1B">
        <w:rPr>
          <w:rFonts w:eastAsia="MS Mincho"/>
          <w:lang w:eastAsia="ja-JP"/>
        </w:rPr>
        <w:t xml:space="preserve"> 2008).</w:t>
      </w:r>
    </w:p>
    <w:p w:rsidR="0025490C" w:rsidRPr="00E07B1B" w:rsidRDefault="0025490C" w:rsidP="00521282">
      <w:pPr>
        <w:rPr>
          <w:rFonts w:eastAsia="MS Mincho"/>
          <w:lang w:eastAsia="ja-JP"/>
        </w:rPr>
      </w:pPr>
    </w:p>
    <w:p w:rsidR="0068074A" w:rsidRDefault="0025490C" w:rsidP="00521282">
      <w:pPr>
        <w:keepLines/>
      </w:pPr>
      <w:r w:rsidRPr="00E07B1B">
        <w:t>The Guideline Development Team felt that</w:t>
      </w:r>
      <w:r>
        <w:t>,</w:t>
      </w:r>
      <w:r w:rsidRPr="00E07B1B">
        <w:t xml:space="preserve"> although some observational data suggested that the </w:t>
      </w:r>
      <w:r w:rsidRPr="00E07B1B">
        <w:rPr>
          <w:lang w:eastAsia="en-NZ"/>
        </w:rPr>
        <w:t xml:space="preserve">International Association of Diabetes </w:t>
      </w:r>
      <w:r>
        <w:rPr>
          <w:lang w:eastAsia="en-NZ"/>
        </w:rPr>
        <w:t>and</w:t>
      </w:r>
      <w:r w:rsidRPr="00E07B1B">
        <w:rPr>
          <w:lang w:eastAsia="en-NZ"/>
        </w:rPr>
        <w:t xml:space="preserve"> Pregnancy Study Groups</w:t>
      </w:r>
      <w:r w:rsidR="0068074A">
        <w:rPr>
          <w:lang w:eastAsia="en-NZ"/>
        </w:rPr>
        <w:t>’</w:t>
      </w:r>
      <w:r w:rsidRPr="00E07B1B">
        <w:t xml:space="preserve"> criteria (one-step strategy) may identify women and infants with worse outcomes who may benefit from treatment, there was no randomised controlled trial evidence to support this. There was concern that recommending a change in diagnostic thresholds that may then be overturned by emerging new evidence could result in the thresholds being changed again. This would further reduce consistency of practice throughout New Zealand as well as having huge workforce and financial implications that could not be sustained</w:t>
      </w:r>
      <w:r w:rsidRPr="00875FE6">
        <w:t xml:space="preserve"> </w:t>
      </w:r>
      <w:r w:rsidRPr="00E07B1B">
        <w:t>currently in many areas of New Zealand.</w:t>
      </w:r>
    </w:p>
    <w:p w:rsidR="0025490C" w:rsidRPr="00E07B1B" w:rsidRDefault="0025490C" w:rsidP="00521282"/>
    <w:p w:rsidR="0025490C" w:rsidRDefault="0025490C" w:rsidP="00521282">
      <w:r w:rsidRPr="00E07B1B">
        <w:t>The Guideline Development Team agreed that there was an urgent need for a high</w:t>
      </w:r>
      <w:r>
        <w:t>-</w:t>
      </w:r>
      <w:r w:rsidRPr="00E07B1B">
        <w:t xml:space="preserve">quality randomised control trial that compared current practice in New Zealand with the </w:t>
      </w:r>
      <w:r w:rsidRPr="00E07B1B">
        <w:rPr>
          <w:lang w:eastAsia="en-NZ"/>
        </w:rPr>
        <w:t xml:space="preserve">International Association of Diabetes </w:t>
      </w:r>
      <w:r>
        <w:rPr>
          <w:lang w:eastAsia="en-NZ"/>
        </w:rPr>
        <w:t>and</w:t>
      </w:r>
      <w:r w:rsidRPr="00E07B1B">
        <w:rPr>
          <w:lang w:eastAsia="en-NZ"/>
        </w:rPr>
        <w:t xml:space="preserve"> Pregnancy Study Groups</w:t>
      </w:r>
      <w:r w:rsidR="0068074A">
        <w:rPr>
          <w:lang w:eastAsia="en-NZ"/>
        </w:rPr>
        <w:t>’</w:t>
      </w:r>
      <w:r w:rsidRPr="00E07B1B">
        <w:t xml:space="preserve"> criteria. The trial outcomes should include both maternal and infant </w:t>
      </w:r>
      <w:r>
        <w:t>out</w:t>
      </w:r>
      <w:r w:rsidRPr="00E07B1B">
        <w:t>comes and also report on cost</w:t>
      </w:r>
      <w:r>
        <w:t>-</w:t>
      </w:r>
      <w:r w:rsidRPr="00E07B1B">
        <w:t xml:space="preserve">effectiveness. </w:t>
      </w:r>
      <w:r>
        <w:t>In the absence of</w:t>
      </w:r>
      <w:r w:rsidRPr="00E07B1B">
        <w:t xml:space="preserve"> trial evidence to indicate</w:t>
      </w:r>
      <w:r>
        <w:t xml:space="preserve"> that using</w:t>
      </w:r>
      <w:r w:rsidRPr="00E07B1B">
        <w:t xml:space="preserve"> the </w:t>
      </w:r>
      <w:r w:rsidRPr="00E07B1B">
        <w:rPr>
          <w:lang w:eastAsia="en-NZ"/>
        </w:rPr>
        <w:t>one-step strategy</w:t>
      </w:r>
      <w:r>
        <w:rPr>
          <w:lang w:eastAsia="en-NZ"/>
        </w:rPr>
        <w:t xml:space="preserve"> produces greater benefits,</w:t>
      </w:r>
      <w:r w:rsidRPr="00E07B1B">
        <w:t xml:space="preserve"> the Guideline Development Team decided to recommend no change to the current two-step diagnostic thresholds of the oral glucose tolerance test.</w:t>
      </w:r>
    </w:p>
    <w:p w:rsidR="0025490C" w:rsidRPr="00E07B1B" w:rsidRDefault="0025490C" w:rsidP="00521282"/>
    <w:p w:rsidR="0068074A" w:rsidRDefault="0025490C" w:rsidP="00521282">
      <w:r w:rsidRPr="00E07B1B">
        <w:t>The Guideline Development Team decided that women considered at high risk for gestational diabetes (HbA1c at booking 41</w:t>
      </w:r>
      <w:r>
        <w:t>–</w:t>
      </w:r>
      <w:r w:rsidRPr="00E07B1B">
        <w:t>49 mmol/mol) should be offered the one-step diagnostic oral glucose tolerance test at 24</w:t>
      </w:r>
      <w:r>
        <w:t>–</w:t>
      </w:r>
      <w:r w:rsidRPr="00E07B1B">
        <w:t>28 weeks</w:t>
      </w:r>
      <w:r w:rsidR="0068074A">
        <w:t>’</w:t>
      </w:r>
      <w:r w:rsidRPr="00E07B1B">
        <w:t xml:space="preserve"> gestation. All other women should be offered screening for gestational diabetes with the </w:t>
      </w:r>
      <w:r>
        <w:t>one-</w:t>
      </w:r>
      <w:r w:rsidRPr="00E07B1B">
        <w:t xml:space="preserve">hour, 50 g oral glucose challenge test followed by </w:t>
      </w:r>
      <w:r>
        <w:t xml:space="preserve">the </w:t>
      </w:r>
      <w:r w:rsidRPr="00E07B1B">
        <w:t>oral glucose tolerance test (if the challenge test is positive)</w:t>
      </w:r>
      <w:r>
        <w:t>, a process</w:t>
      </w:r>
      <w:r w:rsidRPr="00E07B1B">
        <w:t xml:space="preserve"> known as a two-step strategy.</w:t>
      </w:r>
    </w:p>
    <w:p w:rsidR="0025490C" w:rsidRPr="00E07B1B" w:rsidRDefault="0025490C" w:rsidP="00521282"/>
    <w:p w:rsidR="0025490C" w:rsidRDefault="0025490C" w:rsidP="00521282">
      <w:r w:rsidRPr="00E07B1B">
        <w:t>The Guideline Development Team noted that women should be informed that</w:t>
      </w:r>
      <w:r>
        <w:t>:</w:t>
      </w:r>
    </w:p>
    <w:p w:rsidR="0025490C" w:rsidRDefault="0025490C" w:rsidP="00521282">
      <w:pPr>
        <w:pStyle w:val="Bullet"/>
      </w:pPr>
      <w:r w:rsidRPr="00E07B1B">
        <w:t xml:space="preserve">the glucose challenge test can be falsely normal in approximately 20% of women with </w:t>
      </w:r>
      <w:r w:rsidRPr="00E07B1B">
        <w:rPr>
          <w:lang w:eastAsia="ja-JP"/>
        </w:rPr>
        <w:t>gestational diabetes</w:t>
      </w:r>
    </w:p>
    <w:p w:rsidR="0025490C" w:rsidRDefault="0025490C" w:rsidP="00521282">
      <w:pPr>
        <w:pStyle w:val="Bullet"/>
      </w:pPr>
      <w:r w:rsidRPr="00E07B1B">
        <w:t xml:space="preserve">if the screening test is elevated, they will still be asked to go for an oral glucose tolerance test to diagnose </w:t>
      </w:r>
      <w:r w:rsidRPr="00E07B1B">
        <w:rPr>
          <w:lang w:eastAsia="ja-JP"/>
        </w:rPr>
        <w:t>gestational diabetes</w:t>
      </w:r>
      <w:r w:rsidRPr="00E07B1B">
        <w:t>.</w:t>
      </w:r>
    </w:p>
    <w:p w:rsidR="0025490C" w:rsidRDefault="0025490C" w:rsidP="00521282"/>
    <w:p w:rsidR="0025490C" w:rsidRDefault="0025490C" w:rsidP="00521282">
      <w:r w:rsidRPr="00E07B1B">
        <w:t xml:space="preserve">Some women will have </w:t>
      </w:r>
      <w:r w:rsidR="0068074A">
        <w:t>‘</w:t>
      </w:r>
      <w:r w:rsidRPr="00E07B1B">
        <w:t>borderline</w:t>
      </w:r>
      <w:r w:rsidR="0068074A">
        <w:t>’</w:t>
      </w:r>
      <w:r w:rsidRPr="00E07B1B">
        <w:t xml:space="preserve"> results</w:t>
      </w:r>
      <w:r>
        <w:t xml:space="preserve"> – that is,</w:t>
      </w:r>
      <w:r w:rsidRPr="00E07B1B">
        <w:t xml:space="preserve"> they have met some but not all of the criteria for diagnosis of gestational diabetes. These women should be considered for self</w:t>
      </w:r>
      <w:r>
        <w:t>-</w:t>
      </w:r>
      <w:r w:rsidRPr="00E07B1B">
        <w:t>monitoring of glucose levels</w:t>
      </w:r>
      <w:r>
        <w:t>,</w:t>
      </w:r>
      <w:r w:rsidRPr="00E07B1B">
        <w:t xml:space="preserve"> especially if risk factors for gestational diabetes </w:t>
      </w:r>
      <w:r>
        <w:t xml:space="preserve">are </w:t>
      </w:r>
      <w:r w:rsidRPr="00E07B1B">
        <w:t>present (section 2.3). The Guideline Development Team also acknowledges that there are other risk factors for gestational diabetes (section 2.3) and health professionals may consider these when discussing gestational diabetes screening options with pregnant women.</w:t>
      </w:r>
    </w:p>
    <w:p w:rsidR="0025490C" w:rsidRPr="00E07B1B" w:rsidRDefault="0025490C" w:rsidP="00521282"/>
    <w:p w:rsidR="0068074A" w:rsidRDefault="0025490C" w:rsidP="00521282">
      <w:r w:rsidRPr="00E07B1B">
        <w:t>As there is a lack of good</w:t>
      </w:r>
      <w:r>
        <w:t>-</w:t>
      </w:r>
      <w:r w:rsidRPr="00E07B1B">
        <w:t>quality evidence for the optimal screening strategy at 24</w:t>
      </w:r>
      <w:r>
        <w:t>–</w:t>
      </w:r>
      <w:r w:rsidRPr="00E07B1B">
        <w:t>28 weeks</w:t>
      </w:r>
      <w:r w:rsidR="0068074A">
        <w:t>’</w:t>
      </w:r>
      <w:r w:rsidRPr="00E07B1B">
        <w:t xml:space="preserve"> gestation</w:t>
      </w:r>
      <w:r>
        <w:t>,</w:t>
      </w:r>
      <w:r w:rsidRPr="00E07B1B">
        <w:t xml:space="preserve"> the Guideline Development Team </w:t>
      </w:r>
      <w:r>
        <w:t>was</w:t>
      </w:r>
      <w:r w:rsidRPr="00E07B1B">
        <w:t xml:space="preserve"> only able to make </w:t>
      </w:r>
      <w:r>
        <w:t>g</w:t>
      </w:r>
      <w:r w:rsidRPr="00E07B1B">
        <w:t xml:space="preserve">ood </w:t>
      </w:r>
      <w:r>
        <w:t>p</w:t>
      </w:r>
      <w:r w:rsidRPr="00E07B1B">
        <w:t xml:space="preserve">ractice </w:t>
      </w:r>
      <w:r>
        <w:t>p</w:t>
      </w:r>
      <w:r w:rsidRPr="00E07B1B">
        <w:t>oints.</w:t>
      </w:r>
    </w:p>
    <w:p w:rsidR="0025490C" w:rsidRPr="00E07B1B" w:rsidRDefault="0025490C" w:rsidP="00521282"/>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36"/>
        <w:gridCol w:w="3233"/>
      </w:tblGrid>
      <w:tr w:rsidR="0025490C" w:rsidRPr="00521282" w:rsidTr="00DA11EE">
        <w:trPr>
          <w:cantSplit/>
        </w:trPr>
        <w:tc>
          <w:tcPr>
            <w:tcW w:w="3293" w:type="pct"/>
            <w:tcBorders>
              <w:left w:val="nil"/>
              <w:bottom w:val="single" w:sz="4" w:space="0" w:color="auto"/>
              <w:right w:val="nil"/>
            </w:tcBorders>
            <w:shd w:val="clear" w:color="auto" w:fill="F7F9FB"/>
          </w:tcPr>
          <w:p w:rsidR="0025490C" w:rsidRPr="00521282" w:rsidRDefault="00521282" w:rsidP="00521282">
            <w:pPr>
              <w:pStyle w:val="TableText"/>
              <w:keepNext/>
              <w:rPr>
                <w:b/>
              </w:rPr>
            </w:pPr>
            <w:r w:rsidRPr="00521282">
              <w:rPr>
                <w:b/>
              </w:rPr>
              <w:t>Recommendation</w:t>
            </w:r>
          </w:p>
        </w:tc>
        <w:tc>
          <w:tcPr>
            <w:tcW w:w="1707" w:type="pct"/>
            <w:tcBorders>
              <w:left w:val="nil"/>
              <w:bottom w:val="single" w:sz="4" w:space="0" w:color="auto"/>
              <w:right w:val="nil"/>
            </w:tcBorders>
            <w:shd w:val="clear" w:color="auto" w:fill="F7F9FB"/>
          </w:tcPr>
          <w:p w:rsidR="0025490C" w:rsidRPr="00521282" w:rsidRDefault="0025490C" w:rsidP="00DA11EE">
            <w:pPr>
              <w:pStyle w:val="TableText"/>
              <w:keepNext/>
              <w:jc w:val="center"/>
              <w:rPr>
                <w:b/>
              </w:rPr>
            </w:pPr>
            <w:r w:rsidRPr="00521282">
              <w:rPr>
                <w:b/>
              </w:rPr>
              <w:t>Strength of recommendation or good practice point (GPP)</w:t>
            </w:r>
          </w:p>
        </w:tc>
      </w:tr>
      <w:tr w:rsidR="00DA11EE" w:rsidRPr="00AE558F" w:rsidTr="00DA11EE">
        <w:trPr>
          <w:cantSplit/>
        </w:trPr>
        <w:tc>
          <w:tcPr>
            <w:tcW w:w="3293" w:type="pct"/>
            <w:tcBorders>
              <w:top w:val="single" w:sz="4" w:space="0" w:color="auto"/>
              <w:left w:val="nil"/>
              <w:bottom w:val="nil"/>
              <w:right w:val="nil"/>
            </w:tcBorders>
            <w:shd w:val="clear" w:color="auto" w:fill="DBE5F1"/>
          </w:tcPr>
          <w:p w:rsidR="00DA11EE" w:rsidRPr="00AE558F" w:rsidRDefault="00DA11EE" w:rsidP="00DA11EE">
            <w:pPr>
              <w:pStyle w:val="TableText"/>
              <w:keepNext/>
              <w:rPr>
                <w:b/>
              </w:rPr>
            </w:pPr>
            <w:r w:rsidRPr="00AE558F">
              <w:rPr>
                <w:b/>
              </w:rPr>
              <w:t>At 24</w:t>
            </w:r>
            <w:r>
              <w:rPr>
                <w:b/>
              </w:rPr>
              <w:t>–</w:t>
            </w:r>
            <w:r w:rsidRPr="00AE558F">
              <w:rPr>
                <w:b/>
              </w:rPr>
              <w:t>28 weeks</w:t>
            </w:r>
          </w:p>
          <w:p w:rsidR="00DA11EE" w:rsidRDefault="00DA11EE" w:rsidP="00DA11EE">
            <w:pPr>
              <w:pStyle w:val="TableText"/>
              <w:keepNext/>
              <w:ind w:left="425" w:right="142" w:hanging="425"/>
            </w:pPr>
            <w:r>
              <w:t>4</w:t>
            </w:r>
            <w:r>
              <w:tab/>
              <w:t>For</w:t>
            </w:r>
            <w:r w:rsidRPr="00AE558F">
              <w:t xml:space="preserve"> all women not previously diagnosed with diabetes who are at high risk of gestational diabetes (HbA1c of 41</w:t>
            </w:r>
            <w:r>
              <w:t>–</w:t>
            </w:r>
            <w:r w:rsidRPr="00AE558F">
              <w:t>49 mmol/mol)</w:t>
            </w:r>
            <w:r>
              <w:t>, offer</w:t>
            </w:r>
            <w:r w:rsidRPr="00AE558F">
              <w:t xml:space="preserve"> a </w:t>
            </w:r>
            <w:r>
              <w:t>two</w:t>
            </w:r>
            <w:r w:rsidRPr="00AE558F">
              <w:t>-hour, 75 g oral glucose tolerance test</w:t>
            </w:r>
            <w:r>
              <w:t>.</w:t>
            </w:r>
          </w:p>
          <w:p w:rsidR="00DA11EE" w:rsidRPr="00AE558F" w:rsidRDefault="00DA11EE" w:rsidP="00DA11EE">
            <w:pPr>
              <w:pStyle w:val="TableBullet"/>
              <w:keepNext/>
              <w:ind w:left="709" w:right="142"/>
            </w:pPr>
            <w:r w:rsidRPr="00AE558F">
              <w:t>If fasting glucose</w:t>
            </w:r>
            <w:r>
              <w:t xml:space="preserve"> is</w:t>
            </w:r>
            <w:r w:rsidRPr="00AE558F">
              <w:t xml:space="preserve"> ≥ 5.5 mmol/L or </w:t>
            </w:r>
            <w:r>
              <w:t>two</w:t>
            </w:r>
            <w:r w:rsidRPr="00AE558F">
              <w:t>-hour value</w:t>
            </w:r>
            <w:r>
              <w:t xml:space="preserve"> is</w:t>
            </w:r>
            <w:r w:rsidRPr="00AE558F">
              <w:t xml:space="preserve"> ≥</w:t>
            </w:r>
            <w:r>
              <w:t> </w:t>
            </w:r>
            <w:r w:rsidRPr="00AE558F">
              <w:t>9.0 mmol/L</w:t>
            </w:r>
            <w:r>
              <w:t>,</w:t>
            </w:r>
            <w:r w:rsidRPr="00AE558F">
              <w:t xml:space="preserve"> refer</w:t>
            </w:r>
            <w:r>
              <w:t xml:space="preserve"> the woman</w:t>
            </w:r>
            <w:r w:rsidRPr="00AE558F">
              <w:t xml:space="preserve"> to</w:t>
            </w:r>
            <w:r>
              <w:t xml:space="preserve"> a</w:t>
            </w:r>
            <w:r w:rsidRPr="00AE558F">
              <w:t xml:space="preserve"> diabetes in pregnancy clinic</w:t>
            </w:r>
            <w:r>
              <w:t>.</w:t>
            </w:r>
          </w:p>
        </w:tc>
        <w:tc>
          <w:tcPr>
            <w:tcW w:w="1707" w:type="pct"/>
            <w:tcBorders>
              <w:top w:val="single" w:sz="4" w:space="0" w:color="auto"/>
              <w:left w:val="nil"/>
              <w:bottom w:val="nil"/>
              <w:right w:val="nil"/>
            </w:tcBorders>
            <w:shd w:val="clear" w:color="auto" w:fill="DBE5F1"/>
          </w:tcPr>
          <w:p w:rsidR="00DA11EE" w:rsidRPr="00AE558F" w:rsidRDefault="00DA11EE" w:rsidP="00DA11EE">
            <w:pPr>
              <w:pStyle w:val="TableText"/>
              <w:keepNext/>
              <w:jc w:val="center"/>
            </w:pPr>
            <w:r w:rsidRPr="00AE558F">
              <w:t>GPP</w:t>
            </w:r>
          </w:p>
        </w:tc>
      </w:tr>
      <w:tr w:rsidR="00DA11EE" w:rsidRPr="00AE558F" w:rsidTr="00DA11EE">
        <w:trPr>
          <w:cantSplit/>
        </w:trPr>
        <w:tc>
          <w:tcPr>
            <w:tcW w:w="3293" w:type="pct"/>
            <w:tcBorders>
              <w:top w:val="nil"/>
              <w:left w:val="nil"/>
              <w:bottom w:val="single" w:sz="4" w:space="0" w:color="FFFFFF" w:themeColor="background1"/>
              <w:right w:val="nil"/>
            </w:tcBorders>
            <w:shd w:val="clear" w:color="auto" w:fill="DBE5F1"/>
          </w:tcPr>
          <w:p w:rsidR="00DA11EE" w:rsidRPr="00AE558F" w:rsidRDefault="00DA11EE" w:rsidP="00DA11EE">
            <w:pPr>
              <w:pStyle w:val="TableText"/>
              <w:ind w:left="425" w:right="142"/>
            </w:pPr>
            <w:r w:rsidRPr="00AE558F">
              <w:t xml:space="preserve">Offer all other women a </w:t>
            </w:r>
            <w:r>
              <w:t>one-</w:t>
            </w:r>
            <w:r w:rsidRPr="00AE558F">
              <w:t>hour, 50 g, oral glucose challenge test</w:t>
            </w:r>
            <w:r>
              <w:t>.</w:t>
            </w:r>
          </w:p>
          <w:p w:rsidR="00DA11EE" w:rsidRPr="00AE558F" w:rsidRDefault="00DA11EE" w:rsidP="00DA11EE">
            <w:pPr>
              <w:pStyle w:val="TableBullet"/>
              <w:ind w:left="709" w:right="142"/>
            </w:pPr>
            <w:r w:rsidRPr="00AE558F">
              <w:t>If glucose</w:t>
            </w:r>
            <w:r>
              <w:t xml:space="preserve"> is</w:t>
            </w:r>
            <w:r w:rsidRPr="00AE558F">
              <w:t xml:space="preserve"> ≥ 11.1 mmol/L</w:t>
            </w:r>
            <w:r>
              <w:t>,</w:t>
            </w:r>
            <w:r w:rsidRPr="00AE558F">
              <w:t xml:space="preserve"> refer directly to diabetes in pregnancy clinic without further testing</w:t>
            </w:r>
            <w:r>
              <w:t>.</w:t>
            </w:r>
          </w:p>
          <w:p w:rsidR="00DA11EE" w:rsidRDefault="00DA11EE" w:rsidP="00DA11EE">
            <w:pPr>
              <w:pStyle w:val="TableBullet"/>
              <w:ind w:left="709" w:right="142"/>
            </w:pPr>
            <w:r w:rsidRPr="00AE558F">
              <w:t>If glucose ≥ 7.8 mmol/L to &lt; 11.0 mmol/L</w:t>
            </w:r>
            <w:r>
              <w:t>,</w:t>
            </w:r>
            <w:r w:rsidRPr="00AE558F">
              <w:t xml:space="preserve"> then arrange a 75 g, </w:t>
            </w:r>
            <w:r>
              <w:t>two</w:t>
            </w:r>
            <w:r w:rsidRPr="00AE558F">
              <w:t>-hour oral glucose tolerance test without delay</w:t>
            </w:r>
            <w:r>
              <w:t>.</w:t>
            </w:r>
          </w:p>
          <w:p w:rsidR="00DA11EE" w:rsidRPr="00AE558F" w:rsidRDefault="00DA11EE" w:rsidP="00DA11EE">
            <w:pPr>
              <w:pStyle w:val="TableText"/>
              <w:ind w:left="425" w:right="142"/>
              <w:rPr>
                <w:b/>
              </w:rPr>
            </w:pPr>
            <w:r>
              <w:t>Consider enrolment in the randomised trial of different diagnostic criteria.*</w:t>
            </w:r>
          </w:p>
        </w:tc>
        <w:tc>
          <w:tcPr>
            <w:tcW w:w="1707" w:type="pct"/>
            <w:tcBorders>
              <w:top w:val="nil"/>
              <w:left w:val="nil"/>
              <w:bottom w:val="single" w:sz="4" w:space="0" w:color="FFFFFF" w:themeColor="background1"/>
              <w:right w:val="nil"/>
            </w:tcBorders>
            <w:shd w:val="clear" w:color="auto" w:fill="DBE5F1"/>
          </w:tcPr>
          <w:p w:rsidR="00DA11EE" w:rsidRPr="00AE558F" w:rsidRDefault="00DA11EE" w:rsidP="00DA11EE">
            <w:pPr>
              <w:pStyle w:val="TableText"/>
              <w:jc w:val="center"/>
            </w:pPr>
            <w:r>
              <w:t>GPP</w:t>
            </w:r>
          </w:p>
        </w:tc>
      </w:tr>
      <w:tr w:rsidR="00DA11EE" w:rsidRPr="00AE558F" w:rsidTr="00DA11EE">
        <w:trPr>
          <w:cantSplit/>
        </w:trPr>
        <w:tc>
          <w:tcPr>
            <w:tcW w:w="3293" w:type="pct"/>
            <w:tcBorders>
              <w:top w:val="single" w:sz="4" w:space="0" w:color="FFFFFF" w:themeColor="background1"/>
              <w:left w:val="nil"/>
              <w:bottom w:val="single" w:sz="4" w:space="0" w:color="FFFFFF" w:themeColor="background1"/>
              <w:right w:val="nil"/>
            </w:tcBorders>
            <w:shd w:val="clear" w:color="auto" w:fill="DBE5F1"/>
          </w:tcPr>
          <w:p w:rsidR="00DA11EE" w:rsidRPr="00AE558F" w:rsidRDefault="00DA11EE" w:rsidP="00521282">
            <w:pPr>
              <w:pStyle w:val="TableText"/>
              <w:ind w:left="425" w:right="142" w:hanging="425"/>
            </w:pPr>
            <w:r w:rsidRPr="00AE558F">
              <w:rPr>
                <w:lang w:eastAsia="en-NZ"/>
              </w:rPr>
              <w:t>5</w:t>
            </w:r>
            <w:r>
              <w:rPr>
                <w:lang w:eastAsia="en-NZ"/>
              </w:rPr>
              <w:tab/>
            </w:r>
            <w:r w:rsidRPr="00AE558F">
              <w:rPr>
                <w:lang w:eastAsia="en-NZ"/>
              </w:rPr>
              <w:t xml:space="preserve">If the fasting or </w:t>
            </w:r>
            <w:r>
              <w:rPr>
                <w:lang w:eastAsia="en-NZ"/>
              </w:rPr>
              <w:t>two-</w:t>
            </w:r>
            <w:r w:rsidRPr="00AE558F">
              <w:rPr>
                <w:lang w:eastAsia="en-NZ"/>
              </w:rPr>
              <w:t>hour values are borderline and there are risk factors for gestational diabetes</w:t>
            </w:r>
            <w:r>
              <w:rPr>
                <w:lang w:eastAsia="en-NZ"/>
              </w:rPr>
              <w:t>,</w:t>
            </w:r>
            <w:r w:rsidRPr="00AE558F">
              <w:rPr>
                <w:lang w:eastAsia="en-NZ"/>
              </w:rPr>
              <w:t xml:space="preserve"> consider self-monitoring of blood glucose levels weekly</w:t>
            </w:r>
            <w:r>
              <w:rPr>
                <w:lang w:eastAsia="en-NZ"/>
              </w:rPr>
              <w:t>.</w:t>
            </w:r>
          </w:p>
        </w:tc>
        <w:tc>
          <w:tcPr>
            <w:tcW w:w="1707" w:type="pct"/>
            <w:tcBorders>
              <w:top w:val="single" w:sz="4" w:space="0" w:color="FFFFFF" w:themeColor="background1"/>
              <w:left w:val="nil"/>
              <w:bottom w:val="single" w:sz="4" w:space="0" w:color="FFFFFF" w:themeColor="background1"/>
              <w:right w:val="nil"/>
            </w:tcBorders>
            <w:shd w:val="clear" w:color="auto" w:fill="DBE5F1"/>
          </w:tcPr>
          <w:p w:rsidR="00DA11EE" w:rsidRPr="00AE558F" w:rsidRDefault="00DA11EE" w:rsidP="00DA11EE">
            <w:pPr>
              <w:pStyle w:val="TableText"/>
              <w:jc w:val="center"/>
            </w:pPr>
            <w:r w:rsidRPr="00AE558F">
              <w:t>GPP</w:t>
            </w:r>
          </w:p>
        </w:tc>
      </w:tr>
      <w:tr w:rsidR="0025490C" w:rsidRPr="00AE558F" w:rsidTr="00521282">
        <w:trPr>
          <w:cantSplit/>
        </w:trPr>
        <w:tc>
          <w:tcPr>
            <w:tcW w:w="5000" w:type="pct"/>
            <w:gridSpan w:val="2"/>
            <w:tcBorders>
              <w:top w:val="single" w:sz="4" w:space="0" w:color="FFFFFF" w:themeColor="background1"/>
              <w:left w:val="nil"/>
              <w:right w:val="nil"/>
            </w:tcBorders>
            <w:shd w:val="clear" w:color="auto" w:fill="E5DFEC"/>
          </w:tcPr>
          <w:p w:rsidR="0025490C" w:rsidRPr="00AE558F" w:rsidRDefault="0025490C" w:rsidP="00521282">
            <w:pPr>
              <w:pStyle w:val="TableText"/>
              <w:rPr>
                <w:lang w:eastAsia="en-NZ"/>
              </w:rPr>
            </w:pPr>
            <w:r w:rsidRPr="00FF0F2C">
              <w:rPr>
                <w:b/>
                <w:lang w:eastAsia="en-NZ"/>
              </w:rPr>
              <w:t>Research recommendation:</w:t>
            </w:r>
            <w:r w:rsidRPr="00AE558F">
              <w:rPr>
                <w:lang w:eastAsia="en-NZ"/>
              </w:rPr>
              <w:t xml:space="preserve"> A randomised controlled trial that compares current </w:t>
            </w:r>
            <w:r>
              <w:rPr>
                <w:lang w:eastAsia="en-NZ"/>
              </w:rPr>
              <w:t xml:space="preserve">New Zealand </w:t>
            </w:r>
            <w:r w:rsidRPr="00AE558F">
              <w:rPr>
                <w:lang w:eastAsia="en-NZ"/>
              </w:rPr>
              <w:t xml:space="preserve">screening and diagnostic criteria with those proposed by the International Association of Diabetes </w:t>
            </w:r>
            <w:r>
              <w:rPr>
                <w:lang w:eastAsia="en-NZ"/>
              </w:rPr>
              <w:t>and</w:t>
            </w:r>
            <w:r w:rsidRPr="00AE558F">
              <w:rPr>
                <w:lang w:eastAsia="en-NZ"/>
              </w:rPr>
              <w:t xml:space="preserve"> Pregnancy Study Groups</w:t>
            </w:r>
            <w:r>
              <w:rPr>
                <w:lang w:eastAsia="en-NZ"/>
              </w:rPr>
              <w:t xml:space="preserve"> in terms of their impact</w:t>
            </w:r>
            <w:r w:rsidRPr="00AE558F">
              <w:rPr>
                <w:lang w:eastAsia="en-NZ"/>
              </w:rPr>
              <w:t xml:space="preserve"> on maternal and infant outcomes</w:t>
            </w:r>
            <w:r>
              <w:rPr>
                <w:lang w:eastAsia="en-NZ"/>
              </w:rPr>
              <w:t xml:space="preserve"> is required</w:t>
            </w:r>
            <w:r w:rsidRPr="00AE558F">
              <w:rPr>
                <w:lang w:eastAsia="en-NZ"/>
              </w:rPr>
              <w:t>.</w:t>
            </w:r>
          </w:p>
        </w:tc>
      </w:tr>
    </w:tbl>
    <w:p w:rsidR="0025490C" w:rsidRPr="00FF0F2C" w:rsidRDefault="0025490C" w:rsidP="00521282">
      <w:pPr>
        <w:pStyle w:val="Note"/>
      </w:pPr>
      <w:r w:rsidRPr="00FF0F2C">
        <w:t>*</w:t>
      </w:r>
      <w:r w:rsidR="00521282">
        <w:tab/>
      </w:r>
      <w:r w:rsidRPr="00FF0F2C">
        <w:t xml:space="preserve">For further details of the New Zealand GEMS Trial contact </w:t>
      </w:r>
      <w:hyperlink r:id="rId32" w:history="1">
        <w:r w:rsidRPr="003C7398">
          <w:rPr>
            <w:rStyle w:val="Hyperlink"/>
          </w:rPr>
          <w:t>gems@auckland.ac.nz</w:t>
        </w:r>
      </w:hyperlink>
      <w:r>
        <w:t xml:space="preserve"> or go to </w:t>
      </w:r>
      <w:hyperlink r:id="rId33" w:history="1">
        <w:r w:rsidRPr="0068074A">
          <w:rPr>
            <w:rStyle w:val="Hyperlink"/>
            <w:rFonts w:cs="Arial"/>
          </w:rPr>
          <w:t>www.ligginstrials.org/GEMS</w:t>
        </w:r>
      </w:hyperlink>
      <w:r w:rsidRPr="00A402CD">
        <w:rPr>
          <w:rFonts w:cs="Arial"/>
        </w:rPr>
        <w:t>.</w:t>
      </w:r>
    </w:p>
    <w:p w:rsidR="0025490C" w:rsidRPr="00E07B1B" w:rsidRDefault="0025490C" w:rsidP="00521282"/>
    <w:p w:rsidR="0025490C" w:rsidRPr="00E07B1B" w:rsidRDefault="0025490C" w:rsidP="00DA11EE">
      <w:pPr>
        <w:pStyle w:val="Heading1"/>
      </w:pPr>
      <w:r w:rsidRPr="00E07B1B">
        <w:br w:type="page"/>
      </w:r>
      <w:bookmarkStart w:id="121" w:name="_Toc363207309"/>
      <w:bookmarkStart w:id="122" w:name="_Toc402873541"/>
      <w:bookmarkStart w:id="123" w:name="_Toc403469623"/>
      <w:r w:rsidRPr="00E07B1B">
        <w:t>Chapter 4</w:t>
      </w:r>
      <w:r>
        <w:t>:</w:t>
      </w:r>
      <w:r w:rsidRPr="00E07B1B">
        <w:t xml:space="preserve"> Prevention of gestational diabetes</w:t>
      </w:r>
      <w:bookmarkEnd w:id="121"/>
      <w:bookmarkEnd w:id="122"/>
      <w:bookmarkEnd w:id="123"/>
    </w:p>
    <w:p w:rsidR="0025490C" w:rsidRPr="00E07B1B" w:rsidRDefault="0025490C" w:rsidP="00DA11EE">
      <w:pPr>
        <w:pStyle w:val="Heading2"/>
      </w:pPr>
      <w:bookmarkStart w:id="124" w:name="_Toc363207310"/>
      <w:bookmarkStart w:id="125" w:name="_Toc402873542"/>
      <w:bookmarkStart w:id="126" w:name="_Toc403469624"/>
      <w:r w:rsidRPr="00E07B1B">
        <w:t>4.1</w:t>
      </w:r>
      <w:r w:rsidR="00DA11EE">
        <w:tab/>
      </w:r>
      <w:r w:rsidRPr="00E07B1B">
        <w:t>Background</w:t>
      </w:r>
      <w:bookmarkEnd w:id="124"/>
      <w:bookmarkEnd w:id="125"/>
      <w:bookmarkEnd w:id="126"/>
    </w:p>
    <w:p w:rsidR="0025490C" w:rsidRDefault="0025490C" w:rsidP="00DA11EE">
      <w:r>
        <w:t>The Guideline Development Team</w:t>
      </w:r>
      <w:r w:rsidRPr="00E07B1B">
        <w:t xml:space="preserve"> examined the evidence for the primary prevention of gestational diabetes</w:t>
      </w:r>
      <w:r>
        <w:t>. Its scope</w:t>
      </w:r>
      <w:r w:rsidRPr="00E07B1B">
        <w:t xml:space="preserve"> included dietary counselling, exercise program</w:t>
      </w:r>
      <w:r>
        <w:t>me</w:t>
      </w:r>
      <w:r w:rsidRPr="00E07B1B">
        <w:t>s, and program</w:t>
      </w:r>
      <w:r>
        <w:t>me</w:t>
      </w:r>
      <w:r w:rsidRPr="00E07B1B">
        <w:t>s that combine dietary and exercise interventions.</w:t>
      </w:r>
    </w:p>
    <w:p w:rsidR="0025490C" w:rsidRPr="00E07B1B" w:rsidRDefault="0025490C" w:rsidP="00DA11EE"/>
    <w:p w:rsidR="0025490C" w:rsidRDefault="0025490C" w:rsidP="00DA11EE">
      <w:pPr>
        <w:rPr>
          <w:bCs/>
        </w:rPr>
      </w:pPr>
      <w:r w:rsidRPr="00E07B1B">
        <w:t>Historically, exercise and weight loss during pregnancy ha</w:t>
      </w:r>
      <w:r>
        <w:t>ve</w:t>
      </w:r>
      <w:r w:rsidRPr="00E07B1B">
        <w:t xml:space="preserve"> been discouraged due to concerns </w:t>
      </w:r>
      <w:r>
        <w:t>that</w:t>
      </w:r>
      <w:r w:rsidRPr="00E07B1B">
        <w:t xml:space="preserve"> exercise-induced</w:t>
      </w:r>
      <w:r>
        <w:t xml:space="preserve"> </w:t>
      </w:r>
      <w:r w:rsidRPr="00E07B1B">
        <w:t xml:space="preserve">injury </w:t>
      </w:r>
      <w:r>
        <w:t xml:space="preserve">would have </w:t>
      </w:r>
      <w:r w:rsidRPr="00E07B1B">
        <w:t xml:space="preserve">adverse fetal and maternal outcomes (Han </w:t>
      </w:r>
      <w:r w:rsidR="00D562F2">
        <w:t>et al</w:t>
      </w:r>
      <w:r w:rsidRPr="00E07B1B">
        <w:t xml:space="preserve"> 2012). </w:t>
      </w:r>
      <w:r w:rsidRPr="00E07B1B">
        <w:rPr>
          <w:bCs/>
        </w:rPr>
        <w:t xml:space="preserve">A recent health technology assessment report from the United Kingdom found no evidence of significant adverse effects from exercise in pregnancy (Thangaratinam </w:t>
      </w:r>
      <w:r w:rsidR="00D562F2">
        <w:rPr>
          <w:bCs/>
        </w:rPr>
        <w:t>et al</w:t>
      </w:r>
      <w:r w:rsidRPr="00E07B1B">
        <w:rPr>
          <w:bCs/>
        </w:rPr>
        <w:t xml:space="preserve"> 2012).</w:t>
      </w:r>
    </w:p>
    <w:p w:rsidR="0025490C" w:rsidRPr="00E07B1B" w:rsidRDefault="0025490C" w:rsidP="00DA11EE"/>
    <w:p w:rsidR="0025490C" w:rsidRPr="00E07B1B" w:rsidRDefault="0025490C" w:rsidP="00DA11EE">
      <w:pPr>
        <w:pStyle w:val="Heading2"/>
      </w:pPr>
      <w:bookmarkStart w:id="127" w:name="_Toc363207311"/>
      <w:bookmarkStart w:id="128" w:name="_Toc402873543"/>
      <w:bookmarkStart w:id="129" w:name="_Toc403469625"/>
      <w:r w:rsidRPr="00E07B1B">
        <w:t>4.2</w:t>
      </w:r>
      <w:bookmarkStart w:id="130" w:name="_Toc363207312"/>
      <w:bookmarkEnd w:id="127"/>
      <w:r w:rsidR="00DA11EE">
        <w:tab/>
      </w:r>
      <w:r w:rsidRPr="00E07B1B">
        <w:t>Dietary interventions alone</w:t>
      </w:r>
      <w:bookmarkEnd w:id="128"/>
      <w:bookmarkEnd w:id="129"/>
      <w:bookmarkEnd w:id="130"/>
    </w:p>
    <w:p w:rsidR="0068074A" w:rsidRDefault="0025490C" w:rsidP="00DA11EE">
      <w:r w:rsidRPr="00E07B1B">
        <w:t>Two systematic reviews of dietary interventions were identified</w:t>
      </w:r>
      <w:r>
        <w:t>, which together covered</w:t>
      </w:r>
      <w:r w:rsidRPr="00E07B1B">
        <w:t xml:space="preserve"> seven randomised controlled trials </w:t>
      </w:r>
      <w:r>
        <w:t>and</w:t>
      </w:r>
      <w:r w:rsidRPr="00E07B1B">
        <w:t xml:space="preserve"> 813 women (Tieu </w:t>
      </w:r>
      <w:r w:rsidR="00D562F2">
        <w:t>et al</w:t>
      </w:r>
      <w:r w:rsidRPr="00E07B1B">
        <w:t xml:space="preserve"> 2008; Oostdam </w:t>
      </w:r>
      <w:r w:rsidR="00D562F2">
        <w:t>et al</w:t>
      </w:r>
      <w:r w:rsidRPr="00E07B1B">
        <w:t xml:space="preserve"> 2011</w:t>
      </w:r>
      <w:r>
        <w:t>; r</w:t>
      </w:r>
      <w:r w:rsidRPr="00E07B1B">
        <w:t>efer to Appendix J, Table 24</w:t>
      </w:r>
      <w:r>
        <w:t>)</w:t>
      </w:r>
      <w:r w:rsidRPr="00E07B1B">
        <w:t>. Systematic review evidence advises reduc</w:t>
      </w:r>
      <w:r>
        <w:t>ing</w:t>
      </w:r>
      <w:r w:rsidRPr="00E07B1B">
        <w:t xml:space="preserve"> energy intake or weight gain but is based on heterogeneous populations with varying levels of risk for gestational diabetes and different methods for screening and diagnosis of gestational diabetes. Dietary counselling is more effective than usual care in reducing the risk of gestational diabetes (Oostdam </w:t>
      </w:r>
      <w:r w:rsidR="00D562F2">
        <w:t>et al</w:t>
      </w:r>
      <w:r w:rsidRPr="00E07B1B">
        <w:t xml:space="preserve"> 2011).</w:t>
      </w:r>
    </w:p>
    <w:p w:rsidR="0025490C" w:rsidRPr="00E07B1B" w:rsidRDefault="0025490C" w:rsidP="00DA11EE"/>
    <w:p w:rsidR="0025490C" w:rsidRDefault="0025490C" w:rsidP="00DA11EE">
      <w:r w:rsidRPr="00E07B1B">
        <w:t>A randomised controlled trial examined the effectiveness of a single (two</w:t>
      </w:r>
      <w:r>
        <w:t>-</w:t>
      </w:r>
      <w:r w:rsidRPr="00E07B1B">
        <w:t>hour) dietary education session in early pregnancy (&lt;</w:t>
      </w:r>
      <w:r>
        <w:t xml:space="preserve"> </w:t>
      </w:r>
      <w:r w:rsidRPr="00E07B1B">
        <w:t>20 weeks)</w:t>
      </w:r>
      <w:r>
        <w:t>,</w:t>
      </w:r>
      <w:r w:rsidRPr="00E07B1B">
        <w:t xml:space="preserve"> led by a research dietician</w:t>
      </w:r>
      <w:r>
        <w:t>,</w:t>
      </w:r>
      <w:r w:rsidRPr="00E07B1B">
        <w:t xml:space="preserve"> and follow-up sessions at 28 and 34 weeks</w:t>
      </w:r>
      <w:r w:rsidR="0068074A">
        <w:t>’</w:t>
      </w:r>
      <w:r w:rsidRPr="00E07B1B">
        <w:t xml:space="preserve"> gestation compared with routine antenatal care. There was no statistical difference between the groups in the incidence of diabetes. A formal glucose tolerance test was not carried out on all participants which may have limited the number of cases diagnosed (Walsh </w:t>
      </w:r>
      <w:r w:rsidR="00D562F2">
        <w:t>et al</w:t>
      </w:r>
      <w:r w:rsidRPr="00E07B1B">
        <w:t xml:space="preserve"> 2012).</w:t>
      </w:r>
    </w:p>
    <w:p w:rsidR="0025490C" w:rsidRPr="00E07B1B" w:rsidRDefault="0025490C" w:rsidP="00DA11EE"/>
    <w:p w:rsidR="0025490C" w:rsidRDefault="0025490C" w:rsidP="00DA11EE">
      <w:r w:rsidRPr="00E07B1B">
        <w:t xml:space="preserve">Another randomised controlled trial </w:t>
      </w:r>
      <w:r>
        <w:t>comparing</w:t>
      </w:r>
      <w:r w:rsidRPr="00E07B1B">
        <w:t xml:space="preserve"> a multidisciplinary approach (maternity carer, dietary advice, clinical psychologist) to the management of obese pregnant women with routine antenatal care (</w:t>
      </w:r>
      <w:r w:rsidRPr="00C45255">
        <w:rPr>
          <w:i/>
        </w:rPr>
        <w:t>n</w:t>
      </w:r>
      <w:r>
        <w:t xml:space="preserve"> </w:t>
      </w:r>
      <w:r w:rsidRPr="00E07B1B">
        <w:t>=</w:t>
      </w:r>
      <w:r>
        <w:t xml:space="preserve"> </w:t>
      </w:r>
      <w:r w:rsidRPr="00E07B1B">
        <w:t>124) found a significant reduction in the incidence of gestational diabetes (6% versus 29%</w:t>
      </w:r>
      <w:r>
        <w:t xml:space="preserve"> respectively</w:t>
      </w:r>
      <w:r w:rsidRPr="00E07B1B">
        <w:t xml:space="preserve">, </w:t>
      </w:r>
      <w:r w:rsidRPr="00C45255">
        <w:rPr>
          <w:i/>
        </w:rPr>
        <w:t>p</w:t>
      </w:r>
      <w:r w:rsidRPr="00E07B1B">
        <w:t xml:space="preserve"> = 0.04) (Quinlivan</w:t>
      </w:r>
      <w:r>
        <w:t xml:space="preserve"> </w:t>
      </w:r>
      <w:r w:rsidR="00D562F2">
        <w:t>et al</w:t>
      </w:r>
      <w:r>
        <w:t xml:space="preserve"> </w:t>
      </w:r>
      <w:r w:rsidRPr="00E07B1B">
        <w:t>2011).</w:t>
      </w:r>
    </w:p>
    <w:p w:rsidR="0025490C" w:rsidRPr="00E07B1B" w:rsidRDefault="0025490C" w:rsidP="00DA11EE"/>
    <w:p w:rsidR="0025490C" w:rsidRDefault="0025490C" w:rsidP="00DA11EE">
      <w:r w:rsidRPr="00E07B1B">
        <w:t>A systematic review identified three trials (</w:t>
      </w:r>
      <w:r w:rsidRPr="00C45255">
        <w:rPr>
          <w:i/>
        </w:rPr>
        <w:t>n</w:t>
      </w:r>
      <w:r>
        <w:t xml:space="preserve"> </w:t>
      </w:r>
      <w:r w:rsidRPr="00E07B1B">
        <w:t>=</w:t>
      </w:r>
      <w:r>
        <w:t xml:space="preserve"> </w:t>
      </w:r>
      <w:r w:rsidRPr="00E07B1B">
        <w:t xml:space="preserve">127 women) of a high versus low glycaemic index diet (Oostdam </w:t>
      </w:r>
      <w:r w:rsidR="00D562F2">
        <w:t>et al</w:t>
      </w:r>
      <w:r w:rsidRPr="00E07B1B">
        <w:t xml:space="preserve"> 2011). In all studies, the participants started the dietary intervention in the first half of their pregnancy and continued until 36 weeks</w:t>
      </w:r>
      <w:r w:rsidR="0068074A">
        <w:t>’</w:t>
      </w:r>
      <w:r w:rsidRPr="00E07B1B">
        <w:t xml:space="preserve"> gestation. A low glycaemic index diet is more effective than a high glycaemic index diet in reducing the risk of having a large for gestational age infant (Oostdam </w:t>
      </w:r>
      <w:r w:rsidR="00D562F2">
        <w:t>et al</w:t>
      </w:r>
      <w:r w:rsidRPr="00E07B1B">
        <w:t xml:space="preserve"> 2011).</w:t>
      </w:r>
    </w:p>
    <w:p w:rsidR="0025490C" w:rsidRPr="00E07B1B" w:rsidRDefault="0025490C" w:rsidP="00DA11EE"/>
    <w:p w:rsidR="0025490C" w:rsidRPr="00E07B1B" w:rsidRDefault="0025490C" w:rsidP="00DA11EE">
      <w:pPr>
        <w:pStyle w:val="Heading2"/>
      </w:pPr>
      <w:bookmarkStart w:id="131" w:name="_Toc363207313"/>
      <w:bookmarkStart w:id="132" w:name="_Toc402873544"/>
      <w:bookmarkStart w:id="133" w:name="_Toc403469626"/>
      <w:r w:rsidRPr="00E07B1B">
        <w:t>4.3</w:t>
      </w:r>
      <w:r w:rsidR="00DA11EE">
        <w:tab/>
      </w:r>
      <w:r w:rsidRPr="00E07B1B">
        <w:t>Exercise interventions alone</w:t>
      </w:r>
      <w:bookmarkEnd w:id="131"/>
      <w:bookmarkEnd w:id="132"/>
      <w:bookmarkEnd w:id="133"/>
    </w:p>
    <w:p w:rsidR="0025490C" w:rsidRDefault="0025490C" w:rsidP="00DA11EE">
      <w:pPr>
        <w:keepLines/>
      </w:pPr>
      <w:r w:rsidRPr="00E07B1B">
        <w:t xml:space="preserve">Two systematic reviews were identified (Oostdam </w:t>
      </w:r>
      <w:r w:rsidR="00D562F2">
        <w:t>et al</w:t>
      </w:r>
      <w:r w:rsidRPr="00E07B1B">
        <w:t xml:space="preserve"> 2011; Han </w:t>
      </w:r>
      <w:r w:rsidR="00D562F2">
        <w:t>et al</w:t>
      </w:r>
      <w:r w:rsidRPr="00E07B1B">
        <w:t xml:space="preserve"> 2012). Interventions included exercise training programmes of varying durations (Oostdam </w:t>
      </w:r>
      <w:r w:rsidR="00D562F2">
        <w:t>et al</w:t>
      </w:r>
      <w:r w:rsidRPr="00E07B1B">
        <w:t xml:space="preserve"> 2011) and any types of exercise and lifestyle management such as exercise advice or providing exercise sessions for pregnant women for the prevention of gestational diabetes before screening tests (Han </w:t>
      </w:r>
      <w:r w:rsidR="00D562F2">
        <w:t>et al</w:t>
      </w:r>
      <w:r w:rsidRPr="00E07B1B">
        <w:t xml:space="preserve"> 2012). Neither review found a significant difference in the gestational diabetes incidence between women receiving additional exercise intervention and those having routine antenatal care. Refer to Appendix J, Table 25.</w:t>
      </w:r>
    </w:p>
    <w:p w:rsidR="0025490C" w:rsidRPr="00E07B1B" w:rsidRDefault="0025490C" w:rsidP="00DA11EE"/>
    <w:p w:rsidR="0025490C" w:rsidRDefault="0025490C" w:rsidP="00DA11EE">
      <w:r w:rsidRPr="00E07B1B">
        <w:t>A single</w:t>
      </w:r>
      <w:r>
        <w:t>-</w:t>
      </w:r>
      <w:r w:rsidRPr="00E07B1B">
        <w:t>centre randomised controlled trial (</w:t>
      </w:r>
      <w:r w:rsidRPr="00C45255">
        <w:rPr>
          <w:i/>
        </w:rPr>
        <w:t>n</w:t>
      </w:r>
      <w:r>
        <w:t xml:space="preserve"> </w:t>
      </w:r>
      <w:r w:rsidRPr="00E07B1B">
        <w:t>=</w:t>
      </w:r>
      <w:r>
        <w:t xml:space="preserve"> </w:t>
      </w:r>
      <w:r w:rsidRPr="00E07B1B">
        <w:t>510 women) recruited sedentary (not exercising &gt;</w:t>
      </w:r>
      <w:r w:rsidR="00DA11EE">
        <w:t> </w:t>
      </w:r>
      <w:r w:rsidRPr="00E07B1B">
        <w:t>20 min</w:t>
      </w:r>
      <w:r>
        <w:t>utes</w:t>
      </w:r>
      <w:r w:rsidRPr="00E07B1B">
        <w:t xml:space="preserve"> on &gt; 3 days/week) women with an uncomplicated singleton pregnancy </w:t>
      </w:r>
      <w:r>
        <w:t>who were</w:t>
      </w:r>
      <w:r w:rsidRPr="00E07B1B">
        <w:t xml:space="preserve"> not at risk for preterm </w:t>
      </w:r>
      <w:r>
        <w:t>birth</w:t>
      </w:r>
      <w:r w:rsidRPr="00E07B1B">
        <w:t xml:space="preserve"> (Barakat </w:t>
      </w:r>
      <w:r w:rsidR="00D562F2">
        <w:t>et al</w:t>
      </w:r>
      <w:r w:rsidRPr="00E07B1B">
        <w:t xml:space="preserve"> 2013). A moderate</w:t>
      </w:r>
      <w:r>
        <w:t>-</w:t>
      </w:r>
      <w:r w:rsidRPr="00E07B1B">
        <w:t>intensity training</w:t>
      </w:r>
      <w:r>
        <w:t xml:space="preserve"> programme, consisting</w:t>
      </w:r>
      <w:r w:rsidRPr="00E07B1B">
        <w:t xml:space="preserve"> </w:t>
      </w:r>
      <w:r>
        <w:t>of three</w:t>
      </w:r>
      <w:r w:rsidRPr="00E07B1B">
        <w:t xml:space="preserve"> days per week in </w:t>
      </w:r>
      <w:r>
        <w:t xml:space="preserve">sessions of </w:t>
      </w:r>
      <w:r w:rsidRPr="00E07B1B">
        <w:t>50</w:t>
      </w:r>
      <w:r>
        <w:t>–</w:t>
      </w:r>
      <w:r w:rsidRPr="00E07B1B">
        <w:t>55 minute</w:t>
      </w:r>
      <w:r>
        <w:t>s each</w:t>
      </w:r>
      <w:r w:rsidRPr="00E07B1B">
        <w:t xml:space="preserve"> from weeks 10</w:t>
      </w:r>
      <w:r>
        <w:t>–</w:t>
      </w:r>
      <w:r w:rsidRPr="00E07B1B">
        <w:t>12 of pregnancy through to the end of the third trimester (weeks 38</w:t>
      </w:r>
      <w:r>
        <w:t>–</w:t>
      </w:r>
      <w:r w:rsidRPr="00E07B1B">
        <w:t>39)</w:t>
      </w:r>
      <w:r>
        <w:t>,</w:t>
      </w:r>
      <w:r w:rsidRPr="00E07B1B">
        <w:t xml:space="preserve"> was compared with usual care including general advice about the benefits of exercise during pregnancy. The intervention did not reduce the risk of developing gestational diabetes. Refer to Appendix J, Table 25.</w:t>
      </w:r>
    </w:p>
    <w:p w:rsidR="0025490C" w:rsidRPr="00E07B1B" w:rsidRDefault="0025490C" w:rsidP="00DA11EE"/>
    <w:p w:rsidR="0025490C" w:rsidRDefault="0025490C" w:rsidP="00DA11EE">
      <w:r w:rsidRPr="00E07B1B">
        <w:t xml:space="preserve">No evidence on the </w:t>
      </w:r>
      <w:r>
        <w:t>impact of exercise on</w:t>
      </w:r>
      <w:r w:rsidRPr="00E07B1B">
        <w:t xml:space="preserve"> large for gestational age was identified.</w:t>
      </w:r>
    </w:p>
    <w:p w:rsidR="0025490C" w:rsidRPr="00E07B1B" w:rsidRDefault="0025490C" w:rsidP="00DA11EE"/>
    <w:p w:rsidR="0025490C" w:rsidRPr="00E07B1B" w:rsidRDefault="0025490C" w:rsidP="00DA11EE">
      <w:pPr>
        <w:pStyle w:val="Heading2"/>
      </w:pPr>
      <w:bookmarkStart w:id="134" w:name="_Toc363207314"/>
      <w:bookmarkStart w:id="135" w:name="_Toc402873545"/>
      <w:bookmarkStart w:id="136" w:name="_Toc403469627"/>
      <w:r w:rsidRPr="00E07B1B">
        <w:t>4.</w:t>
      </w:r>
      <w:r>
        <w:t>4</w:t>
      </w:r>
      <w:r w:rsidR="00DA11EE">
        <w:tab/>
      </w:r>
      <w:r w:rsidRPr="00E07B1B">
        <w:t xml:space="preserve">Combined dietary and exercise interventions and </w:t>
      </w:r>
      <w:r w:rsidRPr="00E07B1B">
        <w:rPr>
          <w:szCs w:val="24"/>
          <w:lang w:eastAsia="ja-JP"/>
        </w:rPr>
        <w:t>gestational diabetes</w:t>
      </w:r>
      <w:r w:rsidRPr="00E07B1B">
        <w:t xml:space="preserve"> diagnosis</w:t>
      </w:r>
      <w:bookmarkEnd w:id="134"/>
      <w:bookmarkEnd w:id="135"/>
      <w:bookmarkEnd w:id="136"/>
    </w:p>
    <w:p w:rsidR="0025490C" w:rsidRDefault="0025490C" w:rsidP="00DA11EE">
      <w:r w:rsidRPr="00E07B1B">
        <w:t xml:space="preserve">Five randomised controlled trials of combined dietary and exercise interventions were identified. Refer to Appendix J, Table 26. The four randomised controlled trials found no statistically significant difference between intervention and control groups in the diagnosis of gestational diabetes (Korpi-Hyovalti </w:t>
      </w:r>
      <w:r w:rsidR="00D562F2">
        <w:t>et al</w:t>
      </w:r>
      <w:r w:rsidRPr="00E07B1B">
        <w:t xml:space="preserve"> 2011; Phelan </w:t>
      </w:r>
      <w:r w:rsidR="00D562F2">
        <w:t>et al</w:t>
      </w:r>
      <w:r w:rsidRPr="00E07B1B">
        <w:t xml:space="preserve"> 2011</w:t>
      </w:r>
      <w:r>
        <w:t>;</w:t>
      </w:r>
      <w:r w:rsidRPr="00725327">
        <w:t xml:space="preserve"> </w:t>
      </w:r>
      <w:r w:rsidRPr="00E07B1B">
        <w:t xml:space="preserve">Vinter </w:t>
      </w:r>
      <w:r w:rsidR="00D562F2">
        <w:t>et al</w:t>
      </w:r>
      <w:r w:rsidRPr="00E07B1B">
        <w:t xml:space="preserve"> 2011; Hui </w:t>
      </w:r>
      <w:r w:rsidR="00D562F2">
        <w:t>et al</w:t>
      </w:r>
      <w:r w:rsidRPr="00E07B1B">
        <w:t xml:space="preserve"> 2012).</w:t>
      </w:r>
    </w:p>
    <w:p w:rsidR="0025490C" w:rsidRPr="00E07B1B" w:rsidRDefault="0025490C" w:rsidP="00DA11EE"/>
    <w:p w:rsidR="0068074A" w:rsidRDefault="0025490C" w:rsidP="00DA11EE">
      <w:r w:rsidRPr="00E07B1B">
        <w:t>A multicentr</w:t>
      </w:r>
      <w:r w:rsidR="00DA11EE">
        <w:t>e</w:t>
      </w:r>
      <w:r w:rsidRPr="00E07B1B">
        <w:t xml:space="preserve"> cluster randomised controlled trial of a combined dietary and exercise intervention was identified (Luoto </w:t>
      </w:r>
      <w:r w:rsidR="00D562F2">
        <w:t>et al</w:t>
      </w:r>
      <w:r w:rsidRPr="00E07B1B">
        <w:t xml:space="preserve"> 2011). The participants of the trial (</w:t>
      </w:r>
      <w:r w:rsidRPr="00C45255">
        <w:rPr>
          <w:i/>
        </w:rPr>
        <w:t>n</w:t>
      </w:r>
      <w:r>
        <w:t xml:space="preserve"> </w:t>
      </w:r>
      <w:r w:rsidRPr="00E07B1B">
        <w:t>=</w:t>
      </w:r>
      <w:r>
        <w:t xml:space="preserve"> </w:t>
      </w:r>
      <w:r w:rsidRPr="00E07B1B">
        <w:t>399 women) had a normal blood glucose level at 8</w:t>
      </w:r>
      <w:r>
        <w:t>–</w:t>
      </w:r>
      <w:r w:rsidRPr="00E07B1B">
        <w:t xml:space="preserve">12 weeks gestation but at least one risk factor for gestational diabetes. The trial found a significant reduction in the incidence of </w:t>
      </w:r>
      <w:r w:rsidRPr="00E07B1B">
        <w:rPr>
          <w:lang w:eastAsia="ja-JP"/>
        </w:rPr>
        <w:t>gestational diabetes</w:t>
      </w:r>
      <w:r w:rsidRPr="00E07B1B">
        <w:t xml:space="preserve"> (6% versus 29%</w:t>
      </w:r>
      <w:r>
        <w:t xml:space="preserve"> respectively</w:t>
      </w:r>
      <w:r w:rsidRPr="00E07B1B">
        <w:t xml:space="preserve">, </w:t>
      </w:r>
      <w:r w:rsidRPr="00C45255">
        <w:rPr>
          <w:i/>
        </w:rPr>
        <w:t>p</w:t>
      </w:r>
      <w:r w:rsidRPr="00E07B1B">
        <w:t xml:space="preserve"> = 0.04) (Luoto </w:t>
      </w:r>
      <w:r w:rsidR="00D562F2">
        <w:t>et al</w:t>
      </w:r>
      <w:r w:rsidRPr="00E07B1B">
        <w:t xml:space="preserve"> 2011). The proportion of large for gestational age infants was lower in the intervention than in the usual care group (12.1% versus 19.7% respectively, </w:t>
      </w:r>
      <w:r w:rsidRPr="00C45255">
        <w:rPr>
          <w:i/>
        </w:rPr>
        <w:t>p</w:t>
      </w:r>
      <w:r w:rsidRPr="00E07B1B">
        <w:t xml:space="preserve"> = 0.042) (Luoto </w:t>
      </w:r>
      <w:r w:rsidR="00D562F2">
        <w:t>et al</w:t>
      </w:r>
      <w:r w:rsidRPr="00E07B1B">
        <w:t xml:space="preserve"> 2011).</w:t>
      </w:r>
    </w:p>
    <w:p w:rsidR="00DA11EE" w:rsidRDefault="00DA11EE" w:rsidP="00DA11EE"/>
    <w:p w:rsidR="00DA11EE" w:rsidRPr="00C45255" w:rsidRDefault="00DA11EE" w:rsidP="00DA11EE">
      <w:pPr>
        <w:pStyle w:val="BoxHeading"/>
      </w:pPr>
      <w:r w:rsidRPr="00C45255">
        <w:t>Key points</w:t>
      </w:r>
    </w:p>
    <w:p w:rsidR="00DA11EE" w:rsidRDefault="00DA11EE" w:rsidP="00DA11EE">
      <w:pPr>
        <w:pStyle w:val="BoxBullet"/>
      </w:pPr>
      <w:r>
        <w:t>Exercise alone does not appear to be effective in preventing gestational diabetes.</w:t>
      </w:r>
    </w:p>
    <w:p w:rsidR="00DA11EE" w:rsidRDefault="00DA11EE" w:rsidP="00DA11EE">
      <w:pPr>
        <w:pStyle w:val="BoxBullet"/>
      </w:pPr>
      <w:r>
        <w:t>Lifestyle interventions may help to reduce the incidence of large for gestational infants.</w:t>
      </w:r>
    </w:p>
    <w:p w:rsidR="00DA11EE" w:rsidRDefault="00DA11EE" w:rsidP="00DA11EE"/>
    <w:p w:rsidR="0025490C" w:rsidRPr="00E07B1B" w:rsidRDefault="0025490C" w:rsidP="00DA11EE">
      <w:pPr>
        <w:pStyle w:val="Heading2"/>
      </w:pPr>
      <w:bookmarkStart w:id="137" w:name="_Toc363207315"/>
      <w:bookmarkStart w:id="138" w:name="_Toc402873546"/>
      <w:bookmarkStart w:id="139" w:name="_Toc403469628"/>
      <w:r w:rsidRPr="00E07B1B">
        <w:t>4.</w:t>
      </w:r>
      <w:r>
        <w:t>5</w:t>
      </w:r>
      <w:r w:rsidR="00DA11EE">
        <w:tab/>
      </w:r>
      <w:r w:rsidRPr="00E07B1B">
        <w:t>Evidence to recommendations</w:t>
      </w:r>
      <w:bookmarkEnd w:id="137"/>
      <w:bookmarkEnd w:id="138"/>
      <w:bookmarkEnd w:id="139"/>
    </w:p>
    <w:p w:rsidR="0068074A" w:rsidRDefault="0025490C" w:rsidP="00DA11EE">
      <w:pPr>
        <w:keepNext/>
      </w:pPr>
      <w:r w:rsidRPr="00E07B1B">
        <w:t>In general the evidence was</w:t>
      </w:r>
      <w:r>
        <w:t xml:space="preserve"> of</w:t>
      </w:r>
      <w:r w:rsidRPr="00E07B1B">
        <w:t xml:space="preserve"> low quality. The available evidence on this topic will always be limited </w:t>
      </w:r>
      <w:r>
        <w:t>because</w:t>
      </w:r>
      <w:r w:rsidRPr="00E07B1B">
        <w:t xml:space="preserve"> the participants of these trials </w:t>
      </w:r>
      <w:r>
        <w:t>cannot</w:t>
      </w:r>
      <w:r w:rsidRPr="00E07B1B">
        <w:t xml:space="preserve"> be blinded from the lifestyle intervention.</w:t>
      </w:r>
    </w:p>
    <w:p w:rsidR="0025490C" w:rsidRPr="00E07B1B" w:rsidRDefault="0025490C" w:rsidP="00DA11EE"/>
    <w:p w:rsidR="0068074A" w:rsidRDefault="0025490C" w:rsidP="00DA11EE">
      <w:r w:rsidRPr="00E07B1B">
        <w:t>Exercise alone does not appear to be an effective intervention. There is some limited evidence that dietary interventions are effective at reducing the risk of gestational diabetes and</w:t>
      </w:r>
      <w:r>
        <w:t xml:space="preserve"> having</w:t>
      </w:r>
      <w:r w:rsidRPr="00E07B1B">
        <w:t xml:space="preserve"> large for gestational age infants.</w:t>
      </w:r>
    </w:p>
    <w:p w:rsidR="0025490C" w:rsidRPr="00E07B1B" w:rsidRDefault="0025490C" w:rsidP="00DA11EE"/>
    <w:p w:rsidR="0068074A" w:rsidRDefault="0025490C" w:rsidP="00DA11EE">
      <w:pPr>
        <w:rPr>
          <w:bCs/>
        </w:rPr>
      </w:pPr>
      <w:r w:rsidRPr="00E07B1B">
        <w:rPr>
          <w:bCs/>
        </w:rPr>
        <w:t xml:space="preserve">Combined dietary and exercise interventions did not appear to be effective in reducing the incidence of gestational diabetes. </w:t>
      </w:r>
      <w:r w:rsidRPr="00E07B1B">
        <w:t xml:space="preserve">The evidence for lifestyle interventions reducing the risk of a woman having a large for gestational age infant is limited in quality and volume but shows </w:t>
      </w:r>
      <w:r>
        <w:t xml:space="preserve">such interventions may have </w:t>
      </w:r>
      <w:r w:rsidRPr="00E07B1B">
        <w:t>some benefit.</w:t>
      </w:r>
    </w:p>
    <w:p w:rsidR="0025490C" w:rsidRPr="00E07B1B" w:rsidRDefault="0025490C" w:rsidP="00DA11EE"/>
    <w:p w:rsidR="0025490C" w:rsidRPr="00E07B1B" w:rsidRDefault="0025490C" w:rsidP="00DA11EE">
      <w:r w:rsidRPr="00E07B1B">
        <w:t xml:space="preserve">The Guideline Development Team evaluated the evidence and decided that all pregnant women should be encouraged to maintain a healthy lifestyle throughout their whole pregnancy. This should be done through advice on a healthy, balanced diet and being physically active according to current Ministry of Health guidelines. Limiting excessive weight gain was viewed as an important factor and the Guideline Development Team therefore felt that routine monitoring of maternal weight </w:t>
      </w:r>
      <w:r>
        <w:t>is</w:t>
      </w:r>
      <w:r w:rsidRPr="00E07B1B">
        <w:t xml:space="preserve"> of high importance. The Ministry of Health provides guidelines on weight gain during pregnancy that should be used alongside good clinical judgement and should include discussion between the woman and her care provider about diet and exercise (</w:t>
      </w:r>
      <w:r>
        <w:t>Ministry of Health 2014</w:t>
      </w:r>
      <w:r w:rsidRPr="00E07B1B">
        <w:t xml:space="preserve">). The </w:t>
      </w:r>
      <w:r>
        <w:t>G</w:t>
      </w:r>
      <w:r w:rsidRPr="00E07B1B">
        <w:t xml:space="preserve">uideline </w:t>
      </w:r>
      <w:r>
        <w:t>D</w:t>
      </w:r>
      <w:r w:rsidRPr="00E07B1B">
        <w:t xml:space="preserve">evelopment </w:t>
      </w:r>
      <w:r>
        <w:t>T</w:t>
      </w:r>
      <w:r w:rsidRPr="00E07B1B">
        <w:t>eam acknowledge</w:t>
      </w:r>
      <w:r>
        <w:t>s</w:t>
      </w:r>
      <w:r w:rsidRPr="00E07B1B">
        <w:t xml:space="preserve"> the potential</w:t>
      </w:r>
      <w:r>
        <w:t>ly beneficial</w:t>
      </w:r>
      <w:r w:rsidRPr="00E07B1B">
        <w:t xml:space="preserve"> role of </w:t>
      </w:r>
      <w:r>
        <w:t>g</w:t>
      </w:r>
      <w:r w:rsidRPr="00E07B1B">
        <w:t xml:space="preserve">reen </w:t>
      </w:r>
      <w:r>
        <w:t>p</w:t>
      </w:r>
      <w:r w:rsidRPr="00E07B1B">
        <w:t>rescriptions for women at high risk.</w:t>
      </w:r>
    </w:p>
    <w:p w:rsidR="0025490C" w:rsidRPr="00E07B1B" w:rsidRDefault="0025490C" w:rsidP="00DA11EE"/>
    <w:tbl>
      <w:tblPr>
        <w:tblW w:w="4940" w:type="pct"/>
        <w:tblInd w:w="57" w:type="dxa"/>
        <w:tblLayout w:type="fixed"/>
        <w:tblCellMar>
          <w:left w:w="57" w:type="dxa"/>
          <w:right w:w="57" w:type="dxa"/>
        </w:tblCellMar>
        <w:tblLook w:val="00A0" w:firstRow="1" w:lastRow="0" w:firstColumn="1" w:lastColumn="0" w:noHBand="0" w:noVBand="0"/>
      </w:tblPr>
      <w:tblGrid>
        <w:gridCol w:w="6238"/>
        <w:gridCol w:w="3117"/>
      </w:tblGrid>
      <w:tr w:rsidR="0025490C" w:rsidRPr="00DA11EE" w:rsidTr="00DA11EE">
        <w:trPr>
          <w:cantSplit/>
        </w:trPr>
        <w:tc>
          <w:tcPr>
            <w:tcW w:w="3334" w:type="pct"/>
            <w:tcBorders>
              <w:top w:val="single" w:sz="4" w:space="0" w:color="auto"/>
              <w:bottom w:val="single" w:sz="4" w:space="0" w:color="auto"/>
            </w:tcBorders>
            <w:shd w:val="clear" w:color="auto" w:fill="F7F9FB"/>
          </w:tcPr>
          <w:p w:rsidR="0025490C" w:rsidRPr="00DA11EE" w:rsidRDefault="00DA11EE" w:rsidP="00DA11EE">
            <w:pPr>
              <w:pStyle w:val="TableText"/>
              <w:rPr>
                <w:b/>
              </w:rPr>
            </w:pPr>
            <w:r w:rsidRPr="00DA11EE">
              <w:rPr>
                <w:b/>
              </w:rPr>
              <w:t>Recommendation</w:t>
            </w:r>
          </w:p>
        </w:tc>
        <w:tc>
          <w:tcPr>
            <w:tcW w:w="1666" w:type="pct"/>
            <w:tcBorders>
              <w:top w:val="single" w:sz="4" w:space="0" w:color="auto"/>
              <w:bottom w:val="single" w:sz="4" w:space="0" w:color="auto"/>
            </w:tcBorders>
            <w:shd w:val="clear" w:color="auto" w:fill="F7F9FB"/>
          </w:tcPr>
          <w:p w:rsidR="0025490C" w:rsidRPr="00DA11EE" w:rsidRDefault="0025490C" w:rsidP="00DA11EE">
            <w:pPr>
              <w:pStyle w:val="TableText"/>
              <w:jc w:val="center"/>
              <w:rPr>
                <w:b/>
              </w:rPr>
            </w:pPr>
            <w:r w:rsidRPr="00DA11EE">
              <w:rPr>
                <w:b/>
              </w:rPr>
              <w:t>Strength of recommendation or good practice point (GPP)</w:t>
            </w:r>
          </w:p>
        </w:tc>
      </w:tr>
      <w:tr w:rsidR="00DA11EE" w:rsidRPr="00E07B1B" w:rsidTr="00DA11EE">
        <w:trPr>
          <w:cantSplit/>
        </w:trPr>
        <w:tc>
          <w:tcPr>
            <w:tcW w:w="3334" w:type="pct"/>
            <w:tcBorders>
              <w:top w:val="single" w:sz="4" w:space="0" w:color="auto"/>
              <w:bottom w:val="single" w:sz="4" w:space="0" w:color="FFFFFF" w:themeColor="background1"/>
            </w:tcBorders>
            <w:shd w:val="clear" w:color="auto" w:fill="C6D9F1"/>
          </w:tcPr>
          <w:p w:rsidR="00DA11EE" w:rsidRPr="00E07B1B" w:rsidRDefault="00DA11EE" w:rsidP="00DA11EE">
            <w:pPr>
              <w:pStyle w:val="TableText"/>
              <w:ind w:left="425" w:right="142" w:hanging="425"/>
            </w:pPr>
            <w:r w:rsidRPr="00E07B1B">
              <w:t>6</w:t>
            </w:r>
            <w:r>
              <w:tab/>
            </w:r>
            <w:r w:rsidRPr="00E07B1B">
              <w:t xml:space="preserve">Encourage all women and their families to eat a balanced, healthy diet with appropriate calorie intake to prevent the onset of gestational diabetes prior to and during pregnancy. </w:t>
            </w:r>
            <w:r w:rsidRPr="00E07B1B">
              <w:rPr>
                <w:lang w:eastAsia="en-NZ"/>
              </w:rPr>
              <w:t>Discuss how they could make their diet healthier, taking account of their needs, preferences and individual circumstances</w:t>
            </w:r>
            <w:r>
              <w:rPr>
                <w:lang w:eastAsia="en-NZ"/>
              </w:rPr>
              <w:t>.</w:t>
            </w:r>
          </w:p>
        </w:tc>
        <w:tc>
          <w:tcPr>
            <w:tcW w:w="1666" w:type="pct"/>
            <w:tcBorders>
              <w:top w:val="single" w:sz="4" w:space="0" w:color="auto"/>
              <w:bottom w:val="single" w:sz="4" w:space="0" w:color="FFFFFF" w:themeColor="background1"/>
            </w:tcBorders>
            <w:shd w:val="clear" w:color="auto" w:fill="C6D9F1"/>
          </w:tcPr>
          <w:p w:rsidR="00DA11EE" w:rsidRPr="00E07B1B" w:rsidRDefault="00DA11EE" w:rsidP="00DA11EE">
            <w:pPr>
              <w:pStyle w:val="TableText"/>
              <w:jc w:val="center"/>
            </w:pPr>
            <w:r w:rsidRPr="00E07B1B">
              <w:t>CONDITIONAL</w:t>
            </w:r>
          </w:p>
        </w:tc>
      </w:tr>
      <w:tr w:rsidR="00DA11EE" w:rsidRPr="00E07B1B" w:rsidTr="00DA11EE">
        <w:trPr>
          <w:cantSplit/>
        </w:trPr>
        <w:tc>
          <w:tcPr>
            <w:tcW w:w="3334" w:type="pct"/>
            <w:tcBorders>
              <w:top w:val="single" w:sz="4" w:space="0" w:color="FFFFFF" w:themeColor="background1"/>
              <w:bottom w:val="single" w:sz="4" w:space="0" w:color="FFFFFF" w:themeColor="background1"/>
            </w:tcBorders>
            <w:shd w:val="clear" w:color="auto" w:fill="DBE5F1"/>
          </w:tcPr>
          <w:p w:rsidR="00DA11EE" w:rsidRPr="00E07B1B" w:rsidRDefault="00DA11EE" w:rsidP="00DA11EE">
            <w:pPr>
              <w:pStyle w:val="TableText"/>
              <w:ind w:left="425" w:right="142" w:hanging="425"/>
            </w:pPr>
            <w:r w:rsidRPr="00E07B1B">
              <w:t>7</w:t>
            </w:r>
            <w:r>
              <w:tab/>
            </w:r>
            <w:r w:rsidRPr="00E07B1B">
              <w:rPr>
                <w:lang w:eastAsia="en-NZ"/>
              </w:rPr>
              <w:t>Encourage all women to be physically active for at least 30</w:t>
            </w:r>
            <w:r>
              <w:rPr>
                <w:lang w:eastAsia="en-NZ"/>
              </w:rPr>
              <w:t> </w:t>
            </w:r>
            <w:r w:rsidRPr="00E07B1B">
              <w:rPr>
                <w:lang w:eastAsia="en-NZ"/>
              </w:rPr>
              <w:t>minutes most days of the week (this can be in 10</w:t>
            </w:r>
            <w:r>
              <w:rPr>
                <w:lang w:eastAsia="en-NZ"/>
              </w:rPr>
              <w:t>-</w:t>
            </w:r>
            <w:r w:rsidRPr="00E07B1B">
              <w:rPr>
                <w:lang w:eastAsia="en-NZ"/>
              </w:rPr>
              <w:t>minute blocks) in the absence of medical contra</w:t>
            </w:r>
            <w:r>
              <w:rPr>
                <w:lang w:eastAsia="en-NZ"/>
              </w:rPr>
              <w:t>-</w:t>
            </w:r>
            <w:r w:rsidRPr="00E07B1B">
              <w:rPr>
                <w:lang w:eastAsia="en-NZ"/>
              </w:rPr>
              <w:t>indications</w:t>
            </w:r>
            <w:r>
              <w:rPr>
                <w:lang w:eastAsia="en-NZ"/>
              </w:rPr>
              <w:t>.</w:t>
            </w:r>
          </w:p>
        </w:tc>
        <w:tc>
          <w:tcPr>
            <w:tcW w:w="1666" w:type="pct"/>
            <w:tcBorders>
              <w:top w:val="single" w:sz="4" w:space="0" w:color="FFFFFF" w:themeColor="background1"/>
              <w:bottom w:val="single" w:sz="4" w:space="0" w:color="FFFFFF" w:themeColor="background1"/>
            </w:tcBorders>
            <w:shd w:val="clear" w:color="auto" w:fill="DBE5F1"/>
          </w:tcPr>
          <w:p w:rsidR="00DA11EE" w:rsidRPr="00E07B1B" w:rsidRDefault="00DA11EE" w:rsidP="00DA11EE">
            <w:pPr>
              <w:pStyle w:val="TableText"/>
              <w:jc w:val="center"/>
            </w:pPr>
            <w:r w:rsidRPr="00E07B1B">
              <w:t>GPP</w:t>
            </w:r>
          </w:p>
        </w:tc>
      </w:tr>
      <w:tr w:rsidR="00DA11EE" w:rsidRPr="00E07B1B" w:rsidTr="00DA11EE">
        <w:trPr>
          <w:cantSplit/>
        </w:trPr>
        <w:tc>
          <w:tcPr>
            <w:tcW w:w="3334" w:type="pct"/>
            <w:tcBorders>
              <w:top w:val="single" w:sz="4" w:space="0" w:color="FFFFFF" w:themeColor="background1"/>
              <w:bottom w:val="single" w:sz="4" w:space="0" w:color="auto"/>
            </w:tcBorders>
            <w:shd w:val="clear" w:color="auto" w:fill="DBE5F1"/>
          </w:tcPr>
          <w:p w:rsidR="00DA11EE" w:rsidRPr="00E07B1B" w:rsidRDefault="00DA11EE" w:rsidP="00DA11EE">
            <w:pPr>
              <w:pStyle w:val="TableText"/>
              <w:ind w:left="425" w:right="142" w:hanging="425"/>
            </w:pPr>
            <w:r w:rsidRPr="00E07B1B">
              <w:t>8</w:t>
            </w:r>
            <w:r>
              <w:tab/>
            </w:r>
            <w:r w:rsidRPr="00E07B1B">
              <w:t>Measure and record maternal weight at routine antenatal visit</w:t>
            </w:r>
            <w:r>
              <w:t>s.*</w:t>
            </w:r>
          </w:p>
        </w:tc>
        <w:tc>
          <w:tcPr>
            <w:tcW w:w="1666" w:type="pct"/>
            <w:tcBorders>
              <w:top w:val="single" w:sz="4" w:space="0" w:color="FFFFFF" w:themeColor="background1"/>
              <w:bottom w:val="single" w:sz="4" w:space="0" w:color="auto"/>
            </w:tcBorders>
            <w:shd w:val="clear" w:color="auto" w:fill="DBE5F1"/>
          </w:tcPr>
          <w:p w:rsidR="00DA11EE" w:rsidRPr="00E07B1B" w:rsidRDefault="00DA11EE" w:rsidP="00DA11EE">
            <w:pPr>
              <w:pStyle w:val="TableText"/>
              <w:jc w:val="center"/>
            </w:pPr>
            <w:r w:rsidRPr="00E07B1B">
              <w:t>GPP</w:t>
            </w:r>
          </w:p>
        </w:tc>
      </w:tr>
    </w:tbl>
    <w:p w:rsidR="0025490C" w:rsidRDefault="0025490C" w:rsidP="00DA11EE">
      <w:pPr>
        <w:pStyle w:val="Note"/>
      </w:pPr>
      <w:r>
        <w:t xml:space="preserve">Note: </w:t>
      </w:r>
      <w:r w:rsidRPr="00E07B1B">
        <w:t>*</w:t>
      </w:r>
      <w:r>
        <w:t xml:space="preserve"> </w:t>
      </w:r>
      <w:r w:rsidRPr="00E07B1B">
        <w:t>Refer to Ministry of Health guidelines</w:t>
      </w:r>
      <w:r>
        <w:t xml:space="preserve"> in</w:t>
      </w:r>
      <w:r w:rsidRPr="00E07B1B">
        <w:t xml:space="preserve"> Appendix </w:t>
      </w:r>
      <w:r>
        <w:t>K</w:t>
      </w:r>
      <w:r w:rsidRPr="00E07B1B">
        <w:t>, Table 33</w:t>
      </w:r>
      <w:r>
        <w:t>.</w:t>
      </w:r>
    </w:p>
    <w:p w:rsidR="0025490C" w:rsidRPr="00E07B1B" w:rsidRDefault="0025490C" w:rsidP="0025490C"/>
    <w:p w:rsidR="0025490C" w:rsidRPr="00E07B1B" w:rsidRDefault="0025490C" w:rsidP="00DA11EE">
      <w:pPr>
        <w:pStyle w:val="Heading3"/>
      </w:pPr>
      <w:r w:rsidRPr="00E07B1B">
        <w:t>Ongoing trials</w:t>
      </w:r>
    </w:p>
    <w:p w:rsidR="0025490C" w:rsidRDefault="0025490C" w:rsidP="00DA11EE">
      <w:r w:rsidRPr="00E07B1B">
        <w:t>Two trials in progress were identified</w:t>
      </w:r>
      <w:r>
        <w:t>:</w:t>
      </w:r>
    </w:p>
    <w:p w:rsidR="0025490C" w:rsidRDefault="0025490C" w:rsidP="00DA11EE">
      <w:pPr>
        <w:pStyle w:val="Bullet"/>
      </w:pPr>
      <w:r>
        <w:t>a</w:t>
      </w:r>
      <w:r w:rsidRPr="00E07B1B">
        <w:t xml:space="preserve"> randomised controlled trial comparing the effectiveness of a telephone</w:t>
      </w:r>
      <w:r>
        <w:t>-</w:t>
      </w:r>
      <w:r w:rsidRPr="00E07B1B">
        <w:t>based behavioural change program</w:t>
      </w:r>
      <w:r>
        <w:t>me with</w:t>
      </w:r>
      <w:r w:rsidRPr="00E07B1B">
        <w:t xml:space="preserve"> usual care in reducing the incidence of gestational diabetes in overweight and obese women (ACTRN12613000125729)</w:t>
      </w:r>
    </w:p>
    <w:p w:rsidR="0025490C" w:rsidRDefault="0025490C" w:rsidP="00DA11EE">
      <w:pPr>
        <w:pStyle w:val="Bullet"/>
      </w:pPr>
      <w:r>
        <w:t>p</w:t>
      </w:r>
      <w:r w:rsidRPr="00E07B1B">
        <w:t>robiotics for the prevention of gestational diabetes in overweight and obese women (ACTRN12611001208998)</w:t>
      </w:r>
      <w:r>
        <w:t>.</w:t>
      </w:r>
    </w:p>
    <w:p w:rsidR="00DA11EE" w:rsidRPr="00E07B1B" w:rsidRDefault="00DA11EE" w:rsidP="00DA11EE"/>
    <w:p w:rsidR="00DA11EE" w:rsidRDefault="00DA11EE" w:rsidP="00DA11EE">
      <w:bookmarkStart w:id="140" w:name="_Toc363207316"/>
      <w:bookmarkStart w:id="141" w:name="_Toc402873547"/>
      <w:r>
        <w:br w:type="page"/>
      </w:r>
    </w:p>
    <w:p w:rsidR="0025490C" w:rsidRPr="00E07B1B" w:rsidRDefault="0025490C" w:rsidP="00DA11EE">
      <w:pPr>
        <w:pStyle w:val="Heading1"/>
      </w:pPr>
      <w:bookmarkStart w:id="142" w:name="_Toc403469629"/>
      <w:r w:rsidRPr="00E07B1B">
        <w:t>Chapter 5</w:t>
      </w:r>
      <w:r>
        <w:t>:</w:t>
      </w:r>
      <w:r w:rsidRPr="00E07B1B">
        <w:t xml:space="preserve"> Treatment for women with gestational diabetes</w:t>
      </w:r>
      <w:bookmarkEnd w:id="140"/>
      <w:bookmarkEnd w:id="141"/>
      <w:bookmarkEnd w:id="142"/>
    </w:p>
    <w:p w:rsidR="0068074A" w:rsidRDefault="0025490C" w:rsidP="00E27BE3">
      <w:pPr>
        <w:pStyle w:val="Heading2"/>
      </w:pPr>
      <w:bookmarkStart w:id="143" w:name="_Toc363207317"/>
      <w:bookmarkStart w:id="144" w:name="_Toc402873548"/>
      <w:bookmarkStart w:id="145" w:name="_Toc403469630"/>
      <w:r w:rsidRPr="00E07B1B">
        <w:t>5.1</w:t>
      </w:r>
      <w:r w:rsidR="00E27BE3">
        <w:tab/>
      </w:r>
      <w:r w:rsidRPr="00E07B1B">
        <w:t>Background</w:t>
      </w:r>
      <w:bookmarkEnd w:id="143"/>
      <w:bookmarkEnd w:id="144"/>
      <w:bookmarkEnd w:id="145"/>
    </w:p>
    <w:p w:rsidR="0025490C" w:rsidRPr="00E07B1B" w:rsidRDefault="0025490C" w:rsidP="00E27BE3">
      <w:r w:rsidRPr="00E07B1B">
        <w:t xml:space="preserve">The type of treatment </w:t>
      </w:r>
      <w:r>
        <w:t xml:space="preserve">an individual has </w:t>
      </w:r>
      <w:r w:rsidRPr="00E07B1B">
        <w:t xml:space="preserve">for gestational diabetes is dependent on </w:t>
      </w:r>
      <w:r>
        <w:t>her</w:t>
      </w:r>
      <w:r w:rsidRPr="00E07B1B">
        <w:t xml:space="preserve"> ability to maintain glycaemic control within target ranges. </w:t>
      </w:r>
      <w:r>
        <w:t>Some women with g</w:t>
      </w:r>
      <w:r w:rsidRPr="00E07B1B">
        <w:t>estational diabetes may be adequately controlled with lifestyle interventions whereas other</w:t>
      </w:r>
      <w:r>
        <w:t>s</w:t>
      </w:r>
      <w:r w:rsidRPr="00E07B1B">
        <w:t xml:space="preserve"> may require supplementary pharmacological interventions. </w:t>
      </w:r>
      <w:r>
        <w:t>The Guideline Development Team has</w:t>
      </w:r>
      <w:r w:rsidRPr="00E07B1B">
        <w:t xml:space="preserve"> examined the evidence for dietary and lifestyle advice, exercise alone, head</w:t>
      </w:r>
      <w:r>
        <w:t>-</w:t>
      </w:r>
      <w:r w:rsidRPr="00E07B1B">
        <w:t>to</w:t>
      </w:r>
      <w:r>
        <w:t>-</w:t>
      </w:r>
      <w:r w:rsidRPr="00E07B1B">
        <w:t>head dietary interventions, oral hypoglycaemic drugs and insulin, glycaemic treatment targets and the use of ultrasound to modify treatment.</w:t>
      </w:r>
    </w:p>
    <w:p w:rsidR="0025490C" w:rsidRPr="00E07B1B" w:rsidRDefault="0025490C" w:rsidP="00E27BE3"/>
    <w:p w:rsidR="0025490C" w:rsidRPr="00E07B1B" w:rsidRDefault="0025490C" w:rsidP="00E27BE3">
      <w:pPr>
        <w:pStyle w:val="Heading2"/>
        <w:rPr>
          <w:rStyle w:val="Heading2Char"/>
          <w:rFonts w:cs="Arial"/>
          <w:b/>
          <w:bCs/>
        </w:rPr>
      </w:pPr>
      <w:bookmarkStart w:id="146" w:name="_Toc363207318"/>
      <w:bookmarkStart w:id="147" w:name="_Toc402873549"/>
      <w:bookmarkStart w:id="148" w:name="_Toc403469631"/>
      <w:r w:rsidRPr="00E07B1B">
        <w:t>5.2</w:t>
      </w:r>
      <w:r w:rsidR="00E27BE3">
        <w:tab/>
      </w:r>
      <w:r w:rsidRPr="00E07B1B">
        <w:t>Combined di</w:t>
      </w:r>
      <w:r w:rsidRPr="00E07B1B">
        <w:rPr>
          <w:rStyle w:val="Heading2Char"/>
          <w:rFonts w:cs="Arial"/>
          <w:b/>
          <w:bCs/>
        </w:rPr>
        <w:t>et and lifestyle interventions</w:t>
      </w:r>
      <w:bookmarkEnd w:id="146"/>
      <w:bookmarkEnd w:id="147"/>
      <w:bookmarkEnd w:id="148"/>
    </w:p>
    <w:p w:rsidR="0068074A" w:rsidRDefault="0025490C" w:rsidP="00E27BE3">
      <w:pPr>
        <w:rPr>
          <w:lang w:eastAsia="en-NZ"/>
        </w:rPr>
      </w:pPr>
      <w:r w:rsidRPr="00E07B1B">
        <w:rPr>
          <w:lang w:eastAsia="en-NZ"/>
        </w:rPr>
        <w:t>The interventions include any treatment package for gestational diabetes such as a programme of diet and/or exercise, other education</w:t>
      </w:r>
      <w:r>
        <w:rPr>
          <w:lang w:eastAsia="en-NZ"/>
        </w:rPr>
        <w:t>al</w:t>
      </w:r>
      <w:r w:rsidRPr="00E07B1B">
        <w:rPr>
          <w:lang w:eastAsia="en-NZ"/>
        </w:rPr>
        <w:t xml:space="preserve"> media and supplementary pharmacological intervention (if required) compared with usual or standard care.</w:t>
      </w:r>
    </w:p>
    <w:p w:rsidR="0025490C" w:rsidRPr="00E07B1B" w:rsidRDefault="0025490C" w:rsidP="00E27BE3">
      <w:pPr>
        <w:rPr>
          <w:lang w:eastAsia="en-NZ"/>
        </w:rPr>
      </w:pPr>
    </w:p>
    <w:p w:rsidR="0025490C" w:rsidRDefault="0025490C" w:rsidP="00E27BE3">
      <w:r w:rsidRPr="00E07B1B">
        <w:t>A Cochrane review (Alwan</w:t>
      </w:r>
      <w:r>
        <w:t xml:space="preserve"> </w:t>
      </w:r>
      <w:r w:rsidR="00D562F2">
        <w:t>et al</w:t>
      </w:r>
      <w:r w:rsidRPr="00E07B1B">
        <w:t xml:space="preserve"> 2009) </w:t>
      </w:r>
      <w:r>
        <w:t>was</w:t>
      </w:r>
      <w:r w:rsidRPr="00E07B1B">
        <w:t xml:space="preserve"> being updated in</w:t>
      </w:r>
      <w:r>
        <w:t xml:space="preserve"> 2014</w:t>
      </w:r>
      <w:r w:rsidRPr="00E07B1B">
        <w:t xml:space="preserve"> </w:t>
      </w:r>
      <w:r>
        <w:t>to</w:t>
      </w:r>
      <w:r w:rsidRPr="00E07B1B">
        <w:t xml:space="preserve"> include 11 randomised controlled trials (</w:t>
      </w:r>
      <w:r w:rsidRPr="00802E1A">
        <w:rPr>
          <w:i/>
        </w:rPr>
        <w:t>n</w:t>
      </w:r>
      <w:r>
        <w:t xml:space="preserve"> </w:t>
      </w:r>
      <w:r w:rsidRPr="00E07B1B">
        <w:t>=</w:t>
      </w:r>
      <w:r>
        <w:t xml:space="preserve"> </w:t>
      </w:r>
      <w:r w:rsidRPr="00E07B1B">
        <w:t xml:space="preserve">3134 women). Two other systematic reviews were identified (Horvath </w:t>
      </w:r>
      <w:r w:rsidR="00D562F2">
        <w:t>et al</w:t>
      </w:r>
      <w:r w:rsidRPr="00E07B1B">
        <w:t xml:space="preserve"> 2010; Falavigna </w:t>
      </w:r>
      <w:r w:rsidR="00D562F2">
        <w:t>et al</w:t>
      </w:r>
      <w:r w:rsidRPr="00E07B1B">
        <w:t xml:space="preserve"> 2012)</w:t>
      </w:r>
      <w:r>
        <w:t>.</w:t>
      </w:r>
    </w:p>
    <w:p w:rsidR="0025490C" w:rsidRPr="00E07B1B" w:rsidRDefault="0025490C" w:rsidP="00E27BE3"/>
    <w:p w:rsidR="0025490C" w:rsidRDefault="0025490C" w:rsidP="00E27BE3">
      <w:r w:rsidRPr="00E07B1B">
        <w:t xml:space="preserve">This review of the evidence has included the </w:t>
      </w:r>
      <w:r>
        <w:t>11</w:t>
      </w:r>
      <w:r w:rsidRPr="00E07B1B">
        <w:t xml:space="preserve"> randomised trials identified in the updated Cochrane systematic review</w:t>
      </w:r>
      <w:r>
        <w:t>, which</w:t>
      </w:r>
      <w:r w:rsidRPr="00E07B1B">
        <w:t xml:space="preserve"> include the thresholds for diagnosing gestational diabetes. Refer to Appendix K, Tables 27 and 28. The components of the packages of treatment</w:t>
      </w:r>
      <w:r>
        <w:t xml:space="preserve"> are identified in Appendix K, Table 29.</w:t>
      </w:r>
    </w:p>
    <w:p w:rsidR="0025490C" w:rsidRPr="00E07B1B" w:rsidRDefault="0025490C" w:rsidP="00E27BE3"/>
    <w:p w:rsidR="0025490C" w:rsidRPr="00E07B1B" w:rsidRDefault="0025490C" w:rsidP="00E27BE3">
      <w:pPr>
        <w:pStyle w:val="Heading3"/>
      </w:pPr>
      <w:r w:rsidRPr="00E07B1B">
        <w:t>5.2.1</w:t>
      </w:r>
      <w:r w:rsidR="00E27BE3">
        <w:tab/>
      </w:r>
      <w:r w:rsidRPr="00E07B1B">
        <w:t>Maternal outcomes</w:t>
      </w:r>
    </w:p>
    <w:p w:rsidR="0025490C" w:rsidRDefault="0025490C" w:rsidP="00E27BE3">
      <w:r w:rsidRPr="00E07B1B">
        <w:t>The relative risk of pre-eclampsia was significantly reduced (by 48%) in the women in the treatment group (</w:t>
      </w:r>
      <w:r w:rsidRPr="00802E1A">
        <w:rPr>
          <w:i/>
        </w:rPr>
        <w:t>p</w:t>
      </w:r>
      <w:r>
        <w:t xml:space="preserve"> </w:t>
      </w:r>
      <w:r w:rsidRPr="00E07B1B">
        <w:t>&lt;</w:t>
      </w:r>
      <w:r>
        <w:t xml:space="preserve"> </w:t>
      </w:r>
      <w:r w:rsidRPr="00E07B1B">
        <w:t>0.0001</w:t>
      </w:r>
      <w:r>
        <w:t>; r</w:t>
      </w:r>
      <w:r w:rsidRPr="00E07B1B">
        <w:t>efer to Appendix K, Figure 12</w:t>
      </w:r>
      <w:r>
        <w:t>)</w:t>
      </w:r>
      <w:r w:rsidRPr="00E07B1B">
        <w:t xml:space="preserve">. In 2012 women with </w:t>
      </w:r>
      <w:r>
        <w:t>International Classification of Diseases (</w:t>
      </w:r>
      <w:r w:rsidRPr="00E07B1B">
        <w:t>ICD</w:t>
      </w:r>
      <w:r>
        <w:t>)</w:t>
      </w:r>
      <w:r w:rsidRPr="00E07B1B">
        <w:t xml:space="preserve"> coding for both gestational diabetes and pre-eclampsia accounted for 0.5% of all pregnancies and 9.5% of gestational diabetes pregnancies.</w:t>
      </w:r>
      <w:r w:rsidRPr="00E27BE3">
        <w:rPr>
          <w:rStyle w:val="FootnoteReference"/>
        </w:rPr>
        <w:footnoteReference w:id="5"/>
      </w:r>
    </w:p>
    <w:p w:rsidR="0025490C" w:rsidRPr="00E07B1B" w:rsidRDefault="0025490C" w:rsidP="00E27BE3"/>
    <w:p w:rsidR="0025490C" w:rsidRDefault="0025490C" w:rsidP="00E27BE3">
      <w:r w:rsidRPr="00E07B1B">
        <w:t xml:space="preserve">The rate of caesarean sections was significantly lower (13%) in the treated women compared </w:t>
      </w:r>
      <w:r>
        <w:t>with</w:t>
      </w:r>
      <w:r w:rsidRPr="00E07B1B">
        <w:t xml:space="preserve"> those who received usual care (</w:t>
      </w:r>
      <w:r w:rsidRPr="00802E1A">
        <w:rPr>
          <w:i/>
        </w:rPr>
        <w:t>p</w:t>
      </w:r>
      <w:r>
        <w:t xml:space="preserve"> </w:t>
      </w:r>
      <w:r w:rsidRPr="00E07B1B">
        <w:t>=</w:t>
      </w:r>
      <w:r>
        <w:t xml:space="preserve"> </w:t>
      </w:r>
      <w:r w:rsidRPr="00E07B1B">
        <w:t xml:space="preserve">0.01). </w:t>
      </w:r>
      <w:r>
        <w:t xml:space="preserve">One trial reported </w:t>
      </w:r>
      <w:r w:rsidRPr="00E07B1B">
        <w:t>no statistically significant differences in type of caesarean section (emergency or elective) between intervention and control groups (Appendix K, Figure 13).</w:t>
      </w:r>
    </w:p>
    <w:p w:rsidR="0025490C" w:rsidRPr="00E07B1B" w:rsidRDefault="0025490C" w:rsidP="00E27BE3"/>
    <w:p w:rsidR="0025490C" w:rsidRDefault="0025490C" w:rsidP="00E27BE3">
      <w:r w:rsidRPr="00E07B1B">
        <w:t>The relative risk of induction of labour was significantly higher (19%) in the treatment group than in the usual care group (</w:t>
      </w:r>
      <w:r w:rsidRPr="00802E1A">
        <w:rPr>
          <w:i/>
        </w:rPr>
        <w:t>p</w:t>
      </w:r>
      <w:r>
        <w:t xml:space="preserve"> </w:t>
      </w:r>
      <w:r w:rsidRPr="00E07B1B">
        <w:t>=</w:t>
      </w:r>
      <w:r>
        <w:t xml:space="preserve"> </w:t>
      </w:r>
      <w:r w:rsidRPr="00E07B1B">
        <w:t>0.008). This is probably a reflection of local policy for elective delivery but does not adversely affect the caesarean section rate in the intervention groups</w:t>
      </w:r>
      <w:r>
        <w:t>.</w:t>
      </w:r>
      <w:r w:rsidRPr="00E07B1B">
        <w:t xml:space="preserve"> Refer to Appendix K, Figure 14.</w:t>
      </w:r>
    </w:p>
    <w:p w:rsidR="0025490C" w:rsidRPr="00E07B1B" w:rsidRDefault="0025490C" w:rsidP="00E27BE3"/>
    <w:p w:rsidR="0025490C" w:rsidRDefault="0025490C" w:rsidP="00E27BE3">
      <w:r w:rsidRPr="00E07B1B">
        <w:t>Gestational weight gain was significantly lower in treated women compared with usual care (</w:t>
      </w:r>
      <w:r w:rsidRPr="00802E1A">
        <w:rPr>
          <w:i/>
        </w:rPr>
        <w:t>p</w:t>
      </w:r>
      <w:r w:rsidR="00E27BE3">
        <w:rPr>
          <w:i/>
        </w:rPr>
        <w:t> </w:t>
      </w:r>
      <w:r w:rsidRPr="00E07B1B">
        <w:t>&lt;</w:t>
      </w:r>
      <w:r w:rsidR="00E27BE3">
        <w:t> </w:t>
      </w:r>
      <w:r w:rsidRPr="00E07B1B">
        <w:t>0.00001) but heterogeneity was high. The differences are probably due to</w:t>
      </w:r>
      <w:r>
        <w:t xml:space="preserve"> different</w:t>
      </w:r>
      <w:r w:rsidRPr="00E07B1B">
        <w:t xml:space="preserve"> definitions of the timing around when the weight measurements were first taken.</w:t>
      </w:r>
    </w:p>
    <w:p w:rsidR="0025490C" w:rsidRPr="00E07B1B" w:rsidRDefault="0025490C" w:rsidP="00E27BE3"/>
    <w:p w:rsidR="0025490C" w:rsidRDefault="0025490C" w:rsidP="00E27BE3">
      <w:r w:rsidRPr="00E07B1B">
        <w:t>There were no statistically significant differences between groups for perineal trauma, diagnosis of postpartum type 2 diabetes or preterm birth. Supplementary insulin was required by 16.6% of women in the intervention groups and 4.2% of women in the control groups (Alwan</w:t>
      </w:r>
      <w:r>
        <w:t xml:space="preserve"> </w:t>
      </w:r>
      <w:r w:rsidR="00D562F2">
        <w:t>et al</w:t>
      </w:r>
      <w:r w:rsidRPr="00E07B1B">
        <w:t xml:space="preserve"> 2009). Meta-analysis of the data could not be conducted due to heterogeneity. The differences may be attributed to differing treatment targets specified in the trial protocols or to intensified monitoring in the intervention groups.</w:t>
      </w:r>
    </w:p>
    <w:p w:rsidR="0025490C" w:rsidRPr="00E07B1B" w:rsidRDefault="0025490C" w:rsidP="00E27BE3"/>
    <w:p w:rsidR="0025490C" w:rsidRPr="00E07B1B" w:rsidRDefault="0025490C" w:rsidP="00E27BE3">
      <w:pPr>
        <w:pStyle w:val="Heading3"/>
      </w:pPr>
      <w:r w:rsidRPr="00E07B1B">
        <w:t>5.2.2</w:t>
      </w:r>
      <w:r w:rsidR="00E27BE3">
        <w:tab/>
      </w:r>
      <w:r w:rsidRPr="00E07B1B">
        <w:t>Infant outcomes</w:t>
      </w:r>
    </w:p>
    <w:p w:rsidR="0025490C" w:rsidRDefault="0025490C" w:rsidP="00E27BE3">
      <w:r w:rsidRPr="00E07B1B">
        <w:t>The risk for large for gestational age (&gt;</w:t>
      </w:r>
      <w:r>
        <w:t xml:space="preserve"> </w:t>
      </w:r>
      <w:r w:rsidRPr="00E07B1B">
        <w:t>90</w:t>
      </w:r>
      <w:r w:rsidRPr="00802E1A">
        <w:t>th</w:t>
      </w:r>
      <w:r w:rsidRPr="00E07B1B">
        <w:t xml:space="preserve"> percentile) was significantly lower (45%) in infants born to mothers who had received treatment compared with </w:t>
      </w:r>
      <w:r>
        <w:t xml:space="preserve">those whose mothers receiving </w:t>
      </w:r>
      <w:r w:rsidRPr="00E07B1B">
        <w:t>usual care (</w:t>
      </w:r>
      <w:r w:rsidRPr="00802E1A">
        <w:rPr>
          <w:i/>
        </w:rPr>
        <w:t>p</w:t>
      </w:r>
      <w:r>
        <w:t xml:space="preserve"> </w:t>
      </w:r>
      <w:r w:rsidRPr="00E07B1B">
        <w:t>&lt;</w:t>
      </w:r>
      <w:r>
        <w:t xml:space="preserve"> </w:t>
      </w:r>
      <w:r w:rsidRPr="00E07B1B">
        <w:t>0.00001</w:t>
      </w:r>
      <w:r>
        <w:t>; r</w:t>
      </w:r>
      <w:r w:rsidRPr="00E07B1B">
        <w:t>efer to Appendix K, Figure 15</w:t>
      </w:r>
      <w:r>
        <w:t>)</w:t>
      </w:r>
      <w:r w:rsidRPr="00E07B1B">
        <w:t>.</w:t>
      </w:r>
    </w:p>
    <w:p w:rsidR="0025490C" w:rsidRPr="00E07B1B" w:rsidRDefault="0025490C" w:rsidP="00E27BE3"/>
    <w:p w:rsidR="0025490C" w:rsidRDefault="0025490C" w:rsidP="00E27BE3">
      <w:r w:rsidRPr="00E07B1B">
        <w:t xml:space="preserve">Infants whose mothers received treatment were 25% less likely to have hyperbilirubinaemia than </w:t>
      </w:r>
      <w:r>
        <w:t>those</w:t>
      </w:r>
      <w:r w:rsidRPr="00E07B1B">
        <w:t xml:space="preserve"> whose mothers received usual care (</w:t>
      </w:r>
      <w:r w:rsidRPr="00802E1A">
        <w:rPr>
          <w:i/>
        </w:rPr>
        <w:t>p</w:t>
      </w:r>
      <w:r>
        <w:t xml:space="preserve"> </w:t>
      </w:r>
      <w:r w:rsidRPr="00E07B1B">
        <w:t>=</w:t>
      </w:r>
      <w:r>
        <w:t xml:space="preserve"> </w:t>
      </w:r>
      <w:r w:rsidRPr="00E07B1B">
        <w:t>0.02) and the relative risk of shoulder dystocia was significantly less (62%) in infants whose mothers had been treated compared with</w:t>
      </w:r>
      <w:r>
        <w:t xml:space="preserve"> those receiving</w:t>
      </w:r>
      <w:r w:rsidRPr="00E07B1B">
        <w:t xml:space="preserve"> usual care (</w:t>
      </w:r>
      <w:r w:rsidRPr="00802E1A">
        <w:rPr>
          <w:i/>
        </w:rPr>
        <w:t>p</w:t>
      </w:r>
      <w:r>
        <w:t xml:space="preserve"> </w:t>
      </w:r>
      <w:r w:rsidRPr="00E07B1B">
        <w:t>=</w:t>
      </w:r>
      <w:r>
        <w:t xml:space="preserve"> </w:t>
      </w:r>
      <w:r w:rsidRPr="00E07B1B">
        <w:t>0.0006). Refer to</w:t>
      </w:r>
      <w:r>
        <w:t xml:space="preserve"> Appendix K, Figures 16 and 17.</w:t>
      </w:r>
    </w:p>
    <w:p w:rsidR="0025490C" w:rsidRPr="00E07B1B" w:rsidRDefault="0025490C" w:rsidP="00E27BE3"/>
    <w:p w:rsidR="0068074A" w:rsidRDefault="0025490C" w:rsidP="00E27BE3">
      <w:pPr>
        <w:rPr>
          <w:noProof/>
        </w:rPr>
      </w:pPr>
      <w:r w:rsidRPr="00E07B1B">
        <w:t xml:space="preserve">There were no significant differences in bone fractures or nerve palsy </w:t>
      </w:r>
      <w:r>
        <w:t>between</w:t>
      </w:r>
      <w:r w:rsidRPr="00E07B1B">
        <w:t xml:space="preserve"> infants whose mothers had received a specific package of treatment and those who had received usual care. There was no statistically significant difference between groups for neonatal hypoglycaemia, respiratory distress syndrome, admission to neonatal intensive care, </w:t>
      </w:r>
      <w:r w:rsidRPr="00E07B1B">
        <w:rPr>
          <w:noProof/>
        </w:rPr>
        <w:t>perinatal deaths, stillbirths or neonatal deaths or childhood obesity.</w:t>
      </w:r>
    </w:p>
    <w:p w:rsidR="0025490C" w:rsidRDefault="0025490C" w:rsidP="00E27BE3"/>
    <w:p w:rsidR="00E27BE3" w:rsidRPr="00802E1A" w:rsidRDefault="00E27BE3" w:rsidP="00E27BE3">
      <w:pPr>
        <w:pStyle w:val="BoxHeading"/>
        <w:rPr>
          <w:szCs w:val="24"/>
        </w:rPr>
      </w:pPr>
      <w:r w:rsidRPr="00802E1A">
        <w:t>Key points</w:t>
      </w:r>
    </w:p>
    <w:p w:rsidR="00E27BE3" w:rsidRPr="00F25DB8" w:rsidRDefault="00E27BE3" w:rsidP="00E27BE3">
      <w:pPr>
        <w:pStyle w:val="BoxBullet"/>
      </w:pPr>
      <w:r>
        <w:t>Providing</w:t>
      </w:r>
      <w:r w:rsidRPr="00F25DB8">
        <w:t xml:space="preserve"> </w:t>
      </w:r>
      <w:r>
        <w:t xml:space="preserve">dietary and </w:t>
      </w:r>
      <w:r w:rsidRPr="00F25DB8">
        <w:t xml:space="preserve">lifestyle </w:t>
      </w:r>
      <w:r>
        <w:t xml:space="preserve">interventions </w:t>
      </w:r>
      <w:r w:rsidRPr="00F25DB8">
        <w:t xml:space="preserve">+/- pharmacotherapy </w:t>
      </w:r>
      <w:r>
        <w:t>for women with gestational diabetes has</w:t>
      </w:r>
      <w:r w:rsidRPr="00F25DB8">
        <w:t xml:space="preserve"> clear maternal and infant benefits.</w:t>
      </w:r>
    </w:p>
    <w:p w:rsidR="00E27BE3" w:rsidRPr="00F25DB8" w:rsidRDefault="00E27BE3" w:rsidP="00E27BE3">
      <w:pPr>
        <w:pStyle w:val="BoxBullet"/>
      </w:pPr>
      <w:r>
        <w:t>It is important to initiate</w:t>
      </w:r>
      <w:r w:rsidRPr="00F25DB8">
        <w:t xml:space="preserve"> treatment as soon as possible after diagnosis</w:t>
      </w:r>
      <w:r>
        <w:t>.</w:t>
      </w:r>
    </w:p>
    <w:p w:rsidR="0025490C" w:rsidRPr="00E07B1B" w:rsidRDefault="0025490C" w:rsidP="00E27BE3"/>
    <w:p w:rsidR="0025490C" w:rsidRPr="00E07B1B" w:rsidRDefault="0025490C" w:rsidP="00E27BE3">
      <w:pPr>
        <w:pStyle w:val="Heading2"/>
      </w:pPr>
      <w:bookmarkStart w:id="149" w:name="_Toc363207319"/>
      <w:bookmarkStart w:id="150" w:name="_Toc402873550"/>
      <w:bookmarkStart w:id="151" w:name="_Toc403469632"/>
      <w:r w:rsidRPr="00E07B1B">
        <w:t>5.3</w:t>
      </w:r>
      <w:r w:rsidR="00E27BE3">
        <w:tab/>
      </w:r>
      <w:r w:rsidRPr="00E07B1B">
        <w:t>Exercise versus control</w:t>
      </w:r>
      <w:bookmarkEnd w:id="149"/>
      <w:bookmarkEnd w:id="150"/>
      <w:bookmarkEnd w:id="151"/>
    </w:p>
    <w:p w:rsidR="0025490C" w:rsidRPr="00E07B1B" w:rsidRDefault="0025490C" w:rsidP="00E27BE3">
      <w:r w:rsidRPr="00E07B1B">
        <w:t>A systematic review included four small randomised trials (114 women) diagnosed with gestational diabetes (</w:t>
      </w:r>
      <w:r>
        <w:t>NICE</w:t>
      </w:r>
      <w:r w:rsidRPr="00E07B1B">
        <w:t xml:space="preserve"> 2008). Interventions included exercising on a cycle ergometer, an arm ergometer, circuit</w:t>
      </w:r>
      <w:r>
        <w:t>-</w:t>
      </w:r>
      <w:r w:rsidRPr="00E07B1B">
        <w:t>type resistance training, and cycling. Outcomes were not consistently reported by the trials and it is difficult to make inferences based on the results. There were no preterm deliveries in either the exercise alone or control arms in two of the trials (</w:t>
      </w:r>
      <w:r>
        <w:t>r</w:t>
      </w:r>
      <w:r w:rsidRPr="00E07B1B">
        <w:t>efer to Appendix K, Table 30).</w:t>
      </w:r>
    </w:p>
    <w:p w:rsidR="0025490C" w:rsidRPr="00E07B1B" w:rsidRDefault="0025490C" w:rsidP="00E27BE3"/>
    <w:p w:rsidR="0025490C" w:rsidRDefault="0025490C" w:rsidP="00E27BE3">
      <w:r w:rsidRPr="00E07B1B">
        <w:t xml:space="preserve">Another systematic review </w:t>
      </w:r>
      <w:r>
        <w:t>of</w:t>
      </w:r>
      <w:r w:rsidRPr="00E07B1B">
        <w:t xml:space="preserve"> 13 studies of mixed design (refer to Appendix K, Table 30) found insufficient evidence to determine the effectiveness of exercise alone as an intervention to treat women diagnosed with gestational </w:t>
      </w:r>
      <w:r>
        <w:t xml:space="preserve">diabetes (DiNallo </w:t>
      </w:r>
      <w:r w:rsidR="00D562F2">
        <w:t>et al</w:t>
      </w:r>
      <w:r>
        <w:t xml:space="preserve"> 2008).</w:t>
      </w:r>
    </w:p>
    <w:p w:rsidR="0025490C" w:rsidRPr="00E07B1B" w:rsidRDefault="0025490C" w:rsidP="00E27BE3"/>
    <w:p w:rsidR="0025490C" w:rsidRPr="00E07B1B" w:rsidRDefault="0025490C" w:rsidP="00E27BE3">
      <w:r w:rsidRPr="00E07B1B">
        <w:t xml:space="preserve">One randomised controlled trial compared a structured resistance exercise programme with usual care in women diagnosed with gestational diabetes. Resistance exercise significantly decreased requirements </w:t>
      </w:r>
      <w:r>
        <w:t xml:space="preserve">for </w:t>
      </w:r>
      <w:r w:rsidRPr="00E07B1B">
        <w:t>supplementary insulin (2.9% versus 56.3%</w:t>
      </w:r>
      <w:r>
        <w:t xml:space="preserve"> respectively</w:t>
      </w:r>
      <w:r w:rsidRPr="00E07B1B">
        <w:t xml:space="preserve">, </w:t>
      </w:r>
      <w:r w:rsidRPr="008C5AF9">
        <w:rPr>
          <w:i/>
        </w:rPr>
        <w:t>p</w:t>
      </w:r>
      <w:r>
        <w:t xml:space="preserve"> </w:t>
      </w:r>
      <w:r w:rsidRPr="00E07B1B">
        <w:t>=</w:t>
      </w:r>
      <w:r>
        <w:t xml:space="preserve"> </w:t>
      </w:r>
      <w:r w:rsidRPr="00E07B1B">
        <w:t>0.005), and significantly increased (</w:t>
      </w:r>
      <w:r w:rsidRPr="008C5AF9">
        <w:rPr>
          <w:i/>
        </w:rPr>
        <w:t>p</w:t>
      </w:r>
      <w:r>
        <w:t xml:space="preserve"> </w:t>
      </w:r>
      <w:r w:rsidRPr="00E07B1B">
        <w:t>=</w:t>
      </w:r>
      <w:r>
        <w:t xml:space="preserve"> </w:t>
      </w:r>
      <w:r w:rsidRPr="00E07B1B">
        <w:t xml:space="preserve">0.006) the percentage of weeks spent within the target range of glycaemic control. There were no significant differences in any of the other maternal or infant outcomes reported (de Barros </w:t>
      </w:r>
      <w:r w:rsidR="00D562F2">
        <w:t>et al</w:t>
      </w:r>
      <w:r w:rsidRPr="00E07B1B">
        <w:t xml:space="preserve"> 2010). Refer to Appendix K, Table 30.</w:t>
      </w:r>
    </w:p>
    <w:p w:rsidR="0025490C" w:rsidRDefault="0025490C" w:rsidP="00E27BE3"/>
    <w:p w:rsidR="00E27BE3" w:rsidRPr="00802E1A" w:rsidRDefault="00E27BE3" w:rsidP="00E27BE3">
      <w:pPr>
        <w:pStyle w:val="BoxHeading"/>
      </w:pPr>
      <w:r w:rsidRPr="00802E1A">
        <w:t>Key points</w:t>
      </w:r>
    </w:p>
    <w:p w:rsidR="00E27BE3" w:rsidRPr="00F25DB8" w:rsidRDefault="00E27BE3" w:rsidP="00E27BE3">
      <w:pPr>
        <w:pStyle w:val="BoxBullet"/>
      </w:pPr>
      <w:r w:rsidRPr="00F25DB8">
        <w:t>Exercise alone is not an effective intervention to treat gestational diabetes</w:t>
      </w:r>
      <w:r>
        <w:t>.</w:t>
      </w:r>
    </w:p>
    <w:p w:rsidR="00E27BE3" w:rsidRPr="00F25DB8" w:rsidRDefault="00E27BE3" w:rsidP="00E27BE3">
      <w:pPr>
        <w:pStyle w:val="BoxBullet"/>
      </w:pPr>
      <w:r w:rsidRPr="00F25DB8">
        <w:t>Exercise as a component of lifestyle advice is important</w:t>
      </w:r>
      <w:r>
        <w:t>.</w:t>
      </w:r>
    </w:p>
    <w:p w:rsidR="0025490C" w:rsidRPr="00E07B1B" w:rsidRDefault="0025490C" w:rsidP="00E27BE3"/>
    <w:p w:rsidR="0025490C" w:rsidRPr="00E07B1B" w:rsidRDefault="0025490C" w:rsidP="00E27BE3">
      <w:pPr>
        <w:pStyle w:val="Heading2"/>
      </w:pPr>
      <w:bookmarkStart w:id="152" w:name="_Toc363207320"/>
      <w:bookmarkStart w:id="153" w:name="_Toc402873551"/>
      <w:bookmarkStart w:id="154" w:name="_Toc403469633"/>
      <w:r w:rsidRPr="00E07B1B">
        <w:t>5.4</w:t>
      </w:r>
      <w:r w:rsidR="00E27BE3">
        <w:tab/>
      </w:r>
      <w:r w:rsidRPr="00E07B1B">
        <w:t>Dietary interventions for gestational diabetes</w:t>
      </w:r>
      <w:bookmarkEnd w:id="152"/>
      <w:bookmarkEnd w:id="153"/>
      <w:bookmarkEnd w:id="154"/>
    </w:p>
    <w:p w:rsidR="0025490C" w:rsidRDefault="0025490C" w:rsidP="00E27BE3">
      <w:r w:rsidRPr="00E07B1B">
        <w:t>Dietary recommendations for women with gestational diabetes from clinical guidelines and professional bodies are summarised in Appendix K, Table 31.</w:t>
      </w:r>
    </w:p>
    <w:p w:rsidR="0025490C" w:rsidRPr="00E07B1B" w:rsidRDefault="0025490C" w:rsidP="00E27BE3"/>
    <w:p w:rsidR="0025490C" w:rsidRDefault="0025490C" w:rsidP="00E27BE3">
      <w:r w:rsidRPr="00E07B1B">
        <w:t xml:space="preserve">A Cochrane systematic review evaluated different types of dietary interventions offered to women with gestational diabetes (Han </w:t>
      </w:r>
      <w:r w:rsidR="00D562F2">
        <w:t>et al</w:t>
      </w:r>
      <w:r w:rsidRPr="00E07B1B">
        <w:t xml:space="preserve"> 2013). There were three main types of dietary advice offered and the review included nine randomised controlled trials (</w:t>
      </w:r>
      <w:r>
        <w:t>r</w:t>
      </w:r>
      <w:r w:rsidRPr="00E07B1B">
        <w:t>efer to Appendix K, Table</w:t>
      </w:r>
      <w:r w:rsidR="00E27BE3">
        <w:t> </w:t>
      </w:r>
      <w:r w:rsidRPr="00E07B1B">
        <w:t>32).</w:t>
      </w:r>
    </w:p>
    <w:p w:rsidR="0025490C" w:rsidRPr="00E07B1B" w:rsidRDefault="0025490C" w:rsidP="00E27BE3"/>
    <w:p w:rsidR="0025490C" w:rsidRDefault="0025490C" w:rsidP="00E27BE3">
      <w:r w:rsidRPr="00E07B1B">
        <w:t>There were no differences between interventions for caesarean section, induction of labour, preterm birth, pre-eclampsia, need for pharmacotherapy or developing type 2 diabetes in the mother and no statistical differences in</w:t>
      </w:r>
      <w:r>
        <w:t xml:space="preserve"> the incidence of</w:t>
      </w:r>
      <w:r w:rsidRPr="00E07B1B">
        <w:t xml:space="preserve"> large for gestational age infants (</w:t>
      </w:r>
      <w:r>
        <w:t>r</w:t>
      </w:r>
      <w:r w:rsidRPr="00E07B1B">
        <w:t>efer to Appendix K, Table 32).</w:t>
      </w:r>
    </w:p>
    <w:p w:rsidR="0025490C" w:rsidRPr="00E07B1B" w:rsidRDefault="0025490C" w:rsidP="00E27BE3"/>
    <w:p w:rsidR="0025490C" w:rsidRPr="00E07B1B" w:rsidRDefault="0025490C" w:rsidP="00E27BE3">
      <w:r w:rsidRPr="00E07B1B">
        <w:t xml:space="preserve">Two trials reported gestational weight gain. One of the comparisons identified no significant differences in gestational weight gain between a standard </w:t>
      </w:r>
      <w:r>
        <w:t>and</w:t>
      </w:r>
      <w:r w:rsidRPr="00E07B1B">
        <w:t xml:space="preserve"> a high</w:t>
      </w:r>
      <w:r>
        <w:t>-</w:t>
      </w:r>
      <w:r w:rsidRPr="00E07B1B">
        <w:t xml:space="preserve">fibre diet. Women </w:t>
      </w:r>
      <w:r>
        <w:t>who had</w:t>
      </w:r>
      <w:r w:rsidRPr="00E07B1B">
        <w:t xml:space="preserve"> a high-monounsaturated fat diet had a significantly higher body mass index at time of birth compared with those </w:t>
      </w:r>
      <w:r>
        <w:t>on</w:t>
      </w:r>
      <w:r w:rsidRPr="00E07B1B">
        <w:t xml:space="preserve"> a high-carbohydrate diet (Han </w:t>
      </w:r>
      <w:r w:rsidR="00D562F2">
        <w:t>et al</w:t>
      </w:r>
      <w:r w:rsidRPr="00E07B1B">
        <w:t xml:space="preserve"> 2013).</w:t>
      </w:r>
    </w:p>
    <w:p w:rsidR="0025490C" w:rsidRDefault="0025490C" w:rsidP="00E27BE3"/>
    <w:p w:rsidR="00E27BE3" w:rsidRPr="00E07B1B" w:rsidRDefault="00E27BE3" w:rsidP="00E27BE3">
      <w:r w:rsidRPr="00E07B1B">
        <w:t xml:space="preserve">Dieticians New Zealand </w:t>
      </w:r>
      <w:r>
        <w:t>(</w:t>
      </w:r>
      <w:r w:rsidRPr="00E07B1B">
        <w:t>2011</w:t>
      </w:r>
      <w:r>
        <w:t>)</w:t>
      </w:r>
      <w:r w:rsidRPr="00E07B1B">
        <w:t xml:space="preserve"> provides culturally appropriate, effective nutritional advice to women with gestational diabetes. </w:t>
      </w:r>
      <w:r>
        <w:t>It</w:t>
      </w:r>
      <w:r w:rsidRPr="00E07B1B">
        <w:t xml:space="preserve"> base</w:t>
      </w:r>
      <w:r>
        <w:t>s</w:t>
      </w:r>
      <w:r w:rsidRPr="00E07B1B">
        <w:t xml:space="preserve"> the recommended weight gain in pregnancy </w:t>
      </w:r>
      <w:r>
        <w:t>on</w:t>
      </w:r>
      <w:r w:rsidRPr="00E07B1B">
        <w:t xml:space="preserve"> the Ministry of Health (2014) guidelines (Table </w:t>
      </w:r>
      <w:r w:rsidR="00C04C3B">
        <w:t>A</w:t>
      </w:r>
      <w:r w:rsidRPr="00E07B1B">
        <w:t>).</w:t>
      </w:r>
    </w:p>
    <w:p w:rsidR="00E27BE3" w:rsidRDefault="00E27BE3" w:rsidP="00E27BE3"/>
    <w:p w:rsidR="00E27BE3" w:rsidRPr="008C5AF9" w:rsidRDefault="00E27BE3" w:rsidP="00E27BE3">
      <w:pPr>
        <w:pStyle w:val="BoxHeading"/>
        <w:keepNext/>
      </w:pPr>
      <w:r w:rsidRPr="008C5AF9">
        <w:t>Key points</w:t>
      </w:r>
    </w:p>
    <w:p w:rsidR="00E27BE3" w:rsidRPr="009B0006" w:rsidRDefault="00E27BE3" w:rsidP="00E27BE3">
      <w:pPr>
        <w:pStyle w:val="BoxBullet"/>
        <w:keepNext/>
      </w:pPr>
      <w:r>
        <w:t>Avoid</w:t>
      </w:r>
      <w:r w:rsidRPr="009B0006">
        <w:t xml:space="preserve"> excessive weight gain in pregnancy</w:t>
      </w:r>
      <w:r>
        <w:t>.</w:t>
      </w:r>
    </w:p>
    <w:p w:rsidR="00E27BE3" w:rsidRPr="009B0006" w:rsidRDefault="00E27BE3" w:rsidP="00E27BE3">
      <w:pPr>
        <w:pStyle w:val="BoxBullet"/>
        <w:keepNext/>
      </w:pPr>
      <w:r>
        <w:t>E</w:t>
      </w:r>
      <w:r w:rsidRPr="009B0006">
        <w:t xml:space="preserve">nergy </w:t>
      </w:r>
      <w:r>
        <w:t>intake should be no less than 1800 kcal/day</w:t>
      </w:r>
      <w:r w:rsidRPr="009B0006">
        <w:t xml:space="preserve"> and </w:t>
      </w:r>
      <w:r>
        <w:t xml:space="preserve">should include a distribution of </w:t>
      </w:r>
      <w:r w:rsidRPr="009B0006">
        <w:t>macronutrient</w:t>
      </w:r>
      <w:r>
        <w:t>s.</w:t>
      </w:r>
    </w:p>
    <w:p w:rsidR="00E27BE3" w:rsidRPr="009B0006" w:rsidRDefault="00E27BE3" w:rsidP="00E27BE3">
      <w:pPr>
        <w:pStyle w:val="BoxBullet"/>
        <w:keepNext/>
      </w:pPr>
      <w:r>
        <w:t xml:space="preserve">Have </w:t>
      </w:r>
      <w:r w:rsidRPr="009B0006">
        <w:t>smaller, more frequent nutrient dense meals</w:t>
      </w:r>
      <w:r>
        <w:t>.</w:t>
      </w:r>
    </w:p>
    <w:p w:rsidR="00E27BE3" w:rsidRDefault="00E27BE3" w:rsidP="00E27BE3">
      <w:pPr>
        <w:pStyle w:val="BoxBullet"/>
      </w:pPr>
      <w:r>
        <w:t xml:space="preserve">Develop </w:t>
      </w:r>
      <w:r w:rsidRPr="009B0006">
        <w:t>individualised meal plan</w:t>
      </w:r>
      <w:r>
        <w:t xml:space="preserve">s with </w:t>
      </w:r>
      <w:r w:rsidRPr="009B0006">
        <w:t>a dietician, incorporating lifestyle and cultural factors</w:t>
      </w:r>
      <w:r>
        <w:t>.</w:t>
      </w:r>
    </w:p>
    <w:p w:rsidR="00E27BE3" w:rsidRPr="00E27BE3" w:rsidRDefault="00E27BE3" w:rsidP="00E27BE3">
      <w:pPr>
        <w:pStyle w:val="Box"/>
        <w:rPr>
          <w:sz w:val="20"/>
        </w:rPr>
      </w:pPr>
      <w:r w:rsidRPr="00E27BE3">
        <w:rPr>
          <w:sz w:val="20"/>
        </w:rPr>
        <w:t>Source: Dieticians New Zealand (2011)</w:t>
      </w:r>
    </w:p>
    <w:p w:rsidR="00E27BE3" w:rsidRPr="00E07B1B" w:rsidRDefault="00E27BE3" w:rsidP="00E27BE3"/>
    <w:p w:rsidR="0025490C" w:rsidRPr="00E07B1B" w:rsidRDefault="0025490C" w:rsidP="00E27BE3">
      <w:pPr>
        <w:pStyle w:val="Table"/>
      </w:pPr>
      <w:bookmarkStart w:id="155" w:name="_Toc403635879"/>
      <w:r w:rsidRPr="00E07B1B">
        <w:t xml:space="preserve">Table </w:t>
      </w:r>
      <w:r w:rsidR="00C04C3B">
        <w:t>A</w:t>
      </w:r>
      <w:r w:rsidR="00E27BE3">
        <w:t>:</w:t>
      </w:r>
      <w:r w:rsidRPr="00E07B1B">
        <w:t xml:space="preserve"> Ministry of Health recommendations on weight gain in pregnancy</w:t>
      </w:r>
      <w:bookmarkEnd w:id="155"/>
    </w:p>
    <w:tbl>
      <w:tblPr>
        <w:tblW w:w="494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3829"/>
        <w:gridCol w:w="2763"/>
        <w:gridCol w:w="2763"/>
      </w:tblGrid>
      <w:tr w:rsidR="0025490C" w:rsidRPr="00E27BE3" w:rsidTr="0011795B">
        <w:trPr>
          <w:cantSplit/>
        </w:trPr>
        <w:tc>
          <w:tcPr>
            <w:tcW w:w="2046" w:type="pct"/>
            <w:tcBorders>
              <w:top w:val="single" w:sz="4" w:space="0" w:color="auto"/>
              <w:bottom w:val="single" w:sz="4" w:space="0" w:color="auto"/>
            </w:tcBorders>
            <w:shd w:val="clear" w:color="auto" w:fill="auto"/>
          </w:tcPr>
          <w:p w:rsidR="0025490C" w:rsidRPr="00E27BE3" w:rsidRDefault="0025490C" w:rsidP="00E27BE3">
            <w:pPr>
              <w:pStyle w:val="TableText"/>
              <w:rPr>
                <w:b/>
              </w:rPr>
            </w:pPr>
            <w:r w:rsidRPr="00E27BE3">
              <w:rPr>
                <w:b/>
              </w:rPr>
              <w:t>Pre-pregnancy body mass index</w:t>
            </w:r>
          </w:p>
        </w:tc>
        <w:tc>
          <w:tcPr>
            <w:tcW w:w="1477" w:type="pct"/>
            <w:tcBorders>
              <w:top w:val="single" w:sz="4" w:space="0" w:color="auto"/>
              <w:bottom w:val="single" w:sz="4" w:space="0" w:color="auto"/>
            </w:tcBorders>
            <w:shd w:val="clear" w:color="auto" w:fill="auto"/>
          </w:tcPr>
          <w:p w:rsidR="0025490C" w:rsidRPr="00E27BE3" w:rsidRDefault="0025490C" w:rsidP="0011795B">
            <w:pPr>
              <w:pStyle w:val="TableText"/>
              <w:jc w:val="center"/>
              <w:rPr>
                <w:b/>
              </w:rPr>
            </w:pPr>
            <w:r w:rsidRPr="00E27BE3">
              <w:rPr>
                <w:b/>
              </w:rPr>
              <w:t>Body mass index</w:t>
            </w:r>
            <w:r w:rsidR="0011795B">
              <w:rPr>
                <w:b/>
              </w:rPr>
              <w:br/>
            </w:r>
            <w:r w:rsidRPr="00E27BE3">
              <w:rPr>
                <w:b/>
              </w:rPr>
              <w:t>(kg/m</w:t>
            </w:r>
            <w:r w:rsidRPr="00E27BE3">
              <w:rPr>
                <w:b/>
                <w:vertAlign w:val="superscript"/>
              </w:rPr>
              <w:t>2</w:t>
            </w:r>
            <w:r w:rsidRPr="00E27BE3">
              <w:rPr>
                <w:b/>
              </w:rPr>
              <w:t>)*</w:t>
            </w:r>
          </w:p>
        </w:tc>
        <w:tc>
          <w:tcPr>
            <w:tcW w:w="1477" w:type="pct"/>
            <w:tcBorders>
              <w:top w:val="single" w:sz="4" w:space="0" w:color="auto"/>
              <w:bottom w:val="single" w:sz="4" w:space="0" w:color="auto"/>
            </w:tcBorders>
            <w:shd w:val="clear" w:color="auto" w:fill="auto"/>
          </w:tcPr>
          <w:p w:rsidR="0025490C" w:rsidRPr="00E27BE3" w:rsidRDefault="0025490C" w:rsidP="0011795B">
            <w:pPr>
              <w:pStyle w:val="TableText"/>
              <w:jc w:val="center"/>
              <w:rPr>
                <w:b/>
              </w:rPr>
            </w:pPr>
            <w:r w:rsidRPr="00E27BE3">
              <w:rPr>
                <w:b/>
              </w:rPr>
              <w:t>Total weight gain range</w:t>
            </w:r>
            <w:r w:rsidR="0011795B">
              <w:rPr>
                <w:b/>
              </w:rPr>
              <w:br/>
            </w:r>
            <w:r w:rsidRPr="00E27BE3">
              <w:rPr>
                <w:b/>
              </w:rPr>
              <w:t>(kg)</w:t>
            </w:r>
          </w:p>
        </w:tc>
      </w:tr>
      <w:tr w:rsidR="0025490C" w:rsidRPr="00E07B1B" w:rsidTr="0011795B">
        <w:trPr>
          <w:cantSplit/>
        </w:trPr>
        <w:tc>
          <w:tcPr>
            <w:tcW w:w="2046" w:type="pct"/>
            <w:tcBorders>
              <w:top w:val="single" w:sz="4" w:space="0" w:color="auto"/>
              <w:bottom w:val="nil"/>
            </w:tcBorders>
            <w:shd w:val="clear" w:color="auto" w:fill="F2F2F2" w:themeFill="background1" w:themeFillShade="F2"/>
          </w:tcPr>
          <w:p w:rsidR="0025490C" w:rsidRPr="00E07B1B" w:rsidRDefault="0025490C" w:rsidP="00E27BE3">
            <w:pPr>
              <w:pStyle w:val="TableText"/>
            </w:pPr>
            <w:r w:rsidRPr="00E07B1B">
              <w:t>Underweight</w:t>
            </w:r>
          </w:p>
        </w:tc>
        <w:tc>
          <w:tcPr>
            <w:tcW w:w="1477" w:type="pct"/>
            <w:tcBorders>
              <w:top w:val="single" w:sz="4" w:space="0" w:color="auto"/>
              <w:bottom w:val="nil"/>
            </w:tcBorders>
            <w:shd w:val="clear" w:color="auto" w:fill="F2F2F2" w:themeFill="background1" w:themeFillShade="F2"/>
          </w:tcPr>
          <w:p w:rsidR="0025490C" w:rsidRPr="00E07B1B" w:rsidRDefault="0025490C" w:rsidP="0011795B">
            <w:pPr>
              <w:pStyle w:val="TableText"/>
              <w:jc w:val="center"/>
            </w:pPr>
            <w:r w:rsidRPr="00E07B1B">
              <w:t>&lt; 18.5</w:t>
            </w:r>
          </w:p>
        </w:tc>
        <w:tc>
          <w:tcPr>
            <w:tcW w:w="1477" w:type="pct"/>
            <w:tcBorders>
              <w:top w:val="single" w:sz="4" w:space="0" w:color="auto"/>
              <w:bottom w:val="nil"/>
            </w:tcBorders>
            <w:shd w:val="clear" w:color="auto" w:fill="F2F2F2" w:themeFill="background1" w:themeFillShade="F2"/>
          </w:tcPr>
          <w:p w:rsidR="0025490C" w:rsidRPr="00E07B1B" w:rsidRDefault="0025490C" w:rsidP="0011795B">
            <w:pPr>
              <w:pStyle w:val="TableText"/>
              <w:jc w:val="center"/>
            </w:pPr>
            <w:r w:rsidRPr="00E07B1B">
              <w:t>13</w:t>
            </w:r>
            <w:r>
              <w:t>–</w:t>
            </w:r>
            <w:r w:rsidRPr="00E07B1B">
              <w:t>18</w:t>
            </w:r>
          </w:p>
        </w:tc>
      </w:tr>
      <w:tr w:rsidR="0025490C" w:rsidRPr="00E07B1B" w:rsidTr="0011795B">
        <w:trPr>
          <w:cantSplit/>
        </w:trPr>
        <w:tc>
          <w:tcPr>
            <w:tcW w:w="2046" w:type="pct"/>
            <w:tcBorders>
              <w:top w:val="nil"/>
              <w:bottom w:val="nil"/>
            </w:tcBorders>
            <w:shd w:val="clear" w:color="auto" w:fill="auto"/>
          </w:tcPr>
          <w:p w:rsidR="0025490C" w:rsidRPr="00E07B1B" w:rsidRDefault="0025490C" w:rsidP="00E27BE3">
            <w:pPr>
              <w:pStyle w:val="TableText"/>
            </w:pPr>
            <w:r w:rsidRPr="00E07B1B">
              <w:t>Normal weight</w:t>
            </w:r>
          </w:p>
        </w:tc>
        <w:tc>
          <w:tcPr>
            <w:tcW w:w="1477" w:type="pct"/>
            <w:tcBorders>
              <w:top w:val="nil"/>
              <w:bottom w:val="nil"/>
            </w:tcBorders>
            <w:shd w:val="clear" w:color="auto" w:fill="auto"/>
          </w:tcPr>
          <w:p w:rsidR="0025490C" w:rsidRPr="00E07B1B" w:rsidRDefault="0025490C" w:rsidP="0011795B">
            <w:pPr>
              <w:pStyle w:val="TableText"/>
              <w:jc w:val="center"/>
            </w:pPr>
            <w:r w:rsidRPr="00E07B1B">
              <w:t>18.5</w:t>
            </w:r>
            <w:r>
              <w:t>–</w:t>
            </w:r>
            <w:r w:rsidRPr="00E07B1B">
              <w:t>24.9</w:t>
            </w:r>
          </w:p>
        </w:tc>
        <w:tc>
          <w:tcPr>
            <w:tcW w:w="1477" w:type="pct"/>
            <w:tcBorders>
              <w:top w:val="nil"/>
              <w:bottom w:val="nil"/>
            </w:tcBorders>
            <w:shd w:val="clear" w:color="auto" w:fill="auto"/>
          </w:tcPr>
          <w:p w:rsidR="0025490C" w:rsidRPr="00E07B1B" w:rsidRDefault="0025490C" w:rsidP="0011795B">
            <w:pPr>
              <w:pStyle w:val="TableText"/>
              <w:jc w:val="center"/>
            </w:pPr>
            <w:r w:rsidRPr="00E07B1B">
              <w:t>11</w:t>
            </w:r>
            <w:r>
              <w:t>–</w:t>
            </w:r>
            <w:r w:rsidRPr="00E07B1B">
              <w:t>16</w:t>
            </w:r>
          </w:p>
        </w:tc>
      </w:tr>
      <w:tr w:rsidR="0025490C" w:rsidRPr="00E07B1B" w:rsidTr="0011795B">
        <w:trPr>
          <w:cantSplit/>
        </w:trPr>
        <w:tc>
          <w:tcPr>
            <w:tcW w:w="2046" w:type="pct"/>
            <w:tcBorders>
              <w:top w:val="nil"/>
              <w:bottom w:val="nil"/>
            </w:tcBorders>
            <w:shd w:val="clear" w:color="auto" w:fill="F2F2F2" w:themeFill="background1" w:themeFillShade="F2"/>
          </w:tcPr>
          <w:p w:rsidR="0025490C" w:rsidRPr="00E07B1B" w:rsidRDefault="0025490C" w:rsidP="00E27BE3">
            <w:pPr>
              <w:pStyle w:val="TableText"/>
            </w:pPr>
            <w:r w:rsidRPr="00E07B1B">
              <w:t>Overweight</w:t>
            </w:r>
          </w:p>
        </w:tc>
        <w:tc>
          <w:tcPr>
            <w:tcW w:w="1477" w:type="pct"/>
            <w:tcBorders>
              <w:top w:val="nil"/>
              <w:bottom w:val="nil"/>
            </w:tcBorders>
            <w:shd w:val="clear" w:color="auto" w:fill="F2F2F2" w:themeFill="background1" w:themeFillShade="F2"/>
          </w:tcPr>
          <w:p w:rsidR="0025490C" w:rsidRPr="00E07B1B" w:rsidRDefault="0025490C" w:rsidP="0011795B">
            <w:pPr>
              <w:pStyle w:val="TableText"/>
              <w:jc w:val="center"/>
            </w:pPr>
            <w:r w:rsidRPr="00E07B1B">
              <w:t>25.0</w:t>
            </w:r>
            <w:r>
              <w:t>–</w:t>
            </w:r>
            <w:r w:rsidRPr="00E07B1B">
              <w:t>29.9</w:t>
            </w:r>
          </w:p>
        </w:tc>
        <w:tc>
          <w:tcPr>
            <w:tcW w:w="1477" w:type="pct"/>
            <w:tcBorders>
              <w:top w:val="nil"/>
              <w:bottom w:val="nil"/>
            </w:tcBorders>
            <w:shd w:val="clear" w:color="auto" w:fill="F2F2F2" w:themeFill="background1" w:themeFillShade="F2"/>
          </w:tcPr>
          <w:p w:rsidR="0025490C" w:rsidRPr="00E07B1B" w:rsidRDefault="0025490C" w:rsidP="0011795B">
            <w:pPr>
              <w:pStyle w:val="TableText"/>
              <w:jc w:val="center"/>
            </w:pPr>
            <w:r w:rsidRPr="00E07B1B">
              <w:t>7</w:t>
            </w:r>
            <w:r>
              <w:t>–</w:t>
            </w:r>
            <w:r w:rsidRPr="00E07B1B">
              <w:t>11</w:t>
            </w:r>
          </w:p>
        </w:tc>
      </w:tr>
      <w:tr w:rsidR="0025490C" w:rsidRPr="00E07B1B" w:rsidTr="0011795B">
        <w:trPr>
          <w:cantSplit/>
        </w:trPr>
        <w:tc>
          <w:tcPr>
            <w:tcW w:w="2046" w:type="pct"/>
            <w:tcBorders>
              <w:top w:val="nil"/>
            </w:tcBorders>
            <w:shd w:val="clear" w:color="auto" w:fill="auto"/>
          </w:tcPr>
          <w:p w:rsidR="0025490C" w:rsidRPr="00E07B1B" w:rsidRDefault="0025490C" w:rsidP="00E27BE3">
            <w:pPr>
              <w:pStyle w:val="TableText"/>
            </w:pPr>
            <w:r w:rsidRPr="00E07B1B">
              <w:t>Obese (all classes)</w:t>
            </w:r>
          </w:p>
        </w:tc>
        <w:tc>
          <w:tcPr>
            <w:tcW w:w="1477" w:type="pct"/>
            <w:tcBorders>
              <w:top w:val="nil"/>
            </w:tcBorders>
            <w:shd w:val="clear" w:color="auto" w:fill="auto"/>
          </w:tcPr>
          <w:p w:rsidR="0025490C" w:rsidRPr="00E07B1B" w:rsidRDefault="0025490C" w:rsidP="0011795B">
            <w:pPr>
              <w:pStyle w:val="TableText"/>
              <w:jc w:val="center"/>
            </w:pPr>
            <w:r w:rsidRPr="00E07B1B">
              <w:t>≥ 30.0</w:t>
            </w:r>
          </w:p>
        </w:tc>
        <w:tc>
          <w:tcPr>
            <w:tcW w:w="1477" w:type="pct"/>
            <w:tcBorders>
              <w:top w:val="nil"/>
            </w:tcBorders>
            <w:shd w:val="clear" w:color="auto" w:fill="auto"/>
          </w:tcPr>
          <w:p w:rsidR="0025490C" w:rsidRPr="00E07B1B" w:rsidRDefault="0025490C" w:rsidP="0011795B">
            <w:pPr>
              <w:pStyle w:val="TableText"/>
              <w:jc w:val="center"/>
            </w:pPr>
            <w:r w:rsidRPr="00E07B1B">
              <w:t>5</w:t>
            </w:r>
            <w:r>
              <w:t>–</w:t>
            </w:r>
            <w:r w:rsidRPr="00E07B1B">
              <w:t>9</w:t>
            </w:r>
          </w:p>
        </w:tc>
      </w:tr>
    </w:tbl>
    <w:p w:rsidR="0025490C" w:rsidRPr="00E07B1B" w:rsidRDefault="0025490C" w:rsidP="0011795B">
      <w:pPr>
        <w:pStyle w:val="Source"/>
      </w:pPr>
      <w:r w:rsidRPr="00E07B1B">
        <w:t xml:space="preserve">Source: </w:t>
      </w:r>
      <w:r>
        <w:t>Institute of Medicine (2009), cited in Ministry of Health (2014)</w:t>
      </w:r>
    </w:p>
    <w:p w:rsidR="0025490C" w:rsidRPr="00E07B1B" w:rsidRDefault="0025490C" w:rsidP="0011795B"/>
    <w:p w:rsidR="0025490C" w:rsidRPr="00E07B1B" w:rsidRDefault="0025490C" w:rsidP="0011795B">
      <w:pPr>
        <w:pStyle w:val="Heading2"/>
      </w:pPr>
      <w:bookmarkStart w:id="156" w:name="_Toc363207321"/>
      <w:bookmarkStart w:id="157" w:name="_Toc402873552"/>
      <w:bookmarkStart w:id="158" w:name="_Toc403469634"/>
      <w:r w:rsidRPr="00E07B1B">
        <w:t>5.5</w:t>
      </w:r>
      <w:r w:rsidR="0011795B">
        <w:tab/>
      </w:r>
      <w:r w:rsidRPr="00E07B1B">
        <w:t>Oral hypoglycaemics and insulin</w:t>
      </w:r>
      <w:bookmarkEnd w:id="156"/>
      <w:bookmarkEnd w:id="157"/>
      <w:bookmarkEnd w:id="158"/>
    </w:p>
    <w:p w:rsidR="0025490C" w:rsidRDefault="0025490C" w:rsidP="0011795B">
      <w:r w:rsidRPr="00E07B1B">
        <w:t xml:space="preserve">Seven systematic reviews </w:t>
      </w:r>
      <w:r>
        <w:t>comparing</w:t>
      </w:r>
      <w:r w:rsidRPr="00E07B1B">
        <w:t xml:space="preserve"> oral hypoglycaemic agents with insulin were identified (</w:t>
      </w:r>
      <w:r>
        <w:t>NICE</w:t>
      </w:r>
      <w:r w:rsidRPr="00E07B1B">
        <w:t xml:space="preserve"> 2008; Alwan</w:t>
      </w:r>
      <w:r>
        <w:t xml:space="preserve"> </w:t>
      </w:r>
      <w:r w:rsidR="00D562F2">
        <w:t>et al</w:t>
      </w:r>
      <w:r w:rsidRPr="00E07B1B">
        <w:t xml:space="preserve"> 2009; Nicholson </w:t>
      </w:r>
      <w:r w:rsidR="00D562F2">
        <w:t>et al</w:t>
      </w:r>
      <w:r w:rsidRPr="00E07B1B">
        <w:t xml:space="preserve"> 2009</w:t>
      </w:r>
      <w:r>
        <w:t>, 2011</w:t>
      </w:r>
      <w:r w:rsidRPr="00E07B1B">
        <w:t xml:space="preserve">; Wensel 2009; Dhulkotia </w:t>
      </w:r>
      <w:r w:rsidR="00D562F2">
        <w:t>et al</w:t>
      </w:r>
      <w:r w:rsidRPr="00E07B1B">
        <w:t xml:space="preserve"> 2010; Waugh </w:t>
      </w:r>
      <w:r w:rsidR="00D562F2">
        <w:t>et al</w:t>
      </w:r>
      <w:r w:rsidRPr="00E07B1B">
        <w:t xml:space="preserve"> 2010).</w:t>
      </w:r>
    </w:p>
    <w:p w:rsidR="0025490C" w:rsidRPr="00E07B1B" w:rsidRDefault="0025490C" w:rsidP="0011795B"/>
    <w:p w:rsidR="0025490C" w:rsidRDefault="0025490C" w:rsidP="0011795B">
      <w:r>
        <w:t>The Guideline Development Team</w:t>
      </w:r>
      <w:r w:rsidRPr="00E07B1B">
        <w:t xml:space="preserve"> included 13 trials identified in the Cochrane systematic review </w:t>
      </w:r>
      <w:r>
        <w:t xml:space="preserve">currently being updated in 2014 </w:t>
      </w:r>
      <w:r w:rsidRPr="00E07B1B">
        <w:t>(Alwan</w:t>
      </w:r>
      <w:r>
        <w:t xml:space="preserve"> </w:t>
      </w:r>
      <w:r w:rsidR="00D562F2">
        <w:t>et al</w:t>
      </w:r>
      <w:r w:rsidRPr="00E07B1B">
        <w:t xml:space="preserve"> 2009). Seven randomised trials used glibenclamide (</w:t>
      </w:r>
      <w:r w:rsidRPr="008C5AF9">
        <w:rPr>
          <w:i/>
        </w:rPr>
        <w:t>n</w:t>
      </w:r>
      <w:r>
        <w:t xml:space="preserve"> </w:t>
      </w:r>
      <w:r w:rsidRPr="00E07B1B">
        <w:t>=</w:t>
      </w:r>
      <w:r>
        <w:t xml:space="preserve"> </w:t>
      </w:r>
      <w:r w:rsidRPr="00E07B1B">
        <w:t>821 women), six trials used metformin (</w:t>
      </w:r>
      <w:r w:rsidRPr="008C5AF9">
        <w:rPr>
          <w:i/>
        </w:rPr>
        <w:t>n</w:t>
      </w:r>
      <w:r>
        <w:t xml:space="preserve"> </w:t>
      </w:r>
      <w:r w:rsidRPr="00E07B1B">
        <w:t>=</w:t>
      </w:r>
      <w:r>
        <w:t xml:space="preserve"> </w:t>
      </w:r>
      <w:r w:rsidRPr="00E07B1B">
        <w:t xml:space="preserve">1319) and one trial compared acarbose with insulin. All trials compared oral hypoglycaemics with insulin. Tables 34 and 35 </w:t>
      </w:r>
      <w:r>
        <w:t xml:space="preserve">in </w:t>
      </w:r>
      <w:r w:rsidRPr="00E07B1B">
        <w:t>Appendix K provide details of screening/diagnostic criteria and demographic details of the participants in the</w:t>
      </w:r>
      <w:r>
        <w:t>se</w:t>
      </w:r>
      <w:r w:rsidRPr="00E07B1B">
        <w:t xml:space="preserve"> randomised trials.</w:t>
      </w:r>
    </w:p>
    <w:p w:rsidR="0025490C" w:rsidRPr="00E07B1B" w:rsidRDefault="0025490C" w:rsidP="0011795B"/>
    <w:p w:rsidR="0068074A" w:rsidRDefault="0025490C" w:rsidP="0011795B">
      <w:pPr>
        <w:pStyle w:val="Heading3"/>
      </w:pPr>
      <w:r w:rsidRPr="00E07B1B">
        <w:t>5.5.1</w:t>
      </w:r>
      <w:r w:rsidR="0011795B">
        <w:tab/>
      </w:r>
      <w:r w:rsidRPr="00E07B1B">
        <w:t>Maternal outcomes</w:t>
      </w:r>
    </w:p>
    <w:p w:rsidR="0025490C" w:rsidRPr="00E07B1B" w:rsidRDefault="0025490C" w:rsidP="0011795B">
      <w:r w:rsidRPr="00E07B1B">
        <w:t>No trials reported any cases of maternal mortality. There were no statistically significant differences between women treated with oral hypoglycaemics or insulin in the occurrence of pre-eclampsia or caesarean section rate, induction of labour or diagnosis of type 2 diabetes postpartum. Supplementary insulin was required by 6.9% of participants treated with glibenclamide, 34% of those treated with metformin and 42% of those treated with acarbose.</w:t>
      </w:r>
    </w:p>
    <w:p w:rsidR="0025490C" w:rsidRDefault="0025490C" w:rsidP="0011795B"/>
    <w:p w:rsidR="0068074A" w:rsidRDefault="0025490C" w:rsidP="0011795B">
      <w:r w:rsidRPr="00E07B1B">
        <w:t>Gestational weight gain was reported in five trials. Due to the high levels of heterogeneity (probably due to the different definitions used)</w:t>
      </w:r>
      <w:r>
        <w:t>,</w:t>
      </w:r>
      <w:r w:rsidRPr="00E07B1B">
        <w:t xml:space="preserve"> it was inappropriate to combine the data in a meta-analysis. Women who received metformin had significantly less weight gain (kg) during pregnancy compared with those who received insulin. One of the trials reported the greatest difference with a mean of 0.4</w:t>
      </w:r>
      <w:r>
        <w:t xml:space="preserve"> </w:t>
      </w:r>
      <w:r w:rsidRPr="00E07B1B">
        <w:t>±</w:t>
      </w:r>
      <w:r>
        <w:t xml:space="preserve"> </w:t>
      </w:r>
      <w:r w:rsidRPr="00E07B1B">
        <w:t>2.9 kg weight gain in the women receiving metformin and 2.0</w:t>
      </w:r>
      <w:r w:rsidR="0011795B">
        <w:t> </w:t>
      </w:r>
      <w:r w:rsidRPr="00E07B1B">
        <w:t>±</w:t>
      </w:r>
      <w:r w:rsidR="0011795B">
        <w:t> </w:t>
      </w:r>
      <w:r w:rsidRPr="00E07B1B">
        <w:t>3.3</w:t>
      </w:r>
      <w:r>
        <w:t xml:space="preserve"> </w:t>
      </w:r>
      <w:r w:rsidRPr="00E07B1B">
        <w:t>kg weight gain in</w:t>
      </w:r>
      <w:r>
        <w:t xml:space="preserve"> the</w:t>
      </w:r>
      <w:r w:rsidRPr="00E07B1B">
        <w:t xml:space="preserve"> women receiving insulin.</w:t>
      </w:r>
    </w:p>
    <w:p w:rsidR="0025490C" w:rsidRDefault="0025490C" w:rsidP="0011795B">
      <w:pPr>
        <w:spacing w:before="240"/>
      </w:pPr>
      <w:r w:rsidRPr="00E07B1B">
        <w:t>Overall the trials have an insufficient duration of follow-up to ascertain the long</w:t>
      </w:r>
      <w:r>
        <w:t>-</w:t>
      </w:r>
      <w:r w:rsidRPr="00E07B1B">
        <w:t>term consequences of treating gestational diabetes on maternal and infant health.</w:t>
      </w:r>
    </w:p>
    <w:p w:rsidR="0025490C" w:rsidRPr="00E07B1B" w:rsidRDefault="0025490C" w:rsidP="0011795B"/>
    <w:p w:rsidR="0025490C" w:rsidRPr="00E07B1B" w:rsidRDefault="0025490C" w:rsidP="0011795B">
      <w:pPr>
        <w:pStyle w:val="Heading3"/>
      </w:pPr>
      <w:r w:rsidRPr="00E07B1B">
        <w:t>5.5.2</w:t>
      </w:r>
      <w:r w:rsidR="0011795B">
        <w:tab/>
      </w:r>
      <w:r w:rsidRPr="00E07B1B">
        <w:t>Neonatal outcomes</w:t>
      </w:r>
    </w:p>
    <w:p w:rsidR="0025490C" w:rsidRDefault="0025490C" w:rsidP="0011795B">
      <w:r w:rsidRPr="00E07B1B">
        <w:t>Overall there were no statistical differences between oral hypoglycaemics and insulin for infants born large for gestational age. Subgroup analysis found that women who had been treated with glibenclamide were 54% more likely (relative risk) to have a large for gestational age infant (</w:t>
      </w:r>
      <w:r w:rsidRPr="008C5AF9">
        <w:rPr>
          <w:i/>
        </w:rPr>
        <w:t>p</w:t>
      </w:r>
      <w:r w:rsidR="0011795B">
        <w:rPr>
          <w:i/>
        </w:rPr>
        <w:t> </w:t>
      </w:r>
      <w:r w:rsidRPr="00E07B1B">
        <w:t>=</w:t>
      </w:r>
      <w:r w:rsidR="0011795B">
        <w:t> </w:t>
      </w:r>
      <w:r w:rsidRPr="00E07B1B">
        <w:t>0.04).</w:t>
      </w:r>
    </w:p>
    <w:p w:rsidR="0025490C" w:rsidRPr="00E07B1B" w:rsidRDefault="0025490C" w:rsidP="0011795B"/>
    <w:p w:rsidR="0025490C" w:rsidRDefault="0025490C" w:rsidP="0011795B">
      <w:r w:rsidRPr="00E07B1B">
        <w:t>Overall there was no difference observed in the occurrence of neonatal hypoglycaemia between infants whose mothers were treated with oral hypoglycaemics and those</w:t>
      </w:r>
      <w:r>
        <w:t xml:space="preserve"> whose mothers were</w:t>
      </w:r>
      <w:r w:rsidRPr="00E07B1B">
        <w:t xml:space="preserve"> treated with insulin</w:t>
      </w:r>
      <w:r>
        <w:t xml:space="preserve">. However, the risk of </w:t>
      </w:r>
      <w:r w:rsidRPr="00E07B1B">
        <w:t>neonatal hypoglycaemia</w:t>
      </w:r>
      <w:r>
        <w:t xml:space="preserve"> was two times higher in</w:t>
      </w:r>
      <w:r w:rsidRPr="00E07B1B">
        <w:t xml:space="preserve"> infants whose mothers had received glibenclamide compared with infants whose mothers had received insulin</w:t>
      </w:r>
      <w:r w:rsidR="0068074A">
        <w:t xml:space="preserve"> </w:t>
      </w:r>
      <w:r w:rsidRPr="00E07B1B">
        <w:t>(</w:t>
      </w:r>
      <w:r w:rsidRPr="008C5AF9">
        <w:rPr>
          <w:i/>
        </w:rPr>
        <w:t>p</w:t>
      </w:r>
      <w:r>
        <w:t xml:space="preserve"> </w:t>
      </w:r>
      <w:r w:rsidRPr="00E07B1B">
        <w:t>=</w:t>
      </w:r>
      <w:r>
        <w:t xml:space="preserve"> </w:t>
      </w:r>
      <w:r w:rsidRPr="00E07B1B">
        <w:t>0.003).</w:t>
      </w:r>
    </w:p>
    <w:p w:rsidR="0025490C" w:rsidRPr="00E07B1B" w:rsidRDefault="0025490C" w:rsidP="0011795B"/>
    <w:p w:rsidR="0025490C" w:rsidRDefault="0025490C" w:rsidP="0011795B">
      <w:r w:rsidRPr="00E07B1B">
        <w:t xml:space="preserve">There were significantly more infants delivered before 37 weeks in the oral hypoglycaemic group compared </w:t>
      </w:r>
      <w:r>
        <w:t>with</w:t>
      </w:r>
      <w:r w:rsidRPr="00E07B1B">
        <w:t xml:space="preserve"> those whose mothers had received insulin</w:t>
      </w:r>
      <w:r w:rsidR="0068074A">
        <w:t xml:space="preserve"> </w:t>
      </w:r>
      <w:r w:rsidRPr="00E07B1B">
        <w:t>(</w:t>
      </w:r>
      <w:r w:rsidRPr="008C5AF9">
        <w:rPr>
          <w:i/>
        </w:rPr>
        <w:t>p</w:t>
      </w:r>
      <w:r>
        <w:t xml:space="preserve"> </w:t>
      </w:r>
      <w:r w:rsidRPr="00E07B1B">
        <w:t>=</w:t>
      </w:r>
      <w:r>
        <w:t xml:space="preserve"> </w:t>
      </w:r>
      <w:r w:rsidRPr="00E07B1B">
        <w:t>0.03). Subgroup analysis only found the difference to be observed in the trials comparing metformin and insulin</w:t>
      </w:r>
      <w:r>
        <w:t>;</w:t>
      </w:r>
      <w:r w:rsidRPr="00E07B1B">
        <w:t xml:space="preserve"> the difference is</w:t>
      </w:r>
      <w:r>
        <w:t>,</w:t>
      </w:r>
      <w:r w:rsidRPr="00E07B1B">
        <w:t xml:space="preserve"> however</w:t>
      </w:r>
      <w:r>
        <w:t>,</w:t>
      </w:r>
      <w:r w:rsidRPr="00E07B1B">
        <w:t xml:space="preserve"> not clinically significant (</w:t>
      </w:r>
      <w:r>
        <w:t>refer to Appendix K, Figure 18).</w:t>
      </w:r>
    </w:p>
    <w:p w:rsidR="0025490C" w:rsidRPr="00E07B1B" w:rsidRDefault="0025490C" w:rsidP="0011795B"/>
    <w:p w:rsidR="0025490C" w:rsidRDefault="0025490C" w:rsidP="0011795B">
      <w:r w:rsidRPr="00E07B1B">
        <w:t>There were no statistical</w:t>
      </w:r>
      <w:r>
        <w:t>ly significant</w:t>
      </w:r>
      <w:r w:rsidRPr="00E07B1B">
        <w:t xml:space="preserve"> differences in perinatal death, fetal deaths or stillbirths </w:t>
      </w:r>
      <w:r>
        <w:t>between</w:t>
      </w:r>
      <w:r w:rsidRPr="00E07B1B">
        <w:t xml:space="preserve"> women who had received oral hypoglycaemics and those who had received insulin. Nor were there any difference</w:t>
      </w:r>
      <w:r>
        <w:t>s</w:t>
      </w:r>
      <w:r w:rsidRPr="00E07B1B">
        <w:t xml:space="preserve"> in rates of hyperbilirubinaemia or respiratory distress syndrome, shoulder dystocia or admission to neonatal intensive care.</w:t>
      </w:r>
    </w:p>
    <w:p w:rsidR="0025490C" w:rsidRPr="00E07B1B" w:rsidRDefault="0025490C" w:rsidP="0011795B"/>
    <w:p w:rsidR="0025490C" w:rsidRDefault="0025490C" w:rsidP="0011795B">
      <w:pPr>
        <w:rPr>
          <w:rFonts w:eastAsia="MS Gothic"/>
        </w:rPr>
      </w:pPr>
      <w:r w:rsidRPr="00E07B1B">
        <w:t xml:space="preserve">One trial (metformin versus insulin) reported childhood follow-up at </w:t>
      </w:r>
      <w:r>
        <w:t>two years of age</w:t>
      </w:r>
      <w:r w:rsidRPr="00E07B1B">
        <w:rPr>
          <w:rFonts w:eastAsia="MS Gothic"/>
        </w:rPr>
        <w:t>. There was no difference in childhood weight, childhood fat</w:t>
      </w:r>
      <w:r>
        <w:rPr>
          <w:rFonts w:eastAsia="MS Gothic"/>
        </w:rPr>
        <w:t>-</w:t>
      </w:r>
      <w:r w:rsidRPr="00E07B1B">
        <w:rPr>
          <w:rFonts w:eastAsia="MS Gothic"/>
        </w:rPr>
        <w:t>free mass, or childhood total fat percentage. The biceps skinfold thickness (mm) was</w:t>
      </w:r>
      <w:r>
        <w:rPr>
          <w:rFonts w:eastAsia="MS Gothic"/>
        </w:rPr>
        <w:t xml:space="preserve"> statistically</w:t>
      </w:r>
      <w:r w:rsidRPr="00E07B1B">
        <w:rPr>
          <w:rFonts w:eastAsia="MS Gothic"/>
        </w:rPr>
        <w:t xml:space="preserve"> significantly </w:t>
      </w:r>
      <w:r>
        <w:rPr>
          <w:rFonts w:eastAsia="MS Gothic"/>
        </w:rPr>
        <w:t>more</w:t>
      </w:r>
      <w:r w:rsidRPr="00E07B1B">
        <w:rPr>
          <w:rFonts w:eastAsia="MS Gothic"/>
        </w:rPr>
        <w:t xml:space="preserve"> in the group whose mothers had been treated with metformin (</w:t>
      </w:r>
      <w:r w:rsidRPr="008C5AF9">
        <w:rPr>
          <w:rFonts w:eastAsia="MS Gothic"/>
          <w:i/>
        </w:rPr>
        <w:t>p</w:t>
      </w:r>
      <w:r>
        <w:rPr>
          <w:rFonts w:eastAsia="MS Gothic"/>
        </w:rPr>
        <w:t xml:space="preserve"> </w:t>
      </w:r>
      <w:r w:rsidRPr="00E07B1B">
        <w:rPr>
          <w:rFonts w:eastAsia="MS Gothic"/>
        </w:rPr>
        <w:t>=</w:t>
      </w:r>
      <w:r>
        <w:rPr>
          <w:rFonts w:eastAsia="MS Gothic"/>
        </w:rPr>
        <w:t xml:space="preserve"> </w:t>
      </w:r>
      <w:r w:rsidRPr="00E07B1B">
        <w:rPr>
          <w:rFonts w:eastAsia="MS Gothic"/>
        </w:rPr>
        <w:t>0.05). The difference is less than 0.5 mm and may not be of clinical significance.</w:t>
      </w:r>
    </w:p>
    <w:p w:rsidR="0025490C" w:rsidRPr="00E07B1B" w:rsidRDefault="0025490C" w:rsidP="0011795B"/>
    <w:p w:rsidR="0025490C" w:rsidRPr="00E07B1B" w:rsidRDefault="0025490C" w:rsidP="0011795B">
      <w:pPr>
        <w:pStyle w:val="Heading3"/>
      </w:pPr>
      <w:r w:rsidRPr="00E07B1B">
        <w:t>5.5.3</w:t>
      </w:r>
      <w:r w:rsidR="0011795B">
        <w:tab/>
      </w:r>
      <w:r w:rsidRPr="00E07B1B">
        <w:t>Ongoing trials</w:t>
      </w:r>
    </w:p>
    <w:p w:rsidR="0025490C" w:rsidRPr="00E07B1B" w:rsidRDefault="0025490C" w:rsidP="0011795B">
      <w:r w:rsidRPr="00E07B1B">
        <w:t>A randomised controlled trial (comparing metformin and insulin) was identified that was published after the search</w:t>
      </w:r>
      <w:r>
        <w:t xml:space="preserve"> for this guideline</w:t>
      </w:r>
      <w:r w:rsidRPr="00E07B1B">
        <w:t xml:space="preserve"> had been conducted. The findings agree with the evidence presented above and would not alter the results of the meta-analysis (Spaulonc</w:t>
      </w:r>
      <w:r>
        <w:t>i</w:t>
      </w:r>
      <w:r w:rsidRPr="00E07B1B">
        <w:t xml:space="preserve"> </w:t>
      </w:r>
      <w:r w:rsidR="00D562F2">
        <w:t>et al</w:t>
      </w:r>
      <w:r w:rsidRPr="00E07B1B">
        <w:t xml:space="preserve"> 2013).</w:t>
      </w:r>
    </w:p>
    <w:p w:rsidR="0025490C" w:rsidRPr="00E07B1B" w:rsidRDefault="0025490C" w:rsidP="0011795B"/>
    <w:p w:rsidR="0025490C" w:rsidRPr="00E07B1B" w:rsidRDefault="0025490C" w:rsidP="0011795B">
      <w:r>
        <w:t>S</w:t>
      </w:r>
      <w:r w:rsidRPr="00E07B1B">
        <w:t>everal other randomised trials</w:t>
      </w:r>
      <w:r w:rsidRPr="00301ECD">
        <w:t xml:space="preserve"> </w:t>
      </w:r>
      <w:r w:rsidRPr="00E07B1B">
        <w:t>currently in recruitment phase plan to compare metformin and insulin:</w:t>
      </w:r>
    </w:p>
    <w:p w:rsidR="0025490C" w:rsidRPr="00E07B1B" w:rsidRDefault="0025490C" w:rsidP="0011795B">
      <w:pPr>
        <w:pStyle w:val="Bullet"/>
      </w:pPr>
      <w:r w:rsidRPr="00E07B1B">
        <w:t>Efficacy of metformin in achieving glycaemia goals as recommended for the treatment of gestational diabetes in non-obese women (</w:t>
      </w:r>
      <w:hyperlink r:id="rId34" w:history="1">
        <w:r w:rsidRPr="00E07B1B">
          <w:rPr>
            <w:rStyle w:val="Hyperlink"/>
            <w:rFonts w:cs="Arial"/>
            <w:szCs w:val="24"/>
          </w:rPr>
          <w:t>www.clinicaltrials.gov/ct2/show/NCT01756105</w:t>
        </w:r>
      </w:hyperlink>
      <w:r w:rsidRPr="00E07B1B">
        <w:t>)</w:t>
      </w:r>
    </w:p>
    <w:p w:rsidR="0025490C" w:rsidRPr="00E07B1B" w:rsidRDefault="0025490C" w:rsidP="0011795B">
      <w:pPr>
        <w:pStyle w:val="Bullet"/>
      </w:pPr>
      <w:r w:rsidRPr="00E07B1B">
        <w:t>Metformin versus in insulin in gestational diabetes (</w:t>
      </w:r>
      <w:hyperlink r:id="rId35" w:history="1">
        <w:r w:rsidRPr="00E07B1B">
          <w:rPr>
            <w:rStyle w:val="Hyperlink"/>
            <w:rFonts w:cs="Arial"/>
            <w:szCs w:val="24"/>
          </w:rPr>
          <w:t>www.clinicaltrials.gov/ct2/show/NCT01240785</w:t>
        </w:r>
      </w:hyperlink>
      <w:r w:rsidRPr="00E07B1B">
        <w:t>)</w:t>
      </w:r>
    </w:p>
    <w:p w:rsidR="0025490C" w:rsidRPr="00E07B1B" w:rsidRDefault="0025490C" w:rsidP="0011795B">
      <w:pPr>
        <w:pStyle w:val="Bullet"/>
      </w:pPr>
      <w:r w:rsidRPr="00E07B1B">
        <w:t>Gestational diabetes: Insulin or oral hypoglycaemic agents? (</w:t>
      </w:r>
      <w:hyperlink r:id="rId36" w:history="1">
        <w:r w:rsidRPr="00E07B1B">
          <w:rPr>
            <w:rStyle w:val="Hyperlink"/>
            <w:rFonts w:cs="Arial"/>
            <w:szCs w:val="24"/>
          </w:rPr>
          <w:t>www.clinicaltrials.gov/ct2/show/NCT01215331</w:t>
        </w:r>
      </w:hyperlink>
      <w:r w:rsidRPr="00E07B1B">
        <w:t>)</w:t>
      </w:r>
    </w:p>
    <w:p w:rsidR="0025490C" w:rsidRPr="00E07B1B" w:rsidRDefault="0025490C" w:rsidP="0011795B">
      <w:pPr>
        <w:pStyle w:val="Bullet"/>
      </w:pPr>
      <w:r w:rsidRPr="00E07B1B">
        <w:t>Metformin in gestational diabetes mellitus (MetGDM) (</w:t>
      </w:r>
      <w:hyperlink r:id="rId37" w:history="1">
        <w:r w:rsidRPr="00E07B1B">
          <w:rPr>
            <w:rStyle w:val="Hyperlink"/>
            <w:rFonts w:cs="Arial"/>
            <w:szCs w:val="24"/>
          </w:rPr>
          <w:t>www.clinicaltrials.gov/ct2/show/NCT00681460</w:t>
        </w:r>
      </w:hyperlink>
      <w:r w:rsidRPr="00E07B1B">
        <w:t>)</w:t>
      </w:r>
    </w:p>
    <w:p w:rsidR="0025490C" w:rsidRPr="00E07B1B" w:rsidRDefault="0025490C" w:rsidP="0011795B">
      <w:pPr>
        <w:pStyle w:val="Bullet"/>
      </w:pPr>
      <w:r w:rsidRPr="00E07B1B">
        <w:t xml:space="preserve">Probiotics in Pregnancy Study (ProP Study) (ISRCTN97241163) </w:t>
      </w:r>
      <w:r>
        <w:t>– a</w:t>
      </w:r>
      <w:r w:rsidRPr="00E07B1B">
        <w:t xml:space="preserve"> randomised controlled trial of probiotics in pregnancy to reduce maternal glucose in obese and gestational diabetic women.</w:t>
      </w:r>
    </w:p>
    <w:p w:rsidR="0025490C" w:rsidRPr="00E07B1B" w:rsidRDefault="0025490C" w:rsidP="0011795B"/>
    <w:p w:rsidR="0011795B" w:rsidRPr="008C5AF9" w:rsidRDefault="0011795B" w:rsidP="0011795B">
      <w:pPr>
        <w:pStyle w:val="BoxHeading"/>
      </w:pPr>
      <w:r w:rsidRPr="008C5AF9">
        <w:t>Key points</w:t>
      </w:r>
    </w:p>
    <w:p w:rsidR="0011795B" w:rsidRPr="00067FD0" w:rsidRDefault="0011795B" w:rsidP="0011795B">
      <w:pPr>
        <w:pStyle w:val="BoxBullet"/>
      </w:pPr>
      <w:r w:rsidRPr="00067FD0">
        <w:t>Metformin appears to be as effective as insulin in treating women with gestational diabetes for maternal and infant outcomes</w:t>
      </w:r>
      <w:r>
        <w:t>.</w:t>
      </w:r>
    </w:p>
    <w:p w:rsidR="0011795B" w:rsidRPr="00067FD0" w:rsidRDefault="0011795B" w:rsidP="0011795B">
      <w:pPr>
        <w:pStyle w:val="BoxBullet"/>
      </w:pPr>
      <w:r w:rsidRPr="00067FD0">
        <w:t>Glibenclamide is more likely to result in a large for gestational age baby and there is an increased risk of neonatal hypoglycaemia</w:t>
      </w:r>
      <w:r>
        <w:t>.</w:t>
      </w:r>
    </w:p>
    <w:p w:rsidR="0011795B" w:rsidRPr="00067FD0" w:rsidRDefault="0011795B" w:rsidP="0011795B">
      <w:pPr>
        <w:pStyle w:val="BoxBullet"/>
      </w:pPr>
      <w:r w:rsidRPr="00067FD0">
        <w:t>Some women with gestational diabetes may prefer the option of oral hypoglycaemics to insulin therapy</w:t>
      </w:r>
      <w:r>
        <w:t>.</w:t>
      </w:r>
    </w:p>
    <w:p w:rsidR="0011795B" w:rsidRPr="00E07B1B" w:rsidRDefault="0011795B" w:rsidP="0011795B"/>
    <w:p w:rsidR="0025490C" w:rsidRPr="00E07B1B" w:rsidRDefault="0025490C" w:rsidP="0011795B">
      <w:pPr>
        <w:pStyle w:val="Heading2"/>
      </w:pPr>
      <w:bookmarkStart w:id="159" w:name="_Toc363207322"/>
      <w:bookmarkStart w:id="160" w:name="_Toc402873553"/>
      <w:bookmarkStart w:id="161" w:name="_Toc403469635"/>
      <w:r w:rsidRPr="00E07B1B">
        <w:t>5.6</w:t>
      </w:r>
      <w:r w:rsidR="0011795B">
        <w:tab/>
      </w:r>
      <w:r w:rsidRPr="00E07B1B">
        <w:t>Treatment targets for managing glycaemic control in women with gestational diabetes</w:t>
      </w:r>
      <w:bookmarkEnd w:id="159"/>
      <w:bookmarkEnd w:id="160"/>
      <w:bookmarkEnd w:id="161"/>
    </w:p>
    <w:p w:rsidR="0025490C" w:rsidRPr="00E07B1B" w:rsidRDefault="0025490C" w:rsidP="0011795B">
      <w:pPr>
        <w:pStyle w:val="Heading3"/>
        <w:spacing w:before="240"/>
      </w:pPr>
      <w:r w:rsidRPr="00E07B1B">
        <w:t>5.6.1</w:t>
      </w:r>
      <w:r w:rsidR="0011795B">
        <w:tab/>
      </w:r>
      <w:r w:rsidRPr="00E07B1B">
        <w:t>Recommendations from guidelines and professional bodies for treatment targets</w:t>
      </w:r>
    </w:p>
    <w:p w:rsidR="0025490C" w:rsidRDefault="0025490C" w:rsidP="0011795B">
      <w:r w:rsidRPr="00E07B1B">
        <w:t xml:space="preserve">Appendix K, Table 36 details the treatment targets for managing glycaemic control in women with gestational diabetes proposed by guidelines and professional bodies. The evidence on which these recommendations are </w:t>
      </w:r>
      <w:r>
        <w:t>based</w:t>
      </w:r>
      <w:r w:rsidRPr="00E07B1B">
        <w:t xml:space="preserve"> is generally unclear and does not compare different blood glucose thresholds at which to initiate treatment.</w:t>
      </w:r>
    </w:p>
    <w:p w:rsidR="0025490C" w:rsidRPr="00E07B1B" w:rsidRDefault="0025490C" w:rsidP="00090BC8"/>
    <w:p w:rsidR="0025490C" w:rsidRPr="00E07B1B" w:rsidRDefault="0025490C" w:rsidP="00090BC8">
      <w:pPr>
        <w:pStyle w:val="Heading3"/>
      </w:pPr>
      <w:r w:rsidRPr="00E07B1B">
        <w:t>5.6.2</w:t>
      </w:r>
      <w:r w:rsidR="00090BC8">
        <w:tab/>
      </w:r>
      <w:r w:rsidRPr="00E07B1B">
        <w:t>Randomised controlled trial evidence</w:t>
      </w:r>
    </w:p>
    <w:p w:rsidR="0025490C" w:rsidRPr="00E07B1B" w:rsidRDefault="0025490C" w:rsidP="00090BC8">
      <w:r w:rsidRPr="00E07B1B">
        <w:t xml:space="preserve">A secondary outcome of </w:t>
      </w:r>
      <w:r>
        <w:t>t</w:t>
      </w:r>
      <w:r w:rsidRPr="00E07B1B">
        <w:t xml:space="preserve">he Metformin in Gestational Diabetes trial (including New Zealand sites) was to determine how glucose control in women with gestational diabetes treated with metformin and/or insulin influenced pregnancy outcomes (Rowan </w:t>
      </w:r>
      <w:r w:rsidR="00D562F2">
        <w:t>et al</w:t>
      </w:r>
      <w:r w:rsidRPr="00E07B1B">
        <w:t xml:space="preserve"> 2010</w:t>
      </w:r>
      <w:r>
        <w:t>; r</w:t>
      </w:r>
      <w:r w:rsidRPr="00E07B1B">
        <w:t>efer to Appendix</w:t>
      </w:r>
      <w:r w:rsidR="00090BC8">
        <w:t> </w:t>
      </w:r>
      <w:r w:rsidRPr="00E07B1B">
        <w:t>K, Table 37</w:t>
      </w:r>
      <w:r>
        <w:t>)</w:t>
      </w:r>
      <w:r w:rsidRPr="00E07B1B">
        <w:t xml:space="preserve">. </w:t>
      </w:r>
      <w:r>
        <w:t>A b</w:t>
      </w:r>
      <w:r w:rsidRPr="00E07B1B">
        <w:t>aseline oral glucose tolerance test did not predict outcomes, but HbA1C predicted large for gestational age infants (</w:t>
      </w:r>
      <w:r w:rsidRPr="008C5AF9">
        <w:rPr>
          <w:i/>
        </w:rPr>
        <w:t>p</w:t>
      </w:r>
      <w:r>
        <w:t xml:space="preserve"> </w:t>
      </w:r>
      <w:r w:rsidRPr="00E07B1B">
        <w:t>=</w:t>
      </w:r>
      <w:r>
        <w:t xml:space="preserve"> </w:t>
      </w:r>
      <w:r w:rsidRPr="00E07B1B">
        <w:t>0.003). During treatment, fasting capillary glucose predicted neonatal complications (</w:t>
      </w:r>
      <w:r w:rsidRPr="008C5AF9">
        <w:rPr>
          <w:i/>
        </w:rPr>
        <w:t>p</w:t>
      </w:r>
      <w:r>
        <w:rPr>
          <w:i/>
        </w:rPr>
        <w:t xml:space="preserve"> </w:t>
      </w:r>
      <w:r w:rsidRPr="00E07B1B">
        <w:t>&lt;</w:t>
      </w:r>
      <w:r>
        <w:t xml:space="preserve"> </w:t>
      </w:r>
      <w:r w:rsidRPr="00E07B1B">
        <w:t>0.001) and postprandial glucose predicted pre</w:t>
      </w:r>
      <w:r>
        <w:t>-</w:t>
      </w:r>
      <w:r w:rsidRPr="00E07B1B">
        <w:t>eclampsia</w:t>
      </w:r>
      <w:r w:rsidR="0068074A">
        <w:t xml:space="preserve"> </w:t>
      </w:r>
      <w:r w:rsidRPr="00E07B1B">
        <w:t>(</w:t>
      </w:r>
      <w:r w:rsidRPr="008C5AF9">
        <w:rPr>
          <w:i/>
        </w:rPr>
        <w:t>p</w:t>
      </w:r>
      <w:r>
        <w:t xml:space="preserve"> </w:t>
      </w:r>
      <w:r w:rsidRPr="00E07B1B">
        <w:t>&lt;</w:t>
      </w:r>
      <w:r>
        <w:t xml:space="preserve"> </w:t>
      </w:r>
      <w:r w:rsidRPr="00E07B1B">
        <w:t>0.016) and large for gestational age infants (</w:t>
      </w:r>
      <w:r w:rsidRPr="008C5AF9">
        <w:rPr>
          <w:i/>
        </w:rPr>
        <w:t>p</w:t>
      </w:r>
      <w:r>
        <w:t xml:space="preserve"> </w:t>
      </w:r>
      <w:r w:rsidRPr="00E07B1B">
        <w:t>=</w:t>
      </w:r>
      <w:r>
        <w:t xml:space="preserve"> </w:t>
      </w:r>
      <w:r w:rsidRPr="00E07B1B">
        <w:t>0.001). There were increased rates of respiratory distress in the infants of women in the higher glucose tertile measured by postprandial glucose (</w:t>
      </w:r>
      <w:r w:rsidRPr="008C5AF9">
        <w:rPr>
          <w:i/>
        </w:rPr>
        <w:t>p</w:t>
      </w:r>
      <w:r>
        <w:t xml:space="preserve"> </w:t>
      </w:r>
      <w:r w:rsidRPr="00E07B1B">
        <w:t>&lt;</w:t>
      </w:r>
      <w:r>
        <w:t xml:space="preserve"> </w:t>
      </w:r>
      <w:r w:rsidRPr="00E07B1B">
        <w:t xml:space="preserve">0.01) compared with lower tertiles (Rowan </w:t>
      </w:r>
      <w:r w:rsidR="00D562F2">
        <w:t>et al</w:t>
      </w:r>
      <w:r w:rsidRPr="00E07B1B">
        <w:t xml:space="preserve"> 2010).</w:t>
      </w:r>
      <w:r>
        <w:t xml:space="preserve"> </w:t>
      </w:r>
      <w:r w:rsidRPr="00E07B1B">
        <w:t xml:space="preserve">Obesity did not influence outcomes. There were no observed effects on birth trauma. The authors suggest that targets for fasting and postprandial capillary glucose may need to be lower than currently recommended (Rowan </w:t>
      </w:r>
      <w:r w:rsidR="00D562F2">
        <w:t>et al</w:t>
      </w:r>
      <w:r w:rsidRPr="00E07B1B">
        <w:t xml:space="preserve"> 2010).</w:t>
      </w:r>
    </w:p>
    <w:p w:rsidR="0025490C" w:rsidRPr="00E07B1B" w:rsidRDefault="0025490C" w:rsidP="00090BC8"/>
    <w:p w:rsidR="0025490C" w:rsidRPr="00E07B1B" w:rsidRDefault="0025490C" w:rsidP="00090BC8">
      <w:pPr>
        <w:pStyle w:val="Heading3"/>
      </w:pPr>
      <w:r w:rsidRPr="00E07B1B">
        <w:t>5.6.3</w:t>
      </w:r>
      <w:r w:rsidR="00090BC8">
        <w:tab/>
      </w:r>
      <w:r w:rsidRPr="00E07B1B">
        <w:t>Observational studies</w:t>
      </w:r>
    </w:p>
    <w:p w:rsidR="0025490C" w:rsidRPr="00E07B1B" w:rsidRDefault="0025490C" w:rsidP="00090BC8">
      <w:pPr>
        <w:keepLines/>
      </w:pPr>
      <w:r w:rsidRPr="00E07B1B">
        <w:t>Refer to Appendix K, Table 37 for details of the observational studies identified. A population</w:t>
      </w:r>
      <w:r>
        <w:t>-</w:t>
      </w:r>
      <w:r w:rsidRPr="00E07B1B">
        <w:t xml:space="preserve">based cohort study compared conventional with intensified management. A significant linear relationship between the level of glycaemia and rate of large for gestational age/macrosomic infants was demonstrated in the intensified management group only. The authors concluded that level of glycaemia is clearly related to pregnancy outcome in gestational diabetes (Langer </w:t>
      </w:r>
      <w:r w:rsidR="00D562F2">
        <w:t>et al</w:t>
      </w:r>
      <w:r w:rsidRPr="00E07B1B">
        <w:t xml:space="preserve"> 1994).</w:t>
      </w:r>
    </w:p>
    <w:p w:rsidR="0025490C" w:rsidRPr="00E07B1B" w:rsidRDefault="0025490C" w:rsidP="00090BC8"/>
    <w:p w:rsidR="0025490C" w:rsidRPr="00E07B1B" w:rsidRDefault="0025490C" w:rsidP="00090BC8">
      <w:r w:rsidRPr="00E07B1B">
        <w:t>A matched case-control study identified three groups based on mean blood glucose throughout pregnancy (low, ≤ 4.77 mmol/L; mid, 4.83</w:t>
      </w:r>
      <w:r>
        <w:t>–</w:t>
      </w:r>
      <w:r w:rsidRPr="00E07B1B">
        <w:t>5.77 mmol/L; and high, ≥</w:t>
      </w:r>
      <w:r>
        <w:t xml:space="preserve"> </w:t>
      </w:r>
      <w:r w:rsidRPr="00E07B1B">
        <w:t>5.83</w:t>
      </w:r>
      <w:r>
        <w:t xml:space="preserve"> </w:t>
      </w:r>
      <w:r w:rsidRPr="00E07B1B">
        <w:t xml:space="preserve">mmol/L). The incidence of large for gestational age infants was 21-fold higher in the </w:t>
      </w:r>
      <w:r w:rsidR="0068074A">
        <w:t>‘</w:t>
      </w:r>
      <w:r w:rsidRPr="00E07B1B">
        <w:t>low</w:t>
      </w:r>
      <w:r w:rsidR="0068074A">
        <w:t>’</w:t>
      </w:r>
      <w:r w:rsidRPr="00E07B1B">
        <w:t xml:space="preserve"> mean blood glucose category (24% versus 1.4%, </w:t>
      </w:r>
      <w:r w:rsidRPr="008C5AF9">
        <w:rPr>
          <w:i/>
        </w:rPr>
        <w:t>p</w:t>
      </w:r>
      <w:r w:rsidRPr="00E07B1B">
        <w:t xml:space="preserve"> &lt; 0.0001) and two-fold higher in the </w:t>
      </w:r>
      <w:r w:rsidR="0068074A">
        <w:t>‘</w:t>
      </w:r>
      <w:r w:rsidRPr="00E07B1B">
        <w:t>high</w:t>
      </w:r>
      <w:r w:rsidR="0068074A">
        <w:t>’</w:t>
      </w:r>
      <w:r w:rsidRPr="00E07B1B">
        <w:t xml:space="preserve"> mean blood glucose category compared with the control group</w:t>
      </w:r>
      <w:r w:rsidR="0068074A">
        <w:t xml:space="preserve"> </w:t>
      </w:r>
      <w:r w:rsidRPr="00E07B1B">
        <w:t>(</w:t>
      </w:r>
      <w:r w:rsidRPr="008C5AF9">
        <w:rPr>
          <w:i/>
        </w:rPr>
        <w:t>p</w:t>
      </w:r>
      <w:r>
        <w:t xml:space="preserve"> </w:t>
      </w:r>
      <w:r w:rsidRPr="00E07B1B">
        <w:t xml:space="preserve">&lt; 0.03). There were no significant differences between groups for other glucose categories (Langer </w:t>
      </w:r>
      <w:r w:rsidR="00D562F2">
        <w:t>et al</w:t>
      </w:r>
      <w:r w:rsidRPr="00E07B1B">
        <w:t xml:space="preserve"> 1989).</w:t>
      </w:r>
    </w:p>
    <w:p w:rsidR="0025490C" w:rsidRPr="00E07B1B" w:rsidRDefault="0025490C" w:rsidP="00090BC8"/>
    <w:p w:rsidR="0025490C" w:rsidRPr="00E07B1B" w:rsidRDefault="0025490C" w:rsidP="00090BC8">
      <w:r w:rsidRPr="00E07B1B">
        <w:t>A retrospective cohort study looked at group</w:t>
      </w:r>
      <w:r>
        <w:t>s</w:t>
      </w:r>
      <w:r w:rsidRPr="00E07B1B">
        <w:t xml:space="preserve"> of women with gestational diabetes and pre</w:t>
      </w:r>
      <w:r w:rsidR="00090BC8">
        <w:noBreakHyphen/>
      </w:r>
      <w:r w:rsidRPr="00E07B1B">
        <w:t>eclampsia based on the severity of gestational diabetes. Women were grouped by fasting glucose in the oral glucose tolerance test into mild hyperglycaemia</w:t>
      </w:r>
      <w:r>
        <w:t xml:space="preserve"> </w:t>
      </w:r>
      <w:r w:rsidRPr="00E07B1B">
        <w:t xml:space="preserve">and severe hyperglycaemia (fasting plasma glucose &lt; 5.83 mmol/L </w:t>
      </w:r>
      <w:r>
        <w:t>and</w:t>
      </w:r>
      <w:r w:rsidRPr="00E07B1B">
        <w:t xml:space="preserve"> &gt; 5.83 mmol/L respectively). The rate of pre-eclampsia increased significantly in the severe hyperglycaemia group. The authors conclude that the rate of pre-eclampsia is influenced by the severity of gestational diabetes and pre-pregnancy body mass index and suggest that optimising glucose control during pregnancy may decrease the rate of pre-eclampsia, even in those with </w:t>
      </w:r>
      <w:r>
        <w:t>more severe</w:t>
      </w:r>
      <w:r w:rsidRPr="00E07B1B">
        <w:t xml:space="preserve"> gestational diabetes (Yogev</w:t>
      </w:r>
      <w:r>
        <w:t xml:space="preserve"> </w:t>
      </w:r>
      <w:r w:rsidR="00D562F2">
        <w:t>et al</w:t>
      </w:r>
      <w:r w:rsidRPr="00E07B1B">
        <w:t xml:space="preserve"> 2004).</w:t>
      </w:r>
    </w:p>
    <w:p w:rsidR="0025490C" w:rsidRPr="00E07B1B" w:rsidRDefault="0025490C" w:rsidP="00090BC8"/>
    <w:p w:rsidR="0068074A" w:rsidRDefault="0025490C" w:rsidP="00090BC8">
      <w:r w:rsidRPr="00E07B1B">
        <w:t>Acceptable control (fasting plasma glucose 3.9</w:t>
      </w:r>
      <w:r>
        <w:t>–</w:t>
      </w:r>
      <w:r w:rsidRPr="00E07B1B">
        <w:t xml:space="preserve">5.3 mmol/L, </w:t>
      </w:r>
      <w:r>
        <w:t>two-</w:t>
      </w:r>
      <w:r w:rsidRPr="00E07B1B">
        <w:t>hour postprandial plasma glucose 5.6</w:t>
      </w:r>
      <w:r>
        <w:t>–</w:t>
      </w:r>
      <w:r w:rsidRPr="00E07B1B">
        <w:t>6.7 mmol/L, HbA1c 6.5</w:t>
      </w:r>
      <w:r>
        <w:t>–</w:t>
      </w:r>
      <w:r w:rsidRPr="00E07B1B">
        <w:t xml:space="preserve">7.5%) had the best outcomes for </w:t>
      </w:r>
      <w:r>
        <w:t xml:space="preserve">the incidence of </w:t>
      </w:r>
      <w:r w:rsidRPr="00E07B1B">
        <w:t xml:space="preserve">large for gestational age </w:t>
      </w:r>
      <w:r>
        <w:t xml:space="preserve">infants </w:t>
      </w:r>
      <w:r w:rsidRPr="00E07B1B">
        <w:t xml:space="preserve">compared </w:t>
      </w:r>
      <w:r>
        <w:t>with</w:t>
      </w:r>
      <w:r w:rsidRPr="00E07B1B">
        <w:t xml:space="preserve"> tight control (fasting plasma glucose &lt; 3.88 mmol/L, postprandial plasma glucose &lt; 5.6 mmol/L and HbA1c &lt; 6.5%)</w:t>
      </w:r>
      <w:r>
        <w:t xml:space="preserve"> women</w:t>
      </w:r>
      <w:r w:rsidRPr="00E07B1B">
        <w:t xml:space="preserve"> (0% versus 12.5% respectively) or uncontrolled (fasting plasma glucose &gt; 5.3 mmol/L, postprandial plasma glucose &gt; 6.7 mmol/L and HbA1c &gt; 7.5%) women (0% versus 22.2% respectively) (</w:t>
      </w:r>
      <w:r w:rsidRPr="008C5AF9">
        <w:rPr>
          <w:i/>
        </w:rPr>
        <w:t>p</w:t>
      </w:r>
      <w:r>
        <w:t xml:space="preserve"> </w:t>
      </w:r>
      <w:r w:rsidRPr="00E07B1B">
        <w:t>&lt;</w:t>
      </w:r>
      <w:r>
        <w:t xml:space="preserve"> </w:t>
      </w:r>
      <w:r w:rsidRPr="00E07B1B">
        <w:t>0.01).</w:t>
      </w:r>
    </w:p>
    <w:p w:rsidR="0025490C" w:rsidRPr="00E07B1B" w:rsidRDefault="0025490C" w:rsidP="00090BC8"/>
    <w:p w:rsidR="0025490C" w:rsidRPr="00E07B1B" w:rsidRDefault="0025490C" w:rsidP="00090BC8">
      <w:r w:rsidRPr="00E07B1B">
        <w:t xml:space="preserve">Perinatal mortality and neonatal hypoglycaemia </w:t>
      </w:r>
      <w:r>
        <w:t>were</w:t>
      </w:r>
      <w:r w:rsidRPr="00E07B1B">
        <w:t xml:space="preserve"> significantly decreased in patients who were tightly controlled. For women with gestational diabetes, outcomes may not be uniformly affected by the same degree of glycaemic control (Banerjee</w:t>
      </w:r>
      <w:r>
        <w:t xml:space="preserve"> </w:t>
      </w:r>
      <w:r w:rsidR="00D562F2">
        <w:t>et al</w:t>
      </w:r>
      <w:r w:rsidRPr="00E07B1B">
        <w:t xml:space="preserve"> 2004).</w:t>
      </w:r>
    </w:p>
    <w:p w:rsidR="0025490C" w:rsidRDefault="0025490C" w:rsidP="00090BC8"/>
    <w:p w:rsidR="00090BC8" w:rsidRPr="008C5AF9" w:rsidRDefault="00090BC8" w:rsidP="00090BC8">
      <w:pPr>
        <w:pStyle w:val="BoxHeading"/>
      </w:pPr>
      <w:r w:rsidRPr="008C5AF9">
        <w:t>Key points</w:t>
      </w:r>
    </w:p>
    <w:p w:rsidR="00090BC8" w:rsidRPr="007F5F94" w:rsidRDefault="00090BC8" w:rsidP="00090BC8">
      <w:pPr>
        <w:pStyle w:val="BoxBullet"/>
      </w:pPr>
      <w:r w:rsidRPr="007F5F94">
        <w:t>Women with gestational diabetes who have high blood sugars during pregnancy are at increased risk of pre-eclampsia and</w:t>
      </w:r>
      <w:r>
        <w:t xml:space="preserve"> having</w:t>
      </w:r>
      <w:r w:rsidRPr="007F5F94">
        <w:t xml:space="preserve"> large babies</w:t>
      </w:r>
      <w:r>
        <w:t>.</w:t>
      </w:r>
    </w:p>
    <w:p w:rsidR="00090BC8" w:rsidRPr="007F5F94" w:rsidRDefault="00090BC8" w:rsidP="00090BC8">
      <w:pPr>
        <w:pStyle w:val="BoxBullet"/>
      </w:pPr>
      <w:r w:rsidRPr="007F5F94">
        <w:t>Current glycaemic treatment targets during pregnancy for women with gestational diabetes may not be tight enough</w:t>
      </w:r>
      <w:r>
        <w:t>.</w:t>
      </w:r>
    </w:p>
    <w:p w:rsidR="00090BC8" w:rsidRPr="007F5F94" w:rsidRDefault="00090BC8" w:rsidP="00090BC8">
      <w:pPr>
        <w:pStyle w:val="BoxBullet"/>
      </w:pPr>
      <w:r w:rsidRPr="007F5F94">
        <w:t xml:space="preserve">Tighter treatment targets are often more difficult for women to achieve and there may be increased risk of maternal hypoglycaemia and </w:t>
      </w:r>
      <w:r>
        <w:t xml:space="preserve">having </w:t>
      </w:r>
      <w:r w:rsidRPr="007F5F94">
        <w:t>smaller babies</w:t>
      </w:r>
      <w:r>
        <w:t>.</w:t>
      </w:r>
    </w:p>
    <w:p w:rsidR="00090BC8" w:rsidRPr="00E07B1B" w:rsidRDefault="00090BC8" w:rsidP="00090BC8"/>
    <w:p w:rsidR="0025490C" w:rsidRPr="00E07B1B" w:rsidRDefault="0025490C" w:rsidP="00104F38">
      <w:pPr>
        <w:pStyle w:val="Heading2"/>
      </w:pPr>
      <w:bookmarkStart w:id="162" w:name="_Toc363207323"/>
      <w:bookmarkStart w:id="163" w:name="_Toc402873554"/>
      <w:bookmarkStart w:id="164" w:name="_Toc403469636"/>
      <w:r w:rsidRPr="00E07B1B">
        <w:t>5.7</w:t>
      </w:r>
      <w:r w:rsidR="00104F38">
        <w:tab/>
      </w:r>
      <w:r w:rsidRPr="00E07B1B">
        <w:t>Ultrasound guided treatment for the management of gestational diabetes</w:t>
      </w:r>
      <w:bookmarkEnd w:id="162"/>
      <w:bookmarkEnd w:id="163"/>
      <w:bookmarkEnd w:id="164"/>
    </w:p>
    <w:p w:rsidR="0025490C" w:rsidRPr="00E07B1B" w:rsidRDefault="0025490C" w:rsidP="00104F38">
      <w:r w:rsidRPr="00E07B1B">
        <w:t xml:space="preserve">A National Institute for Health and </w:t>
      </w:r>
      <w:r>
        <w:t>Care</w:t>
      </w:r>
      <w:r w:rsidRPr="00E07B1B">
        <w:t xml:space="preserve"> Excellence guideline included six randomised controlled trials investigating ultrasound guided treatment and recommended that </w:t>
      </w:r>
      <w:r w:rsidR="0068074A">
        <w:t>‘</w:t>
      </w:r>
      <w:r w:rsidRPr="00E07B1B">
        <w:t xml:space="preserve">hypoglycaemic therapy should be considered for women with gestational diabetes if ultrasound investigation suggests incipient fetal macrosomia (abdominal circumference above the </w:t>
      </w:r>
      <w:r w:rsidRPr="000C7938">
        <w:t>70</w:t>
      </w:r>
      <w:r w:rsidRPr="008C5AF9">
        <w:t>th</w:t>
      </w:r>
      <w:r w:rsidRPr="00E07B1B">
        <w:t xml:space="preserve"> percentile) at diagnosis</w:t>
      </w:r>
      <w:r w:rsidR="0068074A">
        <w:t>’</w:t>
      </w:r>
      <w:r w:rsidRPr="00E07B1B">
        <w:t xml:space="preserve"> (</w:t>
      </w:r>
      <w:r>
        <w:t>NICE</w:t>
      </w:r>
      <w:r w:rsidRPr="00E07B1B">
        <w:t xml:space="preserve"> 2008).</w:t>
      </w:r>
    </w:p>
    <w:p w:rsidR="0025490C" w:rsidRPr="00E07B1B" w:rsidRDefault="0025490C" w:rsidP="00104F38"/>
    <w:p w:rsidR="0025490C" w:rsidRPr="00E07B1B" w:rsidRDefault="0025490C" w:rsidP="00104F38">
      <w:r w:rsidRPr="00E07B1B">
        <w:t>The decision</w:t>
      </w:r>
      <w:r>
        <w:t>-</w:t>
      </w:r>
      <w:r w:rsidRPr="00E07B1B">
        <w:t>making process was unclear and appear</w:t>
      </w:r>
      <w:r>
        <w:t>ed not</w:t>
      </w:r>
      <w:r w:rsidRPr="00E07B1B">
        <w:t xml:space="preserve"> to consider the quality of the included trials. </w:t>
      </w:r>
      <w:r>
        <w:t>The Guideline Development Team has</w:t>
      </w:r>
      <w:r w:rsidRPr="00E07B1B">
        <w:t xml:space="preserve"> therefore reviewed five of the trials published after 1990. Two studies were well conducted and judged to be at low risk of bias and three trials were judged to be at unclear risk of bias, mainly due to lack of reporting (</w:t>
      </w:r>
      <w:r>
        <w:t>NICE</w:t>
      </w:r>
      <w:r w:rsidRPr="00E07B1B">
        <w:t xml:space="preserve"> 2008). Refer to Appendix K, Table 38.</w:t>
      </w:r>
    </w:p>
    <w:p w:rsidR="0025490C" w:rsidRPr="00E07B1B" w:rsidRDefault="0025490C" w:rsidP="00DE4985"/>
    <w:p w:rsidR="0025490C" w:rsidRPr="00E07B1B" w:rsidRDefault="0025490C" w:rsidP="00DE4985">
      <w:pPr>
        <w:pStyle w:val="Heading3"/>
      </w:pPr>
      <w:r w:rsidRPr="00E07B1B">
        <w:t>5.7.1</w:t>
      </w:r>
      <w:r w:rsidR="00DE4985">
        <w:tab/>
      </w:r>
      <w:r w:rsidRPr="00E07B1B">
        <w:t>Maternal outcomes</w:t>
      </w:r>
    </w:p>
    <w:p w:rsidR="0025490C" w:rsidRPr="00E07B1B" w:rsidRDefault="0025490C" w:rsidP="00DE4985">
      <w:r w:rsidRPr="00E07B1B">
        <w:t>One study, judged to be at low risk of bias</w:t>
      </w:r>
      <w:r>
        <w:t>,</w:t>
      </w:r>
      <w:r w:rsidRPr="00E07B1B">
        <w:t xml:space="preserve"> showed </w:t>
      </w:r>
      <w:r>
        <w:t xml:space="preserve">a </w:t>
      </w:r>
      <w:r w:rsidRPr="00E07B1B">
        <w:t>significantly higher rate of caesarean section in the intervention group. Three studies showed no differences between groups for rates of caesarean section (</w:t>
      </w:r>
      <w:r>
        <w:t>NICE</w:t>
      </w:r>
      <w:r w:rsidRPr="00E07B1B">
        <w:t xml:space="preserve"> 2008). No significant differences were reported for any other outcomes. Refer to Appendix K, Table 38.</w:t>
      </w:r>
    </w:p>
    <w:p w:rsidR="0025490C" w:rsidRPr="00E07B1B" w:rsidRDefault="0025490C" w:rsidP="00DE4985"/>
    <w:p w:rsidR="0025490C" w:rsidRPr="00E07B1B" w:rsidRDefault="0025490C" w:rsidP="00DE4985">
      <w:pPr>
        <w:pStyle w:val="Heading3"/>
      </w:pPr>
      <w:r w:rsidRPr="00E07B1B">
        <w:t>5.7.2</w:t>
      </w:r>
      <w:r w:rsidR="00DE4985">
        <w:tab/>
      </w:r>
      <w:r w:rsidRPr="00E07B1B">
        <w:t>Infant outcomes</w:t>
      </w:r>
    </w:p>
    <w:p w:rsidR="0025490C" w:rsidRPr="00E07B1B" w:rsidRDefault="0025490C" w:rsidP="00DE4985">
      <w:r w:rsidRPr="00E07B1B">
        <w:t>Two trials judged to be at low risk of bias found no significant differences in</w:t>
      </w:r>
      <w:r>
        <w:t xml:space="preserve"> the incidence of</w:t>
      </w:r>
      <w:r w:rsidRPr="00E07B1B">
        <w:t xml:space="preserve"> babies who were large for gestational age between women receiving more intensive</w:t>
      </w:r>
      <w:r>
        <w:t xml:space="preserve"> and women receiving</w:t>
      </w:r>
      <w:r w:rsidRPr="00E07B1B">
        <w:t xml:space="preserve"> less intensive ultrasound evaluations. Three studies (in women who had abdominal circumference measurements &gt;</w:t>
      </w:r>
      <w:r>
        <w:t xml:space="preserve"> </w:t>
      </w:r>
      <w:r w:rsidRPr="006B54FF">
        <w:t>75</w:t>
      </w:r>
      <w:r w:rsidRPr="008C5AF9">
        <w:t>th</w:t>
      </w:r>
      <w:r w:rsidRPr="00E07B1B">
        <w:t xml:space="preserve"> percentile) found women randomised to the intervention groups (treatment based on more intensive ultrasound measurement) were significantly less likely to have an infant who was large for gestational age (</w:t>
      </w:r>
      <w:r>
        <w:t>NICE</w:t>
      </w:r>
      <w:r w:rsidRPr="00E07B1B">
        <w:t xml:space="preserve"> 2008). No significant differences were reported for any other outcomes. Refer to Appendix K, Table 3</w:t>
      </w:r>
      <w:r>
        <w:t>9</w:t>
      </w:r>
      <w:r w:rsidRPr="00E07B1B">
        <w:t>.</w:t>
      </w:r>
    </w:p>
    <w:p w:rsidR="0025490C" w:rsidRPr="00E07B1B" w:rsidRDefault="0025490C" w:rsidP="00DE4985"/>
    <w:p w:rsidR="00DE4985" w:rsidRPr="009A2A8F" w:rsidRDefault="00DE4985" w:rsidP="00DE4985">
      <w:pPr>
        <w:pStyle w:val="BoxHeading"/>
      </w:pPr>
      <w:r w:rsidRPr="009A2A8F">
        <w:t>Key point</w:t>
      </w:r>
    </w:p>
    <w:p w:rsidR="00DE4985" w:rsidRPr="003F6F73" w:rsidRDefault="00DE4985" w:rsidP="00DE4985">
      <w:pPr>
        <w:pStyle w:val="BoxBullet"/>
      </w:pPr>
      <w:r w:rsidRPr="003F6F73">
        <w:t xml:space="preserve">There is no evidence to suggest that intensified ultrasound guided treatment </w:t>
      </w:r>
      <w:r>
        <w:t xml:space="preserve">for women with gestational diabetes </w:t>
      </w:r>
      <w:r w:rsidRPr="003F6F73">
        <w:t>has beneficial maternal or infant outcomes</w:t>
      </w:r>
      <w:r>
        <w:t>. Serial ultrasound scans for obstetric indications are still appropriate.</w:t>
      </w:r>
    </w:p>
    <w:p w:rsidR="0025490C" w:rsidRPr="00E07B1B" w:rsidRDefault="0025490C" w:rsidP="00DE4985"/>
    <w:p w:rsidR="0025490C" w:rsidRPr="00E07B1B" w:rsidRDefault="0025490C" w:rsidP="00DE4985">
      <w:pPr>
        <w:pStyle w:val="Heading2"/>
      </w:pPr>
      <w:bookmarkStart w:id="165" w:name="_Toc363207324"/>
      <w:bookmarkStart w:id="166" w:name="_Toc402873555"/>
      <w:bookmarkStart w:id="167" w:name="_Toc403469637"/>
      <w:r w:rsidRPr="00E07B1B">
        <w:t>5.8</w:t>
      </w:r>
      <w:r w:rsidR="00DE4985">
        <w:tab/>
      </w:r>
      <w:r w:rsidRPr="00E07B1B">
        <w:t>Overall evidence to recommendation</w:t>
      </w:r>
      <w:r>
        <w:t>s</w:t>
      </w:r>
      <w:r w:rsidRPr="00E07B1B">
        <w:t xml:space="preserve"> for treatment of women with gestational diabetes</w:t>
      </w:r>
      <w:bookmarkEnd w:id="165"/>
      <w:bookmarkEnd w:id="166"/>
      <w:bookmarkEnd w:id="167"/>
    </w:p>
    <w:p w:rsidR="0068074A" w:rsidRDefault="0025490C" w:rsidP="00DE4985">
      <w:pPr>
        <w:keepNext/>
      </w:pPr>
      <w:r w:rsidRPr="00E07B1B">
        <w:t>Randomised controlled trial evidence suggests a clear benefit in maternal</w:t>
      </w:r>
      <w:r>
        <w:t xml:space="preserve"> outcomes</w:t>
      </w:r>
      <w:r w:rsidRPr="00E07B1B">
        <w:t xml:space="preserve"> (reduced</w:t>
      </w:r>
      <w:r>
        <w:t xml:space="preserve"> rates of</w:t>
      </w:r>
      <w:r w:rsidRPr="00E07B1B">
        <w:t xml:space="preserve"> pre-eclampsia</w:t>
      </w:r>
      <w:r>
        <w:t xml:space="preserve"> and</w:t>
      </w:r>
      <w:r w:rsidRPr="00E07B1B">
        <w:t xml:space="preserve"> caesarean section) and infant outcomes (reduced incidence of large for gestational age, hyperbilirubinaemia; reduced </w:t>
      </w:r>
      <w:r>
        <w:t xml:space="preserve">rates of </w:t>
      </w:r>
      <w:r w:rsidRPr="00E07B1B">
        <w:t>shoulder dystocia) when women with gestational diabetes are treated with dietary and lifestyle advice.</w:t>
      </w:r>
    </w:p>
    <w:p w:rsidR="0025490C" w:rsidRPr="00E07B1B" w:rsidRDefault="0025490C" w:rsidP="00DE4985">
      <w:pPr>
        <w:keepNext/>
      </w:pPr>
    </w:p>
    <w:p w:rsidR="0068074A" w:rsidRDefault="0025490C" w:rsidP="00DE4985">
      <w:r w:rsidRPr="00E07B1B">
        <w:t>Randomised controlled trial evidence suggests that oral hypoglycaemic drugs (in particular metformin) are as effective</w:t>
      </w:r>
      <w:r>
        <w:t xml:space="preserve"> as</w:t>
      </w:r>
      <w:r w:rsidRPr="00E07B1B">
        <w:t>, and have no greater harms</w:t>
      </w:r>
      <w:r>
        <w:t xml:space="preserve"> than</w:t>
      </w:r>
      <w:r w:rsidRPr="00E07B1B">
        <w:t xml:space="preserve">, insulin therapy in women with gestational diabetes. The use of oral hypoglycaemic medication may be preferable to many women when compared </w:t>
      </w:r>
      <w:r>
        <w:t>with</w:t>
      </w:r>
      <w:r w:rsidRPr="00E07B1B">
        <w:t xml:space="preserve"> the option of injecting insulin. The adverse effects associated with oral hypoglycaemics and insulin were not adequately discussed in the trials.</w:t>
      </w:r>
    </w:p>
    <w:p w:rsidR="0025490C" w:rsidRPr="00E07B1B" w:rsidRDefault="0025490C" w:rsidP="00DE4985"/>
    <w:p w:rsidR="0068074A" w:rsidRDefault="0025490C" w:rsidP="00DE4985">
      <w:r w:rsidRPr="00E07B1B">
        <w:t xml:space="preserve">The evidence for exercise alone as an intervention to treat women diagnosed with gestational diabetes is limited in quality and volume. The type of exercise was mainly </w:t>
      </w:r>
      <w:r w:rsidR="0068074A">
        <w:t>‘</w:t>
      </w:r>
      <w:r w:rsidRPr="00E07B1B">
        <w:t>supervised</w:t>
      </w:r>
      <w:r w:rsidR="0068074A">
        <w:t>’</w:t>
      </w:r>
      <w:r w:rsidRPr="00E07B1B">
        <w:t xml:space="preserve"> exercise (resistance training and use of equipment not readily available to most women).</w:t>
      </w:r>
      <w:r>
        <w:t xml:space="preserve"> </w:t>
      </w:r>
      <w:r w:rsidRPr="00E07B1B">
        <w:t xml:space="preserve">There </w:t>
      </w:r>
      <w:r>
        <w:t>was</w:t>
      </w:r>
      <w:r w:rsidRPr="00E07B1B">
        <w:t xml:space="preserve"> a lack of trials that examined the effect of </w:t>
      </w:r>
      <w:r w:rsidR="0068074A">
        <w:t>‘</w:t>
      </w:r>
      <w:r w:rsidRPr="00E07B1B">
        <w:t>unsupervised</w:t>
      </w:r>
      <w:r w:rsidR="0068074A">
        <w:t>’</w:t>
      </w:r>
      <w:r w:rsidRPr="00E07B1B">
        <w:t xml:space="preserve"> or leisure time activity (</w:t>
      </w:r>
      <w:hyperlink r:id="rId38" w:history="1">
        <w:r w:rsidRPr="00E07B1B">
          <w:rPr>
            <w:rStyle w:val="Hyperlink"/>
            <w:rFonts w:cs="Arial"/>
            <w:szCs w:val="24"/>
          </w:rPr>
          <w:t>www.health.govt.nz/your-health/healthy-living/food-and-physical-activity/physical-activity</w:t>
        </w:r>
      </w:hyperlink>
      <w:r w:rsidRPr="00E07B1B">
        <w:t>).</w:t>
      </w:r>
    </w:p>
    <w:p w:rsidR="0025490C" w:rsidRPr="00E07B1B" w:rsidRDefault="0025490C" w:rsidP="00DE4985"/>
    <w:p w:rsidR="0068074A" w:rsidRDefault="0025490C" w:rsidP="00DE4985">
      <w:r w:rsidRPr="00E07B1B">
        <w:t>There is an overall lack of long</w:t>
      </w:r>
      <w:r>
        <w:t>-</w:t>
      </w:r>
      <w:r w:rsidRPr="00E07B1B">
        <w:t>term follow-up in both women and their infants for glucose tolerance and childhood obesity in the treatment intervention trials and cost implications are rarely described.</w:t>
      </w:r>
    </w:p>
    <w:p w:rsidR="0025490C" w:rsidRPr="00E07B1B" w:rsidRDefault="0025490C" w:rsidP="00DE4985"/>
    <w:p w:rsidR="0068074A" w:rsidRDefault="0025490C" w:rsidP="00DE4985">
      <w:r w:rsidRPr="00E07B1B">
        <w:t>Overall, the evidence for optimal glucose targets is limited and of varying quality. It appears that women who have lower blood glucose</w:t>
      </w:r>
      <w:r>
        <w:t xml:space="preserve"> or </w:t>
      </w:r>
      <w:r w:rsidRPr="00E07B1B">
        <w:t>who are more tightly controlled are less likely to develop pre-eclampsia, have babies that are large for gestational age, have neonatal hypoglycaemia or experience perinatal mortality. The Guideline Development Team decided to lower the fasting blood glucose value to</w:t>
      </w:r>
      <w:r w:rsidR="0068074A">
        <w:t xml:space="preserve"> </w:t>
      </w:r>
      <w:r w:rsidRPr="00E07B1B">
        <w:t>≤</w:t>
      </w:r>
      <w:r>
        <w:t xml:space="preserve"> </w:t>
      </w:r>
      <w:r w:rsidRPr="00E07B1B">
        <w:t>5.0 mmol/L</w:t>
      </w:r>
      <w:r>
        <w:t>.</w:t>
      </w:r>
      <w:r w:rsidRPr="00E07B1B">
        <w:t xml:space="preserve"> The Guideline Development Team felt that a </w:t>
      </w:r>
      <w:r>
        <w:t>two-</w:t>
      </w:r>
      <w:r w:rsidRPr="00E07B1B">
        <w:t>hour postprandial blood glucose level of ≤ 6.7 mmol/L was acceptable and concurred with the recent Australasian Diabetes in Pregnancy Society (</w:t>
      </w:r>
      <w:r w:rsidRPr="00E07B1B">
        <w:rPr>
          <w:rFonts w:cs="Arial"/>
          <w:szCs w:val="24"/>
        </w:rPr>
        <w:t xml:space="preserve">Nankervis </w:t>
      </w:r>
      <w:r w:rsidR="00D562F2">
        <w:rPr>
          <w:rFonts w:cs="Arial"/>
          <w:szCs w:val="24"/>
        </w:rPr>
        <w:t>et al</w:t>
      </w:r>
      <w:r>
        <w:rPr>
          <w:rFonts w:cs="Arial"/>
          <w:szCs w:val="24"/>
        </w:rPr>
        <w:t xml:space="preserve"> </w:t>
      </w:r>
      <w:r w:rsidRPr="00E07B1B">
        <w:t>2013) and American Diabetes Association (2013) recommendations. Additional high</w:t>
      </w:r>
      <w:r>
        <w:t>-</w:t>
      </w:r>
      <w:r w:rsidRPr="00E07B1B">
        <w:t>quality, adequately powered randomised controlled trials are required.</w:t>
      </w:r>
    </w:p>
    <w:p w:rsidR="0025490C" w:rsidRPr="00E07B1B" w:rsidRDefault="0025490C" w:rsidP="00DE4985"/>
    <w:p w:rsidR="0025490C" w:rsidRPr="00E07B1B" w:rsidRDefault="0025490C" w:rsidP="00DE4985">
      <w:r w:rsidRPr="00E07B1B">
        <w:t>Feedback during consultation highlighted the issues around accuracy of self-monitoring of blood glucose. The Guideline Development Team acknowledge</w:t>
      </w:r>
      <w:r>
        <w:t>s</w:t>
      </w:r>
      <w:r w:rsidRPr="00E07B1B">
        <w:t xml:space="preserve"> that </w:t>
      </w:r>
      <w:r>
        <w:t>women</w:t>
      </w:r>
      <w:r w:rsidR="0068074A">
        <w:t>’</w:t>
      </w:r>
      <w:r>
        <w:t>s</w:t>
      </w:r>
      <w:r w:rsidRPr="00E07B1B">
        <w:t xml:space="preserve"> recording </w:t>
      </w:r>
      <w:r>
        <w:t xml:space="preserve">of </w:t>
      </w:r>
      <w:r w:rsidRPr="00E07B1B">
        <w:t xml:space="preserve">blood glucose readings </w:t>
      </w:r>
      <w:r>
        <w:t xml:space="preserve">may be inaccurate </w:t>
      </w:r>
      <w:r w:rsidRPr="00E07B1B">
        <w:t>for a number of reasons. Health professionals should not rely on self</w:t>
      </w:r>
      <w:r>
        <w:t>-</w:t>
      </w:r>
      <w:r w:rsidRPr="00E07B1B">
        <w:t>reported readings but should download data from blood glucose meters (where possible).</w:t>
      </w:r>
    </w:p>
    <w:p w:rsidR="0025490C" w:rsidRDefault="0025490C" w:rsidP="00DE4985"/>
    <w:p w:rsidR="0025490C" w:rsidRPr="00E07B1B" w:rsidRDefault="0025490C" w:rsidP="00DE4985">
      <w:r w:rsidRPr="00E07B1B">
        <w:t xml:space="preserve">Overall, the evidence for treating gestational diabetes according to fetal ultrasound measurement is unclear. There </w:t>
      </w:r>
      <w:r>
        <w:t>was</w:t>
      </w:r>
      <w:r w:rsidRPr="00E07B1B">
        <w:t xml:space="preserve"> no evidence to support intensified ultrasound scanning to guide treatment in gestational diabetes.</w:t>
      </w:r>
    </w:p>
    <w:p w:rsidR="0025490C" w:rsidRPr="00E07B1B" w:rsidRDefault="0025490C" w:rsidP="00DE4985"/>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37"/>
        <w:gridCol w:w="3119"/>
      </w:tblGrid>
      <w:tr w:rsidR="0025490C" w:rsidRPr="00DE4985" w:rsidTr="00766D2E">
        <w:trPr>
          <w:cantSplit/>
        </w:trPr>
        <w:tc>
          <w:tcPr>
            <w:tcW w:w="6237" w:type="dxa"/>
            <w:tcBorders>
              <w:left w:val="nil"/>
              <w:bottom w:val="single" w:sz="4" w:space="0" w:color="auto"/>
              <w:right w:val="nil"/>
            </w:tcBorders>
            <w:shd w:val="clear" w:color="auto" w:fill="F7F9FB"/>
          </w:tcPr>
          <w:p w:rsidR="0025490C" w:rsidRPr="00DE4985" w:rsidRDefault="00DE4985" w:rsidP="00DE4985">
            <w:pPr>
              <w:pStyle w:val="TableText"/>
              <w:keepNext/>
              <w:rPr>
                <w:b/>
              </w:rPr>
            </w:pPr>
            <w:r w:rsidRPr="00DE4985">
              <w:rPr>
                <w:b/>
              </w:rPr>
              <w:t>Recommendation</w:t>
            </w:r>
          </w:p>
        </w:tc>
        <w:tc>
          <w:tcPr>
            <w:tcW w:w="3119" w:type="dxa"/>
            <w:tcBorders>
              <w:left w:val="nil"/>
              <w:bottom w:val="single" w:sz="4" w:space="0" w:color="auto"/>
              <w:right w:val="nil"/>
            </w:tcBorders>
            <w:shd w:val="clear" w:color="auto" w:fill="F7F9FB"/>
          </w:tcPr>
          <w:p w:rsidR="0025490C" w:rsidRPr="00DE4985" w:rsidRDefault="0025490C" w:rsidP="00DE4985">
            <w:pPr>
              <w:pStyle w:val="TableText"/>
              <w:keepNext/>
              <w:jc w:val="center"/>
              <w:rPr>
                <w:b/>
              </w:rPr>
            </w:pPr>
            <w:r w:rsidRPr="00DE4985">
              <w:rPr>
                <w:b/>
              </w:rPr>
              <w:t>Strength of recommendation or good practice point (GPP)</w:t>
            </w:r>
          </w:p>
        </w:tc>
      </w:tr>
      <w:tr w:rsidR="00DE4985" w:rsidRPr="00E07B1B" w:rsidTr="00766D2E">
        <w:trPr>
          <w:cantSplit/>
        </w:trPr>
        <w:tc>
          <w:tcPr>
            <w:tcW w:w="6237" w:type="dxa"/>
            <w:tcBorders>
              <w:top w:val="single" w:sz="4" w:space="0" w:color="auto"/>
              <w:left w:val="nil"/>
              <w:bottom w:val="single" w:sz="4" w:space="0" w:color="FFFFFF" w:themeColor="background1"/>
              <w:right w:val="nil"/>
            </w:tcBorders>
            <w:shd w:val="clear" w:color="auto" w:fill="B8CCE4"/>
          </w:tcPr>
          <w:p w:rsidR="00DE4985" w:rsidRPr="00E07B1B" w:rsidRDefault="00DE4985" w:rsidP="00DE4985">
            <w:pPr>
              <w:pStyle w:val="TableText"/>
              <w:ind w:left="425" w:right="142" w:hanging="425"/>
            </w:pPr>
            <w:r w:rsidRPr="00E07B1B">
              <w:t>9</w:t>
            </w:r>
            <w:r>
              <w:tab/>
            </w:r>
            <w:r w:rsidRPr="00E07B1B">
              <w:t>Offer all women diagnosed with gestational diabetes ongoing treatment by health professionals</w:t>
            </w:r>
            <w:r>
              <w:t>, including</w:t>
            </w:r>
            <w:r w:rsidRPr="00E07B1B">
              <w:t xml:space="preserve"> specialised dietary advice, lifestyle advice and educational material that is culturally and ethnically appropriate</w:t>
            </w:r>
            <w:r>
              <w:t>.</w:t>
            </w:r>
          </w:p>
        </w:tc>
        <w:tc>
          <w:tcPr>
            <w:tcW w:w="3119" w:type="dxa"/>
            <w:tcBorders>
              <w:top w:val="single" w:sz="4" w:space="0" w:color="auto"/>
              <w:left w:val="nil"/>
              <w:bottom w:val="single" w:sz="4" w:space="0" w:color="FFFFFF" w:themeColor="background1"/>
              <w:right w:val="nil"/>
            </w:tcBorders>
            <w:shd w:val="clear" w:color="auto" w:fill="B8CCE4"/>
          </w:tcPr>
          <w:p w:rsidR="00DE4985" w:rsidRPr="00E07B1B" w:rsidRDefault="00DE4985" w:rsidP="00DE4985">
            <w:pPr>
              <w:pStyle w:val="TableText"/>
              <w:jc w:val="center"/>
            </w:pPr>
            <w:r w:rsidRPr="00E07B1B">
              <w:t>STRONG</w:t>
            </w:r>
          </w:p>
        </w:tc>
      </w:tr>
      <w:tr w:rsidR="00DE4985" w:rsidRPr="00E07B1B" w:rsidTr="00766D2E">
        <w:trPr>
          <w:cantSplit/>
        </w:trPr>
        <w:tc>
          <w:tcPr>
            <w:tcW w:w="6237" w:type="dxa"/>
            <w:tcBorders>
              <w:top w:val="single" w:sz="4" w:space="0" w:color="FFFFFF" w:themeColor="background1"/>
              <w:left w:val="nil"/>
              <w:bottom w:val="single" w:sz="4" w:space="0" w:color="FFFFFF" w:themeColor="background1"/>
              <w:right w:val="nil"/>
            </w:tcBorders>
            <w:shd w:val="clear" w:color="auto" w:fill="DBE5F1"/>
          </w:tcPr>
          <w:p w:rsidR="00DE4985" w:rsidRPr="00E07B1B" w:rsidRDefault="00DE4985" w:rsidP="00DE4985">
            <w:pPr>
              <w:pStyle w:val="TableText"/>
              <w:ind w:left="425" w:right="142" w:hanging="425"/>
            </w:pPr>
            <w:r w:rsidRPr="00E07B1B">
              <w:t>10</w:t>
            </w:r>
            <w:r>
              <w:tab/>
            </w:r>
            <w:r w:rsidRPr="00E07B1B">
              <w:rPr>
                <w:lang w:eastAsia="en-NZ"/>
              </w:rPr>
              <w:t xml:space="preserve">Advise pregnant women with gestational diabetes that their </w:t>
            </w:r>
            <w:r w:rsidRPr="00E07B1B">
              <w:t>dietary recommendations could include:</w:t>
            </w:r>
          </w:p>
          <w:p w:rsidR="00DE4985" w:rsidRPr="00E07B1B" w:rsidRDefault="00DE4985" w:rsidP="00766D2E">
            <w:pPr>
              <w:pStyle w:val="TableBullet"/>
              <w:ind w:left="709" w:right="142"/>
            </w:pPr>
            <w:r>
              <w:t>consuming a</w:t>
            </w:r>
            <w:r w:rsidRPr="00E07B1B">
              <w:t xml:space="preserve"> minimum of 175 g carbohydrate per day</w:t>
            </w:r>
          </w:p>
          <w:p w:rsidR="00DE4985" w:rsidRDefault="00DE4985" w:rsidP="00766D2E">
            <w:pPr>
              <w:pStyle w:val="TableBullet"/>
              <w:ind w:left="709" w:right="142"/>
            </w:pPr>
            <w:r>
              <w:t>spreading c</w:t>
            </w:r>
            <w:r w:rsidRPr="00E07B1B">
              <w:t>arbohydrates evenly throughout the day between meals and snacks</w:t>
            </w:r>
          </w:p>
          <w:p w:rsidR="00DE4985" w:rsidRPr="00E07B1B" w:rsidRDefault="00DE4985" w:rsidP="00766D2E">
            <w:pPr>
              <w:pStyle w:val="TableBullet"/>
              <w:ind w:left="709" w:right="142"/>
            </w:pPr>
            <w:r w:rsidRPr="00E07B1B">
              <w:t>reduc</w:t>
            </w:r>
            <w:r>
              <w:t>ing</w:t>
            </w:r>
            <w:r w:rsidRPr="00E07B1B">
              <w:t xml:space="preserve"> intake of saturated fats</w:t>
            </w:r>
          </w:p>
          <w:p w:rsidR="00DE4985" w:rsidRDefault="00DE4985" w:rsidP="00766D2E">
            <w:pPr>
              <w:pStyle w:val="TableBullet"/>
              <w:ind w:left="709" w:right="142"/>
            </w:pPr>
            <w:r>
              <w:t xml:space="preserve">consuming </w:t>
            </w:r>
            <w:r w:rsidRPr="00E07B1B">
              <w:t>lean protein</w:t>
            </w:r>
          </w:p>
          <w:p w:rsidR="00DE4985" w:rsidRPr="00E07B1B" w:rsidRDefault="00DE4985" w:rsidP="00766D2E">
            <w:pPr>
              <w:pStyle w:val="TableBullet"/>
              <w:ind w:left="709" w:right="142"/>
            </w:pPr>
            <w:r>
              <w:t>keeping w</w:t>
            </w:r>
            <w:r w:rsidRPr="00E07B1B">
              <w:t>eight gain in pregnancy in line with Ministry of Health recommendations</w:t>
            </w:r>
            <w:r>
              <w:t>.</w:t>
            </w:r>
            <w:r w:rsidRPr="00E07B1B">
              <w:t>*</w:t>
            </w:r>
          </w:p>
          <w:p w:rsidR="00DE4985" w:rsidRPr="00E07B1B" w:rsidRDefault="00DE4985" w:rsidP="00766D2E">
            <w:pPr>
              <w:pStyle w:val="TableText"/>
              <w:ind w:left="425" w:right="142"/>
            </w:pPr>
            <w:r w:rsidRPr="00E07B1B">
              <w:t>This recommendation is dependent on individual requirements</w:t>
            </w:r>
            <w:r>
              <w:t>.</w:t>
            </w:r>
          </w:p>
        </w:tc>
        <w:tc>
          <w:tcPr>
            <w:tcW w:w="3119" w:type="dxa"/>
            <w:tcBorders>
              <w:top w:val="single" w:sz="4" w:space="0" w:color="FFFFFF" w:themeColor="background1"/>
              <w:left w:val="nil"/>
              <w:bottom w:val="single" w:sz="4" w:space="0" w:color="FFFFFF" w:themeColor="background1"/>
              <w:right w:val="nil"/>
            </w:tcBorders>
            <w:shd w:val="clear" w:color="auto" w:fill="DBE5F1"/>
          </w:tcPr>
          <w:p w:rsidR="00DE4985" w:rsidRPr="00E07B1B" w:rsidRDefault="00DE4985" w:rsidP="00DE4985">
            <w:pPr>
              <w:pStyle w:val="TableText"/>
              <w:jc w:val="center"/>
            </w:pPr>
            <w:r w:rsidRPr="00E07B1B">
              <w:t>GPP</w:t>
            </w:r>
          </w:p>
        </w:tc>
      </w:tr>
      <w:tr w:rsidR="00DE4985" w:rsidRPr="00E07B1B" w:rsidTr="00766D2E">
        <w:trPr>
          <w:cantSplit/>
        </w:trPr>
        <w:tc>
          <w:tcPr>
            <w:tcW w:w="6237" w:type="dxa"/>
            <w:tcBorders>
              <w:top w:val="single" w:sz="4" w:space="0" w:color="FFFFFF" w:themeColor="background1"/>
              <w:left w:val="nil"/>
              <w:bottom w:val="single" w:sz="4" w:space="0" w:color="FFFFFF" w:themeColor="background1"/>
              <w:right w:val="nil"/>
            </w:tcBorders>
            <w:shd w:val="clear" w:color="auto" w:fill="B8CCE4"/>
          </w:tcPr>
          <w:p w:rsidR="00DE4985" w:rsidRPr="00E07B1B" w:rsidRDefault="00DE4985" w:rsidP="00DE4985">
            <w:pPr>
              <w:pStyle w:val="TableText"/>
              <w:ind w:left="425" w:right="142" w:hanging="425"/>
            </w:pPr>
            <w:r w:rsidRPr="00E07B1B">
              <w:t>11</w:t>
            </w:r>
            <w:r>
              <w:tab/>
              <w:t>Where</w:t>
            </w:r>
            <w:r w:rsidRPr="00E07B1B">
              <w:t xml:space="preserve"> women </w:t>
            </w:r>
            <w:r>
              <w:t>who have</w:t>
            </w:r>
            <w:r w:rsidRPr="00E07B1B">
              <w:t xml:space="preserve"> gestational diabetes </w:t>
            </w:r>
            <w:r>
              <w:t xml:space="preserve">and </w:t>
            </w:r>
            <w:r w:rsidRPr="00E07B1B">
              <w:t>poor glycaemic control (above treatment targets) in spite of dietary and lifestyle interventions</w:t>
            </w:r>
            <w:r>
              <w:t>, offer</w:t>
            </w:r>
            <w:r w:rsidRPr="00E07B1B">
              <w:t xml:space="preserve"> oral hypoglycaemics (metformin or glibenclamide) and/or insulin therapy.</w:t>
            </w:r>
            <w:r w:rsidRPr="00E07B1B">
              <w:rPr>
                <w:lang w:eastAsia="en-NZ"/>
              </w:rPr>
              <w:t xml:space="preserve"> In deciding whether to use oral therapy or insuli</w:t>
            </w:r>
            <w:r>
              <w:rPr>
                <w:lang w:eastAsia="en-NZ"/>
              </w:rPr>
              <w:t>n,</w:t>
            </w:r>
            <w:r w:rsidRPr="00E07B1B">
              <w:t xml:space="preserve"> </w:t>
            </w:r>
            <w:r>
              <w:rPr>
                <w:lang w:eastAsia="en-NZ"/>
              </w:rPr>
              <w:t>t</w:t>
            </w:r>
            <w:r w:rsidRPr="00E07B1B">
              <w:rPr>
                <w:lang w:eastAsia="en-NZ"/>
              </w:rPr>
              <w:t>ake account of the clinical assessment and advice, and the woman</w:t>
            </w:r>
            <w:r>
              <w:rPr>
                <w:lang w:eastAsia="en-NZ"/>
              </w:rPr>
              <w:t>’</w:t>
            </w:r>
            <w:r w:rsidRPr="00E07B1B">
              <w:rPr>
                <w:lang w:eastAsia="en-NZ"/>
              </w:rPr>
              <w:t>s preferences and her ability to adhere to medication and self-monitoring</w:t>
            </w:r>
            <w:r>
              <w:rPr>
                <w:lang w:eastAsia="en-NZ"/>
              </w:rPr>
              <w:t>.</w:t>
            </w:r>
          </w:p>
        </w:tc>
        <w:tc>
          <w:tcPr>
            <w:tcW w:w="3119" w:type="dxa"/>
            <w:tcBorders>
              <w:top w:val="single" w:sz="4" w:space="0" w:color="FFFFFF" w:themeColor="background1"/>
              <w:left w:val="nil"/>
              <w:bottom w:val="single" w:sz="4" w:space="0" w:color="FFFFFF" w:themeColor="background1"/>
              <w:right w:val="nil"/>
            </w:tcBorders>
            <w:shd w:val="clear" w:color="auto" w:fill="B8CCE4"/>
          </w:tcPr>
          <w:p w:rsidR="00DE4985" w:rsidRPr="00E07B1B" w:rsidRDefault="00DE4985" w:rsidP="00DE4985">
            <w:pPr>
              <w:pStyle w:val="TableText"/>
              <w:jc w:val="center"/>
            </w:pPr>
            <w:r w:rsidRPr="00E07B1B">
              <w:t>STRONG</w:t>
            </w:r>
          </w:p>
        </w:tc>
      </w:tr>
      <w:tr w:rsidR="00DE4985" w:rsidRPr="00E07B1B" w:rsidTr="00766D2E">
        <w:trPr>
          <w:cantSplit/>
        </w:trPr>
        <w:tc>
          <w:tcPr>
            <w:tcW w:w="6237" w:type="dxa"/>
            <w:tcBorders>
              <w:top w:val="single" w:sz="4" w:space="0" w:color="FFFFFF" w:themeColor="background1"/>
              <w:left w:val="nil"/>
              <w:bottom w:val="single" w:sz="4" w:space="0" w:color="FFFFFF" w:themeColor="background1"/>
              <w:right w:val="nil"/>
            </w:tcBorders>
            <w:shd w:val="clear" w:color="auto" w:fill="DBE5F1"/>
          </w:tcPr>
          <w:p w:rsidR="00DE4985" w:rsidRPr="00E07B1B" w:rsidRDefault="00DE4985" w:rsidP="00DE4985">
            <w:pPr>
              <w:pStyle w:val="TableText"/>
              <w:ind w:left="425" w:right="142" w:hanging="425"/>
              <w:rPr>
                <w:rFonts w:ascii="Times New Roman" w:hAnsi="Times New Roman"/>
                <w:lang w:eastAsia="en-NZ"/>
              </w:rPr>
            </w:pPr>
            <w:r w:rsidRPr="00E07B1B">
              <w:t>12</w:t>
            </w:r>
            <w:r>
              <w:tab/>
            </w:r>
            <w:r w:rsidRPr="00E07B1B">
              <w:t>T</w:t>
            </w:r>
            <w:r w:rsidRPr="00E07B1B">
              <w:rPr>
                <w:lang w:eastAsia="en-NZ"/>
              </w:rPr>
              <w:t>reatment targets for capillary glucose are:</w:t>
            </w:r>
          </w:p>
          <w:p w:rsidR="00DE4985" w:rsidRDefault="00DE4985" w:rsidP="00766D2E">
            <w:pPr>
              <w:pStyle w:val="TableBullet"/>
              <w:ind w:left="709" w:right="142"/>
              <w:rPr>
                <w:lang w:eastAsia="en-NZ"/>
              </w:rPr>
            </w:pPr>
            <w:r>
              <w:rPr>
                <w:lang w:eastAsia="en-NZ"/>
              </w:rPr>
              <w:t>f</w:t>
            </w:r>
            <w:r w:rsidRPr="00E07B1B">
              <w:rPr>
                <w:lang w:eastAsia="en-NZ"/>
              </w:rPr>
              <w:t>asting glucose ≤ 5.0 mmol/L</w:t>
            </w:r>
          </w:p>
          <w:p w:rsidR="00DE4985" w:rsidRPr="00E07B1B" w:rsidRDefault="00DE4985" w:rsidP="00766D2E">
            <w:pPr>
              <w:pStyle w:val="TableBullet"/>
              <w:ind w:left="709" w:right="142"/>
              <w:rPr>
                <w:rFonts w:ascii="Times New Roman" w:hAnsi="Times New Roman"/>
                <w:lang w:eastAsia="en-NZ"/>
              </w:rPr>
            </w:pPr>
            <w:r>
              <w:rPr>
                <w:lang w:eastAsia="en-NZ"/>
              </w:rPr>
              <w:t>one-hour post-prandial** ≤ 7.4 mmol/L</w:t>
            </w:r>
          </w:p>
          <w:p w:rsidR="00DE4985" w:rsidRPr="00E07B1B" w:rsidRDefault="00DE4985" w:rsidP="00766D2E">
            <w:pPr>
              <w:pStyle w:val="TableBullet"/>
              <w:ind w:left="709" w:right="142"/>
            </w:pPr>
            <w:r>
              <w:rPr>
                <w:lang w:eastAsia="en-NZ"/>
              </w:rPr>
              <w:t>t</w:t>
            </w:r>
            <w:r w:rsidRPr="00E07B1B">
              <w:rPr>
                <w:lang w:eastAsia="en-NZ"/>
              </w:rPr>
              <w:t>wo</w:t>
            </w:r>
            <w:r>
              <w:rPr>
                <w:lang w:eastAsia="en-NZ"/>
              </w:rPr>
              <w:t>-</w:t>
            </w:r>
            <w:r w:rsidRPr="00E07B1B">
              <w:rPr>
                <w:lang w:eastAsia="en-NZ"/>
              </w:rPr>
              <w:t>hour post</w:t>
            </w:r>
            <w:r>
              <w:rPr>
                <w:lang w:eastAsia="en-NZ"/>
              </w:rPr>
              <w:t>-</w:t>
            </w:r>
            <w:r w:rsidRPr="00E07B1B">
              <w:rPr>
                <w:lang w:eastAsia="en-NZ"/>
              </w:rPr>
              <w:t>prandial*</w:t>
            </w:r>
            <w:r>
              <w:rPr>
                <w:lang w:eastAsia="en-NZ"/>
              </w:rPr>
              <w:t>*</w:t>
            </w:r>
            <w:r w:rsidRPr="00E07B1B">
              <w:rPr>
                <w:lang w:eastAsia="en-NZ"/>
              </w:rPr>
              <w:t xml:space="preserve"> ≤ 6.7 mmol/L</w:t>
            </w:r>
            <w:r>
              <w:rPr>
                <w:lang w:eastAsia="en-NZ"/>
              </w:rPr>
              <w:t>.</w:t>
            </w:r>
            <w:r w:rsidRPr="00E07B1B">
              <w:rPr>
                <w:lang w:eastAsia="en-NZ"/>
              </w:rPr>
              <w:t xml:space="preserve"> </w:t>
            </w:r>
          </w:p>
        </w:tc>
        <w:tc>
          <w:tcPr>
            <w:tcW w:w="3119" w:type="dxa"/>
            <w:tcBorders>
              <w:top w:val="single" w:sz="4" w:space="0" w:color="FFFFFF" w:themeColor="background1"/>
              <w:left w:val="nil"/>
              <w:bottom w:val="single" w:sz="4" w:space="0" w:color="FFFFFF" w:themeColor="background1"/>
              <w:right w:val="nil"/>
            </w:tcBorders>
            <w:shd w:val="clear" w:color="auto" w:fill="DBE5F1"/>
          </w:tcPr>
          <w:p w:rsidR="00DE4985" w:rsidRPr="00E07B1B" w:rsidRDefault="00DE4985" w:rsidP="00DE4985">
            <w:pPr>
              <w:pStyle w:val="TableText"/>
              <w:jc w:val="center"/>
            </w:pPr>
            <w:r w:rsidRPr="00E07B1B">
              <w:t>GPP</w:t>
            </w:r>
          </w:p>
        </w:tc>
      </w:tr>
      <w:tr w:rsidR="00DE4985" w:rsidRPr="00E07B1B" w:rsidTr="00766D2E">
        <w:trPr>
          <w:cantSplit/>
        </w:trPr>
        <w:tc>
          <w:tcPr>
            <w:tcW w:w="6237" w:type="dxa"/>
            <w:tcBorders>
              <w:top w:val="single" w:sz="4" w:space="0" w:color="FFFFFF" w:themeColor="background1"/>
              <w:left w:val="nil"/>
              <w:bottom w:val="single" w:sz="4" w:space="0" w:color="FFFFFF" w:themeColor="background1"/>
              <w:right w:val="nil"/>
            </w:tcBorders>
            <w:shd w:val="clear" w:color="auto" w:fill="DBE5F1"/>
          </w:tcPr>
          <w:p w:rsidR="00DE4985" w:rsidRPr="00E07B1B" w:rsidRDefault="00DE4985" w:rsidP="00DE4985">
            <w:pPr>
              <w:pStyle w:val="TableText"/>
              <w:ind w:left="425" w:right="142" w:hanging="425"/>
              <w:rPr>
                <w:lang w:eastAsia="en-NZ"/>
              </w:rPr>
            </w:pPr>
            <w:r w:rsidRPr="00E07B1B">
              <w:t>13a</w:t>
            </w:r>
            <w:r>
              <w:tab/>
            </w:r>
            <w:r w:rsidRPr="00E07B1B">
              <w:rPr>
                <w:lang w:eastAsia="en-NZ"/>
              </w:rPr>
              <w:t>Women with 10% of readings (</w:t>
            </w:r>
            <w:r>
              <w:rPr>
                <w:lang w:eastAsia="en-NZ"/>
              </w:rPr>
              <w:t>three</w:t>
            </w:r>
            <w:r w:rsidRPr="00E07B1B">
              <w:rPr>
                <w:lang w:eastAsia="en-NZ"/>
              </w:rPr>
              <w:t xml:space="preserve"> to </w:t>
            </w:r>
            <w:r>
              <w:rPr>
                <w:lang w:eastAsia="en-NZ"/>
              </w:rPr>
              <w:t>four</w:t>
            </w:r>
            <w:r w:rsidRPr="00E07B1B">
              <w:rPr>
                <w:lang w:eastAsia="en-NZ"/>
              </w:rPr>
              <w:t xml:space="preserve"> readings) above the treatment targets</w:t>
            </w:r>
            <w:r>
              <w:rPr>
                <w:lang w:eastAsia="en-NZ"/>
              </w:rPr>
              <w:t xml:space="preserve"> </w:t>
            </w:r>
            <w:r w:rsidRPr="00E07B1B">
              <w:rPr>
                <w:lang w:eastAsia="en-NZ"/>
              </w:rPr>
              <w:t>should have their treatment reassessed</w:t>
            </w:r>
            <w:r>
              <w:rPr>
                <w:lang w:eastAsia="en-NZ"/>
              </w:rPr>
              <w:t>.</w:t>
            </w:r>
          </w:p>
          <w:p w:rsidR="00DE4985" w:rsidRPr="00E07B1B" w:rsidRDefault="00DE4985" w:rsidP="00DE4985">
            <w:pPr>
              <w:pStyle w:val="TableText"/>
              <w:ind w:left="425" w:right="142" w:hanging="425"/>
            </w:pPr>
            <w:r w:rsidRPr="00E07B1B">
              <w:rPr>
                <w:lang w:eastAsia="en-NZ"/>
              </w:rPr>
              <w:t>13b</w:t>
            </w:r>
            <w:r>
              <w:rPr>
                <w:lang w:eastAsia="en-NZ"/>
              </w:rPr>
              <w:tab/>
            </w:r>
            <w:r w:rsidRPr="00E07B1B">
              <w:rPr>
                <w:lang w:eastAsia="en-NZ"/>
              </w:rPr>
              <w:t xml:space="preserve">Discuss high postprandial blood glucose levels with the woman to establish what </w:t>
            </w:r>
            <w:r>
              <w:rPr>
                <w:lang w:eastAsia="en-NZ"/>
              </w:rPr>
              <w:t>she</w:t>
            </w:r>
            <w:r w:rsidRPr="00E07B1B">
              <w:rPr>
                <w:lang w:eastAsia="en-NZ"/>
              </w:rPr>
              <w:t xml:space="preserve"> had eaten for that meal</w:t>
            </w:r>
            <w:r>
              <w:rPr>
                <w:lang w:eastAsia="en-NZ"/>
              </w:rPr>
              <w:t>.</w:t>
            </w:r>
          </w:p>
        </w:tc>
        <w:tc>
          <w:tcPr>
            <w:tcW w:w="3119" w:type="dxa"/>
            <w:tcBorders>
              <w:top w:val="single" w:sz="4" w:space="0" w:color="FFFFFF" w:themeColor="background1"/>
              <w:left w:val="nil"/>
              <w:bottom w:val="single" w:sz="4" w:space="0" w:color="FFFFFF" w:themeColor="background1"/>
              <w:right w:val="nil"/>
            </w:tcBorders>
            <w:shd w:val="clear" w:color="auto" w:fill="DBE5F1"/>
          </w:tcPr>
          <w:p w:rsidR="00DE4985" w:rsidRPr="00E07B1B" w:rsidRDefault="00DE4985" w:rsidP="00DE4985">
            <w:pPr>
              <w:pStyle w:val="TableText"/>
              <w:jc w:val="center"/>
            </w:pPr>
            <w:r w:rsidRPr="00E07B1B">
              <w:t>GPP</w:t>
            </w:r>
          </w:p>
        </w:tc>
      </w:tr>
      <w:tr w:rsidR="00DE4985" w:rsidRPr="00E07B1B" w:rsidTr="00766D2E">
        <w:trPr>
          <w:cantSplit/>
        </w:trPr>
        <w:tc>
          <w:tcPr>
            <w:tcW w:w="6237" w:type="dxa"/>
            <w:tcBorders>
              <w:top w:val="single" w:sz="4" w:space="0" w:color="FFFFFF" w:themeColor="background1"/>
              <w:left w:val="nil"/>
              <w:bottom w:val="single" w:sz="4" w:space="0" w:color="FFFFFF" w:themeColor="background1"/>
              <w:right w:val="nil"/>
            </w:tcBorders>
            <w:shd w:val="clear" w:color="auto" w:fill="C6D9F1"/>
          </w:tcPr>
          <w:p w:rsidR="00DE4985" w:rsidRPr="00E07B1B" w:rsidRDefault="00DE4985" w:rsidP="00DE4985">
            <w:pPr>
              <w:pStyle w:val="TableText"/>
              <w:ind w:left="425" w:right="142" w:hanging="425"/>
              <w:rPr>
                <w:lang w:eastAsia="en-NZ"/>
              </w:rPr>
            </w:pPr>
            <w:r w:rsidRPr="00E07B1B">
              <w:rPr>
                <w:lang w:eastAsia="en-NZ"/>
              </w:rPr>
              <w:t>14</w:t>
            </w:r>
            <w:r>
              <w:rPr>
                <w:lang w:eastAsia="en-NZ"/>
              </w:rPr>
              <w:tab/>
            </w:r>
            <w:r w:rsidRPr="00E07B1B">
              <w:rPr>
                <w:lang w:eastAsia="en-NZ"/>
              </w:rPr>
              <w:t>Offer women with gestational diabetes an ultrasound scan at the time of diagnosis and at 36</w:t>
            </w:r>
            <w:r>
              <w:rPr>
                <w:lang w:eastAsia="en-NZ"/>
              </w:rPr>
              <w:t>–</w:t>
            </w:r>
            <w:r w:rsidRPr="00E07B1B">
              <w:rPr>
                <w:lang w:eastAsia="en-NZ"/>
              </w:rPr>
              <w:t>37 weeks. Further ultrasound scans should be based on clinical indications. Treatment decisions should not be based solely on fetal ultrasound</w:t>
            </w:r>
            <w:r>
              <w:rPr>
                <w:lang w:eastAsia="en-NZ"/>
              </w:rPr>
              <w:t>.</w:t>
            </w:r>
          </w:p>
        </w:tc>
        <w:tc>
          <w:tcPr>
            <w:tcW w:w="3119" w:type="dxa"/>
            <w:tcBorders>
              <w:top w:val="single" w:sz="4" w:space="0" w:color="FFFFFF" w:themeColor="background1"/>
              <w:left w:val="nil"/>
              <w:bottom w:val="single" w:sz="4" w:space="0" w:color="FFFFFF" w:themeColor="background1"/>
              <w:right w:val="nil"/>
            </w:tcBorders>
            <w:shd w:val="clear" w:color="auto" w:fill="C6D9F1"/>
          </w:tcPr>
          <w:p w:rsidR="00DE4985" w:rsidRPr="00E07B1B" w:rsidRDefault="00DE4985" w:rsidP="00DE4985">
            <w:pPr>
              <w:pStyle w:val="TableText"/>
              <w:jc w:val="center"/>
            </w:pPr>
            <w:r w:rsidRPr="00E07B1B">
              <w:t>CONDITIONAL</w:t>
            </w:r>
          </w:p>
        </w:tc>
      </w:tr>
      <w:tr w:rsidR="0025490C" w:rsidRPr="00E07B1B" w:rsidTr="00766D2E">
        <w:trPr>
          <w:cantSplit/>
        </w:trPr>
        <w:tc>
          <w:tcPr>
            <w:tcW w:w="9356" w:type="dxa"/>
            <w:gridSpan w:val="2"/>
            <w:tcBorders>
              <w:top w:val="single" w:sz="4" w:space="0" w:color="FFFFFF" w:themeColor="background1"/>
              <w:left w:val="nil"/>
              <w:bottom w:val="single" w:sz="4" w:space="0" w:color="FFFFFF" w:themeColor="background1"/>
              <w:right w:val="nil"/>
            </w:tcBorders>
            <w:shd w:val="clear" w:color="auto" w:fill="E5DFEC"/>
          </w:tcPr>
          <w:p w:rsidR="0025490C" w:rsidRPr="00E07B1B" w:rsidRDefault="0025490C" w:rsidP="00DE4985">
            <w:pPr>
              <w:pStyle w:val="TableText"/>
            </w:pPr>
            <w:r w:rsidRPr="009A2A8F">
              <w:rPr>
                <w:b/>
              </w:rPr>
              <w:t>Research recommendation</w:t>
            </w:r>
            <w:r w:rsidRPr="00E07B1B">
              <w:t>: A randomised controlled trial to compare tight with less tight glycaemic control in women diagnosed with gestational diabetes</w:t>
            </w:r>
            <w:r>
              <w:t xml:space="preserve"> in terms of their impact</w:t>
            </w:r>
            <w:r w:rsidRPr="00E07B1B">
              <w:t xml:space="preserve"> on maternal and infant outcomes.</w:t>
            </w:r>
          </w:p>
        </w:tc>
      </w:tr>
      <w:tr w:rsidR="0025490C" w:rsidRPr="00E07B1B" w:rsidTr="00766D2E">
        <w:trPr>
          <w:cantSplit/>
        </w:trPr>
        <w:tc>
          <w:tcPr>
            <w:tcW w:w="9356" w:type="dxa"/>
            <w:gridSpan w:val="2"/>
            <w:tcBorders>
              <w:top w:val="single" w:sz="4" w:space="0" w:color="FFFFFF" w:themeColor="background1"/>
              <w:left w:val="nil"/>
              <w:bottom w:val="single" w:sz="4" w:space="0" w:color="FFFFFF" w:themeColor="background1"/>
              <w:right w:val="nil"/>
            </w:tcBorders>
            <w:shd w:val="clear" w:color="auto" w:fill="E5DFEC"/>
          </w:tcPr>
          <w:p w:rsidR="0025490C" w:rsidRPr="00E07B1B" w:rsidRDefault="0025490C" w:rsidP="00DE4985">
            <w:pPr>
              <w:pStyle w:val="TableText"/>
            </w:pPr>
            <w:r w:rsidRPr="009A2A8F">
              <w:rPr>
                <w:b/>
              </w:rPr>
              <w:t>Research recommendation</w:t>
            </w:r>
            <w:r w:rsidRPr="00E07B1B">
              <w:t>: A randomised controlled trial comparing more intensive ultrasound scanning with usual care in women with gestational diabetes</w:t>
            </w:r>
            <w:r>
              <w:t xml:space="preserve"> in terms of their impact</w:t>
            </w:r>
            <w:r w:rsidRPr="00E07B1B">
              <w:t xml:space="preserve"> on maternal and infant outcomes.</w:t>
            </w:r>
          </w:p>
        </w:tc>
      </w:tr>
      <w:tr w:rsidR="0025490C" w:rsidRPr="00E07B1B" w:rsidTr="00766D2E">
        <w:trPr>
          <w:cantSplit/>
        </w:trPr>
        <w:tc>
          <w:tcPr>
            <w:tcW w:w="9356" w:type="dxa"/>
            <w:gridSpan w:val="2"/>
            <w:tcBorders>
              <w:top w:val="single" w:sz="4" w:space="0" w:color="FFFFFF" w:themeColor="background1"/>
              <w:left w:val="nil"/>
              <w:right w:val="nil"/>
            </w:tcBorders>
            <w:shd w:val="clear" w:color="auto" w:fill="E5DFEC"/>
          </w:tcPr>
          <w:p w:rsidR="0025490C" w:rsidRPr="00E07B1B" w:rsidRDefault="0025490C" w:rsidP="00DE4985">
            <w:pPr>
              <w:pStyle w:val="TableText"/>
            </w:pPr>
            <w:r w:rsidRPr="009A2A8F">
              <w:rPr>
                <w:b/>
              </w:rPr>
              <w:t>Research recommendation</w:t>
            </w:r>
            <w:r w:rsidRPr="00E07B1B">
              <w:t>: A randomised controlled trial of leisure activity interventions for the treatment of gestational diabetes.</w:t>
            </w:r>
          </w:p>
        </w:tc>
      </w:tr>
    </w:tbl>
    <w:p w:rsidR="0025490C" w:rsidRDefault="0025490C" w:rsidP="00766D2E">
      <w:pPr>
        <w:pStyle w:val="Note"/>
        <w:tabs>
          <w:tab w:val="left" w:pos="567"/>
          <w:tab w:val="left" w:pos="851"/>
        </w:tabs>
      </w:pPr>
      <w:r w:rsidRPr="009A2A8F">
        <w:t>Note:</w:t>
      </w:r>
      <w:r w:rsidR="00766D2E">
        <w:tab/>
      </w:r>
      <w:r w:rsidRPr="009A2A8F">
        <w:t>*</w:t>
      </w:r>
      <w:r w:rsidR="00766D2E">
        <w:tab/>
      </w:r>
      <w:r w:rsidRPr="009A2A8F">
        <w:t>Ministry of Health (2014)</w:t>
      </w:r>
      <w:r w:rsidR="00766D2E">
        <w:br/>
      </w:r>
      <w:r w:rsidR="00766D2E">
        <w:tab/>
      </w:r>
      <w:r w:rsidRPr="009A2A8F">
        <w:t>**</w:t>
      </w:r>
      <w:r w:rsidR="00766D2E">
        <w:tab/>
      </w:r>
      <w:r w:rsidRPr="009A2A8F">
        <w:t>After the start of eating</w:t>
      </w:r>
      <w:r w:rsidR="00766D2E">
        <w:t>.</w:t>
      </w:r>
    </w:p>
    <w:p w:rsidR="00766D2E" w:rsidRPr="00766D2E" w:rsidRDefault="00766D2E" w:rsidP="00766D2E"/>
    <w:p w:rsidR="0025490C" w:rsidRDefault="0025490C" w:rsidP="00DF737E">
      <w:pPr>
        <w:pStyle w:val="Heading1"/>
      </w:pPr>
      <w:r w:rsidRPr="00E07B1B">
        <w:br w:type="page"/>
      </w:r>
      <w:bookmarkStart w:id="168" w:name="_Toc363207325"/>
      <w:bookmarkStart w:id="169" w:name="_Toc402873556"/>
      <w:bookmarkStart w:id="170" w:name="_Toc403469638"/>
      <w:r w:rsidRPr="00E07B1B">
        <w:t>Chapter 6</w:t>
      </w:r>
      <w:r>
        <w:t>:</w:t>
      </w:r>
      <w:r w:rsidRPr="00E07B1B">
        <w:t xml:space="preserve"> Timing of birth in women with gestational diabetes</w:t>
      </w:r>
      <w:bookmarkEnd w:id="168"/>
      <w:bookmarkEnd w:id="169"/>
      <w:bookmarkEnd w:id="170"/>
    </w:p>
    <w:p w:rsidR="0025490C" w:rsidRPr="00E07B1B" w:rsidRDefault="0025490C" w:rsidP="00DF737E">
      <w:pPr>
        <w:pStyle w:val="Heading2"/>
      </w:pPr>
      <w:bookmarkStart w:id="171" w:name="_Toc363207326"/>
      <w:bookmarkStart w:id="172" w:name="_Toc402873557"/>
      <w:bookmarkStart w:id="173" w:name="_Toc403469639"/>
      <w:r w:rsidRPr="00E07B1B">
        <w:t>6.1</w:t>
      </w:r>
      <w:r w:rsidR="00DF737E">
        <w:tab/>
      </w:r>
      <w:r w:rsidRPr="00E07B1B">
        <w:t>Background</w:t>
      </w:r>
      <w:bookmarkEnd w:id="171"/>
      <w:bookmarkEnd w:id="172"/>
      <w:bookmarkEnd w:id="173"/>
    </w:p>
    <w:p w:rsidR="0025490C" w:rsidRDefault="0025490C" w:rsidP="00DF737E">
      <w:r w:rsidRPr="00E07B1B">
        <w:t>A significant obstetric complication associated with gestational diabetes is fetal macrosomia or large for gestational age which places the fetus at increased risk for birth trauma (shoulder dystocia, bone fractures and brachial plexus injury) (Boulvain</w:t>
      </w:r>
      <w:r>
        <w:t xml:space="preserve"> </w:t>
      </w:r>
      <w:r w:rsidR="00D562F2">
        <w:t>et al</w:t>
      </w:r>
      <w:r w:rsidRPr="00E07B1B">
        <w:t xml:space="preserve"> 2009). The rationale behind a planned birth (elective caesarean section or induction of labour)</w:t>
      </w:r>
      <w:r>
        <w:t xml:space="preserve"> for a woman with gestational diabetes</w:t>
      </w:r>
      <w:r w:rsidRPr="00E07B1B">
        <w:t xml:space="preserve"> is to avoid these complications (Boulvain</w:t>
      </w:r>
      <w:r>
        <w:t xml:space="preserve"> </w:t>
      </w:r>
      <w:r w:rsidR="00D562F2">
        <w:t>et al</w:t>
      </w:r>
      <w:r w:rsidRPr="00E07B1B">
        <w:t xml:space="preserve"> 2009).</w:t>
      </w:r>
    </w:p>
    <w:p w:rsidR="0025490C" w:rsidRPr="00E07B1B" w:rsidRDefault="0025490C" w:rsidP="00DF737E"/>
    <w:p w:rsidR="0025490C" w:rsidRPr="00E07B1B" w:rsidRDefault="0025490C" w:rsidP="00DF737E">
      <w:pPr>
        <w:pStyle w:val="Heading2"/>
      </w:pPr>
      <w:bookmarkStart w:id="174" w:name="_Toc363207327"/>
      <w:bookmarkStart w:id="175" w:name="_Toc402873558"/>
      <w:bookmarkStart w:id="176" w:name="_Toc403469640"/>
      <w:r w:rsidRPr="00E07B1B">
        <w:t>6.2</w:t>
      </w:r>
      <w:r w:rsidR="00DF737E">
        <w:tab/>
      </w:r>
      <w:r w:rsidRPr="00E07B1B">
        <w:t>Mode of birth for women with gestational diabetes</w:t>
      </w:r>
      <w:bookmarkEnd w:id="174"/>
      <w:bookmarkEnd w:id="175"/>
      <w:bookmarkEnd w:id="176"/>
    </w:p>
    <w:p w:rsidR="0068074A" w:rsidRDefault="0025490C" w:rsidP="00DF737E">
      <w:r w:rsidRPr="00E07B1B">
        <w:t>Three systematic reviews identified one randomised trial published in 1993 by Kjos (</w:t>
      </w:r>
      <w:r>
        <w:t>NICE</w:t>
      </w:r>
      <w:r w:rsidRPr="00E07B1B">
        <w:t xml:space="preserve"> 2008; Nicholson </w:t>
      </w:r>
      <w:r w:rsidR="00D562F2">
        <w:t>et al</w:t>
      </w:r>
      <w:r w:rsidRPr="00E07B1B">
        <w:t xml:space="preserve"> 2008; Witkop </w:t>
      </w:r>
      <w:r w:rsidR="00D562F2">
        <w:t>et al</w:t>
      </w:r>
      <w:r w:rsidRPr="00E07B1B">
        <w:t xml:space="preserve"> 2009). Women (</w:t>
      </w:r>
      <w:r w:rsidRPr="00E93F08">
        <w:rPr>
          <w:i/>
        </w:rPr>
        <w:t>n</w:t>
      </w:r>
      <w:r>
        <w:t xml:space="preserve"> </w:t>
      </w:r>
      <w:r w:rsidRPr="00E07B1B">
        <w:t>=</w:t>
      </w:r>
      <w:r>
        <w:t xml:space="preserve"> </w:t>
      </w:r>
      <w:r w:rsidRPr="00E07B1B">
        <w:t>200) with insulin</w:t>
      </w:r>
      <w:r>
        <w:t>-</w:t>
      </w:r>
      <w:r w:rsidRPr="00E07B1B">
        <w:t>dependent gestational diabetes (13 women had a diagnosis of diabetes before their pregnancy) were randomised to induction of labour or expectant management at 38 weeks</w:t>
      </w:r>
      <w:r w:rsidR="0068074A">
        <w:t>’</w:t>
      </w:r>
      <w:r w:rsidRPr="00E07B1B">
        <w:t xml:space="preserve"> gestation. Women had no evidence of obstetric complications and the estimated fetal weight was &lt;</w:t>
      </w:r>
      <w:r>
        <w:t xml:space="preserve"> </w:t>
      </w:r>
      <w:r w:rsidRPr="00E07B1B">
        <w:t>3800 g. Thirty women in the induction of labour group had spontaneous delivery or caesarean section prior to the planned induction, and 56 women in the expectant group had induction of labour or caesarean section prior to the onset of spontaneous labour for medical indications.</w:t>
      </w:r>
    </w:p>
    <w:p w:rsidR="0025490C" w:rsidRPr="00E07B1B" w:rsidRDefault="0025490C" w:rsidP="00DF737E"/>
    <w:p w:rsidR="0025490C" w:rsidRDefault="0025490C" w:rsidP="00DF737E">
      <w:r w:rsidRPr="00E07B1B">
        <w:t xml:space="preserve">The National Institute </w:t>
      </w:r>
      <w:r>
        <w:t>for</w:t>
      </w:r>
      <w:r w:rsidRPr="00E07B1B">
        <w:t xml:space="preserve"> Health and </w:t>
      </w:r>
      <w:r>
        <w:t xml:space="preserve">Care </w:t>
      </w:r>
      <w:r w:rsidRPr="00E07B1B">
        <w:t xml:space="preserve">Excellence guideline (2008) identified a quasi-randomised study </w:t>
      </w:r>
      <w:r>
        <w:t>that</w:t>
      </w:r>
      <w:r w:rsidRPr="00E07B1B">
        <w:t xml:space="preserve"> found no advantage to preterm caesarean section in women with gestational diabetes.</w:t>
      </w:r>
    </w:p>
    <w:p w:rsidR="0025490C" w:rsidRPr="00E07B1B" w:rsidRDefault="0025490C" w:rsidP="00DF737E"/>
    <w:p w:rsidR="0068074A" w:rsidRDefault="0025490C" w:rsidP="00DF737E">
      <w:r w:rsidRPr="00E07B1B">
        <w:t xml:space="preserve">A retrospective cohort study (Alberico </w:t>
      </w:r>
      <w:r w:rsidR="00D562F2">
        <w:t>et al</w:t>
      </w:r>
      <w:r w:rsidRPr="00E07B1B">
        <w:t xml:space="preserve"> 2010) compared induction of labour at 38 weeks with expectant management (which included fetal ultrasound at 40</w:t>
      </w:r>
      <w:r>
        <w:t>–</w:t>
      </w:r>
      <w:r w:rsidRPr="00E07B1B">
        <w:t>41 weeks and caesarean section if estimated fetal weight was ≥ 4250 g).</w:t>
      </w:r>
    </w:p>
    <w:p w:rsidR="0025490C" w:rsidRPr="00E07B1B" w:rsidRDefault="0025490C" w:rsidP="00DF737E"/>
    <w:p w:rsidR="0025490C" w:rsidRPr="00E07B1B" w:rsidRDefault="0025490C" w:rsidP="00DF737E">
      <w:pPr>
        <w:pStyle w:val="Heading3"/>
      </w:pPr>
      <w:bookmarkStart w:id="177" w:name="_Toc363207330"/>
      <w:bookmarkStart w:id="178" w:name="_Toc402873559"/>
      <w:r w:rsidRPr="00E07B1B">
        <w:t>6.2.1</w:t>
      </w:r>
      <w:r w:rsidR="00DF737E">
        <w:tab/>
      </w:r>
      <w:r w:rsidRPr="00E07B1B">
        <w:t>Maternal outcomes</w:t>
      </w:r>
      <w:bookmarkEnd w:id="177"/>
      <w:bookmarkEnd w:id="178"/>
    </w:p>
    <w:p w:rsidR="0025490C" w:rsidRDefault="0025490C" w:rsidP="00DF737E">
      <w:r w:rsidRPr="00E07B1B">
        <w:t>There was no evidence of a statistical difference in caesarean section rates for induction of labour compared with expectant management</w:t>
      </w:r>
      <w:r>
        <w:t>,</w:t>
      </w:r>
      <w:r w:rsidRPr="00E07B1B">
        <w:t xml:space="preserve"> and no differences between groups for shoulder dystocia (</w:t>
      </w:r>
      <w:r>
        <w:rPr>
          <w:rFonts w:cs="Arial"/>
          <w:szCs w:val="24"/>
        </w:rPr>
        <w:t>NICE</w:t>
      </w:r>
      <w:r w:rsidRPr="00E07B1B">
        <w:t xml:space="preserve"> 2008; Nicholson </w:t>
      </w:r>
      <w:r w:rsidR="00D562F2">
        <w:t>et al</w:t>
      </w:r>
      <w:r w:rsidRPr="00E07B1B">
        <w:t xml:space="preserve"> 2008; Witkop </w:t>
      </w:r>
      <w:r w:rsidR="00D562F2">
        <w:t>et al</w:t>
      </w:r>
      <w:r w:rsidRPr="00E07B1B">
        <w:t xml:space="preserve"> 2009; Alberico </w:t>
      </w:r>
      <w:r w:rsidR="00D562F2">
        <w:t>et al</w:t>
      </w:r>
      <w:r w:rsidRPr="00E07B1B">
        <w:t xml:space="preserve"> 2010</w:t>
      </w:r>
      <w:r>
        <w:t>).</w:t>
      </w:r>
    </w:p>
    <w:p w:rsidR="0025490C" w:rsidRPr="00E07B1B" w:rsidRDefault="0025490C" w:rsidP="00DF737E"/>
    <w:p w:rsidR="0025490C" w:rsidRPr="00E07B1B" w:rsidRDefault="0025490C" w:rsidP="00DF737E">
      <w:pPr>
        <w:pStyle w:val="Heading3"/>
      </w:pPr>
      <w:bookmarkStart w:id="179" w:name="_Toc363207331"/>
      <w:bookmarkStart w:id="180" w:name="_Toc402873560"/>
      <w:r w:rsidRPr="00E07B1B">
        <w:t>6.2.2</w:t>
      </w:r>
      <w:r w:rsidR="00DF737E">
        <w:tab/>
      </w:r>
      <w:r w:rsidRPr="00E07B1B">
        <w:t>Infant outcomes</w:t>
      </w:r>
      <w:bookmarkEnd w:id="179"/>
      <w:bookmarkEnd w:id="180"/>
    </w:p>
    <w:p w:rsidR="0025490C" w:rsidRDefault="0025490C" w:rsidP="00DF737E">
      <w:pPr>
        <w:keepLines/>
      </w:pPr>
      <w:r w:rsidRPr="00E07B1B">
        <w:t xml:space="preserve">The rate of large for gestational age infants was significantly higher in the expectant management group (23% versus 10%, </w:t>
      </w:r>
      <w:r w:rsidRPr="00E93F08">
        <w:rPr>
          <w:i/>
        </w:rPr>
        <w:t>p</w:t>
      </w:r>
      <w:r>
        <w:t xml:space="preserve"> </w:t>
      </w:r>
      <w:r w:rsidRPr="00E07B1B">
        <w:t>=</w:t>
      </w:r>
      <w:r>
        <w:t xml:space="preserve"> </w:t>
      </w:r>
      <w:r w:rsidRPr="00E07B1B">
        <w:t>0.02) (</w:t>
      </w:r>
      <w:r>
        <w:t>NICE</w:t>
      </w:r>
      <w:r w:rsidRPr="00E07B1B">
        <w:t xml:space="preserve"> 2008; Nicholson </w:t>
      </w:r>
      <w:r w:rsidR="00D562F2">
        <w:t>et al</w:t>
      </w:r>
      <w:r w:rsidRPr="00E07B1B">
        <w:t xml:space="preserve"> 2008</w:t>
      </w:r>
      <w:r>
        <w:t>;</w:t>
      </w:r>
      <w:r w:rsidRPr="00CF0B5E">
        <w:t xml:space="preserve"> </w:t>
      </w:r>
      <w:r w:rsidRPr="00E07B1B">
        <w:t xml:space="preserve">Witkop </w:t>
      </w:r>
      <w:r w:rsidR="00D562F2">
        <w:t>et al</w:t>
      </w:r>
      <w:r w:rsidRPr="00E07B1B">
        <w:t xml:space="preserve"> 2009). This may be attributable to the later gestational age at delivery in the expectant management group.</w:t>
      </w:r>
    </w:p>
    <w:p w:rsidR="0025490C" w:rsidRPr="00E07B1B" w:rsidRDefault="0025490C" w:rsidP="00DF737E"/>
    <w:p w:rsidR="0025490C" w:rsidRDefault="0025490C" w:rsidP="00DF737E">
      <w:pPr>
        <w:rPr>
          <w:noProof/>
        </w:rPr>
      </w:pPr>
      <w:r w:rsidRPr="00E07B1B">
        <w:t xml:space="preserve">There were no significant differences between induction of labour and expectant management groups for admission to the neonatal intensive care unit </w:t>
      </w:r>
      <w:r w:rsidRPr="00E07B1B">
        <w:rPr>
          <w:noProof/>
        </w:rPr>
        <w:t>(</w:t>
      </w:r>
      <w:hyperlink w:anchor="_ENREF_1" w:tooltip="Alberico, 2010 #904" w:history="1">
        <w:r w:rsidRPr="00E07B1B">
          <w:rPr>
            <w:noProof/>
          </w:rPr>
          <w:t xml:space="preserve">Alberico </w:t>
        </w:r>
        <w:r w:rsidR="00D562F2">
          <w:rPr>
            <w:noProof/>
          </w:rPr>
          <w:t>et al</w:t>
        </w:r>
        <w:r w:rsidRPr="00E07B1B">
          <w:rPr>
            <w:noProof/>
          </w:rPr>
          <w:t xml:space="preserve"> 2010</w:t>
        </w:r>
      </w:hyperlink>
      <w:r w:rsidRPr="00E07B1B">
        <w:rPr>
          <w:noProof/>
        </w:rPr>
        <w:t>)</w:t>
      </w:r>
      <w:r>
        <w:rPr>
          <w:noProof/>
        </w:rPr>
        <w:t>. T</w:t>
      </w:r>
      <w:r w:rsidRPr="00E07B1B">
        <w:t>here were no cases of neonatal hypoglycaemia or perinatal deaths in the randomised controlled trial (</w:t>
      </w:r>
      <w:r>
        <w:t>NICE</w:t>
      </w:r>
      <w:r w:rsidRPr="00E07B1B">
        <w:t xml:space="preserve"> 2008; Nicholson </w:t>
      </w:r>
      <w:r w:rsidR="00D562F2">
        <w:t>et al</w:t>
      </w:r>
      <w:r w:rsidRPr="00E07B1B">
        <w:t xml:space="preserve"> 2008</w:t>
      </w:r>
      <w:r>
        <w:t>;</w:t>
      </w:r>
      <w:r w:rsidRPr="00CF0B5E">
        <w:t xml:space="preserve"> </w:t>
      </w:r>
      <w:r w:rsidRPr="00E07B1B">
        <w:t xml:space="preserve">Witkop </w:t>
      </w:r>
      <w:r w:rsidR="00D562F2">
        <w:t>et al</w:t>
      </w:r>
      <w:r w:rsidRPr="00E07B1B">
        <w:t xml:space="preserve"> 2009). The observational study reported a single stillbirth in the expectant management group only</w:t>
      </w:r>
      <w:r>
        <w:t>,</w:t>
      </w:r>
      <w:r w:rsidRPr="00E07B1B">
        <w:t xml:space="preserve"> at 41 weeks</w:t>
      </w:r>
      <w:r w:rsidR="0068074A">
        <w:t>’</w:t>
      </w:r>
      <w:r w:rsidRPr="00E07B1B">
        <w:t xml:space="preserve"> gestational age </w:t>
      </w:r>
      <w:r w:rsidRPr="00E07B1B">
        <w:rPr>
          <w:noProof/>
        </w:rPr>
        <w:t>(</w:t>
      </w:r>
      <w:hyperlink w:anchor="_ENREF_1" w:tooltip="Alberico, 2010 #904" w:history="1">
        <w:r w:rsidRPr="00E07B1B">
          <w:rPr>
            <w:noProof/>
          </w:rPr>
          <w:t xml:space="preserve">Alberico </w:t>
        </w:r>
        <w:r w:rsidR="00D562F2">
          <w:rPr>
            <w:noProof/>
          </w:rPr>
          <w:t>et al</w:t>
        </w:r>
        <w:r w:rsidRPr="00E07B1B">
          <w:rPr>
            <w:noProof/>
          </w:rPr>
          <w:t xml:space="preserve"> 2010</w:t>
        </w:r>
      </w:hyperlink>
      <w:r w:rsidRPr="00E07B1B">
        <w:rPr>
          <w:noProof/>
        </w:rPr>
        <w:t>).</w:t>
      </w:r>
    </w:p>
    <w:p w:rsidR="0025490C" w:rsidRPr="00E07B1B" w:rsidRDefault="0025490C" w:rsidP="00DF737E"/>
    <w:p w:rsidR="0025490C" w:rsidRPr="00E07B1B" w:rsidRDefault="0025490C" w:rsidP="00DF737E">
      <w:pPr>
        <w:pStyle w:val="Heading2"/>
      </w:pPr>
      <w:bookmarkStart w:id="181" w:name="_Toc363207332"/>
      <w:bookmarkStart w:id="182" w:name="_Toc402873561"/>
      <w:bookmarkStart w:id="183" w:name="_Toc403469641"/>
      <w:r w:rsidRPr="00E07B1B">
        <w:t>6.3</w:t>
      </w:r>
      <w:r w:rsidR="00DF737E">
        <w:tab/>
      </w:r>
      <w:r w:rsidRPr="00E07B1B">
        <w:t>Timing of birth for women with gestational diabetes</w:t>
      </w:r>
      <w:bookmarkEnd w:id="181"/>
      <w:bookmarkEnd w:id="182"/>
      <w:bookmarkEnd w:id="183"/>
    </w:p>
    <w:p w:rsidR="0025490C" w:rsidRDefault="0025490C" w:rsidP="00DF737E">
      <w:r w:rsidRPr="00E07B1B">
        <w:t>The evidence is based on the single randomised controlled trial by Kjos in 1993 or on low</w:t>
      </w:r>
      <w:r>
        <w:t>-</w:t>
      </w:r>
      <w:r w:rsidRPr="00E07B1B">
        <w:t>quality observational studies. The evidence either recommends delivery before 40 weeks or recommends that</w:t>
      </w:r>
      <w:r>
        <w:t>,</w:t>
      </w:r>
      <w:r w:rsidRPr="00E07B1B">
        <w:t xml:space="preserve"> as long as there has been good glycaemic control (unspecified) during the pregnancy and there are no known obstetric complications</w:t>
      </w:r>
      <w:r>
        <w:t>,</w:t>
      </w:r>
      <w:r w:rsidRPr="00E07B1B">
        <w:t xml:space="preserve"> the pregnancy should be allowed to continue to 40 weeks without induction of labour or elective caesarean section (</w:t>
      </w:r>
      <w:r>
        <w:t>r</w:t>
      </w:r>
      <w:r w:rsidRPr="00E07B1B">
        <w:t>efer to Appendix L, Table 40).</w:t>
      </w:r>
    </w:p>
    <w:p w:rsidR="0025490C" w:rsidRPr="00E07B1B" w:rsidRDefault="0025490C" w:rsidP="00DF737E"/>
    <w:p w:rsidR="0025490C" w:rsidRPr="00E07B1B" w:rsidRDefault="0025490C" w:rsidP="00DF737E">
      <w:pPr>
        <w:pStyle w:val="Heading3"/>
      </w:pPr>
      <w:bookmarkStart w:id="184" w:name="_Toc402873562"/>
      <w:r w:rsidRPr="00E07B1B">
        <w:t>6.3.1</w:t>
      </w:r>
      <w:r w:rsidR="00DF737E">
        <w:tab/>
      </w:r>
      <w:r w:rsidRPr="00E07B1B">
        <w:t>Ongoing studies</w:t>
      </w:r>
      <w:bookmarkEnd w:id="184"/>
    </w:p>
    <w:p w:rsidR="0025490C" w:rsidRDefault="0025490C" w:rsidP="00DF737E">
      <w:r w:rsidRPr="00E07B1B">
        <w:t xml:space="preserve">A protocol was identified for a multicentre, randomised, open label trial comparing induction of labour </w:t>
      </w:r>
      <w:r>
        <w:t>with</w:t>
      </w:r>
      <w:r w:rsidRPr="00E07B1B">
        <w:t xml:space="preserve"> expectant management in women with gestational diabetes (GINEXMAL) (Maso </w:t>
      </w:r>
      <w:r w:rsidR="00D562F2">
        <w:t>et al</w:t>
      </w:r>
      <w:r w:rsidRPr="00E07B1B">
        <w:t xml:space="preserve"> 2011).</w:t>
      </w:r>
    </w:p>
    <w:p w:rsidR="00DF737E" w:rsidRDefault="00DF737E" w:rsidP="00DF737E"/>
    <w:p w:rsidR="00DF737E" w:rsidRPr="00E93F08" w:rsidRDefault="00DF737E" w:rsidP="00DF737E">
      <w:pPr>
        <w:pStyle w:val="BoxHeading"/>
        <w:rPr>
          <w:szCs w:val="24"/>
        </w:rPr>
      </w:pPr>
      <w:r w:rsidRPr="00E93F08">
        <w:t>Key points</w:t>
      </w:r>
    </w:p>
    <w:p w:rsidR="00DF737E" w:rsidRPr="00515922" w:rsidRDefault="00DF737E" w:rsidP="00DF737E">
      <w:pPr>
        <w:pStyle w:val="BoxBullet"/>
      </w:pPr>
      <w:r w:rsidRPr="00515922">
        <w:t>Vaginal birth is preferable to elective caesarean section when the mother has maintained glycaemic treatment targets and there are no maternal or fetal complications</w:t>
      </w:r>
      <w:r>
        <w:t>.</w:t>
      </w:r>
    </w:p>
    <w:p w:rsidR="00DF737E" w:rsidRDefault="00DF737E" w:rsidP="00DF737E">
      <w:pPr>
        <w:pStyle w:val="BoxBullet"/>
      </w:pPr>
      <w:r w:rsidRPr="00515922">
        <w:t>Some evidence suggests that</w:t>
      </w:r>
      <w:r>
        <w:t>,</w:t>
      </w:r>
      <w:r w:rsidRPr="00515922">
        <w:t xml:space="preserve"> as long as the mother has maintained glycaemic treatment targets and there are no maternal or fetal complications</w:t>
      </w:r>
      <w:r>
        <w:t>,</w:t>
      </w:r>
      <w:r w:rsidRPr="00515922">
        <w:t xml:space="preserve"> there is no need to induce labour before 40 weeks</w:t>
      </w:r>
      <w:r>
        <w:t>’</w:t>
      </w:r>
      <w:r w:rsidRPr="00515922">
        <w:t xml:space="preserve"> gestation.</w:t>
      </w:r>
    </w:p>
    <w:p w:rsidR="0025490C" w:rsidRPr="00E07B1B" w:rsidRDefault="0025490C" w:rsidP="00DF737E">
      <w:bookmarkStart w:id="185" w:name="_Toc363207334"/>
    </w:p>
    <w:p w:rsidR="0025490C" w:rsidRPr="00E07B1B" w:rsidRDefault="0025490C" w:rsidP="00DF737E">
      <w:pPr>
        <w:pStyle w:val="Heading2"/>
      </w:pPr>
      <w:bookmarkStart w:id="186" w:name="_Toc402873563"/>
      <w:bookmarkStart w:id="187" w:name="_Toc403469642"/>
      <w:r w:rsidRPr="00E07B1B">
        <w:t>6.4</w:t>
      </w:r>
      <w:r w:rsidR="00DF737E">
        <w:tab/>
      </w:r>
      <w:r w:rsidRPr="00E07B1B">
        <w:t>Evidence to recommendation</w:t>
      </w:r>
      <w:bookmarkEnd w:id="185"/>
      <w:r>
        <w:t>s</w:t>
      </w:r>
      <w:bookmarkEnd w:id="186"/>
      <w:bookmarkEnd w:id="187"/>
    </w:p>
    <w:p w:rsidR="0025490C" w:rsidRDefault="0025490C" w:rsidP="00DF737E">
      <w:pPr>
        <w:keepLines/>
      </w:pPr>
      <w:r w:rsidRPr="00E07B1B">
        <w:t>The evidence is considered to be of very low quality and mainly based on a single randomised trial conducted in the 1990s. The trial suggested that active induction of labour at 38 weeks</w:t>
      </w:r>
      <w:r w:rsidR="0068074A">
        <w:t>’</w:t>
      </w:r>
      <w:r w:rsidRPr="00E07B1B">
        <w:t xml:space="preserve"> gestation resulted in reduced birthweight</w:t>
      </w:r>
      <w:r>
        <w:t xml:space="preserve"> and a lower incidence of</w:t>
      </w:r>
      <w:r w:rsidRPr="00E07B1B">
        <w:t xml:space="preserve"> macrosomia and large for gestational age infants. There was no evidence of an adverse effect on the mother as measured by caesarean section rate. Very low</w:t>
      </w:r>
      <w:r>
        <w:t>-</w:t>
      </w:r>
      <w:r w:rsidRPr="00E07B1B">
        <w:t>quality evidence from observational studies also suggested that induction of labour resulted in decreased</w:t>
      </w:r>
      <w:r>
        <w:t xml:space="preserve"> rates of</w:t>
      </w:r>
      <w:r w:rsidRPr="00E07B1B">
        <w:t xml:space="preserve"> macrosomia and shoulder dystocia when compared </w:t>
      </w:r>
      <w:r>
        <w:t>with</w:t>
      </w:r>
      <w:r w:rsidRPr="00E07B1B">
        <w:t xml:space="preserve"> elective caesarean. There was insufficient evidence to suggest the gestational age at which elective delivery should be considered.</w:t>
      </w:r>
    </w:p>
    <w:p w:rsidR="0025490C" w:rsidRPr="00E07B1B" w:rsidRDefault="0025490C" w:rsidP="00DF737E"/>
    <w:p w:rsidR="0025490C" w:rsidRDefault="0025490C" w:rsidP="00DF737E">
      <w:r w:rsidRPr="00E07B1B">
        <w:t>There is no evidence on the cost</w:t>
      </w:r>
      <w:r>
        <w:t>-</w:t>
      </w:r>
      <w:r w:rsidRPr="00E07B1B">
        <w:t xml:space="preserve">effectiveness of induction of labour or expectant management for women with gestational diabetes. </w:t>
      </w:r>
      <w:r>
        <w:t>Given that the</w:t>
      </w:r>
      <w:r w:rsidRPr="00E07B1B">
        <w:t xml:space="preserve"> number</w:t>
      </w:r>
      <w:r>
        <w:t xml:space="preserve"> </w:t>
      </w:r>
      <w:r w:rsidRPr="00E07B1B">
        <w:t xml:space="preserve">of women with gestational diabetes </w:t>
      </w:r>
      <w:r>
        <w:t xml:space="preserve">is increasing, </w:t>
      </w:r>
      <w:r w:rsidRPr="00E07B1B">
        <w:t xml:space="preserve">there would be additional costs if these women underwent elective delivery rather than spontaneous birth in the absence of obstetric complications. Reducing </w:t>
      </w:r>
      <w:r>
        <w:t xml:space="preserve">the number of </w:t>
      </w:r>
      <w:r w:rsidRPr="00E07B1B">
        <w:t>unnecessary elective caesarean sections would benefit the mother and the health service provider and</w:t>
      </w:r>
      <w:r>
        <w:t xml:space="preserve"> would</w:t>
      </w:r>
      <w:r w:rsidRPr="00E07B1B">
        <w:t xml:space="preserve"> reduce obstetric risks in subsequent pregnancies.</w:t>
      </w:r>
    </w:p>
    <w:p w:rsidR="0025490C" w:rsidRPr="00E07B1B" w:rsidRDefault="0025490C" w:rsidP="00DF737E"/>
    <w:p w:rsidR="0025490C" w:rsidRDefault="0025490C" w:rsidP="00DF737E">
      <w:r w:rsidRPr="00E07B1B">
        <w:t>The available evidence has substantive heterogeneity with serious flaws in study design and methodology. There was insufficient evidence to draw any conclusions on optimal timing and mode of delivery in women with gestational diabetes. The Guideline Development Team therefore made good practice points based on the available data.</w:t>
      </w:r>
    </w:p>
    <w:p w:rsidR="0025490C" w:rsidRPr="00E07B1B" w:rsidRDefault="0025490C" w:rsidP="00DF737E"/>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37"/>
        <w:gridCol w:w="3119"/>
      </w:tblGrid>
      <w:tr w:rsidR="0025490C" w:rsidRPr="00DF737E" w:rsidTr="00DF737E">
        <w:trPr>
          <w:cantSplit/>
        </w:trPr>
        <w:tc>
          <w:tcPr>
            <w:tcW w:w="6237" w:type="dxa"/>
            <w:tcBorders>
              <w:left w:val="nil"/>
              <w:bottom w:val="single" w:sz="4" w:space="0" w:color="auto"/>
              <w:right w:val="nil"/>
            </w:tcBorders>
            <w:shd w:val="clear" w:color="auto" w:fill="F7F9FB"/>
          </w:tcPr>
          <w:p w:rsidR="0025490C" w:rsidRPr="00DF737E" w:rsidRDefault="00DF737E" w:rsidP="00DF737E">
            <w:pPr>
              <w:pStyle w:val="TableText"/>
              <w:rPr>
                <w:b/>
              </w:rPr>
            </w:pPr>
            <w:r w:rsidRPr="00DF737E">
              <w:rPr>
                <w:b/>
              </w:rPr>
              <w:t>Recommendation</w:t>
            </w:r>
          </w:p>
        </w:tc>
        <w:tc>
          <w:tcPr>
            <w:tcW w:w="3119" w:type="dxa"/>
            <w:tcBorders>
              <w:left w:val="nil"/>
              <w:bottom w:val="single" w:sz="4" w:space="0" w:color="auto"/>
              <w:right w:val="nil"/>
            </w:tcBorders>
            <w:shd w:val="clear" w:color="auto" w:fill="F7F9FB"/>
          </w:tcPr>
          <w:p w:rsidR="0025490C" w:rsidRPr="00DF737E" w:rsidRDefault="0025490C" w:rsidP="00DF737E">
            <w:pPr>
              <w:pStyle w:val="TableText"/>
              <w:jc w:val="center"/>
              <w:rPr>
                <w:b/>
              </w:rPr>
            </w:pPr>
            <w:r w:rsidRPr="00DF737E">
              <w:rPr>
                <w:b/>
              </w:rPr>
              <w:t>Strength of recommendation or good practice point (GPP)</w:t>
            </w:r>
          </w:p>
        </w:tc>
      </w:tr>
      <w:tr w:rsidR="00DF737E" w:rsidRPr="00E07B1B" w:rsidTr="00DF737E">
        <w:trPr>
          <w:cantSplit/>
        </w:trPr>
        <w:tc>
          <w:tcPr>
            <w:tcW w:w="6237" w:type="dxa"/>
            <w:tcBorders>
              <w:top w:val="single" w:sz="4" w:space="0" w:color="auto"/>
              <w:left w:val="nil"/>
              <w:bottom w:val="single" w:sz="4" w:space="0" w:color="FFFFFF" w:themeColor="background1"/>
              <w:right w:val="nil"/>
            </w:tcBorders>
            <w:shd w:val="clear" w:color="auto" w:fill="C6D9F1"/>
          </w:tcPr>
          <w:p w:rsidR="00DF737E" w:rsidRPr="00E07B1B" w:rsidRDefault="00DF737E" w:rsidP="00DF737E">
            <w:pPr>
              <w:pStyle w:val="TableText"/>
              <w:ind w:left="425" w:right="142" w:hanging="425"/>
            </w:pPr>
            <w:r w:rsidRPr="00E07B1B">
              <w:t>15</w:t>
            </w:r>
            <w:r>
              <w:tab/>
            </w:r>
            <w:r w:rsidRPr="00E07B1B">
              <w:t>Recommend vaginal birth for women with gestational diabetes whose pregnancy is progressing well, with good glycaemic control (≥ 90% of glucose readings within treatment targets), normal fetal growth (≥ 10</w:t>
            </w:r>
            <w:r w:rsidRPr="00E93F08">
              <w:t>th</w:t>
            </w:r>
            <w:r w:rsidRPr="00FC6663">
              <w:t xml:space="preserve"> </w:t>
            </w:r>
            <w:r w:rsidRPr="00E07B1B">
              <w:t>to ≤ 90</w:t>
            </w:r>
            <w:r w:rsidRPr="00E93F08">
              <w:t>th</w:t>
            </w:r>
            <w:r w:rsidRPr="00E07B1B">
              <w:t xml:space="preserve"> percentile) and no obstetric complications.</w:t>
            </w:r>
          </w:p>
        </w:tc>
        <w:tc>
          <w:tcPr>
            <w:tcW w:w="3119" w:type="dxa"/>
            <w:tcBorders>
              <w:top w:val="single" w:sz="4" w:space="0" w:color="auto"/>
              <w:left w:val="nil"/>
              <w:bottom w:val="single" w:sz="4" w:space="0" w:color="FFFFFF" w:themeColor="background1"/>
              <w:right w:val="nil"/>
            </w:tcBorders>
            <w:shd w:val="clear" w:color="auto" w:fill="C6D9F1"/>
          </w:tcPr>
          <w:p w:rsidR="00DF737E" w:rsidRPr="00E07B1B" w:rsidRDefault="00DF737E" w:rsidP="00DF737E">
            <w:pPr>
              <w:pStyle w:val="TableText"/>
              <w:jc w:val="center"/>
            </w:pPr>
            <w:r w:rsidRPr="00E07B1B">
              <w:t>CONDITIONAL</w:t>
            </w:r>
          </w:p>
        </w:tc>
      </w:tr>
      <w:tr w:rsidR="00DF737E" w:rsidRPr="00E07B1B" w:rsidTr="00DF737E">
        <w:trPr>
          <w:cantSplit/>
        </w:trPr>
        <w:tc>
          <w:tcPr>
            <w:tcW w:w="6237" w:type="dxa"/>
            <w:tcBorders>
              <w:top w:val="single" w:sz="4" w:space="0" w:color="FFFFFF" w:themeColor="background1"/>
              <w:left w:val="nil"/>
              <w:bottom w:val="single" w:sz="4" w:space="0" w:color="FFFFFF" w:themeColor="background1"/>
              <w:right w:val="nil"/>
            </w:tcBorders>
            <w:shd w:val="clear" w:color="auto" w:fill="DBE5F1"/>
          </w:tcPr>
          <w:p w:rsidR="00DF737E" w:rsidRPr="00E07B1B" w:rsidRDefault="00DF737E" w:rsidP="00DF737E">
            <w:pPr>
              <w:pStyle w:val="TableText"/>
              <w:ind w:left="425" w:right="142" w:hanging="425"/>
            </w:pPr>
            <w:r w:rsidRPr="00E07B1B">
              <w:t>16</w:t>
            </w:r>
            <w:r>
              <w:tab/>
            </w:r>
            <w:r w:rsidRPr="00E07B1B">
              <w:t>Planned</w:t>
            </w:r>
            <w:r w:rsidRPr="00E07B1B">
              <w:rPr>
                <w:lang w:eastAsia="en-NZ"/>
              </w:rPr>
              <w:t xml:space="preserve"> delivery before 40 weeks is not recommended for women with </w:t>
            </w:r>
            <w:r w:rsidRPr="00E07B1B">
              <w:t>gestational diabetes</w:t>
            </w:r>
            <w:r w:rsidRPr="00E07B1B">
              <w:rPr>
                <w:lang w:eastAsia="en-NZ"/>
              </w:rPr>
              <w:t xml:space="preserve"> </w:t>
            </w:r>
            <w:r>
              <w:rPr>
                <w:lang w:eastAsia="en-NZ"/>
              </w:rPr>
              <w:t>who have</w:t>
            </w:r>
            <w:r w:rsidRPr="00E07B1B">
              <w:rPr>
                <w:lang w:eastAsia="en-NZ"/>
              </w:rPr>
              <w:t xml:space="preserve"> good glucose control</w:t>
            </w:r>
            <w:r>
              <w:rPr>
                <w:lang w:eastAsia="en-NZ"/>
              </w:rPr>
              <w:t xml:space="preserve"> </w:t>
            </w:r>
            <w:r w:rsidRPr="00E07B1B">
              <w:rPr>
                <w:lang w:eastAsia="en-NZ"/>
              </w:rPr>
              <w:t>(≥</w:t>
            </w:r>
            <w:r>
              <w:rPr>
                <w:lang w:eastAsia="en-NZ"/>
              </w:rPr>
              <w:t xml:space="preserve"> </w:t>
            </w:r>
            <w:r w:rsidRPr="00E07B1B">
              <w:rPr>
                <w:lang w:eastAsia="en-NZ"/>
              </w:rPr>
              <w:t>90% of blood glucose readings within treatment targets) unless there are other complications</w:t>
            </w:r>
            <w:r>
              <w:rPr>
                <w:lang w:eastAsia="en-NZ"/>
              </w:rPr>
              <w:t xml:space="preserve"> </w:t>
            </w:r>
            <w:r w:rsidRPr="00E07B1B">
              <w:rPr>
                <w:lang w:eastAsia="en-NZ"/>
              </w:rPr>
              <w:t>present</w:t>
            </w:r>
            <w:r>
              <w:rPr>
                <w:lang w:eastAsia="en-NZ"/>
              </w:rPr>
              <w:t>.</w:t>
            </w:r>
          </w:p>
        </w:tc>
        <w:tc>
          <w:tcPr>
            <w:tcW w:w="3119" w:type="dxa"/>
            <w:tcBorders>
              <w:top w:val="single" w:sz="4" w:space="0" w:color="FFFFFF" w:themeColor="background1"/>
              <w:left w:val="nil"/>
              <w:bottom w:val="single" w:sz="4" w:space="0" w:color="FFFFFF" w:themeColor="background1"/>
              <w:right w:val="nil"/>
            </w:tcBorders>
            <w:shd w:val="clear" w:color="auto" w:fill="DBE5F1"/>
          </w:tcPr>
          <w:p w:rsidR="00DF737E" w:rsidRPr="00E07B1B" w:rsidRDefault="00DF737E" w:rsidP="00DF737E">
            <w:pPr>
              <w:pStyle w:val="TableText"/>
              <w:jc w:val="center"/>
            </w:pPr>
            <w:r w:rsidRPr="00E07B1B">
              <w:t>GPP</w:t>
            </w:r>
          </w:p>
        </w:tc>
      </w:tr>
      <w:tr w:rsidR="00DF737E" w:rsidRPr="00E07B1B" w:rsidTr="00DF737E">
        <w:trPr>
          <w:cantSplit/>
        </w:trPr>
        <w:tc>
          <w:tcPr>
            <w:tcW w:w="6237" w:type="dxa"/>
            <w:tcBorders>
              <w:top w:val="single" w:sz="4" w:space="0" w:color="FFFFFF" w:themeColor="background1"/>
              <w:left w:val="nil"/>
              <w:bottom w:val="single" w:sz="4" w:space="0" w:color="FFFFFF" w:themeColor="background1"/>
              <w:right w:val="nil"/>
            </w:tcBorders>
            <w:shd w:val="clear" w:color="auto" w:fill="DBE5F1"/>
          </w:tcPr>
          <w:p w:rsidR="00DF737E" w:rsidRPr="00E07B1B" w:rsidRDefault="00DF737E" w:rsidP="00DF737E">
            <w:pPr>
              <w:pStyle w:val="TableText"/>
              <w:ind w:left="425" w:right="142" w:hanging="425"/>
            </w:pPr>
            <w:r w:rsidRPr="00E07B1B">
              <w:t>17</w:t>
            </w:r>
            <w:r>
              <w:tab/>
            </w:r>
            <w:r w:rsidRPr="00E07B1B">
              <w:rPr>
                <w:lang w:eastAsia="en-NZ"/>
              </w:rPr>
              <w:t xml:space="preserve">Assess timing of birth individually </w:t>
            </w:r>
            <w:r>
              <w:rPr>
                <w:lang w:eastAsia="en-NZ"/>
              </w:rPr>
              <w:t>where</w:t>
            </w:r>
            <w:r w:rsidRPr="00E07B1B">
              <w:rPr>
                <w:lang w:eastAsia="en-NZ"/>
              </w:rPr>
              <w:t xml:space="preserve"> women </w:t>
            </w:r>
            <w:r>
              <w:rPr>
                <w:lang w:eastAsia="en-NZ"/>
              </w:rPr>
              <w:t>have</w:t>
            </w:r>
            <w:r w:rsidRPr="00E07B1B">
              <w:rPr>
                <w:lang w:eastAsia="en-NZ"/>
              </w:rPr>
              <w:t xml:space="preserve"> poorly controlled </w:t>
            </w:r>
            <w:r w:rsidRPr="00E07B1B">
              <w:t>gestational diabetes</w:t>
            </w:r>
            <w:r w:rsidRPr="00E07B1B">
              <w:rPr>
                <w:lang w:eastAsia="en-NZ"/>
              </w:rPr>
              <w:t xml:space="preserve"> </w:t>
            </w:r>
            <w:r w:rsidRPr="00E07B1B">
              <w:t xml:space="preserve">(&lt; 90% of blood glucose readings within treatment targets) </w:t>
            </w:r>
            <w:r w:rsidRPr="00E07B1B">
              <w:rPr>
                <w:lang w:eastAsia="en-NZ"/>
              </w:rPr>
              <w:t xml:space="preserve">or </w:t>
            </w:r>
            <w:r>
              <w:rPr>
                <w:lang w:eastAsia="en-NZ"/>
              </w:rPr>
              <w:t xml:space="preserve">there are </w:t>
            </w:r>
            <w:r w:rsidRPr="00E07B1B">
              <w:rPr>
                <w:lang w:eastAsia="en-NZ"/>
              </w:rPr>
              <w:t xml:space="preserve">other maternal or infant comorbidities (including hypertension, pre-eclampsia, large for gestational age </w:t>
            </w:r>
            <w:r>
              <w:rPr>
                <w:lang w:eastAsia="en-NZ"/>
              </w:rPr>
              <w:t xml:space="preserve">infant </w:t>
            </w:r>
            <w:r w:rsidRPr="00E07B1B">
              <w:rPr>
                <w:lang w:eastAsia="en-NZ"/>
              </w:rPr>
              <w:t>&gt; 90</w:t>
            </w:r>
            <w:r w:rsidRPr="00E93F08">
              <w:t xml:space="preserve">th </w:t>
            </w:r>
            <w:r w:rsidRPr="00E07B1B">
              <w:rPr>
                <w:lang w:eastAsia="en-NZ"/>
              </w:rPr>
              <w:t>centile, maternal age &gt; 40 years)</w:t>
            </w:r>
            <w:r>
              <w:rPr>
                <w:lang w:eastAsia="en-NZ"/>
              </w:rPr>
              <w:t>.</w:t>
            </w:r>
          </w:p>
        </w:tc>
        <w:tc>
          <w:tcPr>
            <w:tcW w:w="3119" w:type="dxa"/>
            <w:tcBorders>
              <w:top w:val="single" w:sz="4" w:space="0" w:color="FFFFFF" w:themeColor="background1"/>
              <w:left w:val="nil"/>
              <w:bottom w:val="single" w:sz="4" w:space="0" w:color="FFFFFF" w:themeColor="background1"/>
              <w:right w:val="nil"/>
            </w:tcBorders>
            <w:shd w:val="clear" w:color="auto" w:fill="DBE5F1"/>
          </w:tcPr>
          <w:p w:rsidR="00DF737E" w:rsidRPr="00E07B1B" w:rsidRDefault="00DF737E" w:rsidP="00DF737E">
            <w:pPr>
              <w:pStyle w:val="TableText"/>
              <w:jc w:val="center"/>
            </w:pPr>
            <w:r w:rsidRPr="00E07B1B">
              <w:t>GPP</w:t>
            </w:r>
          </w:p>
        </w:tc>
      </w:tr>
      <w:tr w:rsidR="00DF737E" w:rsidRPr="00E07B1B" w:rsidTr="00DF737E">
        <w:trPr>
          <w:cantSplit/>
        </w:trPr>
        <w:tc>
          <w:tcPr>
            <w:tcW w:w="6237" w:type="dxa"/>
            <w:tcBorders>
              <w:top w:val="single" w:sz="4" w:space="0" w:color="FFFFFF" w:themeColor="background1"/>
              <w:left w:val="nil"/>
              <w:right w:val="nil"/>
            </w:tcBorders>
            <w:shd w:val="clear" w:color="auto" w:fill="DBE5F1"/>
          </w:tcPr>
          <w:p w:rsidR="00DF737E" w:rsidRPr="00E07B1B" w:rsidRDefault="00DF737E" w:rsidP="00DF737E">
            <w:pPr>
              <w:pStyle w:val="TableText"/>
              <w:ind w:left="425" w:right="142" w:hanging="425"/>
            </w:pPr>
            <w:r w:rsidRPr="00E07B1B">
              <w:t>18</w:t>
            </w:r>
            <w:r>
              <w:tab/>
            </w:r>
            <w:r w:rsidRPr="00E07B1B">
              <w:t>Advise women to report a</w:t>
            </w:r>
            <w:r>
              <w:t>ny</w:t>
            </w:r>
            <w:r w:rsidRPr="00E07B1B">
              <w:t xml:space="preserve"> reduction or change in fetal movements from 28 weeks</w:t>
            </w:r>
            <w:r>
              <w:t>’</w:t>
            </w:r>
            <w:r w:rsidRPr="00E07B1B">
              <w:t xml:space="preserve"> gestational age onwards</w:t>
            </w:r>
            <w:r>
              <w:t>.</w:t>
            </w:r>
          </w:p>
        </w:tc>
        <w:tc>
          <w:tcPr>
            <w:tcW w:w="3119" w:type="dxa"/>
            <w:tcBorders>
              <w:top w:val="single" w:sz="4" w:space="0" w:color="FFFFFF" w:themeColor="background1"/>
              <w:left w:val="nil"/>
              <w:right w:val="nil"/>
            </w:tcBorders>
            <w:shd w:val="clear" w:color="auto" w:fill="DBE5F1"/>
          </w:tcPr>
          <w:p w:rsidR="00DF737E" w:rsidRPr="00E07B1B" w:rsidRDefault="00DF737E" w:rsidP="00DF737E">
            <w:pPr>
              <w:pStyle w:val="TableText"/>
              <w:jc w:val="center"/>
            </w:pPr>
            <w:r w:rsidRPr="00E07B1B">
              <w:t>GPP</w:t>
            </w:r>
          </w:p>
        </w:tc>
      </w:tr>
    </w:tbl>
    <w:p w:rsidR="00DF737E" w:rsidRDefault="00DF737E" w:rsidP="00DF737E"/>
    <w:p w:rsidR="00782EE8" w:rsidRDefault="00782EE8" w:rsidP="00782EE8">
      <w:bookmarkStart w:id="188" w:name="_Toc363207335"/>
      <w:bookmarkStart w:id="189" w:name="_Toc402873564"/>
      <w:r>
        <w:br w:type="page"/>
      </w:r>
    </w:p>
    <w:p w:rsidR="0068074A" w:rsidRDefault="0025490C" w:rsidP="00782EE8">
      <w:pPr>
        <w:pStyle w:val="Heading1"/>
      </w:pPr>
      <w:bookmarkStart w:id="190" w:name="_Toc403469643"/>
      <w:r w:rsidRPr="00E07B1B">
        <w:t>Chapte</w:t>
      </w:r>
      <w:r w:rsidRPr="00E07B1B">
        <w:rPr>
          <w:rStyle w:val="Heading1Char"/>
        </w:rPr>
        <w:t>r</w:t>
      </w:r>
      <w:r w:rsidRPr="00E07B1B">
        <w:t xml:space="preserve"> 7</w:t>
      </w:r>
      <w:r>
        <w:t>:</w:t>
      </w:r>
      <w:r w:rsidRPr="00E07B1B">
        <w:t xml:space="preserve"> Immediate postpartum care for women and infants</w:t>
      </w:r>
      <w:bookmarkEnd w:id="188"/>
      <w:bookmarkEnd w:id="189"/>
      <w:bookmarkEnd w:id="190"/>
    </w:p>
    <w:p w:rsidR="0025490C" w:rsidRPr="00E07B1B" w:rsidRDefault="0025490C" w:rsidP="00FC1CBC">
      <w:pPr>
        <w:pStyle w:val="Heading2"/>
      </w:pPr>
      <w:bookmarkStart w:id="191" w:name="_Toc363207336"/>
      <w:bookmarkStart w:id="192" w:name="_Toc402873565"/>
      <w:bookmarkStart w:id="193" w:name="_Toc403469644"/>
      <w:r w:rsidRPr="00E07B1B">
        <w:t>7.1</w:t>
      </w:r>
      <w:r w:rsidR="00FC1CBC">
        <w:tab/>
      </w:r>
      <w:r w:rsidRPr="00E07B1B">
        <w:t>Background</w:t>
      </w:r>
      <w:bookmarkEnd w:id="191"/>
      <w:bookmarkEnd w:id="192"/>
      <w:bookmarkEnd w:id="193"/>
    </w:p>
    <w:p w:rsidR="0025490C" w:rsidRDefault="0025490C" w:rsidP="00FC1CBC">
      <w:r w:rsidRPr="00E07B1B">
        <w:t xml:space="preserve">The information in this </w:t>
      </w:r>
      <w:r>
        <w:t>chapter</w:t>
      </w:r>
      <w:r w:rsidRPr="00E07B1B">
        <w:t xml:space="preserve"> is based on clinical guidelines and local practice guidelines throughout New Zealand. Local policies on care for gestational diabetes, including intra-partum and postpartum care</w:t>
      </w:r>
      <w:r>
        <w:t>,</w:t>
      </w:r>
      <w:r w:rsidRPr="00E07B1B">
        <w:t xml:space="preserve"> were requested from representatives of </w:t>
      </w:r>
      <w:r>
        <w:t>d</w:t>
      </w:r>
      <w:r w:rsidRPr="00E07B1B">
        <w:t xml:space="preserve">istrict </w:t>
      </w:r>
      <w:r>
        <w:t>h</w:t>
      </w:r>
      <w:r w:rsidRPr="00E07B1B">
        <w:t xml:space="preserve">ealth </w:t>
      </w:r>
      <w:r>
        <w:t>b</w:t>
      </w:r>
      <w:r w:rsidRPr="00E07B1B">
        <w:t xml:space="preserve">oards. </w:t>
      </w:r>
      <w:r>
        <w:t>The Guideline Development Team has</w:t>
      </w:r>
      <w:r w:rsidRPr="00E07B1B">
        <w:t xml:space="preserve"> addressed the initiation of breastfeeding, monitoring of maternal and neonatal blood glucose</w:t>
      </w:r>
      <w:r>
        <w:t xml:space="preserve"> levels</w:t>
      </w:r>
      <w:r w:rsidRPr="00E07B1B">
        <w:t xml:space="preserve"> in the immediate postpartum period, diabetic medication and maternal diet after delivery.</w:t>
      </w:r>
    </w:p>
    <w:p w:rsidR="0025490C" w:rsidRPr="00E07B1B" w:rsidRDefault="0025490C" w:rsidP="00FC1CBC"/>
    <w:p w:rsidR="0025490C" w:rsidRPr="00E07B1B" w:rsidRDefault="0025490C" w:rsidP="00FC1CBC">
      <w:pPr>
        <w:pStyle w:val="Heading2"/>
      </w:pPr>
      <w:bookmarkStart w:id="194" w:name="_Toc363207337"/>
      <w:bookmarkStart w:id="195" w:name="_Toc402873566"/>
      <w:bookmarkStart w:id="196" w:name="_Toc403469645"/>
      <w:r w:rsidRPr="00E07B1B">
        <w:t>7.2</w:t>
      </w:r>
      <w:r w:rsidR="00FC1CBC">
        <w:tab/>
      </w:r>
      <w:r w:rsidRPr="00E07B1B">
        <w:t>Breastfeeding initiation</w:t>
      </w:r>
      <w:bookmarkEnd w:id="194"/>
      <w:bookmarkEnd w:id="195"/>
      <w:bookmarkEnd w:id="196"/>
    </w:p>
    <w:p w:rsidR="0025490C" w:rsidRDefault="0025490C" w:rsidP="00FC1CBC">
      <w:pPr>
        <w:rPr>
          <w:color w:val="000000"/>
          <w:lang w:eastAsia="en-NZ"/>
        </w:rPr>
      </w:pPr>
      <w:r w:rsidRPr="00E07B1B">
        <w:t xml:space="preserve">Evidence on early breastfeeding initiation for the prevention of neonatal hypoglycaemia was identified from three clinical guidelines </w:t>
      </w:r>
      <w:r w:rsidRPr="00E07B1B">
        <w:rPr>
          <w:color w:val="000000"/>
          <w:lang w:eastAsia="en-NZ"/>
        </w:rPr>
        <w:t>(</w:t>
      </w:r>
      <w:r w:rsidRPr="00E07B1B">
        <w:t>Health Service Executive 2010;</w:t>
      </w:r>
      <w:r w:rsidRPr="00412B24">
        <w:rPr>
          <w:color w:val="000000"/>
          <w:lang w:eastAsia="en-NZ"/>
        </w:rPr>
        <w:t xml:space="preserve"> </w:t>
      </w:r>
      <w:r w:rsidRPr="00E07B1B">
        <w:rPr>
          <w:color w:val="000000"/>
          <w:lang w:eastAsia="en-NZ"/>
        </w:rPr>
        <w:t xml:space="preserve">Negrato </w:t>
      </w:r>
      <w:r w:rsidR="00D562F2">
        <w:rPr>
          <w:color w:val="000000"/>
          <w:lang w:eastAsia="en-NZ"/>
        </w:rPr>
        <w:t>et al</w:t>
      </w:r>
      <w:r w:rsidRPr="00E07B1B">
        <w:rPr>
          <w:color w:val="000000"/>
          <w:lang w:eastAsia="en-NZ"/>
        </w:rPr>
        <w:t xml:space="preserve"> 2010;</w:t>
      </w:r>
      <w:r w:rsidRPr="00E07B1B">
        <w:t xml:space="preserve"> </w:t>
      </w:r>
      <w:r w:rsidRPr="00E07B1B">
        <w:rPr>
          <w:color w:val="000000"/>
          <w:lang w:eastAsia="en-NZ"/>
        </w:rPr>
        <w:t xml:space="preserve">SIGN 2010) and </w:t>
      </w:r>
      <w:r>
        <w:rPr>
          <w:color w:val="000000"/>
          <w:lang w:eastAsia="en-NZ"/>
        </w:rPr>
        <w:t>four</w:t>
      </w:r>
      <w:r w:rsidRPr="00E07B1B">
        <w:rPr>
          <w:color w:val="000000"/>
          <w:lang w:eastAsia="en-NZ"/>
        </w:rPr>
        <w:t xml:space="preserve"> local New Zealand policies</w:t>
      </w:r>
      <w:r w:rsidRPr="00E07B1B">
        <w:t xml:space="preserve">. </w:t>
      </w:r>
      <w:r w:rsidRPr="00E07B1B">
        <w:rPr>
          <w:color w:val="000000"/>
          <w:lang w:eastAsia="en-NZ"/>
        </w:rPr>
        <w:t xml:space="preserve">Two </w:t>
      </w:r>
      <w:r>
        <w:t>d</w:t>
      </w:r>
      <w:r w:rsidRPr="00E07B1B">
        <w:t xml:space="preserve">istrict </w:t>
      </w:r>
      <w:r>
        <w:t>h</w:t>
      </w:r>
      <w:r w:rsidRPr="00E07B1B">
        <w:t xml:space="preserve">ealth </w:t>
      </w:r>
      <w:r>
        <w:t>b</w:t>
      </w:r>
      <w:r w:rsidRPr="00E07B1B">
        <w:t>oards</w:t>
      </w:r>
      <w:r w:rsidRPr="00E07B1B">
        <w:rPr>
          <w:color w:val="000000"/>
          <w:lang w:eastAsia="en-NZ"/>
        </w:rPr>
        <w:t xml:space="preserve"> emphasised the importance of frequent feeding (</w:t>
      </w:r>
      <w:r>
        <w:rPr>
          <w:color w:val="000000"/>
          <w:lang w:eastAsia="en-NZ"/>
        </w:rPr>
        <w:t>two-</w:t>
      </w:r>
      <w:r w:rsidRPr="00E07B1B">
        <w:rPr>
          <w:color w:val="000000"/>
          <w:lang w:eastAsia="en-NZ"/>
        </w:rPr>
        <w:t xml:space="preserve"> to </w:t>
      </w:r>
      <w:r>
        <w:rPr>
          <w:color w:val="000000"/>
          <w:lang w:eastAsia="en-NZ"/>
        </w:rPr>
        <w:t>three-</w:t>
      </w:r>
      <w:r w:rsidRPr="00E07B1B">
        <w:rPr>
          <w:color w:val="000000"/>
          <w:lang w:eastAsia="en-NZ"/>
        </w:rPr>
        <w:t>hourly) in the first 48 hours after birth.</w:t>
      </w:r>
    </w:p>
    <w:p w:rsidR="0025490C" w:rsidRPr="00E07B1B" w:rsidRDefault="0025490C" w:rsidP="00FC1CBC">
      <w:pPr>
        <w:rPr>
          <w:lang w:eastAsia="en-NZ"/>
        </w:rPr>
      </w:pPr>
    </w:p>
    <w:p w:rsidR="0025490C" w:rsidRDefault="0025490C" w:rsidP="00FC1CBC">
      <w:r w:rsidRPr="00E07B1B">
        <w:rPr>
          <w:caps/>
        </w:rPr>
        <w:t>A</w:t>
      </w:r>
      <w:r w:rsidRPr="00E07B1B">
        <w:t xml:space="preserve"> small pilot study found that early breastfeeding (within 30 minutes of birth) could facilitate glycaemic control in infants whose mothers had gestational diabetes. There was a significantly lower rate of borderline hypoglycaemia compared </w:t>
      </w:r>
      <w:r>
        <w:t>with</w:t>
      </w:r>
      <w:r w:rsidRPr="00E07B1B">
        <w:t xml:space="preserve"> infants who were not breastfed in the early postnatal period (10% versus 28%) or those who received formula as their first feed (9% versus 46%, </w:t>
      </w:r>
      <w:r w:rsidRPr="00A042F9">
        <w:rPr>
          <w:i/>
        </w:rPr>
        <w:t>p</w:t>
      </w:r>
      <w:r>
        <w:t xml:space="preserve"> </w:t>
      </w:r>
      <w:r w:rsidRPr="00E07B1B">
        <w:t>=</w:t>
      </w:r>
      <w:r>
        <w:t xml:space="preserve"> </w:t>
      </w:r>
      <w:r w:rsidRPr="00E07B1B">
        <w:t xml:space="preserve">0.001) (Chertok </w:t>
      </w:r>
      <w:r w:rsidR="00D562F2">
        <w:t>et al</w:t>
      </w:r>
      <w:r w:rsidRPr="00E07B1B">
        <w:t xml:space="preserve"> 2009).</w:t>
      </w:r>
    </w:p>
    <w:p w:rsidR="0025490C" w:rsidRPr="00E07B1B" w:rsidRDefault="0025490C" w:rsidP="00FC1CBC"/>
    <w:p w:rsidR="0025490C" w:rsidRPr="00E07B1B" w:rsidRDefault="0025490C" w:rsidP="00FC1CBC">
      <w:pPr>
        <w:pStyle w:val="Heading2"/>
      </w:pPr>
      <w:bookmarkStart w:id="197" w:name="_Toc363207338"/>
      <w:bookmarkStart w:id="198" w:name="_Toc402873567"/>
      <w:bookmarkStart w:id="199" w:name="_Toc403469646"/>
      <w:r w:rsidRPr="00E07B1B">
        <w:t>7.3</w:t>
      </w:r>
      <w:r w:rsidR="00FC1CBC">
        <w:tab/>
      </w:r>
      <w:r w:rsidRPr="00E07B1B">
        <w:t>Monitoring of neonatal blood glucose levels postpartum</w:t>
      </w:r>
      <w:bookmarkEnd w:id="197"/>
      <w:bookmarkEnd w:id="198"/>
      <w:bookmarkEnd w:id="199"/>
    </w:p>
    <w:p w:rsidR="0025490C" w:rsidRDefault="0025490C" w:rsidP="00FC1CBC">
      <w:r w:rsidRPr="00E07B1B">
        <w:t>The generally accepted international definition of neonatal hypoglycaemia is</w:t>
      </w:r>
      <w:r w:rsidR="0068074A">
        <w:t xml:space="preserve"> </w:t>
      </w:r>
      <w:r w:rsidRPr="00E07B1B">
        <w:t>&lt;</w:t>
      </w:r>
      <w:r>
        <w:t xml:space="preserve"> </w:t>
      </w:r>
      <w:r w:rsidRPr="00E07B1B">
        <w:t>2.6</w:t>
      </w:r>
      <w:r>
        <w:t xml:space="preserve"> </w:t>
      </w:r>
      <w:r w:rsidRPr="00E07B1B">
        <w:t xml:space="preserve">mmol/L. In the local policies that were examined, five </w:t>
      </w:r>
      <w:r>
        <w:t>d</w:t>
      </w:r>
      <w:r w:rsidRPr="00E07B1B">
        <w:t xml:space="preserve">istrict </w:t>
      </w:r>
      <w:r>
        <w:t>h</w:t>
      </w:r>
      <w:r w:rsidRPr="00E07B1B">
        <w:t xml:space="preserve">ealth </w:t>
      </w:r>
      <w:r>
        <w:t>b</w:t>
      </w:r>
      <w:r w:rsidRPr="00E07B1B">
        <w:t xml:space="preserve">oards recommended that the blood sugar of the neonate should be checked one hour after birth. One </w:t>
      </w:r>
      <w:r>
        <w:t>d</w:t>
      </w:r>
      <w:r w:rsidRPr="00E07B1B">
        <w:t xml:space="preserve">istrict </w:t>
      </w:r>
      <w:r>
        <w:t>h</w:t>
      </w:r>
      <w:r w:rsidRPr="00E07B1B">
        <w:t xml:space="preserve">ealth </w:t>
      </w:r>
      <w:r>
        <w:t>b</w:t>
      </w:r>
      <w:r w:rsidRPr="00E07B1B">
        <w:t xml:space="preserve">oard recommended checking blood sugars of the neonate </w:t>
      </w:r>
      <w:r>
        <w:t>two</w:t>
      </w:r>
      <w:r w:rsidRPr="00E07B1B">
        <w:t xml:space="preserve"> hours after birth. Where there was evidence of neonatal hypoglycaemia</w:t>
      </w:r>
      <w:r>
        <w:t>,</w:t>
      </w:r>
      <w:r w:rsidRPr="00E07B1B">
        <w:t xml:space="preserve"> one of the local polic</w:t>
      </w:r>
      <w:r>
        <w:t>i</w:t>
      </w:r>
      <w:r w:rsidRPr="00E07B1B">
        <w:t xml:space="preserve">es suggested </w:t>
      </w:r>
      <w:r>
        <w:t xml:space="preserve">giving </w:t>
      </w:r>
      <w:r w:rsidRPr="00E07B1B">
        <w:t>a small supplemental feed (breast</w:t>
      </w:r>
      <w:r>
        <w:t xml:space="preserve"> </w:t>
      </w:r>
      <w:r w:rsidRPr="00E07B1B">
        <w:t>milk if possible). Intravenous dextrose should be considered with recurrent levels</w:t>
      </w:r>
      <w:r w:rsidR="0068074A">
        <w:t xml:space="preserve"> </w:t>
      </w:r>
      <w:r w:rsidRPr="00E07B1B">
        <w:t>&lt;</w:t>
      </w:r>
      <w:r>
        <w:t xml:space="preserve"> </w:t>
      </w:r>
      <w:r w:rsidRPr="00E07B1B">
        <w:t>2.3</w:t>
      </w:r>
      <w:r>
        <w:t xml:space="preserve"> </w:t>
      </w:r>
      <w:r w:rsidRPr="00E07B1B">
        <w:t>mmol/L in conjunction with a paediatric decision in the neonatal intensive care unit. Two polic</w:t>
      </w:r>
      <w:r>
        <w:t>i</w:t>
      </w:r>
      <w:r w:rsidRPr="00E07B1B">
        <w:t>es recommended</w:t>
      </w:r>
      <w:r>
        <w:t xml:space="preserve"> that monitoring</w:t>
      </w:r>
      <w:r w:rsidRPr="00695949">
        <w:t xml:space="preserve"> </w:t>
      </w:r>
      <w:r w:rsidRPr="00E07B1B">
        <w:t>should continue for about</w:t>
      </w:r>
      <w:r w:rsidR="00FC1CBC">
        <w:br/>
      </w:r>
      <w:r w:rsidRPr="00E07B1B">
        <w:t>12</w:t>
      </w:r>
      <w:r>
        <w:t>–</w:t>
      </w:r>
      <w:r w:rsidRPr="00E07B1B">
        <w:t>24 hours</w:t>
      </w:r>
      <w:r>
        <w:t xml:space="preserve"> until</w:t>
      </w:r>
      <w:r w:rsidRPr="00E07B1B">
        <w:t xml:space="preserve"> three consecutive pre-feed readings &gt; 2.6</w:t>
      </w:r>
      <w:r>
        <w:t xml:space="preserve"> </w:t>
      </w:r>
      <w:r w:rsidRPr="00E07B1B">
        <w:t xml:space="preserve">mmol/L </w:t>
      </w:r>
      <w:r>
        <w:t>are made</w:t>
      </w:r>
      <w:r w:rsidRPr="00E07B1B">
        <w:t>.</w:t>
      </w:r>
    </w:p>
    <w:p w:rsidR="0025490C" w:rsidRPr="00E07B1B" w:rsidRDefault="0025490C" w:rsidP="00FC1CBC"/>
    <w:p w:rsidR="0068074A" w:rsidRDefault="0025490C" w:rsidP="00FC1CBC">
      <w:pPr>
        <w:keepLines/>
      </w:pPr>
      <w:r w:rsidRPr="00E07B1B">
        <w:t>New Zealand</w:t>
      </w:r>
      <w:r>
        <w:t>–</w:t>
      </w:r>
      <w:r w:rsidRPr="00E07B1B">
        <w:t>based evidence from the Sugar Babies trial (Harris</w:t>
      </w:r>
      <w:r>
        <w:t xml:space="preserve"> </w:t>
      </w:r>
      <w:r w:rsidR="00D562F2">
        <w:t>et al</w:t>
      </w:r>
      <w:r w:rsidRPr="00E07B1B">
        <w:t xml:space="preserve"> 2012) indicated that 49% of women with diabetes (any type) met criteria for hypoglycaemia (&lt; 2.6 mmol/L). The incidence of hypoglycaemia may have been higher had there not been an early breastfeeding initiative in place. International recommendations from the Canadian Paediatric Society and the Committee on Fetus Newborn both suggest that monitoring of the infant should be discontinued 12 hours after birth in babies of diabetic mothers if neonatal blood sugars are ≥ 2.6 mmol/L (Harris</w:t>
      </w:r>
      <w:r>
        <w:t xml:space="preserve"> </w:t>
      </w:r>
      <w:r w:rsidR="00D562F2">
        <w:t>et al</w:t>
      </w:r>
      <w:r w:rsidRPr="00E07B1B">
        <w:t xml:space="preserve"> 2012).</w:t>
      </w:r>
    </w:p>
    <w:p w:rsidR="0025490C" w:rsidRPr="00E07B1B" w:rsidRDefault="0025490C" w:rsidP="00FC1CBC"/>
    <w:p w:rsidR="0025490C" w:rsidRPr="00E07B1B" w:rsidRDefault="0025490C" w:rsidP="00FC1CBC">
      <w:pPr>
        <w:pStyle w:val="Heading2"/>
      </w:pPr>
      <w:bookmarkStart w:id="200" w:name="_Toc363207339"/>
      <w:bookmarkStart w:id="201" w:name="_Toc402873568"/>
      <w:bookmarkStart w:id="202" w:name="_Toc403469647"/>
      <w:r w:rsidRPr="00E07B1B">
        <w:t>7.4</w:t>
      </w:r>
      <w:r w:rsidR="00FC1CBC">
        <w:tab/>
      </w:r>
      <w:r w:rsidRPr="00E07B1B">
        <w:t>Monitoring of maternal blood glucose levels postpartum</w:t>
      </w:r>
      <w:bookmarkEnd w:id="200"/>
      <w:bookmarkEnd w:id="201"/>
      <w:bookmarkEnd w:id="202"/>
    </w:p>
    <w:p w:rsidR="0025490C" w:rsidRDefault="0025490C" w:rsidP="00FC1CBC">
      <w:r w:rsidRPr="00E07B1B">
        <w:t xml:space="preserve">There were local differences in monitoring and thresholds of maternal blood glucose after delivery. The majority of the </w:t>
      </w:r>
      <w:r>
        <w:t>d</w:t>
      </w:r>
      <w:r w:rsidRPr="00E07B1B">
        <w:t xml:space="preserve">istrict </w:t>
      </w:r>
      <w:r>
        <w:t>h</w:t>
      </w:r>
      <w:r w:rsidRPr="00E07B1B">
        <w:t xml:space="preserve">ealth </w:t>
      </w:r>
      <w:r>
        <w:t>b</w:t>
      </w:r>
      <w:r w:rsidRPr="00E07B1B">
        <w:t xml:space="preserve">oards that provided policies suggest monitoring of blood glucose before and </w:t>
      </w:r>
      <w:r>
        <w:t>two</w:t>
      </w:r>
      <w:r w:rsidRPr="00E07B1B">
        <w:t xml:space="preserve"> hours after meals for 24 hours after delivery. There was a lack of consistency around the definitions of normal thresholds and when a referral to the medical team should be made (</w:t>
      </w:r>
      <w:r>
        <w:t>r</w:t>
      </w:r>
      <w:r w:rsidRPr="00E07B1B">
        <w:t>efer to Appendix M, Table 41).</w:t>
      </w:r>
    </w:p>
    <w:p w:rsidR="0025490C" w:rsidRPr="00E07B1B" w:rsidRDefault="0025490C" w:rsidP="00FC1CBC"/>
    <w:p w:rsidR="0025490C" w:rsidRPr="00E07B1B" w:rsidRDefault="0025490C" w:rsidP="00FC1CBC">
      <w:pPr>
        <w:pStyle w:val="Heading2"/>
      </w:pPr>
      <w:bookmarkStart w:id="203" w:name="_Toc363207340"/>
      <w:bookmarkStart w:id="204" w:name="_Toc402873569"/>
      <w:bookmarkStart w:id="205" w:name="_Toc403469648"/>
      <w:r w:rsidRPr="00E07B1B">
        <w:t>7.5</w:t>
      </w:r>
      <w:r w:rsidR="00FC1CBC">
        <w:tab/>
      </w:r>
      <w:r w:rsidRPr="00E07B1B">
        <w:t>Diabetic medication – oral hypoglycaemics and insulin</w:t>
      </w:r>
      <w:bookmarkEnd w:id="203"/>
      <w:bookmarkEnd w:id="204"/>
      <w:bookmarkEnd w:id="205"/>
    </w:p>
    <w:p w:rsidR="0025490C" w:rsidRDefault="0025490C" w:rsidP="00FC1CBC">
      <w:r w:rsidRPr="00E07B1B">
        <w:t>Evidence from eight local New Zealand policies agreed that diabetic medication (oral hypoglycaemics and insulin) should stop immediately after delivery and should not be recommenced without referral to the medical or diabetic team.</w:t>
      </w:r>
    </w:p>
    <w:p w:rsidR="0025490C" w:rsidRPr="00E07B1B" w:rsidRDefault="0025490C" w:rsidP="00FC1CBC"/>
    <w:p w:rsidR="0025490C" w:rsidRPr="00E07B1B" w:rsidRDefault="0025490C" w:rsidP="00FC1CBC">
      <w:pPr>
        <w:pStyle w:val="Heading2"/>
      </w:pPr>
      <w:bookmarkStart w:id="206" w:name="_Toc363207341"/>
      <w:bookmarkStart w:id="207" w:name="_Toc402873570"/>
      <w:bookmarkStart w:id="208" w:name="_Toc403469649"/>
      <w:r w:rsidRPr="00E07B1B">
        <w:t>7.6</w:t>
      </w:r>
      <w:r w:rsidR="00FC1CBC">
        <w:tab/>
      </w:r>
      <w:r w:rsidRPr="00E07B1B">
        <w:t>Maternal diet</w:t>
      </w:r>
      <w:bookmarkEnd w:id="206"/>
      <w:bookmarkEnd w:id="207"/>
      <w:bookmarkEnd w:id="208"/>
    </w:p>
    <w:p w:rsidR="0025490C" w:rsidRDefault="0025490C" w:rsidP="00FC1CBC">
      <w:r w:rsidRPr="00E07B1B">
        <w:t xml:space="preserve">Three local </w:t>
      </w:r>
      <w:r>
        <w:t>d</w:t>
      </w:r>
      <w:r w:rsidRPr="00E07B1B">
        <w:t xml:space="preserve">istrict </w:t>
      </w:r>
      <w:r>
        <w:t>h</w:t>
      </w:r>
      <w:r w:rsidRPr="00E07B1B">
        <w:t xml:space="preserve">ealth </w:t>
      </w:r>
      <w:r>
        <w:t>b</w:t>
      </w:r>
      <w:r w:rsidRPr="00E07B1B">
        <w:t>oard polic</w:t>
      </w:r>
      <w:r>
        <w:t>i</w:t>
      </w:r>
      <w:r w:rsidRPr="00E07B1B">
        <w:t xml:space="preserve">es were identified that recommended the women could return to a </w:t>
      </w:r>
      <w:r w:rsidR="0068074A">
        <w:t>‘</w:t>
      </w:r>
      <w:r w:rsidRPr="00E07B1B">
        <w:t>normal diet</w:t>
      </w:r>
      <w:r w:rsidR="0068074A">
        <w:t>’</w:t>
      </w:r>
      <w:r w:rsidRPr="00E07B1B">
        <w:t xml:space="preserve"> (not defined) after delivery.</w:t>
      </w:r>
    </w:p>
    <w:p w:rsidR="0025490C" w:rsidRPr="00E07B1B" w:rsidRDefault="0025490C" w:rsidP="00FC1CBC"/>
    <w:p w:rsidR="0025490C" w:rsidRPr="00E07B1B" w:rsidRDefault="0025490C" w:rsidP="00FC1CBC">
      <w:pPr>
        <w:pStyle w:val="Heading2"/>
      </w:pPr>
      <w:bookmarkStart w:id="209" w:name="_Toc363207342"/>
      <w:bookmarkStart w:id="210" w:name="_Toc402873571"/>
      <w:bookmarkStart w:id="211" w:name="_Toc403469650"/>
      <w:r w:rsidRPr="00E07B1B">
        <w:t>7.7</w:t>
      </w:r>
      <w:r w:rsidR="00FC1CBC">
        <w:tab/>
      </w:r>
      <w:r w:rsidRPr="00E07B1B">
        <w:t>Evidence to recommendation</w:t>
      </w:r>
      <w:bookmarkEnd w:id="209"/>
      <w:r>
        <w:t>s</w:t>
      </w:r>
      <w:bookmarkEnd w:id="210"/>
      <w:bookmarkEnd w:id="211"/>
    </w:p>
    <w:p w:rsidR="0068074A" w:rsidRDefault="0025490C" w:rsidP="00FC1CBC">
      <w:r w:rsidRPr="00E07B1B">
        <w:t>Evidence supports early initiation of breastfeeding in women with gestational diabetes to prevent neonatal hypoglycaemia as well as</w:t>
      </w:r>
      <w:r>
        <w:t xml:space="preserve"> to</w:t>
      </w:r>
      <w:r w:rsidRPr="00E07B1B">
        <w:t xml:space="preserve"> promot</w:t>
      </w:r>
      <w:r>
        <w:t>e</w:t>
      </w:r>
      <w:r w:rsidRPr="00E07B1B">
        <w:t xml:space="preserve"> maternal infant bonding. The Guideline Development Team felt it was important to emphasise the need to encourage early skin to skin contact in women with gestational diabetes to promote bonding and lactation initiation.</w:t>
      </w:r>
    </w:p>
    <w:p w:rsidR="0025490C" w:rsidRPr="00E07B1B" w:rsidRDefault="0025490C" w:rsidP="00FC1CBC"/>
    <w:p w:rsidR="0025490C" w:rsidRDefault="0025490C" w:rsidP="00FC1CBC">
      <w:r w:rsidRPr="00E07B1B">
        <w:t>The current internationally accepted definition of neonatal hypoglycaemia is</w:t>
      </w:r>
      <w:r w:rsidR="0068074A">
        <w:t xml:space="preserve"> </w:t>
      </w:r>
      <w:r w:rsidRPr="00E07B1B">
        <w:t>&lt;</w:t>
      </w:r>
      <w:r>
        <w:t xml:space="preserve"> </w:t>
      </w:r>
      <w:r w:rsidRPr="00E07B1B">
        <w:t>2.6</w:t>
      </w:r>
      <w:r>
        <w:t xml:space="preserve"> </w:t>
      </w:r>
      <w:r w:rsidRPr="00E07B1B">
        <w:t>mmol/L. Where blood glucose monitoring suggests neonatal hypoglycaemia</w:t>
      </w:r>
      <w:r>
        <w:t>,</w:t>
      </w:r>
      <w:r w:rsidRPr="00E07B1B">
        <w:t xml:space="preserve"> frequent breastfeeding (as a first option) should be commenced and a referral made to the neonatal team. Feedback during consultation suggested a need to emphasise that methods sensitive enough to detect low glucose levels in neonatal blood (such as glucose oxidase methods) should be used. The Guideline Development Team agreed with this.</w:t>
      </w:r>
    </w:p>
    <w:p w:rsidR="0025490C" w:rsidRPr="00E07B1B" w:rsidRDefault="0025490C" w:rsidP="00FC1CBC"/>
    <w:p w:rsidR="0025490C" w:rsidRDefault="0025490C" w:rsidP="00FC1CBC">
      <w:pPr>
        <w:keepLines/>
      </w:pPr>
      <w:r w:rsidRPr="00E07B1B">
        <w:t>After birth</w:t>
      </w:r>
      <w:r>
        <w:t>,</w:t>
      </w:r>
      <w:r w:rsidRPr="00E07B1B">
        <w:t xml:space="preserve"> ongoing pharmacological intervention in women with gestational diabetes</w:t>
      </w:r>
      <w:r>
        <w:t xml:space="preserve"> should not be required</w:t>
      </w:r>
      <w:r w:rsidRPr="00E07B1B">
        <w:t>. Capillary monitoring of maternal fasting and postprandial blood glucose should continue until values normalise. If there are continuing abnormal blood glucose values</w:t>
      </w:r>
      <w:r>
        <w:t>,</w:t>
      </w:r>
      <w:r w:rsidRPr="00E07B1B">
        <w:t xml:space="preserve"> the Guideline Development Team felt that it would be appropriate to refer to the medical team. The Guideline Development Team considered that following birth the woman should continue with a healthy, balanced diet and physical activity as recommended in early pregnancy.</w:t>
      </w:r>
    </w:p>
    <w:p w:rsidR="0025490C" w:rsidRPr="00E07B1B" w:rsidRDefault="0025490C" w:rsidP="00FC1CBC"/>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37"/>
        <w:gridCol w:w="3119"/>
      </w:tblGrid>
      <w:tr w:rsidR="0025490C" w:rsidRPr="00FC1CBC" w:rsidTr="00FC1CBC">
        <w:trPr>
          <w:cantSplit/>
        </w:trPr>
        <w:tc>
          <w:tcPr>
            <w:tcW w:w="6237" w:type="dxa"/>
            <w:tcBorders>
              <w:left w:val="nil"/>
              <w:bottom w:val="single" w:sz="4" w:space="0" w:color="auto"/>
              <w:right w:val="nil"/>
            </w:tcBorders>
            <w:shd w:val="clear" w:color="auto" w:fill="F7F9FB"/>
          </w:tcPr>
          <w:p w:rsidR="0025490C" w:rsidRPr="00FC1CBC" w:rsidRDefault="00FC1CBC" w:rsidP="00FC1CBC">
            <w:pPr>
              <w:pStyle w:val="TableText"/>
              <w:rPr>
                <w:b/>
              </w:rPr>
            </w:pPr>
            <w:r w:rsidRPr="00FC1CBC">
              <w:rPr>
                <w:b/>
              </w:rPr>
              <w:t>Recommendation</w:t>
            </w:r>
          </w:p>
        </w:tc>
        <w:tc>
          <w:tcPr>
            <w:tcW w:w="3119" w:type="dxa"/>
            <w:tcBorders>
              <w:left w:val="nil"/>
              <w:bottom w:val="single" w:sz="4" w:space="0" w:color="auto"/>
              <w:right w:val="nil"/>
            </w:tcBorders>
            <w:shd w:val="clear" w:color="auto" w:fill="F7F9FB"/>
          </w:tcPr>
          <w:p w:rsidR="0025490C" w:rsidRPr="00FC1CBC" w:rsidRDefault="0025490C" w:rsidP="00FC1CBC">
            <w:pPr>
              <w:pStyle w:val="TableText"/>
              <w:jc w:val="center"/>
              <w:rPr>
                <w:b/>
              </w:rPr>
            </w:pPr>
            <w:r w:rsidRPr="00FC1CBC">
              <w:rPr>
                <w:b/>
              </w:rPr>
              <w:t>Strength of recommendation or good practice point (GPP)</w:t>
            </w:r>
          </w:p>
        </w:tc>
      </w:tr>
      <w:tr w:rsidR="00FC1CBC" w:rsidRPr="00E07B1B" w:rsidTr="00FC1CBC">
        <w:trPr>
          <w:cantSplit/>
        </w:trPr>
        <w:tc>
          <w:tcPr>
            <w:tcW w:w="6237" w:type="dxa"/>
            <w:tcBorders>
              <w:top w:val="single" w:sz="4" w:space="0" w:color="auto"/>
              <w:left w:val="nil"/>
              <w:bottom w:val="single" w:sz="4" w:space="0" w:color="FFFFFF" w:themeColor="background1"/>
              <w:right w:val="nil"/>
            </w:tcBorders>
            <w:shd w:val="clear" w:color="auto" w:fill="DBE5F1"/>
          </w:tcPr>
          <w:p w:rsidR="00FC1CBC" w:rsidRPr="00E07B1B" w:rsidRDefault="00FC1CBC" w:rsidP="00FC1CBC">
            <w:pPr>
              <w:pStyle w:val="TableText"/>
              <w:ind w:left="425" w:right="142" w:hanging="425"/>
            </w:pPr>
            <w:r w:rsidRPr="00E07B1B">
              <w:t>19</w:t>
            </w:r>
            <w:r>
              <w:tab/>
            </w:r>
            <w:r w:rsidRPr="00E07B1B">
              <w:t>Encourage women diagnosed with gestational diabetes</w:t>
            </w:r>
            <w:r>
              <w:t xml:space="preserve"> to start</w:t>
            </w:r>
            <w:r w:rsidRPr="00E07B1B">
              <w:t xml:space="preserve"> breastfeeding and</w:t>
            </w:r>
            <w:r>
              <w:t xml:space="preserve"> have</w:t>
            </w:r>
            <w:r w:rsidRPr="00E07B1B">
              <w:t xml:space="preserve"> skin to skin contact as early as possible after birth (preferably within one hour)</w:t>
            </w:r>
            <w:r>
              <w:t>.</w:t>
            </w:r>
          </w:p>
        </w:tc>
        <w:tc>
          <w:tcPr>
            <w:tcW w:w="3119" w:type="dxa"/>
            <w:tcBorders>
              <w:top w:val="single" w:sz="4" w:space="0" w:color="auto"/>
              <w:left w:val="nil"/>
              <w:bottom w:val="single" w:sz="4" w:space="0" w:color="FFFFFF" w:themeColor="background1"/>
              <w:right w:val="nil"/>
            </w:tcBorders>
            <w:shd w:val="clear" w:color="auto" w:fill="DBE5F1"/>
          </w:tcPr>
          <w:p w:rsidR="00FC1CBC" w:rsidRPr="00E07B1B" w:rsidRDefault="00FC1CBC" w:rsidP="00FC1CBC">
            <w:pPr>
              <w:pStyle w:val="TableText"/>
              <w:jc w:val="center"/>
            </w:pPr>
            <w:r w:rsidRPr="00E07B1B">
              <w:t>GPP</w:t>
            </w:r>
          </w:p>
        </w:tc>
      </w:tr>
      <w:tr w:rsidR="00FC1CBC" w:rsidRPr="00E07B1B" w:rsidTr="00FC1CBC">
        <w:trPr>
          <w:cantSplit/>
        </w:trPr>
        <w:tc>
          <w:tcPr>
            <w:tcW w:w="6237" w:type="dxa"/>
            <w:tcBorders>
              <w:top w:val="single" w:sz="4" w:space="0" w:color="FFFFFF" w:themeColor="background1"/>
              <w:left w:val="nil"/>
              <w:bottom w:val="single" w:sz="4" w:space="0" w:color="FFFFFF" w:themeColor="background1"/>
              <w:right w:val="nil"/>
            </w:tcBorders>
            <w:shd w:val="clear" w:color="auto" w:fill="DBE5F1"/>
          </w:tcPr>
          <w:p w:rsidR="00FC1CBC" w:rsidRPr="00E07B1B" w:rsidRDefault="00FC1CBC" w:rsidP="00FC1CBC">
            <w:pPr>
              <w:pStyle w:val="TableText"/>
              <w:ind w:left="425" w:right="142" w:hanging="425"/>
            </w:pPr>
            <w:r w:rsidRPr="00E07B1B">
              <w:t>20</w:t>
            </w:r>
            <w:r>
              <w:tab/>
            </w:r>
            <w:r w:rsidRPr="00E07B1B">
              <w:rPr>
                <w:lang w:eastAsia="en-NZ"/>
              </w:rPr>
              <w:t xml:space="preserve">Encourage mothers diagnosed with gestational diabetes to feed their infants frequently (every </w:t>
            </w:r>
            <w:r>
              <w:rPr>
                <w:lang w:eastAsia="en-NZ"/>
              </w:rPr>
              <w:t>two</w:t>
            </w:r>
            <w:r w:rsidRPr="00E07B1B">
              <w:rPr>
                <w:lang w:eastAsia="en-NZ"/>
              </w:rPr>
              <w:t xml:space="preserve"> to </w:t>
            </w:r>
            <w:r>
              <w:rPr>
                <w:lang w:eastAsia="en-NZ"/>
              </w:rPr>
              <w:t>three</w:t>
            </w:r>
            <w:r w:rsidRPr="00E07B1B">
              <w:rPr>
                <w:lang w:eastAsia="en-NZ"/>
              </w:rPr>
              <w:t xml:space="preserve"> hours) during the first 48 hours after birth</w:t>
            </w:r>
            <w:r>
              <w:rPr>
                <w:lang w:eastAsia="en-NZ"/>
              </w:rPr>
              <w:t>.</w:t>
            </w:r>
          </w:p>
        </w:tc>
        <w:tc>
          <w:tcPr>
            <w:tcW w:w="3119" w:type="dxa"/>
            <w:tcBorders>
              <w:top w:val="single" w:sz="4" w:space="0" w:color="FFFFFF" w:themeColor="background1"/>
              <w:left w:val="nil"/>
              <w:bottom w:val="single" w:sz="4" w:space="0" w:color="FFFFFF" w:themeColor="background1"/>
              <w:right w:val="nil"/>
            </w:tcBorders>
            <w:shd w:val="clear" w:color="auto" w:fill="DBE5F1"/>
          </w:tcPr>
          <w:p w:rsidR="00FC1CBC" w:rsidRPr="00E07B1B" w:rsidRDefault="00FC1CBC" w:rsidP="00FC1CBC">
            <w:pPr>
              <w:pStyle w:val="TableText"/>
              <w:jc w:val="center"/>
            </w:pPr>
            <w:r w:rsidRPr="00E07B1B">
              <w:t>GPP</w:t>
            </w:r>
          </w:p>
        </w:tc>
      </w:tr>
      <w:tr w:rsidR="00FC1CBC" w:rsidRPr="003C6E1F" w:rsidTr="00FC1CBC">
        <w:trPr>
          <w:cantSplit/>
        </w:trPr>
        <w:tc>
          <w:tcPr>
            <w:tcW w:w="6237" w:type="dxa"/>
            <w:tcBorders>
              <w:top w:val="single" w:sz="4" w:space="0" w:color="FFFFFF" w:themeColor="background1"/>
              <w:left w:val="nil"/>
              <w:bottom w:val="single" w:sz="4" w:space="0" w:color="FFFFFF" w:themeColor="background1"/>
              <w:right w:val="nil"/>
            </w:tcBorders>
            <w:shd w:val="clear" w:color="auto" w:fill="DBE5F1"/>
          </w:tcPr>
          <w:p w:rsidR="00FC1CBC" w:rsidRPr="003C6E1F" w:rsidRDefault="00FC1CBC" w:rsidP="00FC1CBC">
            <w:pPr>
              <w:pStyle w:val="TableText"/>
              <w:ind w:left="425" w:right="142" w:hanging="425"/>
            </w:pPr>
            <w:r w:rsidRPr="003C6E1F">
              <w:t>21</w:t>
            </w:r>
            <w:r>
              <w:tab/>
            </w:r>
            <w:r w:rsidRPr="00A042F9">
              <w:rPr>
                <w:color w:val="000000"/>
              </w:rPr>
              <w:t xml:space="preserve">Measure </w:t>
            </w:r>
            <w:r>
              <w:rPr>
                <w:color w:val="000000"/>
              </w:rPr>
              <w:t xml:space="preserve">the </w:t>
            </w:r>
            <w:r w:rsidR="00291C12">
              <w:rPr>
                <w:color w:val="000000"/>
              </w:rPr>
              <w:t>infant’s</w:t>
            </w:r>
            <w:r>
              <w:rPr>
                <w:color w:val="000000"/>
              </w:rPr>
              <w:t xml:space="preserve"> </w:t>
            </w:r>
            <w:r w:rsidRPr="00A042F9">
              <w:rPr>
                <w:color w:val="000000"/>
              </w:rPr>
              <w:t xml:space="preserve">plasma glucose at </w:t>
            </w:r>
            <w:r>
              <w:rPr>
                <w:color w:val="000000"/>
              </w:rPr>
              <w:t>one</w:t>
            </w:r>
            <w:r w:rsidRPr="00A042F9">
              <w:rPr>
                <w:color w:val="000000"/>
              </w:rPr>
              <w:t xml:space="preserve"> to </w:t>
            </w:r>
            <w:r>
              <w:rPr>
                <w:color w:val="000000"/>
              </w:rPr>
              <w:t>two</w:t>
            </w:r>
            <w:r w:rsidRPr="00A042F9">
              <w:rPr>
                <w:color w:val="000000"/>
              </w:rPr>
              <w:t xml:space="preserve"> hours of age, </w:t>
            </w:r>
            <w:r>
              <w:rPr>
                <w:color w:val="000000"/>
              </w:rPr>
              <w:t>four</w:t>
            </w:r>
            <w:r w:rsidRPr="00A042F9">
              <w:rPr>
                <w:color w:val="000000"/>
              </w:rPr>
              <w:t xml:space="preserve"> hours, and then </w:t>
            </w:r>
            <w:r>
              <w:rPr>
                <w:color w:val="000000"/>
              </w:rPr>
              <w:t>four</w:t>
            </w:r>
            <w:r w:rsidRPr="00A042F9">
              <w:rPr>
                <w:color w:val="000000"/>
              </w:rPr>
              <w:t xml:space="preserve"> hourly, preferably before feeds</w:t>
            </w:r>
            <w:r>
              <w:rPr>
                <w:color w:val="000000"/>
              </w:rPr>
              <w:t>,</w:t>
            </w:r>
            <w:r w:rsidRPr="003C6E1F">
              <w:t xml:space="preserve"> until there have been </w:t>
            </w:r>
            <w:r>
              <w:t>three</w:t>
            </w:r>
            <w:r w:rsidRPr="003C6E1F">
              <w:t xml:space="preserve"> consecutive readings &gt;</w:t>
            </w:r>
            <w:r>
              <w:t> </w:t>
            </w:r>
            <w:r w:rsidRPr="003C6E1F">
              <w:t>2.6</w:t>
            </w:r>
            <w:r>
              <w:t> </w:t>
            </w:r>
            <w:r w:rsidRPr="003C6E1F">
              <w:t>mmol/L.*</w:t>
            </w:r>
          </w:p>
        </w:tc>
        <w:tc>
          <w:tcPr>
            <w:tcW w:w="3119" w:type="dxa"/>
            <w:tcBorders>
              <w:top w:val="single" w:sz="4" w:space="0" w:color="FFFFFF" w:themeColor="background1"/>
              <w:left w:val="nil"/>
              <w:bottom w:val="single" w:sz="4" w:space="0" w:color="FFFFFF" w:themeColor="background1"/>
              <w:right w:val="nil"/>
            </w:tcBorders>
            <w:shd w:val="clear" w:color="auto" w:fill="DBE5F1"/>
          </w:tcPr>
          <w:p w:rsidR="00FC1CBC" w:rsidRPr="003C6E1F" w:rsidRDefault="00FC1CBC" w:rsidP="00FC1CBC">
            <w:pPr>
              <w:pStyle w:val="TableText"/>
              <w:jc w:val="center"/>
            </w:pPr>
            <w:r w:rsidRPr="003C6E1F">
              <w:t>GPP</w:t>
            </w:r>
          </w:p>
        </w:tc>
      </w:tr>
      <w:tr w:rsidR="00FC1CBC" w:rsidRPr="00E07B1B" w:rsidTr="00FC1CBC">
        <w:trPr>
          <w:cantSplit/>
        </w:trPr>
        <w:tc>
          <w:tcPr>
            <w:tcW w:w="6237" w:type="dxa"/>
            <w:tcBorders>
              <w:top w:val="single" w:sz="4" w:space="0" w:color="FFFFFF" w:themeColor="background1"/>
              <w:left w:val="nil"/>
              <w:bottom w:val="single" w:sz="4" w:space="0" w:color="FFFFFF" w:themeColor="background1"/>
              <w:right w:val="nil"/>
            </w:tcBorders>
            <w:shd w:val="clear" w:color="auto" w:fill="DBE5F1"/>
          </w:tcPr>
          <w:p w:rsidR="00FC1CBC" w:rsidRPr="00E07B1B" w:rsidRDefault="00FC1CBC" w:rsidP="00FC1CBC">
            <w:pPr>
              <w:pStyle w:val="TableText"/>
              <w:ind w:left="425" w:right="142" w:hanging="425"/>
            </w:pPr>
            <w:r w:rsidRPr="00E07B1B">
              <w:t>22</w:t>
            </w:r>
            <w:r>
              <w:tab/>
            </w:r>
            <w:r w:rsidRPr="00E07B1B">
              <w:t>For infants with blood glucose levels &lt;</w:t>
            </w:r>
            <w:r>
              <w:t> </w:t>
            </w:r>
            <w:r w:rsidRPr="00E07B1B">
              <w:t>2.6</w:t>
            </w:r>
            <w:r>
              <w:t> </w:t>
            </w:r>
            <w:r w:rsidRPr="00E07B1B">
              <w:t>mmol/L:</w:t>
            </w:r>
          </w:p>
          <w:p w:rsidR="00FC1CBC" w:rsidRPr="00E07B1B" w:rsidRDefault="00FC1CBC" w:rsidP="00FC1CBC">
            <w:pPr>
              <w:pStyle w:val="TableBullet"/>
              <w:ind w:left="709" w:right="142"/>
            </w:pPr>
            <w:r>
              <w:t>o</w:t>
            </w:r>
            <w:r w:rsidRPr="00E07B1B">
              <w:t>ffer supplementary breastfeeds where possible</w:t>
            </w:r>
          </w:p>
          <w:p w:rsidR="00FC1CBC" w:rsidRPr="00E07B1B" w:rsidRDefault="00FC1CBC" w:rsidP="00FC1CBC">
            <w:pPr>
              <w:pStyle w:val="TableBullet"/>
              <w:ind w:left="709" w:right="142"/>
            </w:pPr>
            <w:r>
              <w:t>i</w:t>
            </w:r>
            <w:r w:rsidRPr="00E07B1B">
              <w:t xml:space="preserve">f blood sugar levels remain &lt; 2.6 mmol/L for </w:t>
            </w:r>
            <w:r>
              <w:t>two</w:t>
            </w:r>
            <w:r w:rsidRPr="00E07B1B">
              <w:t xml:space="preserve"> consecutive readings one hour apart</w:t>
            </w:r>
            <w:r>
              <w:t>,</w:t>
            </w:r>
            <w:r w:rsidRPr="00E07B1B">
              <w:t xml:space="preserve"> refer the infant to the neonatal team</w:t>
            </w:r>
          </w:p>
          <w:p w:rsidR="00FC1CBC" w:rsidRPr="00E07B1B" w:rsidRDefault="00FC1CBC" w:rsidP="00FC1CBC">
            <w:pPr>
              <w:pStyle w:val="TableBullet"/>
              <w:ind w:left="709" w:right="142"/>
            </w:pPr>
            <w:r>
              <w:t>i</w:t>
            </w:r>
            <w:r w:rsidRPr="00E07B1B">
              <w:t xml:space="preserve">f </w:t>
            </w:r>
            <w:r>
              <w:t xml:space="preserve">any reading is </w:t>
            </w:r>
            <w:r w:rsidRPr="00E07B1B">
              <w:t>≤ 2.0 mmol/L</w:t>
            </w:r>
            <w:r>
              <w:t>,</w:t>
            </w:r>
            <w:r w:rsidRPr="00E07B1B">
              <w:t xml:space="preserve"> refer immediately to the neonatal team</w:t>
            </w:r>
            <w:r>
              <w:t>.</w:t>
            </w:r>
          </w:p>
        </w:tc>
        <w:tc>
          <w:tcPr>
            <w:tcW w:w="3119" w:type="dxa"/>
            <w:tcBorders>
              <w:top w:val="single" w:sz="4" w:space="0" w:color="FFFFFF" w:themeColor="background1"/>
              <w:left w:val="nil"/>
              <w:bottom w:val="single" w:sz="4" w:space="0" w:color="FFFFFF" w:themeColor="background1"/>
              <w:right w:val="nil"/>
            </w:tcBorders>
            <w:shd w:val="clear" w:color="auto" w:fill="DBE5F1"/>
          </w:tcPr>
          <w:p w:rsidR="00FC1CBC" w:rsidRPr="00E07B1B" w:rsidRDefault="00FC1CBC" w:rsidP="00FC1CBC">
            <w:pPr>
              <w:pStyle w:val="TableText"/>
              <w:jc w:val="center"/>
            </w:pPr>
            <w:r w:rsidRPr="00E07B1B">
              <w:t>GPP</w:t>
            </w:r>
          </w:p>
        </w:tc>
      </w:tr>
      <w:tr w:rsidR="00FC1CBC" w:rsidRPr="00E07B1B" w:rsidTr="00FC1CBC">
        <w:trPr>
          <w:cantSplit/>
        </w:trPr>
        <w:tc>
          <w:tcPr>
            <w:tcW w:w="6237" w:type="dxa"/>
            <w:tcBorders>
              <w:top w:val="single" w:sz="4" w:space="0" w:color="FFFFFF" w:themeColor="background1"/>
              <w:left w:val="nil"/>
              <w:bottom w:val="single" w:sz="4" w:space="0" w:color="FFFFFF" w:themeColor="background1"/>
              <w:right w:val="nil"/>
            </w:tcBorders>
            <w:shd w:val="clear" w:color="auto" w:fill="DBE5F1"/>
          </w:tcPr>
          <w:p w:rsidR="00FC1CBC" w:rsidRPr="00E07B1B" w:rsidRDefault="00FC1CBC" w:rsidP="00FC1CBC">
            <w:pPr>
              <w:pStyle w:val="TableText"/>
              <w:ind w:left="425" w:right="142" w:hanging="425"/>
              <w:rPr>
                <w:lang w:eastAsia="en-NZ"/>
              </w:rPr>
            </w:pPr>
            <w:r w:rsidRPr="00E07B1B">
              <w:t>23</w:t>
            </w:r>
            <w:r>
              <w:tab/>
            </w:r>
            <w:r w:rsidRPr="00E07B1B">
              <w:rPr>
                <w:lang w:eastAsia="en-NZ"/>
              </w:rPr>
              <w:t xml:space="preserve">Monitor the blood glucose of women who have been diagnosed with gestational diabetes before breakfast (fasting blood sugar) and </w:t>
            </w:r>
            <w:r>
              <w:rPr>
                <w:lang w:eastAsia="en-NZ"/>
              </w:rPr>
              <w:t>two</w:t>
            </w:r>
            <w:r w:rsidRPr="00E07B1B">
              <w:rPr>
                <w:lang w:eastAsia="en-NZ"/>
              </w:rPr>
              <w:t xml:space="preserve"> hours after meals for 24 hours after delivery. Refer to the medical team if values are between 7 mmol/L and ≥ 11 mmol/L on </w:t>
            </w:r>
            <w:r>
              <w:rPr>
                <w:lang w:eastAsia="en-NZ"/>
              </w:rPr>
              <w:t>two</w:t>
            </w:r>
            <w:r w:rsidRPr="00E07B1B">
              <w:rPr>
                <w:lang w:eastAsia="en-NZ"/>
              </w:rPr>
              <w:t xml:space="preserve"> consecutive occasions.</w:t>
            </w:r>
          </w:p>
          <w:p w:rsidR="00FC1CBC" w:rsidRPr="00E07B1B" w:rsidRDefault="00FC1CBC" w:rsidP="00FC1CBC">
            <w:pPr>
              <w:pStyle w:val="TableText"/>
              <w:ind w:left="425" w:right="142"/>
            </w:pPr>
            <w:r w:rsidRPr="00E07B1B">
              <w:rPr>
                <w:lang w:eastAsia="en-NZ"/>
              </w:rPr>
              <w:t>If blood glucose levels are within normal range</w:t>
            </w:r>
            <w:r>
              <w:rPr>
                <w:lang w:eastAsia="en-NZ"/>
              </w:rPr>
              <w:t>,</w:t>
            </w:r>
            <w:r w:rsidRPr="00E07B1B">
              <w:rPr>
                <w:lang w:eastAsia="en-NZ"/>
              </w:rPr>
              <w:t xml:space="preserve"> stop monitoring</w:t>
            </w:r>
            <w:r>
              <w:rPr>
                <w:lang w:eastAsia="en-NZ"/>
              </w:rPr>
              <w:t xml:space="preserve"> after 24 hours.</w:t>
            </w:r>
          </w:p>
        </w:tc>
        <w:tc>
          <w:tcPr>
            <w:tcW w:w="3119" w:type="dxa"/>
            <w:tcBorders>
              <w:top w:val="single" w:sz="4" w:space="0" w:color="FFFFFF" w:themeColor="background1"/>
              <w:left w:val="nil"/>
              <w:bottom w:val="single" w:sz="4" w:space="0" w:color="FFFFFF" w:themeColor="background1"/>
              <w:right w:val="nil"/>
            </w:tcBorders>
            <w:shd w:val="clear" w:color="auto" w:fill="DBE5F1"/>
          </w:tcPr>
          <w:p w:rsidR="00FC1CBC" w:rsidRPr="00E07B1B" w:rsidRDefault="00FC1CBC" w:rsidP="00FC1CBC">
            <w:pPr>
              <w:pStyle w:val="TableText"/>
              <w:jc w:val="center"/>
            </w:pPr>
            <w:r w:rsidRPr="00E07B1B">
              <w:t>GPP</w:t>
            </w:r>
          </w:p>
        </w:tc>
      </w:tr>
      <w:tr w:rsidR="00FC1CBC" w:rsidRPr="00E07B1B" w:rsidTr="00FC1CBC">
        <w:trPr>
          <w:cantSplit/>
        </w:trPr>
        <w:tc>
          <w:tcPr>
            <w:tcW w:w="6237" w:type="dxa"/>
            <w:tcBorders>
              <w:top w:val="single" w:sz="4" w:space="0" w:color="FFFFFF" w:themeColor="background1"/>
              <w:left w:val="nil"/>
              <w:right w:val="nil"/>
            </w:tcBorders>
            <w:shd w:val="clear" w:color="auto" w:fill="DBE5F1"/>
          </w:tcPr>
          <w:p w:rsidR="00FC1CBC" w:rsidRPr="00E07B1B" w:rsidRDefault="00FC1CBC" w:rsidP="00FC1CBC">
            <w:pPr>
              <w:pStyle w:val="TableText"/>
              <w:ind w:left="425" w:right="142" w:hanging="425"/>
            </w:pPr>
            <w:r w:rsidRPr="00E07B1B">
              <w:t>24</w:t>
            </w:r>
            <w:r>
              <w:tab/>
            </w:r>
            <w:r w:rsidRPr="00E07B1B">
              <w:rPr>
                <w:lang w:eastAsia="en-NZ"/>
              </w:rPr>
              <w:t>Discontinue diabetes medication for women with a diagnosis of gestational diabetes at birth</w:t>
            </w:r>
            <w:r>
              <w:rPr>
                <w:lang w:eastAsia="en-NZ"/>
              </w:rPr>
              <w:t>.</w:t>
            </w:r>
          </w:p>
        </w:tc>
        <w:tc>
          <w:tcPr>
            <w:tcW w:w="3119" w:type="dxa"/>
            <w:tcBorders>
              <w:top w:val="single" w:sz="4" w:space="0" w:color="FFFFFF" w:themeColor="background1"/>
              <w:left w:val="nil"/>
              <w:right w:val="nil"/>
            </w:tcBorders>
            <w:shd w:val="clear" w:color="auto" w:fill="DBE5F1"/>
          </w:tcPr>
          <w:p w:rsidR="00FC1CBC" w:rsidRPr="00E07B1B" w:rsidRDefault="00FC1CBC" w:rsidP="00FC1CBC">
            <w:pPr>
              <w:pStyle w:val="TableText"/>
              <w:jc w:val="center"/>
            </w:pPr>
            <w:r w:rsidRPr="00E07B1B">
              <w:t>GPP</w:t>
            </w:r>
          </w:p>
        </w:tc>
      </w:tr>
    </w:tbl>
    <w:p w:rsidR="0025490C" w:rsidRDefault="0025490C" w:rsidP="00FC1CBC">
      <w:pPr>
        <w:pStyle w:val="Note"/>
        <w:ind w:left="0" w:firstLine="0"/>
      </w:pPr>
      <w:r w:rsidRPr="00A042F9">
        <w:t>Note: * An appropriately sensitive method, such as the glucose oxidase method, should be used to test for neonatal hypoglycaemia. Accucheck is not sensitive enough and should not be used to measure neonatal blood glucose.</w:t>
      </w:r>
    </w:p>
    <w:p w:rsidR="00FC1CBC" w:rsidRPr="00FC1CBC" w:rsidRDefault="00FC1CBC" w:rsidP="00FC1CBC"/>
    <w:p w:rsidR="0025490C" w:rsidRPr="00E07B1B" w:rsidRDefault="0025490C" w:rsidP="006F34F3">
      <w:pPr>
        <w:pStyle w:val="Heading1"/>
      </w:pPr>
      <w:bookmarkStart w:id="212" w:name="_Toc363207343"/>
      <w:r>
        <w:br w:type="page"/>
      </w:r>
      <w:bookmarkStart w:id="213" w:name="_Toc402873572"/>
      <w:bookmarkStart w:id="214" w:name="_Toc403469651"/>
      <w:r w:rsidRPr="00E07B1B">
        <w:t>Chapter 8</w:t>
      </w:r>
      <w:r>
        <w:t>:</w:t>
      </w:r>
      <w:r w:rsidRPr="00E07B1B">
        <w:t xml:space="preserve"> Information women with gestational diabetes should receive after birth</w:t>
      </w:r>
      <w:bookmarkEnd w:id="212"/>
      <w:bookmarkEnd w:id="213"/>
      <w:bookmarkEnd w:id="214"/>
    </w:p>
    <w:p w:rsidR="0025490C" w:rsidRPr="00E07B1B" w:rsidRDefault="0025490C" w:rsidP="006F34F3">
      <w:pPr>
        <w:pStyle w:val="Heading2"/>
      </w:pPr>
      <w:bookmarkStart w:id="215" w:name="_Toc363207344"/>
      <w:bookmarkStart w:id="216" w:name="_Toc402873573"/>
      <w:bookmarkStart w:id="217" w:name="_Toc403469652"/>
      <w:r w:rsidRPr="00E07B1B">
        <w:t>8.1</w:t>
      </w:r>
      <w:r w:rsidR="006F34F3">
        <w:tab/>
      </w:r>
      <w:r w:rsidRPr="00E07B1B">
        <w:t>Background</w:t>
      </w:r>
      <w:bookmarkEnd w:id="215"/>
      <w:bookmarkEnd w:id="216"/>
      <w:bookmarkEnd w:id="217"/>
    </w:p>
    <w:p w:rsidR="0025490C" w:rsidRDefault="0025490C" w:rsidP="006F34F3">
      <w:r w:rsidRPr="00E07B1B">
        <w:t xml:space="preserve">The evidence presented here is a narrative review. </w:t>
      </w:r>
      <w:r>
        <w:t>It covers</w:t>
      </w:r>
      <w:r w:rsidRPr="00E07B1B">
        <w:t xml:space="preserve"> breastfeeding, contraception and family planning, lifestyle and dietary advice and postpartum screening.</w:t>
      </w:r>
    </w:p>
    <w:p w:rsidR="0025490C" w:rsidRPr="00E07B1B" w:rsidRDefault="0025490C" w:rsidP="006F34F3"/>
    <w:p w:rsidR="0025490C" w:rsidRDefault="0025490C" w:rsidP="006F34F3">
      <w:pPr>
        <w:pStyle w:val="Heading2"/>
      </w:pPr>
      <w:bookmarkStart w:id="218" w:name="_Toc363207345"/>
      <w:bookmarkStart w:id="219" w:name="_Toc402873574"/>
      <w:bookmarkStart w:id="220" w:name="_Toc403469653"/>
      <w:r w:rsidRPr="00E07B1B">
        <w:t>8.2</w:t>
      </w:r>
      <w:r w:rsidR="006F34F3">
        <w:tab/>
      </w:r>
      <w:r w:rsidRPr="00E07B1B">
        <w:t>Breastfeeding</w:t>
      </w:r>
      <w:bookmarkEnd w:id="218"/>
      <w:bookmarkEnd w:id="219"/>
      <w:bookmarkEnd w:id="220"/>
    </w:p>
    <w:p w:rsidR="0025490C" w:rsidRPr="00E07B1B" w:rsidRDefault="0025490C" w:rsidP="006F34F3">
      <w:pPr>
        <w:pStyle w:val="Heading3"/>
        <w:spacing w:before="240"/>
      </w:pPr>
      <w:bookmarkStart w:id="221" w:name="_Toc363207346"/>
      <w:bookmarkStart w:id="222" w:name="_Toc402873575"/>
      <w:r w:rsidRPr="00E07B1B">
        <w:t>8.2.1</w:t>
      </w:r>
      <w:r w:rsidR="006F34F3">
        <w:tab/>
      </w:r>
      <w:r w:rsidRPr="00E07B1B">
        <w:t>Benefits for the infant/child</w:t>
      </w:r>
      <w:bookmarkEnd w:id="221"/>
      <w:bookmarkEnd w:id="222"/>
    </w:p>
    <w:p w:rsidR="0068074A" w:rsidRDefault="0025490C" w:rsidP="006F34F3">
      <w:r w:rsidRPr="00E07B1B">
        <w:t xml:space="preserve">The benefits to the infant </w:t>
      </w:r>
      <w:r>
        <w:t xml:space="preserve">gained </w:t>
      </w:r>
      <w:r w:rsidRPr="00E07B1B">
        <w:t xml:space="preserve">from breastfeeding </w:t>
      </w:r>
      <w:r>
        <w:t>from</w:t>
      </w:r>
      <w:r w:rsidRPr="00E07B1B">
        <w:t xml:space="preserve"> women with gestational diabetes and/or diabetes are globally recognised (</w:t>
      </w:r>
      <w:hyperlink w:anchor="_ENREF_1" w:tooltip="Canadian Diabetes Association Clinical Practice Guidelines Expert Committee, 2008 #1332" w:history="1">
        <w:r w:rsidRPr="00E07B1B">
          <w:rPr>
            <w:noProof/>
          </w:rPr>
          <w:t>Canadian Diabetes Association</w:t>
        </w:r>
        <w:r>
          <w:rPr>
            <w:noProof/>
          </w:rPr>
          <w:t xml:space="preserve"> </w:t>
        </w:r>
        <w:r w:rsidRPr="00E07B1B">
          <w:rPr>
            <w:noProof/>
          </w:rPr>
          <w:t>2008</w:t>
        </w:r>
      </w:hyperlink>
      <w:r w:rsidRPr="00E07B1B">
        <w:rPr>
          <w:noProof/>
        </w:rPr>
        <w:t xml:space="preserve">; </w:t>
      </w:r>
      <w:r>
        <w:rPr>
          <w:rFonts w:cs="Arial"/>
          <w:szCs w:val="24"/>
        </w:rPr>
        <w:t>NICE</w:t>
      </w:r>
      <w:r w:rsidRPr="00E07B1B">
        <w:t xml:space="preserve"> 2008; International Diabetes Federation 2009;</w:t>
      </w:r>
      <w:r w:rsidRPr="003C6E1F">
        <w:t xml:space="preserve"> </w:t>
      </w:r>
      <w:r w:rsidRPr="00E07B1B">
        <w:t>Health Service Executive 2010; SIGN 2010; Wisconsin Department of Health Services 2012).</w:t>
      </w:r>
    </w:p>
    <w:p w:rsidR="0025490C" w:rsidRPr="00E07B1B" w:rsidRDefault="0025490C" w:rsidP="006F34F3"/>
    <w:p w:rsidR="0025490C" w:rsidRPr="00E07B1B" w:rsidRDefault="0025490C" w:rsidP="006F34F3">
      <w:r w:rsidRPr="00E07B1B">
        <w:t>Cohort studies have found an association between fetal exposure to gestational diabetes and later development of type 2 diabetes in adulthood which can be ameliorated by breastfeeding (Gunderson 2007</w:t>
      </w:r>
      <w:r>
        <w:t xml:space="preserve">; </w:t>
      </w:r>
      <w:r w:rsidRPr="00E07B1B">
        <w:t>Canadian Diabetes Association 2008; International Diabetes Federation 2009). Early breastfeeding is associated with the prevention of neonatal hypoglycaemia and stimulation of lactation (</w:t>
      </w:r>
      <w:r>
        <w:t>NICE</w:t>
      </w:r>
      <w:r w:rsidRPr="00E07B1B">
        <w:t xml:space="preserve"> 2008; Chertok </w:t>
      </w:r>
      <w:r w:rsidR="00D562F2">
        <w:t>et al</w:t>
      </w:r>
      <w:r w:rsidRPr="00E07B1B">
        <w:t xml:space="preserve"> 2009; Health Service Executive 2010</w:t>
      </w:r>
      <w:r>
        <w:t>;</w:t>
      </w:r>
      <w:r w:rsidRPr="00C54115">
        <w:t xml:space="preserve"> </w:t>
      </w:r>
      <w:r w:rsidRPr="00E07B1B">
        <w:t>SIGN 2010).</w:t>
      </w:r>
    </w:p>
    <w:p w:rsidR="0025490C" w:rsidRPr="00E07B1B" w:rsidRDefault="0025490C" w:rsidP="00A16258"/>
    <w:p w:rsidR="0068074A" w:rsidRDefault="0025490C" w:rsidP="00A16258">
      <w:r w:rsidRPr="00E07B1B">
        <w:t>A systematic review of observational studies could not draw any conclusions on the association between breastfeeding and risk of metabolic disorders in the offspring due to the limited and low</w:t>
      </w:r>
      <w:r>
        <w:t>-</w:t>
      </w:r>
      <w:r w:rsidRPr="00E07B1B">
        <w:t xml:space="preserve">quality evidence (Kerlan 2010). </w:t>
      </w:r>
      <w:r>
        <w:t>Due to t</w:t>
      </w:r>
      <w:r w:rsidRPr="00E07B1B">
        <w:t>he population characteristics</w:t>
      </w:r>
      <w:r>
        <w:t>,</w:t>
      </w:r>
      <w:r w:rsidRPr="00E07B1B">
        <w:t xml:space="preserve"> including</w:t>
      </w:r>
      <w:r>
        <w:t xml:space="preserve"> that participants were</w:t>
      </w:r>
      <w:r w:rsidRPr="00E07B1B">
        <w:t xml:space="preserve"> mainly Pima Indians</w:t>
      </w:r>
      <w:r>
        <w:t>,</w:t>
      </w:r>
      <w:r w:rsidRPr="00E07B1B">
        <w:t xml:space="preserve"> </w:t>
      </w:r>
      <w:r>
        <w:t xml:space="preserve">the findings </w:t>
      </w:r>
      <w:r w:rsidRPr="00E07B1B">
        <w:t>are unlikely to be generalisable to the New</w:t>
      </w:r>
      <w:r w:rsidR="00A16258">
        <w:t> </w:t>
      </w:r>
      <w:r w:rsidRPr="00E07B1B">
        <w:t>Zealand setting.</w:t>
      </w:r>
    </w:p>
    <w:p w:rsidR="0025490C" w:rsidRPr="00E07B1B" w:rsidRDefault="0025490C" w:rsidP="00A16258"/>
    <w:p w:rsidR="0068074A" w:rsidRDefault="0025490C" w:rsidP="00A16258">
      <w:r w:rsidRPr="00E07B1B">
        <w:t xml:space="preserve">Breastfeeding appears to reduce the risk of being overweight in the child and the adolescent (Gunderson 2007). Breastfeeding for </w:t>
      </w:r>
      <w:r>
        <w:t>six</w:t>
      </w:r>
      <w:r w:rsidRPr="00E07B1B">
        <w:t xml:space="preserve"> months or more (in infants exposed to diabetes in utero) appears to be protective against childhood adiposity (Crume </w:t>
      </w:r>
      <w:r w:rsidR="00D562F2">
        <w:t>et al</w:t>
      </w:r>
      <w:r w:rsidRPr="00E07B1B">
        <w:t xml:space="preserve"> 2011</w:t>
      </w:r>
      <w:r>
        <w:t>,</w:t>
      </w:r>
      <w:r w:rsidRPr="00E07B1B">
        <w:t xml:space="preserve"> 2012).</w:t>
      </w:r>
    </w:p>
    <w:p w:rsidR="0025490C" w:rsidRPr="00E07B1B" w:rsidRDefault="0025490C" w:rsidP="00A16258"/>
    <w:p w:rsidR="0025490C" w:rsidRDefault="0025490C" w:rsidP="00A16258">
      <w:pPr>
        <w:keepLines/>
        <w:rPr>
          <w:noProof/>
        </w:rPr>
      </w:pPr>
      <w:r w:rsidRPr="00E07B1B">
        <w:t xml:space="preserve">A national strategic document on breastfeeding promotes exclusive breastfeeding for the first </w:t>
      </w:r>
      <w:r>
        <w:t>six</w:t>
      </w:r>
      <w:r w:rsidRPr="00E07B1B">
        <w:t xml:space="preserve"> months of life to improve infant health</w:t>
      </w:r>
      <w:r>
        <w:t>,</w:t>
      </w:r>
      <w:r w:rsidRPr="00E07B1B">
        <w:t xml:space="preserve"> including</w:t>
      </w:r>
      <w:r>
        <w:t xml:space="preserve"> by</w:t>
      </w:r>
      <w:r w:rsidRPr="00E07B1B">
        <w:t xml:space="preserve"> reducing the risk of obesity and </w:t>
      </w:r>
      <w:r>
        <w:t xml:space="preserve">of </w:t>
      </w:r>
      <w:r w:rsidRPr="00E07B1B">
        <w:t>developing type 2 diabetes in later life (National Breastfeeding Advisory Committee of New Zealand 2009). The document summarises legislative, policy and national strategic initiatives and interventions to improve breastfeeding in New Zealand (National Breastfeeding Advisory Committee of New Zealand</w:t>
      </w:r>
      <w:r>
        <w:t>,</w:t>
      </w:r>
      <w:r w:rsidRPr="00E07B1B">
        <w:t xml:space="preserve"> undated). Currently the New Zealand Ministry of Health does not recommend baby-led weaning and the introduction of solids </w:t>
      </w:r>
      <w:r>
        <w:t>is</w:t>
      </w:r>
      <w:r w:rsidRPr="00E07B1B">
        <w:t xml:space="preserve"> not recommended before </w:t>
      </w:r>
      <w:r>
        <w:t>six</w:t>
      </w:r>
      <w:r w:rsidRPr="00E07B1B">
        <w:t xml:space="preserve"> months of age (</w:t>
      </w:r>
      <w:hyperlink r:id="rId39" w:history="1">
        <w:r w:rsidR="00A16258" w:rsidRPr="007F12BA">
          <w:rPr>
            <w:rStyle w:val="Hyperlink"/>
            <w:rFonts w:cs="Arial"/>
            <w:szCs w:val="24"/>
          </w:rPr>
          <w:t>www.health.govt.nz/your-health/healthy-living/food-and-physical-activity/ nutrition/baby-led-weaning</w:t>
        </w:r>
      </w:hyperlink>
      <w:r w:rsidRPr="00C843F6">
        <w:t>) (</w:t>
      </w:r>
      <w:r w:rsidRPr="00E07B1B">
        <w:rPr>
          <w:noProof/>
        </w:rPr>
        <w:t>National Breastfeeding Advisory Committee of New Zealand</w:t>
      </w:r>
      <w:r>
        <w:rPr>
          <w:noProof/>
        </w:rPr>
        <w:t>,</w:t>
      </w:r>
      <w:r w:rsidRPr="00E07B1B">
        <w:rPr>
          <w:noProof/>
        </w:rPr>
        <w:t xml:space="preserve"> undated).</w:t>
      </w:r>
    </w:p>
    <w:p w:rsidR="0025490C" w:rsidRPr="00E07B1B" w:rsidRDefault="0025490C" w:rsidP="00A16258"/>
    <w:p w:rsidR="0025490C" w:rsidRPr="00E07B1B" w:rsidRDefault="0025490C" w:rsidP="00A16258">
      <w:pPr>
        <w:pStyle w:val="Heading3"/>
      </w:pPr>
      <w:bookmarkStart w:id="223" w:name="_Toc363207347"/>
      <w:bookmarkStart w:id="224" w:name="_Toc402873576"/>
      <w:r w:rsidRPr="00E07B1B">
        <w:t>8.2.2</w:t>
      </w:r>
      <w:r w:rsidR="00A16258">
        <w:tab/>
      </w:r>
      <w:r w:rsidRPr="00E07B1B">
        <w:t>Benefits for the mother</w:t>
      </w:r>
      <w:bookmarkEnd w:id="223"/>
      <w:bookmarkEnd w:id="224"/>
    </w:p>
    <w:p w:rsidR="0025490C" w:rsidRPr="00E07B1B" w:rsidRDefault="0025490C" w:rsidP="00A16258">
      <w:r w:rsidRPr="00E07B1B">
        <w:t>A systematic review of observational studies reported equivocal evidence</w:t>
      </w:r>
      <w:r>
        <w:t>,</w:t>
      </w:r>
      <w:r w:rsidRPr="00E07B1B">
        <w:t xml:space="preserve"> with some studies showing a decreased risk of type 2 diabetes associated with breastfeeding and others showing no difference (Kerlan 2010). The included studies were limited by their design and</w:t>
      </w:r>
      <w:r>
        <w:t>, due to</w:t>
      </w:r>
      <w:r w:rsidRPr="00E07B1B">
        <w:t xml:space="preserve"> the population characteristics including</w:t>
      </w:r>
      <w:r>
        <w:t xml:space="preserve"> that participants were</w:t>
      </w:r>
      <w:r w:rsidRPr="00E07B1B">
        <w:t xml:space="preserve"> mainly Latina women</w:t>
      </w:r>
      <w:r>
        <w:t>, the findings</w:t>
      </w:r>
      <w:r w:rsidRPr="00E07B1B">
        <w:t xml:space="preserve"> are unlikely to be generalisable to the New Zealand setting.</w:t>
      </w:r>
    </w:p>
    <w:p w:rsidR="0025490C" w:rsidRPr="00E07B1B" w:rsidRDefault="0025490C" w:rsidP="00A16258"/>
    <w:p w:rsidR="0025490C" w:rsidRPr="00E07B1B" w:rsidRDefault="0025490C" w:rsidP="00A16258">
      <w:r w:rsidRPr="00E07B1B">
        <w:t>Three studies identified a protective effect of breastfeeding on the development of type 2 diabetes in women who had been diagnosed with gestational diabetes (O</w:t>
      </w:r>
      <w:r w:rsidR="0068074A">
        <w:t>’</w:t>
      </w:r>
      <w:r w:rsidRPr="00E07B1B">
        <w:t xml:space="preserve">Reilly </w:t>
      </w:r>
      <w:r w:rsidR="00D562F2">
        <w:t>et al</w:t>
      </w:r>
      <w:r w:rsidRPr="00E07B1B">
        <w:t xml:space="preserve"> 2011; Gunderson </w:t>
      </w:r>
      <w:r w:rsidR="00D562F2">
        <w:t>et al</w:t>
      </w:r>
      <w:r w:rsidRPr="00E07B1B">
        <w:t xml:space="preserve"> 2012</w:t>
      </w:r>
      <w:r>
        <w:t>a,</w:t>
      </w:r>
      <w:r w:rsidRPr="00E07B1B">
        <w:t xml:space="preserve"> 2012b; Ziegler </w:t>
      </w:r>
      <w:r w:rsidR="00D562F2">
        <w:t>et al</w:t>
      </w:r>
      <w:r w:rsidRPr="00E07B1B">
        <w:t xml:space="preserve"> 2012).</w:t>
      </w:r>
      <w:r>
        <w:t xml:space="preserve"> </w:t>
      </w:r>
      <w:r w:rsidRPr="00E07B1B">
        <w:t xml:space="preserve">A reduced risk for developing metabolic syndrome was associated with longer duration breastfeeding and was stronger in women with gestational diabetes than for women without gestational diabetes (Gunderson </w:t>
      </w:r>
      <w:r w:rsidR="00D562F2">
        <w:t>et al</w:t>
      </w:r>
      <w:r w:rsidRPr="00E07B1B">
        <w:t xml:space="preserve"> 2010).</w:t>
      </w:r>
    </w:p>
    <w:p w:rsidR="0025490C" w:rsidRPr="00E07B1B" w:rsidRDefault="0025490C" w:rsidP="00A16258"/>
    <w:p w:rsidR="0025490C" w:rsidRPr="00E07B1B" w:rsidRDefault="0025490C" w:rsidP="00A16258">
      <w:pPr>
        <w:pStyle w:val="Heading3"/>
      </w:pPr>
      <w:bookmarkStart w:id="225" w:name="_Toc363207348"/>
      <w:bookmarkStart w:id="226" w:name="_Toc402873577"/>
      <w:r w:rsidRPr="00E07B1B">
        <w:t>8.2.3</w:t>
      </w:r>
      <w:r w:rsidR="00A16258">
        <w:tab/>
      </w:r>
      <w:r w:rsidRPr="00E07B1B">
        <w:t>Antenatal breast</w:t>
      </w:r>
      <w:r>
        <w:t xml:space="preserve"> </w:t>
      </w:r>
      <w:r w:rsidRPr="00E07B1B">
        <w:t>milk expression</w:t>
      </w:r>
      <w:bookmarkEnd w:id="225"/>
      <w:bookmarkEnd w:id="226"/>
    </w:p>
    <w:p w:rsidR="0025490C" w:rsidRDefault="0025490C" w:rsidP="00A16258">
      <w:r w:rsidRPr="00E07B1B">
        <w:t>There is controversy regarding the safety and effectiveness of antenatal breast</w:t>
      </w:r>
      <w:r>
        <w:t xml:space="preserve"> </w:t>
      </w:r>
      <w:r w:rsidRPr="00E07B1B">
        <w:t>milk expression.</w:t>
      </w:r>
      <w:r>
        <w:t xml:space="preserve"> </w:t>
      </w:r>
      <w:r w:rsidRPr="00E07B1B">
        <w:t>The advantages include the avoidance of using formula milk and reduced risk of neonatal hypoglycaemia (Chapman</w:t>
      </w:r>
      <w:r>
        <w:t xml:space="preserve"> </w:t>
      </w:r>
      <w:r w:rsidR="00D562F2">
        <w:t>et al</w:t>
      </w:r>
      <w:r w:rsidRPr="00E07B1B">
        <w:t xml:space="preserve"> 201</w:t>
      </w:r>
      <w:r>
        <w:t>3</w:t>
      </w:r>
      <w:r w:rsidRPr="00E07B1B">
        <w:t>).</w:t>
      </w:r>
      <w:r>
        <w:t xml:space="preserve"> </w:t>
      </w:r>
      <w:r w:rsidRPr="00E07B1B">
        <w:t>Infants can still receive colostrum even if they are separated from their mother for clinical reasons in the immediate postnatal period.</w:t>
      </w:r>
      <w:r>
        <w:t xml:space="preserve"> </w:t>
      </w:r>
      <w:r w:rsidRPr="00E07B1B">
        <w:t>However, antenatal breast</w:t>
      </w:r>
      <w:r>
        <w:t xml:space="preserve"> </w:t>
      </w:r>
      <w:r w:rsidRPr="00E07B1B">
        <w:t>milk expression has been associated with the initiation of preterm labour (Chapman</w:t>
      </w:r>
      <w:r>
        <w:t xml:space="preserve"> </w:t>
      </w:r>
      <w:r w:rsidR="00D562F2">
        <w:t>et al</w:t>
      </w:r>
      <w:r w:rsidRPr="00E07B1B">
        <w:t xml:space="preserve"> 201</w:t>
      </w:r>
      <w:r>
        <w:t>3</w:t>
      </w:r>
      <w:r w:rsidRPr="00E07B1B">
        <w:t>).</w:t>
      </w:r>
    </w:p>
    <w:p w:rsidR="0025490C" w:rsidRPr="00E07B1B" w:rsidRDefault="0025490C" w:rsidP="00A16258"/>
    <w:p w:rsidR="0068074A" w:rsidRDefault="0025490C" w:rsidP="00A16258">
      <w:r w:rsidRPr="00E07B1B">
        <w:t>A systematic review identified two relevant studies (Chapman</w:t>
      </w:r>
      <w:r>
        <w:t xml:space="preserve"> </w:t>
      </w:r>
      <w:r w:rsidR="00D562F2">
        <w:t>et al</w:t>
      </w:r>
      <w:r w:rsidRPr="00E07B1B">
        <w:t xml:space="preserve"> 201</w:t>
      </w:r>
      <w:r>
        <w:t>3</w:t>
      </w:r>
      <w:r w:rsidRPr="00E07B1B">
        <w:t>).</w:t>
      </w:r>
      <w:r>
        <w:t xml:space="preserve"> </w:t>
      </w:r>
      <w:r w:rsidRPr="00E07B1B">
        <w:t>A low</w:t>
      </w:r>
      <w:r>
        <w:t>-</w:t>
      </w:r>
      <w:r w:rsidRPr="00E07B1B">
        <w:t>quality retrospective cohort study reported borderline statistical significance for timing of delivery between the antenatal breast</w:t>
      </w:r>
      <w:r>
        <w:t xml:space="preserve"> </w:t>
      </w:r>
      <w:r w:rsidRPr="00E07B1B">
        <w:t>milk expression group and the controls</w:t>
      </w:r>
      <w:r>
        <w:t>,</w:t>
      </w:r>
      <w:r w:rsidRPr="00E07B1B">
        <w:t xml:space="preserve"> and for admission to the neonatal nursery. A small randomised pilot study reported that the infants of the antenatal breast</w:t>
      </w:r>
      <w:r>
        <w:t xml:space="preserve"> </w:t>
      </w:r>
      <w:r w:rsidRPr="00E07B1B">
        <w:t>milk expression group were more likely to be admitted to the neonatal nursery than controls (30% versus 17%) and of those admitted, 64% of the antenatal breast</w:t>
      </w:r>
      <w:r>
        <w:t xml:space="preserve"> </w:t>
      </w:r>
      <w:r w:rsidRPr="00E07B1B">
        <w:t>milk expression group infants were admitted for neonatal hypoglycaemia (Chapman</w:t>
      </w:r>
      <w:r>
        <w:t xml:space="preserve"> </w:t>
      </w:r>
      <w:r w:rsidR="00D562F2">
        <w:t>et al</w:t>
      </w:r>
      <w:r w:rsidRPr="00E07B1B">
        <w:t xml:space="preserve"> 201</w:t>
      </w:r>
      <w:r>
        <w:t>3</w:t>
      </w:r>
      <w:r w:rsidRPr="00E07B1B">
        <w:t>). The pilot work concluded that antenatal breast</w:t>
      </w:r>
      <w:r>
        <w:t xml:space="preserve"> </w:t>
      </w:r>
      <w:r w:rsidRPr="00E07B1B">
        <w:t>milk expression should not be recommended until an appropriately powered randomised trial has been conducted.</w:t>
      </w:r>
    </w:p>
    <w:p w:rsidR="0025490C" w:rsidRPr="00E07B1B" w:rsidRDefault="0025490C" w:rsidP="00A16258"/>
    <w:p w:rsidR="0068074A" w:rsidRDefault="0025490C" w:rsidP="00A16258">
      <w:r w:rsidRPr="00E07B1B">
        <w:t xml:space="preserve">There is a Cochrane systematic review protocol on </w:t>
      </w:r>
      <w:r w:rsidR="0068074A">
        <w:t>‘</w:t>
      </w:r>
      <w:r w:rsidRPr="00E07B1B">
        <w:t>Antenatal breast milk expression by women with diabetes for improving infant outcomes</w:t>
      </w:r>
      <w:r w:rsidR="0068074A">
        <w:t>’</w:t>
      </w:r>
      <w:r w:rsidRPr="00E07B1B">
        <w:t xml:space="preserve"> (East </w:t>
      </w:r>
      <w:r w:rsidR="00A16258">
        <w:t>et al</w:t>
      </w:r>
      <w:r w:rsidRPr="00E07B1B">
        <w:t xml:space="preserve">) and an ongoing randomised trial </w:t>
      </w:r>
      <w:r w:rsidR="0068074A">
        <w:t>‘</w:t>
      </w:r>
      <w:r w:rsidRPr="00E07B1B">
        <w:t>Diabetes and antenatal milk expressing (DAME): a randomised controlled trial</w:t>
      </w:r>
      <w:r w:rsidR="0068074A">
        <w:t>’</w:t>
      </w:r>
      <w:r w:rsidRPr="00E07B1B">
        <w:t xml:space="preserve"> (ACTRN12611000217909).</w:t>
      </w:r>
    </w:p>
    <w:p w:rsidR="0025490C" w:rsidRPr="00E07B1B" w:rsidRDefault="0025490C" w:rsidP="00A16258"/>
    <w:p w:rsidR="0025490C" w:rsidRPr="00E07B1B" w:rsidRDefault="0025490C" w:rsidP="00A16258">
      <w:pPr>
        <w:pStyle w:val="Heading2"/>
      </w:pPr>
      <w:bookmarkStart w:id="227" w:name="_Toc363207350"/>
      <w:bookmarkStart w:id="228" w:name="_Toc402873578"/>
      <w:bookmarkStart w:id="229" w:name="_Toc403469654"/>
      <w:r w:rsidRPr="00E07B1B">
        <w:t>8.3</w:t>
      </w:r>
      <w:r w:rsidR="00A16258">
        <w:tab/>
      </w:r>
      <w:r w:rsidRPr="00E07B1B">
        <w:t>Contraception and family planning</w:t>
      </w:r>
      <w:bookmarkEnd w:id="227"/>
      <w:bookmarkEnd w:id="228"/>
      <w:bookmarkEnd w:id="229"/>
    </w:p>
    <w:p w:rsidR="0025490C" w:rsidRPr="00E07B1B" w:rsidRDefault="0025490C" w:rsidP="00A16258">
      <w:r w:rsidRPr="00E07B1B">
        <w:t>Women with a history of gestational diabetes are at increased risk of gestational diabetes in a subsequent pregnancy and are also at risk for developing persistent abnormal glucose tolerance or type 2 diabetes.</w:t>
      </w:r>
      <w:r>
        <w:t xml:space="preserve"> </w:t>
      </w:r>
      <w:r w:rsidRPr="00E07B1B">
        <w:t>Planning of subsequent pregnancies or prevention of unplanned pregnancies is therefore important for the management and health of these women.</w:t>
      </w:r>
    </w:p>
    <w:p w:rsidR="0025490C" w:rsidRPr="00E07B1B" w:rsidRDefault="0025490C" w:rsidP="00A16258"/>
    <w:p w:rsidR="0068074A" w:rsidRDefault="0025490C" w:rsidP="00A16258">
      <w:r w:rsidRPr="00E07B1B">
        <w:t xml:space="preserve">There is no evidence of contra-indication to the use of most contraceptive methods (Damm </w:t>
      </w:r>
      <w:r w:rsidR="00D562F2">
        <w:t>et al</w:t>
      </w:r>
      <w:r w:rsidRPr="00E07B1B">
        <w:t xml:space="preserve"> 2007) and the World Health Organi</w:t>
      </w:r>
      <w:r>
        <w:t>z</w:t>
      </w:r>
      <w:r w:rsidRPr="00E07B1B">
        <w:t>ation report</w:t>
      </w:r>
      <w:r>
        <w:t>s</w:t>
      </w:r>
      <w:r w:rsidRPr="00E07B1B">
        <w:t xml:space="preserve"> no restrictions on contraceptives in women with a history of gestational diabetes (Kerlan 2010). Subsequent pregnancies in women with a history of gestational diabetes should be planned where possible in discussion with a health professional (Canadian Diabetes Association 2008) or with pre-conception counselling (</w:t>
      </w:r>
      <w:r>
        <w:t>NICE</w:t>
      </w:r>
      <w:r w:rsidRPr="00E07B1B">
        <w:t xml:space="preserve"> 2008</w:t>
      </w:r>
      <w:r>
        <w:t>;</w:t>
      </w:r>
      <w:r w:rsidRPr="008055BB">
        <w:t xml:space="preserve"> </w:t>
      </w:r>
      <w:r w:rsidRPr="00E07B1B">
        <w:t>SIGN 2010).</w:t>
      </w:r>
    </w:p>
    <w:p w:rsidR="0025490C" w:rsidRDefault="0025490C" w:rsidP="00A16258"/>
    <w:p w:rsidR="00A16258" w:rsidRPr="00C843F6" w:rsidRDefault="00A16258" w:rsidP="00A16258">
      <w:pPr>
        <w:pStyle w:val="BoxHeading"/>
      </w:pPr>
      <w:r w:rsidRPr="00C843F6">
        <w:t>Key points</w:t>
      </w:r>
    </w:p>
    <w:p w:rsidR="00A16258" w:rsidRPr="000455E7" w:rsidRDefault="00A16258" w:rsidP="00A16258">
      <w:pPr>
        <w:pStyle w:val="BoxBullet"/>
      </w:pPr>
      <w:r w:rsidRPr="000455E7">
        <w:t>There are short</w:t>
      </w:r>
      <w:r>
        <w:t>-</w:t>
      </w:r>
      <w:r w:rsidRPr="000455E7">
        <w:t xml:space="preserve"> and long</w:t>
      </w:r>
      <w:r>
        <w:t>-</w:t>
      </w:r>
      <w:r w:rsidRPr="000455E7">
        <w:t xml:space="preserve">term maternal and infant benefits </w:t>
      </w:r>
      <w:r>
        <w:t>from</w:t>
      </w:r>
      <w:r w:rsidRPr="000455E7">
        <w:t xml:space="preserve"> breastfeeding</w:t>
      </w:r>
      <w:r>
        <w:t>.</w:t>
      </w:r>
    </w:p>
    <w:p w:rsidR="00A16258" w:rsidRPr="000455E7" w:rsidRDefault="00A16258" w:rsidP="00A16258">
      <w:pPr>
        <w:pStyle w:val="BoxBullet"/>
      </w:pPr>
      <w:r w:rsidRPr="000455E7">
        <w:t>There is currently insufficient evidence for the use of antenatal breast</w:t>
      </w:r>
      <w:r>
        <w:t xml:space="preserve"> </w:t>
      </w:r>
      <w:r w:rsidRPr="000455E7">
        <w:t>milk expression in women with gestational diabetes</w:t>
      </w:r>
      <w:r>
        <w:t>.</w:t>
      </w:r>
    </w:p>
    <w:p w:rsidR="00A16258" w:rsidRPr="000455E7" w:rsidRDefault="00A16258" w:rsidP="00A16258">
      <w:pPr>
        <w:pStyle w:val="BoxBullet"/>
      </w:pPr>
      <w:r w:rsidRPr="000455E7">
        <w:t>Contraception and family planning are important for maternal health and the wellbeing of future pregnancies</w:t>
      </w:r>
      <w:r>
        <w:t>.</w:t>
      </w:r>
    </w:p>
    <w:p w:rsidR="00A16258" w:rsidRPr="00E07B1B" w:rsidRDefault="00A16258" w:rsidP="00A16258"/>
    <w:p w:rsidR="0025490C" w:rsidRPr="00E07B1B" w:rsidRDefault="0025490C" w:rsidP="00A16258">
      <w:pPr>
        <w:pStyle w:val="Heading2"/>
      </w:pPr>
      <w:bookmarkStart w:id="230" w:name="_Toc363207351"/>
      <w:bookmarkStart w:id="231" w:name="_Toc402873579"/>
      <w:bookmarkStart w:id="232" w:name="_Toc403469655"/>
      <w:r w:rsidRPr="00E07B1B">
        <w:t>8.4</w:t>
      </w:r>
      <w:r w:rsidR="00A16258">
        <w:tab/>
      </w:r>
      <w:r w:rsidRPr="00E07B1B">
        <w:t>Lifestyle and diet</w:t>
      </w:r>
      <w:bookmarkEnd w:id="230"/>
      <w:bookmarkEnd w:id="231"/>
      <w:bookmarkEnd w:id="232"/>
    </w:p>
    <w:p w:rsidR="0025490C" w:rsidRPr="00E07B1B" w:rsidRDefault="0025490C" w:rsidP="00A16258">
      <w:r w:rsidRPr="00E07B1B">
        <w:t>Providing lifestyle and dietary advice is important for the subsequent management and health of women with a history of gestational diabetes due to the increased risk of recurrent gestational diabetes, persistent abnormal glucose tolerance or type 2 diabetes.</w:t>
      </w:r>
    </w:p>
    <w:p w:rsidR="0025490C" w:rsidRPr="00E07B1B" w:rsidRDefault="0025490C" w:rsidP="00A16258"/>
    <w:p w:rsidR="0025490C" w:rsidRPr="00E07B1B" w:rsidRDefault="0025490C" w:rsidP="00A16258">
      <w:pPr>
        <w:rPr>
          <w:lang w:eastAsia="ja-JP"/>
        </w:rPr>
      </w:pPr>
      <w:r w:rsidRPr="00E07B1B">
        <w:t>Postpartum lifestyle interventions, including advice on weight control, diet and exercise, have been recommended for women who have been diagnosed with gestational diabetes (</w:t>
      </w:r>
      <w:r>
        <w:t>NICE</w:t>
      </w:r>
      <w:r w:rsidRPr="00E07B1B">
        <w:t xml:space="preserve"> 2008</w:t>
      </w:r>
      <w:r>
        <w:t>, 2012</w:t>
      </w:r>
      <w:r w:rsidRPr="00E07B1B">
        <w:t xml:space="preserve">; </w:t>
      </w:r>
      <w:r w:rsidRPr="00E07B1B">
        <w:rPr>
          <w:lang w:eastAsia="ja-JP"/>
        </w:rPr>
        <w:t xml:space="preserve">Paulweber </w:t>
      </w:r>
      <w:r w:rsidR="00D562F2">
        <w:rPr>
          <w:lang w:eastAsia="ja-JP"/>
        </w:rPr>
        <w:t>et al</w:t>
      </w:r>
      <w:r w:rsidRPr="00E07B1B">
        <w:rPr>
          <w:lang w:eastAsia="ja-JP"/>
        </w:rPr>
        <w:t xml:space="preserve"> 2010</w:t>
      </w:r>
      <w:r w:rsidRPr="00E07B1B">
        <w:t>; SIGN</w:t>
      </w:r>
      <w:r>
        <w:t xml:space="preserve"> </w:t>
      </w:r>
      <w:r w:rsidRPr="00E07B1B">
        <w:t>2010</w:t>
      </w:r>
      <w:r w:rsidRPr="00E07B1B">
        <w:rPr>
          <w:lang w:eastAsia="ja-JP"/>
        </w:rPr>
        <w:t>).</w:t>
      </w:r>
      <w:r w:rsidRPr="00E07B1B">
        <w:t xml:space="preserve"> E</w:t>
      </w:r>
      <w:r w:rsidRPr="00E07B1B">
        <w:rPr>
          <w:lang w:eastAsia="ja-JP"/>
        </w:rPr>
        <w:t>ffective interventions are resource-intensive, typically involving one-to-one sessions delivered by specialists including highly qualified exercise physiologists, dieti</w:t>
      </w:r>
      <w:r>
        <w:rPr>
          <w:lang w:eastAsia="ja-JP"/>
        </w:rPr>
        <w:t>c</w:t>
      </w:r>
      <w:r w:rsidRPr="00E07B1B">
        <w:rPr>
          <w:lang w:eastAsia="ja-JP"/>
        </w:rPr>
        <w:t xml:space="preserve">ians </w:t>
      </w:r>
      <w:r>
        <w:rPr>
          <w:lang w:eastAsia="ja-JP"/>
        </w:rPr>
        <w:t>and</w:t>
      </w:r>
      <w:r w:rsidRPr="00E07B1B">
        <w:rPr>
          <w:lang w:eastAsia="ja-JP"/>
        </w:rPr>
        <w:t xml:space="preserve"> behavioural psychologists </w:t>
      </w:r>
      <w:r w:rsidRPr="00E07B1B">
        <w:t>(</w:t>
      </w:r>
      <w:r>
        <w:t>NICE</w:t>
      </w:r>
      <w:r w:rsidRPr="00E07B1B">
        <w:t xml:space="preserve"> 2012).</w:t>
      </w:r>
    </w:p>
    <w:p w:rsidR="0025490C" w:rsidRDefault="0025490C" w:rsidP="00A16258"/>
    <w:p w:rsidR="00A16258" w:rsidRPr="0068074A" w:rsidRDefault="00A16258" w:rsidP="00A16258">
      <w:pPr>
        <w:pStyle w:val="BoxHeading"/>
        <w:rPr>
          <w:lang w:eastAsia="ja-JP"/>
        </w:rPr>
      </w:pPr>
      <w:r w:rsidRPr="0068074A">
        <w:rPr>
          <w:lang w:eastAsia="ja-JP"/>
        </w:rPr>
        <w:t>Key points</w:t>
      </w:r>
    </w:p>
    <w:p w:rsidR="00A16258" w:rsidRPr="0068074A" w:rsidRDefault="00A16258" w:rsidP="00A16258">
      <w:pPr>
        <w:pStyle w:val="BoxBullet"/>
        <w:rPr>
          <w:lang w:eastAsia="ja-JP"/>
        </w:rPr>
      </w:pPr>
      <w:r w:rsidRPr="0068074A">
        <w:rPr>
          <w:lang w:eastAsia="ja-JP"/>
        </w:rPr>
        <w:t>Lifestyle and dietary interventions have been found to prevent or delay the onset of type 2 diabetes in adults at high risk.</w:t>
      </w:r>
    </w:p>
    <w:p w:rsidR="00A16258" w:rsidRPr="0068074A" w:rsidRDefault="00A16258" w:rsidP="00A16258">
      <w:pPr>
        <w:pStyle w:val="BoxBullet"/>
        <w:rPr>
          <w:lang w:eastAsia="ja-JP"/>
        </w:rPr>
      </w:pPr>
      <w:r w:rsidRPr="0068074A">
        <w:rPr>
          <w:lang w:eastAsia="ja-JP"/>
        </w:rPr>
        <w:t>Weight reduction of 5–7% is sufficient to lower the risk of type 2 diabetes in adults at high risk.</w:t>
      </w:r>
    </w:p>
    <w:p w:rsidR="00A16258" w:rsidRPr="0068074A" w:rsidRDefault="00A16258" w:rsidP="00A16258">
      <w:pPr>
        <w:pStyle w:val="BoxBullet"/>
        <w:rPr>
          <w:lang w:eastAsia="ja-JP"/>
        </w:rPr>
      </w:pPr>
      <w:r w:rsidRPr="0068074A">
        <w:rPr>
          <w:lang w:eastAsia="ja-JP"/>
        </w:rPr>
        <w:t>Increasing the amount of physical activity done for 30–60 minutes per day reduces the risk of type 2 diabetes in adults at high risk.</w:t>
      </w:r>
    </w:p>
    <w:p w:rsidR="00A16258" w:rsidRPr="0068074A" w:rsidRDefault="00A16258" w:rsidP="00A16258">
      <w:pPr>
        <w:pStyle w:val="BoxBullet"/>
        <w:rPr>
          <w:lang w:eastAsia="ja-JP"/>
        </w:rPr>
      </w:pPr>
      <w:r w:rsidRPr="0068074A">
        <w:rPr>
          <w:lang w:eastAsia="ja-JP"/>
        </w:rPr>
        <w:t>Increasing dietary fibre intake and reducing fat intake (particularly saturated fat) can help reduce the chances of developing type 2 diabetes.</w:t>
      </w:r>
    </w:p>
    <w:p w:rsidR="00A16258" w:rsidRPr="00E07B1B" w:rsidRDefault="00A16258" w:rsidP="00A16258"/>
    <w:p w:rsidR="0025490C" w:rsidRPr="00E07B1B" w:rsidRDefault="0025490C" w:rsidP="00A16258">
      <w:pPr>
        <w:pStyle w:val="Heading2"/>
      </w:pPr>
      <w:bookmarkStart w:id="233" w:name="_Toc363207352"/>
      <w:bookmarkStart w:id="234" w:name="_Toc402873580"/>
      <w:bookmarkStart w:id="235" w:name="_Toc403469656"/>
      <w:r w:rsidRPr="00E07B1B">
        <w:t>8.5</w:t>
      </w:r>
      <w:r w:rsidR="00A16258">
        <w:tab/>
      </w:r>
      <w:r w:rsidRPr="00E07B1B">
        <w:t>Evidence to recommendations</w:t>
      </w:r>
      <w:bookmarkEnd w:id="233"/>
      <w:bookmarkEnd w:id="234"/>
      <w:bookmarkEnd w:id="235"/>
    </w:p>
    <w:p w:rsidR="0025490C" w:rsidRDefault="0025490C" w:rsidP="00A16258">
      <w:r w:rsidRPr="00E07B1B">
        <w:t>The evidence supports early breastfeeding for beneficial maternal and infant outcomes. The Guideline Development Team recognises that the practice of antenatal breast milk expression is taught by some health professionals in New Zealand.</w:t>
      </w:r>
      <w:r>
        <w:t xml:space="preserve"> </w:t>
      </w:r>
      <w:r w:rsidRPr="00E07B1B">
        <w:t>However</w:t>
      </w:r>
      <w:r>
        <w:t>,</w:t>
      </w:r>
      <w:r w:rsidRPr="00E07B1B">
        <w:t xml:space="preserve"> some of the members </w:t>
      </w:r>
      <w:r>
        <w:t>felt there was in</w:t>
      </w:r>
      <w:r w:rsidRPr="00E07B1B">
        <w:t>sufficient evidence to recommend the practice at present. The consensus was that there is currently insufficient evidence to recommend the use of antenatal breast milk expression in women with gestational diabetes outside the clinical trial setting.</w:t>
      </w:r>
    </w:p>
    <w:p w:rsidR="0025490C" w:rsidRPr="00E07B1B" w:rsidRDefault="0025490C" w:rsidP="00A16258"/>
    <w:p w:rsidR="0025490C" w:rsidRDefault="0025490C" w:rsidP="00A16258">
      <w:r w:rsidRPr="00E07B1B">
        <w:t>Family planning is important in the planning of future pregnancies and ensuring that appropriate monitoring of pregnancies can be initiated for the health of the mother and infant.</w:t>
      </w:r>
    </w:p>
    <w:p w:rsidR="0025490C" w:rsidRPr="00E07B1B" w:rsidRDefault="0025490C" w:rsidP="00A16258"/>
    <w:p w:rsidR="0025490C" w:rsidRDefault="0025490C" w:rsidP="00A16258">
      <w:r w:rsidRPr="00E07B1B">
        <w:t>The Guideline Development Team recognises that information on lifestyle (diet, exercise and appropriate weight gain) is important throughout the pregnancy and into the postpartum period.</w:t>
      </w:r>
    </w:p>
    <w:p w:rsidR="0025490C" w:rsidRPr="00E07B1B" w:rsidRDefault="0025490C" w:rsidP="00A16258"/>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37"/>
        <w:gridCol w:w="3119"/>
      </w:tblGrid>
      <w:tr w:rsidR="0025490C" w:rsidRPr="00A16258" w:rsidTr="00A16258">
        <w:trPr>
          <w:cantSplit/>
        </w:trPr>
        <w:tc>
          <w:tcPr>
            <w:tcW w:w="6237" w:type="dxa"/>
            <w:tcBorders>
              <w:left w:val="nil"/>
              <w:bottom w:val="single" w:sz="4" w:space="0" w:color="auto"/>
              <w:right w:val="nil"/>
            </w:tcBorders>
            <w:shd w:val="clear" w:color="auto" w:fill="F7F9FB"/>
          </w:tcPr>
          <w:p w:rsidR="0025490C" w:rsidRPr="00A16258" w:rsidRDefault="00A16258" w:rsidP="00A16258">
            <w:pPr>
              <w:pStyle w:val="TableText"/>
              <w:rPr>
                <w:b/>
              </w:rPr>
            </w:pPr>
            <w:r w:rsidRPr="00A16258">
              <w:rPr>
                <w:b/>
              </w:rPr>
              <w:t>Recommendation</w:t>
            </w:r>
          </w:p>
        </w:tc>
        <w:tc>
          <w:tcPr>
            <w:tcW w:w="3119" w:type="dxa"/>
            <w:tcBorders>
              <w:left w:val="nil"/>
              <w:bottom w:val="single" w:sz="4" w:space="0" w:color="auto"/>
              <w:right w:val="nil"/>
            </w:tcBorders>
            <w:shd w:val="clear" w:color="auto" w:fill="F7F9FB"/>
          </w:tcPr>
          <w:p w:rsidR="0025490C" w:rsidRPr="00A16258" w:rsidRDefault="0025490C" w:rsidP="00A16258">
            <w:pPr>
              <w:pStyle w:val="TableText"/>
              <w:jc w:val="center"/>
              <w:rPr>
                <w:b/>
              </w:rPr>
            </w:pPr>
            <w:r w:rsidRPr="00A16258">
              <w:rPr>
                <w:b/>
              </w:rPr>
              <w:t>Strength of recommendation or good practice point (GPP)</w:t>
            </w:r>
          </w:p>
        </w:tc>
      </w:tr>
      <w:tr w:rsidR="00A16258" w:rsidRPr="00E07B1B" w:rsidTr="00A16258">
        <w:trPr>
          <w:cantSplit/>
        </w:trPr>
        <w:tc>
          <w:tcPr>
            <w:tcW w:w="6237" w:type="dxa"/>
            <w:tcBorders>
              <w:top w:val="single" w:sz="4" w:space="0" w:color="auto"/>
              <w:left w:val="nil"/>
              <w:bottom w:val="single" w:sz="4" w:space="0" w:color="FFFFFF" w:themeColor="background1"/>
              <w:right w:val="nil"/>
            </w:tcBorders>
            <w:shd w:val="clear" w:color="auto" w:fill="DBE5F1"/>
          </w:tcPr>
          <w:p w:rsidR="00A16258" w:rsidRPr="00E07B1B" w:rsidRDefault="00A16258" w:rsidP="00A16258">
            <w:pPr>
              <w:pStyle w:val="TableText"/>
              <w:ind w:left="425" w:right="142" w:hanging="425"/>
            </w:pPr>
            <w:r w:rsidRPr="00E07B1B">
              <w:t>25</w:t>
            </w:r>
            <w:r>
              <w:tab/>
            </w:r>
            <w:r w:rsidRPr="00E07B1B">
              <w:t xml:space="preserve">Encourage and support women with gestational diabetes to exclusively breastfeed for a minimum of </w:t>
            </w:r>
            <w:r>
              <w:t>six</w:t>
            </w:r>
            <w:r w:rsidRPr="00E07B1B">
              <w:t xml:space="preserve"> months</w:t>
            </w:r>
            <w:r>
              <w:t>.</w:t>
            </w:r>
          </w:p>
        </w:tc>
        <w:tc>
          <w:tcPr>
            <w:tcW w:w="3119" w:type="dxa"/>
            <w:tcBorders>
              <w:top w:val="single" w:sz="4" w:space="0" w:color="auto"/>
              <w:left w:val="nil"/>
              <w:bottom w:val="single" w:sz="4" w:space="0" w:color="FFFFFF" w:themeColor="background1"/>
              <w:right w:val="nil"/>
            </w:tcBorders>
            <w:shd w:val="clear" w:color="auto" w:fill="DBE5F1"/>
          </w:tcPr>
          <w:p w:rsidR="00A16258" w:rsidRPr="00E07B1B" w:rsidRDefault="00A16258" w:rsidP="00A16258">
            <w:pPr>
              <w:pStyle w:val="TableText"/>
              <w:jc w:val="center"/>
            </w:pPr>
            <w:r w:rsidRPr="00E07B1B">
              <w:t>GPP</w:t>
            </w:r>
          </w:p>
        </w:tc>
      </w:tr>
      <w:tr w:rsidR="00A16258" w:rsidRPr="00E07B1B" w:rsidTr="00A16258">
        <w:trPr>
          <w:cantSplit/>
        </w:trPr>
        <w:tc>
          <w:tcPr>
            <w:tcW w:w="6237" w:type="dxa"/>
            <w:tcBorders>
              <w:top w:val="single" w:sz="4" w:space="0" w:color="FFFFFF" w:themeColor="background1"/>
              <w:left w:val="nil"/>
              <w:bottom w:val="single" w:sz="4" w:space="0" w:color="FFFFFF" w:themeColor="background1"/>
              <w:right w:val="nil"/>
            </w:tcBorders>
            <w:shd w:val="clear" w:color="auto" w:fill="DBE5F1"/>
          </w:tcPr>
          <w:p w:rsidR="00A16258" w:rsidRPr="00E07B1B" w:rsidRDefault="00A16258" w:rsidP="00A16258">
            <w:pPr>
              <w:pStyle w:val="TableText"/>
              <w:ind w:left="425" w:right="142" w:hanging="425"/>
            </w:pPr>
            <w:r w:rsidRPr="00E07B1B">
              <w:t>26</w:t>
            </w:r>
            <w:r>
              <w:tab/>
            </w:r>
            <w:r w:rsidRPr="00E07B1B">
              <w:t>Encourage women who are unable to breastfeed, or do not wish to breastfeed, to use donor breast milk before formula milk. The decision should be based on maternal preference.</w:t>
            </w:r>
          </w:p>
        </w:tc>
        <w:tc>
          <w:tcPr>
            <w:tcW w:w="3119" w:type="dxa"/>
            <w:tcBorders>
              <w:top w:val="single" w:sz="4" w:space="0" w:color="FFFFFF" w:themeColor="background1"/>
              <w:left w:val="nil"/>
              <w:bottom w:val="single" w:sz="4" w:space="0" w:color="FFFFFF" w:themeColor="background1"/>
              <w:right w:val="nil"/>
            </w:tcBorders>
            <w:shd w:val="clear" w:color="auto" w:fill="DBE5F1"/>
          </w:tcPr>
          <w:p w:rsidR="00A16258" w:rsidRPr="00E07B1B" w:rsidRDefault="00A16258" w:rsidP="00A16258">
            <w:pPr>
              <w:pStyle w:val="TableText"/>
              <w:jc w:val="center"/>
            </w:pPr>
            <w:r w:rsidRPr="00E07B1B">
              <w:t>GPP</w:t>
            </w:r>
          </w:p>
        </w:tc>
      </w:tr>
      <w:tr w:rsidR="00A16258" w:rsidRPr="00E07B1B" w:rsidTr="00A16258">
        <w:trPr>
          <w:cantSplit/>
        </w:trPr>
        <w:tc>
          <w:tcPr>
            <w:tcW w:w="6237" w:type="dxa"/>
            <w:tcBorders>
              <w:top w:val="single" w:sz="4" w:space="0" w:color="FFFFFF" w:themeColor="background1"/>
              <w:left w:val="nil"/>
              <w:bottom w:val="single" w:sz="4" w:space="0" w:color="FFFFFF" w:themeColor="background1"/>
              <w:right w:val="nil"/>
            </w:tcBorders>
            <w:shd w:val="clear" w:color="auto" w:fill="DBE5F1"/>
          </w:tcPr>
          <w:p w:rsidR="00A16258" w:rsidRPr="00E07B1B" w:rsidRDefault="00A16258" w:rsidP="00A16258">
            <w:pPr>
              <w:pStyle w:val="TableText"/>
              <w:ind w:left="425" w:right="142" w:hanging="425"/>
            </w:pPr>
            <w:r w:rsidRPr="00E07B1B">
              <w:t>27</w:t>
            </w:r>
            <w:r>
              <w:tab/>
            </w:r>
            <w:r w:rsidRPr="00E07B1B">
              <w:t>There is currently insufficient evidence to recommend the use of antenatal breast milk expression for women with gestational diabetes</w:t>
            </w:r>
            <w:r>
              <w:t>.</w:t>
            </w:r>
          </w:p>
        </w:tc>
        <w:tc>
          <w:tcPr>
            <w:tcW w:w="3119" w:type="dxa"/>
            <w:tcBorders>
              <w:top w:val="single" w:sz="4" w:space="0" w:color="FFFFFF" w:themeColor="background1"/>
              <w:left w:val="nil"/>
              <w:bottom w:val="single" w:sz="4" w:space="0" w:color="FFFFFF" w:themeColor="background1"/>
              <w:right w:val="nil"/>
            </w:tcBorders>
            <w:shd w:val="clear" w:color="auto" w:fill="DBE5F1"/>
          </w:tcPr>
          <w:p w:rsidR="00A16258" w:rsidRPr="00E07B1B" w:rsidRDefault="00A16258" w:rsidP="00A16258">
            <w:pPr>
              <w:pStyle w:val="TableText"/>
              <w:jc w:val="center"/>
            </w:pPr>
            <w:r w:rsidRPr="00E07B1B">
              <w:t>GPP</w:t>
            </w:r>
          </w:p>
        </w:tc>
      </w:tr>
      <w:tr w:rsidR="00A16258" w:rsidRPr="00E07B1B" w:rsidTr="00A16258">
        <w:trPr>
          <w:cantSplit/>
        </w:trPr>
        <w:tc>
          <w:tcPr>
            <w:tcW w:w="6237" w:type="dxa"/>
            <w:tcBorders>
              <w:top w:val="single" w:sz="4" w:space="0" w:color="FFFFFF" w:themeColor="background1"/>
              <w:left w:val="nil"/>
              <w:bottom w:val="single" w:sz="4" w:space="0" w:color="FFFFFF" w:themeColor="background1"/>
              <w:right w:val="nil"/>
            </w:tcBorders>
            <w:shd w:val="clear" w:color="auto" w:fill="DBE5F1"/>
          </w:tcPr>
          <w:p w:rsidR="00A16258" w:rsidRPr="00E07B1B" w:rsidRDefault="00A16258" w:rsidP="00A16258">
            <w:pPr>
              <w:pStyle w:val="TableText"/>
              <w:ind w:left="425" w:right="142" w:hanging="425"/>
            </w:pPr>
            <w:r w:rsidRPr="00E07B1B">
              <w:t>28</w:t>
            </w:r>
            <w:r>
              <w:tab/>
            </w:r>
            <w:r w:rsidRPr="00E07B1B">
              <w:t>Discuss methods of contraception agreeable with the woman and her partner and prescribe contraceptives based on maternal risk factors for cardiovascular disease, in the early postnatal period</w:t>
            </w:r>
            <w:r>
              <w:t>.</w:t>
            </w:r>
          </w:p>
        </w:tc>
        <w:tc>
          <w:tcPr>
            <w:tcW w:w="3119" w:type="dxa"/>
            <w:tcBorders>
              <w:top w:val="single" w:sz="4" w:space="0" w:color="FFFFFF" w:themeColor="background1"/>
              <w:left w:val="nil"/>
              <w:bottom w:val="single" w:sz="4" w:space="0" w:color="FFFFFF" w:themeColor="background1"/>
              <w:right w:val="nil"/>
            </w:tcBorders>
            <w:shd w:val="clear" w:color="auto" w:fill="DBE5F1"/>
          </w:tcPr>
          <w:p w:rsidR="00A16258" w:rsidRPr="00E07B1B" w:rsidRDefault="00A16258" w:rsidP="00A16258">
            <w:pPr>
              <w:pStyle w:val="TableText"/>
              <w:jc w:val="center"/>
            </w:pPr>
            <w:r w:rsidRPr="00E07B1B">
              <w:t>GPP</w:t>
            </w:r>
          </w:p>
        </w:tc>
      </w:tr>
      <w:tr w:rsidR="00A16258" w:rsidRPr="00E07B1B" w:rsidTr="00A16258">
        <w:trPr>
          <w:cantSplit/>
        </w:trPr>
        <w:tc>
          <w:tcPr>
            <w:tcW w:w="6237" w:type="dxa"/>
            <w:tcBorders>
              <w:top w:val="single" w:sz="4" w:space="0" w:color="FFFFFF" w:themeColor="background1"/>
              <w:left w:val="nil"/>
              <w:bottom w:val="single" w:sz="4" w:space="0" w:color="FFFFFF" w:themeColor="background1"/>
              <w:right w:val="nil"/>
            </w:tcBorders>
            <w:shd w:val="clear" w:color="auto" w:fill="DBE5F1"/>
          </w:tcPr>
          <w:p w:rsidR="00A16258" w:rsidRPr="00E07B1B" w:rsidRDefault="00A16258" w:rsidP="00A16258">
            <w:pPr>
              <w:pStyle w:val="TableText"/>
              <w:ind w:left="425" w:right="142" w:hanging="425"/>
            </w:pPr>
            <w:r w:rsidRPr="00E07B1B">
              <w:t>29</w:t>
            </w:r>
            <w:r>
              <w:tab/>
            </w:r>
            <w:r w:rsidRPr="00E07B1B">
              <w:t>Inform women diagnosed with gestational diabetes of the increased risk of gestational diabetes in a subsequent pregnancy and the increased risk for developing type 2 diabetes</w:t>
            </w:r>
            <w:r>
              <w:t>.</w:t>
            </w:r>
          </w:p>
        </w:tc>
        <w:tc>
          <w:tcPr>
            <w:tcW w:w="3119" w:type="dxa"/>
            <w:tcBorders>
              <w:top w:val="single" w:sz="4" w:space="0" w:color="FFFFFF" w:themeColor="background1"/>
              <w:left w:val="nil"/>
              <w:bottom w:val="single" w:sz="4" w:space="0" w:color="FFFFFF" w:themeColor="background1"/>
              <w:right w:val="nil"/>
            </w:tcBorders>
            <w:shd w:val="clear" w:color="auto" w:fill="DBE5F1"/>
          </w:tcPr>
          <w:p w:rsidR="00A16258" w:rsidRPr="00E07B1B" w:rsidRDefault="00A16258" w:rsidP="00A16258">
            <w:pPr>
              <w:pStyle w:val="TableText"/>
              <w:jc w:val="center"/>
            </w:pPr>
            <w:r w:rsidRPr="00E07B1B">
              <w:t>GPP</w:t>
            </w:r>
          </w:p>
        </w:tc>
      </w:tr>
      <w:tr w:rsidR="00A16258" w:rsidRPr="00E07B1B" w:rsidTr="00A16258">
        <w:trPr>
          <w:cantSplit/>
        </w:trPr>
        <w:tc>
          <w:tcPr>
            <w:tcW w:w="6237" w:type="dxa"/>
            <w:tcBorders>
              <w:top w:val="single" w:sz="4" w:space="0" w:color="FFFFFF" w:themeColor="background1"/>
              <w:left w:val="nil"/>
              <w:right w:val="nil"/>
            </w:tcBorders>
            <w:shd w:val="clear" w:color="auto" w:fill="DBE5F1"/>
          </w:tcPr>
          <w:p w:rsidR="00A16258" w:rsidRPr="00E07B1B" w:rsidRDefault="00A16258" w:rsidP="00A16258">
            <w:pPr>
              <w:pStyle w:val="TableText"/>
              <w:ind w:left="425" w:right="142" w:hanging="425"/>
            </w:pPr>
            <w:r w:rsidRPr="00E07B1B">
              <w:t>30</w:t>
            </w:r>
            <w:r>
              <w:tab/>
            </w:r>
            <w:r w:rsidRPr="00E07B1B">
              <w:t xml:space="preserve">Inform women (in particular those who are obese or overweight) that they can reduce their risk of recurrent gestational diabetes or type 2 diabetes by maintaining a healthy, balanced diet and increasing physical activity </w:t>
            </w:r>
            <w:r>
              <w:t>at moderate levels.</w:t>
            </w:r>
          </w:p>
        </w:tc>
        <w:tc>
          <w:tcPr>
            <w:tcW w:w="3119" w:type="dxa"/>
            <w:tcBorders>
              <w:top w:val="single" w:sz="4" w:space="0" w:color="FFFFFF" w:themeColor="background1"/>
              <w:left w:val="nil"/>
              <w:right w:val="nil"/>
            </w:tcBorders>
            <w:shd w:val="clear" w:color="auto" w:fill="DBE5F1"/>
          </w:tcPr>
          <w:p w:rsidR="00A16258" w:rsidRPr="00E07B1B" w:rsidRDefault="00A16258" w:rsidP="00A16258">
            <w:pPr>
              <w:pStyle w:val="TableText"/>
              <w:jc w:val="center"/>
            </w:pPr>
            <w:r w:rsidRPr="00E07B1B">
              <w:t>GPP</w:t>
            </w:r>
          </w:p>
        </w:tc>
      </w:tr>
    </w:tbl>
    <w:p w:rsidR="00A16258" w:rsidRDefault="00A16258" w:rsidP="00A16258"/>
    <w:p w:rsidR="0025490C" w:rsidRPr="00E07B1B" w:rsidRDefault="0025490C" w:rsidP="00A16258">
      <w:pPr>
        <w:pStyle w:val="Heading1"/>
      </w:pPr>
      <w:r w:rsidRPr="00E07B1B">
        <w:br w:type="page"/>
      </w:r>
      <w:bookmarkStart w:id="236" w:name="_Toc363207353"/>
      <w:bookmarkStart w:id="237" w:name="_Toc402873581"/>
      <w:bookmarkStart w:id="238" w:name="_Toc403469657"/>
      <w:r w:rsidRPr="00E07B1B">
        <w:t>Chapter 9</w:t>
      </w:r>
      <w:r>
        <w:t>:</w:t>
      </w:r>
      <w:r w:rsidRPr="00E07B1B">
        <w:t xml:space="preserve"> Postpartum screening in women diagnosed with gestational diabetes</w:t>
      </w:r>
      <w:bookmarkEnd w:id="236"/>
      <w:bookmarkEnd w:id="237"/>
      <w:bookmarkEnd w:id="238"/>
    </w:p>
    <w:p w:rsidR="0025490C" w:rsidRPr="00E07B1B" w:rsidRDefault="0025490C" w:rsidP="00A16258">
      <w:pPr>
        <w:pStyle w:val="Heading2"/>
      </w:pPr>
      <w:bookmarkStart w:id="239" w:name="_Toc363207354"/>
      <w:bookmarkStart w:id="240" w:name="_Toc402873582"/>
      <w:bookmarkStart w:id="241" w:name="_Toc403469658"/>
      <w:r w:rsidRPr="00E07B1B">
        <w:t>9.1</w:t>
      </w:r>
      <w:r w:rsidR="00A16258">
        <w:tab/>
      </w:r>
      <w:r w:rsidRPr="00E07B1B">
        <w:t>Background</w:t>
      </w:r>
      <w:bookmarkEnd w:id="239"/>
      <w:bookmarkEnd w:id="240"/>
      <w:bookmarkEnd w:id="241"/>
    </w:p>
    <w:p w:rsidR="0025490C" w:rsidRPr="00E07B1B" w:rsidRDefault="0025490C" w:rsidP="00A16258">
      <w:r w:rsidRPr="00E07B1B">
        <w:t>Postpartum screening allows women with continuing dysglycaemia after birth</w:t>
      </w:r>
      <w:r>
        <w:t xml:space="preserve"> to be identified</w:t>
      </w:r>
      <w:r w:rsidRPr="00E07B1B">
        <w:t xml:space="preserve"> (Keely 2012).</w:t>
      </w:r>
      <w:r>
        <w:t xml:space="preserve"> </w:t>
      </w:r>
      <w:r w:rsidRPr="00E07B1B">
        <w:t>It has been suggested that only half of women receive any postnatal glucose screening (Keely 2012). Refer to Appendix N, Table 42 for postpartum screening and diagnostic recommendations from guidelines and position statements.</w:t>
      </w:r>
    </w:p>
    <w:p w:rsidR="0025490C" w:rsidRPr="00E07B1B" w:rsidRDefault="0025490C" w:rsidP="00A16258"/>
    <w:p w:rsidR="0025490C" w:rsidRPr="00E07B1B" w:rsidRDefault="0025490C" w:rsidP="00A16258">
      <w:pPr>
        <w:pStyle w:val="Heading2"/>
      </w:pPr>
      <w:bookmarkStart w:id="242" w:name="_Toc363207355"/>
      <w:bookmarkStart w:id="243" w:name="_Toc402873583"/>
      <w:bookmarkStart w:id="244" w:name="_Toc403469659"/>
      <w:r w:rsidRPr="00E07B1B">
        <w:t>9.2</w:t>
      </w:r>
      <w:r w:rsidR="00A16258">
        <w:tab/>
      </w:r>
      <w:r w:rsidRPr="00E07B1B">
        <w:t>Systematic review evidence</w:t>
      </w:r>
      <w:bookmarkEnd w:id="242"/>
      <w:bookmarkEnd w:id="243"/>
      <w:bookmarkEnd w:id="244"/>
    </w:p>
    <w:p w:rsidR="0025490C" w:rsidRPr="00E07B1B" w:rsidRDefault="0025490C" w:rsidP="00A16258">
      <w:pPr>
        <w:rPr>
          <w:lang w:eastAsia="en-NZ"/>
        </w:rPr>
      </w:pPr>
      <w:r w:rsidRPr="00E07B1B">
        <w:rPr>
          <w:lang w:eastAsia="en-NZ"/>
        </w:rPr>
        <w:t>One systematic review investigated postpartum screening tests for type 2 diabetes in women who had recently been diagnosed with gestational diabetes. The studies were often heterogeneous based on risk of developing type 2 diabetes, time to postpartum testing and different ethnic populations</w:t>
      </w:r>
      <w:r>
        <w:rPr>
          <w:lang w:eastAsia="en-NZ"/>
        </w:rPr>
        <w:t xml:space="preserve"> </w:t>
      </w:r>
      <w:r w:rsidRPr="00E07B1B">
        <w:rPr>
          <w:lang w:eastAsia="en-NZ"/>
        </w:rPr>
        <w:t>(</w:t>
      </w:r>
      <w:r>
        <w:rPr>
          <w:lang w:eastAsia="en-NZ"/>
        </w:rPr>
        <w:t xml:space="preserve">Bennett </w:t>
      </w:r>
      <w:r w:rsidR="00D562F2">
        <w:rPr>
          <w:lang w:eastAsia="en-NZ"/>
        </w:rPr>
        <w:t>et al</w:t>
      </w:r>
      <w:r>
        <w:rPr>
          <w:lang w:eastAsia="en-NZ"/>
        </w:rPr>
        <w:t xml:space="preserve"> 2011</w:t>
      </w:r>
      <w:r w:rsidRPr="00E07B1B">
        <w:rPr>
          <w:lang w:eastAsia="en-NZ"/>
        </w:rPr>
        <w:t>).</w:t>
      </w:r>
    </w:p>
    <w:p w:rsidR="0025490C" w:rsidRPr="00E07B1B" w:rsidRDefault="0025490C" w:rsidP="00A16258">
      <w:pPr>
        <w:rPr>
          <w:lang w:eastAsia="en-NZ"/>
        </w:rPr>
      </w:pPr>
    </w:p>
    <w:p w:rsidR="0025490C" w:rsidRPr="00E07B1B" w:rsidRDefault="0025490C" w:rsidP="00A16258">
      <w:pPr>
        <w:rPr>
          <w:lang w:eastAsia="en-NZ"/>
        </w:rPr>
      </w:pPr>
      <w:r w:rsidRPr="00E07B1B">
        <w:rPr>
          <w:lang w:eastAsia="en-NZ"/>
        </w:rPr>
        <w:t xml:space="preserve">Three studies compared different fasting plasma glucose thresholds as part of the </w:t>
      </w:r>
      <w:r>
        <w:rPr>
          <w:lang w:eastAsia="en-NZ"/>
        </w:rPr>
        <w:t>two-</w:t>
      </w:r>
      <w:r w:rsidRPr="00E07B1B">
        <w:rPr>
          <w:lang w:eastAsia="en-NZ"/>
        </w:rPr>
        <w:t>hour</w:t>
      </w:r>
      <w:r>
        <w:rPr>
          <w:lang w:eastAsia="en-NZ"/>
        </w:rPr>
        <w:t>,</w:t>
      </w:r>
      <w:r w:rsidRPr="00E07B1B">
        <w:rPr>
          <w:lang w:eastAsia="en-NZ"/>
        </w:rPr>
        <w:t xml:space="preserve"> 75</w:t>
      </w:r>
      <w:r w:rsidR="00A16258">
        <w:rPr>
          <w:lang w:eastAsia="en-NZ"/>
        </w:rPr>
        <w:t> </w:t>
      </w:r>
      <w:r w:rsidRPr="00E07B1B">
        <w:rPr>
          <w:lang w:eastAsia="en-NZ"/>
        </w:rPr>
        <w:t>g oral glucose tolerance test. They reported a specificity of 98</w:t>
      </w:r>
      <w:r>
        <w:rPr>
          <w:lang w:eastAsia="en-NZ"/>
        </w:rPr>
        <w:t>–</w:t>
      </w:r>
      <w:r w:rsidRPr="00E07B1B">
        <w:rPr>
          <w:lang w:eastAsia="en-NZ"/>
        </w:rPr>
        <w:t>99% for the oral glucose tolerance test using fasting plasma glucose ≥ 7.0 mmol/L compared with fasting plasma glucose ≥</w:t>
      </w:r>
      <w:r w:rsidR="00A16258">
        <w:rPr>
          <w:lang w:eastAsia="en-NZ"/>
        </w:rPr>
        <w:t> </w:t>
      </w:r>
      <w:r w:rsidRPr="00E07B1B">
        <w:rPr>
          <w:lang w:eastAsia="en-NZ"/>
        </w:rPr>
        <w:t>7.8</w:t>
      </w:r>
      <w:r w:rsidR="00A16258">
        <w:rPr>
          <w:lang w:eastAsia="en-NZ"/>
        </w:rPr>
        <w:t> </w:t>
      </w:r>
      <w:r w:rsidRPr="00E07B1B">
        <w:rPr>
          <w:lang w:eastAsia="en-NZ"/>
        </w:rPr>
        <w:t>mmol/L as the reference (</w:t>
      </w:r>
      <w:r w:rsidRPr="00662E7B">
        <w:rPr>
          <w:lang w:eastAsia="en-NZ"/>
        </w:rPr>
        <w:t xml:space="preserve">Bennett </w:t>
      </w:r>
      <w:r w:rsidR="00D562F2">
        <w:rPr>
          <w:lang w:eastAsia="en-NZ"/>
        </w:rPr>
        <w:t>et al</w:t>
      </w:r>
      <w:r w:rsidRPr="00662E7B">
        <w:rPr>
          <w:lang w:eastAsia="en-NZ"/>
        </w:rPr>
        <w:t xml:space="preserve"> 2011).</w:t>
      </w:r>
    </w:p>
    <w:p w:rsidR="0025490C" w:rsidRPr="00E07B1B" w:rsidRDefault="0025490C" w:rsidP="00A16258">
      <w:pPr>
        <w:rPr>
          <w:lang w:eastAsia="en-NZ"/>
        </w:rPr>
      </w:pPr>
    </w:p>
    <w:p w:rsidR="0068074A" w:rsidRDefault="0025490C" w:rsidP="00A16258">
      <w:pPr>
        <w:rPr>
          <w:lang w:eastAsia="en-NZ"/>
        </w:rPr>
      </w:pPr>
      <w:r w:rsidRPr="00E07B1B">
        <w:rPr>
          <w:lang w:eastAsia="en-NZ"/>
        </w:rPr>
        <w:t xml:space="preserve">Five studies compared fasting plasma glucose ≥ 7.0 mmol/L </w:t>
      </w:r>
      <w:r>
        <w:rPr>
          <w:lang w:eastAsia="en-NZ"/>
        </w:rPr>
        <w:t>with</w:t>
      </w:r>
      <w:r w:rsidRPr="00E07B1B">
        <w:rPr>
          <w:lang w:eastAsia="en-NZ"/>
        </w:rPr>
        <w:t xml:space="preserve"> a </w:t>
      </w:r>
      <w:r>
        <w:rPr>
          <w:lang w:eastAsia="en-NZ"/>
        </w:rPr>
        <w:t>two-</w:t>
      </w:r>
      <w:r w:rsidRPr="00E07B1B">
        <w:rPr>
          <w:lang w:eastAsia="en-NZ"/>
        </w:rPr>
        <w:t>hour</w:t>
      </w:r>
      <w:r>
        <w:rPr>
          <w:lang w:eastAsia="en-NZ"/>
        </w:rPr>
        <w:t>,</w:t>
      </w:r>
      <w:r w:rsidRPr="00E07B1B">
        <w:rPr>
          <w:lang w:eastAsia="en-NZ"/>
        </w:rPr>
        <w:t xml:space="preserve"> 75 g oral glucose tolerance test (reference standard). The sensitivity for the single fasting plasma glucose ranged from 16</w:t>
      </w:r>
      <w:r>
        <w:rPr>
          <w:lang w:eastAsia="en-NZ"/>
        </w:rPr>
        <w:t>–</w:t>
      </w:r>
      <w:r w:rsidRPr="00E07B1B">
        <w:rPr>
          <w:lang w:eastAsia="en-NZ"/>
        </w:rPr>
        <w:t>89%. The specificity was fixed at 100%, as all the oral glucose tolerance tests with negative results will necessarily have a fasting blood glucose &lt; 7.0 mmol/L, and it is therefore not possible to have a false positive.</w:t>
      </w:r>
    </w:p>
    <w:p w:rsidR="0025490C" w:rsidRPr="00E07B1B" w:rsidRDefault="0025490C" w:rsidP="00A16258">
      <w:pPr>
        <w:rPr>
          <w:lang w:eastAsia="en-NZ"/>
        </w:rPr>
      </w:pPr>
    </w:p>
    <w:p w:rsidR="0025490C" w:rsidRPr="00E07B1B" w:rsidRDefault="0025490C" w:rsidP="00A16258">
      <w:pPr>
        <w:rPr>
          <w:lang w:eastAsia="en-NZ"/>
        </w:rPr>
      </w:pPr>
      <w:r w:rsidRPr="00E07B1B">
        <w:rPr>
          <w:lang w:eastAsia="en-NZ"/>
        </w:rPr>
        <w:t xml:space="preserve">Five studies comparing the fasting plasma glucose ≥ 7.0 mmol/L </w:t>
      </w:r>
      <w:r>
        <w:rPr>
          <w:lang w:eastAsia="en-NZ"/>
        </w:rPr>
        <w:t>with</w:t>
      </w:r>
      <w:r w:rsidRPr="00E07B1B">
        <w:rPr>
          <w:lang w:eastAsia="en-NZ"/>
        </w:rPr>
        <w:t xml:space="preserve"> a </w:t>
      </w:r>
      <w:r>
        <w:rPr>
          <w:lang w:eastAsia="en-NZ"/>
        </w:rPr>
        <w:t>two-</w:t>
      </w:r>
      <w:r w:rsidRPr="00E07B1B">
        <w:rPr>
          <w:lang w:eastAsia="en-NZ"/>
        </w:rPr>
        <w:t>hour</w:t>
      </w:r>
      <w:r>
        <w:rPr>
          <w:lang w:eastAsia="en-NZ"/>
        </w:rPr>
        <w:t>,</w:t>
      </w:r>
      <w:r w:rsidRPr="00E07B1B">
        <w:rPr>
          <w:lang w:eastAsia="en-NZ"/>
        </w:rPr>
        <w:t xml:space="preserve"> 75g oral glucose tolerance test with a fasting threshold of ≥ 7.8 mmol/L and a </w:t>
      </w:r>
      <w:r>
        <w:rPr>
          <w:lang w:eastAsia="en-NZ"/>
        </w:rPr>
        <w:t>two-</w:t>
      </w:r>
      <w:r w:rsidRPr="00E07B1B">
        <w:rPr>
          <w:lang w:eastAsia="en-NZ"/>
        </w:rPr>
        <w:t>hour plasma glucose &gt;</w:t>
      </w:r>
      <w:r w:rsidR="00A16258">
        <w:rPr>
          <w:lang w:eastAsia="en-NZ"/>
        </w:rPr>
        <w:t> </w:t>
      </w:r>
      <w:r w:rsidRPr="00E07B1B">
        <w:rPr>
          <w:lang w:eastAsia="en-NZ"/>
        </w:rPr>
        <w:t>11.1 mmol/L. These studies consistently reported high specificity of the fasting plasma glucose (range 94</w:t>
      </w:r>
      <w:r>
        <w:rPr>
          <w:lang w:eastAsia="en-NZ"/>
        </w:rPr>
        <w:t>–99</w:t>
      </w:r>
      <w:r w:rsidRPr="00E07B1B">
        <w:rPr>
          <w:lang w:eastAsia="en-NZ"/>
        </w:rPr>
        <w:t>%) with very few false positives. However, the sensitivities of the fasting plasma glucose alone ranged from 14</w:t>
      </w:r>
      <w:r>
        <w:rPr>
          <w:lang w:eastAsia="en-NZ"/>
        </w:rPr>
        <w:t>–</w:t>
      </w:r>
      <w:r w:rsidRPr="00E07B1B">
        <w:rPr>
          <w:lang w:eastAsia="en-NZ"/>
        </w:rPr>
        <w:t>100% (</w:t>
      </w:r>
      <w:r w:rsidRPr="00662E7B">
        <w:rPr>
          <w:lang w:eastAsia="en-NZ"/>
        </w:rPr>
        <w:t xml:space="preserve">Bennett </w:t>
      </w:r>
      <w:r w:rsidR="00D562F2">
        <w:rPr>
          <w:lang w:eastAsia="en-NZ"/>
        </w:rPr>
        <w:t>et al</w:t>
      </w:r>
      <w:r w:rsidRPr="00662E7B">
        <w:rPr>
          <w:lang w:eastAsia="en-NZ"/>
        </w:rPr>
        <w:t xml:space="preserve"> 2011)</w:t>
      </w:r>
      <w:r>
        <w:rPr>
          <w:lang w:eastAsia="en-NZ"/>
        </w:rPr>
        <w:t>.</w:t>
      </w:r>
    </w:p>
    <w:p w:rsidR="0025490C" w:rsidRPr="00E07B1B" w:rsidRDefault="0025490C" w:rsidP="00A16258"/>
    <w:p w:rsidR="0025490C" w:rsidRPr="00E07B1B" w:rsidRDefault="0025490C" w:rsidP="00A16258">
      <w:pPr>
        <w:pStyle w:val="Heading2"/>
      </w:pPr>
      <w:bookmarkStart w:id="245" w:name="_Toc363207356"/>
      <w:bookmarkStart w:id="246" w:name="_Toc402873584"/>
      <w:bookmarkStart w:id="247" w:name="_Toc403469660"/>
      <w:r w:rsidRPr="00E07B1B">
        <w:t>9.3</w:t>
      </w:r>
      <w:r w:rsidR="00A16258">
        <w:tab/>
      </w:r>
      <w:r w:rsidRPr="00E07B1B">
        <w:t>Diagnostic cohort studies of HbA1c</w:t>
      </w:r>
      <w:bookmarkEnd w:id="245"/>
      <w:bookmarkEnd w:id="246"/>
      <w:bookmarkEnd w:id="247"/>
    </w:p>
    <w:p w:rsidR="0025490C" w:rsidRPr="00E07B1B" w:rsidRDefault="0025490C" w:rsidP="00A16258">
      <w:pPr>
        <w:keepLines/>
        <w:rPr>
          <w:lang w:eastAsia="en-NZ"/>
        </w:rPr>
      </w:pPr>
      <w:r w:rsidRPr="00E07B1B">
        <w:rPr>
          <w:lang w:eastAsia="en-NZ"/>
        </w:rPr>
        <w:t>In addition to the systematic review, three diagnostic cohort studies investigated the diagnostic accuracy of HbA1c (Appendix N, Tables 43 and 44). There were differences in the conclusions of the three studies.</w:t>
      </w:r>
      <w:r>
        <w:rPr>
          <w:lang w:eastAsia="en-NZ"/>
        </w:rPr>
        <w:t xml:space="preserve"> </w:t>
      </w:r>
      <w:r w:rsidRPr="00E07B1B">
        <w:rPr>
          <w:lang w:eastAsia="en-NZ"/>
        </w:rPr>
        <w:t xml:space="preserve">The HbA1c test (alone or in combination with fasting glucose test) lacked diagnostic test accuracy in detecting abnormal carbohydrate metabolism in women who have had gestational diabetes at a mean follow-up of 13 months postpartum (Picon </w:t>
      </w:r>
      <w:r w:rsidR="00D562F2">
        <w:rPr>
          <w:lang w:eastAsia="en-NZ"/>
        </w:rPr>
        <w:t>et al</w:t>
      </w:r>
      <w:r w:rsidRPr="00E07B1B">
        <w:rPr>
          <w:lang w:eastAsia="en-NZ"/>
        </w:rPr>
        <w:t xml:space="preserve"> 2012). Another cohort study reported that the sensitivity and specificity for HbA1c to diagnose diabetes was 16.7% and 100% at one</w:t>
      </w:r>
      <w:r>
        <w:rPr>
          <w:lang w:eastAsia="en-NZ"/>
        </w:rPr>
        <w:t>-</w:t>
      </w:r>
      <w:r w:rsidRPr="00E07B1B">
        <w:rPr>
          <w:lang w:eastAsia="en-NZ"/>
        </w:rPr>
        <w:t xml:space="preserve">year follow-up (Megia </w:t>
      </w:r>
      <w:r w:rsidR="00D562F2">
        <w:rPr>
          <w:lang w:eastAsia="en-NZ"/>
        </w:rPr>
        <w:t>et al</w:t>
      </w:r>
      <w:r w:rsidRPr="00E07B1B">
        <w:rPr>
          <w:lang w:eastAsia="en-NZ"/>
        </w:rPr>
        <w:t xml:space="preserve"> 2012). The third study reported that at a threshold</w:t>
      </w:r>
      <w:r>
        <w:rPr>
          <w:lang w:eastAsia="en-NZ"/>
        </w:rPr>
        <w:t xml:space="preserve"> </w:t>
      </w:r>
      <w:r w:rsidRPr="00E07B1B">
        <w:rPr>
          <w:lang w:eastAsia="en-NZ"/>
        </w:rPr>
        <w:t>≥ 39 mmol/mol</w:t>
      </w:r>
      <w:r>
        <w:rPr>
          <w:lang w:eastAsia="en-NZ"/>
        </w:rPr>
        <w:t>,</w:t>
      </w:r>
      <w:r w:rsidRPr="00E07B1B">
        <w:rPr>
          <w:lang w:eastAsia="en-NZ"/>
        </w:rPr>
        <w:t xml:space="preserve"> HbA1c was a fair test for detection of abnormal glucose tolerance among women with histories of gestational diabetes (Kim </w:t>
      </w:r>
      <w:r w:rsidR="00D562F2">
        <w:rPr>
          <w:lang w:eastAsia="en-NZ"/>
        </w:rPr>
        <w:t>et al</w:t>
      </w:r>
      <w:r w:rsidRPr="00E07B1B">
        <w:rPr>
          <w:lang w:eastAsia="en-NZ"/>
        </w:rPr>
        <w:t xml:space="preserve"> 2011).</w:t>
      </w:r>
    </w:p>
    <w:p w:rsidR="0025490C" w:rsidRPr="00E07B1B" w:rsidRDefault="0025490C" w:rsidP="00A16258"/>
    <w:p w:rsidR="0025490C" w:rsidRPr="00E07B1B" w:rsidRDefault="0025490C" w:rsidP="00A16258">
      <w:pPr>
        <w:pStyle w:val="Heading2"/>
      </w:pPr>
      <w:bookmarkStart w:id="248" w:name="_Toc363207357"/>
      <w:bookmarkStart w:id="249" w:name="_Toc402873585"/>
      <w:bookmarkStart w:id="250" w:name="_Toc403469661"/>
      <w:r w:rsidRPr="00E07B1B">
        <w:t>9.4</w:t>
      </w:r>
      <w:r w:rsidR="00A16258">
        <w:tab/>
      </w:r>
      <w:r w:rsidRPr="00E07B1B">
        <w:t>Interventions to increase postpartum glucose screening in women who had gestational diabetes</w:t>
      </w:r>
      <w:bookmarkEnd w:id="248"/>
      <w:bookmarkEnd w:id="249"/>
      <w:bookmarkEnd w:id="250"/>
    </w:p>
    <w:p w:rsidR="0025490C" w:rsidRDefault="0025490C" w:rsidP="00A16258">
      <w:r w:rsidRPr="00E07B1B">
        <w:t>Studies have reported postpartum screening rates in women with gestational diabetes as low as 3</w:t>
      </w:r>
      <w:r>
        <w:t>–</w:t>
      </w:r>
      <w:r w:rsidRPr="00E07B1B">
        <w:t xml:space="preserve">30% (Almario </w:t>
      </w:r>
      <w:r w:rsidR="00D562F2">
        <w:t>et al</w:t>
      </w:r>
      <w:r w:rsidRPr="00E07B1B">
        <w:t xml:space="preserve"> 2008; Blatt</w:t>
      </w:r>
      <w:r>
        <w:t xml:space="preserve"> </w:t>
      </w:r>
      <w:r w:rsidR="00D562F2">
        <w:t>et al</w:t>
      </w:r>
      <w:r w:rsidRPr="00E07B1B">
        <w:t xml:space="preserve"> 2011; Hale</w:t>
      </w:r>
      <w:r>
        <w:t xml:space="preserve"> </w:t>
      </w:r>
      <w:r w:rsidR="00D562F2">
        <w:t>et al</w:t>
      </w:r>
      <w:r w:rsidRPr="00E07B1B">
        <w:t xml:space="preserve"> 2012). Screening uptake was found to be lowest in White (14.8%) and African American (16.2%) women and highest in Asian women (19.1%) (Blatt</w:t>
      </w:r>
      <w:r>
        <w:t xml:space="preserve"> </w:t>
      </w:r>
      <w:r w:rsidR="00D562F2">
        <w:t>et al</w:t>
      </w:r>
      <w:r w:rsidRPr="00E07B1B">
        <w:t xml:space="preserve"> 2011). The lack of postpartum screening has also been associated with the test not being requested by the physician (Dietz </w:t>
      </w:r>
      <w:r w:rsidR="00D562F2">
        <w:t>et al</w:t>
      </w:r>
      <w:r w:rsidRPr="00E07B1B">
        <w:t xml:space="preserve"> 2008).</w:t>
      </w:r>
    </w:p>
    <w:p w:rsidR="0025490C" w:rsidRPr="00E07B1B" w:rsidRDefault="0025490C" w:rsidP="00A16258"/>
    <w:p w:rsidR="0025490C" w:rsidRDefault="0025490C" w:rsidP="00A16258">
      <w:r w:rsidRPr="00E07B1B">
        <w:t xml:space="preserve">Available evidence suggests that postpartum testing by oral glucose tolerance test or HbA1c was conducted in only 63% of women resident in the three </w:t>
      </w:r>
      <w:r>
        <w:t>d</w:t>
      </w:r>
      <w:r w:rsidRPr="00E07B1B">
        <w:t xml:space="preserve">istrict </w:t>
      </w:r>
      <w:r>
        <w:t>h</w:t>
      </w:r>
      <w:r w:rsidRPr="00E07B1B">
        <w:t xml:space="preserve">ealth </w:t>
      </w:r>
      <w:r>
        <w:t>b</w:t>
      </w:r>
      <w:r w:rsidRPr="00E07B1B">
        <w:t xml:space="preserve">oards </w:t>
      </w:r>
      <w:r>
        <w:t xml:space="preserve">in the greater </w:t>
      </w:r>
      <w:r w:rsidRPr="00E07B1B">
        <w:t>Auckland region (Winnard</w:t>
      </w:r>
      <w:r>
        <w:t xml:space="preserve"> and Anderson</w:t>
      </w:r>
      <w:r w:rsidRPr="00E07B1B">
        <w:t xml:space="preserve"> 2013).</w:t>
      </w:r>
      <w:r>
        <w:t xml:space="preserve"> </w:t>
      </w:r>
      <w:r w:rsidRPr="00E07B1B">
        <w:t>Up to 40% or more of women are not receiving adequate postpartum follow-up.</w:t>
      </w:r>
    </w:p>
    <w:p w:rsidR="0025490C" w:rsidRPr="00E07B1B" w:rsidRDefault="0025490C" w:rsidP="00A16258"/>
    <w:p w:rsidR="0025490C" w:rsidRPr="00E07B1B" w:rsidRDefault="0025490C" w:rsidP="00A16258">
      <w:pPr>
        <w:pStyle w:val="Heading3"/>
      </w:pPr>
      <w:bookmarkStart w:id="251" w:name="_Toc363207359"/>
      <w:bookmarkStart w:id="252" w:name="_Toc402873586"/>
      <w:r w:rsidRPr="00E07B1B">
        <w:t>9.4.</w:t>
      </w:r>
      <w:r>
        <w:t>1</w:t>
      </w:r>
      <w:r w:rsidR="00A16258">
        <w:tab/>
      </w:r>
      <w:r w:rsidRPr="00E07B1B">
        <w:t>Randomised controlled trial</w:t>
      </w:r>
      <w:bookmarkEnd w:id="251"/>
      <w:bookmarkEnd w:id="252"/>
    </w:p>
    <w:p w:rsidR="0068074A" w:rsidRDefault="0025490C" w:rsidP="00A16258">
      <w:r w:rsidRPr="00E07B1B">
        <w:rPr>
          <w:szCs w:val="24"/>
        </w:rPr>
        <w:t>A</w:t>
      </w:r>
      <w:r w:rsidRPr="00E07B1B">
        <w:t xml:space="preserve"> single</w:t>
      </w:r>
      <w:r>
        <w:t>-</w:t>
      </w:r>
      <w:r w:rsidRPr="00E07B1B">
        <w:t>centre, randomised Canadian trial of 256 women compared sending a postal reminder to the patient, their physician or both with usual care (no reminder). This simple intervention increased screening for diabetes postpartum compared with usual care (</w:t>
      </w:r>
      <w:r w:rsidRPr="00662E7B">
        <w:rPr>
          <w:i/>
        </w:rPr>
        <w:t>p</w:t>
      </w:r>
      <w:r>
        <w:t xml:space="preserve"> </w:t>
      </w:r>
      <w:r w:rsidRPr="00E07B1B">
        <w:t>&lt;</w:t>
      </w:r>
      <w:r>
        <w:t xml:space="preserve"> </w:t>
      </w:r>
      <w:r w:rsidRPr="00E07B1B">
        <w:t xml:space="preserve">0.05) from 14.3% to 60.5%. Five times as many women returned for postpartum screening when both they and their physician received a reminder. There were still </w:t>
      </w:r>
      <w:r>
        <w:t xml:space="preserve">approximately </w:t>
      </w:r>
      <w:r w:rsidRPr="00E07B1B">
        <w:t xml:space="preserve">40% of women (mainly who had moved out of area) who were not screened (Clark </w:t>
      </w:r>
      <w:r w:rsidR="00D562F2">
        <w:t>et al</w:t>
      </w:r>
      <w:r w:rsidRPr="00E07B1B">
        <w:t xml:space="preserve"> 2009).</w:t>
      </w:r>
    </w:p>
    <w:p w:rsidR="0025490C" w:rsidRPr="00E07B1B" w:rsidRDefault="0025490C" w:rsidP="00A16258"/>
    <w:p w:rsidR="0025490C" w:rsidRDefault="0025490C" w:rsidP="00A16258">
      <w:r w:rsidRPr="00E07B1B">
        <w:t xml:space="preserve">An implementation study compared a reminder protocol using a letter or telephone call in routine care with no reminder. The proportion of women undergoing postpartum screening was lower than in the randomised trial (28% versus 60%) but the reminder system </w:t>
      </w:r>
      <w:r>
        <w:t>doubled</w:t>
      </w:r>
      <w:r w:rsidRPr="00E07B1B">
        <w:t xml:space="preserve"> the screening rate (14% usual care, 28% with reminder) (Shea </w:t>
      </w:r>
      <w:r w:rsidR="00D562F2">
        <w:t>et al</w:t>
      </w:r>
      <w:r w:rsidRPr="00E07B1B">
        <w:t xml:space="preserve"> 2011).</w:t>
      </w:r>
    </w:p>
    <w:p w:rsidR="0025490C" w:rsidRPr="00E07B1B" w:rsidRDefault="0025490C" w:rsidP="00A16258"/>
    <w:p w:rsidR="0025490C" w:rsidRPr="00E07B1B" w:rsidRDefault="0025490C" w:rsidP="00A16258">
      <w:pPr>
        <w:pStyle w:val="Heading3"/>
      </w:pPr>
      <w:bookmarkStart w:id="253" w:name="_Toc363207360"/>
      <w:bookmarkStart w:id="254" w:name="_Toc402873587"/>
      <w:r w:rsidRPr="00E07B1B">
        <w:t>9.4.</w:t>
      </w:r>
      <w:r>
        <w:t>2</w:t>
      </w:r>
      <w:r w:rsidR="00A16258">
        <w:tab/>
      </w:r>
      <w:r w:rsidRPr="00E07B1B">
        <w:t>Observational stud</w:t>
      </w:r>
      <w:bookmarkEnd w:id="253"/>
      <w:r w:rsidRPr="00E07B1B">
        <w:t>ies</w:t>
      </w:r>
      <w:bookmarkEnd w:id="254"/>
    </w:p>
    <w:p w:rsidR="0025490C" w:rsidRPr="00E07B1B" w:rsidRDefault="0025490C" w:rsidP="00A16258">
      <w:r w:rsidRPr="00E07B1B">
        <w:t>A checklist (placed in the wom</w:t>
      </w:r>
      <w:r>
        <w:t>a</w:t>
      </w:r>
      <w:r w:rsidRPr="00E07B1B">
        <w:t>n</w:t>
      </w:r>
      <w:r w:rsidR="0068074A">
        <w:t>’</w:t>
      </w:r>
      <w:r w:rsidRPr="00E07B1B">
        <w:t>s notes to remind health care providers to give the laboratory requisition for postpartum screening to the woman, and provide additional written information on the importance of postpartum screening and risk of type 2 diabetes) resulted in a three-fold increase</w:t>
      </w:r>
      <w:r>
        <w:t xml:space="preserve"> in the</w:t>
      </w:r>
      <w:r w:rsidRPr="00E07B1B">
        <w:t xml:space="preserve"> odds of being screened postpartum (</w:t>
      </w:r>
      <w:r w:rsidRPr="00662E7B">
        <w:rPr>
          <w:i/>
        </w:rPr>
        <w:t>p</w:t>
      </w:r>
      <w:r>
        <w:t xml:space="preserve"> </w:t>
      </w:r>
      <w:r w:rsidRPr="00E07B1B">
        <w:t>&lt;</w:t>
      </w:r>
      <w:r>
        <w:t xml:space="preserve"> </w:t>
      </w:r>
      <w:r w:rsidRPr="00E07B1B">
        <w:t xml:space="preserve">0.0001) although less than half returned for postpartum screening (Lega </w:t>
      </w:r>
      <w:r w:rsidR="00D562F2">
        <w:t>et al</w:t>
      </w:r>
      <w:r w:rsidRPr="00E07B1B">
        <w:t xml:space="preserve"> 2012).</w:t>
      </w:r>
    </w:p>
    <w:p w:rsidR="0025490C" w:rsidRPr="00E07B1B" w:rsidRDefault="0025490C" w:rsidP="00A16258"/>
    <w:p w:rsidR="0025490C" w:rsidRPr="00E07B1B" w:rsidRDefault="0025490C" w:rsidP="00A16258">
      <w:r w:rsidRPr="00E07B1B">
        <w:t>A brief (5</w:t>
      </w:r>
      <w:r>
        <w:t>-</w:t>
      </w:r>
      <w:r w:rsidRPr="00E07B1B">
        <w:t xml:space="preserve"> to 10</w:t>
      </w:r>
      <w:r>
        <w:t>-</w:t>
      </w:r>
      <w:r w:rsidRPr="00E07B1B">
        <w:t>minute) educational counselling session provided by a nurse educator (at</w:t>
      </w:r>
      <w:r w:rsidR="00A16258">
        <w:br/>
      </w:r>
      <w:r w:rsidRPr="00E07B1B">
        <w:t>37</w:t>
      </w:r>
      <w:r>
        <w:t>–</w:t>
      </w:r>
      <w:r w:rsidRPr="00E07B1B">
        <w:t>38 weeks</w:t>
      </w:r>
      <w:r w:rsidR="0068074A">
        <w:t>’</w:t>
      </w:r>
      <w:r w:rsidRPr="00E07B1B">
        <w:t xml:space="preserve"> gestation) significantly increased the postpartum screening rate (53% versus 33%, </w:t>
      </w:r>
      <w:r w:rsidRPr="00662E7B">
        <w:rPr>
          <w:i/>
        </w:rPr>
        <w:t>p</w:t>
      </w:r>
      <w:r w:rsidR="00A16258">
        <w:rPr>
          <w:i/>
        </w:rPr>
        <w:t> </w:t>
      </w:r>
      <w:r w:rsidRPr="00E07B1B">
        <w:t>&lt;</w:t>
      </w:r>
      <w:r w:rsidR="00A16258">
        <w:t> </w:t>
      </w:r>
      <w:r w:rsidRPr="00E07B1B">
        <w:t xml:space="preserve">0.001) compared </w:t>
      </w:r>
      <w:r>
        <w:t>with</w:t>
      </w:r>
      <w:r w:rsidRPr="00E07B1B">
        <w:t xml:space="preserve"> a time period when the service was not offered (Stasenko </w:t>
      </w:r>
      <w:r w:rsidR="00D562F2">
        <w:t>et al</w:t>
      </w:r>
      <w:r w:rsidRPr="00E07B1B">
        <w:t xml:space="preserve"> 2011).</w:t>
      </w:r>
    </w:p>
    <w:p w:rsidR="0025490C" w:rsidRPr="00E07B1B" w:rsidRDefault="0025490C" w:rsidP="00A16258"/>
    <w:p w:rsidR="0025490C" w:rsidRPr="00E07B1B" w:rsidRDefault="0025490C" w:rsidP="00A16258">
      <w:pPr>
        <w:pStyle w:val="Heading3"/>
      </w:pPr>
      <w:bookmarkStart w:id="255" w:name="_Toc363207361"/>
      <w:bookmarkStart w:id="256" w:name="_Toc402873588"/>
      <w:r w:rsidRPr="00E07B1B">
        <w:t>9.4.</w:t>
      </w:r>
      <w:r>
        <w:t>3</w:t>
      </w:r>
      <w:r w:rsidR="00A16258">
        <w:tab/>
      </w:r>
      <w:r w:rsidRPr="00E07B1B">
        <w:t>New Zealand</w:t>
      </w:r>
      <w:r w:rsidR="00A16258">
        <w:t>-</w:t>
      </w:r>
      <w:r w:rsidRPr="00E07B1B">
        <w:t>specific research</w:t>
      </w:r>
      <w:bookmarkEnd w:id="255"/>
      <w:bookmarkEnd w:id="256"/>
    </w:p>
    <w:p w:rsidR="0068074A" w:rsidRDefault="0025490C" w:rsidP="00A16258">
      <w:r w:rsidRPr="00E07B1B">
        <w:t>Exploratory interviews with practice nurses in Waikato found a lack of understanding of the importance of postnatal screening in women who had been diagnosed with gestational diabetes and a lack of an efficient recall system in primary care. For women with gestational diabetes</w:t>
      </w:r>
      <w:r>
        <w:t>,</w:t>
      </w:r>
      <w:r w:rsidRPr="00E07B1B">
        <w:t xml:space="preserve"> the barriers to attending screening were lack of motivation and the need for constant encouragement to complete the oral glucose tolerance test. Laboratory forms were misplaced and women often did not have access to child care at the time of </w:t>
      </w:r>
      <w:r>
        <w:t xml:space="preserve">the </w:t>
      </w:r>
      <w:r w:rsidRPr="00E07B1B">
        <w:t>test.</w:t>
      </w:r>
    </w:p>
    <w:p w:rsidR="0025490C" w:rsidRPr="00E07B1B" w:rsidRDefault="0025490C" w:rsidP="00A16258"/>
    <w:p w:rsidR="0025490C" w:rsidRPr="00E07B1B" w:rsidRDefault="0025490C" w:rsidP="00A16258">
      <w:r w:rsidRPr="00E07B1B">
        <w:t xml:space="preserve">Simple initiatives were used to increase awareness and uptake of postpartum screening such as a sticker stating </w:t>
      </w:r>
      <w:r w:rsidR="0068074A">
        <w:t>‘</w:t>
      </w:r>
      <w:r w:rsidRPr="00E07B1B">
        <w:t>My mum had GDM</w:t>
      </w:r>
      <w:r w:rsidR="0068074A">
        <w:t>’</w:t>
      </w:r>
      <w:r w:rsidRPr="00E07B1B">
        <w:t xml:space="preserve"> attached to the vaccination records of the Well Child book, a telephone call to the relevant practice nurse to suggest postnatal follow-up</w:t>
      </w:r>
      <w:r>
        <w:t>,</w:t>
      </w:r>
      <w:r w:rsidRPr="00E07B1B">
        <w:t xml:space="preserve"> or a letter sent to both the practice nurse and the general practitioner to add the wom</w:t>
      </w:r>
      <w:r>
        <w:t>a</w:t>
      </w:r>
      <w:r w:rsidRPr="00E07B1B">
        <w:t>n</w:t>
      </w:r>
      <w:r w:rsidR="0068074A">
        <w:t>’</w:t>
      </w:r>
      <w:r w:rsidRPr="00E07B1B">
        <w:t>s details to the recall register (George 2011).</w:t>
      </w:r>
    </w:p>
    <w:p w:rsidR="0025490C" w:rsidRPr="00E07B1B" w:rsidRDefault="0025490C" w:rsidP="00A16258"/>
    <w:p w:rsidR="0025490C" w:rsidRPr="00E07B1B" w:rsidRDefault="0025490C" w:rsidP="00A16258">
      <w:r w:rsidRPr="00E07B1B">
        <w:t>A follow-up study on 110 women in Northland treated for gestational diabetes found almost one</w:t>
      </w:r>
      <w:r>
        <w:t>-</w:t>
      </w:r>
      <w:r w:rsidRPr="00E07B1B">
        <w:t>third (32%) had abnormal glucose results at follow-up (mean 2.4 years)</w:t>
      </w:r>
      <w:r>
        <w:t xml:space="preserve"> </w:t>
      </w:r>
      <w:r w:rsidRPr="00E07B1B">
        <w:t>and 60% of those women had diabetes. Uptake of postpartum screening was very low (30%) and the diagnosis of diabetes in half of the women was as a direct result of the study. Of those with abnormal results, 66% were Māori and 95% of those diagnosed with diabetes had required insulin during pregnancy (McGrath</w:t>
      </w:r>
      <w:r>
        <w:t xml:space="preserve"> </w:t>
      </w:r>
      <w:r w:rsidR="00D562F2">
        <w:t>et al</w:t>
      </w:r>
      <w:r w:rsidRPr="00E07B1B">
        <w:t xml:space="preserve"> 2007).</w:t>
      </w:r>
      <w:r>
        <w:t xml:space="preserve"> </w:t>
      </w:r>
      <w:r w:rsidRPr="00E07B1B">
        <w:t>After four years</w:t>
      </w:r>
      <w:r w:rsidR="0068074A">
        <w:t>’</w:t>
      </w:r>
      <w:r w:rsidRPr="00E07B1B">
        <w:t xml:space="preserve"> follow-up there had been an increase in the community for testing blood glucose levels </w:t>
      </w:r>
      <w:r>
        <w:t>one</w:t>
      </w:r>
      <w:r w:rsidRPr="00E07B1B">
        <w:t xml:space="preserve"> to </w:t>
      </w:r>
      <w:r>
        <w:t>two</w:t>
      </w:r>
      <w:r w:rsidRPr="00E07B1B">
        <w:t xml:space="preserve"> years after pregnancy (McGrath and Baldwin 2012). The study highlights the increasing problem of type 2 diabetes following gestational diabetes</w:t>
      </w:r>
      <w:r>
        <w:t>,</w:t>
      </w:r>
      <w:r w:rsidRPr="00E07B1B">
        <w:t xml:space="preserve"> in particular for Māori women.</w:t>
      </w:r>
    </w:p>
    <w:p w:rsidR="0025490C" w:rsidRPr="00E07B1B" w:rsidRDefault="0025490C" w:rsidP="00A16258"/>
    <w:p w:rsidR="0025490C" w:rsidRPr="00E07B1B" w:rsidRDefault="0025490C" w:rsidP="00A16258">
      <w:pPr>
        <w:pStyle w:val="Heading3"/>
      </w:pPr>
      <w:bookmarkStart w:id="257" w:name="_Toc363207364"/>
      <w:bookmarkStart w:id="258" w:name="_Toc402873589"/>
      <w:r w:rsidRPr="00E07B1B">
        <w:t>9.</w:t>
      </w:r>
      <w:bookmarkEnd w:id="257"/>
      <w:r w:rsidRPr="00E07B1B">
        <w:t>4.</w:t>
      </w:r>
      <w:r>
        <w:t>4</w:t>
      </w:r>
      <w:r w:rsidR="00A16258">
        <w:tab/>
      </w:r>
      <w:r w:rsidRPr="00E07B1B">
        <w:t>Ongoing studies</w:t>
      </w:r>
      <w:bookmarkEnd w:id="258"/>
    </w:p>
    <w:p w:rsidR="0025490C" w:rsidRPr="00E07B1B" w:rsidRDefault="0025490C" w:rsidP="00A16258">
      <w:r w:rsidRPr="00E07B1B">
        <w:t>A protocol for a randomised trial was identified that aims to compare a Promotora (who will provide education, address barriers to follow-up, remind subjects of their appointments, and call them to reschedule if they miss appointments) with standard postpartum care in the follow</w:t>
      </w:r>
      <w:r w:rsidR="00A16258">
        <w:noBreakHyphen/>
      </w:r>
      <w:r w:rsidRPr="00E07B1B">
        <w:t>up and prevention of type 2 diabetes in women with gestational diabetes (</w:t>
      </w:r>
      <w:hyperlink r:id="rId40" w:history="1">
        <w:r w:rsidRPr="00E07B1B">
          <w:rPr>
            <w:rStyle w:val="Hyperlink"/>
            <w:rFonts w:cs="Arial"/>
            <w:szCs w:val="24"/>
          </w:rPr>
          <w:t>www.clinicaltrials.gov/ct2/show/NCT00998595</w:t>
        </w:r>
      </w:hyperlink>
      <w:r w:rsidRPr="00E07B1B">
        <w:t>)</w:t>
      </w:r>
      <w:r>
        <w:t>.</w:t>
      </w:r>
    </w:p>
    <w:p w:rsidR="0025490C" w:rsidRPr="00E07B1B" w:rsidRDefault="0025490C" w:rsidP="00A16258"/>
    <w:p w:rsidR="0025490C" w:rsidRPr="00E07B1B" w:rsidRDefault="0025490C" w:rsidP="00A16258">
      <w:r w:rsidRPr="00E07B1B">
        <w:t xml:space="preserve">The DIAMIND trial will use SMS text reminders for women who have had gestational diabetes to return for a test for type 2 diabetes or impaired glucose tolerance at either </w:t>
      </w:r>
      <w:r>
        <w:t>six</w:t>
      </w:r>
      <w:r w:rsidRPr="00E07B1B">
        <w:t xml:space="preserve"> weeks or </w:t>
      </w:r>
      <w:r>
        <w:t>six</w:t>
      </w:r>
      <w:r w:rsidRPr="00E07B1B">
        <w:t xml:space="preserve"> months postpartum (</w:t>
      </w:r>
      <w:hyperlink r:id="rId41" w:history="1">
        <w:r w:rsidRPr="00E07B1B">
          <w:rPr>
            <w:rStyle w:val="Hyperlink"/>
            <w:rFonts w:cs="Arial"/>
            <w:szCs w:val="24"/>
          </w:rPr>
          <w:t>www.anzctr.org.au</w:t>
        </w:r>
      </w:hyperlink>
      <w:r w:rsidRPr="00E07B1B">
        <w:t xml:space="preserve"> ACTRN12612000621819).</w:t>
      </w:r>
    </w:p>
    <w:p w:rsidR="0025490C" w:rsidRDefault="0025490C" w:rsidP="00A16258"/>
    <w:p w:rsidR="00A16258" w:rsidRPr="00662E7B" w:rsidRDefault="00A16258" w:rsidP="00A16258">
      <w:pPr>
        <w:pStyle w:val="BoxHeading"/>
      </w:pPr>
      <w:r w:rsidRPr="00662E7B">
        <w:t>Key points</w:t>
      </w:r>
    </w:p>
    <w:p w:rsidR="00A16258" w:rsidRPr="00AD783B" w:rsidRDefault="00A16258" w:rsidP="00A16258">
      <w:pPr>
        <w:pStyle w:val="BoxBullet"/>
      </w:pPr>
      <w:r w:rsidRPr="00AD783B">
        <w:t>Women often perceive the 6</w:t>
      </w:r>
      <w:r>
        <w:t>-</w:t>
      </w:r>
      <w:r w:rsidRPr="00AD783B">
        <w:t xml:space="preserve"> to 12</w:t>
      </w:r>
      <w:r>
        <w:t>-</w:t>
      </w:r>
      <w:r w:rsidRPr="00AD783B">
        <w:t>week postpartum oral glucose tolerance test as unpleasant and inconvenient</w:t>
      </w:r>
      <w:r>
        <w:t>.</w:t>
      </w:r>
    </w:p>
    <w:p w:rsidR="00A16258" w:rsidRPr="00AD783B" w:rsidRDefault="00A16258" w:rsidP="00A16258">
      <w:pPr>
        <w:pStyle w:val="BoxBullet"/>
      </w:pPr>
      <w:r w:rsidRPr="00AD783B">
        <w:t xml:space="preserve">At </w:t>
      </w:r>
      <w:r>
        <w:t>three</w:t>
      </w:r>
      <w:r w:rsidRPr="00AD783B">
        <w:t xml:space="preserve"> months postpartum the diagnosis of diabetes can be made with the HbA1c (single, non-fasting test) as in the general adult population</w:t>
      </w:r>
      <w:r>
        <w:t>.</w:t>
      </w:r>
    </w:p>
    <w:p w:rsidR="00A16258" w:rsidRDefault="00A16258" w:rsidP="00A16258">
      <w:pPr>
        <w:pStyle w:val="BoxBullet"/>
      </w:pPr>
      <w:r w:rsidRPr="00AD783B">
        <w:t>Reminders for women and primary care providers increase the attendance at postpartum screening in women with gestational diabetes</w:t>
      </w:r>
      <w:r>
        <w:t>.</w:t>
      </w:r>
    </w:p>
    <w:p w:rsidR="00A16258" w:rsidRPr="00E07B1B" w:rsidRDefault="00A16258" w:rsidP="00A16258"/>
    <w:p w:rsidR="0025490C" w:rsidRPr="00E07B1B" w:rsidRDefault="0025490C" w:rsidP="00A16258">
      <w:pPr>
        <w:pStyle w:val="Heading2"/>
      </w:pPr>
      <w:bookmarkStart w:id="259" w:name="_Toc363207363"/>
      <w:bookmarkStart w:id="260" w:name="_Toc402873590"/>
      <w:bookmarkStart w:id="261" w:name="_Toc403469662"/>
      <w:r w:rsidRPr="00E07B1B">
        <w:t>9.5</w:t>
      </w:r>
      <w:r w:rsidR="00A16258">
        <w:tab/>
      </w:r>
      <w:r w:rsidRPr="00E07B1B">
        <w:t>Evidence to recommendations</w:t>
      </w:r>
      <w:bookmarkEnd w:id="259"/>
      <w:bookmarkEnd w:id="260"/>
      <w:bookmarkEnd w:id="261"/>
    </w:p>
    <w:p w:rsidR="0025490C" w:rsidRDefault="0025490C" w:rsidP="00A16258">
      <w:r w:rsidRPr="00E07B1B">
        <w:t xml:space="preserve">A 75 g oral glucose tolerance test is the most accurate test for diagnosing glucose intolerance (including diabetes) in the first year following a diagnosis of </w:t>
      </w:r>
      <w:r w:rsidRPr="00E07B1B">
        <w:rPr>
          <w:lang w:eastAsia="ja-JP"/>
        </w:rPr>
        <w:t>gestational diabetes</w:t>
      </w:r>
      <w:r w:rsidRPr="00E07B1B">
        <w:t>. HbA1c with a fasting glucose has a reasonable sensitivity and specificity and HbA1c alone has a low sensitivity but good specificity.</w:t>
      </w:r>
    </w:p>
    <w:p w:rsidR="0025490C" w:rsidRPr="00E07B1B" w:rsidRDefault="0025490C" w:rsidP="00A16258"/>
    <w:p w:rsidR="0025490C" w:rsidRPr="00E07B1B" w:rsidRDefault="0025490C" w:rsidP="00A16258">
      <w:r w:rsidRPr="00E07B1B">
        <w:t>However, the postpartum oral glucose tolerance test may not be acceptable for some women (especially breastfeeding mothers) as it requires a fasting blood sugar, an unpleasant tasting glucose drink and up to two hours of waiting with multiple blood samples. Between 30% and 70% of women will not perform the test.</w:t>
      </w:r>
    </w:p>
    <w:p w:rsidR="0025490C" w:rsidRPr="00E07B1B" w:rsidRDefault="0025490C" w:rsidP="00A16258"/>
    <w:p w:rsidR="0025490C" w:rsidRDefault="0025490C" w:rsidP="00A16258">
      <w:r w:rsidRPr="00E07B1B">
        <w:t>The American Diabetes Association (2012) did not recommend the use of HbA1c as the 6</w:t>
      </w:r>
      <w:r>
        <w:t>-</w:t>
      </w:r>
      <w:r w:rsidRPr="00E07B1B">
        <w:t xml:space="preserve"> to 12</w:t>
      </w:r>
      <w:r w:rsidR="00A16258">
        <w:noBreakHyphen/>
      </w:r>
      <w:r w:rsidRPr="00E07B1B">
        <w:t xml:space="preserve">week postpartum screening test due to the influence of antepartum treatment of hyperglycaemia. It is more logical to perform the test at approximately </w:t>
      </w:r>
      <w:r>
        <w:t>three</w:t>
      </w:r>
      <w:r w:rsidRPr="00E07B1B">
        <w:t xml:space="preserve"> months postpartum.</w:t>
      </w:r>
    </w:p>
    <w:p w:rsidR="0025490C" w:rsidRPr="00E07B1B" w:rsidRDefault="0025490C" w:rsidP="00A16258"/>
    <w:p w:rsidR="0025490C" w:rsidRDefault="0025490C" w:rsidP="00A16258">
      <w:r w:rsidRPr="00E07B1B">
        <w:t>The use of HbA1c may miss a number of women with lower levels of hyperglycaemia, but will detect women with the highest glucose levels who will require immediate assessment. A fasting glucose can be added (on an individual basis) to increase the sensitivity of the test.</w:t>
      </w:r>
    </w:p>
    <w:p w:rsidR="0025490C" w:rsidRPr="00E07B1B" w:rsidRDefault="0025490C" w:rsidP="00A16258"/>
    <w:p w:rsidR="0025490C" w:rsidRDefault="0025490C" w:rsidP="00A16258">
      <w:r w:rsidRPr="00E07B1B">
        <w:t>HbA1c is currently used to screen for diabetes in New Zealand in the non-pregnant population. It is likely that more appropriate follow-up and continuing surveillance will be undertaken by the general practitioner if an initial HbA1c is performed. The progression of HbA1c over time is an important concept that is not captured by cross-sectional studies.</w:t>
      </w:r>
      <w:r>
        <w:t xml:space="preserve"> </w:t>
      </w:r>
      <w:r w:rsidRPr="00E07B1B">
        <w:t>The initial test is</w:t>
      </w:r>
      <w:r>
        <w:t xml:space="preserve"> a</w:t>
      </w:r>
      <w:r w:rsidRPr="00E07B1B">
        <w:t xml:space="preserve"> one-step </w:t>
      </w:r>
      <w:r>
        <w:t xml:space="preserve">method </w:t>
      </w:r>
      <w:r w:rsidRPr="00E07B1B">
        <w:t>that is likely to engage the woman and her general practitioner in the process of regular follow</w:t>
      </w:r>
      <w:r>
        <w:t>-</w:t>
      </w:r>
      <w:r w:rsidRPr="00E07B1B">
        <w:t>up testing and review of healthy lifestyle interventions (+/- metformin). The majority of guidelines recommended annual follow-up testing in women with a history of gestational diabetes.</w:t>
      </w:r>
    </w:p>
    <w:p w:rsidR="0025490C" w:rsidRPr="00E07B1B" w:rsidRDefault="0025490C" w:rsidP="00A16258"/>
    <w:p w:rsidR="0025490C" w:rsidRDefault="0025490C" w:rsidP="00A16258">
      <w:r w:rsidRPr="00E07B1B">
        <w:t xml:space="preserve">When </w:t>
      </w:r>
      <w:r>
        <w:t xml:space="preserve">women are </w:t>
      </w:r>
      <w:r w:rsidRPr="00E07B1B">
        <w:t>planning another pregnancy, the HbA1c is</w:t>
      </w:r>
      <w:r>
        <w:t xml:space="preserve"> </w:t>
      </w:r>
      <w:r w:rsidRPr="00E07B1B">
        <w:t>a useful way of identifying which women are at increased risk of miscarriage or congenital anomaly, because of elevated glucose levels</w:t>
      </w:r>
      <w:r>
        <w:t>,</w:t>
      </w:r>
      <w:r w:rsidRPr="00E07B1B">
        <w:t xml:space="preserve"> and who may benefit from pre-pregnancy counselling.</w:t>
      </w:r>
    </w:p>
    <w:p w:rsidR="0025490C" w:rsidRPr="00E07B1B" w:rsidRDefault="0025490C" w:rsidP="00A16258"/>
    <w:p w:rsidR="0025490C" w:rsidRPr="00E07B1B" w:rsidRDefault="0025490C" w:rsidP="00A16258">
      <w:r w:rsidRPr="00E07B1B">
        <w:t>Although interventions to increase postpartum screening are successful, the rates of postpartum screening remain suboptimal. In order to detect and treat women who develop diabetes or impaired glucose tolerance</w:t>
      </w:r>
      <w:r>
        <w:t>,</w:t>
      </w:r>
      <w:r w:rsidRPr="00E07B1B">
        <w:t xml:space="preserve"> it is important that they are identified in a timely fashion to prevent future complications associated with the condition. There may be a number of barriers for attendance at postnatal screening and some of these have been identified through qualitative research. Refer to Appendix N, Table 45.</w:t>
      </w:r>
    </w:p>
    <w:p w:rsidR="0025490C" w:rsidRPr="00E07B1B" w:rsidRDefault="0025490C" w:rsidP="00A16258"/>
    <w:p w:rsidR="0068074A" w:rsidRDefault="0025490C" w:rsidP="00A16258">
      <w:r w:rsidRPr="00E07B1B">
        <w:t xml:space="preserve">Postpartum screening in women with gestational diabetes provides an opportunity to identify women with undiagnosed diabetes and to commence surveillance of a specific group of individuals at increased risk of developing diabetes in the future. Women should be informed through a variety of media </w:t>
      </w:r>
      <w:r>
        <w:t>about</w:t>
      </w:r>
      <w:r w:rsidRPr="00E07B1B">
        <w:t xml:space="preserve"> the importance of postpartum screening for diabetes following gestational diabetes.</w:t>
      </w:r>
      <w:r>
        <w:t xml:space="preserve"> </w:t>
      </w:r>
      <w:r w:rsidRPr="00E07B1B">
        <w:t>The reasons for non-adherence to postpartum screening in New Zealand may need further exploration.</w:t>
      </w:r>
    </w:p>
    <w:p w:rsidR="0025490C" w:rsidRPr="00E07B1B" w:rsidRDefault="0025490C" w:rsidP="00A16258"/>
    <w:p w:rsidR="0025490C" w:rsidRDefault="0025490C" w:rsidP="00A16258">
      <w:pPr>
        <w:keepLines/>
      </w:pPr>
      <w:r w:rsidRPr="00E07B1B">
        <w:t>All health care providers involved in a woman</w:t>
      </w:r>
      <w:r w:rsidR="0068074A">
        <w:t>’</w:t>
      </w:r>
      <w:r w:rsidRPr="00E07B1B">
        <w:t xml:space="preserve">s care </w:t>
      </w:r>
      <w:r>
        <w:t xml:space="preserve">should </w:t>
      </w:r>
      <w:r w:rsidRPr="00E07B1B">
        <w:t>relay consistent messages regarding the need for postnatal screening.</w:t>
      </w:r>
      <w:r>
        <w:t xml:space="preserve"> </w:t>
      </w:r>
      <w:r w:rsidRPr="00E07B1B">
        <w:t>A health professional should be identified who is responsible for ensuring that the information is received and that the appropriate laboratory requisition is given to the woman with information about the requirements of the diagnostic test. Reminder systems appear to be a useful method for increasing postpartum screening rates.</w:t>
      </w:r>
    </w:p>
    <w:p w:rsidR="00A16258" w:rsidRDefault="00A16258" w:rsidP="00A16258"/>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37"/>
        <w:gridCol w:w="3119"/>
      </w:tblGrid>
      <w:tr w:rsidR="0025490C" w:rsidRPr="00A16258" w:rsidTr="00A16258">
        <w:trPr>
          <w:cantSplit/>
        </w:trPr>
        <w:tc>
          <w:tcPr>
            <w:tcW w:w="6237" w:type="dxa"/>
            <w:tcBorders>
              <w:left w:val="nil"/>
              <w:bottom w:val="single" w:sz="4" w:space="0" w:color="auto"/>
              <w:right w:val="nil"/>
            </w:tcBorders>
            <w:shd w:val="clear" w:color="auto" w:fill="F7F9FB"/>
          </w:tcPr>
          <w:p w:rsidR="0025490C" w:rsidRPr="00A16258" w:rsidRDefault="00A16258" w:rsidP="00A16258">
            <w:pPr>
              <w:pStyle w:val="TableText"/>
              <w:rPr>
                <w:b/>
              </w:rPr>
            </w:pPr>
            <w:r w:rsidRPr="00A16258">
              <w:rPr>
                <w:b/>
              </w:rPr>
              <w:t>Recommendation</w:t>
            </w:r>
          </w:p>
        </w:tc>
        <w:tc>
          <w:tcPr>
            <w:tcW w:w="3119" w:type="dxa"/>
            <w:tcBorders>
              <w:left w:val="nil"/>
              <w:bottom w:val="single" w:sz="4" w:space="0" w:color="auto"/>
              <w:right w:val="nil"/>
            </w:tcBorders>
            <w:shd w:val="clear" w:color="auto" w:fill="F7F9FB"/>
          </w:tcPr>
          <w:p w:rsidR="0025490C" w:rsidRPr="00A16258" w:rsidRDefault="0025490C" w:rsidP="00A16258">
            <w:pPr>
              <w:pStyle w:val="TableText"/>
              <w:jc w:val="center"/>
              <w:rPr>
                <w:b/>
              </w:rPr>
            </w:pPr>
            <w:r w:rsidRPr="00A16258">
              <w:rPr>
                <w:b/>
              </w:rPr>
              <w:t>Strength of recommendation or good practice point (GPP)</w:t>
            </w:r>
          </w:p>
        </w:tc>
      </w:tr>
      <w:tr w:rsidR="00A16258" w:rsidRPr="00E07B1B" w:rsidTr="00A16258">
        <w:trPr>
          <w:cantSplit/>
        </w:trPr>
        <w:tc>
          <w:tcPr>
            <w:tcW w:w="6237" w:type="dxa"/>
            <w:tcBorders>
              <w:top w:val="single" w:sz="4" w:space="0" w:color="auto"/>
              <w:left w:val="nil"/>
              <w:bottom w:val="single" w:sz="4" w:space="0" w:color="FFFFFF" w:themeColor="background1"/>
              <w:right w:val="nil"/>
            </w:tcBorders>
            <w:shd w:val="clear" w:color="auto" w:fill="C6D9F1"/>
          </w:tcPr>
          <w:p w:rsidR="00A16258" w:rsidRPr="00E07B1B" w:rsidRDefault="00A16258" w:rsidP="00A16258">
            <w:pPr>
              <w:pStyle w:val="TableText"/>
              <w:ind w:left="425" w:right="142" w:hanging="425"/>
            </w:pPr>
            <w:r w:rsidRPr="00E07B1B">
              <w:t>31</w:t>
            </w:r>
            <w:r>
              <w:tab/>
              <w:t>For</w:t>
            </w:r>
            <w:r w:rsidRPr="00E07B1B">
              <w:t xml:space="preserve"> all women diagnosed with gestational diabetes</w:t>
            </w:r>
            <w:r>
              <w:t>, their</w:t>
            </w:r>
            <w:r w:rsidRPr="00E07B1B">
              <w:t xml:space="preserve"> lead maternity carer or diabetes clinic in the postnatal review </w:t>
            </w:r>
            <w:r>
              <w:t>should provide</w:t>
            </w:r>
            <w:r w:rsidRPr="00E07B1B">
              <w:t xml:space="preserve"> printed information </w:t>
            </w:r>
            <w:r>
              <w:t xml:space="preserve">about </w:t>
            </w:r>
            <w:r w:rsidRPr="00E07B1B">
              <w:t xml:space="preserve">the importance of postpartum screening and the risk of developing type 2 </w:t>
            </w:r>
            <w:r>
              <w:t>diabetes.</w:t>
            </w:r>
          </w:p>
        </w:tc>
        <w:tc>
          <w:tcPr>
            <w:tcW w:w="3119" w:type="dxa"/>
            <w:tcBorders>
              <w:top w:val="single" w:sz="4" w:space="0" w:color="auto"/>
              <w:left w:val="nil"/>
              <w:bottom w:val="single" w:sz="4" w:space="0" w:color="FFFFFF" w:themeColor="background1"/>
              <w:right w:val="nil"/>
            </w:tcBorders>
            <w:shd w:val="clear" w:color="auto" w:fill="C6D9F1"/>
          </w:tcPr>
          <w:p w:rsidR="00A16258" w:rsidRPr="00E07B1B" w:rsidRDefault="00A16258" w:rsidP="00A16258">
            <w:pPr>
              <w:pStyle w:val="TableText"/>
              <w:jc w:val="center"/>
            </w:pPr>
            <w:r w:rsidRPr="00E07B1B">
              <w:t>CONDITIONAL</w:t>
            </w:r>
          </w:p>
        </w:tc>
      </w:tr>
      <w:tr w:rsidR="00A16258" w:rsidRPr="00E07B1B" w:rsidTr="00A16258">
        <w:trPr>
          <w:cantSplit/>
        </w:trPr>
        <w:tc>
          <w:tcPr>
            <w:tcW w:w="6237" w:type="dxa"/>
            <w:tcBorders>
              <w:top w:val="single" w:sz="4" w:space="0" w:color="FFFFFF" w:themeColor="background1"/>
              <w:left w:val="nil"/>
              <w:bottom w:val="single" w:sz="4" w:space="0" w:color="FFFFFF" w:themeColor="background1"/>
              <w:right w:val="nil"/>
            </w:tcBorders>
            <w:shd w:val="clear" w:color="auto" w:fill="C6D9F1"/>
          </w:tcPr>
          <w:p w:rsidR="00A16258" w:rsidRPr="00E07B1B" w:rsidRDefault="00A16258" w:rsidP="00A16258">
            <w:pPr>
              <w:pStyle w:val="TableText"/>
              <w:ind w:left="425" w:right="142" w:hanging="425"/>
            </w:pPr>
            <w:r w:rsidRPr="00E07B1B">
              <w:t>32</w:t>
            </w:r>
            <w:r>
              <w:tab/>
            </w:r>
            <w:r w:rsidRPr="00E07B1B">
              <w:t xml:space="preserve">Remind all women with gestational diabetes and their primary care provider (at the time of hospital discharge) of the need to participate in screening at </w:t>
            </w:r>
            <w:r>
              <w:t>three</w:t>
            </w:r>
            <w:r w:rsidRPr="00E07B1B">
              <w:t xml:space="preserve"> months after birth</w:t>
            </w:r>
            <w:r>
              <w:t xml:space="preserve"> and annually thereafter.</w:t>
            </w:r>
          </w:p>
        </w:tc>
        <w:tc>
          <w:tcPr>
            <w:tcW w:w="3119" w:type="dxa"/>
            <w:tcBorders>
              <w:top w:val="single" w:sz="4" w:space="0" w:color="FFFFFF" w:themeColor="background1"/>
              <w:left w:val="nil"/>
              <w:bottom w:val="single" w:sz="4" w:space="0" w:color="FFFFFF" w:themeColor="background1"/>
              <w:right w:val="nil"/>
            </w:tcBorders>
            <w:shd w:val="clear" w:color="auto" w:fill="C6D9F1"/>
          </w:tcPr>
          <w:p w:rsidR="00A16258" w:rsidRPr="00E07B1B" w:rsidRDefault="00A16258" w:rsidP="00A16258">
            <w:pPr>
              <w:pStyle w:val="TableText"/>
              <w:jc w:val="center"/>
            </w:pPr>
            <w:r w:rsidRPr="00E07B1B">
              <w:t>CONDITIONAL</w:t>
            </w:r>
          </w:p>
        </w:tc>
      </w:tr>
      <w:tr w:rsidR="00A16258" w:rsidRPr="00E07B1B" w:rsidTr="00A16258">
        <w:trPr>
          <w:cantSplit/>
        </w:trPr>
        <w:tc>
          <w:tcPr>
            <w:tcW w:w="6237" w:type="dxa"/>
            <w:tcBorders>
              <w:top w:val="single" w:sz="4" w:space="0" w:color="FFFFFF" w:themeColor="background1"/>
              <w:left w:val="nil"/>
              <w:bottom w:val="single" w:sz="4" w:space="0" w:color="FFFFFF" w:themeColor="background1"/>
              <w:right w:val="nil"/>
            </w:tcBorders>
            <w:shd w:val="clear" w:color="auto" w:fill="DBE5F1"/>
          </w:tcPr>
          <w:p w:rsidR="00A16258" w:rsidRDefault="00A16258" w:rsidP="00A16258">
            <w:pPr>
              <w:pStyle w:val="TableText"/>
              <w:ind w:left="425" w:right="142" w:hanging="425"/>
            </w:pPr>
            <w:r w:rsidRPr="00E07B1B">
              <w:t>33</w:t>
            </w:r>
            <w:r>
              <w:tab/>
            </w:r>
            <w:r w:rsidRPr="00E07B1B">
              <w:t xml:space="preserve">The primary care provider </w:t>
            </w:r>
            <w:r>
              <w:t xml:space="preserve">of women with gestational diabetes </w:t>
            </w:r>
            <w:r w:rsidRPr="00E07B1B">
              <w:t xml:space="preserve">should offer screening for type 2 diabetes at </w:t>
            </w:r>
            <w:r>
              <w:t>three</w:t>
            </w:r>
            <w:r w:rsidRPr="00E07B1B">
              <w:t xml:space="preserve"> months postpartum using HbA1c</w:t>
            </w:r>
            <w:r>
              <w:t>. If the value is</w:t>
            </w:r>
            <w:r w:rsidRPr="00E07B1B">
              <w:t>:</w:t>
            </w:r>
          </w:p>
          <w:p w:rsidR="00A16258" w:rsidRDefault="00A16258" w:rsidP="00A16258">
            <w:pPr>
              <w:pStyle w:val="TableBullet"/>
              <w:ind w:left="709" w:right="142"/>
            </w:pPr>
            <w:r w:rsidRPr="00E07B1B">
              <w:t>≤ 40 mmol/mol</w:t>
            </w:r>
            <w:r>
              <w:t>,</w:t>
            </w:r>
            <w:r w:rsidRPr="00E07B1B">
              <w:t xml:space="preserve"> the result is normal. Repeat the test in one year</w:t>
            </w:r>
          </w:p>
          <w:p w:rsidR="00A16258" w:rsidRPr="00E07B1B" w:rsidRDefault="00A16258" w:rsidP="00A16258">
            <w:pPr>
              <w:pStyle w:val="TableBullet"/>
              <w:ind w:left="709" w:right="142"/>
            </w:pPr>
            <w:r w:rsidRPr="00E07B1B">
              <w:t>41</w:t>
            </w:r>
            <w:r>
              <w:t>–</w:t>
            </w:r>
            <w:r w:rsidRPr="00E07B1B">
              <w:t>49 mmol/mol (prediabetes or impaired fasting glucose)</w:t>
            </w:r>
            <w:r>
              <w:t>, a</w:t>
            </w:r>
            <w:r w:rsidRPr="00E07B1B">
              <w:t>dvise on diet and lifestyle modification. If</w:t>
            </w:r>
            <w:r>
              <w:t xml:space="preserve"> the woman is</w:t>
            </w:r>
            <w:r w:rsidRPr="00E07B1B">
              <w:t xml:space="preserve"> over 35 years</w:t>
            </w:r>
            <w:r>
              <w:t>,</w:t>
            </w:r>
            <w:r w:rsidRPr="00E07B1B">
              <w:t xml:space="preserve"> a full cardiovascular risk assessment and appropriate management </w:t>
            </w:r>
            <w:r>
              <w:t>are</w:t>
            </w:r>
            <w:r w:rsidRPr="00E07B1B">
              <w:t xml:space="preserve"> indicated. Repeat test after </w:t>
            </w:r>
            <w:r>
              <w:t>six</w:t>
            </w:r>
            <w:r w:rsidRPr="00E07B1B">
              <w:t xml:space="preserve"> months</w:t>
            </w:r>
          </w:p>
          <w:p w:rsidR="00A16258" w:rsidRPr="00877D81" w:rsidRDefault="00A16258" w:rsidP="00A16258">
            <w:pPr>
              <w:pStyle w:val="TableBullet"/>
              <w:ind w:left="709" w:right="142"/>
            </w:pPr>
            <w:r w:rsidRPr="00E07B1B">
              <w:t>≥</w:t>
            </w:r>
            <w:r>
              <w:t xml:space="preserve"> </w:t>
            </w:r>
            <w:r w:rsidRPr="00E07B1B">
              <w:t xml:space="preserve">50 mmol/mol and symptomatic </w:t>
            </w:r>
            <w:r>
              <w:t>‘</w:t>
            </w:r>
            <w:r w:rsidRPr="00E07B1B">
              <w:t>diabetes</w:t>
            </w:r>
            <w:r>
              <w:t>’,</w:t>
            </w:r>
            <w:r w:rsidRPr="00E07B1B">
              <w:t xml:space="preserve"> </w:t>
            </w:r>
            <w:r>
              <w:t>r</w:t>
            </w:r>
            <w:r w:rsidRPr="00E07B1B">
              <w:t>efer to medical specialist</w:t>
            </w:r>
          </w:p>
          <w:p w:rsidR="00A16258" w:rsidRPr="00E07B1B" w:rsidRDefault="00A16258" w:rsidP="00A16258">
            <w:pPr>
              <w:pStyle w:val="TableBullet"/>
              <w:ind w:left="709" w:right="142"/>
            </w:pPr>
            <w:r w:rsidRPr="00E07B1B">
              <w:t>≥</w:t>
            </w:r>
            <w:r>
              <w:t xml:space="preserve"> </w:t>
            </w:r>
            <w:r w:rsidRPr="00E07B1B">
              <w:t>50 mmol/mol and asymptomatic</w:t>
            </w:r>
            <w:r>
              <w:t>,</w:t>
            </w:r>
            <w:r w:rsidRPr="00E07B1B">
              <w:t xml:space="preserve"> repeat HbA1c or fasting plasma glucose</w:t>
            </w:r>
            <w:r>
              <w:t>.*</w:t>
            </w:r>
          </w:p>
        </w:tc>
        <w:tc>
          <w:tcPr>
            <w:tcW w:w="3119" w:type="dxa"/>
            <w:tcBorders>
              <w:top w:val="single" w:sz="4" w:space="0" w:color="FFFFFF" w:themeColor="background1"/>
              <w:left w:val="nil"/>
              <w:bottom w:val="single" w:sz="4" w:space="0" w:color="FFFFFF" w:themeColor="background1"/>
              <w:right w:val="nil"/>
            </w:tcBorders>
            <w:shd w:val="clear" w:color="auto" w:fill="DBE5F1"/>
          </w:tcPr>
          <w:p w:rsidR="00A16258" w:rsidRPr="00E07B1B" w:rsidRDefault="00A16258" w:rsidP="00A16258">
            <w:pPr>
              <w:pStyle w:val="TableText"/>
              <w:jc w:val="center"/>
            </w:pPr>
            <w:r w:rsidRPr="00E07B1B">
              <w:t>GPP</w:t>
            </w:r>
          </w:p>
        </w:tc>
      </w:tr>
      <w:tr w:rsidR="00A16258" w:rsidRPr="00E07B1B" w:rsidTr="00A16258">
        <w:trPr>
          <w:cantSplit/>
        </w:trPr>
        <w:tc>
          <w:tcPr>
            <w:tcW w:w="6237" w:type="dxa"/>
            <w:tcBorders>
              <w:top w:val="single" w:sz="4" w:space="0" w:color="FFFFFF" w:themeColor="background1"/>
              <w:left w:val="nil"/>
              <w:right w:val="nil"/>
            </w:tcBorders>
            <w:shd w:val="clear" w:color="auto" w:fill="DBE5F1"/>
          </w:tcPr>
          <w:p w:rsidR="00A16258" w:rsidRPr="00E07B1B" w:rsidRDefault="00A16258" w:rsidP="00A16258">
            <w:pPr>
              <w:pStyle w:val="TableText"/>
              <w:ind w:left="425" w:right="142" w:hanging="425"/>
            </w:pPr>
            <w:r w:rsidRPr="00E07B1B">
              <w:t>34</w:t>
            </w:r>
            <w:r>
              <w:tab/>
            </w:r>
            <w:r w:rsidRPr="00E07B1B">
              <w:t xml:space="preserve">The </w:t>
            </w:r>
            <w:r>
              <w:t>primary health organisation</w:t>
            </w:r>
            <w:r w:rsidRPr="00E07B1B">
              <w:t xml:space="preserve"> performance programme should be used to encourage primary care practitioners to record postpartum gestational diabetes screening</w:t>
            </w:r>
            <w:r>
              <w:t>.</w:t>
            </w:r>
          </w:p>
        </w:tc>
        <w:tc>
          <w:tcPr>
            <w:tcW w:w="3119" w:type="dxa"/>
            <w:tcBorders>
              <w:top w:val="single" w:sz="4" w:space="0" w:color="FFFFFF" w:themeColor="background1"/>
              <w:left w:val="nil"/>
              <w:right w:val="nil"/>
            </w:tcBorders>
            <w:shd w:val="clear" w:color="auto" w:fill="DBE5F1"/>
          </w:tcPr>
          <w:p w:rsidR="00A16258" w:rsidRPr="00E07B1B" w:rsidRDefault="00A16258" w:rsidP="00A16258">
            <w:pPr>
              <w:pStyle w:val="TableText"/>
              <w:jc w:val="center"/>
            </w:pPr>
            <w:r w:rsidRPr="00E07B1B">
              <w:t>GPP</w:t>
            </w:r>
          </w:p>
        </w:tc>
      </w:tr>
    </w:tbl>
    <w:p w:rsidR="0025490C" w:rsidRDefault="0025490C" w:rsidP="00A16258">
      <w:pPr>
        <w:pStyle w:val="Note"/>
      </w:pPr>
      <w:r>
        <w:t xml:space="preserve">Note: </w:t>
      </w:r>
      <w:r w:rsidRPr="0067150A">
        <w:t>*</w:t>
      </w:r>
      <w:r>
        <w:t xml:space="preserve"> </w:t>
      </w:r>
      <w:r w:rsidRPr="0067150A">
        <w:t xml:space="preserve">Two results above the diagnostic cut-offs are required for diagnosis of diabetes if </w:t>
      </w:r>
      <w:r>
        <w:t xml:space="preserve">the woman is </w:t>
      </w:r>
      <w:r w:rsidRPr="0067150A">
        <w:t>asymptomatic</w:t>
      </w:r>
      <w:r>
        <w:t>.</w:t>
      </w:r>
    </w:p>
    <w:p w:rsidR="00A16258" w:rsidRPr="00A16258" w:rsidRDefault="00A16258" w:rsidP="00A16258"/>
    <w:p w:rsidR="0025490C" w:rsidRPr="00E07B1B" w:rsidRDefault="0025490C" w:rsidP="000E1A04">
      <w:pPr>
        <w:pStyle w:val="Heading1"/>
      </w:pPr>
      <w:r w:rsidRPr="00E07B1B">
        <w:br w:type="page"/>
      </w:r>
      <w:bookmarkStart w:id="262" w:name="_Toc363207365"/>
      <w:bookmarkStart w:id="263" w:name="_Toc402873591"/>
      <w:bookmarkStart w:id="264" w:name="_Toc403469663"/>
      <w:r w:rsidRPr="00E07B1B">
        <w:t>Chapter 10</w:t>
      </w:r>
      <w:r>
        <w:t>:</w:t>
      </w:r>
      <w:r w:rsidRPr="00E07B1B">
        <w:t xml:space="preserve"> Type 2 diabetes in women diagnosed with gestational diabetes</w:t>
      </w:r>
      <w:bookmarkEnd w:id="262"/>
      <w:bookmarkEnd w:id="263"/>
      <w:bookmarkEnd w:id="264"/>
    </w:p>
    <w:p w:rsidR="0025490C" w:rsidRPr="00E07B1B" w:rsidRDefault="0025490C" w:rsidP="000E1A04">
      <w:pPr>
        <w:pStyle w:val="Heading2"/>
      </w:pPr>
      <w:bookmarkStart w:id="265" w:name="_Toc363207366"/>
      <w:bookmarkStart w:id="266" w:name="_Toc402873592"/>
      <w:bookmarkStart w:id="267" w:name="_Toc403469664"/>
      <w:r w:rsidRPr="00E07B1B">
        <w:t>10.1</w:t>
      </w:r>
      <w:r w:rsidR="000E1A04">
        <w:tab/>
      </w:r>
      <w:r w:rsidRPr="00E07B1B">
        <w:t>Background</w:t>
      </w:r>
      <w:bookmarkEnd w:id="265"/>
      <w:bookmarkEnd w:id="266"/>
      <w:bookmarkEnd w:id="267"/>
    </w:p>
    <w:p w:rsidR="0025490C" w:rsidRPr="00E07B1B" w:rsidRDefault="0025490C" w:rsidP="000E1A04">
      <w:r w:rsidRPr="00E07B1B">
        <w:t xml:space="preserve">There is an increased risk for women with a history of </w:t>
      </w:r>
      <w:r w:rsidRPr="00E07B1B">
        <w:rPr>
          <w:lang w:eastAsia="ja-JP"/>
        </w:rPr>
        <w:t>gestational diabetes</w:t>
      </w:r>
      <w:r w:rsidRPr="00E07B1B">
        <w:t xml:space="preserve"> to develop diabetes over time. Women with a history of </w:t>
      </w:r>
      <w:r w:rsidRPr="00E07B1B">
        <w:rPr>
          <w:lang w:eastAsia="ja-JP"/>
        </w:rPr>
        <w:t>gestational diabetes</w:t>
      </w:r>
      <w:r w:rsidRPr="00E07B1B">
        <w:t xml:space="preserve"> comprise an increasing proportion of the population. Identification of potentially modifiable risk factors that are indicative of significantly increased risk of developing type 2 diabetes may be useful in targeting prevention strategies.</w:t>
      </w:r>
    </w:p>
    <w:p w:rsidR="0025490C" w:rsidRPr="00E07B1B" w:rsidRDefault="0025490C" w:rsidP="000E1A04"/>
    <w:p w:rsidR="0025490C" w:rsidRPr="00E07B1B" w:rsidRDefault="0025490C" w:rsidP="000E1A04">
      <w:pPr>
        <w:pStyle w:val="Heading2"/>
      </w:pPr>
      <w:bookmarkStart w:id="268" w:name="_Toc363207367"/>
      <w:bookmarkStart w:id="269" w:name="_Toc402873593"/>
      <w:bookmarkStart w:id="270" w:name="_Toc403469665"/>
      <w:r w:rsidRPr="00E07B1B">
        <w:t>10.2</w:t>
      </w:r>
      <w:r w:rsidR="000E1A04">
        <w:tab/>
      </w:r>
      <w:r w:rsidRPr="00E07B1B">
        <w:t>Prevalence of type 2 diabetes in women diagnosed with gestational diabetes</w:t>
      </w:r>
      <w:bookmarkEnd w:id="268"/>
      <w:bookmarkEnd w:id="269"/>
      <w:bookmarkEnd w:id="270"/>
    </w:p>
    <w:p w:rsidR="0025490C" w:rsidRPr="00E07B1B" w:rsidRDefault="0025490C" w:rsidP="000E1A04">
      <w:r w:rsidRPr="00E07B1B">
        <w:t>Evidence is based on systematic reviews within two clinical guidelines and 20 additional observational studies. Refer to Appendix O, Table 46.</w:t>
      </w:r>
    </w:p>
    <w:p w:rsidR="0025490C" w:rsidRPr="00E07B1B" w:rsidRDefault="0025490C" w:rsidP="000E1A04"/>
    <w:p w:rsidR="0025490C" w:rsidRPr="00E07B1B" w:rsidRDefault="0025490C" w:rsidP="000E1A04">
      <w:r w:rsidRPr="00E07B1B">
        <w:t xml:space="preserve">The risk of recurrence of gestational diabetes in subsequent pregnancies ranges between 30% </w:t>
      </w:r>
      <w:r>
        <w:t>and</w:t>
      </w:r>
      <w:r w:rsidRPr="00E07B1B">
        <w:t xml:space="preserve"> 84% following the index pregnancy (75% for women who were treated with insulin). The risk of developing type 2 diabetes ranges from 2.6</w:t>
      </w:r>
      <w:r>
        <w:t>–</w:t>
      </w:r>
      <w:r w:rsidRPr="00E07B1B">
        <w:t xml:space="preserve">70% over time with the greatest risk occurring within </w:t>
      </w:r>
      <w:r>
        <w:t>five</w:t>
      </w:r>
      <w:r w:rsidRPr="00E07B1B">
        <w:t xml:space="preserve"> years of the index pregnancy (</w:t>
      </w:r>
      <w:r>
        <w:t xml:space="preserve">NICE </w:t>
      </w:r>
      <w:r w:rsidRPr="00E07B1B">
        <w:t>2008).</w:t>
      </w:r>
    </w:p>
    <w:p w:rsidR="0025490C" w:rsidRPr="00E07B1B" w:rsidRDefault="0025490C" w:rsidP="000E1A04"/>
    <w:p w:rsidR="0025490C" w:rsidRPr="00E07B1B" w:rsidRDefault="0025490C" w:rsidP="000E1A04">
      <w:r w:rsidRPr="00E07B1B">
        <w:t>One of the strongest predictors of type 2 diabetes postpartum was elevated intrapartum fasting plasma glucose levels. Lean women (</w:t>
      </w:r>
      <w:r>
        <w:t>under</w:t>
      </w:r>
      <w:r w:rsidRPr="00E07B1B">
        <w:t xml:space="preserve"> 30 years of age) who received insulin therapy during pregnancy were more likely to develop type 1 diabetes postpartum (Canadian Diabetes Association 2008).</w:t>
      </w:r>
    </w:p>
    <w:p w:rsidR="0025490C" w:rsidRPr="00E07B1B" w:rsidRDefault="0025490C" w:rsidP="000E1A04"/>
    <w:p w:rsidR="0025490C" w:rsidRPr="00E07B1B" w:rsidRDefault="0025490C" w:rsidP="000E1A04">
      <w:pPr>
        <w:pStyle w:val="Heading2"/>
      </w:pPr>
      <w:bookmarkStart w:id="271" w:name="_Toc363207368"/>
      <w:bookmarkStart w:id="272" w:name="_Toc402873594"/>
      <w:bookmarkStart w:id="273" w:name="_Toc403469666"/>
      <w:r w:rsidRPr="00E07B1B">
        <w:t>10.3</w:t>
      </w:r>
      <w:r w:rsidR="000E1A04">
        <w:tab/>
      </w:r>
      <w:r w:rsidRPr="00E07B1B">
        <w:t>Prevalence of type 2 diabetes in early postpartum period (5</w:t>
      </w:r>
      <w:r>
        <w:t>–</w:t>
      </w:r>
      <w:r w:rsidRPr="00E07B1B">
        <w:t>16 weeks)</w:t>
      </w:r>
      <w:bookmarkEnd w:id="271"/>
      <w:bookmarkEnd w:id="272"/>
      <w:bookmarkEnd w:id="273"/>
    </w:p>
    <w:p w:rsidR="0068074A" w:rsidRDefault="0025490C" w:rsidP="000E1A04">
      <w:r w:rsidRPr="00E07B1B">
        <w:t xml:space="preserve">Abnormal glucose tolerance in the early postpartum period (up to four months after delivery) was reported in six observational studies </w:t>
      </w:r>
      <w:r>
        <w:t>(r</w:t>
      </w:r>
      <w:r w:rsidRPr="00E07B1B">
        <w:t>efer to Appendix O, Table 46</w:t>
      </w:r>
      <w:r>
        <w:t>)</w:t>
      </w:r>
      <w:r w:rsidRPr="00E07B1B">
        <w:t xml:space="preserve">. The incidence of diabetes ranged from 1.3% (Ogonowski </w:t>
      </w:r>
      <w:r>
        <w:t>and Miazgowski</w:t>
      </w:r>
      <w:r w:rsidRPr="00E07B1B">
        <w:t xml:space="preserve"> 2009) to 18.8% (Rivas</w:t>
      </w:r>
      <w:r>
        <w:t xml:space="preserve"> </w:t>
      </w:r>
      <w:r w:rsidR="00D562F2">
        <w:t>et al</w:t>
      </w:r>
      <w:r w:rsidRPr="00E07B1B">
        <w:t xml:space="preserve"> 2007). The percentage of women with impaired fasting glucose or impaired glucose tolerance ranged from 2.2% (Ogonowski </w:t>
      </w:r>
      <w:r w:rsidR="00D562F2">
        <w:t>et al</w:t>
      </w:r>
      <w:r w:rsidRPr="00E07B1B">
        <w:t xml:space="preserve"> 2009) to 44.8% (Kim </w:t>
      </w:r>
      <w:r w:rsidR="00D562F2">
        <w:t>et al</w:t>
      </w:r>
      <w:r w:rsidRPr="00E07B1B">
        <w:t xml:space="preserve"> 2011). The studies vary in the diagnostic criteria used, populations and the percentage of women that returned for postpartum screening.</w:t>
      </w:r>
    </w:p>
    <w:p w:rsidR="0025490C" w:rsidRPr="00E07B1B" w:rsidRDefault="0025490C" w:rsidP="000E1A04"/>
    <w:p w:rsidR="0025490C" w:rsidRPr="00E07B1B" w:rsidRDefault="0025490C" w:rsidP="000E1A04">
      <w:pPr>
        <w:pStyle w:val="Heading2"/>
      </w:pPr>
      <w:bookmarkStart w:id="274" w:name="_Toc363207369"/>
      <w:bookmarkStart w:id="275" w:name="_Toc402873595"/>
      <w:bookmarkStart w:id="276" w:name="_Toc403469667"/>
      <w:r w:rsidRPr="00E07B1B">
        <w:t>10.4</w:t>
      </w:r>
      <w:r w:rsidR="000E1A04">
        <w:tab/>
      </w:r>
      <w:r w:rsidRPr="00E07B1B">
        <w:t>Prevalence of type 2 diabetes (</w:t>
      </w:r>
      <w:r>
        <w:t>six</w:t>
      </w:r>
      <w:r w:rsidR="000E1A04">
        <w:t> </w:t>
      </w:r>
      <w:r w:rsidRPr="00E07B1B">
        <w:t xml:space="preserve">months to </w:t>
      </w:r>
      <w:r>
        <w:t>five</w:t>
      </w:r>
      <w:r w:rsidRPr="00E07B1B">
        <w:t xml:space="preserve"> years)</w:t>
      </w:r>
      <w:bookmarkEnd w:id="274"/>
      <w:bookmarkEnd w:id="275"/>
      <w:bookmarkEnd w:id="276"/>
    </w:p>
    <w:p w:rsidR="0025490C" w:rsidRDefault="0025490C" w:rsidP="000E1A04">
      <w:r w:rsidRPr="00E07B1B">
        <w:t xml:space="preserve">Abnormal glucose tolerance from six months to five years after delivery was reported in six observational studies (Appendix O, Table 46). The incidence of type 2 diabetes ranged from 1.1% (Lawrence </w:t>
      </w:r>
      <w:r w:rsidR="00D562F2">
        <w:t>et al</w:t>
      </w:r>
      <w:r w:rsidRPr="00E07B1B">
        <w:t xml:space="preserve"> 2010) to 37% (Oldfield </w:t>
      </w:r>
      <w:r w:rsidR="00D562F2">
        <w:t>et al</w:t>
      </w:r>
      <w:r w:rsidRPr="00E07B1B">
        <w:t xml:space="preserve"> 2007)</w:t>
      </w:r>
      <w:r>
        <w:t>;</w:t>
      </w:r>
      <w:r w:rsidRPr="00E07B1B">
        <w:t xml:space="preserve"> the incidence of impaired glucose tolerance or impaired fasting glucose ranged from 16.3% (Lawrence </w:t>
      </w:r>
      <w:r w:rsidR="00D562F2">
        <w:t>et al</w:t>
      </w:r>
      <w:r w:rsidRPr="00E07B1B">
        <w:t xml:space="preserve"> 2010) to 22% (Madarasz </w:t>
      </w:r>
      <w:r w:rsidR="00D562F2">
        <w:t>et al</w:t>
      </w:r>
      <w:r w:rsidRPr="00E07B1B">
        <w:t xml:space="preserve"> 2009). There is variation in diagnostic criteria, the populations included and the percentage of women that returned for postpartum screening.</w:t>
      </w:r>
    </w:p>
    <w:p w:rsidR="0025490C" w:rsidRPr="00E07B1B" w:rsidRDefault="0025490C" w:rsidP="000E1A04"/>
    <w:p w:rsidR="0025490C" w:rsidRPr="00E07B1B" w:rsidRDefault="0025490C" w:rsidP="000E1A04">
      <w:pPr>
        <w:pStyle w:val="Heading2"/>
      </w:pPr>
      <w:bookmarkStart w:id="277" w:name="_Toc363207370"/>
      <w:bookmarkStart w:id="278" w:name="_Toc402873596"/>
      <w:bookmarkStart w:id="279" w:name="_Toc403469668"/>
      <w:r w:rsidRPr="00E07B1B">
        <w:t>10.5</w:t>
      </w:r>
      <w:r w:rsidR="000E1A04">
        <w:tab/>
      </w:r>
      <w:r w:rsidRPr="00E07B1B">
        <w:t>Prevalence of type 2 diabetes after five or more years</w:t>
      </w:r>
      <w:r w:rsidR="0068074A">
        <w:t>’</w:t>
      </w:r>
      <w:r w:rsidRPr="00E07B1B">
        <w:t xml:space="preserve"> follow-up</w:t>
      </w:r>
      <w:bookmarkEnd w:id="277"/>
      <w:bookmarkEnd w:id="278"/>
      <w:bookmarkEnd w:id="279"/>
    </w:p>
    <w:p w:rsidR="0025490C" w:rsidRDefault="0025490C" w:rsidP="00624357">
      <w:r w:rsidRPr="00E07B1B">
        <w:t xml:space="preserve">Abnormal glucose tolerance of any type after five or more years of follow-up was reported in seven observational studies (Appendix O, Table 46). The incidence of type 2 diabetes ranged from 1.3% (Pirkola </w:t>
      </w:r>
      <w:r w:rsidR="00D562F2">
        <w:t>et al</w:t>
      </w:r>
      <w:r w:rsidRPr="00E07B1B">
        <w:t xml:space="preserve"> 2010) to 33% (in a migrant population) (Girgis</w:t>
      </w:r>
      <w:r>
        <w:t xml:space="preserve"> </w:t>
      </w:r>
      <w:r w:rsidR="00D562F2">
        <w:t>et al</w:t>
      </w:r>
      <w:r w:rsidRPr="00E07B1B">
        <w:t xml:space="preserve"> 2012). The incidence of impaired fasting glucose or impaired glucose tolerance ranged from 15% (in a migrant population) (Girgis</w:t>
      </w:r>
      <w:r>
        <w:t xml:space="preserve"> </w:t>
      </w:r>
      <w:r w:rsidR="00D562F2">
        <w:t>et al</w:t>
      </w:r>
      <w:r w:rsidRPr="00E07B1B">
        <w:t xml:space="preserve"> 2012) to 48.1% (Malinowski-Polubiec </w:t>
      </w:r>
      <w:r w:rsidR="00D562F2">
        <w:t>et al</w:t>
      </w:r>
      <w:r w:rsidRPr="00E07B1B">
        <w:t xml:space="preserve"> 2012).</w:t>
      </w:r>
    </w:p>
    <w:p w:rsidR="0025490C" w:rsidRPr="00E07B1B" w:rsidRDefault="0025490C" w:rsidP="00624357"/>
    <w:p w:rsidR="0068074A" w:rsidRDefault="0025490C" w:rsidP="00624357">
      <w:r w:rsidRPr="00E07B1B">
        <w:t xml:space="preserve">Two studies reported an increased risk of developing diabetes even in women who had abnormal glucose tolerance during pregnancy but did not meet the diagnostic criteria for gestational diabetes (Carr </w:t>
      </w:r>
      <w:r w:rsidR="00D562F2">
        <w:t>et al</w:t>
      </w:r>
      <w:r w:rsidRPr="00E07B1B">
        <w:t xml:space="preserve"> 2008</w:t>
      </w:r>
      <w:r>
        <w:t xml:space="preserve">; </w:t>
      </w:r>
      <w:r w:rsidRPr="00E07B1B">
        <w:t xml:space="preserve">Retnakaran </w:t>
      </w:r>
      <w:r w:rsidR="00D562F2">
        <w:t>et al</w:t>
      </w:r>
      <w:r w:rsidRPr="00E07B1B">
        <w:t xml:space="preserve"> 2010).</w:t>
      </w:r>
    </w:p>
    <w:p w:rsidR="0025490C" w:rsidRPr="00E07B1B" w:rsidRDefault="0025490C" w:rsidP="00624357"/>
    <w:p w:rsidR="0068074A" w:rsidRDefault="0025490C" w:rsidP="00624357">
      <w:pPr>
        <w:pStyle w:val="Heading2"/>
      </w:pPr>
      <w:bookmarkStart w:id="280" w:name="_Toc363207371"/>
      <w:bookmarkStart w:id="281" w:name="_Toc402873597"/>
      <w:bookmarkStart w:id="282" w:name="_Toc403469669"/>
      <w:r w:rsidRPr="00E07B1B">
        <w:t>10.6</w:t>
      </w:r>
      <w:r w:rsidR="00624357">
        <w:tab/>
      </w:r>
      <w:r w:rsidRPr="00E07B1B">
        <w:t>Gestational diabetes as a risk factor for developing type 2 diabetes</w:t>
      </w:r>
      <w:bookmarkEnd w:id="280"/>
      <w:bookmarkEnd w:id="281"/>
      <w:bookmarkEnd w:id="282"/>
    </w:p>
    <w:p w:rsidR="0025490C" w:rsidRPr="00E07B1B" w:rsidRDefault="0025490C" w:rsidP="00624357">
      <w:r w:rsidRPr="00E07B1B">
        <w:t>The evidence is based on three systematic reviews (Canadian Diabetes Association</w:t>
      </w:r>
      <w:r>
        <w:t xml:space="preserve"> </w:t>
      </w:r>
      <w:r w:rsidRPr="00E07B1B">
        <w:t xml:space="preserve">2008; </w:t>
      </w:r>
      <w:r>
        <w:t xml:space="preserve">NICE </w:t>
      </w:r>
      <w:r w:rsidRPr="00E07B1B">
        <w:t xml:space="preserve">2008; Bellamy 2009) and 21 observational studies (Oldfield </w:t>
      </w:r>
      <w:r w:rsidR="00D562F2">
        <w:t>et al</w:t>
      </w:r>
      <w:r w:rsidRPr="00E07B1B">
        <w:t xml:space="preserve"> 2007; Rivas</w:t>
      </w:r>
      <w:r>
        <w:t xml:space="preserve"> </w:t>
      </w:r>
      <w:r w:rsidR="00D562F2">
        <w:t>et al</w:t>
      </w:r>
      <w:r w:rsidRPr="00E07B1B">
        <w:t xml:space="preserve"> 2007; Carr </w:t>
      </w:r>
      <w:r w:rsidR="00D562F2">
        <w:t>et al</w:t>
      </w:r>
      <w:r w:rsidRPr="00E07B1B">
        <w:t xml:space="preserve"> 2008; Hossein-Nezhad </w:t>
      </w:r>
      <w:r w:rsidR="00D562F2">
        <w:t>et al</w:t>
      </w:r>
      <w:r w:rsidRPr="00E07B1B">
        <w:t xml:space="preserve"> 2009; Madarasz </w:t>
      </w:r>
      <w:r w:rsidR="00D562F2">
        <w:t>et al</w:t>
      </w:r>
      <w:r w:rsidRPr="00E07B1B">
        <w:t xml:space="preserve"> 2009; Ogonowski </w:t>
      </w:r>
      <w:r w:rsidR="00624357">
        <w:t>et l</w:t>
      </w:r>
      <w:r w:rsidRPr="00E07B1B">
        <w:t xml:space="preserve"> 2009; Schaefer-Graf </w:t>
      </w:r>
      <w:r w:rsidR="00D562F2">
        <w:t>et al</w:t>
      </w:r>
      <w:r w:rsidRPr="00E07B1B">
        <w:t xml:space="preserve"> 2009; Chodick </w:t>
      </w:r>
      <w:r w:rsidR="00D562F2">
        <w:t>et al</w:t>
      </w:r>
      <w:r w:rsidRPr="00E07B1B">
        <w:t xml:space="preserve"> 2010; Ekelund </w:t>
      </w:r>
      <w:r w:rsidR="00D562F2">
        <w:t>et al</w:t>
      </w:r>
      <w:r w:rsidRPr="00E07B1B">
        <w:t xml:space="preserve"> 2010; Lawrence </w:t>
      </w:r>
      <w:r w:rsidR="00D562F2">
        <w:t>et al</w:t>
      </w:r>
      <w:r w:rsidRPr="00E07B1B">
        <w:t xml:space="preserve"> 2010; Mc</w:t>
      </w:r>
      <w:r>
        <w:t>Cl</w:t>
      </w:r>
      <w:r w:rsidRPr="00E07B1B">
        <w:t xml:space="preserve">ean </w:t>
      </w:r>
      <w:r w:rsidR="00D562F2">
        <w:t>et al</w:t>
      </w:r>
      <w:r w:rsidRPr="00E07B1B">
        <w:t xml:space="preserve"> 2010; Pirkola </w:t>
      </w:r>
      <w:r w:rsidR="00D562F2">
        <w:t>et al</w:t>
      </w:r>
      <w:r w:rsidRPr="00E07B1B">
        <w:t xml:space="preserve"> 2010; Retnakaran </w:t>
      </w:r>
      <w:r w:rsidR="00D562F2">
        <w:t>et al</w:t>
      </w:r>
      <w:r w:rsidRPr="00E07B1B">
        <w:t xml:space="preserve"> 2010</w:t>
      </w:r>
      <w:r>
        <w:t>, 2011</w:t>
      </w:r>
      <w:r w:rsidRPr="00E07B1B">
        <w:t xml:space="preserve">; Kim </w:t>
      </w:r>
      <w:r w:rsidR="00D562F2">
        <w:t>et al</w:t>
      </w:r>
      <w:r w:rsidRPr="00E07B1B">
        <w:t xml:space="preserve"> 2011; Lee </w:t>
      </w:r>
      <w:r w:rsidR="00D562F2">
        <w:t>et al</w:t>
      </w:r>
      <w:r w:rsidRPr="00E07B1B">
        <w:t xml:space="preserve"> 2011; Girgis</w:t>
      </w:r>
      <w:r>
        <w:t xml:space="preserve"> </w:t>
      </w:r>
      <w:r w:rsidR="00D562F2">
        <w:t>et al</w:t>
      </w:r>
      <w:r w:rsidRPr="00E07B1B">
        <w:t xml:space="preserve"> 2012; Malinowski-Polubiec </w:t>
      </w:r>
      <w:r w:rsidR="00D562F2">
        <w:t>et al</w:t>
      </w:r>
      <w:r w:rsidRPr="00E07B1B">
        <w:t xml:space="preserve"> 2012; Mukerji</w:t>
      </w:r>
      <w:r>
        <w:t xml:space="preserve"> </w:t>
      </w:r>
      <w:r w:rsidR="00D562F2">
        <w:t>et al</w:t>
      </w:r>
      <w:r w:rsidRPr="00E07B1B">
        <w:t xml:space="preserve"> 2012; Tehrani </w:t>
      </w:r>
      <w:r w:rsidR="00D562F2">
        <w:t>et al</w:t>
      </w:r>
      <w:r w:rsidRPr="00E07B1B">
        <w:t xml:space="preserve"> 2012</w:t>
      </w:r>
      <w:r>
        <w:t>;</w:t>
      </w:r>
      <w:r w:rsidRPr="006D1CE6">
        <w:t xml:space="preserve"> </w:t>
      </w:r>
      <w:r w:rsidRPr="00E07B1B">
        <w:t xml:space="preserve">Wang </w:t>
      </w:r>
      <w:r w:rsidR="00D562F2">
        <w:t>et al</w:t>
      </w:r>
      <w:r w:rsidRPr="00E07B1B">
        <w:t xml:space="preserve"> 201</w:t>
      </w:r>
      <w:r>
        <w:t>3</w:t>
      </w:r>
      <w:r w:rsidR="00624357">
        <w:t>)</w:t>
      </w:r>
      <w:r w:rsidRPr="00E07B1B">
        <w:t>.</w:t>
      </w:r>
    </w:p>
    <w:p w:rsidR="0025490C" w:rsidRPr="00E07B1B" w:rsidRDefault="0025490C" w:rsidP="00624357"/>
    <w:p w:rsidR="0068074A" w:rsidRDefault="0025490C" w:rsidP="00624357">
      <w:r w:rsidRPr="00E07B1B">
        <w:t>The risk estimate for developing type 2 diabetes in women with a history of gestational diabetes ranged from 1.16</w:t>
      </w:r>
      <w:r>
        <w:t>–</w:t>
      </w:r>
      <w:r w:rsidRPr="00E07B1B">
        <w:t xml:space="preserve">7.7 (Carr </w:t>
      </w:r>
      <w:r w:rsidR="00D562F2">
        <w:t>et al</w:t>
      </w:r>
      <w:r w:rsidRPr="00E07B1B">
        <w:t xml:space="preserve"> 2008; Bellamy </w:t>
      </w:r>
      <w:r w:rsidR="00D562F2">
        <w:t>et al</w:t>
      </w:r>
      <w:r w:rsidRPr="00E07B1B">
        <w:t xml:space="preserve"> 2009; Chodick </w:t>
      </w:r>
      <w:r w:rsidR="00D562F2">
        <w:t>et al</w:t>
      </w:r>
      <w:r w:rsidRPr="00E07B1B">
        <w:t xml:space="preserve"> 2010; Lee </w:t>
      </w:r>
      <w:r w:rsidR="00D562F2">
        <w:t>et al</w:t>
      </w:r>
      <w:r w:rsidRPr="00E07B1B">
        <w:t xml:space="preserve"> 2011; Retnakaran</w:t>
      </w:r>
      <w:r>
        <w:t xml:space="preserve"> </w:t>
      </w:r>
      <w:r w:rsidR="00D562F2">
        <w:t>et al</w:t>
      </w:r>
      <w:r w:rsidRPr="00E07B1B">
        <w:t xml:space="preserve"> 2011; Wang </w:t>
      </w:r>
      <w:r w:rsidR="00D562F2">
        <w:t>et al</w:t>
      </w:r>
      <w:r w:rsidRPr="00E07B1B">
        <w:t xml:space="preserve"> 201</w:t>
      </w:r>
      <w:r>
        <w:t>3</w:t>
      </w:r>
      <w:r w:rsidR="00624357">
        <w:t>)</w:t>
      </w:r>
      <w:r w:rsidRPr="00E07B1B">
        <w:t>.</w:t>
      </w:r>
    </w:p>
    <w:p w:rsidR="0025490C" w:rsidRPr="00E07B1B" w:rsidRDefault="0025490C" w:rsidP="00624357"/>
    <w:p w:rsidR="0025490C" w:rsidRPr="00E07B1B" w:rsidRDefault="0025490C" w:rsidP="00624357">
      <w:pPr>
        <w:pStyle w:val="Heading2"/>
      </w:pPr>
      <w:bookmarkStart w:id="283" w:name="_Toc363207372"/>
      <w:bookmarkStart w:id="284" w:name="_Toc402873598"/>
      <w:bookmarkStart w:id="285" w:name="_Toc403469670"/>
      <w:r w:rsidRPr="00E07B1B">
        <w:t>1</w:t>
      </w:r>
      <w:r>
        <w:t>0</w:t>
      </w:r>
      <w:r w:rsidRPr="00E07B1B">
        <w:t>.7</w:t>
      </w:r>
      <w:r w:rsidR="00624357">
        <w:tab/>
      </w:r>
      <w:r w:rsidRPr="00E07B1B">
        <w:t>Other risk factors associated with developing type 2 diabetes in women diagnosed with gestational diabetes</w:t>
      </w:r>
      <w:bookmarkEnd w:id="283"/>
      <w:bookmarkEnd w:id="284"/>
      <w:bookmarkEnd w:id="285"/>
    </w:p>
    <w:p w:rsidR="0025490C" w:rsidRDefault="0025490C" w:rsidP="00624357">
      <w:pPr>
        <w:keepNext/>
      </w:pPr>
      <w:r w:rsidRPr="00E07B1B">
        <w:t>The evidence is based on three systematic reviews (</w:t>
      </w:r>
      <w:r>
        <w:t>NICE</w:t>
      </w:r>
      <w:r w:rsidRPr="00E07B1B">
        <w:t xml:space="preserve"> 2008; Nicholson </w:t>
      </w:r>
      <w:r w:rsidR="00D562F2">
        <w:t>et al</w:t>
      </w:r>
      <w:r w:rsidRPr="00E07B1B">
        <w:t xml:space="preserve"> 2008; Golden </w:t>
      </w:r>
      <w:r w:rsidR="00D562F2">
        <w:t>et al</w:t>
      </w:r>
      <w:r w:rsidRPr="00E07B1B">
        <w:t xml:space="preserve"> 2009) and 20 additional observational studies (Appendix O, Table 47). Data are not pooled in a meta-analysis due to the high likelihood of heterogeneity from different populations and diagnostic thresholds.</w:t>
      </w:r>
    </w:p>
    <w:p w:rsidR="0025490C" w:rsidRPr="00E07B1B" w:rsidRDefault="0025490C" w:rsidP="00624357">
      <w:pPr>
        <w:keepNext/>
      </w:pPr>
    </w:p>
    <w:p w:rsidR="0025490C" w:rsidRPr="00E07B1B" w:rsidRDefault="0025490C" w:rsidP="00624357">
      <w:pPr>
        <w:rPr>
          <w:rFonts w:cs="Arial"/>
          <w:szCs w:val="24"/>
        </w:rPr>
      </w:pPr>
      <w:r w:rsidRPr="00E07B1B">
        <w:rPr>
          <w:rFonts w:cs="Arial"/>
          <w:szCs w:val="24"/>
        </w:rPr>
        <w:t xml:space="preserve">The limited evidence suggests </w:t>
      </w:r>
      <w:r w:rsidRPr="00E07B1B">
        <w:t xml:space="preserve">later development of type 2 diabetes in women diagnosed with </w:t>
      </w:r>
      <w:r w:rsidRPr="00E07B1B">
        <w:rPr>
          <w:lang w:eastAsia="ja-JP"/>
        </w:rPr>
        <w:t>gestational diabetes</w:t>
      </w:r>
      <w:r w:rsidRPr="00E07B1B">
        <w:rPr>
          <w:rFonts w:cs="Arial"/>
          <w:szCs w:val="24"/>
        </w:rPr>
        <w:t xml:space="preserve"> </w:t>
      </w:r>
      <w:r>
        <w:rPr>
          <w:rFonts w:cs="Arial"/>
          <w:szCs w:val="24"/>
        </w:rPr>
        <w:t>is</w:t>
      </w:r>
      <w:r w:rsidRPr="00E07B1B">
        <w:rPr>
          <w:rFonts w:cs="Arial"/>
          <w:szCs w:val="24"/>
        </w:rPr>
        <w:t xml:space="preserve"> associat</w:t>
      </w:r>
      <w:r>
        <w:rPr>
          <w:rFonts w:cs="Arial"/>
          <w:szCs w:val="24"/>
        </w:rPr>
        <w:t>ed</w:t>
      </w:r>
      <w:r w:rsidRPr="00E07B1B">
        <w:rPr>
          <w:rFonts w:cs="Arial"/>
          <w:szCs w:val="24"/>
        </w:rPr>
        <w:t xml:space="preserve"> with</w:t>
      </w:r>
      <w:r>
        <w:rPr>
          <w:rFonts w:cs="Arial"/>
          <w:szCs w:val="24"/>
        </w:rPr>
        <w:t>:</w:t>
      </w:r>
    </w:p>
    <w:p w:rsidR="0068074A" w:rsidRDefault="0025490C" w:rsidP="00624357">
      <w:pPr>
        <w:pStyle w:val="Bullet"/>
      </w:pPr>
      <w:r w:rsidRPr="00E07B1B">
        <w:t>overweight/obesity before, during and after pregnancy</w:t>
      </w:r>
    </w:p>
    <w:p w:rsidR="0068074A" w:rsidRDefault="0025490C" w:rsidP="00624357">
      <w:pPr>
        <w:pStyle w:val="Bullet"/>
      </w:pPr>
      <w:r w:rsidRPr="00E07B1B">
        <w:t>insulin requirement during the index pregnancy (risk estimates range between OR 1.57 and 4.67)</w:t>
      </w:r>
    </w:p>
    <w:p w:rsidR="0025490C" w:rsidRPr="00E07B1B" w:rsidRDefault="0025490C" w:rsidP="00624357">
      <w:pPr>
        <w:pStyle w:val="Bullet"/>
      </w:pPr>
      <w:r w:rsidRPr="00E07B1B">
        <w:t>high diagnostic test levels for gestational diabetes in the index pregnancy</w:t>
      </w:r>
    </w:p>
    <w:p w:rsidR="0068074A" w:rsidRDefault="0025490C" w:rsidP="00624357">
      <w:pPr>
        <w:pStyle w:val="Bullet"/>
      </w:pPr>
      <w:r w:rsidRPr="00E07B1B">
        <w:t>an abnormal postpartum glucose tolerance test (effect estimates &lt; 2.5)</w:t>
      </w:r>
    </w:p>
    <w:p w:rsidR="0025490C" w:rsidRPr="00E07B1B" w:rsidRDefault="0025490C" w:rsidP="00624357">
      <w:pPr>
        <w:pStyle w:val="Bullet"/>
      </w:pPr>
      <w:r>
        <w:t>i</w:t>
      </w:r>
      <w:r w:rsidRPr="00E07B1B">
        <w:t xml:space="preserve">ncreasing parity or short inter-pregnancy intervals </w:t>
      </w:r>
      <w:r>
        <w:t>(</w:t>
      </w:r>
      <w:r w:rsidRPr="00E07B1B">
        <w:t>a four-fold increased risk</w:t>
      </w:r>
      <w:r>
        <w:t>;</w:t>
      </w:r>
      <w:r w:rsidRPr="00E07B1B">
        <w:t xml:space="preserve"> women aged 30</w:t>
      </w:r>
      <w:r w:rsidR="00624357">
        <w:t> </w:t>
      </w:r>
      <w:r w:rsidRPr="00E07B1B">
        <w:t>years and over had a five-fold increased risk</w:t>
      </w:r>
      <w:r>
        <w:t>)</w:t>
      </w:r>
    </w:p>
    <w:p w:rsidR="0068074A" w:rsidRDefault="0025490C" w:rsidP="00624357">
      <w:pPr>
        <w:pStyle w:val="Bullet"/>
      </w:pPr>
      <w:r>
        <w:t>a</w:t>
      </w:r>
      <w:r w:rsidRPr="00E07B1B">
        <w:t xml:space="preserve"> family history of diabetes (estimates ranged from a </w:t>
      </w:r>
      <w:r>
        <w:t>four-</w:t>
      </w:r>
      <w:r w:rsidRPr="00E07B1B">
        <w:t xml:space="preserve"> to </w:t>
      </w:r>
      <w:r>
        <w:t>nine</w:t>
      </w:r>
      <w:r w:rsidRPr="00E07B1B">
        <w:t>-fold increased risk)</w:t>
      </w:r>
    </w:p>
    <w:p w:rsidR="0068074A" w:rsidRDefault="0025490C" w:rsidP="00624357">
      <w:pPr>
        <w:pStyle w:val="Bullet"/>
      </w:pPr>
      <w:r>
        <w:t>o</w:t>
      </w:r>
      <w:r w:rsidRPr="00E07B1B">
        <w:t>ther risk factors</w:t>
      </w:r>
      <w:r>
        <w:t xml:space="preserve"> that were</w:t>
      </w:r>
      <w:r w:rsidRPr="00E07B1B">
        <w:t xml:space="preserve"> identified in a limited number of studies.</w:t>
      </w:r>
    </w:p>
    <w:p w:rsidR="0025490C" w:rsidRDefault="0025490C" w:rsidP="00624357"/>
    <w:p w:rsidR="0025490C" w:rsidRDefault="0025490C" w:rsidP="00624357">
      <w:r w:rsidRPr="007D5524">
        <w:t>There is growing evidence to suggest that the risk of developing type 2 diabetes is increased for women with an abnormal screening glucose but normal oral glucose tolerance test (</w:t>
      </w:r>
      <w:r w:rsidRPr="00F45D11">
        <w:rPr>
          <w:i/>
        </w:rPr>
        <w:t>p</w:t>
      </w:r>
      <w:r>
        <w:t xml:space="preserve"> </w:t>
      </w:r>
      <w:r w:rsidRPr="007D5524">
        <w:t>&lt;</w:t>
      </w:r>
      <w:r>
        <w:t xml:space="preserve"> 0.0001) (Retnakaran </w:t>
      </w:r>
      <w:r w:rsidR="00D562F2">
        <w:t>et al</w:t>
      </w:r>
      <w:r>
        <w:t xml:space="preserve"> 2010, 2011). In particular,</w:t>
      </w:r>
      <w:r w:rsidRPr="007D5524">
        <w:t xml:space="preserve"> women who are overweight have up to an almost 13</w:t>
      </w:r>
      <w:r w:rsidR="00624357">
        <w:noBreakHyphen/>
      </w:r>
      <w:r w:rsidRPr="007D5524">
        <w:t xml:space="preserve">fold increased risk (Pirkola </w:t>
      </w:r>
      <w:r w:rsidR="00D562F2">
        <w:t>et al</w:t>
      </w:r>
      <w:r w:rsidRPr="007D5524">
        <w:t xml:space="preserve"> 2010).</w:t>
      </w:r>
    </w:p>
    <w:p w:rsidR="0025490C" w:rsidRPr="007D5524" w:rsidRDefault="0025490C" w:rsidP="00624357"/>
    <w:p w:rsidR="0025490C" w:rsidRDefault="0025490C" w:rsidP="00624357">
      <w:pPr>
        <w:pStyle w:val="Heading2"/>
      </w:pPr>
      <w:bookmarkStart w:id="286" w:name="_Toc363207373"/>
      <w:bookmarkStart w:id="287" w:name="_Toc402873599"/>
      <w:bookmarkStart w:id="288" w:name="_Toc403469671"/>
      <w:r w:rsidRPr="00E07B1B">
        <w:t>10.8</w:t>
      </w:r>
      <w:r w:rsidR="00624357">
        <w:tab/>
      </w:r>
      <w:r w:rsidRPr="00E07B1B">
        <w:t>Summary of evidence</w:t>
      </w:r>
      <w:bookmarkEnd w:id="286"/>
      <w:bookmarkEnd w:id="287"/>
      <w:bookmarkEnd w:id="288"/>
    </w:p>
    <w:p w:rsidR="0025490C" w:rsidRDefault="0025490C" w:rsidP="00624357">
      <w:r w:rsidRPr="00E07B1B">
        <w:t>The cumulative risk of developing type 2 diabetes has been estimated to be as high as 50% depending on ethnicity and time from index pregnancy.</w:t>
      </w:r>
      <w:r>
        <w:t xml:space="preserve"> </w:t>
      </w:r>
      <w:r w:rsidRPr="00E07B1B">
        <w:t xml:space="preserve">The risk of developing type 2 diabetes in women with a history of gestational diabetes is estimated to be </w:t>
      </w:r>
      <w:r w:rsidR="00624357">
        <w:t>6–8</w:t>
      </w:r>
      <w:r w:rsidRPr="00E07B1B">
        <w:t xml:space="preserve"> times higher than </w:t>
      </w:r>
      <w:r>
        <w:t xml:space="preserve">it is in those </w:t>
      </w:r>
      <w:r w:rsidRPr="00E07B1B">
        <w:t>with no history of gestational diabetes.</w:t>
      </w:r>
      <w:r>
        <w:t xml:space="preserve"> </w:t>
      </w:r>
      <w:r w:rsidRPr="00E07B1B">
        <w:t xml:space="preserve">The evidence identified a number of key risk factors for developing type 2 diabetes in women diagnosed with </w:t>
      </w:r>
      <w:r w:rsidRPr="00E07B1B">
        <w:rPr>
          <w:lang w:eastAsia="ja-JP"/>
        </w:rPr>
        <w:t>gestational diabetes</w:t>
      </w:r>
      <w:r w:rsidRPr="00E07B1B">
        <w:t>.</w:t>
      </w:r>
    </w:p>
    <w:p w:rsidR="0025490C" w:rsidRPr="00E07B1B" w:rsidRDefault="0025490C" w:rsidP="00624357"/>
    <w:p w:rsidR="0068074A" w:rsidRDefault="0025490C" w:rsidP="00624357">
      <w:r w:rsidRPr="00E07B1B">
        <w:t>Continued intensive surveillance of women with a history of gestational diabetes is important for early detection and treatment of diabetes. Identification of women with risk factors is important in initiating any prevention or surveillance intervention.</w:t>
      </w:r>
      <w:r>
        <w:t xml:space="preserve"> </w:t>
      </w:r>
      <w:r w:rsidRPr="00E07B1B">
        <w:t>A lack of long</w:t>
      </w:r>
      <w:r>
        <w:t>-</w:t>
      </w:r>
      <w:r w:rsidRPr="00E07B1B">
        <w:t>term follow</w:t>
      </w:r>
      <w:r w:rsidR="00624357">
        <w:noBreakHyphen/>
      </w:r>
      <w:r w:rsidRPr="00E07B1B">
        <w:t>up in women with gestational diabetes may mean that a high proportion of women have undiagnosed diabetes.</w:t>
      </w:r>
    </w:p>
    <w:p w:rsidR="00624357" w:rsidRDefault="00624357" w:rsidP="00624357"/>
    <w:p w:rsidR="00624357" w:rsidRDefault="00624357" w:rsidP="00624357">
      <w:pPr>
        <w:pStyle w:val="Box"/>
        <w:keepNext/>
      </w:pPr>
      <w:r w:rsidRPr="00BC7A49">
        <w:t>Risk factors</w:t>
      </w:r>
      <w:r>
        <w:t xml:space="preserve"> contributing to development of type 2 diabetes in women with gestational diabetes are:</w:t>
      </w:r>
    </w:p>
    <w:p w:rsidR="00624357" w:rsidRPr="00A70918" w:rsidRDefault="00624357" w:rsidP="00624357">
      <w:pPr>
        <w:pStyle w:val="BoxBullet"/>
        <w:keepNext/>
        <w:spacing w:before="60"/>
      </w:pPr>
      <w:r>
        <w:t>p</w:t>
      </w:r>
      <w:r w:rsidRPr="00A70918">
        <w:t>revious or current history of gestational diabetes</w:t>
      </w:r>
    </w:p>
    <w:p w:rsidR="00624357" w:rsidRPr="00A70918" w:rsidRDefault="00624357" w:rsidP="00624357">
      <w:pPr>
        <w:pStyle w:val="BoxBullet"/>
        <w:keepNext/>
        <w:spacing w:before="60"/>
      </w:pPr>
      <w:r>
        <w:t>p</w:t>
      </w:r>
      <w:r w:rsidRPr="00A70918">
        <w:t>ostpartum overweight or obesity</w:t>
      </w:r>
    </w:p>
    <w:p w:rsidR="00624357" w:rsidRDefault="00624357" w:rsidP="00E65DAC">
      <w:pPr>
        <w:pStyle w:val="BoxBullet"/>
        <w:keepNext/>
        <w:spacing w:before="60"/>
      </w:pPr>
      <w:r>
        <w:t>d</w:t>
      </w:r>
      <w:r w:rsidRPr="00A70918">
        <w:t>isease severity in index pregnancy</w:t>
      </w:r>
    </w:p>
    <w:p w:rsidR="00624357" w:rsidRPr="00A70918" w:rsidRDefault="00624357" w:rsidP="00624357">
      <w:pPr>
        <w:pStyle w:val="BoxBullet"/>
        <w:spacing w:before="60"/>
      </w:pPr>
      <w:r>
        <w:t>i</w:t>
      </w:r>
      <w:r w:rsidRPr="00A70918">
        <w:t>ncreasing maternal age</w:t>
      </w:r>
    </w:p>
    <w:p w:rsidR="00624357" w:rsidRPr="00A70918" w:rsidRDefault="00624357" w:rsidP="00624357">
      <w:pPr>
        <w:pStyle w:val="BoxBullet"/>
        <w:spacing w:before="60"/>
      </w:pPr>
      <w:r>
        <w:t>f</w:t>
      </w:r>
      <w:r w:rsidRPr="00A70918">
        <w:t>amily history of diabetes</w:t>
      </w:r>
      <w:r>
        <w:t>.</w:t>
      </w:r>
    </w:p>
    <w:p w:rsidR="00624357" w:rsidRPr="005A621F" w:rsidRDefault="00624357" w:rsidP="00624357">
      <w:pPr>
        <w:pStyle w:val="Box"/>
        <w:spacing w:before="240"/>
      </w:pPr>
      <w:r w:rsidRPr="00624357">
        <w:t>Other risk factors contributing</w:t>
      </w:r>
      <w:r>
        <w:t xml:space="preserve"> to development of type 2 diabetes in women with gestational diabetes are:</w:t>
      </w:r>
    </w:p>
    <w:p w:rsidR="00624357" w:rsidRDefault="00624357" w:rsidP="00624357">
      <w:pPr>
        <w:pStyle w:val="BoxBullet"/>
        <w:spacing w:before="60"/>
      </w:pPr>
      <w:r>
        <w:t>pre-pregnancy overweight or obesity</w:t>
      </w:r>
    </w:p>
    <w:p w:rsidR="00624357" w:rsidRDefault="00624357" w:rsidP="00624357">
      <w:pPr>
        <w:pStyle w:val="BoxBullet"/>
        <w:spacing w:before="60"/>
      </w:pPr>
      <w:r>
        <w:t>high diagnostic glucose levels</w:t>
      </w:r>
    </w:p>
    <w:p w:rsidR="00624357" w:rsidRDefault="00624357" w:rsidP="00624357">
      <w:pPr>
        <w:pStyle w:val="BoxBullet"/>
        <w:spacing w:before="60"/>
      </w:pPr>
      <w:r>
        <w:t>high glucose levels during pregnancy</w:t>
      </w:r>
    </w:p>
    <w:p w:rsidR="00624357" w:rsidRDefault="00624357" w:rsidP="00624357">
      <w:pPr>
        <w:pStyle w:val="BoxBullet"/>
        <w:spacing w:before="60"/>
      </w:pPr>
      <w:r>
        <w:t>early gestational age at diagnosis of gestational diabetes</w:t>
      </w:r>
    </w:p>
    <w:p w:rsidR="00624357" w:rsidRPr="00340D08" w:rsidRDefault="00624357" w:rsidP="00624357">
      <w:pPr>
        <w:pStyle w:val="BoxBullet"/>
        <w:spacing w:before="60"/>
      </w:pPr>
      <w:r>
        <w:t>elevated postpartum oral glucose tolerance test.</w:t>
      </w:r>
    </w:p>
    <w:p w:rsidR="0025490C" w:rsidRPr="00E07B1B" w:rsidRDefault="0025490C" w:rsidP="00624357"/>
    <w:p w:rsidR="0025490C" w:rsidRPr="00E07B1B" w:rsidRDefault="0025490C" w:rsidP="00624357">
      <w:pPr>
        <w:pStyle w:val="Heading1"/>
      </w:pPr>
      <w:r w:rsidRPr="00E07B1B">
        <w:br w:type="page"/>
      </w:r>
      <w:bookmarkStart w:id="289" w:name="_Toc363207374"/>
      <w:bookmarkStart w:id="290" w:name="_Toc402873600"/>
      <w:bookmarkStart w:id="291" w:name="_Toc403469672"/>
      <w:r w:rsidRPr="00E07B1B">
        <w:t>Chapter 11</w:t>
      </w:r>
      <w:r>
        <w:t>:</w:t>
      </w:r>
      <w:r w:rsidRPr="00E07B1B">
        <w:t xml:space="preserve"> Prevention of type</w:t>
      </w:r>
      <w:r w:rsidR="00624357">
        <w:t> </w:t>
      </w:r>
      <w:r w:rsidRPr="00E07B1B">
        <w:t>2 diabetes in women diagnosed with gestational diabetes</w:t>
      </w:r>
      <w:bookmarkEnd w:id="289"/>
      <w:bookmarkEnd w:id="290"/>
      <w:bookmarkEnd w:id="291"/>
    </w:p>
    <w:p w:rsidR="0025490C" w:rsidRPr="00E07B1B" w:rsidRDefault="0025490C" w:rsidP="00B5139D">
      <w:pPr>
        <w:pStyle w:val="Heading2"/>
      </w:pPr>
      <w:bookmarkStart w:id="292" w:name="_Toc363207375"/>
      <w:bookmarkStart w:id="293" w:name="_Toc402873601"/>
      <w:bookmarkStart w:id="294" w:name="_Toc403469673"/>
      <w:r w:rsidRPr="00E07B1B">
        <w:t>11.1</w:t>
      </w:r>
      <w:r w:rsidR="00B5139D">
        <w:tab/>
      </w:r>
      <w:r w:rsidRPr="00E07B1B">
        <w:t>Background</w:t>
      </w:r>
      <w:bookmarkEnd w:id="292"/>
      <w:bookmarkEnd w:id="293"/>
      <w:bookmarkEnd w:id="294"/>
    </w:p>
    <w:p w:rsidR="0068074A" w:rsidRDefault="0025490C" w:rsidP="00B5139D">
      <w:r>
        <w:t>As</w:t>
      </w:r>
      <w:r w:rsidRPr="00E07B1B">
        <w:t xml:space="preserve"> identified </w:t>
      </w:r>
      <w:r>
        <w:t xml:space="preserve">in Chapter 10, </w:t>
      </w:r>
      <w:r w:rsidRPr="00E07B1B">
        <w:t xml:space="preserve">women with a history of gestational diabetes are at increased risk of gestational diabetes in a subsequent pregnancy and at risk for developing persistent abnormal glucose tolerance or diabetes. </w:t>
      </w:r>
      <w:r>
        <w:t>This chapter</w:t>
      </w:r>
      <w:r w:rsidRPr="00E07B1B">
        <w:t xml:space="preserve"> look</w:t>
      </w:r>
      <w:r>
        <w:t>s</w:t>
      </w:r>
      <w:r w:rsidRPr="00E07B1B">
        <w:t xml:space="preserve"> at the evidence for preventing type 2 diabetes in women with previous gestational diabetes using lifestyle and/or pharmacological interventions. Population</w:t>
      </w:r>
      <w:r>
        <w:t>-</w:t>
      </w:r>
      <w:r w:rsidRPr="00E07B1B">
        <w:t xml:space="preserve"> and community-level interventions were not included in the literature search.</w:t>
      </w:r>
    </w:p>
    <w:p w:rsidR="0025490C" w:rsidRPr="00E07B1B" w:rsidRDefault="0025490C" w:rsidP="00B5139D"/>
    <w:p w:rsidR="0068074A" w:rsidRDefault="0025490C" w:rsidP="00B5139D">
      <w:pPr>
        <w:pStyle w:val="Heading2"/>
      </w:pPr>
      <w:bookmarkStart w:id="295" w:name="_Toc363207377"/>
      <w:bookmarkStart w:id="296" w:name="_Toc402873602"/>
      <w:bookmarkStart w:id="297" w:name="_Toc403469674"/>
      <w:r w:rsidRPr="00E07B1B">
        <w:t>11.2</w:t>
      </w:r>
      <w:r w:rsidR="00B5139D">
        <w:tab/>
      </w:r>
      <w:r w:rsidRPr="00E07B1B">
        <w:t>Lifestyle interventions</w:t>
      </w:r>
      <w:bookmarkEnd w:id="295"/>
      <w:bookmarkEnd w:id="296"/>
      <w:bookmarkEnd w:id="297"/>
    </w:p>
    <w:p w:rsidR="0025490C" w:rsidRDefault="0025490C" w:rsidP="00B5139D">
      <w:r w:rsidRPr="00E07B1B">
        <w:t xml:space="preserve">The evidence identified is mainly indirect. The American Diabetes Association </w:t>
      </w:r>
      <w:r>
        <w:t xml:space="preserve">(2013) </w:t>
      </w:r>
      <w:r w:rsidRPr="00E07B1B">
        <w:t>recommend</w:t>
      </w:r>
      <w:r>
        <w:t>s</w:t>
      </w:r>
      <w:r w:rsidRPr="00E07B1B">
        <w:t xml:space="preserve"> lifestyle interventions to be targeted towards people at high risk for developing type 2 diabetes. The Diabetes Prevention Program randomised participants to either standard lifestyle and placebo, or metformin (an oral hypoglycaemic) or an intensive lifestyle intervention (Ratner </w:t>
      </w:r>
      <w:r w:rsidR="00D562F2">
        <w:t>et al</w:t>
      </w:r>
      <w:r w:rsidRPr="00E07B1B">
        <w:t xml:space="preserve"> 2008</w:t>
      </w:r>
      <w:r>
        <w:t>; r</w:t>
      </w:r>
      <w:r w:rsidRPr="00E07B1B">
        <w:t>efer to Appendix P, Table 48</w:t>
      </w:r>
      <w:r>
        <w:t>)</w:t>
      </w:r>
      <w:r w:rsidRPr="00E07B1B">
        <w:t xml:space="preserve">. The authors estimate that only five to six women would need to be treated over </w:t>
      </w:r>
      <w:r>
        <w:t>three</w:t>
      </w:r>
      <w:r w:rsidRPr="00E07B1B">
        <w:t xml:space="preserve"> years with either metformin or intensive lifestyle intervention to prevent one case of diabetes. In women without a history of gestational diabetes, the estimated numbers needed to treat to prevent a single case of diabetes over </w:t>
      </w:r>
      <w:r>
        <w:t>three</w:t>
      </w:r>
      <w:r w:rsidRPr="00E07B1B">
        <w:t xml:space="preserve"> years are 24 for metformin and 9 </w:t>
      </w:r>
      <w:r>
        <w:t>for</w:t>
      </w:r>
      <w:r w:rsidRPr="00E07B1B">
        <w:t xml:space="preserve"> intensive lifestyle intervention (Ratner </w:t>
      </w:r>
      <w:r w:rsidR="00D562F2">
        <w:t>et al</w:t>
      </w:r>
      <w:r w:rsidRPr="00E07B1B">
        <w:t xml:space="preserve"> 2008).</w:t>
      </w:r>
    </w:p>
    <w:p w:rsidR="0025490C" w:rsidRPr="00E07B1B" w:rsidRDefault="0025490C" w:rsidP="00B5139D"/>
    <w:p w:rsidR="0068074A" w:rsidRDefault="0025490C" w:rsidP="00B5139D">
      <w:r w:rsidRPr="00E07B1B">
        <w:t>Women with a history of gestational diabetes were less able to sustain the prescribed level of physical activity</w:t>
      </w:r>
      <w:r>
        <w:t>,</w:t>
      </w:r>
      <w:r w:rsidRPr="00E07B1B">
        <w:t xml:space="preserve"> resulting in a significantly lower weight loss over time than women without a history of gestational diabetes. Weight loss was strongly associated with a reduced risk of diabetes in the Diabetes Prevention Program trial (Ratner </w:t>
      </w:r>
      <w:r w:rsidR="00D562F2">
        <w:t>et al</w:t>
      </w:r>
      <w:r w:rsidRPr="00E07B1B">
        <w:t xml:space="preserve"> 2008).</w:t>
      </w:r>
    </w:p>
    <w:p w:rsidR="0025490C" w:rsidRPr="00E07B1B" w:rsidRDefault="0025490C" w:rsidP="00B5139D"/>
    <w:p w:rsidR="0025490C" w:rsidRPr="00E07B1B" w:rsidRDefault="0025490C" w:rsidP="00B5139D">
      <w:pPr>
        <w:rPr>
          <w:lang w:eastAsia="ja-JP"/>
        </w:rPr>
      </w:pPr>
      <w:r w:rsidRPr="00E07B1B">
        <w:rPr>
          <w:lang w:eastAsia="ja-JP"/>
        </w:rPr>
        <w:t>There is a reduction of over 50% in the risk of type 2 diabetes following structured lifestyle interventions in the high</w:t>
      </w:r>
      <w:r>
        <w:rPr>
          <w:lang w:eastAsia="ja-JP"/>
        </w:rPr>
        <w:t>-</w:t>
      </w:r>
      <w:r w:rsidRPr="00E07B1B">
        <w:rPr>
          <w:lang w:eastAsia="ja-JP"/>
        </w:rPr>
        <w:t>risk groups (</w:t>
      </w:r>
      <w:r>
        <w:rPr>
          <w:lang w:eastAsia="ja-JP"/>
        </w:rPr>
        <w:t xml:space="preserve">refer to </w:t>
      </w:r>
      <w:r w:rsidRPr="00E07B1B">
        <w:rPr>
          <w:lang w:eastAsia="ja-JP"/>
        </w:rPr>
        <w:t>Appendix P, Table 49</w:t>
      </w:r>
      <w:r>
        <w:rPr>
          <w:lang w:eastAsia="ja-JP"/>
        </w:rPr>
        <w:t>; for d</w:t>
      </w:r>
      <w:r w:rsidRPr="00E07B1B">
        <w:rPr>
          <w:lang w:eastAsia="ja-JP"/>
        </w:rPr>
        <w:t>etails of the goals in the included trials</w:t>
      </w:r>
      <w:r>
        <w:rPr>
          <w:lang w:eastAsia="ja-JP"/>
        </w:rPr>
        <w:t>,</w:t>
      </w:r>
      <w:r w:rsidRPr="00E07B1B">
        <w:rPr>
          <w:lang w:eastAsia="ja-JP"/>
        </w:rPr>
        <w:t xml:space="preserve"> refer to Appendix P, Table 50</w:t>
      </w:r>
      <w:r>
        <w:rPr>
          <w:lang w:eastAsia="ja-JP"/>
        </w:rPr>
        <w:t>)</w:t>
      </w:r>
      <w:r w:rsidRPr="00E07B1B">
        <w:rPr>
          <w:lang w:eastAsia="ja-JP"/>
        </w:rPr>
        <w:t>.</w:t>
      </w:r>
      <w:r>
        <w:rPr>
          <w:lang w:eastAsia="ja-JP"/>
        </w:rPr>
        <w:t xml:space="preserve"> </w:t>
      </w:r>
      <w:r w:rsidRPr="00E07B1B">
        <w:rPr>
          <w:lang w:eastAsia="ja-JP"/>
        </w:rPr>
        <w:t>The interventions used behaviour-change strategies to increase physical activity, encourage healthy eating and maintain healthy body weight (</w:t>
      </w:r>
      <w:r>
        <w:t>NICE</w:t>
      </w:r>
      <w:r w:rsidRPr="00E07B1B">
        <w:rPr>
          <w:lang w:eastAsia="ja-JP"/>
        </w:rPr>
        <w:t xml:space="preserve"> 2012). Interventions were resource-intensive and relied on specialised health professionals (</w:t>
      </w:r>
      <w:r>
        <w:t>NICE</w:t>
      </w:r>
      <w:r w:rsidRPr="00E07B1B">
        <w:t xml:space="preserve"> 2012)</w:t>
      </w:r>
      <w:r w:rsidRPr="00E07B1B">
        <w:rPr>
          <w:lang w:eastAsia="ja-JP"/>
        </w:rPr>
        <w:t>.</w:t>
      </w:r>
    </w:p>
    <w:p w:rsidR="0025490C" w:rsidRPr="00E07B1B" w:rsidRDefault="0025490C" w:rsidP="00B5139D">
      <w:pPr>
        <w:rPr>
          <w:lang w:eastAsia="ja-JP"/>
        </w:rPr>
      </w:pPr>
    </w:p>
    <w:p w:rsidR="0025490C" w:rsidRPr="00E07B1B" w:rsidRDefault="0025490C" w:rsidP="00B5139D">
      <w:pPr>
        <w:rPr>
          <w:bCs/>
          <w:iCs/>
          <w:lang w:eastAsia="ja-JP"/>
        </w:rPr>
      </w:pPr>
      <w:r w:rsidRPr="00E07B1B">
        <w:t>The evidence highlighted the importance of</w:t>
      </w:r>
      <w:r w:rsidRPr="00E07B1B">
        <w:rPr>
          <w:bCs/>
          <w:iCs/>
          <w:color w:val="282828"/>
          <w:lang w:eastAsia="ja-JP"/>
        </w:rPr>
        <w:t xml:space="preserve"> </w:t>
      </w:r>
      <w:r w:rsidRPr="00E07B1B">
        <w:rPr>
          <w:lang w:eastAsia="ja-JP"/>
        </w:rPr>
        <w:t>identifying people at risk of developing type 2 diabetes using a stepped approach (validated risk-assessment score and a blood test); and providing those at high risk with a quality-assured, evidence-based, intensive lifestyle change programme to prevent or delay the onset of type 2 diabetes (</w:t>
      </w:r>
      <w:r>
        <w:t xml:space="preserve">NICE </w:t>
      </w:r>
      <w:r w:rsidRPr="00E07B1B">
        <w:t>2012)</w:t>
      </w:r>
      <w:r w:rsidRPr="00E07B1B">
        <w:rPr>
          <w:bCs/>
          <w:iCs/>
          <w:lang w:eastAsia="ja-JP"/>
        </w:rPr>
        <w:t>.</w:t>
      </w:r>
    </w:p>
    <w:p w:rsidR="0025490C" w:rsidRPr="00E07B1B" w:rsidRDefault="0025490C" w:rsidP="00B5139D"/>
    <w:p w:rsidR="0025490C" w:rsidRDefault="0025490C" w:rsidP="00B5139D">
      <w:r w:rsidRPr="00E07B1B">
        <w:rPr>
          <w:lang w:eastAsia="ja-JP"/>
        </w:rPr>
        <w:t>The European evidence-based guideline for the prevention of type 2 diabetes (EURO) provides advice about public health strategies to prevent type 2 diabetes</w:t>
      </w:r>
      <w:r>
        <w:rPr>
          <w:lang w:eastAsia="ja-JP"/>
        </w:rPr>
        <w:t>;</w:t>
      </w:r>
      <w:r w:rsidRPr="00E07B1B">
        <w:rPr>
          <w:lang w:eastAsia="ja-JP"/>
        </w:rPr>
        <w:t xml:space="preserve"> the recommendations include advice on screening and interventions (Paulweber </w:t>
      </w:r>
      <w:r w:rsidR="00D562F2">
        <w:rPr>
          <w:lang w:eastAsia="ja-JP"/>
        </w:rPr>
        <w:t>et al</w:t>
      </w:r>
      <w:r w:rsidRPr="00E07B1B">
        <w:rPr>
          <w:lang w:eastAsia="ja-JP"/>
        </w:rPr>
        <w:t xml:space="preserve"> 2010). </w:t>
      </w:r>
      <w:r w:rsidRPr="00E07B1B">
        <w:t>The guideline provides recommendations on lifestyle interventions for all adults with a high risk of developing type 2 diabetes (gestational diabetes is one risk factor). Refer to Appendix P, Box 1.</w:t>
      </w:r>
    </w:p>
    <w:p w:rsidR="0025490C" w:rsidRPr="00E07B1B" w:rsidRDefault="0025490C" w:rsidP="00B5139D"/>
    <w:p w:rsidR="0025490C" w:rsidRPr="00E07B1B" w:rsidRDefault="0025490C" w:rsidP="00B5139D">
      <w:r w:rsidRPr="00E07B1B">
        <w:t>Systematic review evidence found that combined exercise and dietary interventions reduced the risk of diabetes compared with standard recommendations by 37%. No statistically significant effects on diabetes incidence were observed when comparing exercise</w:t>
      </w:r>
      <w:r>
        <w:t>-</w:t>
      </w:r>
      <w:r w:rsidRPr="00E07B1B">
        <w:t>only interventions either with standard recommendations or with diet</w:t>
      </w:r>
      <w:r>
        <w:t>-</w:t>
      </w:r>
      <w:r w:rsidRPr="00E07B1B">
        <w:t xml:space="preserve">only interventions (Orozco </w:t>
      </w:r>
      <w:r w:rsidR="00D562F2">
        <w:t>et al</w:t>
      </w:r>
      <w:r w:rsidRPr="00E07B1B">
        <w:t xml:space="preserve"> 2008).</w:t>
      </w:r>
    </w:p>
    <w:p w:rsidR="0025490C" w:rsidRPr="00E07B1B" w:rsidRDefault="0025490C" w:rsidP="00B5139D"/>
    <w:p w:rsidR="0025490C" w:rsidRPr="00E07B1B" w:rsidRDefault="0025490C" w:rsidP="00B5139D">
      <w:r w:rsidRPr="00E07B1B">
        <w:t xml:space="preserve">A pilot trial found no significant differences in fasting plasma glucose and </w:t>
      </w:r>
      <w:r>
        <w:t>two-</w:t>
      </w:r>
      <w:r w:rsidRPr="00E07B1B">
        <w:t xml:space="preserve">hour glucose values between the control (written information) and intervention (web-based pedometer) groups (Kim </w:t>
      </w:r>
      <w:r w:rsidR="00D562F2">
        <w:t>et al</w:t>
      </w:r>
      <w:r w:rsidRPr="00E07B1B">
        <w:t xml:space="preserve"> 2012).</w:t>
      </w:r>
    </w:p>
    <w:p w:rsidR="0025490C" w:rsidRDefault="0025490C" w:rsidP="00B5139D"/>
    <w:p w:rsidR="0068074A" w:rsidRDefault="0025490C" w:rsidP="00B5139D">
      <w:r w:rsidRPr="00E07B1B">
        <w:t>Two trials focused on reducing risk factors. A small</w:t>
      </w:r>
      <w:r>
        <w:t>,</w:t>
      </w:r>
      <w:r w:rsidRPr="00E07B1B">
        <w:t xml:space="preserve"> multicentre</w:t>
      </w:r>
      <w:r>
        <w:t>,</w:t>
      </w:r>
      <w:r w:rsidRPr="00E07B1B">
        <w:t xml:space="preserve"> pilot randomised controlled trial from Australia compared telephone</w:t>
      </w:r>
      <w:r>
        <w:t>-</w:t>
      </w:r>
      <w:r w:rsidRPr="00E07B1B">
        <w:t>based motivational interviewing with standard care in 28</w:t>
      </w:r>
      <w:r w:rsidR="00B5139D">
        <w:t> </w:t>
      </w:r>
      <w:r w:rsidRPr="00E07B1B">
        <w:t>rural-based women with previous gestational diabetes. The intervention group significantly reduced total fat intake, total carbohydrate intake and glycaemic load. They increased leisure physical activity</w:t>
      </w:r>
      <w:r>
        <w:t>,</w:t>
      </w:r>
      <w:r w:rsidRPr="00E07B1B">
        <w:t xml:space="preserve"> although there was no significant change in total physical activity levels</w:t>
      </w:r>
      <w:r>
        <w:t>,</w:t>
      </w:r>
      <w:r w:rsidRPr="00E07B1B">
        <w:t xml:space="preserve"> and significantly reduced their body mass index compared </w:t>
      </w:r>
      <w:r>
        <w:t>with</w:t>
      </w:r>
      <w:r w:rsidRPr="00E07B1B">
        <w:t xml:space="preserve"> the control group (Reinhardt </w:t>
      </w:r>
      <w:r w:rsidR="00D562F2">
        <w:t>et al</w:t>
      </w:r>
      <w:r w:rsidRPr="00E07B1B">
        <w:t xml:space="preserve"> 2012).</w:t>
      </w:r>
      <w:r>
        <w:t xml:space="preserve"> </w:t>
      </w:r>
      <w:r w:rsidRPr="00E07B1B">
        <w:t xml:space="preserve">A second pilot trial examined a postpartum lifestyle intervention adapted from the Diabetes Prevention Program (Ferrara </w:t>
      </w:r>
      <w:r w:rsidR="00D562F2">
        <w:t>et al</w:t>
      </w:r>
      <w:r w:rsidRPr="00E07B1B">
        <w:t xml:space="preserve"> 2011). The proportion of women who reached the postpartum weight goal was higher</w:t>
      </w:r>
      <w:r w:rsidRPr="003E1CB9">
        <w:t xml:space="preserve"> </w:t>
      </w:r>
      <w:r w:rsidRPr="00E07B1B">
        <w:t xml:space="preserve">in the intervention condition, although not </w:t>
      </w:r>
      <w:r>
        <w:t xml:space="preserve">to a level of </w:t>
      </w:r>
      <w:r w:rsidRPr="00E07B1B">
        <w:t>statistical significan</w:t>
      </w:r>
      <w:r>
        <w:t>ce</w:t>
      </w:r>
      <w:r w:rsidRPr="00E07B1B">
        <w:t>, than among usual care (absolute difference 16.1%). The intervention was more effective among women who did not exceed the recommended gestational weight gain. The intervention significantly decreased dietary fat intake more than the usual care (</w:t>
      </w:r>
      <w:r w:rsidRPr="00F45D11">
        <w:rPr>
          <w:i/>
        </w:rPr>
        <w:t>p</w:t>
      </w:r>
      <w:r w:rsidRPr="00E07B1B">
        <w:t xml:space="preserve"> = 0.002). No differences in postpartum physical activity were observed between conditions.</w:t>
      </w:r>
    </w:p>
    <w:p w:rsidR="0025490C" w:rsidRPr="00E07B1B" w:rsidRDefault="0025490C" w:rsidP="00B5139D"/>
    <w:p w:rsidR="0025490C" w:rsidRPr="00E07B1B" w:rsidRDefault="0025490C" w:rsidP="00B5139D">
      <w:r w:rsidRPr="00E07B1B">
        <w:t>A one</w:t>
      </w:r>
      <w:r>
        <w:t>-</w:t>
      </w:r>
      <w:r w:rsidRPr="00E07B1B">
        <w:t xml:space="preserve">year (interim) report on the feasibility of a lifestyle intervention programme found no significant differences in changes in fasting glucose and </w:t>
      </w:r>
      <w:r>
        <w:t>two-</w:t>
      </w:r>
      <w:r w:rsidRPr="00E07B1B">
        <w:t xml:space="preserve">hour glucose after an oral glucose tolerance test. During the first year, average body weight loss was significantly higher in the intervention group compared </w:t>
      </w:r>
      <w:r>
        <w:t>with</w:t>
      </w:r>
      <w:r w:rsidRPr="00E07B1B">
        <w:t xml:space="preserve"> the control group</w:t>
      </w:r>
      <w:r w:rsidR="0068074A">
        <w:t xml:space="preserve"> </w:t>
      </w:r>
      <w:r w:rsidRPr="00E07B1B">
        <w:t>(</w:t>
      </w:r>
      <w:r>
        <w:rPr>
          <w:i/>
        </w:rPr>
        <w:t xml:space="preserve">p </w:t>
      </w:r>
      <w:r w:rsidRPr="00E07B1B">
        <w:t>= 0.001), and the decrease was more significant among baseline overweight women in the intervention (body mass index ≥</w:t>
      </w:r>
      <w:r>
        <w:t xml:space="preserve"> </w:t>
      </w:r>
      <w:r w:rsidRPr="00E07B1B">
        <w:t>24 kg/m</w:t>
      </w:r>
      <w:r w:rsidRPr="00E07B1B">
        <w:rPr>
          <w:vertAlign w:val="superscript"/>
        </w:rPr>
        <w:t>2</w:t>
      </w:r>
      <w:r w:rsidRPr="00E07B1B">
        <w:t>) compared with that in the control group (</w:t>
      </w:r>
      <w:r w:rsidRPr="00F45D11">
        <w:rPr>
          <w:i/>
        </w:rPr>
        <w:t>p</w:t>
      </w:r>
      <w:r w:rsidRPr="00E07B1B">
        <w:t xml:space="preserve"> &lt; 0.001) (Hu </w:t>
      </w:r>
      <w:r w:rsidR="00D562F2">
        <w:t>et al</w:t>
      </w:r>
      <w:r w:rsidRPr="00E07B1B">
        <w:t xml:space="preserve"> 2012).</w:t>
      </w:r>
    </w:p>
    <w:p w:rsidR="0025490C" w:rsidRDefault="0025490C" w:rsidP="00B5139D"/>
    <w:p w:rsidR="00B5139D" w:rsidRPr="00F45D11" w:rsidRDefault="00B5139D" w:rsidP="00B5139D">
      <w:pPr>
        <w:pStyle w:val="BoxHeading"/>
      </w:pPr>
      <w:r w:rsidRPr="00F45D11">
        <w:t>Key point</w:t>
      </w:r>
    </w:p>
    <w:p w:rsidR="00B5139D" w:rsidRPr="00A733F3" w:rsidRDefault="00B5139D" w:rsidP="00B5139D">
      <w:pPr>
        <w:pStyle w:val="BoxBullet"/>
      </w:pPr>
      <w:r w:rsidRPr="00A733F3">
        <w:t>Lifestyle interventions may be useful in preventing type 2 diabetes in women who have had gestational diabetes but they require motivation from the individual and are resource intense.</w:t>
      </w:r>
    </w:p>
    <w:p w:rsidR="0025490C" w:rsidRPr="00E07B1B" w:rsidRDefault="0025490C" w:rsidP="00B5139D"/>
    <w:p w:rsidR="0025490C" w:rsidRPr="00E07B1B" w:rsidRDefault="0025490C" w:rsidP="00B5139D">
      <w:pPr>
        <w:pStyle w:val="Heading2"/>
      </w:pPr>
      <w:bookmarkStart w:id="298" w:name="_Toc363207378"/>
      <w:bookmarkStart w:id="299" w:name="_Toc402873603"/>
      <w:bookmarkStart w:id="300" w:name="_Toc403469675"/>
      <w:r w:rsidRPr="00E07B1B">
        <w:t>11.3</w:t>
      </w:r>
      <w:r w:rsidR="00B5139D">
        <w:tab/>
      </w:r>
      <w:r w:rsidRPr="00E07B1B">
        <w:t>Pharmacological treatment to prevent type 2 diabetes</w:t>
      </w:r>
      <w:bookmarkEnd w:id="298"/>
      <w:bookmarkEnd w:id="299"/>
      <w:bookmarkEnd w:id="300"/>
    </w:p>
    <w:p w:rsidR="0025490C" w:rsidRDefault="0025490C" w:rsidP="00B5139D">
      <w:pPr>
        <w:keepNext/>
      </w:pPr>
      <w:r>
        <w:t>The Guideline Development Team has</w:t>
      </w:r>
      <w:r w:rsidRPr="00E07B1B">
        <w:t xml:space="preserve"> not considered any pharmacological interventions that have been withdrawn from the market.</w:t>
      </w:r>
    </w:p>
    <w:p w:rsidR="0025490C" w:rsidRPr="00E07B1B" w:rsidRDefault="0025490C" w:rsidP="00B5139D">
      <w:pPr>
        <w:keepNext/>
      </w:pPr>
    </w:p>
    <w:p w:rsidR="0068074A" w:rsidRDefault="0025490C" w:rsidP="00B5139D">
      <w:r w:rsidRPr="00E07B1B">
        <w:t>Five systematic reviews (indirect evidence) reported on pharmacological interventions for preventing type 2 diabetes. The Diabetes Prevention Program trial (Appendix P, Table 48) reported that both intensive lifestyle and metformin therapy reduced the incidence of diabetes by approximately 50% compared with the placebo group, whereas this reduction was 49%</w:t>
      </w:r>
      <w:r>
        <w:t xml:space="preserve"> for intensive lifestyle intervention</w:t>
      </w:r>
      <w:r w:rsidRPr="00E07B1B">
        <w:t xml:space="preserve"> and 14%</w:t>
      </w:r>
      <w:r>
        <w:t xml:space="preserve"> for metformin therapy</w:t>
      </w:r>
      <w:r w:rsidRPr="00E07B1B">
        <w:t xml:space="preserve"> in parous women without gestational diabetes (Ratner </w:t>
      </w:r>
      <w:r w:rsidR="00D562F2">
        <w:t>et al</w:t>
      </w:r>
      <w:r w:rsidRPr="00E07B1B">
        <w:t xml:space="preserve"> 2008).</w:t>
      </w:r>
    </w:p>
    <w:p w:rsidR="0025490C" w:rsidRPr="00E07B1B" w:rsidRDefault="0025490C" w:rsidP="00B5139D"/>
    <w:p w:rsidR="0068074A" w:rsidRDefault="0025490C" w:rsidP="00B5139D">
      <w:r w:rsidRPr="00E07B1B">
        <w:t xml:space="preserve">Meta-analyses of pharmacological treatments for people with impaired glucose tolerance (refer to Appendix P, Table 51) found benefits in the reduction of type 2 diabetes using oral diabetes drugs and anti-obesity drugs (Jones </w:t>
      </w:r>
      <w:r w:rsidR="00D562F2">
        <w:t>et al</w:t>
      </w:r>
      <w:r w:rsidRPr="00E07B1B">
        <w:t xml:space="preserve"> 2011</w:t>
      </w:r>
      <w:r>
        <w:t>; NICE</w:t>
      </w:r>
      <w:r w:rsidRPr="00E07B1B">
        <w:t xml:space="preserve"> 2012).</w:t>
      </w:r>
    </w:p>
    <w:p w:rsidR="0025490C" w:rsidRPr="00E07B1B" w:rsidRDefault="0025490C" w:rsidP="00B5139D"/>
    <w:p w:rsidR="0068074A" w:rsidRDefault="0025490C" w:rsidP="00B5139D">
      <w:r w:rsidRPr="00E07B1B">
        <w:t>Metformin was recommended for a</w:t>
      </w:r>
      <w:r w:rsidRPr="00E07B1B">
        <w:rPr>
          <w:lang w:eastAsia="ja-JP"/>
        </w:rPr>
        <w:t xml:space="preserve">dults </w:t>
      </w:r>
      <w:r w:rsidRPr="00E07B1B">
        <w:t>at high risk of type 2 diabetes</w:t>
      </w:r>
      <w:r w:rsidRPr="00E07B1B">
        <w:rPr>
          <w:lang w:eastAsia="ja-JP"/>
        </w:rPr>
        <w:t xml:space="preserve"> whose blood glucose measure (fasting plasma glucose or HbA1c) showed progression towards type 2 diabetes, despite their participation in an intensive lifestyle-change programme, </w:t>
      </w:r>
      <w:r>
        <w:rPr>
          <w:lang w:eastAsia="ja-JP"/>
        </w:rPr>
        <w:t>and</w:t>
      </w:r>
      <w:r w:rsidRPr="00E07B1B">
        <w:rPr>
          <w:lang w:eastAsia="ja-JP"/>
        </w:rPr>
        <w:t xml:space="preserve"> for those who were unable to participate in lifestyle-change programmes because of a disability or for medical reasons. Orlistat was recommended in those with a body mass index &gt; 28 kg/m</w:t>
      </w:r>
      <w:r w:rsidRPr="00E07B1B">
        <w:rPr>
          <w:vertAlign w:val="superscript"/>
          <w:lang w:eastAsia="ja-JP"/>
        </w:rPr>
        <w:t>2</w:t>
      </w:r>
      <w:r w:rsidRPr="00E07B1B">
        <w:rPr>
          <w:lang w:eastAsia="ja-JP"/>
        </w:rPr>
        <w:t xml:space="preserve"> </w:t>
      </w:r>
      <w:r w:rsidRPr="00E07B1B">
        <w:t>(</w:t>
      </w:r>
      <w:r>
        <w:t>NICE</w:t>
      </w:r>
      <w:r w:rsidRPr="00E07B1B">
        <w:t xml:space="preserve"> 2012).</w:t>
      </w:r>
    </w:p>
    <w:p w:rsidR="0025490C" w:rsidRPr="00E07B1B" w:rsidRDefault="0025490C" w:rsidP="00B5139D"/>
    <w:p w:rsidR="0025490C" w:rsidRPr="00E07B1B" w:rsidRDefault="0025490C" w:rsidP="00B5139D">
      <w:r w:rsidRPr="00E07B1B">
        <w:rPr>
          <w:lang w:eastAsia="ja-JP"/>
        </w:rPr>
        <w:t xml:space="preserve">EURO </w:t>
      </w:r>
      <w:r w:rsidRPr="00E07B1B">
        <w:t xml:space="preserve">provides recommendations on pharmacological interventions for all adults with a high risk of developing type 2 diabetes </w:t>
      </w:r>
      <w:r w:rsidRPr="00E07B1B">
        <w:rPr>
          <w:lang w:eastAsia="ja-JP"/>
        </w:rPr>
        <w:t xml:space="preserve">(Paulweber </w:t>
      </w:r>
      <w:r w:rsidR="00D562F2">
        <w:rPr>
          <w:lang w:eastAsia="ja-JP"/>
        </w:rPr>
        <w:t>et al</w:t>
      </w:r>
      <w:r w:rsidRPr="00E07B1B">
        <w:rPr>
          <w:lang w:eastAsia="ja-JP"/>
        </w:rPr>
        <w:t xml:space="preserve"> 2010).</w:t>
      </w:r>
      <w:r w:rsidRPr="00E07B1B">
        <w:t xml:space="preserve"> Refer to Appendix P, Box 2.</w:t>
      </w:r>
    </w:p>
    <w:p w:rsidR="0025490C" w:rsidRPr="00E07B1B" w:rsidRDefault="0025490C" w:rsidP="00B5139D"/>
    <w:p w:rsidR="0068074A" w:rsidRDefault="0025490C" w:rsidP="00B5139D">
      <w:r w:rsidRPr="00E07B1B">
        <w:t>A mixed-treatment comparison meta-analysis of oral anti-diabetic agents for the prevention of type 2 diabetes in high</w:t>
      </w:r>
      <w:r>
        <w:t>-</w:t>
      </w:r>
      <w:r w:rsidRPr="00E07B1B">
        <w:t>risk individuals (including 20 trials) found that thiazolidinediones, alpha-glucosidase inhibitors and biguanides significantly reduced the relative risk of developing diabetes by 64%, 40% and 27%</w:t>
      </w:r>
      <w:r>
        <w:t>,</w:t>
      </w:r>
      <w:r w:rsidRPr="00E07B1B">
        <w:t xml:space="preserve"> respectively, compared with control. Thiazolidinediones significantly reduced the relative risk of diabetes by 50% compared with biguanides and trended towards a 40% risk reduction </w:t>
      </w:r>
      <w:r>
        <w:t>compared with</w:t>
      </w:r>
      <w:r w:rsidRPr="00E07B1B">
        <w:t xml:space="preserve"> alpha-glucosidase inhibitors (Phung </w:t>
      </w:r>
      <w:r w:rsidR="00D562F2">
        <w:t>et al</w:t>
      </w:r>
      <w:r w:rsidRPr="00E07B1B">
        <w:t xml:space="preserve"> 2011).</w:t>
      </w:r>
    </w:p>
    <w:p w:rsidR="0025490C" w:rsidRPr="00E07B1B" w:rsidRDefault="0025490C" w:rsidP="00B5139D"/>
    <w:p w:rsidR="0068074A" w:rsidRDefault="0025490C" w:rsidP="00B5139D">
      <w:r w:rsidRPr="00E07B1B">
        <w:t xml:space="preserve">A Cochrane systematic review of oral anti-diabetic agents for women with pre-existing diabetes mellitus/impaired glucose tolerance or previous </w:t>
      </w:r>
      <w:r w:rsidRPr="00E07B1B">
        <w:rPr>
          <w:lang w:eastAsia="ja-JP"/>
        </w:rPr>
        <w:t>gestational diabetes</w:t>
      </w:r>
      <w:r w:rsidRPr="00E07B1B">
        <w:t xml:space="preserve"> failed to identify any suitable trials, highlighting a large gap in the research available to guide clinical practice (Tieu </w:t>
      </w:r>
      <w:r w:rsidR="00D562F2">
        <w:t>et al</w:t>
      </w:r>
      <w:r w:rsidRPr="00E07B1B">
        <w:t xml:space="preserve"> 2010</w:t>
      </w:r>
      <w:r>
        <w:t>a</w:t>
      </w:r>
      <w:r w:rsidRPr="00E07B1B">
        <w:t>).</w:t>
      </w:r>
    </w:p>
    <w:p w:rsidR="0025490C" w:rsidRDefault="0025490C" w:rsidP="00B5139D"/>
    <w:p w:rsidR="00B5139D" w:rsidRPr="00D82046" w:rsidRDefault="00B5139D" w:rsidP="00B5139D">
      <w:pPr>
        <w:pStyle w:val="BoxHeading"/>
      </w:pPr>
      <w:r w:rsidRPr="00D82046">
        <w:t>Key point</w:t>
      </w:r>
    </w:p>
    <w:p w:rsidR="00B5139D" w:rsidRPr="00A733F3" w:rsidRDefault="00B5139D" w:rsidP="00B5139D">
      <w:pPr>
        <w:pStyle w:val="BoxBullet"/>
      </w:pPr>
      <w:r w:rsidRPr="00A733F3">
        <w:t xml:space="preserve">Metformin may be a useful treatment in women </w:t>
      </w:r>
      <w:r>
        <w:t xml:space="preserve">who have had gestational diabetes and </w:t>
      </w:r>
      <w:r w:rsidRPr="00A733F3">
        <w:t>who continue to have impaired glucose tolerance despite lifestyle interventions</w:t>
      </w:r>
      <w:r>
        <w:t>, especially if they are planning another pregnancy.</w:t>
      </w:r>
    </w:p>
    <w:p w:rsidR="0025490C" w:rsidRPr="00E07B1B" w:rsidRDefault="0025490C" w:rsidP="00B5139D"/>
    <w:p w:rsidR="0025490C" w:rsidRPr="00E07B1B" w:rsidRDefault="0025490C" w:rsidP="00B5139D">
      <w:pPr>
        <w:pStyle w:val="Heading2"/>
      </w:pPr>
      <w:bookmarkStart w:id="301" w:name="_Toc363207380"/>
      <w:bookmarkStart w:id="302" w:name="_Toc402873604"/>
      <w:bookmarkStart w:id="303" w:name="_Toc403469676"/>
      <w:r w:rsidRPr="00E07B1B">
        <w:t>11.4</w:t>
      </w:r>
      <w:bookmarkEnd w:id="301"/>
      <w:r w:rsidR="00B5139D">
        <w:tab/>
      </w:r>
      <w:r w:rsidRPr="00E07B1B">
        <w:t>Ongoing studies</w:t>
      </w:r>
      <w:bookmarkEnd w:id="302"/>
      <w:bookmarkEnd w:id="303"/>
    </w:p>
    <w:p w:rsidR="0025490C" w:rsidRDefault="0025490C" w:rsidP="00B5139D">
      <w:pPr>
        <w:keepNext/>
      </w:pPr>
      <w:r>
        <w:t>The following</w:t>
      </w:r>
      <w:r w:rsidRPr="00E07B1B">
        <w:t xml:space="preserve"> trials in progress were identified</w:t>
      </w:r>
      <w:r>
        <w:t>:</w:t>
      </w:r>
    </w:p>
    <w:p w:rsidR="0068074A" w:rsidRDefault="0025490C" w:rsidP="00B5139D">
      <w:pPr>
        <w:pStyle w:val="Bullet"/>
        <w:keepNext/>
      </w:pPr>
      <w:r w:rsidRPr="00E07B1B">
        <w:t>Metformin in the prevention of gestational diabetes: The MPG Trial (ACTRN12610000157077)</w:t>
      </w:r>
    </w:p>
    <w:p w:rsidR="0025490C" w:rsidRPr="00E07B1B" w:rsidRDefault="0025490C" w:rsidP="00B5139D">
      <w:pPr>
        <w:pStyle w:val="Bullet"/>
      </w:pPr>
      <w:r w:rsidRPr="00E07B1B">
        <w:t>The effect of a group behaviour intervention program on preventing diabetes pregnancy from progressing to type 2 diabetes: macrolevel system change in South Australia and Victoria (ACTRN12610000338066)</w:t>
      </w:r>
    </w:p>
    <w:p w:rsidR="0025490C" w:rsidRPr="00E07B1B" w:rsidRDefault="0025490C" w:rsidP="00B5139D">
      <w:pPr>
        <w:pStyle w:val="Bullet"/>
      </w:pPr>
      <w:r w:rsidRPr="00E07B1B">
        <w:t>Walking for Exercise and Nutrition to prevent Diabetes for You (WENDY) (ACTRN12611000075987, NCT01247753)</w:t>
      </w:r>
    </w:p>
    <w:p w:rsidR="0025490C" w:rsidRDefault="0025490C" w:rsidP="00B5139D">
      <w:pPr>
        <w:pStyle w:val="Bullet"/>
      </w:pPr>
      <w:r w:rsidRPr="00E07B1B">
        <w:t xml:space="preserve">An evaluation of Croí MyAction community lifestyle modification programme compared </w:t>
      </w:r>
      <w:r>
        <w:t>with</w:t>
      </w:r>
      <w:r w:rsidRPr="00E07B1B">
        <w:t xml:space="preserve"> standard care to reduce progression to diabetes/prediabetes in women with prior gestational diabetes mellitus (GDM): study protocol for a randomised controlled trial (Trials ISRCTN41202110)</w:t>
      </w:r>
      <w:r>
        <w:t>.</w:t>
      </w:r>
    </w:p>
    <w:p w:rsidR="0025490C" w:rsidRPr="00E07B1B" w:rsidRDefault="0025490C" w:rsidP="00170E40"/>
    <w:p w:rsidR="0025490C" w:rsidRPr="00E07B1B" w:rsidRDefault="0025490C" w:rsidP="00170E40">
      <w:pPr>
        <w:pStyle w:val="Heading2"/>
      </w:pPr>
      <w:bookmarkStart w:id="304" w:name="_Toc363207379"/>
      <w:bookmarkStart w:id="305" w:name="_Toc402873605"/>
      <w:bookmarkStart w:id="306" w:name="_Toc403469677"/>
      <w:r w:rsidRPr="00E07B1B">
        <w:t>11.5</w:t>
      </w:r>
      <w:r w:rsidR="00170E40">
        <w:tab/>
      </w:r>
      <w:r w:rsidRPr="00E07B1B">
        <w:t>Evidence to recommendation</w:t>
      </w:r>
      <w:bookmarkEnd w:id="304"/>
      <w:r>
        <w:t>s</w:t>
      </w:r>
      <w:bookmarkEnd w:id="305"/>
      <w:bookmarkEnd w:id="306"/>
    </w:p>
    <w:p w:rsidR="0025490C" w:rsidRDefault="0025490C" w:rsidP="00170E40">
      <w:r w:rsidRPr="00E07B1B">
        <w:t>The risk of developing type 2 diabetes can be reduced by either lifestyle or pharmacological interventions. However, evidence is based on a general population at risk of developing diabetes rather than women who ha</w:t>
      </w:r>
      <w:r>
        <w:t>ve</w:t>
      </w:r>
      <w:r w:rsidRPr="00E07B1B">
        <w:t xml:space="preserve"> been diagnosed with gestational diabetes.</w:t>
      </w:r>
    </w:p>
    <w:p w:rsidR="0025490C" w:rsidRPr="00E07B1B" w:rsidRDefault="0025490C" w:rsidP="00170E40"/>
    <w:p w:rsidR="0025490C" w:rsidRDefault="0025490C" w:rsidP="00170E40">
      <w:r w:rsidRPr="00E07B1B">
        <w:t>The direct evidence of lifestyle and pharmacological interventions in women with a history of gestational diabetes is limited to o</w:t>
      </w:r>
      <w:r w:rsidRPr="00E07B1B">
        <w:rPr>
          <w:bCs/>
        </w:rPr>
        <w:t xml:space="preserve">ne trial </w:t>
      </w:r>
      <w:r w:rsidRPr="00E07B1B">
        <w:t xml:space="preserve">(Ratner </w:t>
      </w:r>
      <w:r w:rsidR="00D562F2">
        <w:t>et al</w:t>
      </w:r>
      <w:r w:rsidRPr="00E07B1B">
        <w:t xml:space="preserve"> 2008).</w:t>
      </w:r>
    </w:p>
    <w:p w:rsidR="0025490C" w:rsidRPr="00E07B1B" w:rsidRDefault="0025490C" w:rsidP="00170E40"/>
    <w:p w:rsidR="0025490C" w:rsidRDefault="0025490C" w:rsidP="00170E40">
      <w:r w:rsidRPr="00E07B1B">
        <w:t xml:space="preserve">More research is needed to guide clinical practice, particularly </w:t>
      </w:r>
      <w:r>
        <w:t>in</w:t>
      </w:r>
      <w:r w:rsidRPr="00E07B1B">
        <w:t xml:space="preserve"> regard to pharmacological treatment and any potential for harm. Randomised controlled trials with long-term follow</w:t>
      </w:r>
      <w:r>
        <w:t>-</w:t>
      </w:r>
      <w:r w:rsidRPr="00E07B1B">
        <w:t>up are required to determine the effectiveness of lifestyle interventions for women with a history of gestational diabetes.</w:t>
      </w:r>
    </w:p>
    <w:p w:rsidR="0025490C" w:rsidRPr="00E07B1B" w:rsidRDefault="0025490C" w:rsidP="00170E40"/>
    <w:p w:rsidR="0068074A" w:rsidRDefault="0025490C" w:rsidP="00170E40">
      <w:r w:rsidRPr="00E07B1B">
        <w:t xml:space="preserve">The Guideline Development Team agreed that the primary focus for preventing type 2 diabetes needs to be on lifestyle interventions and acknowledged the potential role of </w:t>
      </w:r>
      <w:r>
        <w:t>g</w:t>
      </w:r>
      <w:r w:rsidRPr="00E07B1B">
        <w:t xml:space="preserve">reen </w:t>
      </w:r>
      <w:r>
        <w:t>p</w:t>
      </w:r>
      <w:r w:rsidRPr="00E07B1B">
        <w:t>rescriptions in women with high risk of developing diabetes.</w:t>
      </w:r>
    </w:p>
    <w:p w:rsidR="0025490C" w:rsidRPr="00E07B1B" w:rsidRDefault="0025490C" w:rsidP="00170E40"/>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37"/>
        <w:gridCol w:w="3119"/>
      </w:tblGrid>
      <w:tr w:rsidR="0025490C" w:rsidRPr="00170E40" w:rsidTr="00170E40">
        <w:trPr>
          <w:cantSplit/>
        </w:trPr>
        <w:tc>
          <w:tcPr>
            <w:tcW w:w="6237" w:type="dxa"/>
            <w:tcBorders>
              <w:left w:val="nil"/>
              <w:bottom w:val="single" w:sz="4" w:space="0" w:color="auto"/>
              <w:right w:val="nil"/>
            </w:tcBorders>
            <w:shd w:val="clear" w:color="auto" w:fill="F7F9FB"/>
          </w:tcPr>
          <w:p w:rsidR="0025490C" w:rsidRPr="00170E40" w:rsidRDefault="00170E40" w:rsidP="00170E40">
            <w:pPr>
              <w:pStyle w:val="TableText"/>
              <w:rPr>
                <w:b/>
              </w:rPr>
            </w:pPr>
            <w:r w:rsidRPr="00170E40">
              <w:rPr>
                <w:b/>
              </w:rPr>
              <w:t>Recommendation</w:t>
            </w:r>
          </w:p>
        </w:tc>
        <w:tc>
          <w:tcPr>
            <w:tcW w:w="3119" w:type="dxa"/>
            <w:tcBorders>
              <w:left w:val="nil"/>
              <w:bottom w:val="single" w:sz="4" w:space="0" w:color="auto"/>
              <w:right w:val="nil"/>
            </w:tcBorders>
            <w:shd w:val="clear" w:color="auto" w:fill="F7F9FB"/>
          </w:tcPr>
          <w:p w:rsidR="0025490C" w:rsidRPr="00170E40" w:rsidRDefault="0025490C" w:rsidP="00170E40">
            <w:pPr>
              <w:pStyle w:val="TableText"/>
              <w:jc w:val="center"/>
              <w:rPr>
                <w:b/>
              </w:rPr>
            </w:pPr>
            <w:r w:rsidRPr="00170E40">
              <w:rPr>
                <w:b/>
              </w:rPr>
              <w:t>Strength of recommendation or good practice point (GPP)</w:t>
            </w:r>
          </w:p>
        </w:tc>
      </w:tr>
      <w:tr w:rsidR="00170E40" w:rsidRPr="00E07B1B" w:rsidTr="00170E40">
        <w:trPr>
          <w:cantSplit/>
        </w:trPr>
        <w:tc>
          <w:tcPr>
            <w:tcW w:w="6237" w:type="dxa"/>
            <w:tcBorders>
              <w:top w:val="single" w:sz="4" w:space="0" w:color="auto"/>
              <w:left w:val="nil"/>
              <w:bottom w:val="single" w:sz="4" w:space="0" w:color="FFFFFF" w:themeColor="background1"/>
              <w:right w:val="nil"/>
            </w:tcBorders>
            <w:shd w:val="clear" w:color="auto" w:fill="C6D9F1"/>
          </w:tcPr>
          <w:p w:rsidR="00170E40" w:rsidRPr="00E07B1B" w:rsidRDefault="00170E40" w:rsidP="00170E40">
            <w:pPr>
              <w:pStyle w:val="TableText"/>
              <w:ind w:left="425" w:right="142" w:hanging="425"/>
              <w:rPr>
                <w:lang w:eastAsia="ja-JP"/>
              </w:rPr>
            </w:pPr>
            <w:r w:rsidRPr="00E07B1B">
              <w:t>35</w:t>
            </w:r>
            <w:r>
              <w:tab/>
              <w:t>Consider m</w:t>
            </w:r>
            <w:r w:rsidRPr="00E07B1B">
              <w:t>etformin in women (with previous gestational diabetes) who have HbA1c 41</w:t>
            </w:r>
            <w:r>
              <w:t>–</w:t>
            </w:r>
            <w:r w:rsidRPr="00E07B1B">
              <w:t>49 mmol/mol and who are not successful with lifestyle modification (in particular those planning another pregnancy)</w:t>
            </w:r>
            <w:r>
              <w:t>.</w:t>
            </w:r>
          </w:p>
        </w:tc>
        <w:tc>
          <w:tcPr>
            <w:tcW w:w="3119" w:type="dxa"/>
            <w:tcBorders>
              <w:top w:val="single" w:sz="4" w:space="0" w:color="auto"/>
              <w:left w:val="nil"/>
              <w:bottom w:val="single" w:sz="4" w:space="0" w:color="FFFFFF" w:themeColor="background1"/>
              <w:right w:val="nil"/>
            </w:tcBorders>
            <w:shd w:val="clear" w:color="auto" w:fill="C6D9F1"/>
          </w:tcPr>
          <w:p w:rsidR="00170E40" w:rsidRPr="00E07B1B" w:rsidRDefault="00170E40" w:rsidP="00170E40">
            <w:pPr>
              <w:pStyle w:val="TableText"/>
              <w:jc w:val="center"/>
            </w:pPr>
            <w:r w:rsidRPr="00E07B1B">
              <w:t>CONDITIONAL</w:t>
            </w:r>
          </w:p>
        </w:tc>
      </w:tr>
      <w:tr w:rsidR="00170E40" w:rsidRPr="00E07B1B" w:rsidTr="00170E40">
        <w:trPr>
          <w:cantSplit/>
        </w:trPr>
        <w:tc>
          <w:tcPr>
            <w:tcW w:w="6237" w:type="dxa"/>
            <w:tcBorders>
              <w:top w:val="single" w:sz="4" w:space="0" w:color="FFFFFF" w:themeColor="background1"/>
              <w:left w:val="nil"/>
              <w:bottom w:val="single" w:sz="4" w:space="0" w:color="FFFFFF" w:themeColor="background1"/>
              <w:right w:val="nil"/>
            </w:tcBorders>
            <w:shd w:val="clear" w:color="auto" w:fill="C6D9F1"/>
          </w:tcPr>
          <w:p w:rsidR="00170E40" w:rsidRPr="00E07B1B" w:rsidRDefault="00170E40" w:rsidP="00170E40">
            <w:pPr>
              <w:pStyle w:val="TableText"/>
              <w:ind w:left="425" w:right="142" w:hanging="425"/>
            </w:pPr>
            <w:r w:rsidRPr="00E07B1B">
              <w:t>36</w:t>
            </w:r>
            <w:r>
              <w:tab/>
            </w:r>
            <w:r w:rsidRPr="00E07B1B">
              <w:t>Provide women diagnosed with gestational diabetes with lifestyle and dietary advice and advise on</w:t>
            </w:r>
            <w:r>
              <w:t xml:space="preserve"> how to maintain a</w:t>
            </w:r>
            <w:r w:rsidRPr="00E07B1B">
              <w:t xml:space="preserve"> healthy weight</w:t>
            </w:r>
            <w:r>
              <w:t>.</w:t>
            </w:r>
          </w:p>
        </w:tc>
        <w:tc>
          <w:tcPr>
            <w:tcW w:w="3119" w:type="dxa"/>
            <w:tcBorders>
              <w:top w:val="single" w:sz="4" w:space="0" w:color="FFFFFF" w:themeColor="background1"/>
              <w:left w:val="nil"/>
              <w:bottom w:val="single" w:sz="4" w:space="0" w:color="FFFFFF" w:themeColor="background1"/>
              <w:right w:val="nil"/>
            </w:tcBorders>
            <w:shd w:val="clear" w:color="auto" w:fill="C6D9F1"/>
          </w:tcPr>
          <w:p w:rsidR="00170E40" w:rsidRPr="00E07B1B" w:rsidRDefault="00170E40" w:rsidP="00170E40">
            <w:pPr>
              <w:pStyle w:val="TableText"/>
              <w:jc w:val="center"/>
            </w:pPr>
            <w:r w:rsidRPr="00E07B1B">
              <w:t>CONDITIONAL</w:t>
            </w:r>
          </w:p>
        </w:tc>
      </w:tr>
      <w:tr w:rsidR="00170E40" w:rsidRPr="00E07B1B" w:rsidTr="00170E40">
        <w:trPr>
          <w:cantSplit/>
        </w:trPr>
        <w:tc>
          <w:tcPr>
            <w:tcW w:w="6237" w:type="dxa"/>
            <w:tcBorders>
              <w:top w:val="single" w:sz="4" w:space="0" w:color="FFFFFF" w:themeColor="background1"/>
              <w:left w:val="nil"/>
              <w:bottom w:val="single" w:sz="4" w:space="0" w:color="FFFFFF" w:themeColor="background1"/>
              <w:right w:val="nil"/>
            </w:tcBorders>
            <w:shd w:val="clear" w:color="auto" w:fill="DBE5F1"/>
          </w:tcPr>
          <w:p w:rsidR="00170E40" w:rsidRPr="00E07B1B" w:rsidRDefault="00170E40" w:rsidP="00170E40">
            <w:pPr>
              <w:pStyle w:val="TableText"/>
              <w:ind w:left="425" w:right="142" w:hanging="425"/>
            </w:pPr>
            <w:r w:rsidRPr="00E07B1B">
              <w:t>37</w:t>
            </w:r>
            <w:r>
              <w:tab/>
            </w:r>
            <w:r w:rsidRPr="00E07B1B">
              <w:t>Inform women with a previous diagnosis of gestational diabetes and/or prediabetes of the risk of gestational diabetes and offer early pre-pregnancy screening for diabetes when</w:t>
            </w:r>
            <w:r>
              <w:t xml:space="preserve"> they are</w:t>
            </w:r>
            <w:r w:rsidRPr="00E07B1B">
              <w:t xml:space="preserve"> planning future pregnancies</w:t>
            </w:r>
            <w:r>
              <w:t>.</w:t>
            </w:r>
          </w:p>
        </w:tc>
        <w:tc>
          <w:tcPr>
            <w:tcW w:w="3119" w:type="dxa"/>
            <w:tcBorders>
              <w:top w:val="single" w:sz="4" w:space="0" w:color="FFFFFF" w:themeColor="background1"/>
              <w:left w:val="nil"/>
              <w:bottom w:val="single" w:sz="4" w:space="0" w:color="FFFFFF" w:themeColor="background1"/>
              <w:right w:val="nil"/>
            </w:tcBorders>
            <w:shd w:val="clear" w:color="auto" w:fill="DBE5F1"/>
          </w:tcPr>
          <w:p w:rsidR="00170E40" w:rsidRPr="00E07B1B" w:rsidRDefault="00170E40" w:rsidP="00170E40">
            <w:pPr>
              <w:pStyle w:val="TableText"/>
              <w:jc w:val="center"/>
            </w:pPr>
            <w:r w:rsidRPr="00E07B1B">
              <w:t>GPP</w:t>
            </w:r>
          </w:p>
        </w:tc>
      </w:tr>
      <w:tr w:rsidR="0025490C" w:rsidRPr="00E07B1B" w:rsidTr="00170E40">
        <w:trPr>
          <w:cantSplit/>
        </w:trPr>
        <w:tc>
          <w:tcPr>
            <w:tcW w:w="9356" w:type="dxa"/>
            <w:gridSpan w:val="2"/>
            <w:tcBorders>
              <w:top w:val="single" w:sz="4" w:space="0" w:color="FFFFFF" w:themeColor="background1"/>
              <w:left w:val="nil"/>
              <w:right w:val="nil"/>
            </w:tcBorders>
            <w:shd w:val="clear" w:color="auto" w:fill="E5DFEC"/>
          </w:tcPr>
          <w:p w:rsidR="0025490C" w:rsidRPr="00E07B1B" w:rsidRDefault="0025490C" w:rsidP="00170E40">
            <w:pPr>
              <w:pStyle w:val="TableText"/>
            </w:pPr>
            <w:r w:rsidRPr="00D82046">
              <w:rPr>
                <w:b/>
              </w:rPr>
              <w:t>Research recommendation</w:t>
            </w:r>
            <w:r w:rsidRPr="00E07B1B">
              <w:t>: Randomised controlled trials that evaluate the outcomes of lifestyle versus pharmacological interventions to prevent type 2 diabetes in women with a previous history of gestational diabetes</w:t>
            </w:r>
            <w:r>
              <w:t>.</w:t>
            </w:r>
          </w:p>
        </w:tc>
      </w:tr>
    </w:tbl>
    <w:p w:rsidR="0025490C" w:rsidRPr="00E07B1B" w:rsidRDefault="0025490C" w:rsidP="009B248D">
      <w:pPr>
        <w:pStyle w:val="Heading1"/>
      </w:pPr>
      <w:r w:rsidRPr="00E07B1B">
        <w:br w:type="page"/>
      </w:r>
      <w:bookmarkStart w:id="307" w:name="_Toc363207381"/>
      <w:bookmarkStart w:id="308" w:name="_Toc402873606"/>
      <w:bookmarkStart w:id="309" w:name="_Toc403469678"/>
      <w:r w:rsidRPr="00E07B1B">
        <w:t>Chapter 12</w:t>
      </w:r>
      <w:r>
        <w:t>:</w:t>
      </w:r>
      <w:r w:rsidRPr="00E07B1B">
        <w:t xml:space="preserve"> Cost</w:t>
      </w:r>
      <w:r>
        <w:t>-</w:t>
      </w:r>
      <w:r w:rsidRPr="00E07B1B">
        <w:t>effectiveness of screening, diagnosis and treatment of gestational diabetes</w:t>
      </w:r>
      <w:bookmarkEnd w:id="307"/>
      <w:bookmarkEnd w:id="308"/>
      <w:bookmarkEnd w:id="309"/>
    </w:p>
    <w:p w:rsidR="0025490C" w:rsidRPr="00E07B1B" w:rsidRDefault="0025490C" w:rsidP="009B248D">
      <w:pPr>
        <w:pStyle w:val="Heading2"/>
        <w:rPr>
          <w:rFonts w:eastAsia="MS Mincho"/>
          <w:lang w:eastAsia="ja-JP"/>
        </w:rPr>
      </w:pPr>
      <w:bookmarkStart w:id="310" w:name="_Toc363207382"/>
      <w:bookmarkStart w:id="311" w:name="_Toc402873607"/>
      <w:bookmarkStart w:id="312" w:name="_Toc403469679"/>
      <w:r w:rsidRPr="00E07B1B">
        <w:rPr>
          <w:rFonts w:eastAsia="MS Mincho"/>
          <w:lang w:eastAsia="ja-JP"/>
        </w:rPr>
        <w:t>12.1</w:t>
      </w:r>
      <w:r w:rsidR="009B248D">
        <w:rPr>
          <w:rFonts w:eastAsia="MS Mincho"/>
          <w:lang w:eastAsia="ja-JP"/>
        </w:rPr>
        <w:tab/>
      </w:r>
      <w:r w:rsidRPr="00E07B1B">
        <w:rPr>
          <w:rFonts w:eastAsia="MS Mincho"/>
          <w:lang w:eastAsia="ja-JP"/>
        </w:rPr>
        <w:t>Background</w:t>
      </w:r>
      <w:bookmarkEnd w:id="310"/>
      <w:bookmarkEnd w:id="311"/>
      <w:bookmarkEnd w:id="312"/>
    </w:p>
    <w:p w:rsidR="0068074A" w:rsidRDefault="0025490C" w:rsidP="009B248D">
      <w:pPr>
        <w:rPr>
          <w:rFonts w:eastAsia="MS Mincho"/>
          <w:lang w:eastAsia="ja-JP"/>
        </w:rPr>
      </w:pPr>
      <w:r w:rsidRPr="00E07B1B">
        <w:rPr>
          <w:rFonts w:eastAsia="MS Mincho"/>
          <w:lang w:eastAsia="ja-JP"/>
        </w:rPr>
        <w:t>Health care decisions are made within a constrained health</w:t>
      </w:r>
      <w:r>
        <w:rPr>
          <w:rFonts w:eastAsia="MS Mincho"/>
          <w:lang w:eastAsia="ja-JP"/>
        </w:rPr>
        <w:t xml:space="preserve"> </w:t>
      </w:r>
      <w:r w:rsidRPr="00E07B1B">
        <w:rPr>
          <w:rFonts w:eastAsia="MS Mincho"/>
          <w:lang w:eastAsia="ja-JP"/>
        </w:rPr>
        <w:t>care budget. The decision to fund a screening programme or treatment uses scarce resources which have competing uses. Cost-effectiveness analysis is a form of economic analysis that compares the relative costs and outcomes (effects) of two or more courses of action.</w:t>
      </w:r>
    </w:p>
    <w:p w:rsidR="0025490C" w:rsidRPr="00E07B1B" w:rsidRDefault="0025490C" w:rsidP="009B248D">
      <w:pPr>
        <w:rPr>
          <w:rFonts w:eastAsia="MS Mincho"/>
          <w:lang w:eastAsia="ja-JP"/>
        </w:rPr>
      </w:pPr>
    </w:p>
    <w:p w:rsidR="0025490C" w:rsidRPr="009B248D" w:rsidRDefault="0025490C" w:rsidP="009B248D">
      <w:pPr>
        <w:pStyle w:val="Heading2"/>
      </w:pPr>
      <w:bookmarkStart w:id="313" w:name="_Toc363207383"/>
      <w:bookmarkStart w:id="314" w:name="_Toc402873608"/>
      <w:bookmarkStart w:id="315" w:name="_Toc403469680"/>
      <w:r w:rsidRPr="00E07B1B">
        <w:t>12.2</w:t>
      </w:r>
      <w:r w:rsidR="009B248D">
        <w:tab/>
      </w:r>
      <w:r w:rsidRPr="00E07B1B">
        <w:t>Systematic review evidence</w:t>
      </w:r>
      <w:bookmarkEnd w:id="313"/>
      <w:bookmarkEnd w:id="314"/>
      <w:bookmarkEnd w:id="315"/>
    </w:p>
    <w:p w:rsidR="0025490C" w:rsidRDefault="0025490C" w:rsidP="009B248D">
      <w:r w:rsidRPr="00E07B1B">
        <w:t xml:space="preserve">A systematic review of the cost-effectiveness literature was used to develop a single cost-effectiveness model addressing screening, diagnosis and treatment for </w:t>
      </w:r>
      <w:r w:rsidRPr="00E07B1B">
        <w:rPr>
          <w:rFonts w:eastAsia="MS Mincho"/>
          <w:bCs/>
          <w:color w:val="000000"/>
          <w:lang w:eastAsia="ja-JP"/>
        </w:rPr>
        <w:t>gestational diabetes</w:t>
      </w:r>
      <w:r w:rsidRPr="00E07B1B">
        <w:t xml:space="preserve"> in the United Kingdom (</w:t>
      </w:r>
      <w:r>
        <w:t>NICE</w:t>
      </w:r>
      <w:r w:rsidRPr="00E07B1B">
        <w:t xml:space="preserve"> 2008).</w:t>
      </w:r>
    </w:p>
    <w:p w:rsidR="0025490C" w:rsidRPr="00E07B1B" w:rsidRDefault="0025490C" w:rsidP="009B248D"/>
    <w:p w:rsidR="0025490C" w:rsidRDefault="0025490C" w:rsidP="009B248D">
      <w:r w:rsidRPr="00E07B1B">
        <w:t xml:space="preserve">The review included one French study </w:t>
      </w:r>
      <w:r>
        <w:t>that</w:t>
      </w:r>
      <w:r w:rsidRPr="00E07B1B">
        <w:t xml:space="preserve"> recommended high</w:t>
      </w:r>
      <w:r>
        <w:t>-</w:t>
      </w:r>
      <w:r w:rsidRPr="00E07B1B">
        <w:t>risk screening and an Italian study</w:t>
      </w:r>
      <w:r>
        <w:t xml:space="preserve"> that</w:t>
      </w:r>
      <w:r w:rsidRPr="00E07B1B">
        <w:t xml:space="preserve"> found universal screening was more costly than the selective screening approach per case of gestational diabetes diagnosed</w:t>
      </w:r>
      <w:r>
        <w:t>. N</w:t>
      </w:r>
      <w:r w:rsidRPr="00E07B1B">
        <w:t>o incremental analysis was reported and the</w:t>
      </w:r>
      <w:r>
        <w:t xml:space="preserve"> review</w:t>
      </w:r>
      <w:r w:rsidRPr="00E07B1B">
        <w:t xml:space="preserve"> authors concluded that screening using either strategy was justified.</w:t>
      </w:r>
    </w:p>
    <w:p w:rsidR="0025490C" w:rsidRPr="00E07B1B" w:rsidRDefault="0025490C" w:rsidP="009B248D"/>
    <w:p w:rsidR="0068074A" w:rsidRDefault="0025490C" w:rsidP="009B248D">
      <w:r w:rsidRPr="00E07B1B">
        <w:t xml:space="preserve">A cost analysis study recommended the use of universal fasting plasma glucose or giving an oral glucose challenge test to those over </w:t>
      </w:r>
      <w:r>
        <w:t xml:space="preserve">the </w:t>
      </w:r>
      <w:r w:rsidRPr="00E07B1B">
        <w:t xml:space="preserve">age </w:t>
      </w:r>
      <w:r>
        <w:t xml:space="preserve">of </w:t>
      </w:r>
      <w:r w:rsidRPr="00E07B1B">
        <w:t xml:space="preserve">25 years and with risk factors. Fasting plasma glucose detected an additional 6009 cases at a cost of </w:t>
      </w:r>
      <w:r w:rsidR="009B248D">
        <w:t>£</w:t>
      </w:r>
      <w:r w:rsidRPr="00E07B1B">
        <w:t>489 per additional case detected when compared with oral glucose challenge test. A strategy of universal oral glucose tolerance test was predicted to detect an additional 1493 cases compared with the universal fasting plasma glucose, at a cost per additional case detected of £4,665.</w:t>
      </w:r>
    </w:p>
    <w:p w:rsidR="0025490C" w:rsidRPr="00E07B1B" w:rsidRDefault="0025490C" w:rsidP="009B248D"/>
    <w:p w:rsidR="0068074A" w:rsidRDefault="0025490C" w:rsidP="009B248D">
      <w:pPr>
        <w:rPr>
          <w:rFonts w:eastAsia="MS Mincho"/>
        </w:rPr>
      </w:pPr>
      <w:r w:rsidRPr="00E07B1B">
        <w:t xml:space="preserve">Four studies reported the estimated cost per case of gestational diabetes detected. One of the studies recommended </w:t>
      </w:r>
      <w:r w:rsidRPr="00E07B1B">
        <w:rPr>
          <w:rFonts w:eastAsia="MS Mincho"/>
        </w:rPr>
        <w:t>risk factor-based screening;</w:t>
      </w:r>
      <w:r>
        <w:rPr>
          <w:rFonts w:eastAsia="MS Mincho"/>
        </w:rPr>
        <w:t xml:space="preserve"> it involved</w:t>
      </w:r>
      <w:r w:rsidRPr="00E07B1B">
        <w:rPr>
          <w:rFonts w:eastAsia="MS Mincho"/>
        </w:rPr>
        <w:t xml:space="preserve"> screening women aged over 25</w:t>
      </w:r>
      <w:r w:rsidR="009B248D">
        <w:rPr>
          <w:rFonts w:eastAsia="MS Mincho"/>
        </w:rPr>
        <w:t> </w:t>
      </w:r>
      <w:r w:rsidRPr="00E07B1B">
        <w:rPr>
          <w:rFonts w:eastAsia="MS Mincho"/>
        </w:rPr>
        <w:t>years using</w:t>
      </w:r>
      <w:r w:rsidRPr="00E07B1B">
        <w:rPr>
          <w:rFonts w:ascii="OptimaLTStd" w:eastAsia="MS Mincho" w:hAnsi="OptimaLTStd" w:cs="OptimaLTStd"/>
          <w:lang w:eastAsia="ja-JP"/>
        </w:rPr>
        <w:t xml:space="preserve"> </w:t>
      </w:r>
      <w:r w:rsidRPr="00E07B1B">
        <w:rPr>
          <w:rFonts w:eastAsia="MS Mincho"/>
        </w:rPr>
        <w:t>a 50</w:t>
      </w:r>
      <w:r>
        <w:rPr>
          <w:rFonts w:eastAsia="MS Mincho"/>
        </w:rPr>
        <w:t xml:space="preserve"> </w:t>
      </w:r>
      <w:r w:rsidRPr="00E07B1B">
        <w:rPr>
          <w:rFonts w:eastAsia="MS Mincho"/>
        </w:rPr>
        <w:t>g</w:t>
      </w:r>
      <w:r>
        <w:rPr>
          <w:rFonts w:eastAsia="MS Mincho"/>
        </w:rPr>
        <w:t>,</w:t>
      </w:r>
      <w:r w:rsidRPr="00E07B1B">
        <w:rPr>
          <w:rFonts w:eastAsia="MS Mincho"/>
        </w:rPr>
        <w:t xml:space="preserve"> </w:t>
      </w:r>
      <w:r>
        <w:rPr>
          <w:rFonts w:eastAsia="MS Mincho"/>
        </w:rPr>
        <w:t>one-</w:t>
      </w:r>
      <w:r w:rsidRPr="00E07B1B">
        <w:rPr>
          <w:rFonts w:eastAsia="MS Mincho"/>
        </w:rPr>
        <w:t xml:space="preserve">hour oral glucose challenge test. </w:t>
      </w:r>
      <w:r>
        <w:rPr>
          <w:rFonts w:eastAsia="MS Mincho"/>
        </w:rPr>
        <w:t>Another</w:t>
      </w:r>
      <w:r w:rsidRPr="00E07B1B">
        <w:rPr>
          <w:rFonts w:eastAsia="MS Mincho"/>
        </w:rPr>
        <w:t xml:space="preserve"> study recommended universal screening in a high-prevalence population, with a cost per case diagnosed of US$80.56. These two studies did not report incremental analysis. Two studies made no conclusion on the cost-effectiveness of either approach.</w:t>
      </w:r>
    </w:p>
    <w:p w:rsidR="0025490C" w:rsidRPr="00E07B1B" w:rsidRDefault="0025490C" w:rsidP="009B248D">
      <w:pPr>
        <w:rPr>
          <w:rFonts w:eastAsia="MS Mincho"/>
        </w:rPr>
      </w:pPr>
    </w:p>
    <w:p w:rsidR="0025490C" w:rsidRPr="009B248D" w:rsidRDefault="0025490C" w:rsidP="009B248D">
      <w:pPr>
        <w:pStyle w:val="Heading3"/>
      </w:pPr>
      <w:bookmarkStart w:id="316" w:name="_Toc363207384"/>
      <w:bookmarkStart w:id="317" w:name="_Toc402873609"/>
      <w:r w:rsidRPr="00E07B1B">
        <w:t>12.2.1</w:t>
      </w:r>
      <w:r w:rsidR="009B248D">
        <w:tab/>
      </w:r>
      <w:r w:rsidRPr="00E07B1B">
        <w:t>Cost</w:t>
      </w:r>
      <w:r w:rsidRPr="00E07B1B">
        <w:rPr>
          <w:i/>
        </w:rPr>
        <w:t>-</w:t>
      </w:r>
      <w:r w:rsidRPr="00E07B1B">
        <w:t>effectiveness</w:t>
      </w:r>
      <w:r w:rsidRPr="00E07B1B">
        <w:rPr>
          <w:i/>
        </w:rPr>
        <w:t xml:space="preserve"> </w:t>
      </w:r>
      <w:r w:rsidRPr="00E07B1B">
        <w:t>model</w:t>
      </w:r>
      <w:bookmarkEnd w:id="316"/>
      <w:r w:rsidRPr="00E07B1B">
        <w:t>s for screening</w:t>
      </w:r>
      <w:bookmarkEnd w:id="317"/>
    </w:p>
    <w:p w:rsidR="0068074A" w:rsidRDefault="0025490C" w:rsidP="009B248D">
      <w:pPr>
        <w:keepLines/>
      </w:pPr>
      <w:r w:rsidRPr="00E07B1B">
        <w:t xml:space="preserve">The National Institute </w:t>
      </w:r>
      <w:r>
        <w:t>for</w:t>
      </w:r>
      <w:r w:rsidRPr="00E07B1B">
        <w:t xml:space="preserve"> Health and </w:t>
      </w:r>
      <w:r>
        <w:t>Care</w:t>
      </w:r>
      <w:r w:rsidRPr="00E07B1B">
        <w:t xml:space="preserve"> Excellence diabetes in pregnancy and antenatal guideline development group developed a single cost-effectiveness model addressing screening, diagnosis and treatment for </w:t>
      </w:r>
      <w:r w:rsidRPr="00E07B1B">
        <w:rPr>
          <w:lang w:eastAsia="ja-JP"/>
        </w:rPr>
        <w:t>gestational diabetes</w:t>
      </w:r>
      <w:r w:rsidRPr="00E07B1B">
        <w:t>. All screening methods, including risk factor</w:t>
      </w:r>
      <w:r>
        <w:t>-</w:t>
      </w:r>
      <w:r w:rsidRPr="00E07B1B">
        <w:t>based screening, screening blood tests and universal diagnostic tests, were considered (in isolation and combinations of tests). Twenty-one screening strategies were considered in total (</w:t>
      </w:r>
      <w:r>
        <w:t>NICE</w:t>
      </w:r>
      <w:r w:rsidRPr="00E07B1B">
        <w:t xml:space="preserve"> 2008).</w:t>
      </w:r>
    </w:p>
    <w:p w:rsidR="0025490C" w:rsidRPr="00E07B1B" w:rsidRDefault="0025490C" w:rsidP="009B248D"/>
    <w:p w:rsidR="0068074A" w:rsidRDefault="0025490C" w:rsidP="009B248D">
      <w:r w:rsidRPr="00E07B1B">
        <w:t xml:space="preserve">Costs appear to be based on 2006 prices and were based on outcomes from an Australian treatment trial of mild gestational diabetes (Crowther </w:t>
      </w:r>
      <w:r w:rsidR="00D562F2">
        <w:t>et al</w:t>
      </w:r>
      <w:r w:rsidRPr="00E07B1B">
        <w:t xml:space="preserve"> 2005). Additional probabilities, costs and utilities were derived from National Health Service data and other identified literature. The model is based on a disease prevalence of 3.5% which is lower than the prevalence in New Zealand.</w:t>
      </w:r>
    </w:p>
    <w:p w:rsidR="0025490C" w:rsidRPr="00E07B1B" w:rsidRDefault="0025490C" w:rsidP="009B248D"/>
    <w:p w:rsidR="0068074A" w:rsidRDefault="0025490C" w:rsidP="009B248D">
      <w:r w:rsidRPr="00E07B1B">
        <w:t>The model was analysed from a National Health Service perspective and assumes that women are more likely to accept a test if they have already been identified as being at higher risk, either by risk factor</w:t>
      </w:r>
      <w:r>
        <w:t>s</w:t>
      </w:r>
      <w:r w:rsidRPr="00E07B1B">
        <w:t xml:space="preserve"> or a previous screening test. The model included an assumption that the </w:t>
      </w:r>
      <w:r>
        <w:t>two-</w:t>
      </w:r>
      <w:r w:rsidRPr="00E07B1B">
        <w:t>hour oral glucose tolerance test is 100% sensitive and specific. Cost-effectiveness was measured as the incremental cost-effectiveness ratio which is the amount we are willing to pay for each unit of improved quality of life.</w:t>
      </w:r>
    </w:p>
    <w:p w:rsidR="0025490C" w:rsidRPr="00E07B1B" w:rsidRDefault="0025490C" w:rsidP="009B248D"/>
    <w:p w:rsidR="0025490C" w:rsidRDefault="0025490C" w:rsidP="009B248D">
      <w:r w:rsidRPr="00E07B1B">
        <w:t xml:space="preserve">The model favoured two screening strategies on dominance grounds. Screening for gestational diabetes based on risk factors other than age was recommended. The consensus view was that advanced maternal age should not be used as a risk factor because this would result in most pregnant women receiving a diagnostic test. The </w:t>
      </w:r>
      <w:r>
        <w:t>two-</w:t>
      </w:r>
      <w:r w:rsidRPr="00E07B1B">
        <w:t>hour 75</w:t>
      </w:r>
      <w:r>
        <w:t xml:space="preserve"> </w:t>
      </w:r>
      <w:r w:rsidRPr="00E07B1B">
        <w:t>g oral glucose tolerance diagnostic test was recommended using the criteria defined by the World Health Organization (</w:t>
      </w:r>
      <w:r>
        <w:t>NICE</w:t>
      </w:r>
      <w:r w:rsidRPr="00E07B1B">
        <w:t xml:space="preserve"> 2008).</w:t>
      </w:r>
    </w:p>
    <w:p w:rsidR="0025490C" w:rsidRPr="00E07B1B" w:rsidRDefault="0025490C" w:rsidP="009B248D"/>
    <w:p w:rsidR="0068074A" w:rsidRDefault="0025490C" w:rsidP="009B248D">
      <w:r w:rsidRPr="00E07B1B">
        <w:t>A United States study analysed the cost</w:t>
      </w:r>
      <w:r>
        <w:t>-</w:t>
      </w:r>
      <w:r w:rsidRPr="00E07B1B">
        <w:t xml:space="preserve">effectiveness of adopting the International Association of Diabetes and Pregnancy Study </w:t>
      </w:r>
      <w:r>
        <w:t>G</w:t>
      </w:r>
      <w:r w:rsidRPr="00E07B1B">
        <w:t>roups</w:t>
      </w:r>
      <w:r w:rsidR="0068074A">
        <w:t>’</w:t>
      </w:r>
      <w:r w:rsidRPr="00E07B1B">
        <w:t xml:space="preserve"> diagnostic criteria (</w:t>
      </w:r>
      <w:r w:rsidR="00521282">
        <w:t xml:space="preserve">Appendix </w:t>
      </w:r>
      <w:r w:rsidR="00090BC8">
        <w:t>I</w:t>
      </w:r>
      <w:r w:rsidRPr="00E07B1B">
        <w:t xml:space="preserve">, Table 17) (Werner </w:t>
      </w:r>
      <w:r w:rsidR="00D562F2">
        <w:t>et al</w:t>
      </w:r>
      <w:r w:rsidRPr="00E07B1B">
        <w:t xml:space="preserve"> 2012).The model compared the cost-utility of three strategies to diagnose gestational diabetes. The International Association of Diabetes and Pregnancy Study </w:t>
      </w:r>
      <w:r>
        <w:t>G</w:t>
      </w:r>
      <w:r w:rsidRPr="00E07B1B">
        <w:t>roups</w:t>
      </w:r>
      <w:r w:rsidR="0068074A">
        <w:t>’</w:t>
      </w:r>
      <w:r w:rsidRPr="00E07B1B">
        <w:t xml:space="preserve"> diagnostic criteria </w:t>
      </w:r>
      <w:r>
        <w:t>are</w:t>
      </w:r>
      <w:r w:rsidRPr="00E07B1B">
        <w:t xml:space="preserve"> cost-effective only when postpartum care reduces diabetes incidence. The proposed International Association of Diabetes and Pregnancy Study </w:t>
      </w:r>
      <w:r>
        <w:t>G</w:t>
      </w:r>
      <w:r w:rsidRPr="00E07B1B">
        <w:t>roups</w:t>
      </w:r>
      <w:r w:rsidR="0068074A">
        <w:t>’</w:t>
      </w:r>
      <w:r w:rsidRPr="00E07B1B">
        <w:t xml:space="preserve"> diagnostic criteria </w:t>
      </w:r>
      <w:r>
        <w:t>are</w:t>
      </w:r>
      <w:r w:rsidRPr="00E07B1B">
        <w:t xml:space="preserve"> expected to increase costs by US$125.6 million (Werner </w:t>
      </w:r>
      <w:r w:rsidR="00D562F2">
        <w:t>et al</w:t>
      </w:r>
      <w:r w:rsidRPr="00E07B1B">
        <w:t xml:space="preserve"> 2012).</w:t>
      </w:r>
    </w:p>
    <w:p w:rsidR="0025490C" w:rsidRPr="00E07B1B" w:rsidRDefault="0025490C" w:rsidP="009B248D"/>
    <w:p w:rsidR="0025490C" w:rsidRDefault="0025490C" w:rsidP="009B248D">
      <w:r w:rsidRPr="00E07B1B">
        <w:t>Another cost analysis study from the United States investigated the cost-effectiveness of gestational diabetes screening using the International Association of Diabetes and Pregnancy Study Groups</w:t>
      </w:r>
      <w:r w:rsidR="0068074A">
        <w:t>’</w:t>
      </w:r>
      <w:r w:rsidRPr="00E07B1B">
        <w:t xml:space="preserve"> guidelines from a societal perspective (Mission </w:t>
      </w:r>
      <w:r w:rsidR="00D562F2">
        <w:t>et al</w:t>
      </w:r>
      <w:r w:rsidRPr="00E07B1B">
        <w:t xml:space="preserve"> 2012). The United States model compared routine screening </w:t>
      </w:r>
      <w:r>
        <w:t>using</w:t>
      </w:r>
      <w:r w:rsidRPr="00E07B1B">
        <w:t xml:space="preserve"> a </w:t>
      </w:r>
      <w:r>
        <w:t>two-</w:t>
      </w:r>
      <w:r w:rsidRPr="00E07B1B">
        <w:t xml:space="preserve">hour oral glucose tolerance test </w:t>
      </w:r>
      <w:r>
        <w:t>with</w:t>
      </w:r>
      <w:r w:rsidRPr="00E07B1B">
        <w:t xml:space="preserve"> the </w:t>
      </w:r>
      <w:r>
        <w:t>one</w:t>
      </w:r>
      <w:r w:rsidR="009B248D">
        <w:noBreakHyphen/>
      </w:r>
      <w:r w:rsidRPr="00E07B1B">
        <w:t xml:space="preserve">hour oral glucose challenge test. All probabilities, costs and benefits were derived from the literature. This study found that screening with the </w:t>
      </w:r>
      <w:r>
        <w:t>two-</w:t>
      </w:r>
      <w:r w:rsidRPr="00E07B1B">
        <w:t xml:space="preserve">hour oral glucose tolerance test was more expensive, more effective, and cost-effective at US$61,503 per quality adjusted life year. The more inclusive diagnostic approach </w:t>
      </w:r>
      <w:r>
        <w:t xml:space="preserve">of the </w:t>
      </w:r>
      <w:r w:rsidRPr="00E07B1B">
        <w:t xml:space="preserve">International Association of Diabetes and Pregnancy Study </w:t>
      </w:r>
      <w:r>
        <w:t>G</w:t>
      </w:r>
      <w:r w:rsidRPr="00E07B1B">
        <w:t>roups remained cost-effective as long as ≥ 2% of women were diagnosed and treated for gestational diabetes.</w:t>
      </w:r>
    </w:p>
    <w:p w:rsidR="0025490C" w:rsidRPr="00E07B1B" w:rsidRDefault="0025490C" w:rsidP="009B248D"/>
    <w:p w:rsidR="0025490C" w:rsidRDefault="0025490C" w:rsidP="009B248D">
      <w:pPr>
        <w:keepLines/>
      </w:pPr>
      <w:r w:rsidRPr="00E07B1B">
        <w:t xml:space="preserve">One study extended the National Institute </w:t>
      </w:r>
      <w:r>
        <w:t>for</w:t>
      </w:r>
      <w:r w:rsidRPr="00E07B1B">
        <w:t xml:space="preserve"> Health and </w:t>
      </w:r>
      <w:r>
        <w:t>Care</w:t>
      </w:r>
      <w:r w:rsidRPr="00E07B1B">
        <w:t xml:space="preserve"> Excellence (2008) guidance (Round </w:t>
      </w:r>
      <w:r w:rsidR="00D562F2">
        <w:t>et al</w:t>
      </w:r>
      <w:r w:rsidRPr="00E07B1B">
        <w:t xml:space="preserve"> 2011). This study estimated the cost-effectiveness of eight strategies for screening for </w:t>
      </w:r>
      <w:r w:rsidRPr="00E07B1B">
        <w:rPr>
          <w:lang w:eastAsia="ja-JP"/>
        </w:rPr>
        <w:t>gestational diabetes</w:t>
      </w:r>
      <w:r w:rsidRPr="00E07B1B">
        <w:t xml:space="preserve"> (including no screening) with respect to the level of individual patient risk from a National Health Service perspective. When gestational diabetes risk is &lt;</w:t>
      </w:r>
      <w:r>
        <w:t xml:space="preserve"> </w:t>
      </w:r>
      <w:r w:rsidRPr="00E07B1B">
        <w:t>1%</w:t>
      </w:r>
      <w:r>
        <w:t>,</w:t>
      </w:r>
      <w:r w:rsidRPr="00E07B1B">
        <w:t xml:space="preserve"> then the no screening/treatment strategy is cost-effective; where risk is between 1.0% and 4.2% fasting plasma glucose followed by oral glucose tolerance test is most likely to be cost-effective; and where risk is</w:t>
      </w:r>
      <w:r w:rsidR="0068074A">
        <w:t xml:space="preserve"> </w:t>
      </w:r>
      <w:r w:rsidRPr="00E07B1B">
        <w:t>&gt;</w:t>
      </w:r>
      <w:r>
        <w:t xml:space="preserve"> </w:t>
      </w:r>
      <w:r w:rsidRPr="00E07B1B">
        <w:t>4.2%, universal oral glucose tolerance test is most likely to be cost-effective. However, acceptability of the test alters the most cost-effective strategy.</w:t>
      </w:r>
    </w:p>
    <w:p w:rsidR="0025490C" w:rsidRPr="00E07B1B" w:rsidRDefault="0025490C" w:rsidP="009B248D"/>
    <w:p w:rsidR="0025490C" w:rsidRPr="00E07B1B" w:rsidRDefault="0025490C" w:rsidP="009B248D">
      <w:r w:rsidRPr="00E07B1B">
        <w:t>The best screening strategy for gestational diabetes is dependent on individual risk and the acceptability of the tests used. If a woman</w:t>
      </w:r>
      <w:r w:rsidR="0068074A">
        <w:t>’</w:t>
      </w:r>
      <w:r w:rsidRPr="00E07B1B">
        <w:t>s individual risk of gestational diabetes could be accurately predicted, then health</w:t>
      </w:r>
      <w:r>
        <w:t xml:space="preserve"> </w:t>
      </w:r>
      <w:r w:rsidRPr="00E07B1B">
        <w:t xml:space="preserve">care resource allocation could be improved by providing an individualised screening strategy (Round </w:t>
      </w:r>
      <w:r w:rsidR="00D562F2">
        <w:t>et al</w:t>
      </w:r>
      <w:r w:rsidRPr="00E07B1B">
        <w:t xml:space="preserve"> 2011).</w:t>
      </w:r>
    </w:p>
    <w:p w:rsidR="0025490C" w:rsidRPr="00E07B1B" w:rsidRDefault="0025490C" w:rsidP="009B248D"/>
    <w:p w:rsidR="0025490C" w:rsidRPr="00E07B1B" w:rsidRDefault="0025490C" w:rsidP="009B248D">
      <w:pPr>
        <w:pStyle w:val="Heading3"/>
      </w:pPr>
      <w:bookmarkStart w:id="318" w:name="_Toc402873610"/>
      <w:r w:rsidRPr="00E07B1B">
        <w:t>12.2.2</w:t>
      </w:r>
      <w:r w:rsidR="009B248D">
        <w:tab/>
      </w:r>
      <w:r w:rsidRPr="00E07B1B">
        <w:t>Cost</w:t>
      </w:r>
      <w:r w:rsidRPr="00E07B1B">
        <w:rPr>
          <w:i/>
        </w:rPr>
        <w:t>-</w:t>
      </w:r>
      <w:r w:rsidRPr="00E07B1B">
        <w:t>effectiveness</w:t>
      </w:r>
      <w:r w:rsidRPr="00E07B1B">
        <w:rPr>
          <w:i/>
        </w:rPr>
        <w:t xml:space="preserve"> </w:t>
      </w:r>
      <w:r w:rsidRPr="00E07B1B">
        <w:t>models for treatment</w:t>
      </w:r>
      <w:bookmarkEnd w:id="318"/>
    </w:p>
    <w:p w:rsidR="0068074A" w:rsidRDefault="0025490C" w:rsidP="009B248D">
      <w:r w:rsidRPr="00E07B1B">
        <w:t xml:space="preserve">The cost-effectiveness model for screening informed the probabilities attached to given patient treatment pathways for gestational diabetes in the National Institute </w:t>
      </w:r>
      <w:r>
        <w:t>for</w:t>
      </w:r>
      <w:r w:rsidRPr="00E07B1B">
        <w:t xml:space="preserve"> Health and </w:t>
      </w:r>
      <w:r>
        <w:t>Care</w:t>
      </w:r>
      <w:r w:rsidRPr="00E07B1B">
        <w:t xml:space="preserve"> Excellence guideline. The cost analysis of different treatment options (analogue insulin, glibenclamide and metformin) for gestational diabetes utilised a cost minimisation approach (</w:t>
      </w:r>
      <w:r>
        <w:t>NICE</w:t>
      </w:r>
      <w:r w:rsidRPr="00E07B1B">
        <w:t xml:space="preserve"> 2008). This</w:t>
      </w:r>
      <w:r>
        <w:t xml:space="preserve"> approach</w:t>
      </w:r>
      <w:r w:rsidRPr="00E07B1B">
        <w:t xml:space="preserve"> was considered appropriate given that the interventions have been shown to be equally efficacious.</w:t>
      </w:r>
    </w:p>
    <w:p w:rsidR="0025490C" w:rsidRPr="00E07B1B" w:rsidRDefault="0025490C" w:rsidP="009B248D"/>
    <w:p w:rsidR="0068074A" w:rsidRDefault="0025490C" w:rsidP="009B248D">
      <w:r w:rsidRPr="00E07B1B">
        <w:t xml:space="preserve">Costs were based on the same trial as the screening model (Crowther </w:t>
      </w:r>
      <w:r w:rsidR="00D562F2">
        <w:t>et al</w:t>
      </w:r>
      <w:r w:rsidRPr="00E07B1B">
        <w:t xml:space="preserve"> 2005). The model assumes that women start with dietary treatment, and those who do not achieve adequate glycaemic control after 10 days would be started on pharmacological therapy. The model addresses a possible differential in the hypoglycaemic risk between the different treatments. Oral hypoglycaemics were considerably cheaper than analogue insulin (</w:t>
      </w:r>
      <w:r>
        <w:t>NICE</w:t>
      </w:r>
      <w:r w:rsidRPr="00E07B1B">
        <w:t xml:space="preserve"> 2008).</w:t>
      </w:r>
    </w:p>
    <w:p w:rsidR="0025490C" w:rsidRPr="00E07B1B" w:rsidRDefault="0025490C" w:rsidP="009B248D"/>
    <w:p w:rsidR="0025490C" w:rsidRDefault="0025490C" w:rsidP="009B248D">
      <w:r w:rsidRPr="00E07B1B">
        <w:t xml:space="preserve">A study from the United States investigated the cost-effectiveness of treating mild gestational diabetes (Ohno </w:t>
      </w:r>
      <w:r w:rsidR="00D562F2">
        <w:t>et al</w:t>
      </w:r>
      <w:r w:rsidRPr="00E07B1B">
        <w:t xml:space="preserve"> 2011). The model simulated a cohort of women with mild gestational diabetes and divided them into a treatment and no treatment arm. The model was based on data derived from an American trial (Landon </w:t>
      </w:r>
      <w:r w:rsidR="00D562F2">
        <w:t>et al</w:t>
      </w:r>
      <w:r w:rsidRPr="00E07B1B">
        <w:t xml:space="preserve"> 2009). Treating gestational diabetes is more expensive at US$12,623 </w:t>
      </w:r>
      <w:r>
        <w:t>than</w:t>
      </w:r>
      <w:r w:rsidRPr="00E07B1B">
        <w:t xml:space="preserve"> US$12,167 for no treatment but </w:t>
      </w:r>
      <w:r>
        <w:t xml:space="preserve">is </w:t>
      </w:r>
      <w:r w:rsidRPr="00E07B1B">
        <w:t xml:space="preserve">more effective </w:t>
      </w:r>
      <w:r>
        <w:t xml:space="preserve">as </w:t>
      </w:r>
      <w:r w:rsidRPr="00E07B1B">
        <w:t>shown by higher</w:t>
      </w:r>
      <w:r>
        <w:t>-</w:t>
      </w:r>
      <w:r w:rsidRPr="00E07B1B">
        <w:t xml:space="preserve">quality adjusted life years at 56.891002 versus 56.868753 for no treatment. The incremental cost per quality adjusted life year is cost-effective (below the cost-effectiveness threshold of US$100,000 per quality adjusted life year) at US$20,412 per quality adjusted life year (Ohno </w:t>
      </w:r>
      <w:r w:rsidR="00D562F2">
        <w:t>et al</w:t>
      </w:r>
      <w:r w:rsidRPr="00E07B1B">
        <w:t xml:space="preserve"> 2011).</w:t>
      </w:r>
    </w:p>
    <w:p w:rsidR="0025490C" w:rsidRPr="00E07B1B" w:rsidRDefault="0025490C" w:rsidP="009B248D"/>
    <w:p w:rsidR="0025490C" w:rsidRDefault="0025490C" w:rsidP="009B248D">
      <w:r w:rsidRPr="00E07B1B">
        <w:t xml:space="preserve">A cost analysis of the Australian trial of treatment for mild gestational diabetes (Moss </w:t>
      </w:r>
      <w:r w:rsidR="00D562F2">
        <w:t>et al</w:t>
      </w:r>
      <w:r w:rsidRPr="00E07B1B">
        <w:t xml:space="preserve"> 2007) took the perspective of the health system and its patients (direct and indirect costs). For every 100 women offered treatment for mild gestational diabetes in addition to routine obstetric care, AU$53,985 additional direct costs were incurred at the obstetric hospital, AU$6,521 additional charges were incurred by women and their families, 9.7 additional women experienced induction of labour and 8.6 more babies were admitted to a neonatal nursery. However, 2.2 fewer babies experienced serious perinatal complication and 1.0 fewer babies experienced perinatal death. The incremental cost per additional serious perinatal complication prevented was AU$27,503, per perinatal death prevented was AU$60,506 and per discounted life-year gained was AU$2,988. The authors concluded that over the whole lifespan, the incremental cost per extra life-year gained was highly favourable.</w:t>
      </w:r>
    </w:p>
    <w:p w:rsidR="0025490C" w:rsidRPr="00E07B1B" w:rsidRDefault="0025490C" w:rsidP="000E36B2"/>
    <w:p w:rsidR="0068074A" w:rsidRDefault="0025490C" w:rsidP="000E36B2">
      <w:pPr>
        <w:pStyle w:val="Heading3"/>
      </w:pPr>
      <w:bookmarkStart w:id="319" w:name="_Toc363207387"/>
      <w:bookmarkStart w:id="320" w:name="_Toc402873611"/>
      <w:r w:rsidRPr="00E07B1B">
        <w:t>12.2.3</w:t>
      </w:r>
      <w:r w:rsidR="000E36B2">
        <w:tab/>
      </w:r>
      <w:r w:rsidRPr="00E07B1B">
        <w:t xml:space="preserve">Cost-effectiveness of </w:t>
      </w:r>
      <w:r>
        <w:t>s</w:t>
      </w:r>
      <w:r w:rsidRPr="00E07B1B">
        <w:t xml:space="preserve">creening and </w:t>
      </w:r>
      <w:r>
        <w:t>t</w:t>
      </w:r>
      <w:r w:rsidRPr="00E07B1B">
        <w:t>reatment</w:t>
      </w:r>
      <w:bookmarkEnd w:id="319"/>
      <w:bookmarkEnd w:id="320"/>
    </w:p>
    <w:p w:rsidR="0025490C" w:rsidRDefault="0025490C" w:rsidP="000E36B2">
      <w:r w:rsidRPr="00E07B1B">
        <w:t xml:space="preserve">Another study (piloted in India and Israel) assessed the cost-effectiveness of </w:t>
      </w:r>
      <w:r w:rsidRPr="00E07B1B">
        <w:rPr>
          <w:lang w:eastAsia="ja-JP"/>
        </w:rPr>
        <w:t>gestational diabetes</w:t>
      </w:r>
      <w:r w:rsidRPr="00E07B1B">
        <w:t xml:space="preserve"> screening and lifestyle change for the prevention of type 2 diabetes (Lohse</w:t>
      </w:r>
      <w:r>
        <w:t xml:space="preserve"> </w:t>
      </w:r>
      <w:r w:rsidR="00D562F2">
        <w:t>et al</w:t>
      </w:r>
      <w:r w:rsidRPr="00E07B1B">
        <w:t xml:space="preserve"> 2011). The costs evaluated included direct service delivery costs and indirect costs such as general administration activities. The model calculated the cost-effectiveness ratio per disability adjusted life year.</w:t>
      </w:r>
    </w:p>
    <w:p w:rsidR="0025490C" w:rsidRPr="00E07B1B" w:rsidRDefault="0025490C" w:rsidP="000E36B2"/>
    <w:p w:rsidR="0068074A" w:rsidRDefault="0025490C" w:rsidP="000E36B2">
      <w:r w:rsidRPr="00E07B1B">
        <w:t>The authors concluded that gestational diabetes screening and postpartum lifestyle management are either cost saving or have a net cost but an attractive cost-effectiveness ratio. Universal screening of pregnant women followed by postpartum lifestyle management yielded net savings of US$78 per woman with gestational diabetes in India and US$1</w:t>
      </w:r>
      <w:r>
        <w:t>,</w:t>
      </w:r>
      <w:r w:rsidRPr="00E07B1B">
        <w:t>945 per woman in Israel. The estimated disability adjusted life years averted were 2.33 in India and 3.10 in Israel. With lower gestational diabetes prevalence, intervention efficacy and type 2 diabetes incidence, the intervention had a net cost in India, with a cost per disability adjusted life year averted</w:t>
      </w:r>
      <w:r>
        <w:t>,</w:t>
      </w:r>
      <w:r w:rsidRPr="00E07B1B">
        <w:t xml:space="preserve"> of US$11.32. This was below the </w:t>
      </w:r>
      <w:r>
        <w:t>WHO</w:t>
      </w:r>
      <w:r w:rsidRPr="00E07B1B">
        <w:t xml:space="preserve"> definition of </w:t>
      </w:r>
      <w:r w:rsidR="0068074A">
        <w:t>‘</w:t>
      </w:r>
      <w:r w:rsidRPr="00E07B1B">
        <w:t>very cost-effective</w:t>
      </w:r>
      <w:r w:rsidR="0068074A">
        <w:t>’</w:t>
      </w:r>
      <w:r w:rsidRPr="00E07B1B">
        <w:t>, set at annual gross domestic product per capita.</w:t>
      </w:r>
    </w:p>
    <w:p w:rsidR="0025490C" w:rsidRPr="00E07B1B" w:rsidRDefault="0025490C" w:rsidP="000E36B2"/>
    <w:p w:rsidR="0025490C" w:rsidRPr="00E07B1B" w:rsidRDefault="0025490C" w:rsidP="000E36B2">
      <w:pPr>
        <w:pStyle w:val="Heading2"/>
      </w:pPr>
      <w:bookmarkStart w:id="321" w:name="_Toc363207390"/>
      <w:bookmarkStart w:id="322" w:name="_Toc402873612"/>
      <w:bookmarkStart w:id="323" w:name="_Toc403469681"/>
      <w:r w:rsidRPr="00E07B1B">
        <w:t>12.3</w:t>
      </w:r>
      <w:r w:rsidR="000E36B2">
        <w:tab/>
      </w:r>
      <w:r w:rsidRPr="00E07B1B">
        <w:t>Summary of evidence</w:t>
      </w:r>
      <w:bookmarkEnd w:id="321"/>
      <w:bookmarkEnd w:id="322"/>
      <w:bookmarkEnd w:id="323"/>
    </w:p>
    <w:p w:rsidR="0068074A" w:rsidRDefault="0025490C" w:rsidP="000E36B2">
      <w:r w:rsidRPr="00E07B1B">
        <w:rPr>
          <w:rFonts w:eastAsia="MS Mincho"/>
          <w:lang w:eastAsia="ja-JP"/>
        </w:rPr>
        <w:t>Three of the cost</w:t>
      </w:r>
      <w:r>
        <w:rPr>
          <w:rFonts w:eastAsia="MS Mincho"/>
          <w:lang w:eastAsia="ja-JP"/>
        </w:rPr>
        <w:t>-</w:t>
      </w:r>
      <w:r w:rsidRPr="00E07B1B">
        <w:rPr>
          <w:rFonts w:eastAsia="MS Mincho"/>
          <w:lang w:eastAsia="ja-JP"/>
        </w:rPr>
        <w:t>effectiveness studies that were identified favoured risk factor-based screening, four studies recommended a universal approach</w:t>
      </w:r>
      <w:r w:rsidRPr="00C719B0">
        <w:rPr>
          <w:rFonts w:eastAsia="MS Mincho"/>
          <w:lang w:eastAsia="ja-JP"/>
        </w:rPr>
        <w:t xml:space="preserve"> </w:t>
      </w:r>
      <w:r w:rsidRPr="00E07B1B">
        <w:rPr>
          <w:rFonts w:eastAsia="MS Mincho"/>
          <w:lang w:eastAsia="ja-JP"/>
        </w:rPr>
        <w:t>and two studies recommended either strategy. A cost</w:t>
      </w:r>
      <w:r>
        <w:rPr>
          <w:rFonts w:eastAsia="MS Mincho"/>
          <w:lang w:eastAsia="ja-JP"/>
        </w:rPr>
        <w:t>-</w:t>
      </w:r>
      <w:r w:rsidRPr="00E07B1B">
        <w:rPr>
          <w:rFonts w:eastAsia="MS Mincho"/>
          <w:lang w:eastAsia="ja-JP"/>
        </w:rPr>
        <w:t>effectiveness analysis from the United Kin</w:t>
      </w:r>
      <w:r>
        <w:rPr>
          <w:rFonts w:eastAsia="MS Mincho"/>
          <w:lang w:eastAsia="ja-JP"/>
        </w:rPr>
        <w:t>gd</w:t>
      </w:r>
      <w:r w:rsidRPr="00E07B1B">
        <w:rPr>
          <w:rFonts w:eastAsia="MS Mincho"/>
          <w:lang w:eastAsia="ja-JP"/>
        </w:rPr>
        <w:t xml:space="preserve">om concluded that </w:t>
      </w:r>
      <w:r w:rsidRPr="00E07B1B">
        <w:t>the best strategy of screening for gestational diabetes is dependent on the underlying risk of each individual and the acceptability of the tests used.</w:t>
      </w:r>
    </w:p>
    <w:p w:rsidR="0025490C" w:rsidRPr="00E07B1B" w:rsidRDefault="0025490C" w:rsidP="000E36B2"/>
    <w:p w:rsidR="0025490C" w:rsidRPr="00E07B1B" w:rsidRDefault="0025490C" w:rsidP="000E36B2">
      <w:pPr>
        <w:rPr>
          <w:rFonts w:eastAsia="MS Mincho"/>
          <w:lang w:eastAsia="ja-JP"/>
        </w:rPr>
      </w:pPr>
      <w:r w:rsidRPr="00E07B1B">
        <w:rPr>
          <w:rFonts w:eastAsia="MS Mincho"/>
          <w:lang w:eastAsia="ja-JP"/>
        </w:rPr>
        <w:t xml:space="preserve">When considering universal versus risk factor-based screening, the cost of detecting the additional cases needs to be considered alongside the incremental benefit. The more women that are screened for gestational diabetes, the higher the number of false positives. It is necessary to consider the cost of providing treatment and the potential for unnecessary anxiety experienced by women falsely diagnosed with gestational diabetes. </w:t>
      </w:r>
      <w:r>
        <w:t>S</w:t>
      </w:r>
      <w:r w:rsidRPr="00E07B1B">
        <w:t xml:space="preserve">ection 3.4 highlighted the concerns </w:t>
      </w:r>
      <w:r>
        <w:t>about</w:t>
      </w:r>
      <w:r w:rsidRPr="00E07B1B">
        <w:t xml:space="preserve"> potentially missing women with gestational diabetes when risk factor screening was used in New Zealand. This</w:t>
      </w:r>
      <w:r>
        <w:t xml:space="preserve"> strategy</w:t>
      </w:r>
      <w:r w:rsidRPr="00E07B1B">
        <w:t xml:space="preserve"> is of particular concern where women with previously undiagnosed diabetes</w:t>
      </w:r>
      <w:r>
        <w:t xml:space="preserve"> but</w:t>
      </w:r>
      <w:r w:rsidRPr="00E07B1B">
        <w:t xml:space="preserve"> no apparent risk factors are not screened.</w:t>
      </w:r>
    </w:p>
    <w:p w:rsidR="0025490C" w:rsidRPr="00E07B1B" w:rsidRDefault="0025490C" w:rsidP="000E36B2"/>
    <w:p w:rsidR="0068074A" w:rsidRDefault="0025490C" w:rsidP="000E36B2">
      <w:r w:rsidRPr="00E07B1B">
        <w:t>The results of international cost</w:t>
      </w:r>
      <w:r>
        <w:t>-</w:t>
      </w:r>
      <w:r w:rsidRPr="00E07B1B">
        <w:t>effectiveness studies are not immediately generalisable to the New Zealand context. Setting-specific differences in price weights and medical service use are important, and different morbidity and mortality patterns also justify consideration.</w:t>
      </w:r>
    </w:p>
    <w:p w:rsidR="0025490C" w:rsidRPr="00E07B1B" w:rsidRDefault="0025490C" w:rsidP="000E36B2"/>
    <w:p w:rsidR="0068074A" w:rsidRDefault="0025490C" w:rsidP="000E36B2">
      <w:r w:rsidRPr="00E07B1B">
        <w:rPr>
          <w:rFonts w:eastAsia="MS Mincho"/>
          <w:lang w:eastAsia="ja-JP"/>
        </w:rPr>
        <w:t xml:space="preserve">Another issue to consider is the generalisability of the modelling to the </w:t>
      </w:r>
      <w:r w:rsidRPr="00E07B1B">
        <w:t>New Zealand</w:t>
      </w:r>
      <w:r w:rsidRPr="00E07B1B">
        <w:rPr>
          <w:rFonts w:eastAsia="MS Mincho"/>
          <w:lang w:eastAsia="ja-JP"/>
        </w:rPr>
        <w:t xml:space="preserve"> demographic. The </w:t>
      </w:r>
      <w:r w:rsidRPr="00E07B1B">
        <w:rPr>
          <w:lang w:eastAsia="ja-JP"/>
        </w:rPr>
        <w:t>gestational diabetes</w:t>
      </w:r>
      <w:r w:rsidRPr="00E07B1B">
        <w:rPr>
          <w:rFonts w:eastAsia="MS Mincho"/>
          <w:lang w:eastAsia="ja-JP"/>
        </w:rPr>
        <w:t xml:space="preserve"> prevalence of </w:t>
      </w:r>
      <w:r>
        <w:rPr>
          <w:rFonts w:eastAsia="MS Mincho"/>
          <w:lang w:eastAsia="ja-JP"/>
        </w:rPr>
        <w:t xml:space="preserve">the </w:t>
      </w:r>
      <w:r w:rsidRPr="00E07B1B">
        <w:rPr>
          <w:rFonts w:eastAsia="MS Mincho"/>
          <w:lang w:eastAsia="ja-JP"/>
        </w:rPr>
        <w:t xml:space="preserve">National Institute </w:t>
      </w:r>
      <w:r>
        <w:rPr>
          <w:rFonts w:eastAsia="MS Mincho"/>
          <w:lang w:eastAsia="ja-JP"/>
        </w:rPr>
        <w:t>for</w:t>
      </w:r>
      <w:r w:rsidRPr="00E07B1B">
        <w:rPr>
          <w:rFonts w:eastAsia="MS Mincho"/>
          <w:lang w:eastAsia="ja-JP"/>
        </w:rPr>
        <w:t xml:space="preserve"> Health and </w:t>
      </w:r>
      <w:r>
        <w:rPr>
          <w:rFonts w:eastAsia="MS Mincho"/>
          <w:lang w:eastAsia="ja-JP"/>
        </w:rPr>
        <w:t>Care</w:t>
      </w:r>
      <w:r w:rsidRPr="00E07B1B">
        <w:rPr>
          <w:rFonts w:eastAsia="MS Mincho"/>
          <w:lang w:eastAsia="ja-JP"/>
        </w:rPr>
        <w:t xml:space="preserve"> Excellence model was estimated at 3.5%. </w:t>
      </w:r>
      <w:r w:rsidRPr="00E07B1B">
        <w:t>New Zealand</w:t>
      </w:r>
      <w:r w:rsidR="0068074A">
        <w:rPr>
          <w:rFonts w:eastAsia="MS Mincho"/>
          <w:lang w:eastAsia="ja-JP"/>
        </w:rPr>
        <w:t>’</w:t>
      </w:r>
      <w:r>
        <w:rPr>
          <w:rFonts w:eastAsia="MS Mincho"/>
          <w:lang w:eastAsia="ja-JP"/>
        </w:rPr>
        <w:t>s</w:t>
      </w:r>
      <w:r w:rsidRPr="00E07B1B">
        <w:rPr>
          <w:rFonts w:eastAsia="MS Mincho"/>
          <w:lang w:eastAsia="ja-JP"/>
        </w:rPr>
        <w:t xml:space="preserve"> prevalence </w:t>
      </w:r>
      <w:r>
        <w:rPr>
          <w:rFonts w:eastAsia="MS Mincho"/>
          <w:lang w:eastAsia="ja-JP"/>
        </w:rPr>
        <w:t xml:space="preserve">is </w:t>
      </w:r>
      <w:r w:rsidRPr="00E07B1B">
        <w:rPr>
          <w:rFonts w:eastAsia="MS Mincho"/>
          <w:lang w:eastAsia="ja-JP"/>
        </w:rPr>
        <w:t>thought to be approximately 5.1%.</w:t>
      </w:r>
      <w:r w:rsidRPr="000E36B2">
        <w:rPr>
          <w:rStyle w:val="FootnoteReference"/>
          <w:rFonts w:eastAsia="MS Mincho"/>
        </w:rPr>
        <w:footnoteReference w:id="6"/>
      </w:r>
      <w:r w:rsidRPr="00E07B1B">
        <w:rPr>
          <w:rFonts w:eastAsia="MS Mincho"/>
          <w:lang w:eastAsia="ja-JP"/>
        </w:rPr>
        <w:t xml:space="preserve"> The prevalence of </w:t>
      </w:r>
      <w:r w:rsidRPr="00E07B1B">
        <w:rPr>
          <w:lang w:eastAsia="ja-JP"/>
        </w:rPr>
        <w:t>gestational diabetes</w:t>
      </w:r>
      <w:r w:rsidRPr="00E07B1B">
        <w:rPr>
          <w:rFonts w:eastAsia="MS Mincho"/>
          <w:lang w:eastAsia="ja-JP"/>
        </w:rPr>
        <w:t xml:space="preserve"> also varies in different regions of New Zealand (Appendix E, Table 1) and the prevalence is affected by the screening practices of those regions. This is potentially important as it influences the trade-off between the detection of </w:t>
      </w:r>
      <w:r w:rsidRPr="00E07B1B">
        <w:rPr>
          <w:lang w:eastAsia="ja-JP"/>
        </w:rPr>
        <w:t>gestational diabetes</w:t>
      </w:r>
      <w:r w:rsidRPr="00E07B1B">
        <w:rPr>
          <w:rFonts w:eastAsia="MS Mincho"/>
          <w:lang w:eastAsia="ja-JP"/>
        </w:rPr>
        <w:t xml:space="preserve"> and false positives. </w:t>
      </w:r>
      <w:r w:rsidRPr="00E07B1B">
        <w:t xml:space="preserve">The results suggested that varying the prevalence over a range of </w:t>
      </w:r>
      <w:r>
        <w:t>three</w:t>
      </w:r>
      <w:r w:rsidRPr="00E07B1B">
        <w:t xml:space="preserve"> percentage points (to 5% prevalence) had little impact on the cost</w:t>
      </w:r>
      <w:r>
        <w:t>-</w:t>
      </w:r>
      <w:r w:rsidRPr="00E07B1B">
        <w:t xml:space="preserve">effectiveness conclusions of the model </w:t>
      </w:r>
      <w:r w:rsidRPr="00E07B1B">
        <w:rPr>
          <w:rFonts w:eastAsia="MS Mincho"/>
          <w:lang w:eastAsia="ja-JP"/>
        </w:rPr>
        <w:t>(</w:t>
      </w:r>
      <w:r>
        <w:t>NICE</w:t>
      </w:r>
      <w:r w:rsidRPr="00E07B1B">
        <w:rPr>
          <w:rFonts w:eastAsia="MS Mincho"/>
          <w:lang w:eastAsia="ja-JP"/>
        </w:rPr>
        <w:t xml:space="preserve"> 2008).</w:t>
      </w:r>
    </w:p>
    <w:p w:rsidR="0025490C" w:rsidRPr="00E07B1B" w:rsidRDefault="0025490C" w:rsidP="000E36B2"/>
    <w:p w:rsidR="0068074A" w:rsidRDefault="0025490C" w:rsidP="000E36B2">
      <w:pPr>
        <w:keepLines/>
        <w:rPr>
          <w:rFonts w:eastAsia="MS Mincho"/>
          <w:color w:val="000000"/>
          <w:lang w:eastAsia="ja-JP"/>
        </w:rPr>
      </w:pPr>
      <w:r w:rsidRPr="00E07B1B">
        <w:t>The United States cost</w:t>
      </w:r>
      <w:r>
        <w:t>-</w:t>
      </w:r>
      <w:r w:rsidRPr="00E07B1B">
        <w:t xml:space="preserve">effectiveness model found a one-step screening process was only cost-effective as compared </w:t>
      </w:r>
      <w:r>
        <w:t>with</w:t>
      </w:r>
      <w:r w:rsidRPr="00E07B1B">
        <w:t xml:space="preserve"> no screening when postpartum care reduces the incidence of diabetes. Two of the </w:t>
      </w:r>
      <w:r>
        <w:t>United States</w:t>
      </w:r>
      <w:r w:rsidRPr="00E07B1B">
        <w:t xml:space="preserve"> </w:t>
      </w:r>
      <w:r w:rsidRPr="00E07B1B">
        <w:rPr>
          <w:rFonts w:eastAsia="MS Mincho"/>
          <w:color w:val="000000"/>
          <w:lang w:eastAsia="ja-JP"/>
        </w:rPr>
        <w:t>cost-effectiveness studies modelled the benefits of lifestyle changes alongside the benefits of screening for gestational diabetes. These benefits were often derived from intensive lifestyle modification programmes, which are not currently offered to women with gestational diabetes in New Zealand.</w:t>
      </w:r>
    </w:p>
    <w:p w:rsidR="000E36B2" w:rsidRDefault="000E36B2" w:rsidP="000E36B2">
      <w:pPr>
        <w:rPr>
          <w:rFonts w:eastAsia="MS Mincho"/>
          <w:lang w:eastAsia="ja-JP"/>
        </w:rPr>
      </w:pPr>
    </w:p>
    <w:p w:rsidR="0025490C" w:rsidRPr="00E07B1B" w:rsidRDefault="0025490C" w:rsidP="000E36B2">
      <w:pPr>
        <w:pStyle w:val="Heading1"/>
      </w:pPr>
      <w:r w:rsidRPr="00E07B1B">
        <w:br w:type="page"/>
      </w:r>
      <w:bookmarkStart w:id="324" w:name="_Toc363207391"/>
      <w:bookmarkStart w:id="325" w:name="_Toc402873613"/>
      <w:bookmarkStart w:id="326" w:name="_Toc403469682"/>
      <w:r w:rsidRPr="00E07B1B">
        <w:t>Chapter 13</w:t>
      </w:r>
      <w:r>
        <w:t>:</w:t>
      </w:r>
      <w:r w:rsidRPr="00E07B1B">
        <w:t xml:space="preserve"> Interviews with women with gestational diabetes</w:t>
      </w:r>
      <w:bookmarkEnd w:id="324"/>
      <w:bookmarkEnd w:id="325"/>
      <w:bookmarkEnd w:id="326"/>
    </w:p>
    <w:p w:rsidR="0025490C" w:rsidRDefault="0025490C" w:rsidP="000E36B2">
      <w:r w:rsidRPr="00E07B1B">
        <w:t xml:space="preserve">Interviews were conducted with women diagnosed with gestational diabetes during a pregnancy in order to find out </w:t>
      </w:r>
      <w:r>
        <w:t xml:space="preserve">more about </w:t>
      </w:r>
      <w:r w:rsidRPr="00E07B1B">
        <w:t xml:space="preserve">the experience of having gestational diabetes. The results of these interviews are described below. </w:t>
      </w:r>
      <w:r>
        <w:t>A</w:t>
      </w:r>
      <w:r w:rsidRPr="00E07B1B">
        <w:t>lso summarised</w:t>
      </w:r>
      <w:r>
        <w:t xml:space="preserve"> are</w:t>
      </w:r>
      <w:r w:rsidRPr="00E07B1B">
        <w:t xml:space="preserve"> the findings from similar studies recently conducted in New Zealand.</w:t>
      </w:r>
    </w:p>
    <w:p w:rsidR="0025490C" w:rsidRPr="00E07B1B" w:rsidRDefault="0025490C" w:rsidP="000E36B2"/>
    <w:p w:rsidR="0025490C" w:rsidRDefault="0025490C" w:rsidP="000E36B2">
      <w:r w:rsidRPr="00E07B1B">
        <w:t>A narrative review of a limited number of qualitative studies was undertaken to summarise the literature describing women</w:t>
      </w:r>
      <w:r w:rsidR="0068074A">
        <w:t>’</w:t>
      </w:r>
      <w:r w:rsidRPr="00E07B1B">
        <w:t>s perception of gestational diabetes. The studies were not critically appraised or summarised in evidence tables.</w:t>
      </w:r>
    </w:p>
    <w:p w:rsidR="0025490C" w:rsidRPr="00E07B1B" w:rsidRDefault="0025490C" w:rsidP="000E36B2"/>
    <w:p w:rsidR="0025490C" w:rsidRPr="00E07B1B" w:rsidRDefault="0025490C" w:rsidP="000E36B2">
      <w:pPr>
        <w:pStyle w:val="Heading2"/>
      </w:pPr>
      <w:bookmarkStart w:id="327" w:name="_Toc363207392"/>
      <w:bookmarkStart w:id="328" w:name="_Toc402873614"/>
      <w:bookmarkStart w:id="329" w:name="_Toc403469683"/>
      <w:r w:rsidRPr="00E07B1B">
        <w:t>13.1</w:t>
      </w:r>
      <w:r w:rsidR="000E36B2">
        <w:tab/>
      </w:r>
      <w:r w:rsidRPr="00E07B1B">
        <w:t>Interviews with women diagnosed with gestational diabetes</w:t>
      </w:r>
      <w:bookmarkEnd w:id="327"/>
      <w:bookmarkEnd w:id="328"/>
      <w:bookmarkEnd w:id="329"/>
    </w:p>
    <w:p w:rsidR="0025490C" w:rsidRPr="00E07B1B" w:rsidRDefault="0025490C" w:rsidP="000E36B2">
      <w:r w:rsidRPr="00E07B1B">
        <w:t>Interviews were conducted as part of the guideline development process to provide the consumer perspective on:</w:t>
      </w:r>
    </w:p>
    <w:p w:rsidR="0025490C" w:rsidRPr="00E07B1B" w:rsidRDefault="0025490C" w:rsidP="000E36B2">
      <w:pPr>
        <w:pStyle w:val="Bullet"/>
      </w:pPr>
      <w:r>
        <w:t>k</w:t>
      </w:r>
      <w:r w:rsidRPr="00E07B1B">
        <w:t>nowledge about gestational diabetes</w:t>
      </w:r>
    </w:p>
    <w:p w:rsidR="0025490C" w:rsidRPr="00E07B1B" w:rsidRDefault="0025490C" w:rsidP="000E36B2">
      <w:pPr>
        <w:pStyle w:val="Bullet"/>
      </w:pPr>
      <w:r>
        <w:t>e</w:t>
      </w:r>
      <w:r w:rsidRPr="00E07B1B">
        <w:t>xperiences of diagnosis and treatment</w:t>
      </w:r>
    </w:p>
    <w:p w:rsidR="0025490C" w:rsidRPr="00E07B1B" w:rsidRDefault="0025490C" w:rsidP="000E36B2">
      <w:pPr>
        <w:pStyle w:val="Bullet"/>
      </w:pPr>
      <w:r>
        <w:t>w</w:t>
      </w:r>
      <w:r w:rsidRPr="00E07B1B">
        <w:t>hat could be improved</w:t>
      </w:r>
    </w:p>
    <w:p w:rsidR="0025490C" w:rsidRPr="00E07B1B" w:rsidRDefault="0025490C" w:rsidP="000E36B2">
      <w:pPr>
        <w:pStyle w:val="Bullet"/>
      </w:pPr>
      <w:r>
        <w:t>w</w:t>
      </w:r>
      <w:r w:rsidRPr="00E07B1B">
        <w:t>here women got their information from</w:t>
      </w:r>
      <w:r>
        <w:t>.</w:t>
      </w:r>
    </w:p>
    <w:p w:rsidR="0025490C" w:rsidRDefault="0025490C" w:rsidP="000E36B2"/>
    <w:p w:rsidR="0068074A" w:rsidRDefault="0025490C" w:rsidP="000E36B2">
      <w:r w:rsidRPr="00E07B1B">
        <w:t xml:space="preserve">The data </w:t>
      </w:r>
      <w:r>
        <w:t>from</w:t>
      </w:r>
      <w:r w:rsidRPr="00E07B1B">
        <w:t xml:space="preserve"> the interviews were non-identifying. Two women were interviewed from </w:t>
      </w:r>
      <w:r>
        <w:t xml:space="preserve">the </w:t>
      </w:r>
      <w:r w:rsidRPr="00E07B1B">
        <w:t xml:space="preserve">rural North Island and five women from Auckland City. There were </w:t>
      </w:r>
      <w:r>
        <w:rPr>
          <w:rFonts w:cs="Arial"/>
        </w:rPr>
        <w:t>four</w:t>
      </w:r>
      <w:r w:rsidRPr="00E07B1B">
        <w:rPr>
          <w:rFonts w:cs="Arial"/>
        </w:rPr>
        <w:t xml:space="preserve"> Māori women and </w:t>
      </w:r>
      <w:r>
        <w:rPr>
          <w:rFonts w:cs="Arial"/>
        </w:rPr>
        <w:t>one</w:t>
      </w:r>
      <w:r w:rsidRPr="00E07B1B">
        <w:rPr>
          <w:rFonts w:cs="Arial"/>
        </w:rPr>
        <w:t xml:space="preserve"> European, </w:t>
      </w:r>
      <w:r>
        <w:rPr>
          <w:rFonts w:cs="Arial"/>
        </w:rPr>
        <w:t>one</w:t>
      </w:r>
      <w:r w:rsidRPr="00E07B1B">
        <w:rPr>
          <w:rFonts w:cs="Arial"/>
        </w:rPr>
        <w:t xml:space="preserve"> Samoan and </w:t>
      </w:r>
      <w:r>
        <w:rPr>
          <w:rFonts w:cs="Arial"/>
        </w:rPr>
        <w:t>one</w:t>
      </w:r>
      <w:r w:rsidRPr="00E07B1B">
        <w:rPr>
          <w:rFonts w:cs="Arial"/>
        </w:rPr>
        <w:t xml:space="preserve"> Asian woman. </w:t>
      </w:r>
      <w:r w:rsidRPr="00E07B1B">
        <w:t xml:space="preserve">Three women were having their first pregnancy and </w:t>
      </w:r>
      <w:r>
        <w:t>one</w:t>
      </w:r>
      <w:r w:rsidRPr="00E07B1B">
        <w:t xml:space="preserve"> woman was in her sixth pregnancy.</w:t>
      </w:r>
    </w:p>
    <w:p w:rsidR="0025490C" w:rsidRPr="00E07B1B" w:rsidRDefault="0025490C" w:rsidP="000E36B2"/>
    <w:p w:rsidR="0025490C" w:rsidRPr="00E07B1B" w:rsidRDefault="0025490C" w:rsidP="000E36B2">
      <w:pPr>
        <w:pStyle w:val="Heading3"/>
      </w:pPr>
      <w:bookmarkStart w:id="330" w:name="_Toc363207393"/>
      <w:bookmarkStart w:id="331" w:name="_Toc402873615"/>
      <w:r w:rsidRPr="00E07B1B">
        <w:t>13.1.1</w:t>
      </w:r>
      <w:r w:rsidR="000E36B2">
        <w:tab/>
      </w:r>
      <w:r w:rsidRPr="00E07B1B">
        <w:t>Knowledge of gestational diabetes</w:t>
      </w:r>
      <w:bookmarkEnd w:id="330"/>
      <w:bookmarkEnd w:id="331"/>
    </w:p>
    <w:p w:rsidR="0068074A" w:rsidRDefault="0025490C" w:rsidP="000E36B2">
      <w:r w:rsidRPr="00E07B1B">
        <w:t>When a pregnant woman is diagnosed with gestational diabetes</w:t>
      </w:r>
      <w:r>
        <w:t>,</w:t>
      </w:r>
      <w:r w:rsidRPr="00E07B1B">
        <w:t xml:space="preserve"> there is a lot of new information to try to understand including the causes of gestational diabetes, and the effects on the mother and infant. The women that were interviewed showed varying levels of understanding about gestational diabetes (Table</w:t>
      </w:r>
      <w:r>
        <w:t xml:space="preserve"> </w:t>
      </w:r>
      <w:r w:rsidR="00C04C3B">
        <w:t>B</w:t>
      </w:r>
      <w:r w:rsidRPr="00E07B1B">
        <w:t>).</w:t>
      </w:r>
    </w:p>
    <w:p w:rsidR="0025490C" w:rsidRPr="00E07B1B" w:rsidRDefault="0025490C" w:rsidP="000E36B2"/>
    <w:p w:rsidR="0025490C" w:rsidRPr="00E07B1B" w:rsidRDefault="0025490C" w:rsidP="000E36B2">
      <w:pPr>
        <w:pStyle w:val="Table"/>
      </w:pPr>
      <w:bookmarkStart w:id="332" w:name="_Toc403635880"/>
      <w:r w:rsidRPr="00E07B1B">
        <w:t xml:space="preserve">Table </w:t>
      </w:r>
      <w:r w:rsidR="00C04C3B">
        <w:t>B</w:t>
      </w:r>
      <w:r w:rsidR="000E36B2">
        <w:t>:</w:t>
      </w:r>
      <w:r w:rsidRPr="00E07B1B">
        <w:t xml:space="preserve"> Participants</w:t>
      </w:r>
      <w:r w:rsidR="0068074A">
        <w:t>’</w:t>
      </w:r>
      <w:r w:rsidRPr="00E07B1B">
        <w:t xml:space="preserve"> knowledge of </w:t>
      </w:r>
      <w:r w:rsidRPr="00E07B1B">
        <w:rPr>
          <w:rFonts w:cs="Arial"/>
        </w:rPr>
        <w:t>gestational diabetes</w:t>
      </w:r>
      <w:bookmarkEnd w:id="332"/>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3118"/>
        <w:gridCol w:w="3119"/>
        <w:gridCol w:w="3119"/>
      </w:tblGrid>
      <w:tr w:rsidR="0025490C" w:rsidRPr="000E36B2" w:rsidTr="000E36B2">
        <w:trPr>
          <w:cantSplit/>
        </w:trPr>
        <w:tc>
          <w:tcPr>
            <w:tcW w:w="3118" w:type="dxa"/>
            <w:tcBorders>
              <w:bottom w:val="single" w:sz="4" w:space="0" w:color="auto"/>
            </w:tcBorders>
            <w:shd w:val="clear" w:color="auto" w:fill="auto"/>
          </w:tcPr>
          <w:p w:rsidR="0025490C" w:rsidRPr="000E36B2" w:rsidRDefault="0025490C" w:rsidP="000E36B2">
            <w:pPr>
              <w:pStyle w:val="TableText"/>
              <w:keepNext/>
              <w:rPr>
                <w:rFonts w:eastAsia="MS Mincho"/>
                <w:b/>
                <w:lang w:eastAsia="ja-JP"/>
              </w:rPr>
            </w:pPr>
            <w:r w:rsidRPr="000E36B2">
              <w:rPr>
                <w:rFonts w:eastAsia="MS Mincho"/>
                <w:b/>
                <w:lang w:eastAsia="ja-JP"/>
              </w:rPr>
              <w:t>Gestational diabetes is caused by …</w:t>
            </w:r>
          </w:p>
        </w:tc>
        <w:tc>
          <w:tcPr>
            <w:tcW w:w="3119" w:type="dxa"/>
            <w:tcBorders>
              <w:bottom w:val="single" w:sz="4" w:space="0" w:color="auto"/>
            </w:tcBorders>
            <w:shd w:val="clear" w:color="auto" w:fill="auto"/>
          </w:tcPr>
          <w:p w:rsidR="0025490C" w:rsidRPr="000E36B2" w:rsidRDefault="0025490C" w:rsidP="000E36B2">
            <w:pPr>
              <w:pStyle w:val="TableText"/>
              <w:keepNext/>
              <w:rPr>
                <w:rFonts w:eastAsia="MS Mincho"/>
                <w:b/>
                <w:lang w:eastAsia="ja-JP"/>
              </w:rPr>
            </w:pPr>
            <w:r w:rsidRPr="000E36B2">
              <w:rPr>
                <w:rFonts w:eastAsia="MS Mincho"/>
                <w:b/>
                <w:lang w:eastAsia="ja-JP"/>
              </w:rPr>
              <w:t>Gestational diabetes isn</w:t>
            </w:r>
            <w:r w:rsidR="0068074A" w:rsidRPr="000E36B2">
              <w:rPr>
                <w:rFonts w:eastAsia="MS Mincho"/>
                <w:b/>
                <w:lang w:eastAsia="ja-JP"/>
              </w:rPr>
              <w:t>’</w:t>
            </w:r>
            <w:r w:rsidRPr="000E36B2">
              <w:rPr>
                <w:rFonts w:eastAsia="MS Mincho"/>
                <w:b/>
                <w:lang w:eastAsia="ja-JP"/>
              </w:rPr>
              <w:t>t good for mothers because …</w:t>
            </w:r>
          </w:p>
        </w:tc>
        <w:tc>
          <w:tcPr>
            <w:tcW w:w="3119" w:type="dxa"/>
            <w:tcBorders>
              <w:bottom w:val="single" w:sz="4" w:space="0" w:color="auto"/>
            </w:tcBorders>
            <w:shd w:val="clear" w:color="auto" w:fill="auto"/>
          </w:tcPr>
          <w:p w:rsidR="0025490C" w:rsidRPr="000E36B2" w:rsidRDefault="0025490C" w:rsidP="000E36B2">
            <w:pPr>
              <w:pStyle w:val="TableText"/>
              <w:keepNext/>
              <w:rPr>
                <w:rFonts w:eastAsia="MS Mincho"/>
                <w:b/>
                <w:lang w:eastAsia="ja-JP"/>
              </w:rPr>
            </w:pPr>
            <w:r w:rsidRPr="000E36B2">
              <w:rPr>
                <w:rFonts w:eastAsia="MS Mincho"/>
                <w:b/>
                <w:lang w:eastAsia="ja-JP"/>
              </w:rPr>
              <w:t>Gestational diabetes isn</w:t>
            </w:r>
            <w:r w:rsidR="0068074A" w:rsidRPr="000E36B2">
              <w:rPr>
                <w:rFonts w:eastAsia="MS Mincho"/>
                <w:b/>
                <w:lang w:eastAsia="ja-JP"/>
              </w:rPr>
              <w:t>’</w:t>
            </w:r>
            <w:r w:rsidRPr="000E36B2">
              <w:rPr>
                <w:rFonts w:eastAsia="MS Mincho"/>
                <w:b/>
                <w:lang w:eastAsia="ja-JP"/>
              </w:rPr>
              <w:t>t good for babies because …</w:t>
            </w:r>
          </w:p>
        </w:tc>
      </w:tr>
      <w:tr w:rsidR="0025490C" w:rsidRPr="00E07B1B" w:rsidTr="000E36B2">
        <w:trPr>
          <w:cantSplit/>
        </w:trPr>
        <w:tc>
          <w:tcPr>
            <w:tcW w:w="3118" w:type="dxa"/>
            <w:tcBorders>
              <w:top w:val="single" w:sz="4" w:space="0" w:color="auto"/>
              <w:bottom w:val="single" w:sz="4" w:space="0" w:color="auto"/>
            </w:tcBorders>
            <w:shd w:val="clear" w:color="auto" w:fill="auto"/>
          </w:tcPr>
          <w:p w:rsidR="0025490C" w:rsidRPr="00E07B1B" w:rsidRDefault="0025490C" w:rsidP="000E36B2">
            <w:pPr>
              <w:pStyle w:val="TableBullet"/>
              <w:spacing w:before="60"/>
              <w:ind w:left="284" w:right="142"/>
              <w:rPr>
                <w:lang w:eastAsia="ja-JP"/>
              </w:rPr>
            </w:pPr>
            <w:r w:rsidRPr="00E07B1B">
              <w:rPr>
                <w:lang w:eastAsia="ja-JP"/>
              </w:rPr>
              <w:t>Diet and family history</w:t>
            </w:r>
          </w:p>
          <w:p w:rsidR="0025490C" w:rsidRPr="00E07B1B" w:rsidRDefault="0025490C" w:rsidP="000E36B2">
            <w:pPr>
              <w:pStyle w:val="TableBullet"/>
              <w:ind w:left="284" w:right="142"/>
              <w:rPr>
                <w:lang w:eastAsia="ja-JP"/>
              </w:rPr>
            </w:pPr>
            <w:r w:rsidRPr="00E07B1B">
              <w:rPr>
                <w:lang w:eastAsia="ja-JP"/>
              </w:rPr>
              <w:t>Sugar levels</w:t>
            </w:r>
          </w:p>
          <w:p w:rsidR="0025490C" w:rsidRPr="00E07B1B" w:rsidRDefault="0025490C" w:rsidP="000E36B2">
            <w:pPr>
              <w:pStyle w:val="TableBullet"/>
              <w:ind w:left="284" w:right="142"/>
              <w:rPr>
                <w:lang w:eastAsia="ja-JP"/>
              </w:rPr>
            </w:pPr>
            <w:r w:rsidRPr="00E07B1B">
              <w:rPr>
                <w:lang w:eastAsia="ja-JP"/>
              </w:rPr>
              <w:t>Too much sugar is not good</w:t>
            </w:r>
          </w:p>
          <w:p w:rsidR="0025490C" w:rsidRPr="00E07B1B" w:rsidRDefault="0025490C" w:rsidP="000E36B2">
            <w:pPr>
              <w:pStyle w:val="TableBullet"/>
              <w:ind w:left="284" w:right="142"/>
              <w:rPr>
                <w:lang w:eastAsia="ja-JP"/>
              </w:rPr>
            </w:pPr>
            <w:r w:rsidRPr="00E07B1B">
              <w:rPr>
                <w:lang w:eastAsia="ja-JP"/>
              </w:rPr>
              <w:t>Not clear why the body develops more insulin</w:t>
            </w:r>
          </w:p>
          <w:p w:rsidR="0025490C" w:rsidRPr="00E07B1B" w:rsidRDefault="0025490C" w:rsidP="000E36B2">
            <w:pPr>
              <w:pStyle w:val="TableBullet"/>
              <w:ind w:left="284" w:right="142"/>
              <w:rPr>
                <w:lang w:eastAsia="ja-JP"/>
              </w:rPr>
            </w:pPr>
            <w:r w:rsidRPr="00E07B1B">
              <w:rPr>
                <w:lang w:eastAsia="ja-JP"/>
              </w:rPr>
              <w:t>Not really sure</w:t>
            </w:r>
          </w:p>
        </w:tc>
        <w:tc>
          <w:tcPr>
            <w:tcW w:w="3119" w:type="dxa"/>
            <w:tcBorders>
              <w:top w:val="single" w:sz="4" w:space="0" w:color="auto"/>
              <w:bottom w:val="single" w:sz="4" w:space="0" w:color="auto"/>
            </w:tcBorders>
            <w:shd w:val="clear" w:color="auto" w:fill="auto"/>
          </w:tcPr>
          <w:p w:rsidR="0025490C" w:rsidRPr="00E07B1B" w:rsidRDefault="0025490C" w:rsidP="000E36B2">
            <w:pPr>
              <w:pStyle w:val="TableBullet"/>
              <w:spacing w:before="60"/>
              <w:ind w:left="284" w:right="142"/>
              <w:rPr>
                <w:lang w:eastAsia="ja-JP"/>
              </w:rPr>
            </w:pPr>
            <w:r w:rsidRPr="00E07B1B">
              <w:rPr>
                <w:lang w:eastAsia="ja-JP"/>
              </w:rPr>
              <w:t>It isn</w:t>
            </w:r>
            <w:r w:rsidR="0068074A">
              <w:rPr>
                <w:lang w:eastAsia="ja-JP"/>
              </w:rPr>
              <w:t>’</w:t>
            </w:r>
            <w:r w:rsidRPr="00E07B1B">
              <w:rPr>
                <w:lang w:eastAsia="ja-JP"/>
              </w:rPr>
              <w:t>t good for the baby</w:t>
            </w:r>
          </w:p>
          <w:p w:rsidR="0025490C" w:rsidRPr="00E07B1B" w:rsidRDefault="0025490C" w:rsidP="000E36B2">
            <w:pPr>
              <w:pStyle w:val="TableBullet"/>
              <w:ind w:left="284" w:right="142"/>
              <w:rPr>
                <w:lang w:eastAsia="ja-JP"/>
              </w:rPr>
            </w:pPr>
            <w:r w:rsidRPr="00E07B1B">
              <w:rPr>
                <w:lang w:eastAsia="ja-JP"/>
              </w:rPr>
              <w:t>You can</w:t>
            </w:r>
            <w:r w:rsidR="0068074A">
              <w:rPr>
                <w:lang w:eastAsia="ja-JP"/>
              </w:rPr>
              <w:t>’</w:t>
            </w:r>
            <w:r w:rsidRPr="00E07B1B">
              <w:rPr>
                <w:lang w:eastAsia="ja-JP"/>
              </w:rPr>
              <w:t>t have a home birth</w:t>
            </w:r>
          </w:p>
          <w:p w:rsidR="0025490C" w:rsidRPr="00E07B1B" w:rsidRDefault="0025490C" w:rsidP="000E36B2">
            <w:pPr>
              <w:pStyle w:val="TableBullet"/>
              <w:ind w:left="284" w:right="142"/>
              <w:rPr>
                <w:lang w:eastAsia="ja-JP"/>
              </w:rPr>
            </w:pPr>
            <w:r w:rsidRPr="00E07B1B">
              <w:rPr>
                <w:lang w:eastAsia="ja-JP"/>
              </w:rPr>
              <w:t>It makes the baby too big</w:t>
            </w:r>
          </w:p>
          <w:p w:rsidR="0025490C" w:rsidRPr="00E07B1B" w:rsidRDefault="0025490C" w:rsidP="000E36B2">
            <w:pPr>
              <w:pStyle w:val="TableBullet"/>
              <w:ind w:left="284" w:right="142"/>
              <w:rPr>
                <w:lang w:eastAsia="ja-JP"/>
              </w:rPr>
            </w:pPr>
            <w:r w:rsidRPr="00E07B1B">
              <w:rPr>
                <w:lang w:eastAsia="ja-JP"/>
              </w:rPr>
              <w:t>When my blood sugar goes up</w:t>
            </w:r>
            <w:r>
              <w:rPr>
                <w:lang w:eastAsia="ja-JP"/>
              </w:rPr>
              <w:t>,</w:t>
            </w:r>
            <w:r w:rsidRPr="00E07B1B">
              <w:rPr>
                <w:lang w:eastAsia="ja-JP"/>
              </w:rPr>
              <w:t xml:space="preserve"> the baby</w:t>
            </w:r>
            <w:r w:rsidR="0068074A">
              <w:rPr>
                <w:lang w:eastAsia="ja-JP"/>
              </w:rPr>
              <w:t>’</w:t>
            </w:r>
            <w:r w:rsidRPr="00E07B1B">
              <w:rPr>
                <w:lang w:eastAsia="ja-JP"/>
              </w:rPr>
              <w:t>s goes up too</w:t>
            </w:r>
          </w:p>
          <w:p w:rsidR="0025490C" w:rsidRPr="00E07B1B" w:rsidRDefault="0025490C" w:rsidP="000E36B2">
            <w:pPr>
              <w:pStyle w:val="TableBullet"/>
              <w:ind w:left="284" w:right="142"/>
              <w:rPr>
                <w:lang w:eastAsia="ja-JP"/>
              </w:rPr>
            </w:pPr>
            <w:r w:rsidRPr="00E07B1B">
              <w:rPr>
                <w:lang w:eastAsia="ja-JP"/>
              </w:rPr>
              <w:t>I can</w:t>
            </w:r>
            <w:r w:rsidR="0068074A">
              <w:rPr>
                <w:lang w:eastAsia="ja-JP"/>
              </w:rPr>
              <w:t>’</w:t>
            </w:r>
            <w:r w:rsidRPr="00E07B1B">
              <w:rPr>
                <w:lang w:eastAsia="ja-JP"/>
              </w:rPr>
              <w:t>t eat whatever I want</w:t>
            </w:r>
          </w:p>
        </w:tc>
        <w:tc>
          <w:tcPr>
            <w:tcW w:w="3119" w:type="dxa"/>
            <w:tcBorders>
              <w:top w:val="single" w:sz="4" w:space="0" w:color="auto"/>
              <w:bottom w:val="single" w:sz="4" w:space="0" w:color="auto"/>
            </w:tcBorders>
            <w:shd w:val="clear" w:color="auto" w:fill="auto"/>
          </w:tcPr>
          <w:p w:rsidR="0025490C" w:rsidRPr="00E07B1B" w:rsidRDefault="0025490C" w:rsidP="00260258">
            <w:pPr>
              <w:pStyle w:val="TableBullet"/>
              <w:spacing w:before="60"/>
              <w:ind w:left="284"/>
              <w:rPr>
                <w:lang w:eastAsia="ja-JP"/>
              </w:rPr>
            </w:pPr>
            <w:r w:rsidRPr="00E07B1B">
              <w:rPr>
                <w:lang w:eastAsia="ja-JP"/>
              </w:rPr>
              <w:t>Problems with brain development</w:t>
            </w:r>
          </w:p>
          <w:p w:rsidR="0025490C" w:rsidRPr="00E07B1B" w:rsidRDefault="0025490C" w:rsidP="00260258">
            <w:pPr>
              <w:pStyle w:val="TableBullet"/>
              <w:ind w:left="284"/>
              <w:rPr>
                <w:lang w:eastAsia="ja-JP"/>
              </w:rPr>
            </w:pPr>
            <w:r w:rsidRPr="00E07B1B">
              <w:rPr>
                <w:lang w:eastAsia="ja-JP"/>
              </w:rPr>
              <w:t>Baby could stop growing OR get too fat</w:t>
            </w:r>
          </w:p>
          <w:p w:rsidR="0025490C" w:rsidRPr="00E07B1B" w:rsidRDefault="0025490C" w:rsidP="00260258">
            <w:pPr>
              <w:pStyle w:val="TableBullet"/>
              <w:ind w:left="284"/>
              <w:rPr>
                <w:lang w:eastAsia="ja-JP"/>
              </w:rPr>
            </w:pPr>
            <w:r w:rsidRPr="00E07B1B">
              <w:rPr>
                <w:lang w:eastAsia="ja-JP"/>
              </w:rPr>
              <w:t>The sugar increases their insulin and they could go into shock</w:t>
            </w:r>
          </w:p>
          <w:p w:rsidR="0025490C" w:rsidRPr="00E07B1B" w:rsidRDefault="0025490C" w:rsidP="00260258">
            <w:pPr>
              <w:pStyle w:val="TableBullet"/>
              <w:ind w:left="284"/>
              <w:rPr>
                <w:lang w:eastAsia="ja-JP"/>
              </w:rPr>
            </w:pPr>
            <w:r w:rsidRPr="00E07B1B">
              <w:rPr>
                <w:lang w:eastAsia="ja-JP"/>
              </w:rPr>
              <w:t>Baby gets too big too quickly</w:t>
            </w:r>
          </w:p>
        </w:tc>
      </w:tr>
    </w:tbl>
    <w:p w:rsidR="0025490C" w:rsidRDefault="0025490C" w:rsidP="000E36B2">
      <w:pPr>
        <w:rPr>
          <w:rFonts w:eastAsia="MS Mincho"/>
        </w:rPr>
      </w:pPr>
    </w:p>
    <w:p w:rsidR="0025490C" w:rsidRDefault="0025490C" w:rsidP="000E36B2">
      <w:pPr>
        <w:rPr>
          <w:rFonts w:eastAsia="MS Mincho"/>
        </w:rPr>
      </w:pPr>
      <w:r w:rsidRPr="00E07B1B">
        <w:rPr>
          <w:rFonts w:eastAsia="MS Mincho"/>
        </w:rPr>
        <w:t xml:space="preserve">Women were asked if there was anything about </w:t>
      </w:r>
      <w:r w:rsidRPr="00E07B1B">
        <w:rPr>
          <w:rFonts w:cs="Arial"/>
        </w:rPr>
        <w:t>gestational diabetes</w:t>
      </w:r>
      <w:r w:rsidRPr="00E07B1B">
        <w:rPr>
          <w:rFonts w:eastAsia="MS Mincho"/>
        </w:rPr>
        <w:t xml:space="preserve"> that they did</w:t>
      </w:r>
      <w:r>
        <w:rPr>
          <w:rFonts w:eastAsia="MS Mincho"/>
        </w:rPr>
        <w:t xml:space="preserve"> </w:t>
      </w:r>
      <w:r w:rsidRPr="00E07B1B">
        <w:rPr>
          <w:rFonts w:eastAsia="MS Mincho"/>
        </w:rPr>
        <w:t>n</w:t>
      </w:r>
      <w:r>
        <w:rPr>
          <w:rFonts w:eastAsia="MS Mincho"/>
        </w:rPr>
        <w:t>o</w:t>
      </w:r>
      <w:r w:rsidRPr="00E07B1B">
        <w:rPr>
          <w:rFonts w:eastAsia="MS Mincho"/>
        </w:rPr>
        <w:t xml:space="preserve">t understand. Most of the women felt comfortable with what they knew, and felt that they had learnt a lot during their pregnancy. One person made the comment that she had enough information and knew there were some things she was doing that were </w:t>
      </w:r>
      <w:r w:rsidR="0068074A">
        <w:rPr>
          <w:rFonts w:eastAsia="MS Mincho"/>
        </w:rPr>
        <w:t>‘</w:t>
      </w:r>
      <w:r w:rsidRPr="00E07B1B">
        <w:rPr>
          <w:rFonts w:eastAsia="MS Mincho"/>
        </w:rPr>
        <w:t>wrong</w:t>
      </w:r>
      <w:r w:rsidR="0068074A">
        <w:rPr>
          <w:rFonts w:eastAsia="MS Mincho"/>
        </w:rPr>
        <w:t>’</w:t>
      </w:r>
      <w:r w:rsidRPr="00E07B1B">
        <w:rPr>
          <w:rFonts w:eastAsia="MS Mincho"/>
        </w:rPr>
        <w:t>. Another woman continued to pretend she didn</w:t>
      </w:r>
      <w:r w:rsidR="0068074A">
        <w:rPr>
          <w:rFonts w:eastAsia="MS Mincho"/>
        </w:rPr>
        <w:t>’</w:t>
      </w:r>
      <w:r w:rsidRPr="00E07B1B">
        <w:rPr>
          <w:rFonts w:eastAsia="MS Mincho"/>
        </w:rPr>
        <w:t xml:space="preserve">t have </w:t>
      </w:r>
      <w:r w:rsidRPr="00E07B1B">
        <w:rPr>
          <w:rFonts w:cs="Arial"/>
        </w:rPr>
        <w:t>gestational diabetes</w:t>
      </w:r>
      <w:r w:rsidRPr="00E07B1B">
        <w:rPr>
          <w:rFonts w:eastAsia="MS Mincho"/>
        </w:rPr>
        <w:t>.</w:t>
      </w:r>
    </w:p>
    <w:p w:rsidR="0025490C" w:rsidRPr="00E07B1B" w:rsidRDefault="0025490C" w:rsidP="000E36B2">
      <w:pPr>
        <w:rPr>
          <w:rFonts w:eastAsia="MS Mincho"/>
        </w:rPr>
      </w:pPr>
    </w:p>
    <w:p w:rsidR="0025490C" w:rsidRDefault="0025490C" w:rsidP="000E36B2">
      <w:pPr>
        <w:rPr>
          <w:rFonts w:eastAsia="MS Mincho"/>
        </w:rPr>
      </w:pPr>
      <w:r w:rsidRPr="00E07B1B">
        <w:rPr>
          <w:rFonts w:eastAsia="MS Mincho"/>
        </w:rPr>
        <w:t>There were some additional responses that highlight potential gaps in care. One woman did</w:t>
      </w:r>
      <w:r>
        <w:rPr>
          <w:rFonts w:eastAsia="MS Mincho"/>
        </w:rPr>
        <w:t xml:space="preserve"> </w:t>
      </w:r>
      <w:r w:rsidRPr="00E07B1B">
        <w:rPr>
          <w:rFonts w:eastAsia="MS Mincho"/>
        </w:rPr>
        <w:t>n</w:t>
      </w:r>
      <w:r>
        <w:rPr>
          <w:rFonts w:eastAsia="MS Mincho"/>
        </w:rPr>
        <w:t>o</w:t>
      </w:r>
      <w:r w:rsidRPr="00E07B1B">
        <w:rPr>
          <w:rFonts w:eastAsia="MS Mincho"/>
        </w:rPr>
        <w:t>t know whether the medication during pregnancy would have any long-term effects on her children. Another woman felt that the whole picture of treatment and the care pathway were not clearly described</w:t>
      </w:r>
      <w:r>
        <w:rPr>
          <w:rFonts w:eastAsia="MS Mincho"/>
        </w:rPr>
        <w:t>:</w:t>
      </w:r>
    </w:p>
    <w:p w:rsidR="0025490C" w:rsidRDefault="0025490C" w:rsidP="000E36B2">
      <w:pPr>
        <w:pStyle w:val="Quote"/>
      </w:pPr>
      <w:r w:rsidRPr="00E07B1B">
        <w:t>No one explains the whole picture about what could happen and what sort of monitoring is required. So you have to go away and read about it at home. They give you an information pack but it is pretty baffling. It was easier to go home and find out more on the internet.</w:t>
      </w:r>
    </w:p>
    <w:p w:rsidR="0025490C" w:rsidRPr="00E07B1B" w:rsidRDefault="0025490C" w:rsidP="000E36B2">
      <w:pPr>
        <w:rPr>
          <w:rFonts w:eastAsia="MS Mincho"/>
        </w:rPr>
      </w:pPr>
    </w:p>
    <w:p w:rsidR="0025490C" w:rsidRPr="00E07B1B" w:rsidRDefault="0025490C" w:rsidP="000E36B2">
      <w:pPr>
        <w:pStyle w:val="Heading3"/>
      </w:pPr>
      <w:bookmarkStart w:id="333" w:name="_Toc363207394"/>
      <w:bookmarkStart w:id="334" w:name="_Toc402873616"/>
      <w:r w:rsidRPr="00E07B1B">
        <w:t>13.1.2</w:t>
      </w:r>
      <w:r w:rsidR="000E36B2">
        <w:tab/>
      </w:r>
      <w:r w:rsidRPr="00E07B1B">
        <w:t xml:space="preserve">Experience of </w:t>
      </w:r>
      <w:r>
        <w:t>d</w:t>
      </w:r>
      <w:r w:rsidRPr="00E07B1B">
        <w:t>iagnosis</w:t>
      </w:r>
      <w:bookmarkEnd w:id="333"/>
      <w:bookmarkEnd w:id="334"/>
    </w:p>
    <w:p w:rsidR="0068074A" w:rsidRDefault="0025490C" w:rsidP="000E36B2">
      <w:r w:rsidRPr="00E07B1B">
        <w:t xml:space="preserve">Most of the women were diagnosed with </w:t>
      </w:r>
      <w:r w:rsidRPr="00E07B1B">
        <w:rPr>
          <w:rFonts w:cs="Arial"/>
        </w:rPr>
        <w:t>gestational diabetes</w:t>
      </w:r>
      <w:r w:rsidRPr="00E07B1B">
        <w:t xml:space="preserve"> at 20 weeks, one woman was diagnosed at 28 weeks, and one woman was diagnosed 6 weeks before the birth. Overall, the women found that the diagnostic tests were easy to do, but one woman stated that they </w:t>
      </w:r>
      <w:r w:rsidR="0068074A">
        <w:t>‘</w:t>
      </w:r>
      <w:r w:rsidRPr="00E07B1B">
        <w:t>took a long time</w:t>
      </w:r>
      <w:r w:rsidR="0068074A">
        <w:t>’</w:t>
      </w:r>
      <w:r w:rsidRPr="00E07B1B">
        <w:t xml:space="preserve"> (</w:t>
      </w:r>
      <w:r>
        <w:t>two</w:t>
      </w:r>
      <w:r w:rsidRPr="00E07B1B">
        <w:t xml:space="preserve"> hours) and another stated that the glucose drink </w:t>
      </w:r>
      <w:r w:rsidR="0068074A">
        <w:t>‘</w:t>
      </w:r>
      <w:r w:rsidRPr="00E07B1B">
        <w:t>tasted awful</w:t>
      </w:r>
      <w:r w:rsidR="0068074A">
        <w:t>’</w:t>
      </w:r>
      <w:r w:rsidRPr="00E07B1B">
        <w:t>.</w:t>
      </w:r>
    </w:p>
    <w:p w:rsidR="0025490C" w:rsidRPr="00E07B1B" w:rsidRDefault="0025490C" w:rsidP="000E36B2"/>
    <w:p w:rsidR="0025490C" w:rsidRPr="00E07B1B" w:rsidRDefault="0025490C" w:rsidP="000E36B2">
      <w:r w:rsidRPr="00E07B1B">
        <w:t>The diagnosis changed everything for a couple of wom</w:t>
      </w:r>
      <w:r>
        <w:t>e</w:t>
      </w:r>
      <w:r w:rsidRPr="00E07B1B">
        <w:t>n. They felt more isolated and different, forced into a separate channel away from other pregnant wom</w:t>
      </w:r>
      <w:r>
        <w:t>e</w:t>
      </w:r>
      <w:r w:rsidRPr="00E07B1B">
        <w:t>n.</w:t>
      </w:r>
    </w:p>
    <w:p w:rsidR="0025490C" w:rsidRDefault="0025490C" w:rsidP="000E36B2"/>
    <w:p w:rsidR="0025490C" w:rsidRDefault="0025490C" w:rsidP="000E36B2">
      <w:r w:rsidRPr="00E07B1B">
        <w:t>On the whole, most felt there was no judgement or negativity from the person providing the diagnosis. One woman thought</w:t>
      </w:r>
      <w:r>
        <w:t xml:space="preserve"> that</w:t>
      </w:r>
      <w:r w:rsidRPr="00E07B1B">
        <w:t xml:space="preserve"> the midwife </w:t>
      </w:r>
      <w:r>
        <w:t>saw her as</w:t>
      </w:r>
      <w:r w:rsidRPr="00E07B1B">
        <w:t xml:space="preserve"> more of a nuisance because she was more complicated to manage. Another woman was pleased to have a team of people caring for her and supporting her.</w:t>
      </w:r>
    </w:p>
    <w:p w:rsidR="0025490C" w:rsidRPr="00E07B1B" w:rsidRDefault="0025490C" w:rsidP="000E36B2"/>
    <w:p w:rsidR="0025490C" w:rsidRPr="00E07B1B" w:rsidRDefault="0025490C" w:rsidP="000E36B2">
      <w:pPr>
        <w:pStyle w:val="Heading3"/>
      </w:pPr>
      <w:bookmarkStart w:id="335" w:name="_Toc363207395"/>
      <w:bookmarkStart w:id="336" w:name="_Toc402873617"/>
      <w:r w:rsidRPr="00E07B1B">
        <w:t>13.1.3</w:t>
      </w:r>
      <w:r w:rsidR="000E36B2">
        <w:tab/>
      </w:r>
      <w:r w:rsidRPr="00E07B1B">
        <w:t xml:space="preserve">Experience with </w:t>
      </w:r>
      <w:r>
        <w:t>a</w:t>
      </w:r>
      <w:r w:rsidRPr="00E07B1B">
        <w:t>ppointments</w:t>
      </w:r>
      <w:bookmarkEnd w:id="335"/>
      <w:bookmarkEnd w:id="336"/>
    </w:p>
    <w:p w:rsidR="0025490C" w:rsidRPr="00E07B1B" w:rsidRDefault="0025490C" w:rsidP="000E36B2">
      <w:pPr>
        <w:rPr>
          <w:rFonts w:eastAsia="MS Mincho"/>
        </w:rPr>
      </w:pPr>
      <w:r w:rsidRPr="00E07B1B">
        <w:rPr>
          <w:rFonts w:eastAsia="MS Mincho"/>
        </w:rPr>
        <w:t xml:space="preserve">Attending appointments for </w:t>
      </w:r>
      <w:r w:rsidRPr="00E07B1B">
        <w:rPr>
          <w:rFonts w:cs="Arial"/>
        </w:rPr>
        <w:t>gestational diabetes</w:t>
      </w:r>
      <w:r w:rsidRPr="00E07B1B">
        <w:rPr>
          <w:rFonts w:eastAsia="MS Mincho"/>
        </w:rPr>
        <w:t xml:space="preserve"> takes a lot of extra time for the women. Th</w:t>
      </w:r>
      <w:r>
        <w:rPr>
          <w:rFonts w:eastAsia="MS Mincho"/>
        </w:rPr>
        <w:t>e time commitment</w:t>
      </w:r>
      <w:r w:rsidRPr="00E07B1B">
        <w:rPr>
          <w:rFonts w:eastAsia="MS Mincho"/>
        </w:rPr>
        <w:t xml:space="preserve"> reported range</w:t>
      </w:r>
      <w:r>
        <w:rPr>
          <w:rFonts w:eastAsia="MS Mincho"/>
        </w:rPr>
        <w:t>d</w:t>
      </w:r>
      <w:r w:rsidRPr="00E07B1B">
        <w:rPr>
          <w:rFonts w:eastAsia="MS Mincho"/>
        </w:rPr>
        <w:t xml:space="preserve"> from one day a fortnight to an afternoon a fortnight. This means more time off work, reduced income, and increased costs of travel to appointments and </w:t>
      </w:r>
      <w:r>
        <w:rPr>
          <w:rFonts w:eastAsia="MS Mincho"/>
        </w:rPr>
        <w:t xml:space="preserve">of </w:t>
      </w:r>
      <w:r w:rsidRPr="00E07B1B">
        <w:rPr>
          <w:rFonts w:eastAsia="MS Mincho"/>
        </w:rPr>
        <w:t>child</w:t>
      </w:r>
      <w:r>
        <w:rPr>
          <w:rFonts w:eastAsia="MS Mincho"/>
        </w:rPr>
        <w:t xml:space="preserve"> </w:t>
      </w:r>
      <w:r w:rsidRPr="00E07B1B">
        <w:rPr>
          <w:rFonts w:eastAsia="MS Mincho"/>
        </w:rPr>
        <w:t>care. This is especially an issue for women living in rural areas.</w:t>
      </w:r>
    </w:p>
    <w:p w:rsidR="0025490C" w:rsidRDefault="0025490C" w:rsidP="000E36B2">
      <w:pPr>
        <w:rPr>
          <w:rFonts w:eastAsia="MS Mincho"/>
        </w:rPr>
      </w:pPr>
    </w:p>
    <w:p w:rsidR="0025490C" w:rsidRPr="00E07B1B" w:rsidRDefault="0025490C" w:rsidP="000E36B2">
      <w:pPr>
        <w:keepLines/>
        <w:rPr>
          <w:rFonts w:eastAsia="MS Mincho"/>
        </w:rPr>
      </w:pPr>
      <w:r w:rsidRPr="00E07B1B">
        <w:rPr>
          <w:rFonts w:eastAsia="MS Mincho"/>
        </w:rPr>
        <w:t xml:space="preserve">Some </w:t>
      </w:r>
      <w:r>
        <w:rPr>
          <w:rFonts w:eastAsia="MS Mincho"/>
        </w:rPr>
        <w:t>d</w:t>
      </w:r>
      <w:r w:rsidRPr="00E07B1B">
        <w:rPr>
          <w:rFonts w:eastAsia="MS Mincho"/>
        </w:rPr>
        <w:t xml:space="preserve">istrict </w:t>
      </w:r>
      <w:r>
        <w:rPr>
          <w:rFonts w:eastAsia="MS Mincho"/>
        </w:rPr>
        <w:t>h</w:t>
      </w:r>
      <w:r w:rsidRPr="00E07B1B">
        <w:rPr>
          <w:rFonts w:eastAsia="MS Mincho"/>
        </w:rPr>
        <w:t xml:space="preserve">ealth </w:t>
      </w:r>
      <w:r>
        <w:rPr>
          <w:rFonts w:eastAsia="MS Mincho"/>
        </w:rPr>
        <w:t>b</w:t>
      </w:r>
      <w:r w:rsidRPr="00E07B1B">
        <w:rPr>
          <w:rFonts w:eastAsia="MS Mincho"/>
        </w:rPr>
        <w:t xml:space="preserve">oards have multidisciplinary team appointments. </w:t>
      </w:r>
      <w:r>
        <w:rPr>
          <w:rFonts w:eastAsia="MS Mincho"/>
        </w:rPr>
        <w:t>Here</w:t>
      </w:r>
      <w:r w:rsidRPr="00E07B1B">
        <w:rPr>
          <w:rFonts w:eastAsia="MS Mincho"/>
        </w:rPr>
        <w:t xml:space="preserve"> the woman with</w:t>
      </w:r>
      <w:r w:rsidRPr="00E07B1B">
        <w:rPr>
          <w:rFonts w:cs="Arial"/>
        </w:rPr>
        <w:t xml:space="preserve"> gestational diabetes</w:t>
      </w:r>
      <w:r w:rsidRPr="00E07B1B">
        <w:rPr>
          <w:rFonts w:eastAsia="MS Mincho"/>
        </w:rPr>
        <w:t xml:space="preserve"> </w:t>
      </w:r>
      <w:r>
        <w:rPr>
          <w:rFonts w:eastAsia="MS Mincho"/>
        </w:rPr>
        <w:t>is</w:t>
      </w:r>
      <w:r w:rsidRPr="00E07B1B">
        <w:rPr>
          <w:rFonts w:eastAsia="MS Mincho"/>
        </w:rPr>
        <w:t xml:space="preserve"> present while </w:t>
      </w:r>
      <w:r>
        <w:rPr>
          <w:rFonts w:eastAsia="MS Mincho"/>
        </w:rPr>
        <w:t xml:space="preserve">several </w:t>
      </w:r>
      <w:r w:rsidRPr="00E07B1B">
        <w:rPr>
          <w:rFonts w:eastAsia="MS Mincho"/>
        </w:rPr>
        <w:t>health practitioners discuss her options for treatment or care. One woman found this</w:t>
      </w:r>
      <w:r>
        <w:rPr>
          <w:rFonts w:eastAsia="MS Mincho"/>
        </w:rPr>
        <w:t xml:space="preserve"> experience</w:t>
      </w:r>
      <w:r w:rsidRPr="00E07B1B">
        <w:rPr>
          <w:rFonts w:eastAsia="MS Mincho"/>
        </w:rPr>
        <w:t xml:space="preserve"> unpleasant and would have felt more supported if her midwife had been present:</w:t>
      </w:r>
    </w:p>
    <w:p w:rsidR="0025490C" w:rsidRDefault="0025490C" w:rsidP="000E36B2">
      <w:pPr>
        <w:pStyle w:val="Quote"/>
      </w:pPr>
      <w:r w:rsidRPr="00E07B1B">
        <w:t>…</w:t>
      </w:r>
      <w:r>
        <w:t xml:space="preserve"> </w:t>
      </w:r>
      <w:r w:rsidRPr="00E07B1B">
        <w:t xml:space="preserve">When I got there I went into a room with about </w:t>
      </w:r>
      <w:r>
        <w:t>five</w:t>
      </w:r>
      <w:r w:rsidRPr="00E07B1B">
        <w:t xml:space="preserve"> or </w:t>
      </w:r>
      <w:r>
        <w:t>six</w:t>
      </w:r>
      <w:r w:rsidRPr="00E07B1B">
        <w:t xml:space="preserve"> people </w:t>
      </w:r>
      <w:r>
        <w:t>–</w:t>
      </w:r>
      <w:r w:rsidRPr="00E07B1B">
        <w:t xml:space="preserve"> it was really unfriendly </w:t>
      </w:r>
      <w:r>
        <w:t>–</w:t>
      </w:r>
      <w:r w:rsidRPr="00E07B1B">
        <w:t xml:space="preserve"> they talked about me not to me. They tell you what to do but spend most of the time talking to each other. You don</w:t>
      </w:r>
      <w:r w:rsidR="0068074A">
        <w:t>’</w:t>
      </w:r>
      <w:r w:rsidRPr="00E07B1B">
        <w:t>t get told you can take along a support person and your midwife isn</w:t>
      </w:r>
      <w:r w:rsidR="0068074A">
        <w:t>’</w:t>
      </w:r>
      <w:r w:rsidRPr="00E07B1B">
        <w:t>t always there.</w:t>
      </w:r>
    </w:p>
    <w:p w:rsidR="0025490C" w:rsidRPr="00E07B1B" w:rsidRDefault="0025490C" w:rsidP="000E36B2">
      <w:pPr>
        <w:rPr>
          <w:rFonts w:eastAsia="MS Mincho"/>
        </w:rPr>
      </w:pPr>
    </w:p>
    <w:p w:rsidR="0025490C" w:rsidRPr="00E07B1B" w:rsidRDefault="0025490C" w:rsidP="000E36B2">
      <w:pPr>
        <w:pStyle w:val="Heading3"/>
      </w:pPr>
      <w:bookmarkStart w:id="337" w:name="_Toc363207396"/>
      <w:bookmarkStart w:id="338" w:name="_Toc402873618"/>
      <w:r w:rsidRPr="00E07B1B">
        <w:t>13.1.4</w:t>
      </w:r>
      <w:r w:rsidR="000E36B2">
        <w:tab/>
      </w:r>
      <w:r w:rsidRPr="00E07B1B">
        <w:t xml:space="preserve">Experience of </w:t>
      </w:r>
      <w:r>
        <w:t>t</w:t>
      </w:r>
      <w:r w:rsidRPr="00E07B1B">
        <w:t>reatment</w:t>
      </w:r>
      <w:bookmarkEnd w:id="337"/>
      <w:bookmarkEnd w:id="338"/>
    </w:p>
    <w:p w:rsidR="0025490C" w:rsidRDefault="0025490C" w:rsidP="000E36B2">
      <w:pPr>
        <w:rPr>
          <w:rFonts w:eastAsia="MS Mincho"/>
        </w:rPr>
      </w:pPr>
      <w:r w:rsidRPr="00E07B1B">
        <w:rPr>
          <w:rFonts w:eastAsia="MS Mincho"/>
        </w:rPr>
        <w:t xml:space="preserve">Women with </w:t>
      </w:r>
      <w:r w:rsidRPr="00E07B1B">
        <w:rPr>
          <w:rFonts w:cs="Arial"/>
        </w:rPr>
        <w:t>gestational diabetes</w:t>
      </w:r>
      <w:r w:rsidRPr="00E07B1B">
        <w:rPr>
          <w:rFonts w:eastAsia="MS Mincho"/>
        </w:rPr>
        <w:t xml:space="preserve"> are often required to keep a food diary and monitor their blood glucose levels using finger</w:t>
      </w:r>
      <w:r>
        <w:rPr>
          <w:rFonts w:eastAsia="MS Mincho"/>
        </w:rPr>
        <w:t>-</w:t>
      </w:r>
      <w:r w:rsidRPr="00E07B1B">
        <w:rPr>
          <w:rFonts w:eastAsia="MS Mincho"/>
        </w:rPr>
        <w:t>prick testing (self</w:t>
      </w:r>
      <w:r>
        <w:rPr>
          <w:rFonts w:eastAsia="MS Mincho"/>
        </w:rPr>
        <w:t>-</w:t>
      </w:r>
      <w:r w:rsidRPr="00E07B1B">
        <w:rPr>
          <w:rFonts w:eastAsia="MS Mincho"/>
        </w:rPr>
        <w:t>monitoring). Self</w:t>
      </w:r>
      <w:r>
        <w:rPr>
          <w:rFonts w:eastAsia="MS Mincho"/>
        </w:rPr>
        <w:t>-</w:t>
      </w:r>
      <w:r w:rsidRPr="00E07B1B">
        <w:rPr>
          <w:rFonts w:eastAsia="MS Mincho"/>
        </w:rPr>
        <w:t>monitoring was described as easy, but sometimes painful:</w:t>
      </w:r>
    </w:p>
    <w:p w:rsidR="0025490C" w:rsidRPr="00E07B1B" w:rsidRDefault="0025490C" w:rsidP="000E36B2">
      <w:pPr>
        <w:pStyle w:val="Quote"/>
      </w:pPr>
      <w:r w:rsidRPr="00E07B1B">
        <w:t>…</w:t>
      </w:r>
      <w:r>
        <w:t xml:space="preserve"> </w:t>
      </w:r>
      <w:r w:rsidRPr="00E07B1B">
        <w:t>After several weeks of finger</w:t>
      </w:r>
      <w:r>
        <w:t>-</w:t>
      </w:r>
      <w:r w:rsidRPr="00E07B1B">
        <w:t xml:space="preserve">prick testing your fingers get really sore </w:t>
      </w:r>
      <w:r>
        <w:t>–</w:t>
      </w:r>
      <w:r w:rsidRPr="00E07B1B">
        <w:t xml:space="preserve"> so sore you hate doing the tests. Plus you don</w:t>
      </w:r>
      <w:r w:rsidR="0068074A">
        <w:t>’</w:t>
      </w:r>
      <w:r w:rsidRPr="00E07B1B">
        <w:t>t want to do the finger</w:t>
      </w:r>
      <w:r>
        <w:t>-</w:t>
      </w:r>
      <w:r w:rsidRPr="00E07B1B">
        <w:t>prick tests because it might give you an answer you don</w:t>
      </w:r>
      <w:r w:rsidR="0068074A">
        <w:t>’</w:t>
      </w:r>
      <w:r w:rsidRPr="00E07B1B">
        <w:t>t want.</w:t>
      </w:r>
    </w:p>
    <w:p w:rsidR="0025490C" w:rsidRDefault="0025490C" w:rsidP="000E36B2">
      <w:pPr>
        <w:rPr>
          <w:rFonts w:eastAsia="MS Mincho"/>
        </w:rPr>
      </w:pPr>
    </w:p>
    <w:p w:rsidR="0025490C" w:rsidRDefault="0025490C" w:rsidP="000E36B2">
      <w:pPr>
        <w:rPr>
          <w:rFonts w:eastAsia="MS Mincho"/>
        </w:rPr>
      </w:pPr>
      <w:r w:rsidRPr="00E07B1B">
        <w:rPr>
          <w:rFonts w:eastAsia="MS Mincho"/>
        </w:rPr>
        <w:t>One person experienced additional personal costs as she purchased the needles for finger</w:t>
      </w:r>
      <w:r>
        <w:rPr>
          <w:rFonts w:eastAsia="MS Mincho"/>
        </w:rPr>
        <w:t>-</w:t>
      </w:r>
      <w:r w:rsidRPr="00E07B1B">
        <w:rPr>
          <w:rFonts w:eastAsia="MS Mincho"/>
        </w:rPr>
        <w:t>prick testing. Another person was not clear what to do if she got consecutively high readings.</w:t>
      </w:r>
    </w:p>
    <w:p w:rsidR="0025490C" w:rsidRPr="00E07B1B" w:rsidRDefault="0025490C" w:rsidP="000E36B2">
      <w:pPr>
        <w:rPr>
          <w:rFonts w:eastAsia="MS Mincho"/>
        </w:rPr>
      </w:pPr>
    </w:p>
    <w:p w:rsidR="0025490C" w:rsidRDefault="0025490C" w:rsidP="000E36B2">
      <w:pPr>
        <w:rPr>
          <w:rFonts w:eastAsia="MS Mincho"/>
        </w:rPr>
      </w:pPr>
      <w:r w:rsidRPr="00E07B1B">
        <w:rPr>
          <w:rFonts w:eastAsia="MS Mincho"/>
        </w:rPr>
        <w:t xml:space="preserve">The treatment for </w:t>
      </w:r>
      <w:r w:rsidRPr="00E07B1B">
        <w:rPr>
          <w:rFonts w:cs="Arial"/>
        </w:rPr>
        <w:t>gestational diabetes</w:t>
      </w:r>
      <w:r w:rsidRPr="00E07B1B">
        <w:rPr>
          <w:rFonts w:eastAsia="MS Mincho"/>
        </w:rPr>
        <w:t xml:space="preserve"> often involves taking oral hypoglycaemic drugs and/or insulin injections. Two people described the oral hypoglycaemic agent </w:t>
      </w:r>
      <w:r>
        <w:rPr>
          <w:rFonts w:eastAsia="MS Mincho"/>
        </w:rPr>
        <w:t>m</w:t>
      </w:r>
      <w:r w:rsidRPr="00E07B1B">
        <w:rPr>
          <w:rFonts w:eastAsia="MS Mincho"/>
        </w:rPr>
        <w:t>etformin as easy to take. Insulin injections were described as unpleasant:</w:t>
      </w:r>
    </w:p>
    <w:p w:rsidR="0025490C" w:rsidRDefault="0025490C" w:rsidP="000E36B2">
      <w:pPr>
        <w:pStyle w:val="Quote"/>
      </w:pPr>
      <w:r w:rsidRPr="00E07B1B">
        <w:t>I have to inject the insulin into my tummy</w:t>
      </w:r>
      <w:r>
        <w:t>.</w:t>
      </w:r>
      <w:r w:rsidRPr="00E07B1B">
        <w:t xml:space="preserve"> It is very unpleasant and it is hard to do and my stomach gets covered in bruises.</w:t>
      </w:r>
    </w:p>
    <w:p w:rsidR="0025490C" w:rsidRDefault="0025490C" w:rsidP="000E36B2">
      <w:pPr>
        <w:pStyle w:val="Quote"/>
      </w:pPr>
      <w:r w:rsidRPr="00E07B1B">
        <w:t>Using insulin is sore and it is embarrassing using it at work – you need to do it in private but it isn</w:t>
      </w:r>
      <w:r w:rsidR="0068074A">
        <w:t>’</w:t>
      </w:r>
      <w:r w:rsidRPr="00E07B1B">
        <w:t>t always possible.</w:t>
      </w:r>
    </w:p>
    <w:p w:rsidR="0025490C" w:rsidRPr="00E07B1B" w:rsidRDefault="0025490C" w:rsidP="000E36B2"/>
    <w:p w:rsidR="0025490C" w:rsidRPr="00E07B1B" w:rsidRDefault="0025490C" w:rsidP="000E36B2">
      <w:pPr>
        <w:pStyle w:val="Heading3"/>
      </w:pPr>
      <w:bookmarkStart w:id="339" w:name="_Toc363207397"/>
      <w:bookmarkStart w:id="340" w:name="_Toc402873619"/>
      <w:r w:rsidRPr="00E07B1B">
        <w:t>13.1.5</w:t>
      </w:r>
      <w:r w:rsidR="000E36B2">
        <w:tab/>
      </w:r>
      <w:r w:rsidRPr="00E07B1B">
        <w:t>Lifestyle interventions</w:t>
      </w:r>
      <w:bookmarkEnd w:id="339"/>
      <w:bookmarkEnd w:id="340"/>
    </w:p>
    <w:p w:rsidR="0025490C" w:rsidRDefault="0025490C" w:rsidP="000E36B2">
      <w:pPr>
        <w:rPr>
          <w:rFonts w:eastAsia="MS Mincho"/>
        </w:rPr>
      </w:pPr>
      <w:r w:rsidRPr="00E07B1B">
        <w:rPr>
          <w:rFonts w:eastAsia="MS Mincho"/>
        </w:rPr>
        <w:t xml:space="preserve">Women with </w:t>
      </w:r>
      <w:r w:rsidRPr="00E07B1B">
        <w:rPr>
          <w:rFonts w:cs="Arial"/>
        </w:rPr>
        <w:t>gestational diabetes</w:t>
      </w:r>
      <w:r w:rsidRPr="00E07B1B">
        <w:rPr>
          <w:rFonts w:eastAsia="MS Mincho"/>
        </w:rPr>
        <w:t xml:space="preserve"> are encouraged to change their dietary and exercise habits. The women generally knew which foods to eat and which ones to avoid</w:t>
      </w:r>
      <w:r>
        <w:rPr>
          <w:rFonts w:eastAsia="MS Mincho"/>
        </w:rPr>
        <w:t>;</w:t>
      </w:r>
      <w:r w:rsidRPr="00E07B1B">
        <w:rPr>
          <w:rFonts w:eastAsia="MS Mincho"/>
        </w:rPr>
        <w:t xml:space="preserve"> two women also discussed the importance of portion size. There was some concern about how much to eat and some anxiety about not undernourishing the baby. Two women </w:t>
      </w:r>
      <w:r>
        <w:rPr>
          <w:rFonts w:eastAsia="MS Mincho"/>
        </w:rPr>
        <w:t>observed that</w:t>
      </w:r>
      <w:r w:rsidRPr="00E07B1B">
        <w:rPr>
          <w:rFonts w:eastAsia="MS Mincho"/>
        </w:rPr>
        <w:t xml:space="preserve"> making changes to diet </w:t>
      </w:r>
      <w:r>
        <w:rPr>
          <w:rFonts w:eastAsia="MS Mincho"/>
        </w:rPr>
        <w:t>w</w:t>
      </w:r>
      <w:r w:rsidRPr="00E07B1B">
        <w:rPr>
          <w:rFonts w:eastAsia="MS Mincho"/>
        </w:rPr>
        <w:t>as easier than increasing physical activity. Some of the women were already very busy and had other children to care for</w:t>
      </w:r>
      <w:r>
        <w:rPr>
          <w:rFonts w:eastAsia="MS Mincho"/>
        </w:rPr>
        <w:t>, making</w:t>
      </w:r>
      <w:r w:rsidRPr="00E07B1B">
        <w:rPr>
          <w:rFonts w:eastAsia="MS Mincho"/>
        </w:rPr>
        <w:t xml:space="preserve"> it hard </w:t>
      </w:r>
      <w:r>
        <w:rPr>
          <w:rFonts w:eastAsia="MS Mincho"/>
        </w:rPr>
        <w:t xml:space="preserve">for them </w:t>
      </w:r>
      <w:r w:rsidRPr="00E07B1B">
        <w:rPr>
          <w:rFonts w:eastAsia="MS Mincho"/>
        </w:rPr>
        <w:t>to get out and about. One woman had been going swimming but found that she was getting very tired.</w:t>
      </w:r>
      <w:r>
        <w:rPr>
          <w:rFonts w:eastAsia="MS Mincho"/>
        </w:rPr>
        <w:t xml:space="preserve"> </w:t>
      </w:r>
      <w:r w:rsidRPr="00E07B1B">
        <w:rPr>
          <w:rFonts w:eastAsia="MS Mincho"/>
        </w:rPr>
        <w:t>Two women who were already very active continued their high levels of activity.</w:t>
      </w:r>
    </w:p>
    <w:p w:rsidR="0025490C" w:rsidRPr="00E07B1B" w:rsidRDefault="0025490C" w:rsidP="000E36B2">
      <w:pPr>
        <w:rPr>
          <w:rFonts w:eastAsia="MS Mincho"/>
        </w:rPr>
      </w:pPr>
    </w:p>
    <w:p w:rsidR="0025490C" w:rsidRPr="00E07B1B" w:rsidRDefault="0025490C" w:rsidP="000E36B2">
      <w:pPr>
        <w:pStyle w:val="Heading3"/>
      </w:pPr>
      <w:bookmarkStart w:id="341" w:name="_Toc363207398"/>
      <w:bookmarkStart w:id="342" w:name="_Toc402873620"/>
      <w:r w:rsidRPr="00E07B1B">
        <w:t>13.1.6</w:t>
      </w:r>
      <w:r w:rsidR="000E36B2">
        <w:tab/>
      </w:r>
      <w:r w:rsidRPr="00E07B1B">
        <w:t xml:space="preserve">Information and </w:t>
      </w:r>
      <w:r>
        <w:t>f</w:t>
      </w:r>
      <w:r w:rsidRPr="00E07B1B">
        <w:t>ollow-up</w:t>
      </w:r>
      <w:bookmarkEnd w:id="341"/>
      <w:bookmarkEnd w:id="342"/>
    </w:p>
    <w:p w:rsidR="0068074A" w:rsidRDefault="0025490C" w:rsidP="000E36B2">
      <w:pPr>
        <w:rPr>
          <w:rFonts w:eastAsia="MS Mincho"/>
        </w:rPr>
      </w:pPr>
      <w:r w:rsidRPr="00E07B1B">
        <w:rPr>
          <w:rFonts w:eastAsia="MS Mincho"/>
        </w:rPr>
        <w:t>During the interviews</w:t>
      </w:r>
      <w:r>
        <w:rPr>
          <w:rFonts w:eastAsia="MS Mincho"/>
        </w:rPr>
        <w:t>,</w:t>
      </w:r>
      <w:r w:rsidRPr="00E07B1B">
        <w:rPr>
          <w:rFonts w:eastAsia="MS Mincho"/>
        </w:rPr>
        <w:t xml:space="preserve"> women with </w:t>
      </w:r>
      <w:r w:rsidRPr="00E07B1B">
        <w:rPr>
          <w:rFonts w:cs="Arial"/>
        </w:rPr>
        <w:t>gestational diabetes</w:t>
      </w:r>
      <w:r w:rsidRPr="00E07B1B">
        <w:rPr>
          <w:rFonts w:eastAsia="MS Mincho"/>
        </w:rPr>
        <w:t xml:space="preserve"> were asked if there was any information that would have made things easier for them, and if there was anything that could have been done differently that would have improved their experience.</w:t>
      </w:r>
    </w:p>
    <w:p w:rsidR="0025490C" w:rsidRPr="00E07B1B" w:rsidRDefault="0025490C" w:rsidP="000E36B2">
      <w:pPr>
        <w:rPr>
          <w:rFonts w:eastAsia="MS Mincho"/>
        </w:rPr>
      </w:pPr>
    </w:p>
    <w:p w:rsidR="0068074A" w:rsidRDefault="0025490C" w:rsidP="000E36B2">
      <w:pPr>
        <w:keepLines/>
        <w:rPr>
          <w:rFonts w:eastAsia="MS Mincho"/>
        </w:rPr>
      </w:pPr>
      <w:r w:rsidRPr="00E07B1B">
        <w:rPr>
          <w:rFonts w:eastAsia="MS Mincho"/>
        </w:rPr>
        <w:t>The women suggested they would like to receive advice regarding reliable internet sites and educational videos that explained what to expect along the treatment and care pathway. One woman spoke English as a second language and would have found it easier to read about the condition in her own language. Another woman mentioned text messaging as a useful way to remind her to watch what she was eating.</w:t>
      </w:r>
    </w:p>
    <w:p w:rsidR="0025490C" w:rsidRPr="00E07B1B" w:rsidRDefault="0025490C" w:rsidP="000E36B2">
      <w:pPr>
        <w:rPr>
          <w:rFonts w:eastAsia="MS Mincho"/>
        </w:rPr>
      </w:pPr>
    </w:p>
    <w:p w:rsidR="0025490C" w:rsidRPr="00E07B1B" w:rsidRDefault="0025490C" w:rsidP="000E36B2">
      <w:pPr>
        <w:pStyle w:val="Heading2"/>
      </w:pPr>
      <w:bookmarkStart w:id="343" w:name="_Toc363207399"/>
      <w:bookmarkStart w:id="344" w:name="_Toc402873621"/>
      <w:bookmarkStart w:id="345" w:name="_Toc403469684"/>
      <w:r w:rsidRPr="00E07B1B">
        <w:t>13.2</w:t>
      </w:r>
      <w:r w:rsidR="000E36B2">
        <w:tab/>
      </w:r>
      <w:r w:rsidRPr="00E07B1B">
        <w:t>New Zealand health literacy report</w:t>
      </w:r>
      <w:bookmarkEnd w:id="343"/>
      <w:bookmarkEnd w:id="344"/>
      <w:bookmarkEnd w:id="345"/>
    </w:p>
    <w:p w:rsidR="0068074A" w:rsidRDefault="0025490C" w:rsidP="000E36B2">
      <w:pPr>
        <w:rPr>
          <w:rFonts w:eastAsia="MS Mincho"/>
        </w:rPr>
      </w:pPr>
      <w:r w:rsidRPr="00E07B1B">
        <w:rPr>
          <w:rFonts w:eastAsia="MS Mincho"/>
        </w:rPr>
        <w:t xml:space="preserve">Workbase recently conducted a health literacy research project for the Ministry of Health (Workbase </w:t>
      </w:r>
      <w:r>
        <w:rPr>
          <w:rFonts w:eastAsia="MS Mincho"/>
        </w:rPr>
        <w:t>2014</w:t>
      </w:r>
      <w:r w:rsidRPr="00E07B1B">
        <w:rPr>
          <w:rFonts w:eastAsia="MS Mincho"/>
        </w:rPr>
        <w:t xml:space="preserve">). The final report for the project has not been completed and these interim results are subject to change. The objective was to identify interventions or approaches that are effective in strengthening health literacy to enable better understanding and management of </w:t>
      </w:r>
      <w:r w:rsidRPr="00E07B1B">
        <w:rPr>
          <w:rFonts w:cs="Arial"/>
        </w:rPr>
        <w:t>gestational diabetes</w:t>
      </w:r>
      <w:r w:rsidRPr="00E07B1B">
        <w:rPr>
          <w:rFonts w:eastAsia="MS Mincho"/>
        </w:rPr>
        <w:t xml:space="preserve"> in New Zealand.</w:t>
      </w:r>
    </w:p>
    <w:p w:rsidR="0025490C" w:rsidRPr="00E07B1B" w:rsidRDefault="0025490C" w:rsidP="000E36B2">
      <w:pPr>
        <w:rPr>
          <w:rFonts w:eastAsia="MS Mincho"/>
        </w:rPr>
      </w:pPr>
    </w:p>
    <w:p w:rsidR="0068074A" w:rsidRDefault="0025490C" w:rsidP="000E36B2">
      <w:pPr>
        <w:rPr>
          <w:rFonts w:eastAsia="MS Mincho"/>
        </w:rPr>
      </w:pPr>
      <w:r w:rsidRPr="00E07B1B">
        <w:rPr>
          <w:rFonts w:eastAsia="MS Mincho"/>
          <w:szCs w:val="24"/>
        </w:rPr>
        <w:t>Māori women, particularly young women aged up to 24 years</w:t>
      </w:r>
      <w:r>
        <w:rPr>
          <w:rFonts w:eastAsia="MS Mincho"/>
          <w:szCs w:val="24"/>
        </w:rPr>
        <w:t>,</w:t>
      </w:r>
      <w:r w:rsidRPr="00E07B1B">
        <w:rPr>
          <w:rFonts w:eastAsia="MS Mincho"/>
          <w:szCs w:val="24"/>
        </w:rPr>
        <w:t xml:space="preserve"> were the focus for the project.</w:t>
      </w:r>
      <w:r>
        <w:rPr>
          <w:rFonts w:eastAsia="MS Mincho"/>
          <w:szCs w:val="24"/>
        </w:rPr>
        <w:t xml:space="preserve"> </w:t>
      </w:r>
      <w:r w:rsidRPr="00E07B1B">
        <w:rPr>
          <w:rFonts w:eastAsia="MS Mincho"/>
          <w:szCs w:val="24"/>
        </w:rPr>
        <w:t>S</w:t>
      </w:r>
      <w:r w:rsidRPr="00E07B1B">
        <w:rPr>
          <w:rFonts w:eastAsia="MS Mincho"/>
        </w:rPr>
        <w:t xml:space="preserve">creening rates for </w:t>
      </w:r>
      <w:r w:rsidRPr="00E07B1B">
        <w:rPr>
          <w:szCs w:val="24"/>
        </w:rPr>
        <w:t>gestational diabetes</w:t>
      </w:r>
      <w:r w:rsidRPr="00E07B1B">
        <w:rPr>
          <w:rFonts w:eastAsia="MS Mincho"/>
        </w:rPr>
        <w:t xml:space="preserve"> are extremely low for Māori women, </w:t>
      </w:r>
      <w:r>
        <w:rPr>
          <w:rFonts w:eastAsia="MS Mincho"/>
        </w:rPr>
        <w:t xml:space="preserve">at </w:t>
      </w:r>
      <w:r w:rsidRPr="00E07B1B">
        <w:rPr>
          <w:rFonts w:eastAsia="MS Mincho"/>
        </w:rPr>
        <w:t xml:space="preserve">30% nationally compared </w:t>
      </w:r>
      <w:r>
        <w:rPr>
          <w:rFonts w:eastAsia="MS Mincho"/>
        </w:rPr>
        <w:t>with</w:t>
      </w:r>
      <w:r w:rsidRPr="00E07B1B">
        <w:rPr>
          <w:rFonts w:eastAsia="MS Mincho"/>
        </w:rPr>
        <w:t xml:space="preserve"> 70% for non-Māori, </w:t>
      </w:r>
      <w:r>
        <w:rPr>
          <w:rFonts w:eastAsia="MS Mincho"/>
        </w:rPr>
        <w:t>even though</w:t>
      </w:r>
      <w:r w:rsidRPr="00E07B1B">
        <w:rPr>
          <w:rFonts w:eastAsia="MS Mincho"/>
        </w:rPr>
        <w:t xml:space="preserve"> Māori women </w:t>
      </w:r>
      <w:r>
        <w:rPr>
          <w:rFonts w:eastAsia="MS Mincho"/>
        </w:rPr>
        <w:t>are</w:t>
      </w:r>
      <w:r w:rsidRPr="00E07B1B">
        <w:rPr>
          <w:rFonts w:eastAsia="MS Mincho"/>
        </w:rPr>
        <w:t xml:space="preserve"> at higher risk of </w:t>
      </w:r>
      <w:r w:rsidRPr="00E07B1B">
        <w:rPr>
          <w:szCs w:val="24"/>
        </w:rPr>
        <w:t>gestational diabetes</w:t>
      </w:r>
      <w:r w:rsidRPr="00E07B1B">
        <w:rPr>
          <w:rFonts w:eastAsia="MS Mincho"/>
        </w:rPr>
        <w:t xml:space="preserve"> (Yappa and Simmons 2000).</w:t>
      </w:r>
    </w:p>
    <w:p w:rsidR="0025490C" w:rsidRPr="00E07B1B" w:rsidRDefault="0025490C" w:rsidP="000E36B2">
      <w:pPr>
        <w:rPr>
          <w:rFonts w:eastAsia="MS Mincho"/>
        </w:rPr>
      </w:pPr>
    </w:p>
    <w:p w:rsidR="0025490C" w:rsidRDefault="0025490C" w:rsidP="000E36B2">
      <w:pPr>
        <w:rPr>
          <w:rFonts w:eastAsia="MS Mincho"/>
        </w:rPr>
      </w:pPr>
      <w:r w:rsidRPr="00E07B1B">
        <w:rPr>
          <w:rFonts w:eastAsia="MS Mincho"/>
        </w:rPr>
        <w:t>Interviews were carried out with nine midwife lead maternity carers, five maternity service and diabetes specialists, as well as 26 M</w:t>
      </w:r>
      <w:r w:rsidRPr="00E07B1B">
        <w:rPr>
          <w:rFonts w:eastAsia="MS Mincho" w:cs="Arial"/>
        </w:rPr>
        <w:t xml:space="preserve">āori </w:t>
      </w:r>
      <w:r w:rsidRPr="00E07B1B">
        <w:rPr>
          <w:rFonts w:eastAsia="MS Mincho"/>
        </w:rPr>
        <w:t>women and their wh</w:t>
      </w:r>
      <w:r w:rsidRPr="00E07B1B">
        <w:rPr>
          <w:rFonts w:eastAsia="MS Mincho" w:cs="Arial"/>
        </w:rPr>
        <w:t>ā</w:t>
      </w:r>
      <w:r w:rsidRPr="00E07B1B">
        <w:rPr>
          <w:rFonts w:eastAsia="MS Mincho"/>
        </w:rPr>
        <w:t>nau. There were also 114</w:t>
      </w:r>
      <w:r w:rsidR="000E36B2">
        <w:rPr>
          <w:rFonts w:eastAsia="MS Mincho"/>
        </w:rPr>
        <w:t> </w:t>
      </w:r>
      <w:r w:rsidRPr="00E07B1B">
        <w:rPr>
          <w:rFonts w:eastAsia="MS Mincho"/>
        </w:rPr>
        <w:t xml:space="preserve">responses to a survey </w:t>
      </w:r>
      <w:r>
        <w:rPr>
          <w:rFonts w:eastAsia="MS Mincho"/>
        </w:rPr>
        <w:t>of</w:t>
      </w:r>
      <w:r w:rsidRPr="00E07B1B">
        <w:rPr>
          <w:rFonts w:eastAsia="MS Mincho"/>
        </w:rPr>
        <w:t xml:space="preserve"> midwife lead maternity carers associated with the New Zealand College of Midwives and </w:t>
      </w:r>
      <w:r w:rsidR="000E36B2">
        <w:rPr>
          <w:rFonts w:eastAsia="MS Mincho"/>
        </w:rPr>
        <w:t>nine</w:t>
      </w:r>
      <w:r w:rsidRPr="00E07B1B">
        <w:rPr>
          <w:rFonts w:eastAsia="MS Mincho"/>
        </w:rPr>
        <w:t xml:space="preserve"> </w:t>
      </w:r>
      <w:r>
        <w:rPr>
          <w:rFonts w:eastAsia="MS Mincho"/>
        </w:rPr>
        <w:t xml:space="preserve">responses </w:t>
      </w:r>
      <w:r w:rsidRPr="00E07B1B">
        <w:rPr>
          <w:rFonts w:eastAsia="MS Mincho"/>
        </w:rPr>
        <w:t xml:space="preserve">to a survey </w:t>
      </w:r>
      <w:r>
        <w:rPr>
          <w:rFonts w:eastAsia="MS Mincho"/>
        </w:rPr>
        <w:t>of</w:t>
      </w:r>
      <w:r w:rsidRPr="00E07B1B">
        <w:rPr>
          <w:rFonts w:eastAsia="MS Mincho"/>
        </w:rPr>
        <w:t xml:space="preserve"> </w:t>
      </w:r>
      <w:r>
        <w:rPr>
          <w:rFonts w:eastAsia="MS Mincho"/>
        </w:rPr>
        <w:t>p</w:t>
      </w:r>
      <w:r w:rsidRPr="00E07B1B">
        <w:rPr>
          <w:rFonts w:eastAsia="MS Mincho"/>
        </w:rPr>
        <w:t xml:space="preserve">rimary </w:t>
      </w:r>
      <w:r>
        <w:rPr>
          <w:rFonts w:eastAsia="MS Mincho"/>
        </w:rPr>
        <w:t>h</w:t>
      </w:r>
      <w:r w:rsidRPr="00E07B1B">
        <w:rPr>
          <w:rFonts w:eastAsia="MS Mincho"/>
        </w:rPr>
        <w:t xml:space="preserve">ealth </w:t>
      </w:r>
      <w:r>
        <w:rPr>
          <w:rFonts w:eastAsia="MS Mincho"/>
        </w:rPr>
        <w:t>o</w:t>
      </w:r>
      <w:r w:rsidRPr="00E07B1B">
        <w:rPr>
          <w:rFonts w:eastAsia="MS Mincho"/>
        </w:rPr>
        <w:t xml:space="preserve">rganisations and </w:t>
      </w:r>
      <w:r>
        <w:rPr>
          <w:rFonts w:eastAsia="MS Mincho"/>
        </w:rPr>
        <w:t>d</w:t>
      </w:r>
      <w:r w:rsidRPr="00E07B1B">
        <w:rPr>
          <w:rFonts w:eastAsia="MS Mincho"/>
        </w:rPr>
        <w:t xml:space="preserve">istrict </w:t>
      </w:r>
      <w:r>
        <w:rPr>
          <w:rFonts w:eastAsia="MS Mincho"/>
        </w:rPr>
        <w:t>h</w:t>
      </w:r>
      <w:r w:rsidRPr="00E07B1B">
        <w:rPr>
          <w:rFonts w:eastAsia="MS Mincho"/>
        </w:rPr>
        <w:t xml:space="preserve">ealth </w:t>
      </w:r>
      <w:r>
        <w:rPr>
          <w:rFonts w:eastAsia="MS Mincho"/>
        </w:rPr>
        <w:t>b</w:t>
      </w:r>
      <w:r w:rsidRPr="00E07B1B">
        <w:rPr>
          <w:rFonts w:eastAsia="MS Mincho"/>
        </w:rPr>
        <w:t>oards.</w:t>
      </w:r>
    </w:p>
    <w:p w:rsidR="0025490C" w:rsidRPr="00E07B1B" w:rsidRDefault="0025490C" w:rsidP="000E36B2">
      <w:pPr>
        <w:rPr>
          <w:rFonts w:eastAsia="MS Mincho"/>
        </w:rPr>
      </w:pPr>
    </w:p>
    <w:p w:rsidR="0025490C" w:rsidRPr="00E07B1B" w:rsidRDefault="0025490C" w:rsidP="000E36B2">
      <w:pPr>
        <w:pStyle w:val="Heading3"/>
      </w:pPr>
      <w:bookmarkStart w:id="346" w:name="_Toc363207400"/>
      <w:bookmarkStart w:id="347" w:name="_Toc402873622"/>
      <w:r w:rsidRPr="00E07B1B">
        <w:t>13.2.1</w:t>
      </w:r>
      <w:r w:rsidR="000E36B2">
        <w:tab/>
      </w:r>
      <w:r w:rsidRPr="00E07B1B">
        <w:t>Interviews with women receiving antenatal care</w:t>
      </w:r>
      <w:bookmarkEnd w:id="346"/>
      <w:bookmarkEnd w:id="347"/>
    </w:p>
    <w:p w:rsidR="0068074A" w:rsidRDefault="0025490C" w:rsidP="000E36B2">
      <w:pPr>
        <w:rPr>
          <w:rFonts w:eastAsia="MS Mincho"/>
        </w:rPr>
      </w:pPr>
      <w:r w:rsidRPr="00E07B1B">
        <w:rPr>
          <w:rFonts w:eastAsia="MS Mincho"/>
        </w:rPr>
        <w:t xml:space="preserve">Pregnant or recently pregnant women were interviewed about their experiences of antenatal care, their decision to be screened for </w:t>
      </w:r>
      <w:r w:rsidRPr="00E07B1B">
        <w:rPr>
          <w:rFonts w:cs="Arial"/>
        </w:rPr>
        <w:t>gestational diabetes</w:t>
      </w:r>
      <w:r w:rsidRPr="00E07B1B">
        <w:rPr>
          <w:rFonts w:eastAsia="MS Mincho"/>
        </w:rPr>
        <w:t xml:space="preserve">, their knowledge of </w:t>
      </w:r>
      <w:r w:rsidRPr="00E07B1B">
        <w:rPr>
          <w:rFonts w:cs="Arial"/>
        </w:rPr>
        <w:t>gestational diabetes</w:t>
      </w:r>
      <w:r w:rsidRPr="00E07B1B">
        <w:rPr>
          <w:rFonts w:eastAsia="MS Mincho"/>
        </w:rPr>
        <w:t xml:space="preserve"> and their experiences of managing </w:t>
      </w:r>
      <w:r w:rsidRPr="00E07B1B">
        <w:rPr>
          <w:rFonts w:cs="Arial"/>
        </w:rPr>
        <w:t>gestational diabetes</w:t>
      </w:r>
      <w:r w:rsidRPr="00E07B1B">
        <w:rPr>
          <w:rFonts w:eastAsia="MS Mincho"/>
        </w:rPr>
        <w:t xml:space="preserve">. The majority of women interviewed were Māori and under 24 years of age. Of these women, 21 had completed a glucose challenge test, and five had also completed an oral glucose tolerance test, with four being confirmed with </w:t>
      </w:r>
      <w:r w:rsidRPr="00E07B1B">
        <w:rPr>
          <w:rFonts w:cs="Arial"/>
        </w:rPr>
        <w:t>gestational diabetes</w:t>
      </w:r>
      <w:r w:rsidRPr="00E07B1B">
        <w:rPr>
          <w:rFonts w:eastAsia="MS Mincho"/>
        </w:rPr>
        <w:t>. Five women had not been screened.</w:t>
      </w:r>
    </w:p>
    <w:p w:rsidR="0025490C" w:rsidRPr="00E07B1B" w:rsidRDefault="0025490C" w:rsidP="000E36B2">
      <w:pPr>
        <w:rPr>
          <w:rFonts w:eastAsia="MS Mincho"/>
        </w:rPr>
      </w:pPr>
    </w:p>
    <w:p w:rsidR="0068074A" w:rsidRDefault="0025490C" w:rsidP="000E36B2">
      <w:pPr>
        <w:rPr>
          <w:rFonts w:eastAsia="MS Mincho"/>
        </w:rPr>
      </w:pPr>
      <w:r w:rsidRPr="00E07B1B">
        <w:rPr>
          <w:rFonts w:eastAsia="MS Mincho"/>
        </w:rPr>
        <w:t xml:space="preserve">Women who were screened for </w:t>
      </w:r>
      <w:r w:rsidRPr="00E07B1B">
        <w:rPr>
          <w:rFonts w:cs="Arial"/>
        </w:rPr>
        <w:t>gestational diabetes</w:t>
      </w:r>
      <w:r w:rsidRPr="00E07B1B">
        <w:rPr>
          <w:rFonts w:eastAsia="MS Mincho"/>
        </w:rPr>
        <w:t xml:space="preserve"> did so based on advice from their lead maternity carer. Unless they had experienced </w:t>
      </w:r>
      <w:r w:rsidRPr="00E07B1B">
        <w:rPr>
          <w:rFonts w:cs="Arial"/>
        </w:rPr>
        <w:t>gestational diabetes</w:t>
      </w:r>
      <w:r w:rsidRPr="00E07B1B">
        <w:rPr>
          <w:rFonts w:eastAsia="MS Mincho"/>
        </w:rPr>
        <w:t xml:space="preserve"> in a previous pregnancy, the women had little understanding of </w:t>
      </w:r>
      <w:r w:rsidRPr="00E07B1B">
        <w:rPr>
          <w:rFonts w:cs="Arial"/>
        </w:rPr>
        <w:t>gestational diabetes</w:t>
      </w:r>
      <w:r w:rsidRPr="00E07B1B">
        <w:rPr>
          <w:rFonts w:eastAsia="MS Mincho"/>
        </w:rPr>
        <w:t xml:space="preserve"> before or after being tested, but understood they might be at risk for a variety of reasons, such as a family history of diabetes.</w:t>
      </w:r>
    </w:p>
    <w:p w:rsidR="0025490C" w:rsidRPr="00E07B1B" w:rsidRDefault="0025490C" w:rsidP="000E36B2">
      <w:pPr>
        <w:rPr>
          <w:rFonts w:eastAsia="MS Mincho"/>
        </w:rPr>
      </w:pPr>
    </w:p>
    <w:p w:rsidR="0068074A" w:rsidRDefault="0025490C" w:rsidP="000E36B2">
      <w:pPr>
        <w:rPr>
          <w:rFonts w:eastAsia="MS Mincho"/>
        </w:rPr>
      </w:pPr>
      <w:r w:rsidRPr="00E07B1B">
        <w:rPr>
          <w:rFonts w:eastAsia="MS Mincho"/>
        </w:rPr>
        <w:t>Women discussed their reasons for not being tested and their attitudes towards testing and pregnancy. Two women reported avoiding or declining every test during pregnancy because they considered tests to be largely unnecessary. They had experienced healthy pregnancies before and felt their current pregnancies to be similar. These women did not complete other second trimester blood tests. Each woman was monitoring the size and growth of their baby as the main indicator of baby health.</w:t>
      </w:r>
    </w:p>
    <w:p w:rsidR="0025490C" w:rsidRPr="00E07B1B" w:rsidRDefault="0025490C" w:rsidP="000E36B2">
      <w:pPr>
        <w:rPr>
          <w:rFonts w:eastAsia="MS Mincho"/>
        </w:rPr>
      </w:pPr>
    </w:p>
    <w:p w:rsidR="0068074A" w:rsidRDefault="0025490C" w:rsidP="000E36B2">
      <w:pPr>
        <w:rPr>
          <w:rFonts w:eastAsia="MS Mincho"/>
        </w:rPr>
      </w:pPr>
      <w:r w:rsidRPr="00E07B1B">
        <w:rPr>
          <w:rFonts w:eastAsia="MS Mincho"/>
        </w:rPr>
        <w:t xml:space="preserve">Two women who consented to, but did not complete, screening could not describe the consequences of </w:t>
      </w:r>
      <w:r w:rsidRPr="00E07B1B">
        <w:rPr>
          <w:rFonts w:cs="Arial"/>
        </w:rPr>
        <w:t>gestational diabetes</w:t>
      </w:r>
      <w:r w:rsidRPr="00E07B1B">
        <w:rPr>
          <w:rFonts w:eastAsia="MS Mincho"/>
        </w:rPr>
        <w:t>.</w:t>
      </w:r>
      <w:r>
        <w:rPr>
          <w:rFonts w:eastAsia="MS Mincho"/>
        </w:rPr>
        <w:t xml:space="preserve"> T</w:t>
      </w:r>
      <w:r w:rsidRPr="00E07B1B">
        <w:rPr>
          <w:rFonts w:eastAsia="MS Mincho"/>
        </w:rPr>
        <w:t>hese women</w:t>
      </w:r>
      <w:r>
        <w:rPr>
          <w:rFonts w:eastAsia="MS Mincho"/>
        </w:rPr>
        <w:t xml:space="preserve"> made</w:t>
      </w:r>
      <w:r w:rsidRPr="00E07B1B">
        <w:rPr>
          <w:rFonts w:eastAsia="MS Mincho"/>
        </w:rPr>
        <w:t xml:space="preserve"> no explicit decision not be tested, but testing never became a priority</w:t>
      </w:r>
      <w:r>
        <w:rPr>
          <w:rFonts w:eastAsia="MS Mincho"/>
        </w:rPr>
        <w:t xml:space="preserve"> for them</w:t>
      </w:r>
      <w:r w:rsidRPr="00E07B1B">
        <w:rPr>
          <w:rFonts w:eastAsia="MS Mincho"/>
        </w:rPr>
        <w:t xml:space="preserve">. One young woman did not have the test because her mother (who was </w:t>
      </w:r>
      <w:r>
        <w:rPr>
          <w:rFonts w:eastAsia="MS Mincho"/>
        </w:rPr>
        <w:t xml:space="preserve">also </w:t>
      </w:r>
      <w:r w:rsidRPr="00E07B1B">
        <w:rPr>
          <w:rFonts w:eastAsia="MS Mincho"/>
        </w:rPr>
        <w:t>pregnant at the same time) declined the test.</w:t>
      </w:r>
    </w:p>
    <w:p w:rsidR="0025490C" w:rsidRPr="00E07B1B" w:rsidRDefault="0025490C" w:rsidP="000E36B2">
      <w:pPr>
        <w:rPr>
          <w:rFonts w:eastAsia="MS Mincho"/>
        </w:rPr>
      </w:pPr>
    </w:p>
    <w:p w:rsidR="0068074A" w:rsidRDefault="0025490C" w:rsidP="000E36B2">
      <w:pPr>
        <w:rPr>
          <w:rFonts w:eastAsia="MS Mincho"/>
        </w:rPr>
      </w:pPr>
      <w:r w:rsidRPr="00E07B1B">
        <w:rPr>
          <w:rFonts w:eastAsia="MS Mincho"/>
        </w:rPr>
        <w:t>Within the population of young Māori women</w:t>
      </w:r>
      <w:r>
        <w:rPr>
          <w:rFonts w:eastAsia="MS Mincho"/>
        </w:rPr>
        <w:t xml:space="preserve"> who are</w:t>
      </w:r>
      <w:r w:rsidRPr="00E07B1B">
        <w:rPr>
          <w:rFonts w:eastAsia="MS Mincho"/>
        </w:rPr>
        <w:t xml:space="preserve"> not being screened for </w:t>
      </w:r>
      <w:r w:rsidRPr="00E07B1B">
        <w:rPr>
          <w:rFonts w:cs="Arial"/>
        </w:rPr>
        <w:t>gestational diabetes</w:t>
      </w:r>
      <w:r w:rsidRPr="00E07B1B">
        <w:rPr>
          <w:rFonts w:eastAsia="MS Mincho"/>
        </w:rPr>
        <w:t xml:space="preserve">, there are those choosing not to be screened, </w:t>
      </w:r>
      <w:r>
        <w:rPr>
          <w:rFonts w:eastAsia="MS Mincho"/>
        </w:rPr>
        <w:t>n</w:t>
      </w:r>
      <w:r w:rsidRPr="00E07B1B">
        <w:rPr>
          <w:rFonts w:eastAsia="MS Mincho"/>
        </w:rPr>
        <w:t xml:space="preserve">or </w:t>
      </w:r>
      <w:r>
        <w:rPr>
          <w:rFonts w:eastAsia="MS Mincho"/>
        </w:rPr>
        <w:t xml:space="preserve">to </w:t>
      </w:r>
      <w:r w:rsidRPr="00E07B1B">
        <w:rPr>
          <w:rFonts w:eastAsia="MS Mincho"/>
        </w:rPr>
        <w:t xml:space="preserve">access antenatal care, based on their experience and knowledge of pregnancy. However, there </w:t>
      </w:r>
      <w:r>
        <w:rPr>
          <w:rFonts w:eastAsia="MS Mincho"/>
        </w:rPr>
        <w:t>is</w:t>
      </w:r>
      <w:r w:rsidRPr="00E07B1B">
        <w:rPr>
          <w:rFonts w:eastAsia="MS Mincho"/>
        </w:rPr>
        <w:t xml:space="preserve"> also a substantial proportion of young women who do not know enough about </w:t>
      </w:r>
      <w:r w:rsidRPr="00E07B1B">
        <w:rPr>
          <w:rFonts w:cs="Arial"/>
        </w:rPr>
        <w:t>gestational diabetes</w:t>
      </w:r>
      <w:r w:rsidRPr="00E07B1B">
        <w:rPr>
          <w:rFonts w:eastAsia="MS Mincho"/>
        </w:rPr>
        <w:t xml:space="preserve"> when deciding whether to be screened.</w:t>
      </w:r>
    </w:p>
    <w:p w:rsidR="0025490C" w:rsidRPr="00E07B1B" w:rsidRDefault="0025490C" w:rsidP="000E36B2">
      <w:pPr>
        <w:rPr>
          <w:rFonts w:eastAsia="MS Mincho"/>
        </w:rPr>
      </w:pPr>
    </w:p>
    <w:p w:rsidR="0068074A" w:rsidRDefault="0025490C" w:rsidP="000E36B2">
      <w:pPr>
        <w:rPr>
          <w:rFonts w:eastAsia="MS Mincho"/>
        </w:rPr>
      </w:pPr>
      <w:r w:rsidRPr="00E07B1B">
        <w:rPr>
          <w:rFonts w:eastAsia="MS Mincho"/>
        </w:rPr>
        <w:t>People with low health literacy are less likely to ask questions, or</w:t>
      </w:r>
      <w:r>
        <w:rPr>
          <w:rFonts w:eastAsia="MS Mincho"/>
        </w:rPr>
        <w:t xml:space="preserve"> to</w:t>
      </w:r>
      <w:r w:rsidRPr="00E07B1B">
        <w:rPr>
          <w:rFonts w:eastAsia="MS Mincho"/>
        </w:rPr>
        <w:t xml:space="preserve"> independently seek health information online or through publications. They are more likely to rely on trusted personal advisors, such as mothers and grandmothers. This makes it especially important for a lead maternity carer to involve this wider group in their discussions with a woman.</w:t>
      </w:r>
    </w:p>
    <w:p w:rsidR="0025490C" w:rsidRPr="00E07B1B" w:rsidRDefault="0025490C" w:rsidP="000E36B2">
      <w:pPr>
        <w:rPr>
          <w:rFonts w:eastAsia="MS Mincho"/>
        </w:rPr>
      </w:pPr>
    </w:p>
    <w:p w:rsidR="0025490C" w:rsidRDefault="0025490C" w:rsidP="000E36B2">
      <w:pPr>
        <w:rPr>
          <w:rFonts w:eastAsia="MS Mincho"/>
        </w:rPr>
      </w:pPr>
      <w:r w:rsidRPr="00E07B1B">
        <w:rPr>
          <w:rFonts w:eastAsia="MS Mincho"/>
        </w:rPr>
        <w:t>The report concludes that a woman</w:t>
      </w:r>
      <w:r w:rsidR="0068074A">
        <w:rPr>
          <w:rFonts w:eastAsia="MS Mincho"/>
        </w:rPr>
        <w:t>’</w:t>
      </w:r>
      <w:r w:rsidRPr="00E07B1B">
        <w:rPr>
          <w:rFonts w:eastAsia="MS Mincho"/>
        </w:rPr>
        <w:t xml:space="preserve">s decision to be screened is influenced by the approach </w:t>
      </w:r>
      <w:r>
        <w:rPr>
          <w:rFonts w:eastAsia="MS Mincho"/>
        </w:rPr>
        <w:t xml:space="preserve">that </w:t>
      </w:r>
      <w:r w:rsidRPr="00E07B1B">
        <w:rPr>
          <w:rFonts w:eastAsia="MS Mincho"/>
        </w:rPr>
        <w:t xml:space="preserve">her lead maternity carer </w:t>
      </w:r>
      <w:r>
        <w:rPr>
          <w:rFonts w:eastAsia="MS Mincho"/>
        </w:rPr>
        <w:t xml:space="preserve">takes </w:t>
      </w:r>
      <w:r w:rsidRPr="00E07B1B">
        <w:rPr>
          <w:rFonts w:eastAsia="MS Mincho"/>
        </w:rPr>
        <w:t xml:space="preserve">to screening, as well as </w:t>
      </w:r>
      <w:r>
        <w:rPr>
          <w:rFonts w:eastAsia="MS Mincho"/>
        </w:rPr>
        <w:t xml:space="preserve">by </w:t>
      </w:r>
      <w:r w:rsidRPr="00E07B1B">
        <w:rPr>
          <w:rFonts w:eastAsia="MS Mincho"/>
        </w:rPr>
        <w:t xml:space="preserve">the knowledge, confidence and beliefs of </w:t>
      </w:r>
      <w:r>
        <w:rPr>
          <w:rFonts w:eastAsia="MS Mincho"/>
        </w:rPr>
        <w:t>the</w:t>
      </w:r>
      <w:r w:rsidRPr="00E07B1B">
        <w:rPr>
          <w:rFonts w:eastAsia="MS Mincho"/>
        </w:rPr>
        <w:t xml:space="preserve"> woman and her support network. Table </w:t>
      </w:r>
      <w:r w:rsidR="00C04C3B">
        <w:rPr>
          <w:rFonts w:eastAsia="MS Mincho"/>
        </w:rPr>
        <w:t>C</w:t>
      </w:r>
      <w:r w:rsidRPr="00E07B1B">
        <w:rPr>
          <w:rFonts w:eastAsia="MS Mincho"/>
        </w:rPr>
        <w:t xml:space="preserve"> </w:t>
      </w:r>
      <w:r>
        <w:rPr>
          <w:rFonts w:eastAsia="MS Mincho"/>
        </w:rPr>
        <w:t>summarises</w:t>
      </w:r>
      <w:r w:rsidRPr="00E07B1B">
        <w:rPr>
          <w:rFonts w:eastAsia="MS Mincho"/>
        </w:rPr>
        <w:t xml:space="preserve"> the factors contributing to low screening rates for </w:t>
      </w:r>
      <w:r w:rsidRPr="00E07B1B">
        <w:rPr>
          <w:rFonts w:cs="Arial"/>
        </w:rPr>
        <w:t>gestational diabetes</w:t>
      </w:r>
      <w:r w:rsidRPr="00E07B1B">
        <w:rPr>
          <w:rFonts w:eastAsia="MS Mincho"/>
        </w:rPr>
        <w:t>.</w:t>
      </w:r>
    </w:p>
    <w:p w:rsidR="0025490C" w:rsidRPr="00E07B1B" w:rsidRDefault="0025490C" w:rsidP="000E36B2">
      <w:pPr>
        <w:rPr>
          <w:rFonts w:eastAsia="MS Mincho"/>
        </w:rPr>
      </w:pPr>
    </w:p>
    <w:p w:rsidR="0025490C" w:rsidRPr="00E07B1B" w:rsidRDefault="0025490C" w:rsidP="000E36B2">
      <w:pPr>
        <w:pStyle w:val="Table"/>
      </w:pPr>
      <w:bookmarkStart w:id="348" w:name="_Toc403635881"/>
      <w:r w:rsidRPr="00E07B1B">
        <w:t xml:space="preserve">Table </w:t>
      </w:r>
      <w:r w:rsidR="00C04C3B">
        <w:t>C</w:t>
      </w:r>
      <w:r w:rsidR="000E36B2">
        <w:t>:</w:t>
      </w:r>
      <w:r w:rsidRPr="00E07B1B">
        <w:t xml:space="preserve"> Factors contributing to low screening rates for gestational diabetes</w:t>
      </w:r>
      <w:bookmarkEnd w:id="348"/>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4678"/>
        <w:gridCol w:w="4678"/>
      </w:tblGrid>
      <w:tr w:rsidR="0025490C" w:rsidRPr="00260258" w:rsidTr="00260258">
        <w:trPr>
          <w:cantSplit/>
        </w:trPr>
        <w:tc>
          <w:tcPr>
            <w:tcW w:w="4678" w:type="dxa"/>
            <w:tcBorders>
              <w:top w:val="single" w:sz="4" w:space="0" w:color="auto"/>
              <w:bottom w:val="single" w:sz="4" w:space="0" w:color="auto"/>
            </w:tcBorders>
            <w:shd w:val="clear" w:color="auto" w:fill="auto"/>
          </w:tcPr>
          <w:p w:rsidR="0025490C" w:rsidRPr="00260258" w:rsidRDefault="0025490C" w:rsidP="00260258">
            <w:pPr>
              <w:pStyle w:val="TableText"/>
              <w:rPr>
                <w:rFonts w:eastAsia="MS Mincho"/>
                <w:b/>
                <w:lang w:eastAsia="ja-JP"/>
              </w:rPr>
            </w:pPr>
            <w:r w:rsidRPr="00260258">
              <w:rPr>
                <w:rFonts w:eastAsia="MS Mincho"/>
                <w:b/>
                <w:lang w:eastAsia="ja-JP"/>
              </w:rPr>
              <w:t>Lead maternity carer knowledge and practice</w:t>
            </w:r>
          </w:p>
        </w:tc>
        <w:tc>
          <w:tcPr>
            <w:tcW w:w="4678" w:type="dxa"/>
            <w:tcBorders>
              <w:top w:val="single" w:sz="4" w:space="0" w:color="auto"/>
              <w:bottom w:val="single" w:sz="4" w:space="0" w:color="auto"/>
            </w:tcBorders>
            <w:shd w:val="clear" w:color="auto" w:fill="auto"/>
          </w:tcPr>
          <w:p w:rsidR="0025490C" w:rsidRPr="00260258" w:rsidRDefault="0025490C" w:rsidP="00260258">
            <w:pPr>
              <w:pStyle w:val="TableText"/>
              <w:rPr>
                <w:rFonts w:eastAsia="MS Mincho"/>
                <w:b/>
                <w:lang w:eastAsia="ja-JP"/>
              </w:rPr>
            </w:pPr>
            <w:r w:rsidRPr="00260258">
              <w:rPr>
                <w:rFonts w:eastAsia="MS Mincho"/>
                <w:b/>
                <w:lang w:eastAsia="ja-JP"/>
              </w:rPr>
              <w:t>Women</w:t>
            </w:r>
            <w:r w:rsidR="0068074A" w:rsidRPr="00260258">
              <w:rPr>
                <w:rFonts w:eastAsia="MS Mincho"/>
                <w:b/>
                <w:lang w:eastAsia="ja-JP"/>
              </w:rPr>
              <w:t>’</w:t>
            </w:r>
            <w:r w:rsidRPr="00260258">
              <w:rPr>
                <w:rFonts w:eastAsia="MS Mincho"/>
                <w:b/>
                <w:lang w:eastAsia="ja-JP"/>
              </w:rPr>
              <w:t>s knowledge and action</w:t>
            </w:r>
          </w:p>
        </w:tc>
      </w:tr>
      <w:tr w:rsidR="0025490C" w:rsidRPr="00E07B1B" w:rsidTr="00260258">
        <w:trPr>
          <w:cantSplit/>
        </w:trPr>
        <w:tc>
          <w:tcPr>
            <w:tcW w:w="4678" w:type="dxa"/>
            <w:tcBorders>
              <w:top w:val="single" w:sz="4" w:space="0" w:color="auto"/>
              <w:bottom w:val="single" w:sz="4" w:space="0" w:color="auto"/>
            </w:tcBorders>
            <w:shd w:val="clear" w:color="auto" w:fill="auto"/>
          </w:tcPr>
          <w:p w:rsidR="0025490C" w:rsidRPr="00487CEB" w:rsidRDefault="0025490C" w:rsidP="00260258">
            <w:pPr>
              <w:pStyle w:val="TableBullet"/>
              <w:spacing w:before="60"/>
              <w:ind w:left="284" w:right="142"/>
              <w:rPr>
                <w:rFonts w:eastAsia="MS Mincho"/>
                <w:lang w:eastAsia="ja-JP"/>
              </w:rPr>
            </w:pPr>
            <w:r w:rsidRPr="00487CEB">
              <w:rPr>
                <w:rFonts w:eastAsia="MS Mincho"/>
                <w:lang w:eastAsia="ja-JP"/>
              </w:rPr>
              <w:t>Providing little encouragement for screening beyond making the offer</w:t>
            </w:r>
          </w:p>
          <w:p w:rsidR="0068074A" w:rsidRDefault="0025490C" w:rsidP="00260258">
            <w:pPr>
              <w:pStyle w:val="TableBullet"/>
              <w:ind w:left="284" w:right="142"/>
              <w:rPr>
                <w:rFonts w:eastAsia="MS Mincho"/>
                <w:lang w:eastAsia="ja-JP"/>
              </w:rPr>
            </w:pPr>
            <w:r w:rsidRPr="00487CEB">
              <w:rPr>
                <w:rFonts w:eastAsia="MS Mincho"/>
                <w:lang w:eastAsia="ja-JP"/>
              </w:rPr>
              <w:t>Assessing risk factors to determine whether to recommend screening</w:t>
            </w:r>
          </w:p>
          <w:p w:rsidR="0025490C" w:rsidRPr="00487CEB" w:rsidRDefault="0025490C" w:rsidP="00260258">
            <w:pPr>
              <w:pStyle w:val="TableBullet"/>
              <w:ind w:left="284" w:right="142"/>
              <w:rPr>
                <w:rFonts w:eastAsia="MS Mincho"/>
                <w:lang w:eastAsia="ja-JP"/>
              </w:rPr>
            </w:pPr>
            <w:r w:rsidRPr="00487CEB">
              <w:rPr>
                <w:rFonts w:eastAsia="MS Mincho"/>
                <w:lang w:eastAsia="ja-JP"/>
              </w:rPr>
              <w:t>Not explaining the consequences of gestational diabetes</w:t>
            </w:r>
          </w:p>
          <w:p w:rsidR="0025490C" w:rsidRPr="00487CEB" w:rsidRDefault="0025490C" w:rsidP="00260258">
            <w:pPr>
              <w:pStyle w:val="TableBullet"/>
              <w:ind w:left="284" w:right="142"/>
              <w:rPr>
                <w:rFonts w:eastAsia="MS Mincho"/>
                <w:lang w:eastAsia="ja-JP"/>
              </w:rPr>
            </w:pPr>
            <w:r w:rsidRPr="00487CEB">
              <w:rPr>
                <w:rFonts w:eastAsia="MS Mincho"/>
                <w:lang w:eastAsia="ja-JP"/>
              </w:rPr>
              <w:t>Providing little explanation of the screening process</w:t>
            </w:r>
          </w:p>
          <w:p w:rsidR="0025490C" w:rsidRPr="00487CEB" w:rsidRDefault="0025490C" w:rsidP="00260258">
            <w:pPr>
              <w:pStyle w:val="TableBullet"/>
              <w:ind w:left="284" w:right="142"/>
              <w:rPr>
                <w:rFonts w:eastAsia="MS Mincho"/>
                <w:lang w:eastAsia="ja-JP"/>
              </w:rPr>
            </w:pPr>
            <w:r w:rsidRPr="00487CEB">
              <w:rPr>
                <w:rFonts w:eastAsia="MS Mincho"/>
                <w:lang w:eastAsia="ja-JP"/>
              </w:rPr>
              <w:t>Not contacting women when screening is not completed when planned</w:t>
            </w:r>
          </w:p>
          <w:p w:rsidR="0068074A" w:rsidRDefault="0025490C" w:rsidP="00260258">
            <w:pPr>
              <w:pStyle w:val="TableBullet"/>
              <w:ind w:left="284" w:right="142"/>
              <w:rPr>
                <w:rFonts w:eastAsia="MS Mincho"/>
                <w:lang w:eastAsia="ja-JP"/>
              </w:rPr>
            </w:pPr>
            <w:r w:rsidRPr="00487CEB">
              <w:rPr>
                <w:rFonts w:eastAsia="MS Mincho"/>
                <w:lang w:eastAsia="ja-JP"/>
              </w:rPr>
              <w:t>Concern about upsetting the relationship with a woman by questioning why she hasn</w:t>
            </w:r>
            <w:r w:rsidR="0068074A">
              <w:rPr>
                <w:rFonts w:eastAsia="MS Mincho"/>
                <w:lang w:eastAsia="ja-JP"/>
              </w:rPr>
              <w:t>’</w:t>
            </w:r>
            <w:r w:rsidRPr="00487CEB">
              <w:rPr>
                <w:rFonts w:eastAsia="MS Mincho"/>
                <w:lang w:eastAsia="ja-JP"/>
              </w:rPr>
              <w:t>t completed screening</w:t>
            </w:r>
          </w:p>
          <w:p w:rsidR="0025490C" w:rsidRPr="00487CEB" w:rsidRDefault="0025490C" w:rsidP="00260258">
            <w:pPr>
              <w:pStyle w:val="TableBullet"/>
              <w:ind w:left="284" w:right="142"/>
              <w:rPr>
                <w:rFonts w:eastAsia="MS Mincho"/>
                <w:lang w:eastAsia="ja-JP"/>
              </w:rPr>
            </w:pPr>
            <w:r w:rsidRPr="00487CEB">
              <w:rPr>
                <w:rFonts w:eastAsia="MS Mincho"/>
                <w:lang w:eastAsia="ja-JP"/>
              </w:rPr>
              <w:t>Concern about the specialist diabetes support and advice provided once gestational diabetes is diagnosed</w:t>
            </w:r>
          </w:p>
          <w:p w:rsidR="0025490C" w:rsidRPr="00487CEB" w:rsidRDefault="0025490C" w:rsidP="00260258">
            <w:pPr>
              <w:pStyle w:val="TableBullet"/>
              <w:ind w:left="284" w:right="142"/>
              <w:rPr>
                <w:rFonts w:eastAsia="MS Mincho"/>
                <w:lang w:eastAsia="ja-JP"/>
              </w:rPr>
            </w:pPr>
            <w:r>
              <w:rPr>
                <w:rFonts w:eastAsia="MS Mincho"/>
                <w:lang w:eastAsia="ja-JP"/>
              </w:rPr>
              <w:t>G</w:t>
            </w:r>
            <w:r w:rsidRPr="00487CEB">
              <w:rPr>
                <w:rFonts w:eastAsia="MS Mincho"/>
                <w:lang w:eastAsia="ja-JP"/>
              </w:rPr>
              <w:t>estational diabetes is one of many health concerns during pregnancy and other things may take priority</w:t>
            </w:r>
          </w:p>
          <w:p w:rsidR="0025490C" w:rsidRPr="00487CEB" w:rsidRDefault="0025490C" w:rsidP="00260258">
            <w:pPr>
              <w:pStyle w:val="TableBullet"/>
              <w:ind w:left="284" w:right="142"/>
              <w:rPr>
                <w:rFonts w:eastAsia="MS Mincho"/>
                <w:lang w:eastAsia="ja-JP"/>
              </w:rPr>
            </w:pPr>
            <w:r w:rsidRPr="00487CEB">
              <w:rPr>
                <w:rFonts w:eastAsia="MS Mincho"/>
                <w:lang w:eastAsia="ja-JP"/>
              </w:rPr>
              <w:t xml:space="preserve">Not offering screening (non-New Zealand College </w:t>
            </w:r>
            <w:r>
              <w:rPr>
                <w:rFonts w:eastAsia="MS Mincho"/>
                <w:lang w:eastAsia="ja-JP"/>
              </w:rPr>
              <w:t>o</w:t>
            </w:r>
            <w:r w:rsidRPr="00487CEB">
              <w:rPr>
                <w:rFonts w:eastAsia="MS Mincho"/>
                <w:lang w:eastAsia="ja-JP"/>
              </w:rPr>
              <w:t>f Midwives lead maternity carers)</w:t>
            </w:r>
          </w:p>
        </w:tc>
        <w:tc>
          <w:tcPr>
            <w:tcW w:w="4678" w:type="dxa"/>
            <w:tcBorders>
              <w:top w:val="single" w:sz="4" w:space="0" w:color="auto"/>
              <w:bottom w:val="single" w:sz="4" w:space="0" w:color="auto"/>
            </w:tcBorders>
            <w:shd w:val="clear" w:color="auto" w:fill="auto"/>
          </w:tcPr>
          <w:p w:rsidR="0025490C" w:rsidRPr="00487CEB" w:rsidRDefault="0025490C" w:rsidP="00260258">
            <w:pPr>
              <w:pStyle w:val="TableBullet"/>
              <w:spacing w:before="60"/>
              <w:ind w:left="284"/>
              <w:rPr>
                <w:rFonts w:eastAsia="MS Mincho"/>
                <w:lang w:eastAsia="ja-JP"/>
              </w:rPr>
            </w:pPr>
            <w:r w:rsidRPr="00487CEB">
              <w:rPr>
                <w:rFonts w:eastAsia="MS Mincho"/>
                <w:lang w:eastAsia="ja-JP"/>
              </w:rPr>
              <w:t>Having little or no knowledge of gestational diabetes or why screening is important</w:t>
            </w:r>
          </w:p>
          <w:p w:rsidR="0025490C" w:rsidRPr="00487CEB" w:rsidRDefault="0025490C" w:rsidP="00260258">
            <w:pPr>
              <w:pStyle w:val="TableBullet"/>
              <w:ind w:left="284"/>
              <w:rPr>
                <w:rFonts w:eastAsia="MS Mincho"/>
                <w:lang w:eastAsia="ja-JP"/>
              </w:rPr>
            </w:pPr>
            <w:r w:rsidRPr="00487CEB">
              <w:rPr>
                <w:rFonts w:eastAsia="MS Mincho"/>
                <w:lang w:eastAsia="ja-JP"/>
              </w:rPr>
              <w:t>Lack of confidence in unfamiliar health settings (reluctance to participate)</w:t>
            </w:r>
          </w:p>
          <w:p w:rsidR="0025490C" w:rsidRPr="00487CEB" w:rsidRDefault="0025490C" w:rsidP="00260258">
            <w:pPr>
              <w:pStyle w:val="TableBullet"/>
              <w:ind w:left="284"/>
              <w:rPr>
                <w:rFonts w:eastAsia="MS Mincho"/>
                <w:lang w:eastAsia="ja-JP"/>
              </w:rPr>
            </w:pPr>
            <w:r w:rsidRPr="00487CEB">
              <w:rPr>
                <w:rFonts w:eastAsia="MS Mincho"/>
                <w:lang w:eastAsia="ja-JP"/>
              </w:rPr>
              <w:t>Influential family or friends dismiss the need for screening</w:t>
            </w:r>
          </w:p>
          <w:p w:rsidR="0025490C" w:rsidRPr="00487CEB" w:rsidRDefault="0025490C" w:rsidP="00260258">
            <w:pPr>
              <w:pStyle w:val="TableBullet"/>
              <w:ind w:left="284"/>
              <w:rPr>
                <w:rFonts w:eastAsia="MS Mincho"/>
                <w:lang w:eastAsia="ja-JP"/>
              </w:rPr>
            </w:pPr>
            <w:r w:rsidRPr="00487CEB">
              <w:rPr>
                <w:rFonts w:eastAsia="MS Mincho"/>
                <w:lang w:eastAsia="ja-JP"/>
              </w:rPr>
              <w:t>Young women in denial about pregnancy and various aspects of the pregnancy</w:t>
            </w:r>
          </w:p>
          <w:p w:rsidR="0025490C" w:rsidRPr="00487CEB" w:rsidRDefault="0025490C" w:rsidP="00260258">
            <w:pPr>
              <w:pStyle w:val="TableBullet"/>
              <w:ind w:left="284"/>
              <w:rPr>
                <w:rFonts w:eastAsia="MS Mincho"/>
                <w:lang w:eastAsia="ja-JP"/>
              </w:rPr>
            </w:pPr>
            <w:r w:rsidRPr="00487CEB">
              <w:rPr>
                <w:rFonts w:eastAsia="MS Mincho"/>
                <w:lang w:eastAsia="ja-JP"/>
              </w:rPr>
              <w:t>Past negative results for glucose challenge test or oral glucose tolerance test</w:t>
            </w:r>
          </w:p>
          <w:p w:rsidR="0025490C" w:rsidRPr="00487CEB" w:rsidRDefault="0025490C" w:rsidP="00260258">
            <w:pPr>
              <w:pStyle w:val="TableBullet"/>
              <w:ind w:left="284"/>
              <w:rPr>
                <w:rFonts w:eastAsia="MS Mincho"/>
                <w:lang w:eastAsia="ja-JP"/>
              </w:rPr>
            </w:pPr>
            <w:r w:rsidRPr="00487CEB">
              <w:rPr>
                <w:rFonts w:eastAsia="MS Mincho"/>
                <w:lang w:eastAsia="ja-JP"/>
              </w:rPr>
              <w:t>Past negative experiences with gestational diabetes specialist support services</w:t>
            </w:r>
          </w:p>
          <w:p w:rsidR="0025490C" w:rsidRPr="00487CEB" w:rsidRDefault="0025490C" w:rsidP="00260258">
            <w:pPr>
              <w:pStyle w:val="TableBullet"/>
              <w:ind w:left="284"/>
              <w:rPr>
                <w:rFonts w:eastAsia="MS Mincho"/>
                <w:lang w:eastAsia="ja-JP"/>
              </w:rPr>
            </w:pPr>
            <w:r w:rsidRPr="00487CEB">
              <w:rPr>
                <w:rFonts w:eastAsia="MS Mincho"/>
                <w:lang w:eastAsia="ja-JP"/>
              </w:rPr>
              <w:t>Fear of diagnosis of diabetes mellitus</w:t>
            </w:r>
          </w:p>
          <w:p w:rsidR="0068074A" w:rsidRDefault="0025490C" w:rsidP="00260258">
            <w:pPr>
              <w:pStyle w:val="TableBullet"/>
              <w:ind w:left="284"/>
              <w:rPr>
                <w:rFonts w:eastAsia="MS Mincho"/>
                <w:lang w:eastAsia="ja-JP"/>
              </w:rPr>
            </w:pPr>
            <w:r w:rsidRPr="00487CEB">
              <w:rPr>
                <w:rFonts w:eastAsia="MS Mincho"/>
                <w:lang w:eastAsia="ja-JP"/>
              </w:rPr>
              <w:t>Perception that pregnancy is being over-medicalised</w:t>
            </w:r>
          </w:p>
          <w:p w:rsidR="0025490C" w:rsidRPr="00487CEB" w:rsidRDefault="0025490C" w:rsidP="00260258">
            <w:pPr>
              <w:pStyle w:val="TableBullet"/>
              <w:ind w:left="284"/>
              <w:rPr>
                <w:rFonts w:eastAsia="MS Mincho"/>
                <w:lang w:eastAsia="ja-JP"/>
              </w:rPr>
            </w:pPr>
            <w:r w:rsidRPr="00487CEB">
              <w:rPr>
                <w:rFonts w:eastAsia="MS Mincho"/>
                <w:lang w:eastAsia="ja-JP"/>
              </w:rPr>
              <w:t>Not accessing antenatal care</w:t>
            </w:r>
          </w:p>
        </w:tc>
      </w:tr>
      <w:tr w:rsidR="0025490C" w:rsidRPr="00260258" w:rsidTr="00260258">
        <w:trPr>
          <w:cantSplit/>
        </w:trPr>
        <w:tc>
          <w:tcPr>
            <w:tcW w:w="9356" w:type="dxa"/>
            <w:gridSpan w:val="2"/>
            <w:tcBorders>
              <w:top w:val="single" w:sz="4" w:space="0" w:color="auto"/>
              <w:bottom w:val="single" w:sz="4" w:space="0" w:color="auto"/>
            </w:tcBorders>
            <w:shd w:val="clear" w:color="auto" w:fill="auto"/>
          </w:tcPr>
          <w:p w:rsidR="0025490C" w:rsidRPr="00260258" w:rsidRDefault="0025490C" w:rsidP="00260258">
            <w:pPr>
              <w:pStyle w:val="TableText"/>
              <w:rPr>
                <w:rFonts w:eastAsia="MS Mincho"/>
                <w:b/>
                <w:lang w:eastAsia="ja-JP"/>
              </w:rPr>
            </w:pPr>
            <w:r w:rsidRPr="00260258">
              <w:rPr>
                <w:rFonts w:eastAsia="MS Mincho"/>
                <w:b/>
                <w:lang w:eastAsia="ja-JP"/>
              </w:rPr>
              <w:t>Systemic issues</w:t>
            </w:r>
          </w:p>
        </w:tc>
      </w:tr>
      <w:tr w:rsidR="0025490C" w:rsidRPr="00E07B1B" w:rsidTr="00260258">
        <w:trPr>
          <w:cantSplit/>
        </w:trPr>
        <w:tc>
          <w:tcPr>
            <w:tcW w:w="9356" w:type="dxa"/>
            <w:gridSpan w:val="2"/>
            <w:tcBorders>
              <w:top w:val="single" w:sz="4" w:space="0" w:color="auto"/>
            </w:tcBorders>
            <w:shd w:val="clear" w:color="auto" w:fill="auto"/>
          </w:tcPr>
          <w:p w:rsidR="0025490C" w:rsidRPr="00487CEB" w:rsidRDefault="0025490C" w:rsidP="00260258">
            <w:pPr>
              <w:pStyle w:val="TableBullet"/>
              <w:spacing w:before="60"/>
              <w:ind w:left="284"/>
              <w:rPr>
                <w:rFonts w:eastAsia="MS Mincho"/>
                <w:lang w:eastAsia="ja-JP"/>
              </w:rPr>
            </w:pPr>
            <w:r w:rsidRPr="00487CEB">
              <w:rPr>
                <w:rFonts w:eastAsia="MS Mincho"/>
                <w:lang w:eastAsia="ja-JP"/>
              </w:rPr>
              <w:t>No nationally agreed guidelines for screening and diagnosing gestational diabetes</w:t>
            </w:r>
          </w:p>
          <w:p w:rsidR="0025490C" w:rsidRPr="00487CEB" w:rsidRDefault="0025490C" w:rsidP="00260258">
            <w:pPr>
              <w:pStyle w:val="TableBullet"/>
              <w:ind w:left="284"/>
              <w:rPr>
                <w:rFonts w:eastAsia="MS Mincho"/>
                <w:lang w:eastAsia="ja-JP"/>
              </w:rPr>
            </w:pPr>
            <w:r w:rsidRPr="00487CEB">
              <w:rPr>
                <w:rFonts w:eastAsia="MS Mincho"/>
                <w:lang w:eastAsia="ja-JP"/>
              </w:rPr>
              <w:t>Poor public awareness and understanding of gestational diabetes</w:t>
            </w:r>
          </w:p>
          <w:p w:rsidR="0025490C" w:rsidRPr="00487CEB" w:rsidRDefault="0025490C" w:rsidP="00260258">
            <w:pPr>
              <w:pStyle w:val="TableBullet"/>
              <w:ind w:left="284"/>
              <w:rPr>
                <w:rFonts w:eastAsia="MS Mincho"/>
                <w:lang w:eastAsia="ja-JP"/>
              </w:rPr>
            </w:pPr>
            <w:r w:rsidRPr="00487CEB">
              <w:rPr>
                <w:rFonts w:eastAsia="MS Mincho"/>
                <w:lang w:eastAsia="ja-JP"/>
              </w:rPr>
              <w:t xml:space="preserve">Poor service coordination resulting in low </w:t>
            </w:r>
            <w:r>
              <w:rPr>
                <w:rFonts w:eastAsia="MS Mincho"/>
                <w:lang w:eastAsia="ja-JP"/>
              </w:rPr>
              <w:t xml:space="preserve">rate of </w:t>
            </w:r>
            <w:r w:rsidRPr="00487CEB">
              <w:rPr>
                <w:rFonts w:eastAsia="MS Mincho"/>
                <w:lang w:eastAsia="ja-JP"/>
              </w:rPr>
              <w:t>postpartum testing for gestational diabetes</w:t>
            </w:r>
          </w:p>
          <w:p w:rsidR="0025490C" w:rsidRPr="00487CEB" w:rsidRDefault="0025490C" w:rsidP="00260258">
            <w:pPr>
              <w:pStyle w:val="TableBullet"/>
              <w:ind w:left="284"/>
              <w:rPr>
                <w:rFonts w:eastAsia="MS Mincho"/>
                <w:lang w:eastAsia="ja-JP"/>
              </w:rPr>
            </w:pPr>
            <w:r w:rsidRPr="00487CEB">
              <w:rPr>
                <w:rFonts w:eastAsia="MS Mincho"/>
                <w:lang w:eastAsia="ja-JP"/>
              </w:rPr>
              <w:t>Lack of accessible, comprehensive, clear information about gestational diabetes, consequences and screening</w:t>
            </w:r>
          </w:p>
        </w:tc>
      </w:tr>
    </w:tbl>
    <w:p w:rsidR="0025490C" w:rsidRDefault="0025490C" w:rsidP="00260258">
      <w:pPr>
        <w:pStyle w:val="Source"/>
        <w:rPr>
          <w:rFonts w:eastAsia="MS Mincho"/>
          <w:szCs w:val="24"/>
        </w:rPr>
      </w:pPr>
      <w:r w:rsidRPr="00E07B1B">
        <w:rPr>
          <w:rFonts w:eastAsia="MS Mincho"/>
        </w:rPr>
        <w:t>Source: Reproduced from</w:t>
      </w:r>
      <w:r>
        <w:rPr>
          <w:rFonts w:eastAsia="MS Mincho" w:cs="Arial"/>
        </w:rPr>
        <w:t xml:space="preserve"> </w:t>
      </w:r>
      <w:r w:rsidRPr="00E07B1B">
        <w:rPr>
          <w:rFonts w:eastAsia="MS Mincho" w:cs="Arial"/>
        </w:rPr>
        <w:t xml:space="preserve">Workbase </w:t>
      </w:r>
      <w:r>
        <w:rPr>
          <w:rFonts w:eastAsia="MS Mincho" w:cs="Arial"/>
        </w:rPr>
        <w:t>(2014</w:t>
      </w:r>
      <w:r w:rsidRPr="00E07B1B">
        <w:rPr>
          <w:rFonts w:eastAsia="MS Mincho" w:cs="Arial"/>
        </w:rPr>
        <w:t>)</w:t>
      </w:r>
    </w:p>
    <w:p w:rsidR="0025490C" w:rsidRPr="00E07B1B" w:rsidRDefault="0025490C" w:rsidP="003B07D2">
      <w:pPr>
        <w:rPr>
          <w:rFonts w:eastAsia="MS Mincho"/>
        </w:rPr>
      </w:pPr>
    </w:p>
    <w:p w:rsidR="0025490C" w:rsidRDefault="0025490C" w:rsidP="003B07D2">
      <w:pPr>
        <w:pStyle w:val="Heading2"/>
      </w:pPr>
      <w:bookmarkStart w:id="349" w:name="_Toc363207401"/>
      <w:bookmarkStart w:id="350" w:name="_Toc402873623"/>
      <w:bookmarkStart w:id="351" w:name="_Toc403469685"/>
      <w:r w:rsidRPr="00E07B1B">
        <w:t>13.3</w:t>
      </w:r>
      <w:r w:rsidR="003B07D2">
        <w:tab/>
      </w:r>
      <w:r w:rsidRPr="00E07B1B">
        <w:t>Additional evidence on women</w:t>
      </w:r>
      <w:r w:rsidR="0068074A">
        <w:t>’</w:t>
      </w:r>
      <w:r w:rsidRPr="00E07B1B">
        <w:t>s perceptions of gestational diabetes</w:t>
      </w:r>
      <w:bookmarkEnd w:id="349"/>
      <w:bookmarkEnd w:id="350"/>
      <w:bookmarkEnd w:id="351"/>
    </w:p>
    <w:p w:rsidR="0025490C" w:rsidRPr="00E07B1B" w:rsidRDefault="0025490C" w:rsidP="003B07D2">
      <w:pPr>
        <w:pStyle w:val="Heading3"/>
        <w:spacing w:before="240"/>
      </w:pPr>
      <w:bookmarkStart w:id="352" w:name="_Toc363207402"/>
      <w:bookmarkStart w:id="353" w:name="_Toc402873624"/>
      <w:r w:rsidRPr="00E07B1B">
        <w:t>13.3.1</w:t>
      </w:r>
      <w:r w:rsidR="003B07D2">
        <w:tab/>
      </w:r>
      <w:r w:rsidRPr="00E07B1B">
        <w:t>Indigenous women</w:t>
      </w:r>
      <w:bookmarkEnd w:id="352"/>
      <w:bookmarkEnd w:id="353"/>
    </w:p>
    <w:p w:rsidR="0025490C" w:rsidRDefault="0025490C" w:rsidP="003B07D2">
      <w:r w:rsidRPr="00E07B1B">
        <w:t xml:space="preserve">A systematic review of literature on screening for diabetes in pregnancy for indigenous women in Australia, Canada, New Zealand and the United States was identified (Chamberlain </w:t>
      </w:r>
      <w:r w:rsidR="00D562F2">
        <w:t>et al</w:t>
      </w:r>
      <w:r w:rsidRPr="00E07B1B">
        <w:t xml:space="preserve"> 2013). There were a limited number of publications reported on the </w:t>
      </w:r>
      <w:r w:rsidRPr="00E07B1B">
        <w:rPr>
          <w:iCs/>
        </w:rPr>
        <w:t xml:space="preserve">preferences and values </w:t>
      </w:r>
      <w:r w:rsidRPr="00E07B1B">
        <w:t>of indigenous women related to diabetes in pregnancy more generally. Three qualitative studies, appraised as providing a moderate level of evidence, described mixed levels of understanding of the risks and causes of diabetes in pregnancy among both indigenous women and their care providers. They outlined the importance of family ties, preserving cultural values and adapting resources, and ensuring access to blood sugar data as a means of control</w:t>
      </w:r>
      <w:r>
        <w:t>;</w:t>
      </w:r>
      <w:r w:rsidRPr="00E07B1B">
        <w:t xml:space="preserve"> and described the perceptions of weight gain and the challenges in losing weight after pregnancy. There were no publications reporting on the acceptability of </w:t>
      </w:r>
      <w:r w:rsidRPr="00E07B1B">
        <w:rPr>
          <w:rFonts w:cs="Arial"/>
        </w:rPr>
        <w:t>gestational diabetes</w:t>
      </w:r>
      <w:r w:rsidRPr="00E07B1B">
        <w:t xml:space="preserve"> screening for indigenous women. There were no studies evaluating potential risks of early </w:t>
      </w:r>
      <w:r w:rsidRPr="00E07B1B">
        <w:rPr>
          <w:rFonts w:cs="Arial"/>
        </w:rPr>
        <w:t>gestational diabetes</w:t>
      </w:r>
      <w:r w:rsidRPr="00E07B1B">
        <w:t xml:space="preserve"> diagnosis </w:t>
      </w:r>
      <w:r>
        <w:t>for</w:t>
      </w:r>
      <w:r w:rsidRPr="00E07B1B">
        <w:t xml:space="preserve"> indigenous women, including psychological stress or negative self-esteem, social dislocation or physical outcomes as a result of increased intervention (Chamberlain </w:t>
      </w:r>
      <w:r w:rsidR="00D562F2">
        <w:t>et al</w:t>
      </w:r>
      <w:r w:rsidRPr="00E07B1B">
        <w:t xml:space="preserve"> 2013).</w:t>
      </w:r>
    </w:p>
    <w:p w:rsidR="0025490C" w:rsidRPr="00E07B1B" w:rsidRDefault="0025490C" w:rsidP="006A4CD6"/>
    <w:p w:rsidR="0025490C" w:rsidRDefault="0025490C" w:rsidP="006A4CD6">
      <w:r w:rsidRPr="00E07B1B">
        <w:t xml:space="preserve">A qualitative study conducted in Tonga investigated the perceptions of 11 women who had developed </w:t>
      </w:r>
      <w:r w:rsidRPr="00E07B1B">
        <w:rPr>
          <w:rFonts w:cs="Arial"/>
        </w:rPr>
        <w:t>gestational diabetes</w:t>
      </w:r>
      <w:r w:rsidRPr="00E07B1B">
        <w:t xml:space="preserve"> in the previous 12 months (Doran and Davis 2010). Women participating in the study were influenced by education and had an increased awareness of the need for behaviour change as a result of a diagnosis of </w:t>
      </w:r>
      <w:r w:rsidRPr="00E07B1B">
        <w:rPr>
          <w:rFonts w:cs="Arial"/>
        </w:rPr>
        <w:t>gestational diabetes</w:t>
      </w:r>
      <w:r w:rsidRPr="00E07B1B">
        <w:t>. The difficulties</w:t>
      </w:r>
      <w:r>
        <w:t xml:space="preserve"> involved</w:t>
      </w:r>
      <w:r w:rsidRPr="00E07B1B">
        <w:t xml:space="preserve"> in making the required behavioural changes were a common theme. Two factors that were found to motivate behavioural change were concerns for the health of the baby and a fear of developing diabetes.</w:t>
      </w:r>
    </w:p>
    <w:p w:rsidR="0025490C" w:rsidRPr="00E07B1B" w:rsidRDefault="0025490C" w:rsidP="006A4CD6"/>
    <w:p w:rsidR="0025490C" w:rsidRPr="00E07B1B" w:rsidRDefault="0025490C" w:rsidP="006A4CD6">
      <w:pPr>
        <w:pStyle w:val="Heading3"/>
      </w:pPr>
      <w:bookmarkStart w:id="354" w:name="_Toc363207403"/>
      <w:bookmarkStart w:id="355" w:name="_Toc402873625"/>
      <w:r w:rsidRPr="00E07B1B">
        <w:t>13.3.2</w:t>
      </w:r>
      <w:r w:rsidR="006A4CD6">
        <w:tab/>
      </w:r>
      <w:r w:rsidRPr="00E07B1B">
        <w:t>Views of pregnant women with gestational diabetes</w:t>
      </w:r>
      <w:bookmarkEnd w:id="354"/>
      <w:bookmarkEnd w:id="355"/>
    </w:p>
    <w:p w:rsidR="0068074A" w:rsidRDefault="0025490C" w:rsidP="006A4CD6">
      <w:pPr>
        <w:rPr>
          <w:rFonts w:eastAsia="MS Mincho"/>
        </w:rPr>
      </w:pPr>
      <w:r w:rsidRPr="00E07B1B">
        <w:rPr>
          <w:rFonts w:eastAsia="MS Mincho"/>
        </w:rPr>
        <w:t>A narrative review of studies focusing on women</w:t>
      </w:r>
      <w:r w:rsidR="0068074A">
        <w:rPr>
          <w:rFonts w:eastAsia="MS Mincho"/>
        </w:rPr>
        <w:t>’</w:t>
      </w:r>
      <w:r w:rsidRPr="00E07B1B">
        <w:rPr>
          <w:rFonts w:eastAsia="MS Mincho"/>
        </w:rPr>
        <w:t xml:space="preserve">s perception of </w:t>
      </w:r>
      <w:r w:rsidRPr="00E07B1B">
        <w:rPr>
          <w:rFonts w:cs="Arial"/>
        </w:rPr>
        <w:t>gestational diabetes</w:t>
      </w:r>
      <w:r w:rsidRPr="00E07B1B">
        <w:rPr>
          <w:rFonts w:eastAsia="MS Mincho"/>
        </w:rPr>
        <w:t xml:space="preserve"> included </w:t>
      </w:r>
      <w:r>
        <w:rPr>
          <w:rFonts w:eastAsia="MS Mincho"/>
        </w:rPr>
        <w:t>seven</w:t>
      </w:r>
      <w:r w:rsidRPr="00E07B1B">
        <w:rPr>
          <w:rFonts w:eastAsia="MS Mincho"/>
        </w:rPr>
        <w:t xml:space="preserve"> studies from Australia, Sweden and the United States. Most of the studies were small qualitative studies (Lawrence 2011). Some women will experience significant anxiety when they learn that they have </w:t>
      </w:r>
      <w:r w:rsidRPr="00E07B1B">
        <w:rPr>
          <w:rFonts w:cs="Arial"/>
        </w:rPr>
        <w:t>gestational diabetes</w:t>
      </w:r>
      <w:r w:rsidRPr="00E07B1B">
        <w:rPr>
          <w:rFonts w:eastAsia="MS Mincho"/>
        </w:rPr>
        <w:t xml:space="preserve">, but most studies reported that this was not sustained in the antepartum or postpartum period. Furthermore, women who were diagnosed with </w:t>
      </w:r>
      <w:r w:rsidRPr="00E07B1B">
        <w:rPr>
          <w:rFonts w:cs="Arial"/>
        </w:rPr>
        <w:t>gestational diabetes</w:t>
      </w:r>
      <w:r w:rsidRPr="00E07B1B">
        <w:rPr>
          <w:rFonts w:eastAsia="MS Mincho"/>
        </w:rPr>
        <w:t xml:space="preserve"> perceived their health status as worse than did women who did not have </w:t>
      </w:r>
      <w:r w:rsidRPr="00E07B1B">
        <w:rPr>
          <w:rFonts w:cs="Arial"/>
        </w:rPr>
        <w:t>gestational diabetes</w:t>
      </w:r>
      <w:r w:rsidRPr="00E07B1B">
        <w:rPr>
          <w:rFonts w:eastAsia="MS Mincho"/>
        </w:rPr>
        <w:t>. Women</w:t>
      </w:r>
      <w:r w:rsidR="0068074A">
        <w:rPr>
          <w:rFonts w:eastAsia="MS Mincho"/>
        </w:rPr>
        <w:t>’</w:t>
      </w:r>
      <w:r w:rsidRPr="00E07B1B">
        <w:rPr>
          <w:rFonts w:eastAsia="MS Mincho"/>
        </w:rPr>
        <w:t xml:space="preserve">s perception of having </w:t>
      </w:r>
      <w:r w:rsidRPr="00E07B1B">
        <w:rPr>
          <w:rFonts w:cs="Arial"/>
        </w:rPr>
        <w:t>gestational diabetes</w:t>
      </w:r>
      <w:r w:rsidRPr="00E07B1B">
        <w:rPr>
          <w:rFonts w:eastAsia="MS Mincho"/>
        </w:rPr>
        <w:t xml:space="preserve"> was influenced by sociodemographic and cultural factors, the women</w:t>
      </w:r>
      <w:r w:rsidR="0068074A">
        <w:rPr>
          <w:rFonts w:eastAsia="MS Mincho"/>
        </w:rPr>
        <w:t>’</w:t>
      </w:r>
      <w:r w:rsidRPr="00E07B1B">
        <w:rPr>
          <w:rFonts w:eastAsia="MS Mincho"/>
        </w:rPr>
        <w:t xml:space="preserve">s experience during any prior pregnancies and interactions with their health-care provider. Most women reported a positive perception of the </w:t>
      </w:r>
      <w:r w:rsidRPr="00E07B1B">
        <w:rPr>
          <w:rFonts w:cs="Arial"/>
        </w:rPr>
        <w:t xml:space="preserve">gestational diabetes </w:t>
      </w:r>
      <w:r w:rsidRPr="00E07B1B">
        <w:rPr>
          <w:rFonts w:eastAsia="MS Mincho"/>
        </w:rPr>
        <w:t>screening process, regardless of the outcome of their tests</w:t>
      </w:r>
      <w:r>
        <w:rPr>
          <w:rFonts w:eastAsia="MS Mincho"/>
        </w:rPr>
        <w:t>,</w:t>
      </w:r>
      <w:r w:rsidRPr="00E07B1B">
        <w:rPr>
          <w:rFonts w:eastAsia="MS Mincho"/>
        </w:rPr>
        <w:t xml:space="preserve"> and wanted to be tested for </w:t>
      </w:r>
      <w:r w:rsidRPr="00E07B1B">
        <w:rPr>
          <w:rFonts w:cs="Arial"/>
        </w:rPr>
        <w:t>gestational diabetes</w:t>
      </w:r>
      <w:r w:rsidRPr="00E07B1B">
        <w:rPr>
          <w:rFonts w:eastAsia="MS Mincho"/>
        </w:rPr>
        <w:t xml:space="preserve"> in any future pregnancies (Lawrence 2011).</w:t>
      </w:r>
    </w:p>
    <w:p w:rsidR="0025490C" w:rsidRPr="00E07B1B" w:rsidRDefault="0025490C" w:rsidP="006A4CD6">
      <w:pPr>
        <w:rPr>
          <w:rFonts w:eastAsia="MS Mincho"/>
        </w:rPr>
      </w:pPr>
    </w:p>
    <w:p w:rsidR="0025490C" w:rsidRDefault="0025490C" w:rsidP="006A4CD6">
      <w:pPr>
        <w:rPr>
          <w:rFonts w:eastAsia="MS Mincho"/>
        </w:rPr>
      </w:pPr>
      <w:r w:rsidRPr="00E07B1B">
        <w:rPr>
          <w:rFonts w:eastAsia="MS Mincho"/>
        </w:rPr>
        <w:t>In contrast to the above qualitative studies, one randomised controlled trial investigated the effect of treatment of gestational diabetes and found that treatment may improve the woman</w:t>
      </w:r>
      <w:r w:rsidR="0068074A">
        <w:rPr>
          <w:rFonts w:eastAsia="MS Mincho"/>
        </w:rPr>
        <w:t>’</w:t>
      </w:r>
      <w:r w:rsidRPr="00E07B1B">
        <w:rPr>
          <w:rFonts w:eastAsia="MS Mincho"/>
        </w:rPr>
        <w:t xml:space="preserve">s health-related quality of life (Crowther </w:t>
      </w:r>
      <w:r w:rsidR="00D562F2">
        <w:rPr>
          <w:rFonts w:eastAsia="MS Mincho"/>
        </w:rPr>
        <w:t>et al</w:t>
      </w:r>
      <w:r w:rsidRPr="00E07B1B">
        <w:rPr>
          <w:rFonts w:eastAsia="MS Mincho"/>
        </w:rPr>
        <w:t xml:space="preserve"> 2005). Maternal psychological outcomes included measures of anxiety, depression and health-related quality of life. All measures of the health state utility showed trends in favour of the intervention group, although not all were significant. At three months postpartum, fewer women in the intervention than in the routine</w:t>
      </w:r>
      <w:r>
        <w:rPr>
          <w:rFonts w:eastAsia="MS Mincho"/>
        </w:rPr>
        <w:t xml:space="preserve"> </w:t>
      </w:r>
      <w:r w:rsidRPr="00E07B1B">
        <w:rPr>
          <w:rFonts w:eastAsia="MS Mincho"/>
        </w:rPr>
        <w:t>care group had a score on the Edinburgh Postnatal Depression Scale suggestive of depression (8% versus 17%). The level of anxiety was similar in the two groups.</w:t>
      </w:r>
    </w:p>
    <w:p w:rsidR="0025490C" w:rsidRPr="00E07B1B" w:rsidRDefault="0025490C" w:rsidP="006A4CD6">
      <w:pPr>
        <w:rPr>
          <w:rFonts w:eastAsia="MS Mincho"/>
        </w:rPr>
      </w:pPr>
    </w:p>
    <w:p w:rsidR="0025490C" w:rsidRDefault="0025490C" w:rsidP="006A4CD6">
      <w:pPr>
        <w:rPr>
          <w:rFonts w:eastAsia="MS Mincho"/>
        </w:rPr>
      </w:pPr>
      <w:r w:rsidRPr="00E07B1B">
        <w:rPr>
          <w:rFonts w:eastAsia="MS Mincho"/>
        </w:rPr>
        <w:t>As part of the Diabetes Attitudes, Wishes and Needs</w:t>
      </w:r>
      <w:r w:rsidRPr="00AA76B7">
        <w:rPr>
          <w:rFonts w:eastAsia="MS Mincho"/>
        </w:rPr>
        <w:t xml:space="preserve"> </w:t>
      </w:r>
      <w:r>
        <w:rPr>
          <w:rFonts w:eastAsia="MS Mincho"/>
        </w:rPr>
        <w:t>(</w:t>
      </w:r>
      <w:r w:rsidRPr="00E07B1B">
        <w:rPr>
          <w:rFonts w:eastAsia="MS Mincho"/>
        </w:rPr>
        <w:t>DAWN) study framework</w:t>
      </w:r>
      <w:r>
        <w:rPr>
          <w:rFonts w:eastAsia="MS Mincho"/>
        </w:rPr>
        <w:t>,</w:t>
      </w:r>
      <w:r w:rsidRPr="00E07B1B">
        <w:rPr>
          <w:rFonts w:eastAsia="MS Mincho"/>
        </w:rPr>
        <w:t xml:space="preserve"> a survey across 10 centres evaluated the needs and wishes of Italian and immigrant women affected by </w:t>
      </w:r>
      <w:r w:rsidRPr="00E07B1B">
        <w:rPr>
          <w:rFonts w:cs="Arial"/>
        </w:rPr>
        <w:t>gestational diabetes</w:t>
      </w:r>
      <w:r w:rsidRPr="00E07B1B">
        <w:rPr>
          <w:rFonts w:eastAsia="MS Mincho"/>
        </w:rPr>
        <w:t xml:space="preserve"> (Lapolla </w:t>
      </w:r>
      <w:r w:rsidR="00D562F2">
        <w:rPr>
          <w:rFonts w:eastAsia="MS Mincho"/>
        </w:rPr>
        <w:t>et al</w:t>
      </w:r>
      <w:r w:rsidRPr="00E07B1B">
        <w:rPr>
          <w:rFonts w:eastAsia="MS Mincho"/>
        </w:rPr>
        <w:t xml:space="preserve"> 2012). The diagnosis of </w:t>
      </w:r>
      <w:r w:rsidRPr="00E07B1B">
        <w:rPr>
          <w:rFonts w:cs="Arial"/>
        </w:rPr>
        <w:t>gestational diabetes</w:t>
      </w:r>
      <w:r w:rsidRPr="00E07B1B">
        <w:rPr>
          <w:rFonts w:eastAsia="MS Mincho"/>
        </w:rPr>
        <w:t xml:space="preserve"> caused anxiety. One</w:t>
      </w:r>
      <w:r>
        <w:rPr>
          <w:rFonts w:eastAsia="MS Mincho"/>
        </w:rPr>
        <w:t>-</w:t>
      </w:r>
      <w:r w:rsidRPr="00E07B1B">
        <w:rPr>
          <w:rFonts w:eastAsia="MS Mincho"/>
        </w:rPr>
        <w:t>third of the women feared their child could contract diabetes at delivery and/or have congenital malformations. Some women had trouble in following treatment regimens,</w:t>
      </w:r>
      <w:r>
        <w:rPr>
          <w:rFonts w:eastAsia="MS Mincho"/>
        </w:rPr>
        <w:t xml:space="preserve"> with</w:t>
      </w:r>
      <w:r w:rsidRPr="00E07B1B">
        <w:rPr>
          <w:rFonts w:eastAsia="MS Mincho"/>
        </w:rPr>
        <w:t xml:space="preserve"> the</w:t>
      </w:r>
      <w:r>
        <w:rPr>
          <w:rFonts w:eastAsia="MS Mincho"/>
        </w:rPr>
        <w:t>ir</w:t>
      </w:r>
      <w:r w:rsidRPr="00E07B1B">
        <w:rPr>
          <w:rFonts w:eastAsia="MS Mincho"/>
        </w:rPr>
        <w:t xml:space="preserve"> main concern</w:t>
      </w:r>
      <w:r>
        <w:rPr>
          <w:rFonts w:eastAsia="MS Mincho"/>
        </w:rPr>
        <w:t>s</w:t>
      </w:r>
      <w:r w:rsidRPr="00E07B1B">
        <w:rPr>
          <w:rFonts w:eastAsia="MS Mincho"/>
        </w:rPr>
        <w:t xml:space="preserve"> being dietary advice and blood glucose testing. Effective and satisfactory communication between pregnant women with </w:t>
      </w:r>
      <w:r w:rsidRPr="00E07B1B">
        <w:rPr>
          <w:rFonts w:cs="Arial"/>
        </w:rPr>
        <w:t>gestational diabetes</w:t>
      </w:r>
      <w:r w:rsidRPr="00E07B1B">
        <w:rPr>
          <w:rFonts w:eastAsia="MS Mincho"/>
        </w:rPr>
        <w:t xml:space="preserve"> and their health care providers may reduce the level of anxiety.</w:t>
      </w:r>
    </w:p>
    <w:p w:rsidR="0025490C" w:rsidRPr="00E07B1B" w:rsidRDefault="0025490C" w:rsidP="006A4CD6">
      <w:pPr>
        <w:rPr>
          <w:rFonts w:eastAsia="MS Mincho"/>
        </w:rPr>
      </w:pPr>
    </w:p>
    <w:p w:rsidR="0025490C" w:rsidRPr="00E07B1B" w:rsidRDefault="0025490C" w:rsidP="006A4CD6">
      <w:pPr>
        <w:rPr>
          <w:rFonts w:eastAsia="MS Mincho"/>
        </w:rPr>
      </w:pPr>
      <w:r w:rsidRPr="00E07B1B">
        <w:rPr>
          <w:rFonts w:eastAsia="MS Mincho"/>
        </w:rPr>
        <w:t xml:space="preserve">A study conducted in Italian diabetic clinics evaluated the quality of life of 245 pregnant women with diabetes (Dalfrà </w:t>
      </w:r>
      <w:r w:rsidR="00D562F2">
        <w:rPr>
          <w:rFonts w:eastAsia="MS Mincho"/>
        </w:rPr>
        <w:t>et al</w:t>
      </w:r>
      <w:r w:rsidRPr="00E07B1B">
        <w:rPr>
          <w:rFonts w:eastAsia="MS Mincho"/>
        </w:rPr>
        <w:t xml:space="preserve"> 2012). Pregnancy was associated with a perception of poor general health in women with </w:t>
      </w:r>
      <w:r w:rsidRPr="00E07B1B">
        <w:rPr>
          <w:rFonts w:cs="Arial"/>
        </w:rPr>
        <w:t>gestational diabetes</w:t>
      </w:r>
      <w:r w:rsidRPr="00E07B1B">
        <w:rPr>
          <w:rFonts w:eastAsia="MS Mincho"/>
        </w:rPr>
        <w:t>. After delivery, significantly worse depressive symptoms were documented.</w:t>
      </w:r>
    </w:p>
    <w:p w:rsidR="0025490C" w:rsidRPr="00E07B1B" w:rsidRDefault="0025490C" w:rsidP="006A4CD6">
      <w:pPr>
        <w:rPr>
          <w:rFonts w:eastAsia="MS Mincho"/>
        </w:rPr>
      </w:pPr>
    </w:p>
    <w:p w:rsidR="0068074A" w:rsidRDefault="0025490C" w:rsidP="006A4CD6">
      <w:pPr>
        <w:rPr>
          <w:rFonts w:eastAsia="MS Mincho"/>
        </w:rPr>
      </w:pPr>
      <w:r w:rsidRPr="00E07B1B">
        <w:rPr>
          <w:rFonts w:eastAsia="MS Mincho"/>
        </w:rPr>
        <w:t>A cross</w:t>
      </w:r>
      <w:r>
        <w:rPr>
          <w:rFonts w:eastAsia="MS Mincho"/>
        </w:rPr>
        <w:t>-</w:t>
      </w:r>
      <w:r w:rsidRPr="00E07B1B">
        <w:rPr>
          <w:rFonts w:eastAsia="MS Mincho"/>
        </w:rPr>
        <w:t xml:space="preserve">sectional survey conducted in an Australian hospital examined the attitudes and beliefs towards </w:t>
      </w:r>
      <w:r w:rsidRPr="00E07B1B">
        <w:rPr>
          <w:rFonts w:cs="Arial"/>
        </w:rPr>
        <w:t>gestational diabetes</w:t>
      </w:r>
      <w:r w:rsidRPr="00E07B1B">
        <w:rPr>
          <w:rFonts w:eastAsia="MS Mincho"/>
        </w:rPr>
        <w:t xml:space="preserve"> among a multiethnic sample (Carolan </w:t>
      </w:r>
      <w:r w:rsidR="00D562F2">
        <w:rPr>
          <w:rFonts w:eastAsia="MS Mincho"/>
        </w:rPr>
        <w:t>et al</w:t>
      </w:r>
      <w:r w:rsidRPr="00E07B1B">
        <w:rPr>
          <w:rFonts w:eastAsia="MS Mincho"/>
        </w:rPr>
        <w:t xml:space="preserve"> 2010). Questionnaires were returned from 143 pregnant women </w:t>
      </w:r>
      <w:r>
        <w:rPr>
          <w:rFonts w:eastAsia="MS Mincho"/>
        </w:rPr>
        <w:t>who had</w:t>
      </w:r>
      <w:r w:rsidRPr="00E07B1B">
        <w:rPr>
          <w:rFonts w:eastAsia="MS Mincho"/>
        </w:rPr>
        <w:t xml:space="preserve"> </w:t>
      </w:r>
      <w:r w:rsidRPr="00E07B1B">
        <w:rPr>
          <w:rFonts w:cs="Arial"/>
        </w:rPr>
        <w:t>gestational diabetes</w:t>
      </w:r>
      <w:r w:rsidRPr="00E07B1B">
        <w:rPr>
          <w:rFonts w:eastAsia="MS Mincho"/>
        </w:rPr>
        <w:t xml:space="preserve"> </w:t>
      </w:r>
      <w:r>
        <w:rPr>
          <w:rFonts w:eastAsia="MS Mincho"/>
        </w:rPr>
        <w:t xml:space="preserve">and were </w:t>
      </w:r>
      <w:r w:rsidRPr="00E07B1B">
        <w:rPr>
          <w:rFonts w:eastAsia="MS Mincho"/>
        </w:rPr>
        <w:t xml:space="preserve">from Vietnamese, Indian, Filipino and Caucasian backgrounds. This study found that lower educational level, though not English language fluency, was associated with less appreciation of </w:t>
      </w:r>
      <w:r w:rsidRPr="00E07B1B">
        <w:rPr>
          <w:rFonts w:cs="Arial"/>
        </w:rPr>
        <w:t>gestational diabetes</w:t>
      </w:r>
      <w:r w:rsidRPr="00E07B1B">
        <w:rPr>
          <w:rFonts w:eastAsia="MS Mincho"/>
        </w:rPr>
        <w:t xml:space="preserve"> as a serious condition and also with a lower value placed on tight glucose control. This effect was irrespective of ethnic group. Indian and Vietnamese women indicated a lower valuing of patient autonomy and also reported </w:t>
      </w:r>
      <w:r>
        <w:rPr>
          <w:rFonts w:eastAsia="MS Mincho"/>
        </w:rPr>
        <w:t>fewer</w:t>
      </w:r>
      <w:r w:rsidRPr="00E07B1B">
        <w:rPr>
          <w:rFonts w:eastAsia="MS Mincho"/>
        </w:rPr>
        <w:t xml:space="preserve"> negative psychological effects than Caucasian and Filipino women (Carolan </w:t>
      </w:r>
      <w:r w:rsidR="00D562F2">
        <w:rPr>
          <w:rFonts w:eastAsia="MS Mincho"/>
        </w:rPr>
        <w:t>et al</w:t>
      </w:r>
      <w:r w:rsidRPr="00E07B1B">
        <w:rPr>
          <w:rFonts w:eastAsia="MS Mincho"/>
        </w:rPr>
        <w:t xml:space="preserve"> 2010).</w:t>
      </w:r>
    </w:p>
    <w:p w:rsidR="0025490C" w:rsidRPr="00E07B1B" w:rsidRDefault="0025490C" w:rsidP="006A4CD6">
      <w:pPr>
        <w:rPr>
          <w:rFonts w:eastAsia="MS Mincho"/>
        </w:rPr>
      </w:pPr>
    </w:p>
    <w:p w:rsidR="0025490C" w:rsidRDefault="0025490C" w:rsidP="006A4CD6">
      <w:pPr>
        <w:rPr>
          <w:rFonts w:eastAsia="MS Mincho"/>
        </w:rPr>
      </w:pPr>
      <w:r w:rsidRPr="00E07B1B">
        <w:rPr>
          <w:rFonts w:eastAsia="MS Mincho"/>
        </w:rPr>
        <w:t xml:space="preserve">Another qualitative study, also from Australia, explored the experiences and understandings of South Asian women after diagnosis with </w:t>
      </w:r>
      <w:r w:rsidRPr="00E07B1B">
        <w:rPr>
          <w:rFonts w:cs="Arial"/>
        </w:rPr>
        <w:t>gestational diabetes</w:t>
      </w:r>
      <w:r w:rsidRPr="00E07B1B">
        <w:rPr>
          <w:rFonts w:eastAsia="MS Mincho"/>
        </w:rPr>
        <w:t xml:space="preserve">. Face-to-face interviews with </w:t>
      </w:r>
      <w:r>
        <w:rPr>
          <w:rFonts w:eastAsia="MS Mincho"/>
        </w:rPr>
        <w:t>17</w:t>
      </w:r>
      <w:r w:rsidR="006A4CD6">
        <w:rPr>
          <w:rFonts w:eastAsia="MS Mincho"/>
        </w:rPr>
        <w:t> </w:t>
      </w:r>
      <w:r w:rsidRPr="00E07B1B">
        <w:rPr>
          <w:rFonts w:eastAsia="MS Mincho"/>
        </w:rPr>
        <w:t xml:space="preserve">immigrant women found that before the diagnosis of </w:t>
      </w:r>
      <w:r w:rsidRPr="00E07B1B">
        <w:rPr>
          <w:rFonts w:cs="Arial"/>
        </w:rPr>
        <w:t>gestational diabetes</w:t>
      </w:r>
      <w:r w:rsidRPr="00E07B1B">
        <w:rPr>
          <w:rFonts w:eastAsia="MS Mincho"/>
        </w:rPr>
        <w:t>, women</w:t>
      </w:r>
      <w:r w:rsidR="0068074A">
        <w:rPr>
          <w:rFonts w:eastAsia="MS Mincho"/>
        </w:rPr>
        <w:t>’</w:t>
      </w:r>
      <w:r w:rsidRPr="00E07B1B">
        <w:rPr>
          <w:rFonts w:eastAsia="MS Mincho"/>
        </w:rPr>
        <w:t xml:space="preserve">s knowledge and awareness of any type of diabetes was low. Women and their partners were upset by the diagnosis. Women reported feeling </w:t>
      </w:r>
      <w:r w:rsidR="0068074A">
        <w:rPr>
          <w:rFonts w:eastAsia="MS Mincho"/>
        </w:rPr>
        <w:t>‘</w:t>
      </w:r>
      <w:r w:rsidRPr="00E07B1B">
        <w:rPr>
          <w:rFonts w:eastAsia="MS Mincho"/>
        </w:rPr>
        <w:t>upset</w:t>
      </w:r>
      <w:r w:rsidR="0068074A">
        <w:rPr>
          <w:rFonts w:eastAsia="MS Mincho"/>
        </w:rPr>
        <w:t>’</w:t>
      </w:r>
      <w:r w:rsidRPr="00E07B1B">
        <w:rPr>
          <w:rFonts w:eastAsia="MS Mincho"/>
        </w:rPr>
        <w:t xml:space="preserve">, </w:t>
      </w:r>
      <w:r w:rsidR="0068074A">
        <w:rPr>
          <w:rFonts w:eastAsia="MS Mincho"/>
        </w:rPr>
        <w:t>‘</w:t>
      </w:r>
      <w:r w:rsidRPr="00E07B1B">
        <w:rPr>
          <w:rFonts w:eastAsia="MS Mincho"/>
        </w:rPr>
        <w:t>shocked</w:t>
      </w:r>
      <w:r w:rsidR="0068074A">
        <w:rPr>
          <w:rFonts w:eastAsia="MS Mincho"/>
        </w:rPr>
        <w:t>’</w:t>
      </w:r>
      <w:r w:rsidRPr="00E07B1B">
        <w:rPr>
          <w:rFonts w:eastAsia="MS Mincho"/>
        </w:rPr>
        <w:t xml:space="preserve"> and </w:t>
      </w:r>
      <w:r w:rsidR="0068074A">
        <w:rPr>
          <w:rFonts w:eastAsia="MS Mincho"/>
        </w:rPr>
        <w:t>‘</w:t>
      </w:r>
      <w:r w:rsidRPr="00E07B1B">
        <w:rPr>
          <w:rFonts w:eastAsia="MS Mincho"/>
        </w:rPr>
        <w:t>disappointed</w:t>
      </w:r>
      <w:r w:rsidR="0068074A">
        <w:rPr>
          <w:rFonts w:eastAsia="MS Mincho"/>
        </w:rPr>
        <w:t>’</w:t>
      </w:r>
      <w:r w:rsidRPr="00E07B1B">
        <w:rPr>
          <w:rFonts w:eastAsia="MS Mincho"/>
        </w:rPr>
        <w:t>. Dietary advice received was seen to be challenging in the context of culturally different food habits and</w:t>
      </w:r>
      <w:r>
        <w:rPr>
          <w:rFonts w:eastAsia="MS Mincho"/>
        </w:rPr>
        <w:t>,</w:t>
      </w:r>
      <w:r w:rsidRPr="00E07B1B">
        <w:rPr>
          <w:rFonts w:eastAsia="MS Mincho"/>
        </w:rPr>
        <w:t xml:space="preserve"> consequently</w:t>
      </w:r>
      <w:r>
        <w:rPr>
          <w:rFonts w:eastAsia="MS Mincho"/>
        </w:rPr>
        <w:t>,</w:t>
      </w:r>
      <w:r w:rsidRPr="00E07B1B">
        <w:rPr>
          <w:rFonts w:eastAsia="MS Mincho"/>
        </w:rPr>
        <w:t xml:space="preserve"> managing diet after diagnosis proved difficult. Different attitudes to exercise in pregnancy also raised issues for women, such as the perception that too much physical activity might put a strain on the baby (Bandyopadhyay </w:t>
      </w:r>
      <w:r w:rsidR="00D562F2">
        <w:rPr>
          <w:rFonts w:eastAsia="MS Mincho"/>
        </w:rPr>
        <w:t>et al</w:t>
      </w:r>
      <w:r w:rsidRPr="00E07B1B">
        <w:rPr>
          <w:rFonts w:eastAsia="MS Mincho"/>
        </w:rPr>
        <w:t xml:space="preserve"> 2011).</w:t>
      </w:r>
    </w:p>
    <w:p w:rsidR="0025490C" w:rsidRPr="00E07B1B" w:rsidRDefault="0025490C" w:rsidP="006A4CD6">
      <w:pPr>
        <w:rPr>
          <w:rFonts w:eastAsia="MS Mincho"/>
        </w:rPr>
      </w:pPr>
    </w:p>
    <w:p w:rsidR="0068074A" w:rsidRDefault="0025490C" w:rsidP="006A4CD6">
      <w:pPr>
        <w:rPr>
          <w:rFonts w:eastAsia="MS Mincho"/>
        </w:rPr>
      </w:pPr>
      <w:r w:rsidRPr="00E07B1B">
        <w:rPr>
          <w:rFonts w:eastAsia="MS Mincho"/>
        </w:rPr>
        <w:t>A telephone survey conducted in Sydney, Australia,</w:t>
      </w:r>
      <w:r w:rsidRPr="00E07B1B">
        <w:rPr>
          <w:rFonts w:ascii="Berkeley-Book" w:eastAsia="MS Mincho" w:hAnsi="Berkeley-Book" w:cs="Berkeley-Book"/>
          <w:sz w:val="18"/>
          <w:szCs w:val="18"/>
          <w:lang w:eastAsia="ja-JP"/>
        </w:rPr>
        <w:t xml:space="preserve"> </w:t>
      </w:r>
      <w:r w:rsidRPr="00E07B1B">
        <w:rPr>
          <w:rFonts w:eastAsia="MS Mincho"/>
        </w:rPr>
        <w:t xml:space="preserve">examined patterns of postpartum physical activity and psychosocial factors among women with recent </w:t>
      </w:r>
      <w:r w:rsidRPr="00E07B1B">
        <w:rPr>
          <w:rFonts w:cs="Arial"/>
          <w:lang w:eastAsia="ja-JP"/>
        </w:rPr>
        <w:t>gestational diabetes</w:t>
      </w:r>
      <w:r w:rsidRPr="00E07B1B">
        <w:rPr>
          <w:rFonts w:eastAsia="MS Mincho"/>
        </w:rPr>
        <w:t>. This study found that self-efficacy and social support were strongly related to physical activity. Practical support, through help with child</w:t>
      </w:r>
      <w:r>
        <w:rPr>
          <w:rFonts w:eastAsia="MS Mincho"/>
        </w:rPr>
        <w:t xml:space="preserve"> </w:t>
      </w:r>
      <w:r w:rsidRPr="00E07B1B">
        <w:rPr>
          <w:rFonts w:eastAsia="MS Mincho"/>
        </w:rPr>
        <w:t xml:space="preserve">care and undertaking other responsibilities, appeared to be particularly important (Smith </w:t>
      </w:r>
      <w:r w:rsidR="00D562F2">
        <w:rPr>
          <w:rFonts w:eastAsia="MS Mincho"/>
        </w:rPr>
        <w:t>et al</w:t>
      </w:r>
      <w:r w:rsidRPr="00E07B1B">
        <w:rPr>
          <w:rFonts w:eastAsia="MS Mincho"/>
        </w:rPr>
        <w:t xml:space="preserve"> 2005).</w:t>
      </w:r>
    </w:p>
    <w:p w:rsidR="0025490C" w:rsidRPr="00E07B1B" w:rsidRDefault="0025490C" w:rsidP="006A4CD6">
      <w:pPr>
        <w:rPr>
          <w:rFonts w:eastAsia="MS Mincho"/>
        </w:rPr>
      </w:pPr>
    </w:p>
    <w:p w:rsidR="0068074A" w:rsidRDefault="0025490C" w:rsidP="006A4CD6">
      <w:pPr>
        <w:rPr>
          <w:rFonts w:eastAsia="MS Mincho"/>
        </w:rPr>
      </w:pPr>
      <w:r w:rsidRPr="00E07B1B">
        <w:rPr>
          <w:rFonts w:eastAsia="MS Mincho"/>
        </w:rPr>
        <w:t xml:space="preserve">One qualitative study from the United States explored barriers to management of diabetes among women with a history of diabetes in pregnancy (Collier </w:t>
      </w:r>
      <w:r w:rsidR="00D562F2">
        <w:rPr>
          <w:rFonts w:eastAsia="MS Mincho"/>
        </w:rPr>
        <w:t>et al</w:t>
      </w:r>
      <w:r w:rsidRPr="00E07B1B">
        <w:rPr>
          <w:rFonts w:eastAsia="MS Mincho"/>
        </w:rPr>
        <w:t xml:space="preserve"> 2011). This study found examples of barriers </w:t>
      </w:r>
      <w:r>
        <w:rPr>
          <w:rFonts w:eastAsia="MS Mincho"/>
        </w:rPr>
        <w:t xml:space="preserve">related to </w:t>
      </w:r>
      <w:r w:rsidRPr="00E07B1B">
        <w:rPr>
          <w:rFonts w:eastAsia="MS Mincho"/>
        </w:rPr>
        <w:t>financ</w:t>
      </w:r>
      <w:r>
        <w:rPr>
          <w:rFonts w:eastAsia="MS Mincho"/>
        </w:rPr>
        <w:t>e</w:t>
      </w:r>
      <w:r w:rsidRPr="00E07B1B">
        <w:rPr>
          <w:rFonts w:eastAsia="MS Mincho"/>
        </w:rPr>
        <w:t>, social support, communication, knowledge deficit and attitud</w:t>
      </w:r>
      <w:r>
        <w:rPr>
          <w:rFonts w:eastAsia="MS Mincho"/>
        </w:rPr>
        <w:t>es</w:t>
      </w:r>
      <w:r w:rsidRPr="00E07B1B">
        <w:rPr>
          <w:rFonts w:eastAsia="MS Mincho"/>
        </w:rPr>
        <w:t>.</w:t>
      </w:r>
    </w:p>
    <w:p w:rsidR="0025490C" w:rsidRPr="00E07B1B" w:rsidRDefault="0025490C" w:rsidP="006A4CD6">
      <w:pPr>
        <w:rPr>
          <w:rFonts w:eastAsia="MS Mincho"/>
        </w:rPr>
      </w:pPr>
    </w:p>
    <w:p w:rsidR="0025490C" w:rsidRPr="00E07B1B" w:rsidRDefault="0025490C" w:rsidP="006A4CD6">
      <w:pPr>
        <w:rPr>
          <w:rFonts w:eastAsia="MS Mincho"/>
        </w:rPr>
      </w:pPr>
      <w:r w:rsidRPr="00E07B1B">
        <w:rPr>
          <w:rFonts w:eastAsia="MS Mincho"/>
        </w:rPr>
        <w:t xml:space="preserve">Another </w:t>
      </w:r>
      <w:r>
        <w:rPr>
          <w:rFonts w:eastAsia="MS Mincho"/>
        </w:rPr>
        <w:t>United States</w:t>
      </w:r>
      <w:r w:rsidRPr="00E07B1B">
        <w:rPr>
          <w:rFonts w:eastAsia="MS Mincho"/>
        </w:rPr>
        <w:t xml:space="preserve"> qualitative study </w:t>
      </w:r>
      <w:r>
        <w:rPr>
          <w:rFonts w:eastAsia="MS Mincho"/>
        </w:rPr>
        <w:t>focused on</w:t>
      </w:r>
      <w:r w:rsidRPr="00E07B1B">
        <w:rPr>
          <w:rFonts w:eastAsia="MS Mincho"/>
        </w:rPr>
        <w:t xml:space="preserve"> </w:t>
      </w:r>
      <w:r>
        <w:rPr>
          <w:rFonts w:eastAsia="MS Mincho"/>
        </w:rPr>
        <w:t>how</w:t>
      </w:r>
      <w:r w:rsidRPr="00E07B1B">
        <w:rPr>
          <w:rFonts w:eastAsia="MS Mincho"/>
        </w:rPr>
        <w:t xml:space="preserve"> pregnant and postpartum Latino women </w:t>
      </w:r>
      <w:r>
        <w:rPr>
          <w:rFonts w:eastAsia="MS Mincho"/>
        </w:rPr>
        <w:t>perceived</w:t>
      </w:r>
      <w:r w:rsidRPr="00E07B1B">
        <w:rPr>
          <w:rFonts w:eastAsia="MS Mincho"/>
        </w:rPr>
        <w:t xml:space="preserve"> diabetes, physical activity and health (Kieffer </w:t>
      </w:r>
      <w:r w:rsidR="00D562F2">
        <w:rPr>
          <w:rFonts w:eastAsia="MS Mincho"/>
        </w:rPr>
        <w:t>et al</w:t>
      </w:r>
      <w:r w:rsidRPr="00E07B1B">
        <w:rPr>
          <w:rFonts w:eastAsia="MS Mincho"/>
        </w:rPr>
        <w:t xml:space="preserve"> 2002). This study identified barriers and facilitators to physical activity. The facilitators to physical activity included social support from family and friends, community safety, learning to drive and to speak English, exercise guidance and education, and child</w:t>
      </w:r>
      <w:r>
        <w:rPr>
          <w:rFonts w:eastAsia="MS Mincho"/>
        </w:rPr>
        <w:t xml:space="preserve"> </w:t>
      </w:r>
      <w:r w:rsidRPr="00E07B1B">
        <w:rPr>
          <w:rFonts w:eastAsia="MS Mincho"/>
        </w:rPr>
        <w:t>care.</w:t>
      </w:r>
    </w:p>
    <w:p w:rsidR="0025490C" w:rsidRPr="00E07B1B" w:rsidRDefault="0025490C" w:rsidP="006A4CD6">
      <w:pPr>
        <w:rPr>
          <w:rFonts w:eastAsia="MS Mincho"/>
        </w:rPr>
      </w:pPr>
    </w:p>
    <w:p w:rsidR="0025490C" w:rsidRPr="00E07B1B" w:rsidRDefault="0025490C" w:rsidP="006A4CD6">
      <w:pPr>
        <w:pStyle w:val="Heading2"/>
        <w:rPr>
          <w:rFonts w:eastAsia="MS Mincho"/>
        </w:rPr>
      </w:pPr>
      <w:bookmarkStart w:id="356" w:name="_Toc363207404"/>
      <w:bookmarkStart w:id="357" w:name="_Toc402873626"/>
      <w:bookmarkStart w:id="358" w:name="_Toc403469686"/>
      <w:r w:rsidRPr="00E07B1B">
        <w:rPr>
          <w:rFonts w:eastAsia="MS Mincho"/>
        </w:rPr>
        <w:t>13.4</w:t>
      </w:r>
      <w:r w:rsidR="006A4CD6">
        <w:rPr>
          <w:rFonts w:eastAsia="MS Mincho"/>
        </w:rPr>
        <w:tab/>
      </w:r>
      <w:r w:rsidRPr="00E07B1B">
        <w:rPr>
          <w:rFonts w:eastAsia="MS Mincho"/>
        </w:rPr>
        <w:t>Summary</w:t>
      </w:r>
      <w:bookmarkEnd w:id="356"/>
      <w:bookmarkEnd w:id="357"/>
      <w:bookmarkEnd w:id="358"/>
    </w:p>
    <w:p w:rsidR="0025490C" w:rsidRPr="00E07B1B" w:rsidRDefault="0025490C" w:rsidP="006A4CD6">
      <w:pPr>
        <w:rPr>
          <w:rFonts w:eastAsia="MS Mincho"/>
        </w:rPr>
      </w:pPr>
      <w:r w:rsidRPr="00E07B1B">
        <w:rPr>
          <w:rFonts w:eastAsia="MS Mincho"/>
        </w:rPr>
        <w:t>The evidence from interviews and other literature describing women</w:t>
      </w:r>
      <w:r w:rsidR="0068074A">
        <w:rPr>
          <w:rFonts w:eastAsia="MS Mincho"/>
        </w:rPr>
        <w:t>’</w:t>
      </w:r>
      <w:r w:rsidRPr="00E07B1B">
        <w:rPr>
          <w:rFonts w:eastAsia="MS Mincho"/>
        </w:rPr>
        <w:t>s experiences of gestational diabetes highlight</w:t>
      </w:r>
      <w:r>
        <w:rPr>
          <w:rFonts w:eastAsia="MS Mincho"/>
        </w:rPr>
        <w:t>s</w:t>
      </w:r>
      <w:r w:rsidRPr="00E07B1B">
        <w:rPr>
          <w:rFonts w:eastAsia="MS Mincho"/>
        </w:rPr>
        <w:t xml:space="preserve"> a number of key issues for implementation</w:t>
      </w:r>
      <w:r>
        <w:rPr>
          <w:rFonts w:eastAsia="MS Mincho"/>
        </w:rPr>
        <w:t>.</w:t>
      </w:r>
    </w:p>
    <w:p w:rsidR="0025490C" w:rsidRPr="00E07B1B" w:rsidRDefault="0025490C" w:rsidP="006A4CD6">
      <w:pPr>
        <w:pStyle w:val="Bullet"/>
      </w:pPr>
      <w:r w:rsidRPr="00E07B1B">
        <w:t>Women needed clear and meaningful information about what gestational diabetes meant for their health and for the health of their baby</w:t>
      </w:r>
      <w:r>
        <w:t>.</w:t>
      </w:r>
    </w:p>
    <w:p w:rsidR="0025490C" w:rsidRPr="00E07B1B" w:rsidRDefault="0025490C" w:rsidP="006A4CD6">
      <w:pPr>
        <w:pStyle w:val="Bullet"/>
      </w:pPr>
      <w:r w:rsidRPr="00E07B1B">
        <w:t>They needed information on the clinical pathway and what they could expect at various stages of the journey up to the birth of their baby and beyond</w:t>
      </w:r>
      <w:r>
        <w:t>.</w:t>
      </w:r>
    </w:p>
    <w:p w:rsidR="0025490C" w:rsidRPr="00E07B1B" w:rsidRDefault="0025490C" w:rsidP="006A4CD6">
      <w:pPr>
        <w:pStyle w:val="Bullet"/>
      </w:pPr>
      <w:r w:rsidRPr="00E07B1B">
        <w:t>Women needed clarity and good examples of what to eat and how much to eat</w:t>
      </w:r>
      <w:r>
        <w:t>.</w:t>
      </w:r>
    </w:p>
    <w:p w:rsidR="0025490C" w:rsidRPr="00E07B1B" w:rsidRDefault="0025490C" w:rsidP="006A4CD6">
      <w:pPr>
        <w:pStyle w:val="Bullet"/>
      </w:pPr>
      <w:r>
        <w:t>They found it difficult to adhere to l</w:t>
      </w:r>
      <w:r w:rsidRPr="00E07B1B">
        <w:t>ifestyle interventions</w:t>
      </w:r>
      <w:r>
        <w:t>.</w:t>
      </w:r>
    </w:p>
    <w:p w:rsidR="0025490C" w:rsidRPr="00E07B1B" w:rsidRDefault="0025490C" w:rsidP="006A4CD6">
      <w:pPr>
        <w:pStyle w:val="Bullet"/>
      </w:pPr>
      <w:r w:rsidRPr="00E07B1B">
        <w:t xml:space="preserve">Clinic appointments were difficult </w:t>
      </w:r>
      <w:r>
        <w:t>at</w:t>
      </w:r>
      <w:r w:rsidRPr="00E07B1B">
        <w:t xml:space="preserve"> a number of different levels in terms of time and personal costs</w:t>
      </w:r>
      <w:r>
        <w:t>. Such difficulties were</w:t>
      </w:r>
      <w:r w:rsidRPr="00E07B1B">
        <w:t xml:space="preserve"> exacerbated for women living in rural areas</w:t>
      </w:r>
      <w:r>
        <w:t>.</w:t>
      </w:r>
    </w:p>
    <w:p w:rsidR="0025490C" w:rsidRPr="00E07B1B" w:rsidRDefault="0025490C" w:rsidP="006A4CD6">
      <w:pPr>
        <w:pStyle w:val="Bullet"/>
      </w:pPr>
      <w:r w:rsidRPr="00E07B1B">
        <w:t>There were issues around the acceptability of screening test and pharmacological treatment</w:t>
      </w:r>
      <w:r>
        <w:t>.</w:t>
      </w:r>
    </w:p>
    <w:p w:rsidR="0025490C" w:rsidRDefault="0025490C" w:rsidP="006A4CD6">
      <w:pPr>
        <w:pStyle w:val="Bullet"/>
      </w:pPr>
      <w:r w:rsidRPr="00E07B1B">
        <w:t xml:space="preserve">Women wanted access to more resources through </w:t>
      </w:r>
      <w:r>
        <w:t>a variety of</w:t>
      </w:r>
      <w:r w:rsidRPr="00E07B1B">
        <w:t xml:space="preserve"> media</w:t>
      </w:r>
      <w:r>
        <w:t>.</w:t>
      </w:r>
    </w:p>
    <w:p w:rsidR="006A4CD6" w:rsidRPr="00E07B1B" w:rsidRDefault="006A4CD6" w:rsidP="006A4CD6"/>
    <w:p w:rsidR="0025490C" w:rsidRPr="00E07B1B" w:rsidRDefault="0025490C" w:rsidP="006A4CD6">
      <w:pPr>
        <w:pStyle w:val="Heading1"/>
      </w:pPr>
      <w:r w:rsidRPr="00E07B1B">
        <w:br w:type="page"/>
      </w:r>
      <w:bookmarkStart w:id="359" w:name="_Toc402873627"/>
      <w:bookmarkStart w:id="360" w:name="_Toc403469687"/>
      <w:bookmarkStart w:id="361" w:name="_Toc363207405"/>
      <w:r w:rsidRPr="00E07B1B">
        <w:t>Chapter 14</w:t>
      </w:r>
      <w:r>
        <w:t>:</w:t>
      </w:r>
      <w:r w:rsidRPr="00E07B1B">
        <w:t xml:space="preserve"> Implementation plan</w:t>
      </w:r>
      <w:bookmarkEnd w:id="359"/>
      <w:bookmarkEnd w:id="360"/>
    </w:p>
    <w:p w:rsidR="0025490C" w:rsidRDefault="0025490C" w:rsidP="006A4CD6">
      <w:r w:rsidRPr="00E07B1B">
        <w:t>This guideline has provided specific recommendations for clinical practice in the screening, diagnosis, management and follow-up of women with gestational diabetes in New Zealand.</w:t>
      </w:r>
      <w:r>
        <w:t xml:space="preserve"> It has also made a</w:t>
      </w:r>
      <w:r w:rsidRPr="00E07B1B">
        <w:t xml:space="preserve"> number of key research recommendations </w:t>
      </w:r>
      <w:r>
        <w:t xml:space="preserve">in areas </w:t>
      </w:r>
      <w:r w:rsidRPr="00E07B1B">
        <w:t>where evidence</w:t>
      </w:r>
      <w:r>
        <w:t xml:space="preserve"> is insufficient</w:t>
      </w:r>
      <w:r w:rsidRPr="00E07B1B">
        <w:t>.</w:t>
      </w:r>
    </w:p>
    <w:p w:rsidR="0025490C" w:rsidRPr="00E07B1B" w:rsidRDefault="0025490C" w:rsidP="006A4CD6"/>
    <w:p w:rsidR="0025490C" w:rsidRPr="00E07B1B" w:rsidRDefault="0025490C" w:rsidP="006A4CD6">
      <w:r w:rsidRPr="00E07B1B">
        <w:t>A full implementation plan has been submitted to the Ministry of Health</w:t>
      </w:r>
      <w:r>
        <w:t>. It</w:t>
      </w:r>
      <w:r w:rsidRPr="00E07B1B">
        <w:t xml:space="preserve"> includes:</w:t>
      </w:r>
    </w:p>
    <w:p w:rsidR="0025490C" w:rsidRPr="00E07B1B" w:rsidRDefault="0025490C" w:rsidP="006A4CD6">
      <w:pPr>
        <w:pStyle w:val="Bullet"/>
      </w:pPr>
      <w:r w:rsidRPr="00E07B1B">
        <w:t>a dissemination plan for the full guideline and summary versions</w:t>
      </w:r>
    </w:p>
    <w:p w:rsidR="0025490C" w:rsidRPr="00E07B1B" w:rsidRDefault="0025490C" w:rsidP="006A4CD6">
      <w:pPr>
        <w:pStyle w:val="Bullet"/>
      </w:pPr>
      <w:r w:rsidRPr="00E07B1B">
        <w:t xml:space="preserve">a </w:t>
      </w:r>
      <w:r>
        <w:t>P</w:t>
      </w:r>
      <w:r w:rsidRPr="00E07B1B">
        <w:t>ower</w:t>
      </w:r>
      <w:r>
        <w:t>P</w:t>
      </w:r>
      <w:r w:rsidRPr="00E07B1B">
        <w:t>oint presentation describing the key recommendations of the guideline</w:t>
      </w:r>
      <w:r>
        <w:t>,</w:t>
      </w:r>
      <w:r w:rsidRPr="00E07B1B">
        <w:t xml:space="preserve"> which can be downloaded</w:t>
      </w:r>
    </w:p>
    <w:p w:rsidR="0025490C" w:rsidRPr="00E07B1B" w:rsidRDefault="0025490C" w:rsidP="006A4CD6">
      <w:pPr>
        <w:pStyle w:val="Bullet"/>
      </w:pPr>
      <w:r w:rsidRPr="00E07B1B">
        <w:t>recommendations for promoting the recommendations to key stakeholder groups including pregnant woman, M</w:t>
      </w:r>
      <w:r>
        <w:rPr>
          <w:rFonts w:cs="Arial"/>
        </w:rPr>
        <w:t>ā</w:t>
      </w:r>
      <w:r w:rsidRPr="00E07B1B">
        <w:t>ori and Pacific communities, health care workers and maternity service providers</w:t>
      </w:r>
    </w:p>
    <w:p w:rsidR="0068074A" w:rsidRDefault="0025490C" w:rsidP="006A4CD6">
      <w:pPr>
        <w:pStyle w:val="Bullet"/>
      </w:pPr>
      <w:r w:rsidRPr="00E07B1B">
        <w:t>an algorithm</w:t>
      </w:r>
      <w:r w:rsidRPr="00A42EAC">
        <w:t xml:space="preserve"> </w:t>
      </w:r>
      <w:r w:rsidRPr="00E07B1B">
        <w:t>for health professionals</w:t>
      </w:r>
      <w:r>
        <w:t>,</w:t>
      </w:r>
      <w:r w:rsidRPr="00E07B1B">
        <w:t xml:space="preserve"> which can be downloaded</w:t>
      </w:r>
    </w:p>
    <w:p w:rsidR="0025490C" w:rsidRPr="00E07B1B" w:rsidRDefault="0025490C" w:rsidP="006A4CD6">
      <w:pPr>
        <w:pStyle w:val="Bullet"/>
      </w:pPr>
      <w:r w:rsidRPr="00E07B1B">
        <w:t>suggestions for incorporating the guideline recommendations into</w:t>
      </w:r>
      <w:r>
        <w:t xml:space="preserve"> a range of contexts such as</w:t>
      </w:r>
      <w:r w:rsidRPr="00E07B1B">
        <w:t xml:space="preserve"> conference programmes, journal articles, continuing education programmes </w:t>
      </w:r>
      <w:r>
        <w:t xml:space="preserve">and </w:t>
      </w:r>
      <w:r w:rsidRPr="00E07B1B">
        <w:t>online quizzes</w:t>
      </w:r>
    </w:p>
    <w:p w:rsidR="0025490C" w:rsidRPr="00E07B1B" w:rsidRDefault="0025490C" w:rsidP="006A4CD6">
      <w:pPr>
        <w:pStyle w:val="Bullet"/>
      </w:pPr>
      <w:r w:rsidRPr="00E07B1B">
        <w:t>an evaluation strategy to assess the extent to which the recommendations have been adopted into routine practice</w:t>
      </w:r>
      <w:r>
        <w:t>.</w:t>
      </w:r>
    </w:p>
    <w:p w:rsidR="0025490C" w:rsidRDefault="0025490C" w:rsidP="006A4CD6"/>
    <w:p w:rsidR="0025490C" w:rsidRDefault="0025490C" w:rsidP="006A4CD6">
      <w:r w:rsidRPr="00E07B1B">
        <w:t>When developing an evaluation strategy</w:t>
      </w:r>
      <w:r>
        <w:t>, the Guideline Development Team</w:t>
      </w:r>
      <w:r w:rsidRPr="00E07B1B">
        <w:t xml:space="preserve"> recommend</w:t>
      </w:r>
      <w:r>
        <w:t xml:space="preserve">s, and emphasises the </w:t>
      </w:r>
      <w:r w:rsidRPr="00E07B1B">
        <w:t>importan</w:t>
      </w:r>
      <w:r>
        <w:t>ce of,</w:t>
      </w:r>
      <w:r w:rsidRPr="00E07B1B">
        <w:t xml:space="preserve"> consider</w:t>
      </w:r>
      <w:r>
        <w:t>ing</w:t>
      </w:r>
      <w:r w:rsidRPr="00E07B1B">
        <w:t xml:space="preserve"> ways to identify those changes in practice</w:t>
      </w:r>
      <w:r>
        <w:t xml:space="preserve"> that</w:t>
      </w:r>
      <w:r w:rsidRPr="00E07B1B">
        <w:t xml:space="preserve"> are likely to have the most significant impact on the health outcomes of women with gestational diabetes and their babies, and to identify what data </w:t>
      </w:r>
      <w:r>
        <w:t>are</w:t>
      </w:r>
      <w:r w:rsidRPr="00E07B1B">
        <w:t xml:space="preserve"> already being collected relating to these recommendations and how </w:t>
      </w:r>
      <w:r>
        <w:t>they can</w:t>
      </w:r>
      <w:r w:rsidRPr="00E07B1B">
        <w:t xml:space="preserve"> be used to monitor changes in practice.</w:t>
      </w:r>
    </w:p>
    <w:p w:rsidR="0025490C" w:rsidRPr="00E07B1B" w:rsidRDefault="0025490C" w:rsidP="006A4CD6"/>
    <w:p w:rsidR="0025490C" w:rsidRPr="00E07B1B" w:rsidRDefault="0025490C" w:rsidP="0025490C">
      <w:pPr>
        <w:rPr>
          <w:rFonts w:cs="Arial"/>
          <w:szCs w:val="24"/>
        </w:rPr>
      </w:pPr>
      <w:r>
        <w:rPr>
          <w:rFonts w:cs="Arial"/>
          <w:szCs w:val="24"/>
        </w:rPr>
        <w:t>In e</w:t>
      </w:r>
      <w:r w:rsidRPr="006A4CD6">
        <w:t>v</w:t>
      </w:r>
      <w:r>
        <w:rPr>
          <w:rFonts w:cs="Arial"/>
          <w:szCs w:val="24"/>
        </w:rPr>
        <w:t>aluating the implementation of this guideline, t</w:t>
      </w:r>
      <w:r w:rsidRPr="00E07B1B">
        <w:rPr>
          <w:rFonts w:cs="Arial"/>
          <w:szCs w:val="24"/>
        </w:rPr>
        <w:t>he suggested indicators for success are:</w:t>
      </w:r>
    </w:p>
    <w:p w:rsidR="0025490C" w:rsidRPr="00E07B1B" w:rsidRDefault="0025490C" w:rsidP="006A4CD6">
      <w:pPr>
        <w:pStyle w:val="Bullet"/>
      </w:pPr>
      <w:r w:rsidRPr="00E07B1B">
        <w:t xml:space="preserve">the percentage of women offered an HbA1c as part of the routine pregnancy blood tests at </w:t>
      </w:r>
      <w:r>
        <w:t>&lt;</w:t>
      </w:r>
      <w:r w:rsidR="006A4CD6">
        <w:t> </w:t>
      </w:r>
      <w:r w:rsidRPr="00E07B1B">
        <w:t>20 weeks</w:t>
      </w:r>
    </w:p>
    <w:p w:rsidR="0025490C" w:rsidRPr="00E07B1B" w:rsidRDefault="0025490C" w:rsidP="006A4CD6">
      <w:pPr>
        <w:pStyle w:val="Bullet"/>
      </w:pPr>
      <w:r w:rsidRPr="00E07B1B">
        <w:t>the percentage of women having the oral glucose tolerance test or oral glucose challenge test at 24</w:t>
      </w:r>
      <w:r>
        <w:t>–</w:t>
      </w:r>
      <w:r w:rsidRPr="00E07B1B">
        <w:t>28 weeks</w:t>
      </w:r>
    </w:p>
    <w:p w:rsidR="0025490C" w:rsidRPr="00E07B1B" w:rsidRDefault="0025490C" w:rsidP="006A4CD6">
      <w:pPr>
        <w:pStyle w:val="Bullet"/>
      </w:pPr>
      <w:r w:rsidRPr="00E07B1B">
        <w:t xml:space="preserve">the percentage of women </w:t>
      </w:r>
      <w:r>
        <w:t xml:space="preserve">with gestational diabetes who are then </w:t>
      </w:r>
      <w:r w:rsidRPr="00E07B1B">
        <w:t>offered an HbA1c 12 weeks after the birth of the</w:t>
      </w:r>
      <w:r>
        <w:t>ir</w:t>
      </w:r>
      <w:r w:rsidRPr="00E07B1B">
        <w:t xml:space="preserve"> child</w:t>
      </w:r>
    </w:p>
    <w:p w:rsidR="0025490C" w:rsidRPr="00E07B1B" w:rsidRDefault="0025490C" w:rsidP="006A4CD6">
      <w:pPr>
        <w:pStyle w:val="Bullet"/>
      </w:pPr>
      <w:r w:rsidRPr="00E07B1B">
        <w:t xml:space="preserve">the number of </w:t>
      </w:r>
      <w:r>
        <w:t>g</w:t>
      </w:r>
      <w:r w:rsidRPr="00E07B1B">
        <w:t xml:space="preserve">reen </w:t>
      </w:r>
      <w:r>
        <w:t>p</w:t>
      </w:r>
      <w:r w:rsidRPr="00E07B1B">
        <w:t>rescriptions issued to women with diabetes in pregnancy</w:t>
      </w:r>
    </w:p>
    <w:p w:rsidR="0025490C" w:rsidRPr="00E07B1B" w:rsidRDefault="0025490C" w:rsidP="006A4CD6">
      <w:pPr>
        <w:pStyle w:val="Bullet"/>
      </w:pPr>
      <w:r>
        <w:t xml:space="preserve">results from </w:t>
      </w:r>
      <w:r w:rsidRPr="00E07B1B">
        <w:t xml:space="preserve">monitoring </w:t>
      </w:r>
      <w:r>
        <w:t>levels of labour</w:t>
      </w:r>
      <w:r w:rsidRPr="00E07B1B">
        <w:t xml:space="preserve"> induction</w:t>
      </w:r>
      <w:r>
        <w:t>s,</w:t>
      </w:r>
      <w:r w:rsidRPr="00E07B1B">
        <w:t xml:space="preserve"> c</w:t>
      </w:r>
      <w:r>
        <w:t xml:space="preserve">aesarean </w:t>
      </w:r>
      <w:r w:rsidRPr="00E07B1B">
        <w:t>sections and Neonatal Intensive Care Unit admissions for women with gestational diabetes and their babies</w:t>
      </w:r>
      <w:r>
        <w:t>.</w:t>
      </w:r>
    </w:p>
    <w:p w:rsidR="0025490C" w:rsidRPr="00E07B1B" w:rsidRDefault="0025490C" w:rsidP="006A4CD6"/>
    <w:p w:rsidR="0025490C" w:rsidRPr="00E07B1B" w:rsidRDefault="0025490C" w:rsidP="006A4CD6">
      <w:pPr>
        <w:keepNext/>
      </w:pPr>
      <w:r>
        <w:t>In addition,</w:t>
      </w:r>
      <w:r w:rsidRPr="00E07B1B">
        <w:t xml:space="preserve"> to assess uptake of the guidelines</w:t>
      </w:r>
      <w:r>
        <w:t>, information could be collected on the number of</w:t>
      </w:r>
      <w:r w:rsidRPr="00E07B1B">
        <w:t>:</w:t>
      </w:r>
    </w:p>
    <w:p w:rsidR="0025490C" w:rsidRPr="00E07B1B" w:rsidRDefault="0025490C" w:rsidP="006A4CD6">
      <w:pPr>
        <w:pStyle w:val="Bullet"/>
        <w:keepNext/>
      </w:pPr>
      <w:r w:rsidRPr="00E07B1B">
        <w:t>people who download or order copies of the guidelines and summaries</w:t>
      </w:r>
    </w:p>
    <w:p w:rsidR="0025490C" w:rsidRPr="00E07B1B" w:rsidRDefault="0025490C" w:rsidP="006A4CD6">
      <w:pPr>
        <w:pStyle w:val="Bullet"/>
        <w:keepNext/>
      </w:pPr>
      <w:r w:rsidRPr="00E07B1B">
        <w:t>health practitioners attending education sessions and workshops and successfully completing online quizzes</w:t>
      </w:r>
    </w:p>
    <w:p w:rsidR="0025490C" w:rsidRPr="00E07B1B" w:rsidRDefault="0025490C" w:rsidP="006A4CD6">
      <w:pPr>
        <w:pStyle w:val="Bullet"/>
      </w:pPr>
      <w:r w:rsidRPr="00E07B1B">
        <w:t xml:space="preserve">people </w:t>
      </w:r>
      <w:r>
        <w:t xml:space="preserve">downloading </w:t>
      </w:r>
      <w:r w:rsidRPr="00E07B1B">
        <w:t>tools such as apps</w:t>
      </w:r>
      <w:r>
        <w:t>.</w:t>
      </w:r>
    </w:p>
    <w:p w:rsidR="0025490C" w:rsidRPr="00E07B1B" w:rsidRDefault="0025490C" w:rsidP="006A4CD6"/>
    <w:p w:rsidR="0025490C" w:rsidRPr="00E07B1B" w:rsidRDefault="0025490C" w:rsidP="006A4CD6">
      <w:pPr>
        <w:pStyle w:val="Heading2"/>
      </w:pPr>
      <w:bookmarkStart w:id="362" w:name="_Toc402873628"/>
      <w:bookmarkStart w:id="363" w:name="_Toc403469688"/>
      <w:r w:rsidRPr="00E07B1B">
        <w:t>14.1</w:t>
      </w:r>
      <w:r w:rsidR="006A4CD6">
        <w:tab/>
      </w:r>
      <w:r w:rsidRPr="00E07B1B">
        <w:t>Updating the guideline</w:t>
      </w:r>
      <w:bookmarkEnd w:id="362"/>
      <w:bookmarkEnd w:id="363"/>
    </w:p>
    <w:p w:rsidR="0025490C" w:rsidRDefault="0025490C" w:rsidP="006A4CD6">
      <w:r w:rsidRPr="00E07B1B">
        <w:t>It is proposed that the guideline is updated in a minimum of three years.</w:t>
      </w:r>
      <w:r>
        <w:t xml:space="preserve"> </w:t>
      </w:r>
      <w:r w:rsidRPr="00E07B1B">
        <w:t>At this point the Guideline Development Team would focus on any new randomised controlled trial evidence of screening and diagnostic regimens and their effect on maternal and infant outcomes.</w:t>
      </w:r>
    </w:p>
    <w:p w:rsidR="006A4CD6" w:rsidRPr="00E07B1B" w:rsidRDefault="006A4CD6" w:rsidP="006A4CD6"/>
    <w:bookmarkEnd w:id="361"/>
    <w:p w:rsidR="0025490C" w:rsidRPr="00E07B1B" w:rsidRDefault="0025490C" w:rsidP="006A4CD6">
      <w:pPr>
        <w:pStyle w:val="Heading1"/>
      </w:pPr>
      <w:r w:rsidRPr="00E07B1B">
        <w:br w:type="page"/>
      </w:r>
      <w:bookmarkStart w:id="364" w:name="_Toc363207422"/>
      <w:bookmarkStart w:id="365" w:name="_Toc402873629"/>
      <w:bookmarkStart w:id="366" w:name="_Toc403469689"/>
      <w:r w:rsidRPr="00E07B1B">
        <w:t>Chapter 15</w:t>
      </w:r>
      <w:r>
        <w:t>:</w:t>
      </w:r>
      <w:r w:rsidRPr="00E07B1B">
        <w:t xml:space="preserve"> Research recommendations</w:t>
      </w:r>
      <w:bookmarkEnd w:id="364"/>
      <w:bookmarkEnd w:id="365"/>
      <w:bookmarkEnd w:id="366"/>
    </w:p>
    <w:p w:rsidR="0025490C" w:rsidRPr="00E07B1B" w:rsidRDefault="0025490C" w:rsidP="006A4CD6">
      <w:r>
        <w:t>To address</w:t>
      </w:r>
      <w:r w:rsidRPr="00E07B1B">
        <w:t xml:space="preserve"> areas where </w:t>
      </w:r>
      <w:r>
        <w:t>it found</w:t>
      </w:r>
      <w:r w:rsidRPr="00E07B1B">
        <w:t xml:space="preserve"> evidence gaps or inconsistent evidence</w:t>
      </w:r>
      <w:r>
        <w:t>,</w:t>
      </w:r>
      <w:r w:rsidRPr="00E07B1B">
        <w:t xml:space="preserve"> the Guideline Development Team has </w:t>
      </w:r>
      <w:r>
        <w:t>made</w:t>
      </w:r>
      <w:r w:rsidRPr="00E07B1B">
        <w:t xml:space="preserve"> </w:t>
      </w:r>
      <w:r>
        <w:t xml:space="preserve">the following </w:t>
      </w:r>
      <w:r w:rsidRPr="00E07B1B">
        <w:t>research recommendations.</w:t>
      </w:r>
    </w:p>
    <w:p w:rsidR="0025490C" w:rsidRPr="00E07B1B" w:rsidRDefault="0025490C" w:rsidP="006A4CD6">
      <w:pPr>
        <w:rPr>
          <w:lang w:eastAsia="en-NZ"/>
        </w:rPr>
      </w:pPr>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9356"/>
      </w:tblGrid>
      <w:tr w:rsidR="0025490C" w:rsidRPr="006A4CD6" w:rsidTr="006A4CD6">
        <w:trPr>
          <w:cantSplit/>
        </w:trPr>
        <w:tc>
          <w:tcPr>
            <w:tcW w:w="9356" w:type="dxa"/>
            <w:tcBorders>
              <w:top w:val="single" w:sz="4" w:space="0" w:color="auto"/>
              <w:bottom w:val="single" w:sz="4" w:space="0" w:color="auto"/>
            </w:tcBorders>
            <w:shd w:val="clear" w:color="auto" w:fill="F7F9FB"/>
          </w:tcPr>
          <w:p w:rsidR="0025490C" w:rsidRPr="006A4CD6" w:rsidRDefault="0025490C" w:rsidP="006A4CD6">
            <w:pPr>
              <w:pStyle w:val="TableText"/>
              <w:rPr>
                <w:b/>
              </w:rPr>
            </w:pPr>
            <w:r w:rsidRPr="006A4CD6">
              <w:rPr>
                <w:b/>
              </w:rPr>
              <w:t>Research recommendations</w:t>
            </w:r>
          </w:p>
        </w:tc>
      </w:tr>
      <w:tr w:rsidR="0025490C" w:rsidRPr="00E07B1B" w:rsidTr="006A4CD6">
        <w:trPr>
          <w:cantSplit/>
        </w:trPr>
        <w:tc>
          <w:tcPr>
            <w:tcW w:w="9356" w:type="dxa"/>
            <w:tcBorders>
              <w:top w:val="single" w:sz="4" w:space="0" w:color="auto"/>
              <w:bottom w:val="single" w:sz="4" w:space="0" w:color="FFFFFF" w:themeColor="background1"/>
            </w:tcBorders>
            <w:shd w:val="clear" w:color="auto" w:fill="E5DFEC"/>
          </w:tcPr>
          <w:p w:rsidR="0025490C" w:rsidRPr="00F902FD" w:rsidRDefault="0025490C" w:rsidP="006A4CD6">
            <w:pPr>
              <w:pStyle w:val="TableText"/>
            </w:pPr>
            <w:r w:rsidRPr="00F902FD">
              <w:t>Randomised controlled trial comparing dietary and lifestyle advice with pharmacotherapy for women whose HbA1c at booking is in the range of 41–49 mmol/mol, in terms of their impact on maternal and infant outcomes and development of gestational diabetes.</w:t>
            </w:r>
          </w:p>
        </w:tc>
      </w:tr>
      <w:tr w:rsidR="0025490C" w:rsidRPr="00E07B1B" w:rsidTr="006A4CD6">
        <w:trPr>
          <w:cantSplit/>
        </w:trPr>
        <w:tc>
          <w:tcPr>
            <w:tcW w:w="9356" w:type="dxa"/>
            <w:tcBorders>
              <w:top w:val="single" w:sz="4" w:space="0" w:color="FFFFFF" w:themeColor="background1"/>
              <w:bottom w:val="single" w:sz="4" w:space="0" w:color="FFFFFF" w:themeColor="background1"/>
            </w:tcBorders>
            <w:shd w:val="clear" w:color="auto" w:fill="E5DFEC"/>
          </w:tcPr>
          <w:p w:rsidR="0025490C" w:rsidRPr="00F902FD" w:rsidRDefault="0025490C" w:rsidP="006A4CD6">
            <w:pPr>
              <w:pStyle w:val="TableText"/>
            </w:pPr>
            <w:r w:rsidRPr="00F902FD">
              <w:t>Studies that investigate whether early diagnosis and treatment lead to improved maternal and infant outcomes.</w:t>
            </w:r>
          </w:p>
        </w:tc>
      </w:tr>
      <w:tr w:rsidR="0025490C" w:rsidRPr="00E07B1B" w:rsidTr="006A4CD6">
        <w:trPr>
          <w:cantSplit/>
        </w:trPr>
        <w:tc>
          <w:tcPr>
            <w:tcW w:w="9356" w:type="dxa"/>
            <w:tcBorders>
              <w:top w:val="single" w:sz="4" w:space="0" w:color="FFFFFF" w:themeColor="background1"/>
              <w:bottom w:val="single" w:sz="4" w:space="0" w:color="FFFFFF" w:themeColor="background1"/>
            </w:tcBorders>
            <w:shd w:val="clear" w:color="auto" w:fill="E5DFEC"/>
          </w:tcPr>
          <w:p w:rsidR="0025490C" w:rsidRPr="00E07B1B" w:rsidRDefault="0025490C" w:rsidP="006A4CD6">
            <w:pPr>
              <w:pStyle w:val="TableText"/>
              <w:rPr>
                <w:lang w:eastAsia="en-NZ"/>
              </w:rPr>
            </w:pPr>
            <w:r w:rsidRPr="00AE558F">
              <w:rPr>
                <w:lang w:eastAsia="en-NZ"/>
              </w:rPr>
              <w:t xml:space="preserve">A randomised controlled trial that compares current screening and diagnostic criteria with those proposed by the International Association of Diabetes </w:t>
            </w:r>
            <w:r>
              <w:rPr>
                <w:lang w:eastAsia="en-NZ"/>
              </w:rPr>
              <w:t>and</w:t>
            </w:r>
            <w:r w:rsidRPr="00AE558F">
              <w:rPr>
                <w:lang w:eastAsia="en-NZ"/>
              </w:rPr>
              <w:t xml:space="preserve"> Pregnancy Study Groups</w:t>
            </w:r>
            <w:r>
              <w:rPr>
                <w:lang w:eastAsia="en-NZ"/>
              </w:rPr>
              <w:t xml:space="preserve"> in terms of their impact</w:t>
            </w:r>
            <w:r w:rsidRPr="00AE558F">
              <w:rPr>
                <w:lang w:eastAsia="en-NZ"/>
              </w:rPr>
              <w:t xml:space="preserve"> on maternal and infant outcomes</w:t>
            </w:r>
            <w:r>
              <w:rPr>
                <w:lang w:eastAsia="en-NZ"/>
              </w:rPr>
              <w:t xml:space="preserve"> is required</w:t>
            </w:r>
            <w:r w:rsidRPr="00AE558F">
              <w:rPr>
                <w:lang w:eastAsia="en-NZ"/>
              </w:rPr>
              <w:t>.</w:t>
            </w:r>
          </w:p>
        </w:tc>
      </w:tr>
      <w:tr w:rsidR="0025490C" w:rsidRPr="00E07B1B" w:rsidTr="006A4CD6">
        <w:trPr>
          <w:cantSplit/>
        </w:trPr>
        <w:tc>
          <w:tcPr>
            <w:tcW w:w="9356" w:type="dxa"/>
            <w:tcBorders>
              <w:top w:val="single" w:sz="4" w:space="0" w:color="FFFFFF" w:themeColor="background1"/>
              <w:bottom w:val="single" w:sz="4" w:space="0" w:color="FFFFFF" w:themeColor="background1"/>
            </w:tcBorders>
            <w:shd w:val="clear" w:color="auto" w:fill="E5DFEC"/>
          </w:tcPr>
          <w:p w:rsidR="0025490C" w:rsidRPr="00E07B1B" w:rsidRDefault="0025490C" w:rsidP="006A4CD6">
            <w:pPr>
              <w:pStyle w:val="TableText"/>
            </w:pPr>
            <w:r w:rsidRPr="00E07B1B">
              <w:t>A randomised controlled trial to compare tight with less tight glycaemic control in women diagnosed with gestational diabetes</w:t>
            </w:r>
            <w:r>
              <w:t xml:space="preserve"> in terms of their impact</w:t>
            </w:r>
            <w:r w:rsidRPr="00E07B1B">
              <w:t xml:space="preserve"> on maternal and infant outcomes.</w:t>
            </w:r>
          </w:p>
        </w:tc>
      </w:tr>
      <w:tr w:rsidR="0025490C" w:rsidRPr="00E07B1B" w:rsidTr="006A4CD6">
        <w:trPr>
          <w:cantSplit/>
        </w:trPr>
        <w:tc>
          <w:tcPr>
            <w:tcW w:w="9356" w:type="dxa"/>
            <w:tcBorders>
              <w:top w:val="single" w:sz="4" w:space="0" w:color="FFFFFF" w:themeColor="background1"/>
              <w:bottom w:val="single" w:sz="4" w:space="0" w:color="FFFFFF" w:themeColor="background1"/>
            </w:tcBorders>
            <w:shd w:val="clear" w:color="auto" w:fill="E5DFEC"/>
          </w:tcPr>
          <w:p w:rsidR="0025490C" w:rsidRPr="00E07B1B" w:rsidRDefault="0025490C" w:rsidP="006A4CD6">
            <w:pPr>
              <w:pStyle w:val="TableText"/>
            </w:pPr>
            <w:r w:rsidRPr="00E07B1B">
              <w:rPr>
                <w:lang w:eastAsia="en-NZ"/>
              </w:rPr>
              <w:t>A</w:t>
            </w:r>
            <w:r w:rsidRPr="00E07B1B">
              <w:t xml:space="preserve"> randomised controlled trial comparing more intensive ultrasound scanning with usual care in women with gestational diabetes</w:t>
            </w:r>
            <w:r>
              <w:t xml:space="preserve"> in terms of their impact</w:t>
            </w:r>
            <w:r w:rsidRPr="00E07B1B">
              <w:t xml:space="preserve"> on maternal and infant outcomes.</w:t>
            </w:r>
          </w:p>
        </w:tc>
      </w:tr>
      <w:tr w:rsidR="0025490C" w:rsidRPr="00E07B1B" w:rsidTr="006A4CD6">
        <w:trPr>
          <w:cantSplit/>
        </w:trPr>
        <w:tc>
          <w:tcPr>
            <w:tcW w:w="9356" w:type="dxa"/>
            <w:tcBorders>
              <w:top w:val="single" w:sz="4" w:space="0" w:color="FFFFFF" w:themeColor="background1"/>
              <w:bottom w:val="single" w:sz="4" w:space="0" w:color="FFFFFF" w:themeColor="background1"/>
            </w:tcBorders>
            <w:shd w:val="clear" w:color="auto" w:fill="E5DFEC"/>
          </w:tcPr>
          <w:p w:rsidR="0025490C" w:rsidRPr="00E07B1B" w:rsidRDefault="0025490C" w:rsidP="006A4CD6">
            <w:pPr>
              <w:pStyle w:val="TableText"/>
            </w:pPr>
            <w:r w:rsidRPr="005B055B">
              <w:rPr>
                <w:lang w:eastAsia="en-NZ"/>
              </w:rPr>
              <w:t>A</w:t>
            </w:r>
            <w:r w:rsidRPr="00982CFB">
              <w:t xml:space="preserve"> </w:t>
            </w:r>
            <w:r w:rsidRPr="00E07B1B">
              <w:t>randomised controlled trial of leisure activity interventions for the treatment of gestational diabetes.</w:t>
            </w:r>
          </w:p>
        </w:tc>
      </w:tr>
      <w:tr w:rsidR="0025490C" w:rsidRPr="00E07B1B" w:rsidTr="006A4CD6">
        <w:trPr>
          <w:cantSplit/>
        </w:trPr>
        <w:tc>
          <w:tcPr>
            <w:tcW w:w="9356" w:type="dxa"/>
            <w:tcBorders>
              <w:top w:val="single" w:sz="4" w:space="0" w:color="FFFFFF" w:themeColor="background1"/>
              <w:bottom w:val="single" w:sz="4" w:space="0" w:color="auto"/>
            </w:tcBorders>
            <w:shd w:val="clear" w:color="auto" w:fill="E5DFEC"/>
          </w:tcPr>
          <w:p w:rsidR="0025490C" w:rsidRPr="00E07B1B" w:rsidRDefault="0025490C" w:rsidP="006A4CD6">
            <w:pPr>
              <w:pStyle w:val="TableText"/>
            </w:pPr>
            <w:r w:rsidRPr="005B055B">
              <w:rPr>
                <w:lang w:eastAsia="en-NZ"/>
              </w:rPr>
              <w:t>Ra</w:t>
            </w:r>
            <w:r w:rsidRPr="00E07B1B">
              <w:t>ndomised controlled trials that evaluate the outcomes of lifestyle versus pharmacological interventions to prevent type 2 diabetes in women with a previous history of gestational diabetes</w:t>
            </w:r>
            <w:r>
              <w:t>.</w:t>
            </w:r>
          </w:p>
        </w:tc>
      </w:tr>
    </w:tbl>
    <w:p w:rsidR="0025490C" w:rsidRPr="00E07B1B" w:rsidRDefault="0025490C" w:rsidP="002C04F3"/>
    <w:p w:rsidR="0025490C" w:rsidRPr="00E07B1B" w:rsidRDefault="0025490C" w:rsidP="000A645D">
      <w:pPr>
        <w:pStyle w:val="Heading1"/>
      </w:pPr>
      <w:r w:rsidRPr="00E07B1B">
        <w:br w:type="page"/>
      </w:r>
      <w:bookmarkStart w:id="367" w:name="_Toc363207423"/>
      <w:bookmarkStart w:id="368" w:name="_Toc402873630"/>
      <w:bookmarkStart w:id="369" w:name="_Toc403469690"/>
      <w:r w:rsidRPr="00E07B1B">
        <w:t>References</w:t>
      </w:r>
      <w:bookmarkEnd w:id="367"/>
      <w:bookmarkEnd w:id="368"/>
      <w:bookmarkEnd w:id="369"/>
    </w:p>
    <w:p w:rsidR="0068074A" w:rsidRDefault="0025490C" w:rsidP="000A645D">
      <w:pPr>
        <w:pStyle w:val="References"/>
      </w:pPr>
      <w:r w:rsidRPr="00E07B1B">
        <w:t xml:space="preserve">Afkhami-Ardekani M, Rashidi M. 2009. Iron status in women with and without gestational diabetes mellitus. </w:t>
      </w:r>
      <w:r w:rsidRPr="00E07B1B">
        <w:rPr>
          <w:i/>
          <w:iCs/>
        </w:rPr>
        <w:t xml:space="preserve">Journal of Diabetes and Its Complications </w:t>
      </w:r>
      <w:r w:rsidRPr="00E07B1B">
        <w:rPr>
          <w:iCs/>
        </w:rPr>
        <w:t>23</w:t>
      </w:r>
      <w:r w:rsidRPr="00E07B1B">
        <w:t>: 194</w:t>
      </w:r>
      <w:r>
        <w:t>–</w:t>
      </w:r>
      <w:r w:rsidRPr="00E07B1B">
        <w:t>8.</w:t>
      </w:r>
    </w:p>
    <w:p w:rsidR="0068074A" w:rsidRDefault="0025490C" w:rsidP="000A645D">
      <w:pPr>
        <w:pStyle w:val="References"/>
      </w:pPr>
      <w:r w:rsidRPr="00E07B1B">
        <w:t xml:space="preserve">Agarwal MM, Dhatt GS, Punnose J, </w:t>
      </w:r>
      <w:r w:rsidR="00D562F2">
        <w:t>et al</w:t>
      </w:r>
      <w:r w:rsidRPr="00E07B1B">
        <w:t>. 2005</w:t>
      </w:r>
      <w:r>
        <w:t>a</w:t>
      </w:r>
      <w:r w:rsidRPr="00E07B1B">
        <w:t xml:space="preserve">. Gestational diabetes: a reappraisal of HbA1c as a screening test. </w:t>
      </w:r>
      <w:r w:rsidRPr="00E07B1B">
        <w:rPr>
          <w:i/>
          <w:iCs/>
        </w:rPr>
        <w:t>Acta Obstet</w:t>
      </w:r>
      <w:r>
        <w:rPr>
          <w:i/>
          <w:iCs/>
        </w:rPr>
        <w:t>ricia et</w:t>
      </w:r>
      <w:r w:rsidRPr="00E07B1B">
        <w:rPr>
          <w:i/>
          <w:iCs/>
        </w:rPr>
        <w:t xml:space="preserve"> Gynecol</w:t>
      </w:r>
      <w:r>
        <w:rPr>
          <w:i/>
          <w:iCs/>
        </w:rPr>
        <w:t>ogica</w:t>
      </w:r>
      <w:r w:rsidRPr="00E07B1B">
        <w:rPr>
          <w:i/>
          <w:iCs/>
        </w:rPr>
        <w:t xml:space="preserve"> Scand</w:t>
      </w:r>
      <w:r>
        <w:rPr>
          <w:i/>
          <w:iCs/>
        </w:rPr>
        <w:t>inavica</w:t>
      </w:r>
      <w:r w:rsidRPr="00E07B1B">
        <w:rPr>
          <w:i/>
          <w:iCs/>
        </w:rPr>
        <w:t xml:space="preserve"> </w:t>
      </w:r>
      <w:r w:rsidRPr="00E07B1B">
        <w:rPr>
          <w:iCs/>
        </w:rPr>
        <w:t>84:</w:t>
      </w:r>
      <w:r>
        <w:rPr>
          <w:iCs/>
        </w:rPr>
        <w:t xml:space="preserve"> </w:t>
      </w:r>
      <w:r w:rsidRPr="00E07B1B">
        <w:t>1159</w:t>
      </w:r>
      <w:r>
        <w:t>–</w:t>
      </w:r>
      <w:r w:rsidRPr="00E07B1B">
        <w:t>63.</w:t>
      </w:r>
    </w:p>
    <w:p w:rsidR="0068074A" w:rsidRDefault="0025490C" w:rsidP="000A645D">
      <w:pPr>
        <w:pStyle w:val="References"/>
      </w:pPr>
      <w:r w:rsidRPr="00E07B1B">
        <w:t xml:space="preserve">Agarwal MM, Dhalt G, Punnose J, </w:t>
      </w:r>
      <w:r w:rsidR="00D562F2">
        <w:t>et al</w:t>
      </w:r>
      <w:r w:rsidRPr="00E07B1B">
        <w:t>. 2005</w:t>
      </w:r>
      <w:r>
        <w:t>b</w:t>
      </w:r>
      <w:r w:rsidRPr="00E07B1B">
        <w:t xml:space="preserve">. Gestational diabetes: </w:t>
      </w:r>
      <w:r>
        <w:t>d</w:t>
      </w:r>
      <w:r w:rsidRPr="00E07B1B">
        <w:t>ilem</w:t>
      </w:r>
      <w:r>
        <w:t>m</w:t>
      </w:r>
      <w:r w:rsidRPr="00E07B1B">
        <w:t xml:space="preserve">a caused by multiple international diagnostic criteria. </w:t>
      </w:r>
      <w:r w:rsidRPr="00E07B1B">
        <w:rPr>
          <w:i/>
          <w:iCs/>
        </w:rPr>
        <w:t>Diabetes Medicine</w:t>
      </w:r>
      <w:r w:rsidRPr="00A70429">
        <w:rPr>
          <w:iCs/>
        </w:rPr>
        <w:t xml:space="preserve"> 22</w:t>
      </w:r>
      <w:r w:rsidRPr="00E07B1B">
        <w:t>: 1731</w:t>
      </w:r>
      <w:r>
        <w:t>–</w:t>
      </w:r>
      <w:r w:rsidRPr="00E07B1B">
        <w:t>6.</w:t>
      </w:r>
    </w:p>
    <w:p w:rsidR="0025490C" w:rsidRPr="00E07B1B" w:rsidRDefault="0025490C" w:rsidP="000A645D">
      <w:pPr>
        <w:pStyle w:val="References"/>
      </w:pPr>
      <w:r>
        <w:t>Agarwal M</w:t>
      </w:r>
      <w:r w:rsidRPr="00E07B1B">
        <w:t xml:space="preserve">M, Dhatt GS, Shah SM. 2010. Gestational diabetes mellitus: simplifying the international association of diabetes and pregnancy diagnostic algorithm using fasting plasma glucose. </w:t>
      </w:r>
      <w:r w:rsidRPr="00E07B1B">
        <w:rPr>
          <w:i/>
          <w:iCs/>
        </w:rPr>
        <w:t xml:space="preserve">Diabetes Care </w:t>
      </w:r>
      <w:r w:rsidRPr="00E07B1B">
        <w:rPr>
          <w:iCs/>
        </w:rPr>
        <w:t>33</w:t>
      </w:r>
      <w:r w:rsidRPr="00E07B1B">
        <w:t>(9): 2018</w:t>
      </w:r>
      <w:r>
        <w:t>–</w:t>
      </w:r>
      <w:r w:rsidRPr="00E07B1B">
        <w:t>20.</w:t>
      </w:r>
    </w:p>
    <w:p w:rsidR="0025490C" w:rsidRPr="00E07B1B" w:rsidRDefault="0025490C" w:rsidP="000A645D">
      <w:pPr>
        <w:pStyle w:val="References"/>
      </w:pPr>
      <w:r w:rsidRPr="00E07B1B">
        <w:t xml:space="preserve">Akinci B, Celtik A, Genc S, </w:t>
      </w:r>
      <w:r w:rsidR="00D562F2">
        <w:t>et al</w:t>
      </w:r>
      <w:r w:rsidRPr="00E07B1B">
        <w:t xml:space="preserve">. 2011. Evaluation of postpartum carbohydrate intolerance and cardiovascular risk factors in women with gestational diabetes. </w:t>
      </w:r>
      <w:r w:rsidRPr="00E07B1B">
        <w:rPr>
          <w:i/>
          <w:iCs/>
        </w:rPr>
        <w:t xml:space="preserve">Gynecological Endocrinology </w:t>
      </w:r>
      <w:r w:rsidRPr="00E07B1B">
        <w:rPr>
          <w:iCs/>
        </w:rPr>
        <w:t>27</w:t>
      </w:r>
      <w:r w:rsidRPr="00E07B1B">
        <w:t>(5):</w:t>
      </w:r>
      <w:r w:rsidR="00746F01">
        <w:t> </w:t>
      </w:r>
      <w:r w:rsidRPr="00E07B1B">
        <w:t>361</w:t>
      </w:r>
      <w:r>
        <w:t>–</w:t>
      </w:r>
      <w:r w:rsidRPr="00E07B1B">
        <w:t>7.</w:t>
      </w:r>
    </w:p>
    <w:p w:rsidR="0068074A" w:rsidRDefault="0025490C" w:rsidP="000A645D">
      <w:pPr>
        <w:pStyle w:val="References"/>
      </w:pPr>
      <w:r w:rsidRPr="00E07B1B">
        <w:t xml:space="preserve">Alberico S, Businelli C, Wiesenfeld U, </w:t>
      </w:r>
      <w:r w:rsidR="00D562F2">
        <w:t>et al</w:t>
      </w:r>
      <w:r w:rsidRPr="00E07B1B">
        <w:t xml:space="preserve">. 2010. Gestational diabetes and fetal growth acceleration: induction of labour versus expectant management. </w:t>
      </w:r>
      <w:r w:rsidRPr="00E07B1B">
        <w:rPr>
          <w:i/>
          <w:iCs/>
        </w:rPr>
        <w:t>Minerva Ginecol</w:t>
      </w:r>
      <w:r>
        <w:rPr>
          <w:i/>
          <w:iCs/>
        </w:rPr>
        <w:t>ogica</w:t>
      </w:r>
      <w:r w:rsidRPr="00E07B1B">
        <w:rPr>
          <w:i/>
          <w:iCs/>
        </w:rPr>
        <w:t xml:space="preserve"> </w:t>
      </w:r>
      <w:r w:rsidRPr="00E07B1B">
        <w:rPr>
          <w:iCs/>
        </w:rPr>
        <w:t>62</w:t>
      </w:r>
      <w:r w:rsidRPr="00E07B1B">
        <w:t>:</w:t>
      </w:r>
      <w:r>
        <w:t xml:space="preserve"> </w:t>
      </w:r>
      <w:r w:rsidRPr="00E07B1B">
        <w:t>533</w:t>
      </w:r>
      <w:r>
        <w:t>–</w:t>
      </w:r>
      <w:r w:rsidRPr="00E07B1B">
        <w:t>9.</w:t>
      </w:r>
    </w:p>
    <w:p w:rsidR="0068074A" w:rsidRDefault="0025490C" w:rsidP="000A645D">
      <w:pPr>
        <w:pStyle w:val="References"/>
      </w:pPr>
      <w:r w:rsidRPr="00E07B1B">
        <w:t>Aljohani N, Rempel BM, Ludwig S</w:t>
      </w:r>
      <w:r>
        <w:t>,</w:t>
      </w:r>
      <w:r w:rsidRPr="00E07B1B">
        <w:t xml:space="preserve"> </w:t>
      </w:r>
      <w:r w:rsidR="00D562F2">
        <w:t>et al</w:t>
      </w:r>
      <w:r w:rsidRPr="00E07B1B">
        <w:t xml:space="preserve">. 2008. Gestational diabetes in Manitoba during a </w:t>
      </w:r>
      <w:r w:rsidR="00746F01">
        <w:t>20</w:t>
      </w:r>
      <w:r w:rsidRPr="00E07B1B">
        <w:t xml:space="preserve">-year period. </w:t>
      </w:r>
      <w:r w:rsidRPr="00E07B1B">
        <w:rPr>
          <w:i/>
          <w:iCs/>
        </w:rPr>
        <w:t xml:space="preserve">Clinical &amp; Investigative Medicine </w:t>
      </w:r>
      <w:r w:rsidRPr="00E07B1B">
        <w:rPr>
          <w:iCs/>
        </w:rPr>
        <w:t>31</w:t>
      </w:r>
      <w:r w:rsidRPr="00E07B1B">
        <w:t>(3): E131</w:t>
      </w:r>
      <w:r>
        <w:t>–</w:t>
      </w:r>
      <w:r w:rsidRPr="00E07B1B">
        <w:t>7.</w:t>
      </w:r>
    </w:p>
    <w:p w:rsidR="0068074A" w:rsidRDefault="0025490C" w:rsidP="000A645D">
      <w:pPr>
        <w:pStyle w:val="References"/>
      </w:pPr>
      <w:r w:rsidRPr="00E07B1B">
        <w:t xml:space="preserve">Al-Kuwari MG, Al-Kubaisi BS. 2011. Prevalence and predictors of gestational diabetes in Qatar. </w:t>
      </w:r>
      <w:r w:rsidRPr="00E07B1B">
        <w:rPr>
          <w:i/>
          <w:iCs/>
        </w:rPr>
        <w:t xml:space="preserve">Diabetologia Croatica </w:t>
      </w:r>
      <w:r w:rsidRPr="00E07B1B">
        <w:rPr>
          <w:iCs/>
        </w:rPr>
        <w:t>40(3)</w:t>
      </w:r>
      <w:r w:rsidRPr="00E07B1B">
        <w:t>: 65</w:t>
      </w:r>
      <w:r>
        <w:t>–</w:t>
      </w:r>
      <w:r w:rsidRPr="00E07B1B">
        <w:t>70.</w:t>
      </w:r>
    </w:p>
    <w:p w:rsidR="0068074A" w:rsidRDefault="0025490C" w:rsidP="000A645D">
      <w:pPr>
        <w:pStyle w:val="References"/>
      </w:pPr>
      <w:r w:rsidRPr="00E07B1B">
        <w:t>Almario CV, Ecker T, Moroz LA,</w:t>
      </w:r>
      <w:r>
        <w:t xml:space="preserve"> </w:t>
      </w:r>
      <w:r w:rsidR="00D562F2">
        <w:t>et al</w:t>
      </w:r>
      <w:r w:rsidRPr="00E07B1B">
        <w:t xml:space="preserve">. 2008. Obstetricians seldom provide postpartum diabetes screening for women with gestational diabetes. </w:t>
      </w:r>
      <w:r w:rsidRPr="00E07B1B">
        <w:rPr>
          <w:i/>
          <w:iCs/>
        </w:rPr>
        <w:t xml:space="preserve">American Journal of Obstetrics &amp; Gynecology </w:t>
      </w:r>
      <w:r w:rsidRPr="00E07B1B">
        <w:rPr>
          <w:iCs/>
        </w:rPr>
        <w:t>198</w:t>
      </w:r>
      <w:r w:rsidRPr="00E07B1B">
        <w:t>(5): 528.e521</w:t>
      </w:r>
      <w:r>
        <w:t>–</w:t>
      </w:r>
      <w:r w:rsidRPr="00E07B1B">
        <w:t>25.</w:t>
      </w:r>
    </w:p>
    <w:p w:rsidR="0025490C" w:rsidRDefault="0025490C" w:rsidP="000A645D">
      <w:pPr>
        <w:pStyle w:val="References"/>
      </w:pPr>
      <w:r w:rsidRPr="00E07B1B">
        <w:t xml:space="preserve">Alwan N, Tuffnell DJ, West J, </w:t>
      </w:r>
      <w:r w:rsidR="00D562F2">
        <w:t>et al</w:t>
      </w:r>
      <w:r w:rsidRPr="00E07B1B">
        <w:t xml:space="preserve">. 2009 (in update, 2013). Treatments for gestational diabetes. </w:t>
      </w:r>
      <w:r w:rsidRPr="00E07B1B">
        <w:rPr>
          <w:i/>
          <w:iCs/>
        </w:rPr>
        <w:t xml:space="preserve">Cochrane Database of Systematic Reviews </w:t>
      </w:r>
      <w:r w:rsidRPr="00E07B1B">
        <w:t>(Issue 3).</w:t>
      </w:r>
      <w:r>
        <w:t xml:space="preserve"> </w:t>
      </w:r>
      <w:r w:rsidRPr="00E07B1B">
        <w:t>Art. no.: CD003395. DOI: 10.1002/14651858.CD003395.pub2</w:t>
      </w:r>
    </w:p>
    <w:p w:rsidR="0025490C" w:rsidRPr="00B226A6" w:rsidRDefault="0025490C" w:rsidP="000A645D">
      <w:pPr>
        <w:pStyle w:val="References"/>
      </w:pPr>
      <w:r w:rsidRPr="00B226A6">
        <w:rPr>
          <w:lang w:eastAsia="en-NZ"/>
        </w:rPr>
        <w:t xml:space="preserve">American College of </w:t>
      </w:r>
      <w:r>
        <w:rPr>
          <w:lang w:eastAsia="en-NZ"/>
        </w:rPr>
        <w:t xml:space="preserve">Obstetricians and Gynecologists. </w:t>
      </w:r>
      <w:r w:rsidRPr="00B226A6">
        <w:rPr>
          <w:lang w:eastAsia="en-NZ"/>
        </w:rPr>
        <w:t xml:space="preserve">2001. </w:t>
      </w:r>
      <w:r w:rsidRPr="00746F01">
        <w:rPr>
          <w:i/>
          <w:lang w:eastAsia="en-NZ"/>
        </w:rPr>
        <w:t>Gestational Diabetes: Practice Bulletin Number 30</w:t>
      </w:r>
      <w:r w:rsidRPr="00B226A6">
        <w:rPr>
          <w:lang w:eastAsia="en-NZ"/>
        </w:rPr>
        <w:t>. Washington DC</w:t>
      </w:r>
      <w:r w:rsidR="00746F01">
        <w:rPr>
          <w:lang w:eastAsia="en-NZ"/>
        </w:rPr>
        <w:t>:</w:t>
      </w:r>
      <w:r w:rsidRPr="00B226A6">
        <w:rPr>
          <w:lang w:eastAsia="en-NZ"/>
        </w:rPr>
        <w:t xml:space="preserve"> American College of Obstetricians and Gynecologists.</w:t>
      </w:r>
    </w:p>
    <w:p w:rsidR="0025490C" w:rsidRPr="00E07B1B" w:rsidRDefault="0025490C" w:rsidP="000A645D">
      <w:pPr>
        <w:pStyle w:val="References"/>
      </w:pPr>
      <w:r w:rsidRPr="00E07B1B">
        <w:t xml:space="preserve">American College of Obstetricians and Gynecologists. 2009. Postpartum screening for abnormal glucose tolerance in women who had gestational diabetes: ACOG Committee Opinion No. 435. </w:t>
      </w:r>
      <w:r w:rsidRPr="00E07B1B">
        <w:rPr>
          <w:i/>
          <w:iCs/>
        </w:rPr>
        <w:t xml:space="preserve">Obstetrics and Gynecology </w:t>
      </w:r>
      <w:r w:rsidRPr="00E07B1B">
        <w:rPr>
          <w:iCs/>
        </w:rPr>
        <w:t>113</w:t>
      </w:r>
      <w:r w:rsidRPr="00E07B1B">
        <w:t>: 1419</w:t>
      </w:r>
      <w:r>
        <w:t>–</w:t>
      </w:r>
      <w:r w:rsidRPr="00E07B1B">
        <w:t>21.</w:t>
      </w:r>
    </w:p>
    <w:p w:rsidR="0025490C" w:rsidRPr="00E07B1B" w:rsidRDefault="0025490C" w:rsidP="000A645D">
      <w:pPr>
        <w:pStyle w:val="References"/>
      </w:pPr>
      <w:r w:rsidRPr="00E07B1B">
        <w:t xml:space="preserve">American College of Obstetricians and Gynecologists. 2013. </w:t>
      </w:r>
      <w:r w:rsidRPr="00E07B1B">
        <w:rPr>
          <w:i/>
          <w:iCs/>
        </w:rPr>
        <w:t xml:space="preserve">Gestational Diabetes Mellitus: </w:t>
      </w:r>
      <w:r w:rsidRPr="00E07B1B">
        <w:rPr>
          <w:iCs/>
        </w:rPr>
        <w:t>Practice Bulletin Number 137</w:t>
      </w:r>
      <w:r w:rsidRPr="00E07B1B">
        <w:t xml:space="preserve">. </w:t>
      </w:r>
      <w:r w:rsidRPr="00E07B1B">
        <w:rPr>
          <w:i/>
        </w:rPr>
        <w:t>Obstetrics and Gynecology</w:t>
      </w:r>
      <w:r w:rsidRPr="00E07B1B">
        <w:t xml:space="preserve"> 122 (2, part 1): 406</w:t>
      </w:r>
      <w:r>
        <w:t>–</w:t>
      </w:r>
      <w:r w:rsidRPr="00E07B1B">
        <w:t>16</w:t>
      </w:r>
      <w:r>
        <w:t>.</w:t>
      </w:r>
    </w:p>
    <w:p w:rsidR="0025490C" w:rsidRPr="00E07B1B" w:rsidRDefault="0025490C" w:rsidP="000A645D">
      <w:pPr>
        <w:pStyle w:val="References"/>
      </w:pPr>
      <w:r w:rsidRPr="00E07B1B">
        <w:t xml:space="preserve">American Diabetes Association. 2004. Gestational </w:t>
      </w:r>
      <w:r>
        <w:t>d</w:t>
      </w:r>
      <w:r w:rsidRPr="00E07B1B">
        <w:t xml:space="preserve">iabetes </w:t>
      </w:r>
      <w:r>
        <w:t>m</w:t>
      </w:r>
      <w:r w:rsidRPr="00E07B1B">
        <w:t xml:space="preserve">ellitus. </w:t>
      </w:r>
      <w:r w:rsidRPr="00E07B1B">
        <w:rPr>
          <w:i/>
          <w:iCs/>
        </w:rPr>
        <w:t xml:space="preserve">Diabetes Care </w:t>
      </w:r>
      <w:r w:rsidRPr="00E07B1B">
        <w:rPr>
          <w:iCs/>
        </w:rPr>
        <w:t>27</w:t>
      </w:r>
      <w:r w:rsidRPr="00E07B1B">
        <w:rPr>
          <w:i/>
          <w:iCs/>
        </w:rPr>
        <w:t xml:space="preserve"> </w:t>
      </w:r>
      <w:r w:rsidRPr="00E07B1B">
        <w:t>(Suppl 1)</w:t>
      </w:r>
      <w:r w:rsidR="00746F01">
        <w:t>:</w:t>
      </w:r>
      <w:r w:rsidRPr="00E07B1B">
        <w:t xml:space="preserve"> S88</w:t>
      </w:r>
      <w:r>
        <w:t>–</w:t>
      </w:r>
      <w:r w:rsidRPr="00E07B1B">
        <w:t>90.</w:t>
      </w:r>
    </w:p>
    <w:p w:rsidR="0068074A" w:rsidRDefault="0025490C" w:rsidP="000A645D">
      <w:pPr>
        <w:pStyle w:val="References"/>
      </w:pPr>
      <w:r w:rsidRPr="00E07B1B">
        <w:t>American Diabetes Association.</w:t>
      </w:r>
      <w:r>
        <w:t xml:space="preserve"> </w:t>
      </w:r>
      <w:r w:rsidRPr="00E07B1B">
        <w:t xml:space="preserve">2011. Diagnosis and classification of diabetes mellitus. </w:t>
      </w:r>
      <w:r w:rsidRPr="00E07B1B">
        <w:rPr>
          <w:i/>
          <w:iCs/>
        </w:rPr>
        <w:t xml:space="preserve">Diabetes Care </w:t>
      </w:r>
      <w:r w:rsidRPr="00E07B1B">
        <w:rPr>
          <w:iCs/>
        </w:rPr>
        <w:t xml:space="preserve">34: </w:t>
      </w:r>
      <w:r w:rsidRPr="00E07B1B">
        <w:t>S62</w:t>
      </w:r>
      <w:r>
        <w:t>–</w:t>
      </w:r>
      <w:r w:rsidRPr="00E07B1B">
        <w:t>9.</w:t>
      </w:r>
    </w:p>
    <w:p w:rsidR="0025490C" w:rsidRPr="00E07B1B" w:rsidRDefault="0025490C" w:rsidP="000A645D">
      <w:pPr>
        <w:pStyle w:val="References"/>
      </w:pPr>
      <w:r w:rsidRPr="00E07B1B">
        <w:t>American Diabetes A</w:t>
      </w:r>
      <w:r>
        <w:t>ssociation. 2012. Standards of medical c</w:t>
      </w:r>
      <w:r w:rsidRPr="00E07B1B">
        <w:t xml:space="preserve">are </w:t>
      </w:r>
      <w:r>
        <w:t>–</w:t>
      </w:r>
      <w:r w:rsidRPr="00E07B1B">
        <w:t xml:space="preserve"> 2012. </w:t>
      </w:r>
      <w:r w:rsidRPr="00E07B1B">
        <w:rPr>
          <w:i/>
          <w:iCs/>
        </w:rPr>
        <w:t>Diabetes Care</w:t>
      </w:r>
      <w:r w:rsidRPr="00A70429">
        <w:rPr>
          <w:iCs/>
        </w:rPr>
        <w:t xml:space="preserve"> 35</w:t>
      </w:r>
      <w:r w:rsidRPr="00113D10">
        <w:t>(</w:t>
      </w:r>
      <w:r w:rsidRPr="00E07B1B">
        <w:t>Supplement 1)</w:t>
      </w:r>
      <w:r>
        <w:t>: S11–</w:t>
      </w:r>
      <w:r w:rsidRPr="00E07B1B">
        <w:t>63.</w:t>
      </w:r>
    </w:p>
    <w:p w:rsidR="0025490C" w:rsidRPr="00E07B1B" w:rsidRDefault="0025490C" w:rsidP="000A645D">
      <w:pPr>
        <w:pStyle w:val="References"/>
      </w:pPr>
      <w:r w:rsidRPr="00E07B1B">
        <w:t xml:space="preserve">American Diabetes Association. 2013. Standards of </w:t>
      </w:r>
      <w:r>
        <w:t>m</w:t>
      </w:r>
      <w:r w:rsidRPr="00E07B1B">
        <w:t xml:space="preserve">edical </w:t>
      </w:r>
      <w:r>
        <w:t>c</w:t>
      </w:r>
      <w:r w:rsidRPr="00E07B1B">
        <w:t xml:space="preserve">are in </w:t>
      </w:r>
      <w:r>
        <w:t>d</w:t>
      </w:r>
      <w:r w:rsidRPr="00E07B1B">
        <w:t xml:space="preserve">iabetes </w:t>
      </w:r>
      <w:r>
        <w:t>–</w:t>
      </w:r>
      <w:r w:rsidRPr="00E07B1B">
        <w:t xml:space="preserve"> 2013. </w:t>
      </w:r>
      <w:r w:rsidRPr="00E07B1B">
        <w:rPr>
          <w:i/>
          <w:iCs/>
        </w:rPr>
        <w:t xml:space="preserve">Diabetes Care </w:t>
      </w:r>
      <w:r w:rsidRPr="00E07B1B">
        <w:rPr>
          <w:iCs/>
        </w:rPr>
        <w:t>36</w:t>
      </w:r>
      <w:r w:rsidRPr="00E07B1B">
        <w:t>(Suppl 1): S11</w:t>
      </w:r>
      <w:r>
        <w:t>–</w:t>
      </w:r>
      <w:r w:rsidRPr="00E07B1B">
        <w:t>66.</w:t>
      </w:r>
    </w:p>
    <w:p w:rsidR="0068074A" w:rsidRDefault="0025490C" w:rsidP="000A645D">
      <w:pPr>
        <w:pStyle w:val="References"/>
      </w:pPr>
      <w:r w:rsidRPr="00E07B1B">
        <w:t xml:space="preserve">American Dietetic Association. 2008. </w:t>
      </w:r>
      <w:r w:rsidRPr="00E07B1B">
        <w:rPr>
          <w:i/>
          <w:iCs/>
        </w:rPr>
        <w:t>Gestational Diabetes Mellitus: Evidence</w:t>
      </w:r>
      <w:r w:rsidR="00746F01">
        <w:rPr>
          <w:i/>
          <w:iCs/>
        </w:rPr>
        <w:t>-</w:t>
      </w:r>
      <w:r>
        <w:rPr>
          <w:i/>
          <w:iCs/>
        </w:rPr>
        <w:t>b</w:t>
      </w:r>
      <w:r w:rsidRPr="00E07B1B">
        <w:rPr>
          <w:i/>
          <w:iCs/>
        </w:rPr>
        <w:t xml:space="preserve">ased </w:t>
      </w:r>
      <w:r>
        <w:rPr>
          <w:i/>
          <w:iCs/>
        </w:rPr>
        <w:t>n</w:t>
      </w:r>
      <w:r w:rsidRPr="00E07B1B">
        <w:rPr>
          <w:i/>
          <w:iCs/>
        </w:rPr>
        <w:t xml:space="preserve">utrition </w:t>
      </w:r>
      <w:r>
        <w:rPr>
          <w:i/>
          <w:iCs/>
        </w:rPr>
        <w:t>p</w:t>
      </w:r>
      <w:r w:rsidRPr="00E07B1B">
        <w:rPr>
          <w:i/>
          <w:iCs/>
        </w:rPr>
        <w:t xml:space="preserve">ractice </w:t>
      </w:r>
      <w:r>
        <w:rPr>
          <w:i/>
          <w:iCs/>
        </w:rPr>
        <w:t>g</w:t>
      </w:r>
      <w:r w:rsidRPr="00E07B1B">
        <w:rPr>
          <w:i/>
          <w:iCs/>
        </w:rPr>
        <w:t>uideline</w:t>
      </w:r>
      <w:r w:rsidRPr="00E07B1B">
        <w:t>. Chicago: Illinois: American Dietetic Association.</w:t>
      </w:r>
    </w:p>
    <w:p w:rsidR="0025490C" w:rsidRPr="00E07B1B" w:rsidRDefault="0025490C" w:rsidP="000A645D">
      <w:pPr>
        <w:pStyle w:val="References"/>
      </w:pPr>
      <w:r w:rsidRPr="00E07B1B">
        <w:t xml:space="preserve">Auckland District Health Board. 2012. </w:t>
      </w:r>
      <w:r w:rsidRPr="00E07B1B">
        <w:rPr>
          <w:i/>
          <w:iCs/>
        </w:rPr>
        <w:t>National Women</w:t>
      </w:r>
      <w:r w:rsidR="0068074A">
        <w:rPr>
          <w:i/>
          <w:iCs/>
        </w:rPr>
        <w:t>’</w:t>
      </w:r>
      <w:r w:rsidRPr="00E07B1B">
        <w:rPr>
          <w:i/>
          <w:iCs/>
        </w:rPr>
        <w:t>s Annual Clinical Report 2011</w:t>
      </w:r>
      <w:r w:rsidRPr="00E07B1B">
        <w:t>. Auckland</w:t>
      </w:r>
      <w:r>
        <w:t>: Auckland District Health Board</w:t>
      </w:r>
      <w:r w:rsidRPr="00E07B1B">
        <w:t>.</w:t>
      </w:r>
    </w:p>
    <w:p w:rsidR="0025490C" w:rsidRPr="00E07B1B" w:rsidRDefault="0025490C" w:rsidP="000A645D">
      <w:pPr>
        <w:pStyle w:val="References"/>
      </w:pPr>
      <w:r w:rsidRPr="00E07B1B">
        <w:rPr>
          <w:rFonts w:eastAsia="MS Mincho"/>
          <w:noProof/>
        </w:rPr>
        <w:t>Australian Health Ministers</w:t>
      </w:r>
      <w:r w:rsidR="0068074A">
        <w:rPr>
          <w:rFonts w:eastAsia="MS Mincho"/>
          <w:noProof/>
        </w:rPr>
        <w:t>’</w:t>
      </w:r>
      <w:r w:rsidRPr="00E07B1B">
        <w:rPr>
          <w:rFonts w:eastAsia="MS Mincho"/>
          <w:noProof/>
        </w:rPr>
        <w:t xml:space="preserve"> Advisory Council. 2012. </w:t>
      </w:r>
      <w:r w:rsidRPr="00746F01">
        <w:rPr>
          <w:rFonts w:eastAsia="MS Mincho"/>
          <w:i/>
        </w:rPr>
        <w:t>Clinical Practice Guidelines, Antenatal Care – Module 1</w:t>
      </w:r>
      <w:r w:rsidRPr="00E07B1B">
        <w:rPr>
          <w:rFonts w:eastAsia="MS Mincho"/>
        </w:rPr>
        <w:t>.</w:t>
      </w:r>
    </w:p>
    <w:p w:rsidR="0025490C" w:rsidRPr="00E07B1B" w:rsidRDefault="0025490C" w:rsidP="000A645D">
      <w:pPr>
        <w:pStyle w:val="References"/>
      </w:pPr>
      <w:r w:rsidRPr="00E07B1B">
        <w:t>Bandyopadhyay</w:t>
      </w:r>
      <w:r>
        <w:t xml:space="preserve"> </w:t>
      </w:r>
      <w:r w:rsidRPr="00E07B1B">
        <w:t xml:space="preserve">M, Small R, Davey MA, </w:t>
      </w:r>
      <w:r w:rsidR="00D562F2">
        <w:t>et al</w:t>
      </w:r>
      <w:r w:rsidRPr="00E07B1B">
        <w:t>. 2011. Lived experience of gestational diabetes mellitus among immigrant South Asian women in Australia.</w:t>
      </w:r>
      <w:r w:rsidRPr="00E07B1B">
        <w:rPr>
          <w:i/>
          <w:iCs/>
        </w:rPr>
        <w:t xml:space="preserve"> Australian </w:t>
      </w:r>
      <w:r>
        <w:rPr>
          <w:i/>
          <w:iCs/>
        </w:rPr>
        <w:t>and</w:t>
      </w:r>
      <w:r w:rsidRPr="00E07B1B">
        <w:rPr>
          <w:i/>
          <w:iCs/>
        </w:rPr>
        <w:t xml:space="preserve"> New Zealand Journal of Obstetrics </w:t>
      </w:r>
      <w:r>
        <w:rPr>
          <w:i/>
          <w:iCs/>
        </w:rPr>
        <w:t>and</w:t>
      </w:r>
      <w:r w:rsidRPr="00E07B1B">
        <w:rPr>
          <w:i/>
          <w:iCs/>
        </w:rPr>
        <w:t xml:space="preserve"> Gynaecology </w:t>
      </w:r>
      <w:r w:rsidRPr="00E07B1B">
        <w:rPr>
          <w:iCs/>
        </w:rPr>
        <w:t>51</w:t>
      </w:r>
      <w:r w:rsidRPr="00E07B1B">
        <w:t>(4): 360</w:t>
      </w:r>
      <w:r>
        <w:t>–</w:t>
      </w:r>
      <w:r w:rsidRPr="00E07B1B">
        <w:t>4. DOI:</w:t>
      </w:r>
      <w:r>
        <w:t xml:space="preserve"> </w:t>
      </w:r>
      <w:r w:rsidRPr="00E07B1B">
        <w:t>org/10.1111/j.1479-828X.2011.01322.x</w:t>
      </w:r>
    </w:p>
    <w:p w:rsidR="0025490C" w:rsidRPr="00E07B1B" w:rsidRDefault="0025490C" w:rsidP="000A645D">
      <w:pPr>
        <w:pStyle w:val="References"/>
      </w:pPr>
      <w:r w:rsidRPr="00E07B1B">
        <w:t xml:space="preserve">Banerjee S, Ghosh US, Banerjee D. 2004. Effect of tight glycaemic control on fetal complications in diabetic pregnancies. </w:t>
      </w:r>
      <w:r w:rsidRPr="00E07B1B">
        <w:rPr>
          <w:i/>
          <w:iCs/>
        </w:rPr>
        <w:t xml:space="preserve">Journal of the Association of Physicians of India </w:t>
      </w:r>
      <w:r w:rsidRPr="00E07B1B">
        <w:rPr>
          <w:iCs/>
        </w:rPr>
        <w:t>52</w:t>
      </w:r>
      <w:r w:rsidRPr="00E07B1B">
        <w:t>:</w:t>
      </w:r>
      <w:r>
        <w:t xml:space="preserve"> </w:t>
      </w:r>
      <w:r w:rsidRPr="00E07B1B">
        <w:t>109</w:t>
      </w:r>
      <w:r>
        <w:t>–</w:t>
      </w:r>
      <w:r w:rsidRPr="00E07B1B">
        <w:t>13.</w:t>
      </w:r>
    </w:p>
    <w:p w:rsidR="0025490C" w:rsidRDefault="0025490C" w:rsidP="000A645D">
      <w:pPr>
        <w:pStyle w:val="References"/>
      </w:pPr>
      <w:r w:rsidRPr="00E07B1B">
        <w:t>Barakat R, Pelaez M, Lopez C</w:t>
      </w:r>
      <w:r>
        <w:t>,</w:t>
      </w:r>
      <w:r w:rsidRPr="00E07B1B">
        <w:t xml:space="preserve"> </w:t>
      </w:r>
      <w:r w:rsidR="00D562F2">
        <w:t>et al</w:t>
      </w:r>
      <w:r w:rsidRPr="00E07B1B">
        <w:t xml:space="preserve">. 2013. Exercise during pregnancy and gestational diabetes-related adverse effects: a randomised controlled trial. </w:t>
      </w:r>
      <w:r w:rsidRPr="00E07B1B">
        <w:rPr>
          <w:i/>
          <w:iCs/>
        </w:rPr>
        <w:t>British Journal of Sports Medicine</w:t>
      </w:r>
      <w:r w:rsidRPr="00E07B1B">
        <w:t>. DOI:</w:t>
      </w:r>
      <w:r w:rsidR="00746F01">
        <w:t> </w:t>
      </w:r>
      <w:r w:rsidRPr="00E07B1B">
        <w:t>10.1136/bjsports-2012-091788</w:t>
      </w:r>
      <w:r>
        <w:t>.</w:t>
      </w:r>
    </w:p>
    <w:p w:rsidR="0025490C" w:rsidRPr="009B1B22" w:rsidRDefault="0025490C" w:rsidP="000A645D">
      <w:pPr>
        <w:pStyle w:val="References"/>
      </w:pPr>
      <w:r>
        <w:rPr>
          <w:lang w:eastAsia="en-NZ"/>
        </w:rPr>
        <w:t xml:space="preserve">Bartha JL, </w:t>
      </w:r>
      <w:r w:rsidRPr="009B1B22">
        <w:rPr>
          <w:lang w:eastAsia="en-NZ"/>
        </w:rPr>
        <w:t>Martinez-Del-Fresno</w:t>
      </w:r>
      <w:r>
        <w:rPr>
          <w:lang w:eastAsia="en-NZ"/>
        </w:rPr>
        <w:t xml:space="preserve"> P</w:t>
      </w:r>
      <w:r w:rsidR="00746F01">
        <w:rPr>
          <w:lang w:eastAsia="en-NZ"/>
        </w:rPr>
        <w:t>,</w:t>
      </w:r>
      <w:r w:rsidRPr="009B1B22">
        <w:rPr>
          <w:lang w:eastAsia="en-NZ"/>
        </w:rPr>
        <w:t xml:space="preserve"> Comino-Delgado</w:t>
      </w:r>
      <w:r>
        <w:rPr>
          <w:lang w:eastAsia="en-NZ"/>
        </w:rPr>
        <w:t xml:space="preserve"> R</w:t>
      </w:r>
      <w:r w:rsidR="00746F01">
        <w:rPr>
          <w:lang w:eastAsia="en-NZ"/>
        </w:rPr>
        <w:t>.</w:t>
      </w:r>
      <w:r w:rsidRPr="009B1B22">
        <w:rPr>
          <w:lang w:eastAsia="en-NZ"/>
        </w:rPr>
        <w:t xml:space="preserve"> </w:t>
      </w:r>
      <w:r>
        <w:rPr>
          <w:lang w:eastAsia="en-NZ"/>
        </w:rPr>
        <w:t xml:space="preserve">2003. </w:t>
      </w:r>
      <w:r w:rsidRPr="009B1B22">
        <w:rPr>
          <w:lang w:eastAsia="en-NZ"/>
        </w:rPr>
        <w:t xml:space="preserve">Early diagnosis of gestational diabetes mellitus and prevention of </w:t>
      </w:r>
      <w:r>
        <w:rPr>
          <w:lang w:eastAsia="en-NZ"/>
        </w:rPr>
        <w:t>diabetes-related complications</w:t>
      </w:r>
      <w:r w:rsidRPr="009B1B22">
        <w:rPr>
          <w:i/>
          <w:lang w:eastAsia="en-NZ"/>
        </w:rPr>
        <w:t>. European Journal of Obstetrics and Gynecology and Reproductive Biology</w:t>
      </w:r>
      <w:r>
        <w:rPr>
          <w:lang w:eastAsia="en-NZ"/>
        </w:rPr>
        <w:t xml:space="preserve"> </w:t>
      </w:r>
      <w:r w:rsidRPr="009B1B22">
        <w:rPr>
          <w:bCs/>
          <w:lang w:eastAsia="en-NZ"/>
        </w:rPr>
        <w:t>109</w:t>
      </w:r>
      <w:r w:rsidRPr="009B1B22">
        <w:rPr>
          <w:lang w:eastAsia="en-NZ"/>
        </w:rPr>
        <w:t>: 41</w:t>
      </w:r>
      <w:r w:rsidR="00746F01">
        <w:rPr>
          <w:lang w:eastAsia="en-NZ"/>
        </w:rPr>
        <w:t>–</w:t>
      </w:r>
      <w:r w:rsidRPr="009B1B22">
        <w:rPr>
          <w:lang w:eastAsia="en-NZ"/>
        </w:rPr>
        <w:t>4.</w:t>
      </w:r>
    </w:p>
    <w:p w:rsidR="0068074A" w:rsidRDefault="0025490C" w:rsidP="000A645D">
      <w:pPr>
        <w:pStyle w:val="References"/>
      </w:pPr>
      <w:r w:rsidRPr="00E07B1B">
        <w:t>Bellamy</w:t>
      </w:r>
      <w:r>
        <w:t xml:space="preserve"> </w:t>
      </w:r>
      <w:r w:rsidRPr="00E07B1B">
        <w:t>L, Casas J-P, Hingorani</w:t>
      </w:r>
      <w:r>
        <w:t xml:space="preserve"> </w:t>
      </w:r>
      <w:r w:rsidRPr="00E07B1B">
        <w:t xml:space="preserve">AD, </w:t>
      </w:r>
      <w:r w:rsidR="00D562F2">
        <w:t>et al</w:t>
      </w:r>
      <w:r w:rsidRPr="00E07B1B">
        <w:t xml:space="preserve">. 2009. Type 2 diabetes mellitus after gestational diabetes: a systematic review and meta-analysis. </w:t>
      </w:r>
      <w:r w:rsidRPr="00E07B1B">
        <w:rPr>
          <w:i/>
          <w:iCs/>
        </w:rPr>
        <w:t xml:space="preserve">Lancet </w:t>
      </w:r>
      <w:r w:rsidRPr="00E07B1B">
        <w:rPr>
          <w:iCs/>
        </w:rPr>
        <w:t>373</w:t>
      </w:r>
      <w:r w:rsidRPr="00E07B1B">
        <w:t>(9677): 1773</w:t>
      </w:r>
      <w:r>
        <w:t>–</w:t>
      </w:r>
      <w:r w:rsidRPr="00E07B1B">
        <w:t>9.</w:t>
      </w:r>
    </w:p>
    <w:p w:rsidR="0025490C" w:rsidRPr="00E07B1B" w:rsidRDefault="0025490C" w:rsidP="000A645D">
      <w:pPr>
        <w:pStyle w:val="References"/>
      </w:pPr>
      <w:r w:rsidRPr="00E07B1B">
        <w:t xml:space="preserve">Benhalima K, Hanssens M, Devlieger R, </w:t>
      </w:r>
      <w:r w:rsidR="00D562F2">
        <w:t>et al</w:t>
      </w:r>
      <w:r w:rsidRPr="00E07B1B">
        <w:t xml:space="preserve">. 2013. Analysis of pregnancy outcomes using the new IADPSG recommendation compared with the Carpenter and Coustan criteria in an area with a low prevalence of gestational diabetes. </w:t>
      </w:r>
      <w:r w:rsidRPr="00E07B1B">
        <w:rPr>
          <w:i/>
          <w:iCs/>
        </w:rPr>
        <w:t>International Journal of Endocrinology Print</w:t>
      </w:r>
      <w:r>
        <w:rPr>
          <w:iCs/>
        </w:rPr>
        <w:t xml:space="preserve">. Art. no. </w:t>
      </w:r>
      <w:r w:rsidRPr="00A70429">
        <w:rPr>
          <w:iCs/>
        </w:rPr>
        <w:t>248121</w:t>
      </w:r>
      <w:r w:rsidRPr="00E07B1B">
        <w:t>. DOI:</w:t>
      </w:r>
      <w:r>
        <w:t xml:space="preserve"> </w:t>
      </w:r>
      <w:r w:rsidRPr="00E07B1B">
        <w:t>http://dx.doi.org/10.1155/2013/248121</w:t>
      </w:r>
      <w:r w:rsidR="00746F01">
        <w:t>.</w:t>
      </w:r>
    </w:p>
    <w:p w:rsidR="0025490C" w:rsidRPr="00E07B1B" w:rsidRDefault="0025490C" w:rsidP="000A645D">
      <w:pPr>
        <w:pStyle w:val="References"/>
      </w:pPr>
      <w:r w:rsidRPr="00E07B1B">
        <w:t xml:space="preserve">Bennett WL, Ennen CS, Carrese JA, </w:t>
      </w:r>
      <w:r w:rsidR="00D562F2">
        <w:t>et al</w:t>
      </w:r>
      <w:r w:rsidRPr="00E07B1B">
        <w:t xml:space="preserve">. 2011. Barriers to and facilitators of postpartum follow-up care in women with recent gestational diabetes mellitus: a qualitative study. </w:t>
      </w:r>
      <w:r w:rsidRPr="00E07B1B">
        <w:rPr>
          <w:i/>
          <w:iCs/>
        </w:rPr>
        <w:t>Journal of Women</w:t>
      </w:r>
      <w:r w:rsidR="0068074A">
        <w:rPr>
          <w:i/>
          <w:iCs/>
        </w:rPr>
        <w:t>’</w:t>
      </w:r>
      <w:r w:rsidRPr="00E07B1B">
        <w:rPr>
          <w:i/>
          <w:iCs/>
        </w:rPr>
        <w:t xml:space="preserve">s Health </w:t>
      </w:r>
      <w:r w:rsidRPr="00E07B1B">
        <w:rPr>
          <w:iCs/>
        </w:rPr>
        <w:t>20</w:t>
      </w:r>
      <w:r w:rsidRPr="00E07B1B">
        <w:t>(2): 239</w:t>
      </w:r>
      <w:r>
        <w:t>–</w:t>
      </w:r>
      <w:r w:rsidRPr="00E07B1B">
        <w:t>45.</w:t>
      </w:r>
    </w:p>
    <w:p w:rsidR="0068074A" w:rsidRDefault="0025490C" w:rsidP="000A645D">
      <w:pPr>
        <w:pStyle w:val="References"/>
      </w:pPr>
      <w:r w:rsidRPr="00E07B1B">
        <w:t xml:space="preserve">Berggren EK, Boggess K, Steube A, </w:t>
      </w:r>
      <w:r w:rsidR="00D562F2">
        <w:t>et al</w:t>
      </w:r>
      <w:r w:rsidRPr="00E07B1B">
        <w:t>. 2011. National Diabetes Data Group vs Carpenter</w:t>
      </w:r>
      <w:r w:rsidR="00746F01">
        <w:t>–</w:t>
      </w:r>
      <w:r w:rsidRPr="00E07B1B">
        <w:t xml:space="preserve">Coustan criteria to diagnose gestational diabetes. </w:t>
      </w:r>
      <w:r w:rsidRPr="00E07B1B">
        <w:rPr>
          <w:i/>
          <w:iCs/>
        </w:rPr>
        <w:t xml:space="preserve">American Journal of Obstetrics &amp; Gynecology </w:t>
      </w:r>
      <w:r w:rsidRPr="00E07B1B">
        <w:rPr>
          <w:iCs/>
        </w:rPr>
        <w:t>205</w:t>
      </w:r>
      <w:r w:rsidRPr="00E07B1B">
        <w:t>(3):</w:t>
      </w:r>
      <w:r w:rsidR="00746F01">
        <w:t> </w:t>
      </w:r>
      <w:r w:rsidRPr="00E07B1B">
        <w:t>253.e251</w:t>
      </w:r>
      <w:r>
        <w:t>–</w:t>
      </w:r>
      <w:r w:rsidRPr="00E07B1B">
        <w:t>57.</w:t>
      </w:r>
    </w:p>
    <w:p w:rsidR="0068074A" w:rsidRDefault="0025490C" w:rsidP="000A645D">
      <w:pPr>
        <w:pStyle w:val="References"/>
      </w:pPr>
      <w:r w:rsidRPr="00E07B1B">
        <w:t xml:space="preserve">Bhat M, Ramesha KN, Sarma SP, </w:t>
      </w:r>
      <w:r w:rsidR="00D562F2">
        <w:t>et al</w:t>
      </w:r>
      <w:r w:rsidRPr="00E07B1B">
        <w:t xml:space="preserve">. 2010. Determinants of gestational diabetes mellitus: </w:t>
      </w:r>
      <w:r>
        <w:t>a</w:t>
      </w:r>
      <w:r w:rsidRPr="00E07B1B">
        <w:t xml:space="preserve"> case control study in a district tertiary care hospital in south India. </w:t>
      </w:r>
      <w:r w:rsidRPr="00E07B1B">
        <w:rPr>
          <w:i/>
          <w:iCs/>
        </w:rPr>
        <w:t xml:space="preserve">International Journal of Diabetes </w:t>
      </w:r>
      <w:r>
        <w:rPr>
          <w:i/>
          <w:iCs/>
        </w:rPr>
        <w:t>i</w:t>
      </w:r>
      <w:r w:rsidRPr="00E07B1B">
        <w:rPr>
          <w:i/>
          <w:iCs/>
        </w:rPr>
        <w:t xml:space="preserve">n Developing Countries </w:t>
      </w:r>
      <w:r w:rsidRPr="00E07B1B">
        <w:rPr>
          <w:iCs/>
        </w:rPr>
        <w:t>30</w:t>
      </w:r>
      <w:r w:rsidRPr="00E07B1B">
        <w:t>(2): 91</w:t>
      </w:r>
      <w:r>
        <w:t>–</w:t>
      </w:r>
      <w:r w:rsidRPr="00E07B1B">
        <w:t>6.</w:t>
      </w:r>
    </w:p>
    <w:p w:rsidR="0068074A" w:rsidRDefault="0025490C" w:rsidP="000A645D">
      <w:pPr>
        <w:pStyle w:val="References"/>
      </w:pPr>
      <w:r w:rsidRPr="00E07B1B">
        <w:t>Blatt</w:t>
      </w:r>
      <w:r>
        <w:t xml:space="preserve"> </w:t>
      </w:r>
      <w:r w:rsidRPr="00E07B1B">
        <w:t xml:space="preserve">AJ, Nakamoto J, Kaufman H. 2011. Gaps in diabetes screening during pregnancy and post-partum. </w:t>
      </w:r>
      <w:r w:rsidRPr="00E07B1B">
        <w:rPr>
          <w:i/>
          <w:iCs/>
        </w:rPr>
        <w:t>Obstet</w:t>
      </w:r>
      <w:r>
        <w:rPr>
          <w:i/>
          <w:iCs/>
        </w:rPr>
        <w:t>rics &amp;</w:t>
      </w:r>
      <w:r w:rsidRPr="00E07B1B">
        <w:rPr>
          <w:i/>
          <w:iCs/>
        </w:rPr>
        <w:t xml:space="preserve"> Gynecol</w:t>
      </w:r>
      <w:r>
        <w:rPr>
          <w:i/>
          <w:iCs/>
        </w:rPr>
        <w:t>ogy</w:t>
      </w:r>
      <w:r w:rsidRPr="00E07B1B">
        <w:rPr>
          <w:i/>
          <w:iCs/>
        </w:rPr>
        <w:t xml:space="preserve"> </w:t>
      </w:r>
      <w:r w:rsidRPr="00E07B1B">
        <w:rPr>
          <w:iCs/>
        </w:rPr>
        <w:t>117</w:t>
      </w:r>
      <w:r w:rsidRPr="00E07B1B">
        <w:t>: 61</w:t>
      </w:r>
      <w:r>
        <w:t>–</w:t>
      </w:r>
      <w:r w:rsidRPr="00E07B1B">
        <w:t>8.</w:t>
      </w:r>
    </w:p>
    <w:p w:rsidR="0068074A" w:rsidRDefault="0025490C" w:rsidP="000A645D">
      <w:pPr>
        <w:pStyle w:val="References"/>
      </w:pPr>
      <w:r w:rsidRPr="00E07B1B">
        <w:t xml:space="preserve">Blonde L, Braithwaite S, Brett E, </w:t>
      </w:r>
      <w:r w:rsidR="00D562F2">
        <w:t>et al</w:t>
      </w:r>
      <w:r w:rsidRPr="00E07B1B">
        <w:t xml:space="preserve">. 2007. American Association of Clinical Endocrinologists Medical Guidelines for Clinical Practice for the Management of Diabetes Mellitus. </w:t>
      </w:r>
      <w:r w:rsidRPr="00E07B1B">
        <w:rPr>
          <w:i/>
          <w:iCs/>
        </w:rPr>
        <w:t xml:space="preserve">Endocrine Practice </w:t>
      </w:r>
      <w:r w:rsidRPr="00E07B1B">
        <w:rPr>
          <w:iCs/>
        </w:rPr>
        <w:t>13</w:t>
      </w:r>
      <w:r w:rsidRPr="00E07B1B">
        <w:t>(suppl 1).</w:t>
      </w:r>
    </w:p>
    <w:p w:rsidR="0068074A" w:rsidRDefault="0025490C" w:rsidP="000A645D">
      <w:pPr>
        <w:pStyle w:val="References"/>
      </w:pPr>
      <w:r w:rsidRPr="00E07B1B">
        <w:t xml:space="preserve">Bodmer-Roy S, Morin L, Cousineau J, </w:t>
      </w:r>
      <w:r w:rsidR="00D562F2">
        <w:t>et al</w:t>
      </w:r>
      <w:r w:rsidRPr="00E07B1B">
        <w:t xml:space="preserve">. 2012. Pregnancy outcomes in women with and without gestational diabetes mellitus according to the International Association of the Diabetes and Pregnancy Study Groups criteria. </w:t>
      </w:r>
      <w:r w:rsidRPr="00E07B1B">
        <w:rPr>
          <w:i/>
          <w:iCs/>
        </w:rPr>
        <w:t xml:space="preserve">Obstetrics &amp; Gynecology </w:t>
      </w:r>
      <w:r w:rsidRPr="00E07B1B">
        <w:rPr>
          <w:iCs/>
        </w:rPr>
        <w:t>120</w:t>
      </w:r>
      <w:r w:rsidRPr="00E07B1B">
        <w:t>(4): 746</w:t>
      </w:r>
      <w:r>
        <w:t>–</w:t>
      </w:r>
      <w:r w:rsidRPr="00E07B1B">
        <w:t>52.</w:t>
      </w:r>
    </w:p>
    <w:p w:rsidR="0068074A" w:rsidRDefault="0025490C" w:rsidP="000A645D">
      <w:pPr>
        <w:pStyle w:val="References"/>
      </w:pPr>
      <w:r w:rsidRPr="00E07B1B">
        <w:t xml:space="preserve">Boulvain M, Stan CM, Irion O. 2009. Elective delivery in diabetic pregnant women. </w:t>
      </w:r>
      <w:r w:rsidRPr="00E07B1B">
        <w:rPr>
          <w:i/>
          <w:iCs/>
        </w:rPr>
        <w:t xml:space="preserve">Cochrane Database of Systematic Reviews </w:t>
      </w:r>
      <w:r w:rsidRPr="00E07B1B">
        <w:rPr>
          <w:iCs/>
        </w:rPr>
        <w:t>(4)</w:t>
      </w:r>
      <w:r w:rsidRPr="00E07B1B">
        <w:t>(CD001997).</w:t>
      </w:r>
    </w:p>
    <w:p w:rsidR="0068074A" w:rsidRDefault="0025490C" w:rsidP="000A645D">
      <w:pPr>
        <w:pStyle w:val="References"/>
      </w:pPr>
      <w:r w:rsidRPr="00E07B1B">
        <w:t xml:space="preserve">Bowers K, Yeung E, Williams MA, </w:t>
      </w:r>
      <w:r w:rsidR="00D562F2">
        <w:t>et al</w:t>
      </w:r>
      <w:r w:rsidRPr="00E07B1B">
        <w:t xml:space="preserve">. 2011. A prospective study of prepregnancy dietary iron intake and risk for gestational diabetes mellitus. </w:t>
      </w:r>
      <w:r w:rsidRPr="00E07B1B">
        <w:rPr>
          <w:i/>
          <w:iCs/>
        </w:rPr>
        <w:t xml:space="preserve">Diabetes Care </w:t>
      </w:r>
      <w:r w:rsidRPr="00E07B1B">
        <w:rPr>
          <w:iCs/>
        </w:rPr>
        <w:t>34</w:t>
      </w:r>
      <w:r>
        <w:t>(7): 1557–</w:t>
      </w:r>
      <w:r w:rsidRPr="00E07B1B">
        <w:t>63.</w:t>
      </w:r>
    </w:p>
    <w:p w:rsidR="0068074A" w:rsidRDefault="0025490C" w:rsidP="000A645D">
      <w:pPr>
        <w:pStyle w:val="References"/>
      </w:pPr>
      <w:r w:rsidRPr="00E07B1B">
        <w:t xml:space="preserve">Bowers K, Tobias DK, Yeung E, </w:t>
      </w:r>
      <w:r w:rsidR="00D562F2">
        <w:t>et al</w:t>
      </w:r>
      <w:r w:rsidRPr="00E07B1B">
        <w:t xml:space="preserve">. 2012. A prospective study of prepregnancy dietary fat intake and risk of gestational diabetes. </w:t>
      </w:r>
      <w:r w:rsidRPr="00E07B1B">
        <w:rPr>
          <w:i/>
          <w:iCs/>
        </w:rPr>
        <w:t xml:space="preserve">American Journal of Clinical Nutrition </w:t>
      </w:r>
      <w:r w:rsidRPr="00E07B1B">
        <w:rPr>
          <w:iCs/>
        </w:rPr>
        <w:t>95</w:t>
      </w:r>
      <w:r w:rsidRPr="00E07B1B">
        <w:t>(2): 446</w:t>
      </w:r>
      <w:r>
        <w:t>–</w:t>
      </w:r>
      <w:r w:rsidRPr="00E07B1B">
        <w:t>53.</w:t>
      </w:r>
    </w:p>
    <w:p w:rsidR="0025490C" w:rsidRPr="00E07B1B" w:rsidRDefault="0025490C" w:rsidP="000A645D">
      <w:pPr>
        <w:pStyle w:val="References"/>
      </w:pPr>
      <w:r w:rsidRPr="00E07B1B">
        <w:t xml:space="preserve">Braatvedt G, Cundy T, Crooke M, </w:t>
      </w:r>
      <w:r w:rsidR="00D562F2">
        <w:t>et al</w:t>
      </w:r>
      <w:r w:rsidRPr="00E07B1B">
        <w:t xml:space="preserve">. 2012. Understanding the new HbA1c units for the diagnosis of type 2 diabetes. </w:t>
      </w:r>
      <w:r w:rsidRPr="00E07B1B">
        <w:rPr>
          <w:i/>
          <w:iCs/>
        </w:rPr>
        <w:t xml:space="preserve">New Zealand Medical Journal </w:t>
      </w:r>
      <w:r w:rsidRPr="00E07B1B">
        <w:rPr>
          <w:iCs/>
        </w:rPr>
        <w:t>125</w:t>
      </w:r>
      <w:r w:rsidRPr="00E07B1B">
        <w:t>(1362): 70</w:t>
      </w:r>
      <w:r>
        <w:t>–</w:t>
      </w:r>
      <w:r w:rsidRPr="00E07B1B">
        <w:t>80.</w:t>
      </w:r>
    </w:p>
    <w:p w:rsidR="0068074A" w:rsidRDefault="0025490C" w:rsidP="000A645D">
      <w:pPr>
        <w:pStyle w:val="References"/>
      </w:pPr>
      <w:r w:rsidRPr="00E07B1B">
        <w:t xml:space="preserve">Burlingame J, Brink-Wong T, Rocha F, </w:t>
      </w:r>
      <w:r w:rsidR="00D562F2">
        <w:t>et al</w:t>
      </w:r>
      <w:r w:rsidRPr="00E07B1B">
        <w:t>. 2012. Can we really diagnose type 2 diabetes during pregnancy?</w:t>
      </w:r>
      <w:r>
        <w:t xml:space="preserve"> </w:t>
      </w:r>
      <w:r w:rsidRPr="00E07B1B">
        <w:rPr>
          <w:i/>
          <w:iCs/>
        </w:rPr>
        <w:t>American Journal of Obstetrics and Gynecology Suppl</w:t>
      </w:r>
      <w:r>
        <w:rPr>
          <w:i/>
          <w:iCs/>
        </w:rPr>
        <w:t xml:space="preserve"> </w:t>
      </w:r>
      <w:r w:rsidRPr="00E07B1B">
        <w:rPr>
          <w:iCs/>
        </w:rPr>
        <w:t>256:</w:t>
      </w:r>
      <w:r w:rsidRPr="00E07B1B">
        <w:t xml:space="preserve"> S125.</w:t>
      </w:r>
    </w:p>
    <w:p w:rsidR="0068074A" w:rsidRDefault="0025490C" w:rsidP="000A645D">
      <w:pPr>
        <w:pStyle w:val="References"/>
      </w:pPr>
      <w:r w:rsidRPr="00E07B1B">
        <w:t xml:space="preserve">Burris H, Rifas-Shiman S, Kleinman K, </w:t>
      </w:r>
      <w:r w:rsidR="00D562F2">
        <w:t>et al</w:t>
      </w:r>
      <w:r w:rsidRPr="00E07B1B">
        <w:t xml:space="preserve">. 2012. Vitamin D deficiency in pregnancy and gestational diabetes. </w:t>
      </w:r>
      <w:r w:rsidRPr="00E07B1B">
        <w:rPr>
          <w:i/>
          <w:iCs/>
        </w:rPr>
        <w:t xml:space="preserve">American Journal of Obstetrics &amp; Gynecology </w:t>
      </w:r>
      <w:r w:rsidRPr="00E07B1B">
        <w:rPr>
          <w:iCs/>
        </w:rPr>
        <w:t>207</w:t>
      </w:r>
      <w:r w:rsidRPr="00E07B1B">
        <w:t>(182): e1</w:t>
      </w:r>
      <w:r>
        <w:t>–</w:t>
      </w:r>
      <w:r w:rsidRPr="00E07B1B">
        <w:t>8.</w:t>
      </w:r>
    </w:p>
    <w:p w:rsidR="0068074A" w:rsidRDefault="0025490C" w:rsidP="000A645D">
      <w:pPr>
        <w:pStyle w:val="References"/>
      </w:pPr>
      <w:r w:rsidRPr="00E07B1B">
        <w:t xml:space="preserve">Canadian Diabetes Association. 2008. Clinical </w:t>
      </w:r>
      <w:r>
        <w:t>p</w:t>
      </w:r>
      <w:r w:rsidRPr="00E07B1B">
        <w:t xml:space="preserve">ractice guidelines for the prevention and management of diabetes in Canada. </w:t>
      </w:r>
      <w:r w:rsidRPr="00E07B1B">
        <w:rPr>
          <w:i/>
          <w:iCs/>
        </w:rPr>
        <w:t xml:space="preserve">Canadian Journal of Diabetes </w:t>
      </w:r>
      <w:r w:rsidRPr="00E07B1B">
        <w:rPr>
          <w:iCs/>
        </w:rPr>
        <w:t>32</w:t>
      </w:r>
      <w:r w:rsidRPr="00E07B1B">
        <w:t>(Suppl 1): S1</w:t>
      </w:r>
      <w:r>
        <w:t>–</w:t>
      </w:r>
      <w:r w:rsidRPr="00E07B1B">
        <w:t>S201.</w:t>
      </w:r>
    </w:p>
    <w:p w:rsidR="0068074A" w:rsidRDefault="0025490C" w:rsidP="000A645D">
      <w:pPr>
        <w:pStyle w:val="References"/>
      </w:pPr>
      <w:r w:rsidRPr="00E07B1B">
        <w:t xml:space="preserve">Canadian Task Force on Preventative Health Care. 2012. Recommendations on screening for type 2 diabetes in adults. </w:t>
      </w:r>
      <w:r w:rsidRPr="00E07B1B">
        <w:rPr>
          <w:i/>
          <w:iCs/>
        </w:rPr>
        <w:t xml:space="preserve">Canadian Medical Association Journal </w:t>
      </w:r>
      <w:r w:rsidRPr="00A70429">
        <w:rPr>
          <w:iCs/>
        </w:rPr>
        <w:t>184</w:t>
      </w:r>
      <w:r w:rsidRPr="00776E58">
        <w:t>(</w:t>
      </w:r>
      <w:r w:rsidRPr="00E07B1B">
        <w:t>15)</w:t>
      </w:r>
      <w:r>
        <w:t>:</w:t>
      </w:r>
      <w:r w:rsidRPr="00E07B1B">
        <w:t xml:space="preserve"> 1687</w:t>
      </w:r>
      <w:r>
        <w:t>–</w:t>
      </w:r>
      <w:r w:rsidRPr="00E07B1B">
        <w:t>96.</w:t>
      </w:r>
    </w:p>
    <w:p w:rsidR="0068074A" w:rsidRDefault="0025490C" w:rsidP="000A645D">
      <w:pPr>
        <w:pStyle w:val="References"/>
      </w:pPr>
      <w:r w:rsidRPr="00E07B1B">
        <w:t xml:space="preserve">Caribbean Health Research Council. 2006. </w:t>
      </w:r>
      <w:r w:rsidRPr="00E07B1B">
        <w:rPr>
          <w:i/>
          <w:iCs/>
        </w:rPr>
        <w:t>Managing Diabetes in Primary Care in the Caribbean</w:t>
      </w:r>
      <w:r>
        <w:t>. Car</w:t>
      </w:r>
      <w:r w:rsidRPr="00E07B1B">
        <w:t>ibbean Health Research Council, Pan American Health Organization.</w:t>
      </w:r>
    </w:p>
    <w:p w:rsidR="0068074A" w:rsidRDefault="0025490C" w:rsidP="000A645D">
      <w:pPr>
        <w:pStyle w:val="References"/>
      </w:pPr>
      <w:r w:rsidRPr="00E07B1B">
        <w:t xml:space="preserve">Carolan M, Steele C, Margett H. 2010. Attitudes towards gestational diabetes among a multiethnic cohort in Australia. </w:t>
      </w:r>
      <w:r w:rsidRPr="00E07B1B">
        <w:rPr>
          <w:i/>
          <w:iCs/>
        </w:rPr>
        <w:t xml:space="preserve">Journal of Clinical Nursing </w:t>
      </w:r>
      <w:r w:rsidRPr="00E07B1B">
        <w:rPr>
          <w:iCs/>
        </w:rPr>
        <w:t>19</w:t>
      </w:r>
      <w:r w:rsidRPr="00E07B1B">
        <w:t>: 2446.</w:t>
      </w:r>
    </w:p>
    <w:p w:rsidR="0068074A" w:rsidRDefault="0025490C" w:rsidP="000A645D">
      <w:pPr>
        <w:pStyle w:val="References"/>
      </w:pPr>
      <w:r w:rsidRPr="00E07B1B">
        <w:t>Carpenter M, Coustan D. 1982. Criteria for screening tests for gestational diabetes.</w:t>
      </w:r>
      <w:r>
        <w:t xml:space="preserve"> </w:t>
      </w:r>
      <w:r w:rsidRPr="00E07B1B">
        <w:rPr>
          <w:i/>
          <w:iCs/>
        </w:rPr>
        <w:t>Am</w:t>
      </w:r>
      <w:r>
        <w:rPr>
          <w:i/>
          <w:iCs/>
        </w:rPr>
        <w:t>erican</w:t>
      </w:r>
      <w:r w:rsidRPr="00E07B1B">
        <w:rPr>
          <w:i/>
          <w:iCs/>
        </w:rPr>
        <w:t xml:space="preserve"> J</w:t>
      </w:r>
      <w:r>
        <w:rPr>
          <w:i/>
          <w:iCs/>
        </w:rPr>
        <w:t>ournal of</w:t>
      </w:r>
      <w:r w:rsidRPr="00E07B1B">
        <w:rPr>
          <w:i/>
          <w:iCs/>
        </w:rPr>
        <w:t xml:space="preserve"> Obstet</w:t>
      </w:r>
      <w:r>
        <w:rPr>
          <w:i/>
          <w:iCs/>
        </w:rPr>
        <w:t>rics &amp;</w:t>
      </w:r>
      <w:r w:rsidRPr="00E07B1B">
        <w:rPr>
          <w:i/>
          <w:iCs/>
        </w:rPr>
        <w:t xml:space="preserve"> Gynecol</w:t>
      </w:r>
      <w:r>
        <w:rPr>
          <w:i/>
          <w:iCs/>
        </w:rPr>
        <w:t>ogy</w:t>
      </w:r>
      <w:r w:rsidRPr="00E07B1B">
        <w:rPr>
          <w:i/>
          <w:iCs/>
        </w:rPr>
        <w:t xml:space="preserve"> </w:t>
      </w:r>
      <w:r w:rsidRPr="00E07B1B">
        <w:rPr>
          <w:iCs/>
        </w:rPr>
        <w:t>144</w:t>
      </w:r>
      <w:r w:rsidRPr="00E07B1B">
        <w:t>(7): 768</w:t>
      </w:r>
      <w:r>
        <w:t>–</w:t>
      </w:r>
      <w:r w:rsidRPr="00E07B1B">
        <w:t>73.</w:t>
      </w:r>
    </w:p>
    <w:p w:rsidR="0068074A" w:rsidRDefault="0025490C" w:rsidP="000A645D">
      <w:pPr>
        <w:pStyle w:val="References"/>
      </w:pPr>
      <w:r w:rsidRPr="00E07B1B">
        <w:t xml:space="preserve">Carr DB, Newton KM, Utzschneider KM, </w:t>
      </w:r>
      <w:r w:rsidR="00D562F2">
        <w:t>et al</w:t>
      </w:r>
      <w:r w:rsidRPr="00E07B1B">
        <w:t xml:space="preserve">. 2008. Modestly elevated glucose levels during pregnancy are associated with a higher risk of future diabetes among women without gestational diabetes mellitus. </w:t>
      </w:r>
      <w:r w:rsidRPr="00E07B1B">
        <w:rPr>
          <w:i/>
          <w:iCs/>
        </w:rPr>
        <w:t xml:space="preserve">Diabetes Care </w:t>
      </w:r>
      <w:r w:rsidRPr="00E07B1B">
        <w:rPr>
          <w:iCs/>
        </w:rPr>
        <w:t>31</w:t>
      </w:r>
      <w:r w:rsidRPr="00E07B1B">
        <w:t>(5): 1037</w:t>
      </w:r>
      <w:r>
        <w:t>–</w:t>
      </w:r>
      <w:r w:rsidRPr="00E07B1B">
        <w:t>9.</w:t>
      </w:r>
    </w:p>
    <w:p w:rsidR="0068074A" w:rsidRDefault="0025490C" w:rsidP="000A645D">
      <w:pPr>
        <w:pStyle w:val="References"/>
      </w:pPr>
      <w:r w:rsidRPr="00E07B1B">
        <w:t xml:space="preserve">Carreno C, Clifton R, Hauth J, </w:t>
      </w:r>
      <w:r w:rsidR="00D562F2">
        <w:t>et al</w:t>
      </w:r>
      <w:r w:rsidRPr="00E07B1B">
        <w:t xml:space="preserve">. 2012. Excessive early gestational weight gain and risk of gestational diabetes mellitus in nulliparous women. </w:t>
      </w:r>
      <w:r w:rsidRPr="00E07B1B">
        <w:rPr>
          <w:i/>
          <w:iCs/>
        </w:rPr>
        <w:t xml:space="preserve">Obstetrics and Gynecology </w:t>
      </w:r>
      <w:r w:rsidRPr="00E07B1B">
        <w:rPr>
          <w:iCs/>
        </w:rPr>
        <w:t>119</w:t>
      </w:r>
      <w:r w:rsidRPr="00E07B1B">
        <w:t>(6): 1227</w:t>
      </w:r>
      <w:r>
        <w:t>–</w:t>
      </w:r>
      <w:r w:rsidRPr="00E07B1B">
        <w:t>33.</w:t>
      </w:r>
    </w:p>
    <w:p w:rsidR="0025490C" w:rsidRPr="00E07B1B" w:rsidRDefault="0025490C" w:rsidP="000A645D">
      <w:pPr>
        <w:pStyle w:val="References"/>
      </w:pPr>
      <w:r w:rsidRPr="00E07B1B">
        <w:t xml:space="preserve">Chamberlain C, McNamara B, Williams E, </w:t>
      </w:r>
      <w:r w:rsidR="00D562F2">
        <w:t>et al</w:t>
      </w:r>
      <w:r w:rsidRPr="00E07B1B">
        <w:t xml:space="preserve">. 2013. Diabetes in pregnancy among indigenous women in Australia, Canada, New Zealand and the United States: </w:t>
      </w:r>
      <w:r>
        <w:t>a</w:t>
      </w:r>
      <w:r w:rsidRPr="00E07B1B">
        <w:t xml:space="preserve"> systematic review of the evidence for screening in early pregnancy. </w:t>
      </w:r>
      <w:r w:rsidRPr="00E07B1B">
        <w:rPr>
          <w:i/>
          <w:iCs/>
        </w:rPr>
        <w:t>Diabetes Metabolism Research and Reviews</w:t>
      </w:r>
      <w:r w:rsidRPr="00E07B1B">
        <w:t>. DOI:</w:t>
      </w:r>
      <w:r>
        <w:t xml:space="preserve"> </w:t>
      </w:r>
      <w:r w:rsidRPr="00E07B1B">
        <w:t>10.1002/dmrr.2389</w:t>
      </w:r>
      <w:r w:rsidR="00746F01">
        <w:t>.</w:t>
      </w:r>
    </w:p>
    <w:p w:rsidR="0068074A" w:rsidRDefault="0025490C" w:rsidP="000A645D">
      <w:pPr>
        <w:pStyle w:val="References"/>
      </w:pPr>
      <w:r w:rsidRPr="00E07B1B">
        <w:t>Chang</w:t>
      </w:r>
      <w:r>
        <w:t xml:space="preserve"> </w:t>
      </w:r>
      <w:r w:rsidRPr="00E07B1B">
        <w:t xml:space="preserve">AL, Soon R, Kaneshiro B. 2010. The prevalence of gestational diabetes among Micronesians in Honolulu. </w:t>
      </w:r>
      <w:r w:rsidRPr="00E07B1B">
        <w:rPr>
          <w:i/>
          <w:iCs/>
        </w:rPr>
        <w:t xml:space="preserve">Hawaii Medical Journal </w:t>
      </w:r>
      <w:r w:rsidRPr="00E07B1B">
        <w:rPr>
          <w:iCs/>
        </w:rPr>
        <w:t>69</w:t>
      </w:r>
      <w:r w:rsidRPr="00E07B1B">
        <w:t>(5 Suppl 2): 4</w:t>
      </w:r>
      <w:r>
        <w:t>–</w:t>
      </w:r>
      <w:r w:rsidRPr="00E07B1B">
        <w:t>6.</w:t>
      </w:r>
    </w:p>
    <w:p w:rsidR="0025490C" w:rsidRPr="00E07B1B" w:rsidRDefault="0025490C" w:rsidP="000A645D">
      <w:pPr>
        <w:pStyle w:val="References"/>
      </w:pPr>
      <w:r w:rsidRPr="00E07B1B">
        <w:t xml:space="preserve">Chapman T, Pincombe J, Harris M. 2013. Antenatal breastmilk expression: </w:t>
      </w:r>
      <w:r>
        <w:t>a</w:t>
      </w:r>
      <w:r w:rsidRPr="00E07B1B">
        <w:t xml:space="preserve"> critical review of the literature. </w:t>
      </w:r>
      <w:r w:rsidRPr="00E07B1B">
        <w:rPr>
          <w:i/>
          <w:iCs/>
        </w:rPr>
        <w:t xml:space="preserve">Midwifery </w:t>
      </w:r>
      <w:r w:rsidRPr="00E07B1B">
        <w:rPr>
          <w:iCs/>
        </w:rPr>
        <w:t>29</w:t>
      </w:r>
      <w:r w:rsidRPr="00E07B1B">
        <w:t>(3)</w:t>
      </w:r>
      <w:r>
        <w:t>:</w:t>
      </w:r>
      <w:r w:rsidRPr="00E07B1B">
        <w:t xml:space="preserve"> 203</w:t>
      </w:r>
      <w:r>
        <w:t>–</w:t>
      </w:r>
      <w:r w:rsidRPr="00E07B1B">
        <w:t>10. DOI:</w:t>
      </w:r>
      <w:r>
        <w:t xml:space="preserve"> </w:t>
      </w:r>
      <w:r w:rsidRPr="00E07B1B">
        <w:t>10.1016/J.Midw.2011.12013</w:t>
      </w:r>
      <w:r w:rsidR="00746F01">
        <w:t>.</w:t>
      </w:r>
    </w:p>
    <w:p w:rsidR="0068074A" w:rsidRDefault="0025490C" w:rsidP="000A645D">
      <w:pPr>
        <w:pStyle w:val="References"/>
      </w:pPr>
      <w:r w:rsidRPr="00E07B1B">
        <w:t xml:space="preserve">Chen L, Hu FB, Yeung E, </w:t>
      </w:r>
      <w:r w:rsidR="00D562F2">
        <w:t>et al</w:t>
      </w:r>
      <w:r w:rsidRPr="00E07B1B">
        <w:t xml:space="preserve">. 2009. Prospective study of pre-gravid sugar-sweetened beverage consumption and the risk of gestational diabetes mellitus. </w:t>
      </w:r>
      <w:r w:rsidRPr="00E07B1B">
        <w:rPr>
          <w:i/>
          <w:iCs/>
        </w:rPr>
        <w:t xml:space="preserve">Diabetes Care </w:t>
      </w:r>
      <w:r w:rsidRPr="00E07B1B">
        <w:rPr>
          <w:iCs/>
        </w:rPr>
        <w:t>32</w:t>
      </w:r>
      <w:r w:rsidRPr="00E07B1B">
        <w:t>(12): 2236</w:t>
      </w:r>
      <w:r>
        <w:t>–</w:t>
      </w:r>
      <w:r w:rsidRPr="00E07B1B">
        <w:t>41.</w:t>
      </w:r>
    </w:p>
    <w:p w:rsidR="0025490C" w:rsidRPr="00E07B1B" w:rsidRDefault="0025490C" w:rsidP="000A645D">
      <w:pPr>
        <w:pStyle w:val="References"/>
      </w:pPr>
      <w:r w:rsidRPr="00E07B1B">
        <w:t xml:space="preserve">Cheng Y, Block-Kurbisch I, Caughey AB. 2009. Carpenter-Coustan criteria compared with the national diabetes data group thresholds for gestational diabetes mellitus. </w:t>
      </w:r>
      <w:r w:rsidRPr="00E07B1B">
        <w:rPr>
          <w:i/>
          <w:iCs/>
        </w:rPr>
        <w:t>Obstet</w:t>
      </w:r>
      <w:r>
        <w:rPr>
          <w:i/>
          <w:iCs/>
        </w:rPr>
        <w:t>rics &amp;</w:t>
      </w:r>
      <w:r w:rsidRPr="00E07B1B">
        <w:rPr>
          <w:i/>
          <w:iCs/>
        </w:rPr>
        <w:t xml:space="preserve"> Gynecol</w:t>
      </w:r>
      <w:r>
        <w:rPr>
          <w:i/>
          <w:iCs/>
        </w:rPr>
        <w:t>ogy</w:t>
      </w:r>
      <w:r w:rsidRPr="00E07B1B">
        <w:rPr>
          <w:i/>
          <w:iCs/>
        </w:rPr>
        <w:t xml:space="preserve"> </w:t>
      </w:r>
      <w:r w:rsidRPr="00E07B1B">
        <w:rPr>
          <w:iCs/>
        </w:rPr>
        <w:t>114</w:t>
      </w:r>
      <w:r w:rsidRPr="00E07B1B">
        <w:t>(2 Pt 1): 326</w:t>
      </w:r>
      <w:r>
        <w:t>–</w:t>
      </w:r>
      <w:r w:rsidRPr="00E07B1B">
        <w:t>32. DOI:</w:t>
      </w:r>
      <w:r>
        <w:t xml:space="preserve"> </w:t>
      </w:r>
      <w:r w:rsidRPr="00E07B1B">
        <w:t>10.1097/AOG.0b013e3181ae8d85</w:t>
      </w:r>
      <w:r w:rsidR="00746F01">
        <w:t>.</w:t>
      </w:r>
    </w:p>
    <w:p w:rsidR="0068074A" w:rsidRDefault="0025490C" w:rsidP="000A645D">
      <w:pPr>
        <w:pStyle w:val="References"/>
      </w:pPr>
      <w:r w:rsidRPr="00E07B1B">
        <w:t xml:space="preserve">Chertok IRA, Raz I, Shoham I, </w:t>
      </w:r>
      <w:r w:rsidR="00D562F2">
        <w:t>et al</w:t>
      </w:r>
      <w:r w:rsidRPr="00E07B1B">
        <w:t xml:space="preserve">. 2009. Effects of early breastfeeding on neonatal glucose levels of term infants born to women with gestational diabetes. </w:t>
      </w:r>
      <w:r w:rsidRPr="00E07B1B">
        <w:rPr>
          <w:i/>
          <w:iCs/>
        </w:rPr>
        <w:t xml:space="preserve">Journal of Human Nutrition &amp; Dietetics </w:t>
      </w:r>
      <w:r w:rsidRPr="00E07B1B">
        <w:rPr>
          <w:iCs/>
        </w:rPr>
        <w:t>22</w:t>
      </w:r>
      <w:r w:rsidRPr="00E07B1B">
        <w:t>(2): 166</w:t>
      </w:r>
      <w:r>
        <w:t>–</w:t>
      </w:r>
      <w:r w:rsidRPr="00E07B1B">
        <w:t>9.</w:t>
      </w:r>
    </w:p>
    <w:p w:rsidR="0068074A" w:rsidRDefault="0025490C" w:rsidP="000A645D">
      <w:pPr>
        <w:pStyle w:val="References"/>
      </w:pPr>
      <w:r w:rsidRPr="00E07B1B">
        <w:t>Cheung NW, McElduff A, Ross GP. 2005. Type 2 diabetes in pregnancy: a wolf in sheep</w:t>
      </w:r>
      <w:r w:rsidR="0068074A">
        <w:t>’</w:t>
      </w:r>
      <w:r w:rsidRPr="00E07B1B">
        <w:t xml:space="preserve">s clothing. </w:t>
      </w:r>
      <w:r w:rsidRPr="00E07B1B">
        <w:rPr>
          <w:i/>
          <w:iCs/>
        </w:rPr>
        <w:t xml:space="preserve">Australian and New Zealand Journal of Obstetrics and Gynaecology </w:t>
      </w:r>
      <w:r w:rsidRPr="00E07B1B">
        <w:rPr>
          <w:iCs/>
        </w:rPr>
        <w:t>45:</w:t>
      </w:r>
      <w:r w:rsidRPr="00E07B1B">
        <w:t xml:space="preserve"> 479</w:t>
      </w:r>
      <w:r>
        <w:t>–</w:t>
      </w:r>
      <w:r w:rsidRPr="00E07B1B">
        <w:t>83.</w:t>
      </w:r>
    </w:p>
    <w:p w:rsidR="0068074A" w:rsidRDefault="0025490C" w:rsidP="000A645D">
      <w:pPr>
        <w:pStyle w:val="References"/>
      </w:pPr>
      <w:r w:rsidRPr="00E07B1B">
        <w:t xml:space="preserve">Chodick G, Elchalal U, Sella T, </w:t>
      </w:r>
      <w:r w:rsidR="00D562F2">
        <w:t>et al</w:t>
      </w:r>
      <w:r w:rsidRPr="00E07B1B">
        <w:t xml:space="preserve">. 2010. The risk of overt diabetes mellitus among women with gestational diabetes: a population-based study. </w:t>
      </w:r>
      <w:r w:rsidRPr="00E07B1B">
        <w:rPr>
          <w:i/>
          <w:iCs/>
        </w:rPr>
        <w:t>Diabetic Medicine</w:t>
      </w:r>
      <w:r>
        <w:rPr>
          <w:i/>
          <w:iCs/>
        </w:rPr>
        <w:t xml:space="preserve"> </w:t>
      </w:r>
      <w:r w:rsidRPr="00E07B1B">
        <w:rPr>
          <w:iCs/>
        </w:rPr>
        <w:t>27</w:t>
      </w:r>
      <w:r w:rsidRPr="00E07B1B">
        <w:t>(7): 779</w:t>
      </w:r>
      <w:r>
        <w:t>–</w:t>
      </w:r>
      <w:r w:rsidRPr="00E07B1B">
        <w:t>85.</w:t>
      </w:r>
    </w:p>
    <w:p w:rsidR="0068074A" w:rsidRDefault="0025490C" w:rsidP="000A645D">
      <w:pPr>
        <w:pStyle w:val="References"/>
      </w:pPr>
      <w:r w:rsidRPr="00E07B1B">
        <w:t>Clark HD, Graham ID, Karovitch</w:t>
      </w:r>
      <w:r>
        <w:t xml:space="preserve"> </w:t>
      </w:r>
      <w:r w:rsidRPr="00E07B1B">
        <w:t xml:space="preserve">A, </w:t>
      </w:r>
      <w:r w:rsidR="00D562F2">
        <w:t>et al</w:t>
      </w:r>
      <w:r w:rsidRPr="00E07B1B">
        <w:t xml:space="preserve">. 2009. Do postal reminders increase postpartum screening of diabetes mellitus in women with gestational diabetes mellitus? A randomized controlled trial. </w:t>
      </w:r>
      <w:r w:rsidRPr="00E07B1B">
        <w:rPr>
          <w:i/>
          <w:iCs/>
        </w:rPr>
        <w:t>American Journal of Obstetrics and Gynecology</w:t>
      </w:r>
      <w:r>
        <w:rPr>
          <w:i/>
          <w:iCs/>
        </w:rPr>
        <w:t xml:space="preserve"> </w:t>
      </w:r>
      <w:r w:rsidRPr="00E07B1B">
        <w:rPr>
          <w:iCs/>
        </w:rPr>
        <w:t>200(6)</w:t>
      </w:r>
      <w:r w:rsidRPr="00E07B1B">
        <w:t>: 634.e631-634.e637.</w:t>
      </w:r>
    </w:p>
    <w:p w:rsidR="0068074A" w:rsidRDefault="0025490C" w:rsidP="000A645D">
      <w:pPr>
        <w:pStyle w:val="References"/>
      </w:pPr>
      <w:r w:rsidRPr="00E07B1B">
        <w:t xml:space="preserve">Colagiuri S, Hussain Z, Zimmet P, </w:t>
      </w:r>
      <w:r w:rsidR="00D562F2">
        <w:t>et al</w:t>
      </w:r>
      <w:r w:rsidRPr="00E07B1B">
        <w:t>. 2004. Screening for type 2 diabetes and impaired glucose metabolism.</w:t>
      </w:r>
      <w:r>
        <w:rPr>
          <w:i/>
          <w:iCs/>
        </w:rPr>
        <w:t xml:space="preserve"> </w:t>
      </w:r>
      <w:r w:rsidRPr="00E07B1B">
        <w:rPr>
          <w:i/>
          <w:iCs/>
        </w:rPr>
        <w:t xml:space="preserve">Diabetes Care </w:t>
      </w:r>
      <w:r w:rsidRPr="00E07B1B">
        <w:rPr>
          <w:iCs/>
        </w:rPr>
        <w:t>27</w:t>
      </w:r>
      <w:r w:rsidRPr="00E07B1B">
        <w:t>(2): 367</w:t>
      </w:r>
      <w:r>
        <w:t>–</w:t>
      </w:r>
      <w:r w:rsidRPr="00E07B1B">
        <w:t>71.</w:t>
      </w:r>
    </w:p>
    <w:p w:rsidR="0068074A" w:rsidRDefault="0025490C" w:rsidP="000A645D">
      <w:pPr>
        <w:pStyle w:val="References"/>
      </w:pPr>
      <w:r w:rsidRPr="00E07B1B">
        <w:t xml:space="preserve">Collier SA, Mulholland C, Williams J, </w:t>
      </w:r>
      <w:r w:rsidR="00D562F2">
        <w:t>et al</w:t>
      </w:r>
      <w:r w:rsidRPr="00E07B1B">
        <w:t>. 2011. A qualitative study of perceived barriers to management of diabetes among women with a history of diabetes during pregnancy.</w:t>
      </w:r>
      <w:r w:rsidRPr="00E07B1B">
        <w:rPr>
          <w:i/>
          <w:iCs/>
        </w:rPr>
        <w:t xml:space="preserve"> Journal of Women</w:t>
      </w:r>
      <w:r w:rsidR="0068074A">
        <w:rPr>
          <w:i/>
          <w:iCs/>
        </w:rPr>
        <w:t>’</w:t>
      </w:r>
      <w:r w:rsidRPr="00E07B1B">
        <w:rPr>
          <w:i/>
          <w:iCs/>
        </w:rPr>
        <w:t xml:space="preserve">s Health </w:t>
      </w:r>
      <w:r w:rsidRPr="00E07B1B">
        <w:rPr>
          <w:iCs/>
        </w:rPr>
        <w:t>20</w:t>
      </w:r>
      <w:r w:rsidRPr="00E07B1B">
        <w:t>(9): 1333</w:t>
      </w:r>
      <w:r>
        <w:t>–</w:t>
      </w:r>
      <w:r w:rsidRPr="00E07B1B">
        <w:t>9.</w:t>
      </w:r>
    </w:p>
    <w:p w:rsidR="0068074A" w:rsidRDefault="0025490C" w:rsidP="000A645D">
      <w:pPr>
        <w:pStyle w:val="References"/>
      </w:pPr>
      <w:r w:rsidRPr="00E07B1B">
        <w:t>Coppell KJ, Mann JI, Williams SM,</w:t>
      </w:r>
      <w:r>
        <w:t xml:space="preserve"> </w:t>
      </w:r>
      <w:r w:rsidR="00D562F2">
        <w:t>et al</w:t>
      </w:r>
      <w:r w:rsidRPr="00E07B1B">
        <w:t xml:space="preserve">. 2013. Prevalence of diagnosed and undiagnosed diabetes and prediabetes in New Zealand: findings from the 2008/09 Adult Nutrition Survey. </w:t>
      </w:r>
      <w:r w:rsidRPr="00E07B1B">
        <w:rPr>
          <w:i/>
          <w:iCs/>
        </w:rPr>
        <w:t xml:space="preserve">New Zealand Medical Journal </w:t>
      </w:r>
      <w:r w:rsidRPr="00E07B1B">
        <w:rPr>
          <w:iCs/>
        </w:rPr>
        <w:t>126</w:t>
      </w:r>
      <w:r w:rsidRPr="00E07B1B">
        <w:t>(1370).</w:t>
      </w:r>
    </w:p>
    <w:p w:rsidR="0025490C" w:rsidRPr="00E07B1B" w:rsidRDefault="0025490C" w:rsidP="000A645D">
      <w:pPr>
        <w:pStyle w:val="References"/>
      </w:pPr>
      <w:r w:rsidRPr="00E07B1B">
        <w:t xml:space="preserve">Cosson E, Benbara A, Pharisien I, </w:t>
      </w:r>
      <w:r w:rsidR="00D562F2">
        <w:t>et al</w:t>
      </w:r>
      <w:r w:rsidRPr="00E07B1B">
        <w:t xml:space="preserve">. 2013. Diagnostic and prognostic performances over </w:t>
      </w:r>
      <w:r w:rsidR="003E165B">
        <w:t>nine</w:t>
      </w:r>
      <w:r w:rsidRPr="00E07B1B">
        <w:t xml:space="preserve"> years of a selective screening strategy for gestational diabetes mellitus in a cohort of 18,775 subjects. </w:t>
      </w:r>
      <w:r w:rsidRPr="00E07B1B">
        <w:rPr>
          <w:i/>
          <w:iCs/>
        </w:rPr>
        <w:t xml:space="preserve">Diabetes Care </w:t>
      </w:r>
      <w:r w:rsidRPr="00E07B1B">
        <w:rPr>
          <w:iCs/>
        </w:rPr>
        <w:t>36</w:t>
      </w:r>
      <w:r w:rsidRPr="00E07B1B">
        <w:t>(3): 598</w:t>
      </w:r>
      <w:r>
        <w:t>–</w:t>
      </w:r>
      <w:r w:rsidRPr="00E07B1B">
        <w:t>603. DOI:</w:t>
      </w:r>
      <w:r>
        <w:t xml:space="preserve"> </w:t>
      </w:r>
      <w:r w:rsidRPr="00E07B1B">
        <w:t>http://dx.doi.org/10.2337/dc12-1428</w:t>
      </w:r>
      <w:r w:rsidR="003E165B">
        <w:t>.</w:t>
      </w:r>
    </w:p>
    <w:p w:rsidR="0068074A" w:rsidRDefault="0025490C" w:rsidP="000A645D">
      <w:pPr>
        <w:pStyle w:val="References"/>
      </w:pPr>
      <w:r w:rsidRPr="00E07B1B">
        <w:t xml:space="preserve">Crowther CA, Hiller JE, Moss JR, </w:t>
      </w:r>
      <w:r w:rsidR="00D562F2">
        <w:t>et al</w:t>
      </w:r>
      <w:r w:rsidRPr="00E07B1B">
        <w:t xml:space="preserve">. 2005. Effect of treatment of gestational diabetes mellitus on pregnancy outcomes. </w:t>
      </w:r>
      <w:r w:rsidRPr="00E07B1B">
        <w:rPr>
          <w:i/>
          <w:iCs/>
        </w:rPr>
        <w:t xml:space="preserve">New England Journal of Medicine </w:t>
      </w:r>
      <w:r w:rsidRPr="00E07B1B">
        <w:rPr>
          <w:iCs/>
        </w:rPr>
        <w:t>352</w:t>
      </w:r>
      <w:r w:rsidRPr="00E07B1B">
        <w:t>(24): 2477</w:t>
      </w:r>
      <w:r>
        <w:t>–</w:t>
      </w:r>
      <w:r w:rsidRPr="00E07B1B">
        <w:t>86.</w:t>
      </w:r>
    </w:p>
    <w:p w:rsidR="0068074A" w:rsidRDefault="0025490C" w:rsidP="000A645D">
      <w:pPr>
        <w:pStyle w:val="References"/>
      </w:pPr>
      <w:r w:rsidRPr="00E07B1B">
        <w:t xml:space="preserve">Crume </w:t>
      </w:r>
      <w:r>
        <w:t>T</w:t>
      </w:r>
      <w:r w:rsidRPr="00E07B1B">
        <w:t xml:space="preserve">L, Ogden BW, Maligie M, </w:t>
      </w:r>
      <w:r w:rsidR="00D562F2">
        <w:t>et al</w:t>
      </w:r>
      <w:r w:rsidRPr="00E07B1B">
        <w:t xml:space="preserve">. 2011. Long-term impact of neonatal breastfeeding on childhood adiposity and fat distribution among children exposed to diabetes in utero. </w:t>
      </w:r>
      <w:r w:rsidRPr="00E07B1B">
        <w:rPr>
          <w:i/>
          <w:iCs/>
        </w:rPr>
        <w:t xml:space="preserve">Diabetes Care </w:t>
      </w:r>
      <w:r w:rsidRPr="00E07B1B">
        <w:rPr>
          <w:iCs/>
        </w:rPr>
        <w:t>34:</w:t>
      </w:r>
      <w:r w:rsidRPr="00E07B1B">
        <w:t xml:space="preserve"> 641</w:t>
      </w:r>
      <w:r>
        <w:t>–</w:t>
      </w:r>
      <w:r w:rsidRPr="00E07B1B">
        <w:t>5.</w:t>
      </w:r>
    </w:p>
    <w:p w:rsidR="0068074A" w:rsidRDefault="0025490C" w:rsidP="000A645D">
      <w:pPr>
        <w:pStyle w:val="References"/>
      </w:pPr>
      <w:r w:rsidRPr="00E07B1B">
        <w:t xml:space="preserve">Crume TL, Ogden LG, Mayer-Davis EJ, </w:t>
      </w:r>
      <w:r w:rsidR="00D562F2">
        <w:t>et al</w:t>
      </w:r>
      <w:r w:rsidRPr="00E07B1B">
        <w:t xml:space="preserve">. 2012. The impact of neonatal breast-feeding on growth trajectories of youth exposed and unexposed to diabetes in utero: the EPOCH Study. </w:t>
      </w:r>
      <w:r w:rsidRPr="00E07B1B">
        <w:rPr>
          <w:i/>
          <w:iCs/>
        </w:rPr>
        <w:t xml:space="preserve">International Journal of Obesity </w:t>
      </w:r>
      <w:r w:rsidRPr="00E07B1B">
        <w:rPr>
          <w:iCs/>
        </w:rPr>
        <w:t>36</w:t>
      </w:r>
      <w:r w:rsidRPr="00E07B1B">
        <w:t>(4): 529</w:t>
      </w:r>
      <w:r>
        <w:t>–</w:t>
      </w:r>
      <w:r w:rsidRPr="00E07B1B">
        <w:t>34.</w:t>
      </w:r>
    </w:p>
    <w:p w:rsidR="0068074A" w:rsidRDefault="0025490C" w:rsidP="000A645D">
      <w:pPr>
        <w:pStyle w:val="References"/>
      </w:pPr>
      <w:r w:rsidRPr="00E07B1B">
        <w:t xml:space="preserve">Cundy T, Gamble G, Henley PG, </w:t>
      </w:r>
      <w:r w:rsidR="00D562F2">
        <w:t>et al</w:t>
      </w:r>
      <w:r w:rsidRPr="00E07B1B">
        <w:t xml:space="preserve">. 2000. Perinatal mortality in type 2 diabetes mellitus. </w:t>
      </w:r>
      <w:r w:rsidRPr="00E07B1B">
        <w:rPr>
          <w:i/>
          <w:iCs/>
        </w:rPr>
        <w:t xml:space="preserve">Diabetes Medicine </w:t>
      </w:r>
      <w:r w:rsidRPr="00E07B1B">
        <w:rPr>
          <w:iCs/>
        </w:rPr>
        <w:t>17</w:t>
      </w:r>
      <w:r w:rsidRPr="00E07B1B">
        <w:t>(1): 33</w:t>
      </w:r>
      <w:r>
        <w:t>–</w:t>
      </w:r>
      <w:r w:rsidRPr="00E07B1B">
        <w:t>9.</w:t>
      </w:r>
    </w:p>
    <w:p w:rsidR="0068074A" w:rsidRDefault="0025490C" w:rsidP="000A645D">
      <w:pPr>
        <w:pStyle w:val="References"/>
      </w:pPr>
      <w:r w:rsidRPr="00E07B1B">
        <w:t xml:space="preserve">Cypryk K, Szymczak W, Czupryniak L, </w:t>
      </w:r>
      <w:r w:rsidR="00D562F2">
        <w:t>et al</w:t>
      </w:r>
      <w:r w:rsidRPr="00E07B1B">
        <w:t>. 2008. Gestational diabetes mellitus</w:t>
      </w:r>
      <w:r>
        <w:t>:</w:t>
      </w:r>
      <w:r w:rsidRPr="00E07B1B">
        <w:t xml:space="preserve"> an analysis of risk factors. </w:t>
      </w:r>
      <w:r w:rsidRPr="00E07B1B">
        <w:rPr>
          <w:i/>
          <w:iCs/>
        </w:rPr>
        <w:t>Endokrynologia Polska</w:t>
      </w:r>
      <w:r>
        <w:rPr>
          <w:i/>
          <w:iCs/>
        </w:rPr>
        <w:t xml:space="preserve"> </w:t>
      </w:r>
      <w:r w:rsidRPr="00E07B1B">
        <w:rPr>
          <w:iCs/>
        </w:rPr>
        <w:t>59</w:t>
      </w:r>
      <w:r w:rsidRPr="00E07B1B">
        <w:t>(5): 393</w:t>
      </w:r>
      <w:r>
        <w:t>–</w:t>
      </w:r>
      <w:r w:rsidRPr="00E07B1B">
        <w:t>7.</w:t>
      </w:r>
    </w:p>
    <w:p w:rsidR="0068074A" w:rsidRDefault="0025490C" w:rsidP="000A645D">
      <w:pPr>
        <w:pStyle w:val="References"/>
      </w:pPr>
      <w:r w:rsidRPr="00E07B1B">
        <w:t>Dalfrà M, Nicolucci</w:t>
      </w:r>
      <w:r>
        <w:t xml:space="preserve"> </w:t>
      </w:r>
      <w:r w:rsidRPr="00E07B1B">
        <w:t>A, Bisson T,</w:t>
      </w:r>
      <w:r>
        <w:t xml:space="preserve"> </w:t>
      </w:r>
      <w:r w:rsidR="00D562F2">
        <w:t>et al</w:t>
      </w:r>
      <w:r w:rsidRPr="00E07B1B">
        <w:t xml:space="preserve">. 2012. Quality of life in pregnancy and postpartum: </w:t>
      </w:r>
      <w:r>
        <w:t>a</w:t>
      </w:r>
      <w:r w:rsidRPr="00E07B1B">
        <w:t xml:space="preserve"> study in diabetic patients. </w:t>
      </w:r>
      <w:r w:rsidRPr="00E07B1B">
        <w:rPr>
          <w:i/>
          <w:iCs/>
        </w:rPr>
        <w:t>Quality of Life Research</w:t>
      </w:r>
      <w:r>
        <w:rPr>
          <w:i/>
          <w:iCs/>
        </w:rPr>
        <w:t xml:space="preserve"> </w:t>
      </w:r>
      <w:r w:rsidRPr="00E07B1B">
        <w:rPr>
          <w:iCs/>
        </w:rPr>
        <w:t>21</w:t>
      </w:r>
      <w:r w:rsidRPr="00E07B1B">
        <w:t>(2): 291</w:t>
      </w:r>
      <w:r>
        <w:t>–</w:t>
      </w:r>
      <w:r w:rsidRPr="00E07B1B">
        <w:t>8.</w:t>
      </w:r>
    </w:p>
    <w:p w:rsidR="0068074A" w:rsidRDefault="0025490C" w:rsidP="000A645D">
      <w:pPr>
        <w:pStyle w:val="References"/>
      </w:pPr>
      <w:r w:rsidRPr="00E07B1B">
        <w:t>Damm P, Mathiesen</w:t>
      </w:r>
      <w:r>
        <w:t xml:space="preserve"> </w:t>
      </w:r>
      <w:r w:rsidRPr="00E07B1B">
        <w:t xml:space="preserve">E, Petersen K, </w:t>
      </w:r>
      <w:r w:rsidR="00D562F2">
        <w:t>et al</w:t>
      </w:r>
      <w:r w:rsidRPr="00E07B1B">
        <w:t xml:space="preserve">. 2007. Contraception after gestational diabetes. </w:t>
      </w:r>
      <w:r w:rsidRPr="00E07B1B">
        <w:rPr>
          <w:i/>
          <w:iCs/>
        </w:rPr>
        <w:t xml:space="preserve">Diabetes Care </w:t>
      </w:r>
      <w:r w:rsidRPr="00E07B1B">
        <w:rPr>
          <w:iCs/>
        </w:rPr>
        <w:t>30</w:t>
      </w:r>
      <w:r w:rsidRPr="00E07B1B">
        <w:t>(Suppl 2): S236</w:t>
      </w:r>
      <w:r>
        <w:t>–</w:t>
      </w:r>
      <w:r w:rsidRPr="00E07B1B">
        <w:t>41.</w:t>
      </w:r>
    </w:p>
    <w:p w:rsidR="0068074A" w:rsidRDefault="0025490C" w:rsidP="000A645D">
      <w:pPr>
        <w:pStyle w:val="References"/>
      </w:pPr>
      <w:r w:rsidRPr="00E07B1B">
        <w:t xml:space="preserve">de Barros M, Lopes M, Francisco R, </w:t>
      </w:r>
      <w:r w:rsidR="00D562F2">
        <w:t>et al</w:t>
      </w:r>
      <w:r w:rsidRPr="00E07B1B">
        <w:t xml:space="preserve">. 2010. Resistance exercise and glycaemic control in women with gestational diabetes mellitus. </w:t>
      </w:r>
      <w:r w:rsidRPr="00E07B1B">
        <w:rPr>
          <w:i/>
          <w:iCs/>
        </w:rPr>
        <w:t>Am</w:t>
      </w:r>
      <w:r>
        <w:rPr>
          <w:i/>
          <w:iCs/>
        </w:rPr>
        <w:t>erican</w:t>
      </w:r>
      <w:r w:rsidRPr="00E07B1B">
        <w:rPr>
          <w:i/>
          <w:iCs/>
        </w:rPr>
        <w:t xml:space="preserve"> J</w:t>
      </w:r>
      <w:r>
        <w:rPr>
          <w:i/>
          <w:iCs/>
        </w:rPr>
        <w:t>ournal of</w:t>
      </w:r>
      <w:r w:rsidRPr="00E07B1B">
        <w:rPr>
          <w:i/>
          <w:iCs/>
        </w:rPr>
        <w:t xml:space="preserve"> Obstet</w:t>
      </w:r>
      <w:r>
        <w:rPr>
          <w:i/>
          <w:iCs/>
        </w:rPr>
        <w:t>rics &amp;</w:t>
      </w:r>
      <w:r w:rsidRPr="00E07B1B">
        <w:rPr>
          <w:i/>
          <w:iCs/>
        </w:rPr>
        <w:t xml:space="preserve"> Gynecol</w:t>
      </w:r>
      <w:r>
        <w:rPr>
          <w:i/>
          <w:iCs/>
        </w:rPr>
        <w:t>ogy</w:t>
      </w:r>
      <w:r w:rsidR="003E165B">
        <w:rPr>
          <w:iCs/>
        </w:rPr>
        <w:br/>
      </w:r>
      <w:r w:rsidRPr="00E07B1B">
        <w:rPr>
          <w:iCs/>
        </w:rPr>
        <w:t>203</w:t>
      </w:r>
      <w:r w:rsidRPr="00E07B1B">
        <w:t>: 556.e551</w:t>
      </w:r>
      <w:r>
        <w:t>–</w:t>
      </w:r>
      <w:r w:rsidRPr="00E07B1B">
        <w:t>556.</w:t>
      </w:r>
    </w:p>
    <w:p w:rsidR="0068074A" w:rsidRDefault="0025490C" w:rsidP="000A645D">
      <w:pPr>
        <w:pStyle w:val="References"/>
      </w:pPr>
      <w:r w:rsidRPr="00E07B1B">
        <w:t xml:space="preserve">Dhulkotia J, Ola B, Fraser R, </w:t>
      </w:r>
      <w:r w:rsidR="00D562F2">
        <w:t>et al</w:t>
      </w:r>
      <w:r w:rsidRPr="00E07B1B">
        <w:t xml:space="preserve">. 2010. Oral hypoglycaemic agents vs insulin in management of gestational diabetes: a systematic review and metaanalysis. </w:t>
      </w:r>
      <w:r w:rsidRPr="00E07B1B">
        <w:rPr>
          <w:i/>
          <w:iCs/>
        </w:rPr>
        <w:t>Am</w:t>
      </w:r>
      <w:r>
        <w:rPr>
          <w:i/>
          <w:iCs/>
        </w:rPr>
        <w:t>erican</w:t>
      </w:r>
      <w:r w:rsidRPr="00E07B1B">
        <w:rPr>
          <w:i/>
          <w:iCs/>
        </w:rPr>
        <w:t xml:space="preserve"> J</w:t>
      </w:r>
      <w:r>
        <w:rPr>
          <w:i/>
          <w:iCs/>
        </w:rPr>
        <w:t>ournal of</w:t>
      </w:r>
      <w:r w:rsidRPr="00E07B1B">
        <w:rPr>
          <w:i/>
          <w:iCs/>
        </w:rPr>
        <w:t xml:space="preserve"> Obstet</w:t>
      </w:r>
      <w:r>
        <w:rPr>
          <w:i/>
          <w:iCs/>
        </w:rPr>
        <w:t>rics &amp;</w:t>
      </w:r>
      <w:r w:rsidRPr="00E07B1B">
        <w:rPr>
          <w:i/>
          <w:iCs/>
        </w:rPr>
        <w:t xml:space="preserve"> Gynecol</w:t>
      </w:r>
      <w:r>
        <w:rPr>
          <w:i/>
          <w:iCs/>
        </w:rPr>
        <w:t>ogy</w:t>
      </w:r>
      <w:r w:rsidRPr="00E07B1B">
        <w:rPr>
          <w:i/>
          <w:iCs/>
        </w:rPr>
        <w:t xml:space="preserve"> </w:t>
      </w:r>
      <w:r w:rsidRPr="00E07B1B">
        <w:rPr>
          <w:iCs/>
        </w:rPr>
        <w:t>203</w:t>
      </w:r>
      <w:r w:rsidRPr="00E07B1B">
        <w:t>: 457.e451</w:t>
      </w:r>
      <w:r>
        <w:t>–</w:t>
      </w:r>
      <w:r w:rsidRPr="00E07B1B">
        <w:t>9.</w:t>
      </w:r>
    </w:p>
    <w:p w:rsidR="0068074A" w:rsidRDefault="0025490C" w:rsidP="000A645D">
      <w:pPr>
        <w:pStyle w:val="References"/>
      </w:pPr>
      <w:r w:rsidRPr="00E07B1B">
        <w:t xml:space="preserve">Diabetes Workforce Service Review. 2011. </w:t>
      </w:r>
      <w:r w:rsidRPr="00E07B1B">
        <w:rPr>
          <w:i/>
          <w:iCs/>
        </w:rPr>
        <w:t xml:space="preserve">Report of the </w:t>
      </w:r>
      <w:r>
        <w:rPr>
          <w:i/>
          <w:iCs/>
        </w:rPr>
        <w:t>D</w:t>
      </w:r>
      <w:r w:rsidRPr="00E07B1B">
        <w:rPr>
          <w:i/>
          <w:iCs/>
        </w:rPr>
        <w:t xml:space="preserve">iabetes </w:t>
      </w:r>
      <w:r>
        <w:rPr>
          <w:i/>
          <w:iCs/>
        </w:rPr>
        <w:t>C</w:t>
      </w:r>
      <w:r w:rsidRPr="00E07B1B">
        <w:rPr>
          <w:i/>
          <w:iCs/>
        </w:rPr>
        <w:t xml:space="preserve">are </w:t>
      </w:r>
      <w:r>
        <w:rPr>
          <w:i/>
          <w:iCs/>
        </w:rPr>
        <w:t>W</w:t>
      </w:r>
      <w:r w:rsidRPr="00E07B1B">
        <w:rPr>
          <w:i/>
          <w:iCs/>
        </w:rPr>
        <w:t xml:space="preserve">orkforce </w:t>
      </w:r>
      <w:r>
        <w:rPr>
          <w:i/>
          <w:iCs/>
        </w:rPr>
        <w:t>S</w:t>
      </w:r>
      <w:r w:rsidRPr="00E07B1B">
        <w:rPr>
          <w:i/>
          <w:iCs/>
        </w:rPr>
        <w:t xml:space="preserve">ervice </w:t>
      </w:r>
      <w:r>
        <w:rPr>
          <w:i/>
          <w:iCs/>
        </w:rPr>
        <w:t>R</w:t>
      </w:r>
      <w:r w:rsidRPr="00E07B1B">
        <w:rPr>
          <w:i/>
          <w:iCs/>
        </w:rPr>
        <w:t xml:space="preserve">eview </w:t>
      </w:r>
      <w:r>
        <w:rPr>
          <w:i/>
          <w:iCs/>
        </w:rPr>
        <w:t>T</w:t>
      </w:r>
      <w:r w:rsidRPr="00E07B1B">
        <w:rPr>
          <w:i/>
          <w:iCs/>
        </w:rPr>
        <w:t>eam to Health Workforce New Zealand</w:t>
      </w:r>
      <w:r w:rsidRPr="00E07B1B">
        <w:t>. Wellington: Ministry of Health.</w:t>
      </w:r>
    </w:p>
    <w:p w:rsidR="0068074A" w:rsidRDefault="0025490C" w:rsidP="000A645D">
      <w:pPr>
        <w:pStyle w:val="References"/>
      </w:pPr>
      <w:r w:rsidRPr="00E07B1B">
        <w:t xml:space="preserve">Dieticians New Zealand. 2011. </w:t>
      </w:r>
      <w:r w:rsidRPr="00E07B1B">
        <w:rPr>
          <w:i/>
          <w:iCs/>
        </w:rPr>
        <w:t>The Auckland Regional Diabetes Dieticians Standard of Care for the Nutritional Management of Gestational Diabetes</w:t>
      </w:r>
      <w:r>
        <w:rPr>
          <w:i/>
          <w:iCs/>
        </w:rPr>
        <w:t>.</w:t>
      </w:r>
      <w:r w:rsidRPr="00E07B1B">
        <w:rPr>
          <w:i/>
          <w:iCs/>
        </w:rPr>
        <w:t xml:space="preserve"> </w:t>
      </w:r>
      <w:r w:rsidRPr="00E07B1B">
        <w:t>Dieticians New Zealand, Diabetes Special Interest Group.</w:t>
      </w:r>
    </w:p>
    <w:p w:rsidR="0068074A" w:rsidRDefault="0025490C" w:rsidP="000A645D">
      <w:pPr>
        <w:pStyle w:val="References"/>
      </w:pPr>
      <w:r w:rsidRPr="00E07B1B">
        <w:t xml:space="preserve">Dietz PM, Vesco KK, Callaghan WM, </w:t>
      </w:r>
      <w:r w:rsidR="00D562F2">
        <w:t>et al</w:t>
      </w:r>
      <w:r w:rsidRPr="00E07B1B">
        <w:t>. 2008. Postpartum screening for diabetes after a gestational diabetes mellitus-affected pregnancy.</w:t>
      </w:r>
      <w:r>
        <w:t xml:space="preserve"> </w:t>
      </w:r>
      <w:r w:rsidRPr="00E07B1B">
        <w:rPr>
          <w:i/>
          <w:iCs/>
        </w:rPr>
        <w:t>Obstetrics &amp; Gynecology</w:t>
      </w:r>
      <w:r>
        <w:rPr>
          <w:i/>
          <w:iCs/>
        </w:rPr>
        <w:t xml:space="preserve"> </w:t>
      </w:r>
      <w:r w:rsidRPr="00E07B1B">
        <w:rPr>
          <w:iCs/>
        </w:rPr>
        <w:t>112</w:t>
      </w:r>
      <w:r w:rsidRPr="00E07B1B">
        <w:t>(4): 868</w:t>
      </w:r>
      <w:r>
        <w:t>–</w:t>
      </w:r>
      <w:r w:rsidRPr="00E07B1B">
        <w:t>74.</w:t>
      </w:r>
    </w:p>
    <w:p w:rsidR="0068074A" w:rsidRDefault="0025490C" w:rsidP="000A645D">
      <w:pPr>
        <w:pStyle w:val="References"/>
      </w:pPr>
      <w:r w:rsidRPr="00E07B1B">
        <w:t>DiNallo J, Downs D. 2008. The role of exercise in preventing and treating gestational diabetes:</w:t>
      </w:r>
      <w:r>
        <w:t xml:space="preserve"> a</w:t>
      </w:r>
      <w:r w:rsidR="003E165B">
        <w:t> </w:t>
      </w:r>
      <w:r w:rsidRPr="00E07B1B">
        <w:t xml:space="preserve">comprehensive review and recommendations for future research. </w:t>
      </w:r>
      <w:r w:rsidRPr="00E07B1B">
        <w:rPr>
          <w:i/>
          <w:iCs/>
        </w:rPr>
        <w:t xml:space="preserve">Journal of Applied Biobehavioral Research </w:t>
      </w:r>
      <w:r w:rsidRPr="00E07B1B">
        <w:rPr>
          <w:iCs/>
        </w:rPr>
        <w:t>12</w:t>
      </w:r>
      <w:r w:rsidRPr="00E07B1B">
        <w:t>(3</w:t>
      </w:r>
      <w:r>
        <w:t>–</w:t>
      </w:r>
      <w:r w:rsidRPr="00E07B1B">
        <w:t>4): 141</w:t>
      </w:r>
      <w:r>
        <w:t>–</w:t>
      </w:r>
      <w:r w:rsidRPr="00E07B1B">
        <w:t>77.</w:t>
      </w:r>
    </w:p>
    <w:p w:rsidR="0068074A" w:rsidRDefault="0025490C" w:rsidP="000A645D">
      <w:pPr>
        <w:pStyle w:val="References"/>
      </w:pPr>
      <w:r w:rsidRPr="00E07B1B">
        <w:t xml:space="preserve">Doran F, Davis K. 2010. Gestational diabetes mellitus in Tonga: insights from healthcare professionals and women who experienced gestational diabetes mellitus. </w:t>
      </w:r>
      <w:r w:rsidRPr="00E07B1B">
        <w:rPr>
          <w:i/>
          <w:iCs/>
        </w:rPr>
        <w:t xml:space="preserve">New Zealand Medical Journal </w:t>
      </w:r>
      <w:r w:rsidRPr="00E07B1B">
        <w:rPr>
          <w:iCs/>
        </w:rPr>
        <w:t>123</w:t>
      </w:r>
      <w:r w:rsidRPr="00E07B1B">
        <w:t>(1326):</w:t>
      </w:r>
      <w:r>
        <w:t xml:space="preserve"> </w:t>
      </w:r>
      <w:r w:rsidRPr="00E07B1B">
        <w:t>59</w:t>
      </w:r>
      <w:r>
        <w:t>–</w:t>
      </w:r>
      <w:r w:rsidRPr="00E07B1B">
        <w:t>67.</w:t>
      </w:r>
    </w:p>
    <w:p w:rsidR="0068074A" w:rsidRDefault="0025490C" w:rsidP="000A645D">
      <w:pPr>
        <w:pStyle w:val="References"/>
      </w:pPr>
      <w:r w:rsidRPr="00E07B1B">
        <w:t>Drury P, Jo E.</w:t>
      </w:r>
      <w:r>
        <w:t xml:space="preserve"> </w:t>
      </w:r>
      <w:r w:rsidRPr="00E07B1B">
        <w:t xml:space="preserve">2013. </w:t>
      </w:r>
      <w:r w:rsidRPr="00E07B1B">
        <w:rPr>
          <w:i/>
          <w:iCs/>
        </w:rPr>
        <w:t>Increasing Incidence of Diabetes in Pregnancy in New Zealand. Report from the NZSSD and National Diabetes Services Improvement Group</w:t>
      </w:r>
      <w:r w:rsidRPr="00E07B1B">
        <w:t>. Wellington: Ministry of Health.</w:t>
      </w:r>
    </w:p>
    <w:p w:rsidR="0068074A" w:rsidRDefault="0025490C" w:rsidP="000A645D">
      <w:pPr>
        <w:pStyle w:val="References"/>
      </w:pPr>
      <w:r w:rsidRPr="00E07B1B">
        <w:t>Ekelund</w:t>
      </w:r>
      <w:r>
        <w:t xml:space="preserve"> </w:t>
      </w:r>
      <w:r w:rsidRPr="00E07B1B">
        <w:t xml:space="preserve">M, Shaat N, Almgren P, </w:t>
      </w:r>
      <w:r w:rsidR="00D562F2">
        <w:t>et al</w:t>
      </w:r>
      <w:r w:rsidRPr="00E07B1B">
        <w:t xml:space="preserve">. 2010. Prediction of postpartum diabetes in women with gestational diabetes mellitus. </w:t>
      </w:r>
      <w:r w:rsidRPr="00E07B1B">
        <w:rPr>
          <w:i/>
          <w:iCs/>
        </w:rPr>
        <w:t>Diabetologia</w:t>
      </w:r>
      <w:r>
        <w:rPr>
          <w:i/>
          <w:iCs/>
        </w:rPr>
        <w:t xml:space="preserve"> </w:t>
      </w:r>
      <w:r w:rsidRPr="00E07B1B">
        <w:rPr>
          <w:iCs/>
        </w:rPr>
        <w:t>53</w:t>
      </w:r>
      <w:r w:rsidRPr="00E07B1B">
        <w:t>: 452</w:t>
      </w:r>
      <w:r>
        <w:t>–</w:t>
      </w:r>
      <w:r w:rsidRPr="00E07B1B">
        <w:t>7.</w:t>
      </w:r>
    </w:p>
    <w:p w:rsidR="0025490C" w:rsidRPr="00E07B1B" w:rsidRDefault="0025490C" w:rsidP="000A645D">
      <w:pPr>
        <w:pStyle w:val="References"/>
      </w:pPr>
      <w:r w:rsidRPr="00E07B1B">
        <w:t xml:space="preserve">Falavigna M, Schmidt M, Trujillo J, </w:t>
      </w:r>
      <w:r w:rsidR="00D562F2">
        <w:t>et al</w:t>
      </w:r>
      <w:r w:rsidRPr="00E07B1B">
        <w:t xml:space="preserve">. 2012. Effectiveness of gestational diabetes treatment: </w:t>
      </w:r>
      <w:r>
        <w:t>a</w:t>
      </w:r>
      <w:r w:rsidR="003E165B">
        <w:t> </w:t>
      </w:r>
      <w:r w:rsidRPr="00E07B1B">
        <w:t xml:space="preserve">systematic review with quality of evidence assessment. </w:t>
      </w:r>
      <w:r w:rsidRPr="00E07B1B">
        <w:rPr>
          <w:i/>
          <w:iCs/>
        </w:rPr>
        <w:t>Diabetes Research and Clinical Practice</w:t>
      </w:r>
      <w:r w:rsidRPr="00E07B1B">
        <w:t>. DOI:</w:t>
      </w:r>
      <w:r>
        <w:t xml:space="preserve"> </w:t>
      </w:r>
      <w:r w:rsidRPr="00E07B1B">
        <w:t>doi.org/10.1016/j.diabres.2012.09.002</w:t>
      </w:r>
      <w:r w:rsidR="003E165B">
        <w:t>.</w:t>
      </w:r>
    </w:p>
    <w:p w:rsidR="0068074A" w:rsidRDefault="0025490C" w:rsidP="000A645D">
      <w:pPr>
        <w:pStyle w:val="References"/>
      </w:pPr>
      <w:r w:rsidRPr="00E07B1B">
        <w:t xml:space="preserve">Far MA, Ziaei S, Kazemnejad A. 2012. The impact of maternal </w:t>
      </w:r>
      <w:r>
        <w:t>a</w:t>
      </w:r>
      <w:r w:rsidRPr="00E07B1B">
        <w:t xml:space="preserve">ge, pre-pregnancy body mass index, weight gain and parity on glucose challenge test (GCT). </w:t>
      </w:r>
      <w:r w:rsidRPr="00E07B1B">
        <w:rPr>
          <w:i/>
          <w:iCs/>
        </w:rPr>
        <w:t>International Journal of Fertility and Sterility</w:t>
      </w:r>
      <w:r>
        <w:rPr>
          <w:i/>
          <w:iCs/>
        </w:rPr>
        <w:t xml:space="preserve"> </w:t>
      </w:r>
      <w:r w:rsidRPr="00E07B1B">
        <w:rPr>
          <w:iCs/>
        </w:rPr>
        <w:t>5(4):</w:t>
      </w:r>
      <w:r w:rsidRPr="00E07B1B">
        <w:t xml:space="preserve"> 207</w:t>
      </w:r>
      <w:r>
        <w:t>–</w:t>
      </w:r>
      <w:r w:rsidRPr="00E07B1B">
        <w:t>10.</w:t>
      </w:r>
    </w:p>
    <w:p w:rsidR="0068074A" w:rsidRDefault="0025490C" w:rsidP="000A645D">
      <w:pPr>
        <w:pStyle w:val="References"/>
      </w:pPr>
      <w:r w:rsidRPr="00E07B1B">
        <w:t>Ferrara A, Hedderson M</w:t>
      </w:r>
      <w:r>
        <w:t>, Albright C,</w:t>
      </w:r>
      <w:r w:rsidRPr="00E07B1B">
        <w:t xml:space="preserve"> </w:t>
      </w:r>
      <w:r w:rsidR="00D562F2">
        <w:t>et al</w:t>
      </w:r>
      <w:r w:rsidRPr="00E07B1B">
        <w:t xml:space="preserve">. 2011. A pregnancy and postpartum lifestyle intervention in women with gestational diabetes mellitus reduces diabetes risk factors: a feasibility randomized control trial. </w:t>
      </w:r>
      <w:r w:rsidRPr="00E07B1B">
        <w:rPr>
          <w:i/>
          <w:iCs/>
        </w:rPr>
        <w:t xml:space="preserve">Diabetes Care </w:t>
      </w:r>
      <w:r w:rsidRPr="00E07B1B">
        <w:rPr>
          <w:iCs/>
        </w:rPr>
        <w:t>34</w:t>
      </w:r>
      <w:r w:rsidRPr="00E07B1B">
        <w:t>(7): 1519</w:t>
      </w:r>
      <w:r>
        <w:t>–</w:t>
      </w:r>
      <w:r w:rsidRPr="00E07B1B">
        <w:t>25.</w:t>
      </w:r>
    </w:p>
    <w:p w:rsidR="0025490C" w:rsidRPr="00E07B1B" w:rsidRDefault="0025490C" w:rsidP="000A645D">
      <w:pPr>
        <w:pStyle w:val="References"/>
      </w:pPr>
      <w:r w:rsidRPr="00E07B1B">
        <w:t>Fetit LS, Sobngwi</w:t>
      </w:r>
      <w:r>
        <w:t xml:space="preserve"> </w:t>
      </w:r>
      <w:r w:rsidRPr="00E07B1B">
        <w:t xml:space="preserve">E, Serradas P, </w:t>
      </w:r>
      <w:r w:rsidR="00D562F2">
        <w:t>et al</w:t>
      </w:r>
      <w:r w:rsidRPr="00E07B1B">
        <w:t xml:space="preserve">. 2006. Consequences of fetal exposure to maternal diabetes in offspring. </w:t>
      </w:r>
      <w:r w:rsidRPr="00E07B1B">
        <w:rPr>
          <w:i/>
          <w:iCs/>
        </w:rPr>
        <w:t>J</w:t>
      </w:r>
      <w:r>
        <w:rPr>
          <w:i/>
          <w:iCs/>
        </w:rPr>
        <w:t>ournal of</w:t>
      </w:r>
      <w:r w:rsidRPr="00E07B1B">
        <w:rPr>
          <w:i/>
          <w:iCs/>
        </w:rPr>
        <w:t xml:space="preserve"> Clin</w:t>
      </w:r>
      <w:r>
        <w:rPr>
          <w:i/>
          <w:iCs/>
        </w:rPr>
        <w:t>ical</w:t>
      </w:r>
      <w:r w:rsidRPr="00E07B1B">
        <w:rPr>
          <w:i/>
          <w:iCs/>
        </w:rPr>
        <w:t xml:space="preserve"> Endocrinol</w:t>
      </w:r>
      <w:r>
        <w:rPr>
          <w:i/>
          <w:iCs/>
        </w:rPr>
        <w:t>ogy</w:t>
      </w:r>
      <w:r w:rsidRPr="00E07B1B">
        <w:rPr>
          <w:i/>
          <w:iCs/>
        </w:rPr>
        <w:t xml:space="preserve"> &amp; Metab</w:t>
      </w:r>
      <w:r>
        <w:rPr>
          <w:i/>
          <w:iCs/>
        </w:rPr>
        <w:t>olism</w:t>
      </w:r>
      <w:r w:rsidRPr="00E07B1B">
        <w:rPr>
          <w:i/>
          <w:iCs/>
        </w:rPr>
        <w:t xml:space="preserve"> </w:t>
      </w:r>
      <w:r w:rsidRPr="00E07B1B">
        <w:rPr>
          <w:iCs/>
        </w:rPr>
        <w:t>91</w:t>
      </w:r>
      <w:r w:rsidRPr="00E07B1B">
        <w:t>(10): 3718</w:t>
      </w:r>
      <w:r>
        <w:t>–</w:t>
      </w:r>
      <w:r w:rsidRPr="00E07B1B">
        <w:t>24.</w:t>
      </w:r>
    </w:p>
    <w:p w:rsidR="0025490C" w:rsidRPr="00E07B1B" w:rsidRDefault="0025490C" w:rsidP="000A645D">
      <w:pPr>
        <w:pStyle w:val="References"/>
      </w:pPr>
      <w:r w:rsidRPr="00E07B1B">
        <w:t xml:space="preserve">Gagnon A, McDermott S, Rigol-Chachamovich J, </w:t>
      </w:r>
      <w:r w:rsidR="00D562F2">
        <w:t>et al</w:t>
      </w:r>
      <w:r w:rsidRPr="00E07B1B">
        <w:t xml:space="preserve">. 2011. International migration and gestational diabetes mellitus: a systematic review of the literature and meta-analysis. </w:t>
      </w:r>
      <w:r w:rsidRPr="00E07B1B">
        <w:rPr>
          <w:i/>
          <w:iCs/>
        </w:rPr>
        <w:t xml:space="preserve">Paediatric and Perinatal Epidemiology </w:t>
      </w:r>
      <w:r w:rsidRPr="00E07B1B">
        <w:rPr>
          <w:iCs/>
        </w:rPr>
        <w:t>25</w:t>
      </w:r>
      <w:r w:rsidRPr="00E07B1B">
        <w:t>: 575</w:t>
      </w:r>
      <w:r>
        <w:t>–</w:t>
      </w:r>
      <w:r w:rsidRPr="00E07B1B">
        <w:t>92.</w:t>
      </w:r>
    </w:p>
    <w:p w:rsidR="0068074A" w:rsidRDefault="0025490C" w:rsidP="000A645D">
      <w:pPr>
        <w:pStyle w:val="References"/>
      </w:pPr>
      <w:r w:rsidRPr="00E07B1B">
        <w:t xml:space="preserve">George J. 2011. Improving the post-natal management of women with diabetes in pregnancy. </w:t>
      </w:r>
      <w:r w:rsidRPr="00E07B1B">
        <w:rPr>
          <w:i/>
          <w:iCs/>
        </w:rPr>
        <w:t>Kai</w:t>
      </w:r>
      <w:r w:rsidR="00291C12">
        <w:rPr>
          <w:i/>
          <w:iCs/>
        </w:rPr>
        <w:t> </w:t>
      </w:r>
      <w:r w:rsidRPr="00E07B1B">
        <w:rPr>
          <w:i/>
          <w:iCs/>
        </w:rPr>
        <w:t xml:space="preserve">Tiaki Nursing New Zealand </w:t>
      </w:r>
      <w:r w:rsidRPr="00E07B1B">
        <w:rPr>
          <w:iCs/>
        </w:rPr>
        <w:t>17</w:t>
      </w:r>
      <w:r w:rsidRPr="00E07B1B">
        <w:t>(2): 24</w:t>
      </w:r>
      <w:r>
        <w:t>–</w:t>
      </w:r>
      <w:r w:rsidRPr="00E07B1B">
        <w:t>5.</w:t>
      </w:r>
    </w:p>
    <w:p w:rsidR="0068074A" w:rsidRDefault="0025490C" w:rsidP="000A645D">
      <w:pPr>
        <w:pStyle w:val="References"/>
      </w:pPr>
      <w:r w:rsidRPr="00E07B1B">
        <w:t xml:space="preserve">Gestational Diabetes Mellitus Technical Working Party. 2007. </w:t>
      </w:r>
      <w:r w:rsidRPr="00E07B1B">
        <w:rPr>
          <w:i/>
          <w:iCs/>
        </w:rPr>
        <w:t>Gestational Diabetes Mellitus in New</w:t>
      </w:r>
      <w:r w:rsidR="003E165B">
        <w:rPr>
          <w:i/>
          <w:iCs/>
        </w:rPr>
        <w:t> </w:t>
      </w:r>
      <w:r w:rsidRPr="00E07B1B">
        <w:rPr>
          <w:i/>
          <w:iCs/>
        </w:rPr>
        <w:t>Zealand</w:t>
      </w:r>
      <w:r>
        <w:rPr>
          <w:i/>
          <w:iCs/>
        </w:rPr>
        <w:t>:</w:t>
      </w:r>
      <w:r w:rsidRPr="00E07B1B">
        <w:rPr>
          <w:i/>
          <w:iCs/>
        </w:rPr>
        <w:t xml:space="preserve"> Technical report</w:t>
      </w:r>
      <w:r w:rsidRPr="00E07B1B">
        <w:t>.</w:t>
      </w:r>
    </w:p>
    <w:p w:rsidR="0068074A" w:rsidRDefault="0025490C" w:rsidP="000A645D">
      <w:pPr>
        <w:pStyle w:val="References"/>
      </w:pPr>
      <w:r w:rsidRPr="00E07B1B">
        <w:t xml:space="preserve">Getahun D, Fassett M, Jacobsen SJ. 2010. Gestational diabetes: risk of recurrence in subsequent pregnancies. </w:t>
      </w:r>
      <w:r w:rsidRPr="00E07B1B">
        <w:rPr>
          <w:i/>
          <w:iCs/>
        </w:rPr>
        <w:t xml:space="preserve">American Journal of Obstetrics &amp; Gynecology </w:t>
      </w:r>
      <w:r w:rsidRPr="00E07B1B">
        <w:rPr>
          <w:iCs/>
        </w:rPr>
        <w:t>203</w:t>
      </w:r>
      <w:r w:rsidRPr="00E07B1B">
        <w:t>(467): e1</w:t>
      </w:r>
      <w:r>
        <w:t>–</w:t>
      </w:r>
      <w:r w:rsidRPr="00E07B1B">
        <w:t>6.</w:t>
      </w:r>
    </w:p>
    <w:p w:rsidR="0068074A" w:rsidRDefault="0025490C" w:rsidP="000A645D">
      <w:pPr>
        <w:pStyle w:val="References"/>
      </w:pPr>
      <w:r w:rsidRPr="00E07B1B">
        <w:t xml:space="preserve">Gibson KS, Waters TP, </w:t>
      </w:r>
      <w:r>
        <w:t>Catalano P</w:t>
      </w:r>
      <w:r w:rsidRPr="00E07B1B">
        <w:t xml:space="preserve">. 2012. Maternal weight gain in women who develop gestational diabetes mellitus. </w:t>
      </w:r>
      <w:r w:rsidRPr="00E07B1B">
        <w:rPr>
          <w:i/>
          <w:iCs/>
        </w:rPr>
        <w:t xml:space="preserve">Obstetrics &amp; Gynecology </w:t>
      </w:r>
      <w:r w:rsidRPr="00E07B1B">
        <w:rPr>
          <w:iCs/>
        </w:rPr>
        <w:t>119</w:t>
      </w:r>
      <w:r w:rsidRPr="00E07B1B">
        <w:t>(3): 560</w:t>
      </w:r>
      <w:r>
        <w:t>–</w:t>
      </w:r>
      <w:r w:rsidRPr="00E07B1B">
        <w:t>5.</w:t>
      </w:r>
    </w:p>
    <w:p w:rsidR="0025490C" w:rsidRPr="00E07B1B" w:rsidRDefault="0025490C" w:rsidP="000A645D">
      <w:pPr>
        <w:pStyle w:val="References"/>
      </w:pPr>
      <w:r w:rsidRPr="00E07B1B">
        <w:t xml:space="preserve">Girgis C, Gunton J, Cheung NW. 2012. The influence of ethnicity on the development of type 2 diabetes mellitus in women with gestational diabetes: </w:t>
      </w:r>
      <w:r>
        <w:t>a</w:t>
      </w:r>
      <w:r w:rsidRPr="00E07B1B">
        <w:t xml:space="preserve"> prospective study and review of the literature. </w:t>
      </w:r>
      <w:r w:rsidRPr="00E07B1B">
        <w:rPr>
          <w:i/>
          <w:iCs/>
        </w:rPr>
        <w:t>International Scholarly Research Network Endocrinology</w:t>
      </w:r>
      <w:r w:rsidRPr="00E07B1B">
        <w:t xml:space="preserve"> DOI:</w:t>
      </w:r>
      <w:r>
        <w:t xml:space="preserve"> </w:t>
      </w:r>
      <w:r w:rsidRPr="00E07B1B">
        <w:t>10.5402/2012/341638</w:t>
      </w:r>
      <w:r w:rsidR="003E165B">
        <w:t>.</w:t>
      </w:r>
    </w:p>
    <w:p w:rsidR="0068074A" w:rsidRDefault="0025490C" w:rsidP="000A645D">
      <w:pPr>
        <w:pStyle w:val="References"/>
      </w:pPr>
      <w:r w:rsidRPr="00E07B1B">
        <w:t xml:space="preserve">Golden SH, Bennett WL, Baptist-Roberts K, </w:t>
      </w:r>
      <w:r w:rsidR="00D562F2">
        <w:t>et al</w:t>
      </w:r>
      <w:r w:rsidRPr="00E07B1B">
        <w:t xml:space="preserve">. 2009. Antepartum glucose tolerance test results as predictors of type 2 diabetes mellitus in women with a history of gestational diabetes mellitus: a systematic review. </w:t>
      </w:r>
      <w:r w:rsidRPr="00E07B1B">
        <w:rPr>
          <w:i/>
          <w:iCs/>
        </w:rPr>
        <w:t xml:space="preserve">Gender Medicine </w:t>
      </w:r>
      <w:r w:rsidRPr="00E07B1B">
        <w:rPr>
          <w:iCs/>
        </w:rPr>
        <w:t>6</w:t>
      </w:r>
      <w:r>
        <w:rPr>
          <w:iCs/>
        </w:rPr>
        <w:t>(</w:t>
      </w:r>
      <w:r w:rsidRPr="00E07B1B">
        <w:rPr>
          <w:iCs/>
        </w:rPr>
        <w:t>Suppl 1</w:t>
      </w:r>
      <w:r>
        <w:rPr>
          <w:iCs/>
        </w:rPr>
        <w:t>)</w:t>
      </w:r>
      <w:r w:rsidRPr="00E07B1B">
        <w:t>: 109</w:t>
      </w:r>
      <w:r>
        <w:t>–</w:t>
      </w:r>
      <w:r w:rsidRPr="00E07B1B">
        <w:t>22.</w:t>
      </w:r>
    </w:p>
    <w:p w:rsidR="0068074A" w:rsidRDefault="0025490C" w:rsidP="000A645D">
      <w:pPr>
        <w:pStyle w:val="References"/>
      </w:pPr>
      <w:r w:rsidRPr="00E07B1B">
        <w:t>Goldenberg</w:t>
      </w:r>
      <w:r>
        <w:t xml:space="preserve"> </w:t>
      </w:r>
      <w:r w:rsidRPr="00E07B1B">
        <w:t xml:space="preserve">RM, Cheng AYY, Punthake Z, </w:t>
      </w:r>
      <w:r w:rsidR="00D562F2">
        <w:t>et al</w:t>
      </w:r>
      <w:r w:rsidRPr="00E07B1B">
        <w:t xml:space="preserve">. 2011. Position statement. Use of glycated haemoglobin (AIC) in the diagnosis of type 2 diabetes mellitus in adults. </w:t>
      </w:r>
      <w:r w:rsidRPr="00E07B1B">
        <w:rPr>
          <w:i/>
          <w:iCs/>
        </w:rPr>
        <w:t>Canadian Journal of Diabetes</w:t>
      </w:r>
      <w:r>
        <w:rPr>
          <w:i/>
          <w:iCs/>
        </w:rPr>
        <w:t xml:space="preserve"> </w:t>
      </w:r>
      <w:r w:rsidRPr="00E07B1B">
        <w:rPr>
          <w:iCs/>
        </w:rPr>
        <w:t>35</w:t>
      </w:r>
      <w:r w:rsidRPr="00E07B1B">
        <w:t>: 247</w:t>
      </w:r>
      <w:r>
        <w:t>–</w:t>
      </w:r>
      <w:r w:rsidRPr="00E07B1B">
        <w:t>49.</w:t>
      </w:r>
    </w:p>
    <w:p w:rsidR="0068074A" w:rsidRDefault="0025490C" w:rsidP="000A645D">
      <w:pPr>
        <w:pStyle w:val="References"/>
      </w:pPr>
      <w:r w:rsidRPr="00E07B1B">
        <w:t xml:space="preserve">Gonzalez-Clemente JM, Carro O, Gallach I, </w:t>
      </w:r>
      <w:r w:rsidR="00D562F2">
        <w:t>et al</w:t>
      </w:r>
      <w:r w:rsidRPr="00E07B1B">
        <w:t>. 2007. Increased cholesterol intake in women with gestatio</w:t>
      </w:r>
      <w:r>
        <w:t>na</w:t>
      </w:r>
      <w:r w:rsidRPr="00E07B1B">
        <w:t xml:space="preserve">l diabetes mellitus. </w:t>
      </w:r>
      <w:r w:rsidRPr="00E07B1B">
        <w:rPr>
          <w:i/>
          <w:iCs/>
        </w:rPr>
        <w:t>Diabetes and Metabolism</w:t>
      </w:r>
      <w:r>
        <w:rPr>
          <w:i/>
          <w:iCs/>
        </w:rPr>
        <w:t xml:space="preserve"> </w:t>
      </w:r>
      <w:r w:rsidRPr="00E07B1B">
        <w:rPr>
          <w:iCs/>
        </w:rPr>
        <w:t>33</w:t>
      </w:r>
      <w:r w:rsidRPr="00E07B1B">
        <w:t>(1): 25</w:t>
      </w:r>
      <w:r>
        <w:t>–</w:t>
      </w:r>
      <w:r w:rsidRPr="00E07B1B">
        <w:t>9.</w:t>
      </w:r>
    </w:p>
    <w:p w:rsidR="0068074A" w:rsidRDefault="0025490C" w:rsidP="000A645D">
      <w:pPr>
        <w:pStyle w:val="References"/>
      </w:pPr>
      <w:r w:rsidRPr="00E07B1B">
        <w:t>Guedj AM.</w:t>
      </w:r>
      <w:r>
        <w:t xml:space="preserve"> </w:t>
      </w:r>
      <w:r w:rsidRPr="00E07B1B">
        <w:t xml:space="preserve">2010. When should screening be performed for gestational diabetes? </w:t>
      </w:r>
      <w:r w:rsidRPr="00E07B1B">
        <w:rPr>
          <w:i/>
          <w:iCs/>
        </w:rPr>
        <w:t xml:space="preserve">Diabetes and Metabolism </w:t>
      </w:r>
      <w:r w:rsidRPr="00E07B1B">
        <w:rPr>
          <w:iCs/>
        </w:rPr>
        <w:t>36:</w:t>
      </w:r>
      <w:r w:rsidRPr="00E07B1B">
        <w:t xml:space="preserve"> 652</w:t>
      </w:r>
      <w:r>
        <w:t>–</w:t>
      </w:r>
      <w:r w:rsidRPr="00E07B1B">
        <w:t>7.</w:t>
      </w:r>
    </w:p>
    <w:p w:rsidR="0068074A" w:rsidRDefault="0025490C" w:rsidP="000A645D">
      <w:pPr>
        <w:pStyle w:val="References"/>
      </w:pPr>
      <w:r w:rsidRPr="00E07B1B">
        <w:t xml:space="preserve">Gunderson EP. 2007. Breastfeeding after gestational diabetes. </w:t>
      </w:r>
      <w:r w:rsidRPr="00E07B1B">
        <w:rPr>
          <w:i/>
          <w:iCs/>
        </w:rPr>
        <w:t xml:space="preserve">Diabetes Care </w:t>
      </w:r>
      <w:r w:rsidRPr="00E07B1B">
        <w:rPr>
          <w:iCs/>
        </w:rPr>
        <w:t>30</w:t>
      </w:r>
      <w:r w:rsidRPr="00E07B1B">
        <w:t>(Suppl</w:t>
      </w:r>
      <w:r>
        <w:t xml:space="preserve"> </w:t>
      </w:r>
      <w:r w:rsidRPr="00E07B1B">
        <w:t>2): S161</w:t>
      </w:r>
      <w:r>
        <w:t>–</w:t>
      </w:r>
      <w:r w:rsidRPr="00E07B1B">
        <w:t>8.</w:t>
      </w:r>
    </w:p>
    <w:p w:rsidR="0068074A" w:rsidRDefault="0025490C" w:rsidP="000A645D">
      <w:pPr>
        <w:pStyle w:val="References"/>
      </w:pPr>
      <w:r w:rsidRPr="00E07B1B">
        <w:t xml:space="preserve">Gunderson EP, Jacobs Jr DR, Chiang V, </w:t>
      </w:r>
      <w:r w:rsidR="00D562F2">
        <w:t>et al</w:t>
      </w:r>
      <w:r w:rsidRPr="00E07B1B">
        <w:t xml:space="preserve">. 2010. Duration of lactation and incidence of the metabolic syndrome in women of reproductive age according to gestational </w:t>
      </w:r>
      <w:r>
        <w:t>diabetes mellitus status: a 20-y</w:t>
      </w:r>
      <w:r w:rsidRPr="00E07B1B">
        <w:t xml:space="preserve">ear prospective study in CARDIA (Coronary Artery Risk Development in Young Adults). </w:t>
      </w:r>
      <w:r w:rsidRPr="00E07B1B">
        <w:rPr>
          <w:i/>
          <w:iCs/>
        </w:rPr>
        <w:t xml:space="preserve">Diabetes </w:t>
      </w:r>
      <w:r w:rsidRPr="00E07B1B">
        <w:rPr>
          <w:iCs/>
        </w:rPr>
        <w:t>59(2):</w:t>
      </w:r>
      <w:r w:rsidRPr="00E07B1B">
        <w:t xml:space="preserve"> 495</w:t>
      </w:r>
      <w:r>
        <w:t>–</w:t>
      </w:r>
      <w:r w:rsidRPr="00E07B1B">
        <w:t>504.</w:t>
      </w:r>
    </w:p>
    <w:p w:rsidR="0068074A" w:rsidRDefault="0025490C" w:rsidP="000A645D">
      <w:pPr>
        <w:pStyle w:val="References"/>
      </w:pPr>
      <w:r w:rsidRPr="00E07B1B">
        <w:t>Gunderson EP, Crites Y, Chiang V</w:t>
      </w:r>
      <w:r>
        <w:t>,</w:t>
      </w:r>
      <w:r w:rsidRPr="00E07B1B">
        <w:t xml:space="preserve"> </w:t>
      </w:r>
      <w:r w:rsidR="00D562F2">
        <w:t>et al</w:t>
      </w:r>
      <w:r w:rsidRPr="00E07B1B">
        <w:t>. 2012</w:t>
      </w:r>
      <w:r>
        <w:t>a</w:t>
      </w:r>
      <w:r w:rsidRPr="00E07B1B">
        <w:t xml:space="preserve">. Influence of breastfeeding during the postpartum oral glucose tolerance test on plasma glucose and insulin. </w:t>
      </w:r>
      <w:r w:rsidRPr="00E07B1B">
        <w:rPr>
          <w:i/>
          <w:iCs/>
        </w:rPr>
        <w:t xml:space="preserve">Obstetrics &amp; Gynecology </w:t>
      </w:r>
      <w:r w:rsidRPr="00E07B1B">
        <w:rPr>
          <w:iCs/>
        </w:rPr>
        <w:t>120</w:t>
      </w:r>
      <w:r w:rsidRPr="00E07B1B">
        <w:t>(1): 136</w:t>
      </w:r>
      <w:r>
        <w:t>–</w:t>
      </w:r>
      <w:r w:rsidRPr="00E07B1B">
        <w:t>43.</w:t>
      </w:r>
    </w:p>
    <w:p w:rsidR="0068074A" w:rsidRDefault="0025490C" w:rsidP="000A645D">
      <w:pPr>
        <w:pStyle w:val="References"/>
      </w:pPr>
      <w:r w:rsidRPr="00E07B1B">
        <w:t>Gunderson</w:t>
      </w:r>
      <w:r>
        <w:t xml:space="preserve"> </w:t>
      </w:r>
      <w:r w:rsidRPr="00E07B1B">
        <w:t xml:space="preserve">EP, Hedderson M, Chang V, </w:t>
      </w:r>
      <w:r w:rsidR="00D562F2">
        <w:t>et al</w:t>
      </w:r>
      <w:r w:rsidRPr="00E07B1B">
        <w:t xml:space="preserve">. 2012b. Lactation intensity and postpartum maternal glucose tolerance and insulin resistance in women with recent GDM. </w:t>
      </w:r>
      <w:r w:rsidRPr="00E07B1B">
        <w:rPr>
          <w:i/>
          <w:iCs/>
        </w:rPr>
        <w:t xml:space="preserve">Diabetes Care </w:t>
      </w:r>
      <w:r w:rsidRPr="00E07B1B">
        <w:rPr>
          <w:iCs/>
        </w:rPr>
        <w:t>35</w:t>
      </w:r>
      <w:r w:rsidRPr="00E07B1B">
        <w:t>: 50</w:t>
      </w:r>
      <w:r>
        <w:t>–</w:t>
      </w:r>
      <w:r w:rsidRPr="00E07B1B">
        <w:t>6.</w:t>
      </w:r>
    </w:p>
    <w:p w:rsidR="0068074A" w:rsidRDefault="0025490C" w:rsidP="000A645D">
      <w:pPr>
        <w:pStyle w:val="References"/>
      </w:pPr>
      <w:r w:rsidRPr="00E07B1B">
        <w:t xml:space="preserve">Hadar E, Hod M. 2010. Establishing consensus criteria for the diagnosis of diabetes in pregnancy following the HAPO study. </w:t>
      </w:r>
      <w:r w:rsidRPr="00E07B1B">
        <w:rPr>
          <w:i/>
          <w:iCs/>
        </w:rPr>
        <w:t>Ann</w:t>
      </w:r>
      <w:r>
        <w:rPr>
          <w:i/>
          <w:iCs/>
        </w:rPr>
        <w:t>als of</w:t>
      </w:r>
      <w:r w:rsidRPr="00E07B1B">
        <w:rPr>
          <w:i/>
          <w:iCs/>
        </w:rPr>
        <w:t xml:space="preserve"> N</w:t>
      </w:r>
      <w:r>
        <w:rPr>
          <w:i/>
          <w:iCs/>
        </w:rPr>
        <w:t>ew</w:t>
      </w:r>
      <w:r w:rsidRPr="00E07B1B">
        <w:rPr>
          <w:i/>
          <w:iCs/>
        </w:rPr>
        <w:t xml:space="preserve"> Y</w:t>
      </w:r>
      <w:r>
        <w:rPr>
          <w:i/>
          <w:iCs/>
        </w:rPr>
        <w:t>ork</w:t>
      </w:r>
      <w:r w:rsidRPr="00E07B1B">
        <w:rPr>
          <w:i/>
          <w:iCs/>
        </w:rPr>
        <w:t xml:space="preserve"> Acad</w:t>
      </w:r>
      <w:r>
        <w:rPr>
          <w:i/>
          <w:iCs/>
        </w:rPr>
        <w:t>emy of</w:t>
      </w:r>
      <w:r w:rsidRPr="00E07B1B">
        <w:rPr>
          <w:i/>
          <w:iCs/>
        </w:rPr>
        <w:t xml:space="preserve"> Sci</w:t>
      </w:r>
      <w:r>
        <w:rPr>
          <w:i/>
          <w:iCs/>
        </w:rPr>
        <w:t>ences</w:t>
      </w:r>
      <w:r w:rsidRPr="00E07B1B">
        <w:rPr>
          <w:i/>
          <w:iCs/>
        </w:rPr>
        <w:t xml:space="preserve"> </w:t>
      </w:r>
      <w:r w:rsidRPr="00E07B1B">
        <w:rPr>
          <w:iCs/>
        </w:rPr>
        <w:t>1205</w:t>
      </w:r>
      <w:r w:rsidRPr="00E07B1B">
        <w:t>: 88</w:t>
      </w:r>
      <w:r>
        <w:t>–</w:t>
      </w:r>
      <w:r w:rsidRPr="00E07B1B">
        <w:t>93.</w:t>
      </w:r>
    </w:p>
    <w:p w:rsidR="0068074A" w:rsidRDefault="0025490C" w:rsidP="000A645D">
      <w:pPr>
        <w:pStyle w:val="References"/>
      </w:pPr>
      <w:r w:rsidRPr="00E07B1B">
        <w:t xml:space="preserve">Hale NL, Probst JC, Liu J, </w:t>
      </w:r>
      <w:r w:rsidR="00D562F2">
        <w:t>et al</w:t>
      </w:r>
      <w:r w:rsidRPr="00E07B1B">
        <w:t xml:space="preserve">. 2012. Postpartum screening for diabetes among Medicaid-eligible South Carolina women with gestational diabetes. </w:t>
      </w:r>
      <w:r w:rsidRPr="00E07B1B">
        <w:rPr>
          <w:i/>
          <w:iCs/>
        </w:rPr>
        <w:t>Women</w:t>
      </w:r>
      <w:r w:rsidR="0068074A">
        <w:rPr>
          <w:i/>
          <w:iCs/>
        </w:rPr>
        <w:t>’</w:t>
      </w:r>
      <w:r w:rsidRPr="00E07B1B">
        <w:rPr>
          <w:i/>
          <w:iCs/>
        </w:rPr>
        <w:t xml:space="preserve">s Health Issues </w:t>
      </w:r>
      <w:r w:rsidRPr="00E07B1B">
        <w:rPr>
          <w:iCs/>
        </w:rPr>
        <w:t>22</w:t>
      </w:r>
      <w:r w:rsidRPr="00E07B1B">
        <w:t>(2): e163</w:t>
      </w:r>
      <w:r>
        <w:t>–</w:t>
      </w:r>
      <w:r w:rsidRPr="00E07B1B">
        <w:t>9.</w:t>
      </w:r>
    </w:p>
    <w:p w:rsidR="0025490C" w:rsidRPr="00E07B1B" w:rsidRDefault="0025490C" w:rsidP="000A645D">
      <w:pPr>
        <w:pStyle w:val="References"/>
        <w:rPr>
          <w:color w:val="000000"/>
        </w:rPr>
      </w:pPr>
      <w:r w:rsidRPr="00E07B1B">
        <w:t xml:space="preserve">Han S, Middleton P, Crowther CA. 2012. Exercise for pregnant women for preventing gestational diabetes mellitus. </w:t>
      </w:r>
      <w:r w:rsidRPr="00E07B1B">
        <w:rPr>
          <w:i/>
          <w:iCs/>
        </w:rPr>
        <w:t>Cochrane Database of Systematic Reviews</w:t>
      </w:r>
      <w:r w:rsidRPr="00E07B1B">
        <w:t xml:space="preserve"> </w:t>
      </w:r>
      <w:r>
        <w:rPr>
          <w:color w:val="000000"/>
        </w:rPr>
        <w:t>(</w:t>
      </w:r>
      <w:r w:rsidRPr="00E07B1B">
        <w:rPr>
          <w:color w:val="000000"/>
        </w:rPr>
        <w:t>7</w:t>
      </w:r>
      <w:r>
        <w:rPr>
          <w:color w:val="000000"/>
        </w:rPr>
        <w:t>)</w:t>
      </w:r>
      <w:r w:rsidRPr="00E07B1B">
        <w:rPr>
          <w:color w:val="000000"/>
        </w:rPr>
        <w:t>. Art. no.: CD009021. DOI:</w:t>
      </w:r>
      <w:r>
        <w:rPr>
          <w:color w:val="000000"/>
        </w:rPr>
        <w:t xml:space="preserve"> 10.1002/14651858.CD009021.pub2</w:t>
      </w:r>
      <w:r w:rsidR="003E165B">
        <w:rPr>
          <w:color w:val="000000"/>
        </w:rPr>
        <w:t>.</w:t>
      </w:r>
    </w:p>
    <w:p w:rsidR="0025490C" w:rsidRPr="00E07B1B" w:rsidRDefault="0025490C" w:rsidP="000A645D">
      <w:pPr>
        <w:pStyle w:val="References"/>
      </w:pPr>
      <w:r w:rsidRPr="00E07B1B">
        <w:t xml:space="preserve">Han S, Crowther C, Middleton P, </w:t>
      </w:r>
      <w:r w:rsidR="00D562F2">
        <w:t>et al</w:t>
      </w:r>
      <w:r w:rsidRPr="00E07B1B">
        <w:t xml:space="preserve">. 2013. Different types of dietary advice for women with gestational diabetes mellitus. </w:t>
      </w:r>
      <w:r w:rsidRPr="00E07B1B">
        <w:rPr>
          <w:i/>
          <w:iCs/>
        </w:rPr>
        <w:t xml:space="preserve">Cochrane Database of Systematic Reviews </w:t>
      </w:r>
      <w:r w:rsidRPr="00E07B1B">
        <w:t>Issue 3. Art. no.: DOI:</w:t>
      </w:r>
      <w:r>
        <w:t xml:space="preserve"> </w:t>
      </w:r>
      <w:r w:rsidRPr="00E07B1B">
        <w:t>10.1002/14651858.CD009275</w:t>
      </w:r>
      <w:r w:rsidR="003E165B">
        <w:t>.</w:t>
      </w:r>
    </w:p>
    <w:p w:rsidR="0025490C" w:rsidRPr="00E07B1B" w:rsidRDefault="0025490C" w:rsidP="000A645D">
      <w:pPr>
        <w:pStyle w:val="References"/>
      </w:pPr>
      <w:r w:rsidRPr="00E07B1B">
        <w:t xml:space="preserve">Harizopoulou VC, Kritikos A, Papanikolaou Z, </w:t>
      </w:r>
      <w:r w:rsidR="00D562F2">
        <w:t>et al</w:t>
      </w:r>
      <w:r w:rsidRPr="00E07B1B">
        <w:t xml:space="preserve">. 2010. Maternal physical activity before and during early pregnancy as a risk factor for gestational diabetes mellitus. </w:t>
      </w:r>
      <w:r w:rsidRPr="00E07B1B">
        <w:rPr>
          <w:i/>
          <w:iCs/>
        </w:rPr>
        <w:t xml:space="preserve">Acta Diabetologica </w:t>
      </w:r>
      <w:r w:rsidRPr="00E07B1B">
        <w:rPr>
          <w:iCs/>
        </w:rPr>
        <w:t>47</w:t>
      </w:r>
      <w:r w:rsidRPr="00E07B1B">
        <w:t>(Suppl</w:t>
      </w:r>
      <w:r w:rsidR="00C76209">
        <w:t> </w:t>
      </w:r>
      <w:r w:rsidRPr="00E07B1B">
        <w:t>1): 83</w:t>
      </w:r>
      <w:r>
        <w:t>–</w:t>
      </w:r>
      <w:r w:rsidRPr="00E07B1B">
        <w:t>9</w:t>
      </w:r>
      <w:r>
        <w:t>.</w:t>
      </w:r>
    </w:p>
    <w:p w:rsidR="0025490C" w:rsidRPr="00E07B1B" w:rsidRDefault="0025490C" w:rsidP="000A645D">
      <w:pPr>
        <w:pStyle w:val="References"/>
      </w:pPr>
      <w:r w:rsidRPr="00E07B1B">
        <w:rPr>
          <w:color w:val="000000"/>
        </w:rPr>
        <w:t>Harris DL, Weston PJ</w:t>
      </w:r>
      <w:r>
        <w:rPr>
          <w:color w:val="000000"/>
        </w:rPr>
        <w:t>,</w:t>
      </w:r>
      <w:r w:rsidRPr="00E07B1B">
        <w:rPr>
          <w:color w:val="000000"/>
        </w:rPr>
        <w:t xml:space="preserve"> Harding JE. 2012. Incidence of neonatal hypoglycaemia in babies identified as at risk. </w:t>
      </w:r>
      <w:r w:rsidRPr="00E07B1B">
        <w:rPr>
          <w:i/>
          <w:color w:val="000000"/>
        </w:rPr>
        <w:t>Journal of Pediatrics</w:t>
      </w:r>
      <w:r w:rsidRPr="00E07B1B">
        <w:rPr>
          <w:color w:val="000000"/>
        </w:rPr>
        <w:t xml:space="preserve"> 161: 787</w:t>
      </w:r>
      <w:r>
        <w:rPr>
          <w:color w:val="000000"/>
        </w:rPr>
        <w:t>–</w:t>
      </w:r>
      <w:r w:rsidRPr="00E07B1B">
        <w:rPr>
          <w:color w:val="000000"/>
        </w:rPr>
        <w:t>91.</w:t>
      </w:r>
    </w:p>
    <w:p w:rsidR="0025490C" w:rsidRPr="00E07B1B" w:rsidRDefault="0025490C" w:rsidP="000A645D">
      <w:pPr>
        <w:pStyle w:val="References"/>
      </w:pPr>
      <w:r w:rsidRPr="00E07B1B">
        <w:t xml:space="preserve">Hartling L, Dryden DM, Guthrie A, </w:t>
      </w:r>
      <w:r w:rsidR="00D562F2">
        <w:t>et al</w:t>
      </w:r>
      <w:r w:rsidRPr="00E07B1B">
        <w:t xml:space="preserve">. 2012. </w:t>
      </w:r>
      <w:r w:rsidRPr="00E07B1B">
        <w:rPr>
          <w:i/>
          <w:iCs/>
        </w:rPr>
        <w:t xml:space="preserve">Screening and Diagnosing Gestational Diabetes Mellitus. </w:t>
      </w:r>
      <w:r w:rsidRPr="008902B1">
        <w:rPr>
          <w:iCs/>
        </w:rPr>
        <w:t>Evidence Report/Technology Assessment number 210</w:t>
      </w:r>
      <w:r w:rsidRPr="008A5159">
        <w:t>.</w:t>
      </w:r>
      <w:r w:rsidRPr="00E07B1B">
        <w:t xml:space="preserve"> Rockville MD: </w:t>
      </w:r>
      <w:r>
        <w:t>Agency for Healthcare Research and Quality</w:t>
      </w:r>
      <w:r w:rsidRPr="00E07B1B">
        <w:t>.</w:t>
      </w:r>
    </w:p>
    <w:p w:rsidR="0025490C" w:rsidRPr="00E07B1B" w:rsidRDefault="0025490C" w:rsidP="000A645D">
      <w:pPr>
        <w:pStyle w:val="References"/>
      </w:pPr>
      <w:r w:rsidRPr="00E07B1B">
        <w:t xml:space="preserve">Health Service Executive, Ireland. 2010. </w:t>
      </w:r>
      <w:r w:rsidRPr="00E07B1B">
        <w:rPr>
          <w:i/>
          <w:iCs/>
        </w:rPr>
        <w:t>Guidelines for the Management of Pre-gestational and Gestational Diabetes from Pre-conception to the Post-natal Period</w:t>
      </w:r>
      <w:r w:rsidRPr="00E07B1B">
        <w:t>. Dublin: Offices of the Nursing and Midwifery Services Director.</w:t>
      </w:r>
    </w:p>
    <w:p w:rsidR="0068074A" w:rsidRDefault="0025490C" w:rsidP="000A645D">
      <w:pPr>
        <w:pStyle w:val="References"/>
      </w:pPr>
      <w:r w:rsidRPr="00E07B1B">
        <w:t xml:space="preserve">Hedderson MM, Williams MA, Holt VL, </w:t>
      </w:r>
      <w:r w:rsidR="00D562F2">
        <w:t>et al</w:t>
      </w:r>
      <w:r w:rsidRPr="00E07B1B">
        <w:t xml:space="preserve">. 2008. Body mass index and weight gain prior to pregnancy and risk of gestational diabetes mellitus. </w:t>
      </w:r>
      <w:r w:rsidRPr="00E07B1B">
        <w:rPr>
          <w:i/>
          <w:iCs/>
        </w:rPr>
        <w:t xml:space="preserve">American Journal of Obstetrics &amp; Gynecology </w:t>
      </w:r>
      <w:r w:rsidRPr="00E07B1B">
        <w:rPr>
          <w:iCs/>
        </w:rPr>
        <w:t>198</w:t>
      </w:r>
      <w:r w:rsidRPr="00E07B1B">
        <w:t>(4): 409.e401</w:t>
      </w:r>
      <w:r>
        <w:t>–</w:t>
      </w:r>
      <w:r w:rsidRPr="00E07B1B">
        <w:t>7.</w:t>
      </w:r>
    </w:p>
    <w:p w:rsidR="0068074A" w:rsidRDefault="0025490C" w:rsidP="000A645D">
      <w:pPr>
        <w:pStyle w:val="References"/>
      </w:pPr>
      <w:r w:rsidRPr="00E07B1B">
        <w:t xml:space="preserve">Hedderson MM, Darbinian JA, Ferrara A. 2010a. Disparities in the risk of gestational diabetes by race-ethnicity and country of birth. </w:t>
      </w:r>
      <w:r w:rsidRPr="00E07B1B">
        <w:rPr>
          <w:i/>
          <w:iCs/>
        </w:rPr>
        <w:t xml:space="preserve">Paediatric and Perinatal Epidemiology </w:t>
      </w:r>
      <w:r w:rsidRPr="00E07B1B">
        <w:rPr>
          <w:iCs/>
        </w:rPr>
        <w:t>24</w:t>
      </w:r>
      <w:r w:rsidRPr="00E07B1B">
        <w:t>(5): 441</w:t>
      </w:r>
      <w:r>
        <w:t>–</w:t>
      </w:r>
      <w:r w:rsidRPr="00E07B1B">
        <w:t>8.</w:t>
      </w:r>
    </w:p>
    <w:p w:rsidR="0068074A" w:rsidRDefault="0025490C" w:rsidP="000A645D">
      <w:pPr>
        <w:pStyle w:val="References"/>
      </w:pPr>
      <w:r w:rsidRPr="00E07B1B">
        <w:t>Hedderson</w:t>
      </w:r>
      <w:r>
        <w:t xml:space="preserve"> </w:t>
      </w:r>
      <w:r w:rsidRPr="00E07B1B">
        <w:t>MM, Gunderson EP, Ferrara A. 2010</w:t>
      </w:r>
      <w:r>
        <w:t>b</w:t>
      </w:r>
      <w:r w:rsidRPr="00E07B1B">
        <w:t xml:space="preserve">. Gestational weight gain and risk of gestational diabetes mellitus. </w:t>
      </w:r>
      <w:r w:rsidRPr="00E07B1B">
        <w:rPr>
          <w:i/>
          <w:iCs/>
        </w:rPr>
        <w:t xml:space="preserve">Obstetrics and Gynecology </w:t>
      </w:r>
      <w:r w:rsidRPr="00E07B1B">
        <w:rPr>
          <w:iCs/>
        </w:rPr>
        <w:t>115 (3):</w:t>
      </w:r>
      <w:r w:rsidRPr="00E07B1B">
        <w:t xml:space="preserve"> 597</w:t>
      </w:r>
      <w:r>
        <w:t>–</w:t>
      </w:r>
      <w:r w:rsidRPr="00E07B1B">
        <w:t>604.</w:t>
      </w:r>
    </w:p>
    <w:p w:rsidR="0068074A" w:rsidRDefault="0025490C" w:rsidP="000A645D">
      <w:pPr>
        <w:pStyle w:val="References"/>
      </w:pPr>
      <w:r w:rsidRPr="00E07B1B">
        <w:t>Hedderson M</w:t>
      </w:r>
      <w:r>
        <w:t>M</w:t>
      </w:r>
      <w:r w:rsidRPr="00E07B1B">
        <w:t xml:space="preserve">, Ehrlich S, Sridhar S, </w:t>
      </w:r>
      <w:r w:rsidR="00D562F2">
        <w:t>et al</w:t>
      </w:r>
      <w:r w:rsidRPr="00E07B1B">
        <w:t xml:space="preserve">. 2012. Racial/ethnic disparities in the prevalence of gestational diabetes mellitus by BMI. </w:t>
      </w:r>
      <w:r w:rsidRPr="00E07B1B">
        <w:rPr>
          <w:i/>
          <w:iCs/>
        </w:rPr>
        <w:t xml:space="preserve">Diabetes Care </w:t>
      </w:r>
      <w:r w:rsidRPr="00E07B1B">
        <w:rPr>
          <w:iCs/>
        </w:rPr>
        <w:t>35(7)</w:t>
      </w:r>
      <w:r w:rsidRPr="00E07B1B">
        <w:t>: 1492</w:t>
      </w:r>
      <w:r>
        <w:t>–</w:t>
      </w:r>
      <w:r w:rsidRPr="00E07B1B">
        <w:t>8.</w:t>
      </w:r>
    </w:p>
    <w:p w:rsidR="0068074A" w:rsidRDefault="0025490C" w:rsidP="000A645D">
      <w:pPr>
        <w:pStyle w:val="References"/>
      </w:pPr>
      <w:r w:rsidRPr="00E07B1B">
        <w:t xml:space="preserve">Herring S, Oken E, Rifas-Shiman S, </w:t>
      </w:r>
      <w:r w:rsidR="00D562F2">
        <w:t>et al</w:t>
      </w:r>
      <w:r w:rsidRPr="00E07B1B">
        <w:t xml:space="preserve">. 2009. Weight gain in pregnancy and the risk of maternal hyperglycaemia. </w:t>
      </w:r>
      <w:r w:rsidRPr="00E07B1B">
        <w:rPr>
          <w:i/>
          <w:iCs/>
        </w:rPr>
        <w:t>American Journal of Obstetrics &amp; Gynecology</w:t>
      </w:r>
      <w:r>
        <w:rPr>
          <w:i/>
          <w:iCs/>
        </w:rPr>
        <w:t xml:space="preserve"> </w:t>
      </w:r>
      <w:r w:rsidRPr="00E07B1B">
        <w:rPr>
          <w:iCs/>
        </w:rPr>
        <w:t>201:</w:t>
      </w:r>
      <w:r w:rsidRPr="00E07B1B">
        <w:t xml:space="preserve"> e1</w:t>
      </w:r>
      <w:r>
        <w:t>–</w:t>
      </w:r>
      <w:r w:rsidRPr="00E07B1B">
        <w:t>7.</w:t>
      </w:r>
    </w:p>
    <w:p w:rsidR="0025490C" w:rsidRPr="00E07B1B" w:rsidRDefault="0025490C" w:rsidP="000A645D">
      <w:pPr>
        <w:pStyle w:val="References"/>
      </w:pPr>
      <w:r w:rsidRPr="00E07B1B">
        <w:t xml:space="preserve">Heude B, Thiebaugeorges O, Goua V, </w:t>
      </w:r>
      <w:r w:rsidR="00D562F2">
        <w:t>et al</w:t>
      </w:r>
      <w:r w:rsidRPr="00E07B1B">
        <w:t xml:space="preserve">. 2012. Pre-pregnancy BMI and weight gain during pregnancy: relations with gestational diabetes and hypertension, and birth outcomes. </w:t>
      </w:r>
      <w:r w:rsidRPr="00E07B1B">
        <w:rPr>
          <w:i/>
          <w:iCs/>
        </w:rPr>
        <w:t xml:space="preserve">Maternal &amp; Child Health Journal </w:t>
      </w:r>
      <w:r w:rsidRPr="00E07B1B">
        <w:rPr>
          <w:iCs/>
        </w:rPr>
        <w:t>16:</w:t>
      </w:r>
      <w:r w:rsidRPr="00E07B1B">
        <w:t xml:space="preserve"> 355</w:t>
      </w:r>
      <w:r>
        <w:t>–</w:t>
      </w:r>
      <w:r w:rsidRPr="00E07B1B">
        <w:t>63.</w:t>
      </w:r>
    </w:p>
    <w:p w:rsidR="0025490C" w:rsidRPr="00E07B1B" w:rsidRDefault="0025490C" w:rsidP="000A645D">
      <w:pPr>
        <w:pStyle w:val="References"/>
      </w:pPr>
      <w:r w:rsidRPr="00E07B1B">
        <w:t xml:space="preserve">Horvath K, Koch K, Jeitler K, </w:t>
      </w:r>
      <w:r w:rsidR="00D562F2">
        <w:t>et al</w:t>
      </w:r>
      <w:r w:rsidRPr="00E07B1B">
        <w:t xml:space="preserve">. 2010. Effects of treatment in women with gestational diabetes mellitus: systematic review and meta-analysis. </w:t>
      </w:r>
      <w:r w:rsidRPr="00E07B1B">
        <w:rPr>
          <w:i/>
          <w:iCs/>
        </w:rPr>
        <w:t>British Medical Journal</w:t>
      </w:r>
      <w:r>
        <w:rPr>
          <w:i/>
          <w:iCs/>
        </w:rPr>
        <w:t xml:space="preserve"> </w:t>
      </w:r>
      <w:r w:rsidRPr="00E07B1B">
        <w:rPr>
          <w:iCs/>
        </w:rPr>
        <w:t>340</w:t>
      </w:r>
      <w:r w:rsidRPr="00E07B1B">
        <w:t>. DOI:</w:t>
      </w:r>
      <w:r>
        <w:t xml:space="preserve"> </w:t>
      </w:r>
      <w:r w:rsidRPr="00E07B1B">
        <w:t>1136/bmj.c1395</w:t>
      </w:r>
      <w:r w:rsidR="00C76209">
        <w:t>.</w:t>
      </w:r>
    </w:p>
    <w:p w:rsidR="0068074A" w:rsidRDefault="0025490C" w:rsidP="000A645D">
      <w:pPr>
        <w:pStyle w:val="References"/>
      </w:pPr>
      <w:r w:rsidRPr="00E07B1B">
        <w:t xml:space="preserve">Hoseini SS, Hantoushzadeh S, Shoar S. 2011. Evaluating the extent of pregravid risk factors of gestational diabetes mellitus in women in </w:t>
      </w:r>
      <w:r>
        <w:t>T</w:t>
      </w:r>
      <w:r w:rsidRPr="00E07B1B">
        <w:t xml:space="preserve">ehran. </w:t>
      </w:r>
      <w:r w:rsidRPr="00E07B1B">
        <w:rPr>
          <w:i/>
          <w:iCs/>
        </w:rPr>
        <w:t xml:space="preserve">Iranian Red Crescent Medical Journal </w:t>
      </w:r>
      <w:r w:rsidRPr="00E07B1B">
        <w:rPr>
          <w:iCs/>
        </w:rPr>
        <w:t>13</w:t>
      </w:r>
      <w:r w:rsidRPr="00E07B1B">
        <w:t>(6):</w:t>
      </w:r>
      <w:r w:rsidR="00C76209">
        <w:t> </w:t>
      </w:r>
      <w:r w:rsidRPr="00E07B1B">
        <w:t>407</w:t>
      </w:r>
      <w:r>
        <w:t>–</w:t>
      </w:r>
      <w:r w:rsidRPr="00E07B1B">
        <w:t>14.</w:t>
      </w:r>
    </w:p>
    <w:p w:rsidR="0068074A" w:rsidRDefault="0025490C" w:rsidP="000A645D">
      <w:pPr>
        <w:pStyle w:val="References"/>
      </w:pPr>
      <w:r w:rsidRPr="00E07B1B">
        <w:t>Hossein-Nezhad</w:t>
      </w:r>
      <w:r>
        <w:t xml:space="preserve"> </w:t>
      </w:r>
      <w:r w:rsidRPr="00E07B1B">
        <w:t>A, Maghbooli</w:t>
      </w:r>
      <w:r>
        <w:t xml:space="preserve"> </w:t>
      </w:r>
      <w:r w:rsidRPr="00E07B1B">
        <w:t xml:space="preserve">Z, Vassigh A-R, </w:t>
      </w:r>
      <w:r w:rsidR="00D562F2">
        <w:t>et al</w:t>
      </w:r>
      <w:r w:rsidRPr="00E07B1B">
        <w:t xml:space="preserve">. 2007. Prevalence of gestational diabetes mellitus and pregnancy outcomes in Iranian women. </w:t>
      </w:r>
      <w:r w:rsidRPr="00E07B1B">
        <w:rPr>
          <w:i/>
          <w:iCs/>
        </w:rPr>
        <w:t>Taiwanese Journal of Obstetrics &amp; Gynecology</w:t>
      </w:r>
      <w:r>
        <w:rPr>
          <w:i/>
          <w:iCs/>
        </w:rPr>
        <w:t xml:space="preserve"> </w:t>
      </w:r>
      <w:r w:rsidRPr="00E07B1B">
        <w:rPr>
          <w:iCs/>
        </w:rPr>
        <w:t>46</w:t>
      </w:r>
      <w:r w:rsidRPr="00E07B1B">
        <w:t>(3): 236</w:t>
      </w:r>
      <w:r>
        <w:t>–</w:t>
      </w:r>
      <w:r w:rsidRPr="00E07B1B">
        <w:t>41.</w:t>
      </w:r>
    </w:p>
    <w:p w:rsidR="0068074A" w:rsidRDefault="0025490C" w:rsidP="000A645D">
      <w:pPr>
        <w:pStyle w:val="References"/>
      </w:pPr>
      <w:r w:rsidRPr="00E07B1B">
        <w:t>Hossein-Nezhad</w:t>
      </w:r>
      <w:r>
        <w:t xml:space="preserve"> </w:t>
      </w:r>
      <w:r w:rsidRPr="00E07B1B">
        <w:t>A, Mirzaei K, Maghbooli</w:t>
      </w:r>
      <w:r>
        <w:t xml:space="preserve"> </w:t>
      </w:r>
      <w:r w:rsidRPr="00E07B1B">
        <w:t xml:space="preserve">Z, </w:t>
      </w:r>
      <w:r w:rsidR="00D562F2">
        <w:t>et al</w:t>
      </w:r>
      <w:r w:rsidRPr="00E07B1B">
        <w:t xml:space="preserve">. 2009. Maternal glycemic status in GDM patients after delivery. </w:t>
      </w:r>
      <w:r w:rsidRPr="00E07B1B">
        <w:rPr>
          <w:i/>
          <w:iCs/>
        </w:rPr>
        <w:t xml:space="preserve">Iranian Journal of Diabetes &amp; Lipid Disorders </w:t>
      </w:r>
      <w:r>
        <w:rPr>
          <w:iCs/>
        </w:rPr>
        <w:t>8</w:t>
      </w:r>
      <w:r w:rsidRPr="00E07B1B">
        <w:rPr>
          <w:i/>
          <w:iCs/>
        </w:rPr>
        <w:t>:</w:t>
      </w:r>
      <w:r w:rsidRPr="00E07B1B">
        <w:t xml:space="preserve"> 95</w:t>
      </w:r>
      <w:r>
        <w:t>–</w:t>
      </w:r>
      <w:r w:rsidRPr="00E07B1B">
        <w:t>104.</w:t>
      </w:r>
    </w:p>
    <w:p w:rsidR="0025490C" w:rsidRPr="00E07B1B" w:rsidRDefault="0025490C" w:rsidP="000A645D">
      <w:pPr>
        <w:pStyle w:val="References"/>
      </w:pPr>
      <w:r w:rsidRPr="00E07B1B">
        <w:t xml:space="preserve">Hu G, Tian H, Zhang F, </w:t>
      </w:r>
      <w:r w:rsidR="00D562F2">
        <w:t>et al</w:t>
      </w:r>
      <w:r w:rsidRPr="00E07B1B">
        <w:t xml:space="preserve">. 2012. Tianjin Gestational Diabetes Mellitus Prevention Program: study design, methods, and 1-year interim report on the feasibility of lifestyle intervention program. </w:t>
      </w:r>
      <w:r w:rsidRPr="00E07B1B">
        <w:rPr>
          <w:i/>
          <w:iCs/>
        </w:rPr>
        <w:t>Diabetes Research &amp; Clinical Practice</w:t>
      </w:r>
      <w:r>
        <w:rPr>
          <w:i/>
          <w:iCs/>
        </w:rPr>
        <w:t xml:space="preserve"> </w:t>
      </w:r>
      <w:r w:rsidRPr="00E07B1B">
        <w:rPr>
          <w:iCs/>
        </w:rPr>
        <w:t>98</w:t>
      </w:r>
      <w:r w:rsidRPr="00E07B1B">
        <w:t>(3): 508</w:t>
      </w:r>
      <w:r>
        <w:t>–</w:t>
      </w:r>
      <w:r w:rsidRPr="00E07B1B">
        <w:t>17. DOI: http://dx.doi.org/10.1016/j.diabres.2012.09.015</w:t>
      </w:r>
      <w:r w:rsidR="00C76209">
        <w:t>.</w:t>
      </w:r>
    </w:p>
    <w:p w:rsidR="0025490C" w:rsidRPr="00E07B1B" w:rsidRDefault="0025490C" w:rsidP="000A645D">
      <w:pPr>
        <w:pStyle w:val="References"/>
      </w:pPr>
      <w:r w:rsidRPr="00E07B1B">
        <w:t xml:space="preserve">Hughes R, Moore P. 2009. </w:t>
      </w:r>
      <w:r w:rsidRPr="00E07B1B">
        <w:rPr>
          <w:i/>
          <w:iCs/>
        </w:rPr>
        <w:t>Screening for Type 2 Diabetes and Pre-diabetes in Early Pregnancy (STEP).</w:t>
      </w:r>
      <w:r>
        <w:rPr>
          <w:i/>
          <w:iCs/>
        </w:rPr>
        <w:t xml:space="preserve"> </w:t>
      </w:r>
      <w:r>
        <w:t>Health Research Council. URL:</w:t>
      </w:r>
      <w:r w:rsidRPr="00E07B1B">
        <w:t xml:space="preserve"> http://dhbrf.hrc.govt.nz/media/documents_hughes_09-646/Deliverable%20-%20Hughes%2009%20646%20Final%20Report.pdf </w:t>
      </w:r>
      <w:r>
        <w:t>(</w:t>
      </w:r>
      <w:r w:rsidRPr="00E07B1B">
        <w:t>accessed 12 April 2013</w:t>
      </w:r>
      <w:r>
        <w:t>)</w:t>
      </w:r>
      <w:r w:rsidRPr="00E07B1B">
        <w:t>.</w:t>
      </w:r>
    </w:p>
    <w:p w:rsidR="0068074A" w:rsidRDefault="0025490C" w:rsidP="000A645D">
      <w:pPr>
        <w:pStyle w:val="References"/>
      </w:pPr>
      <w:r w:rsidRPr="00E07B1B">
        <w:t xml:space="preserve">Hughes R, Moore MP, Gullam J, </w:t>
      </w:r>
      <w:r w:rsidR="00D562F2">
        <w:t>et al</w:t>
      </w:r>
      <w:r w:rsidRPr="00E07B1B">
        <w:t>. 2014</w:t>
      </w:r>
      <w:r>
        <w:t>.</w:t>
      </w:r>
      <w:r w:rsidRPr="00E07B1B">
        <w:t xml:space="preserve"> An early pregnancy HbA1c ≥</w:t>
      </w:r>
      <w:r w:rsidR="00C76209">
        <w:t> </w:t>
      </w:r>
      <w:r w:rsidRPr="00E07B1B">
        <w:t>5.9% (41</w:t>
      </w:r>
      <w:r w:rsidR="00C76209">
        <w:t> </w:t>
      </w:r>
      <w:r w:rsidRPr="00E07B1B">
        <w:t xml:space="preserve">mmol/mol) is optimal for detecting diabetes and identifies women at increased risk of adverse pregnancy outcomes. </w:t>
      </w:r>
      <w:r w:rsidRPr="008902B1">
        <w:rPr>
          <w:i/>
        </w:rPr>
        <w:t>Diabetes Care</w:t>
      </w:r>
      <w:r>
        <w:t>,</w:t>
      </w:r>
      <w:r w:rsidRPr="00E07B1B">
        <w:t xml:space="preserve"> </w:t>
      </w:r>
      <w:r w:rsidR="00C76209">
        <w:t xml:space="preserve">4 </w:t>
      </w:r>
      <w:r>
        <w:t>September. Published online before print: doi: 10.2337/dc14-1312.</w:t>
      </w:r>
    </w:p>
    <w:p w:rsidR="0068074A" w:rsidRDefault="0025490C" w:rsidP="000A645D">
      <w:pPr>
        <w:pStyle w:val="References"/>
      </w:pPr>
      <w:r w:rsidRPr="00E07B1B">
        <w:t xml:space="preserve">Hui A, Back L, Ludwig S, </w:t>
      </w:r>
      <w:r w:rsidR="00D562F2">
        <w:t>et al</w:t>
      </w:r>
      <w:r w:rsidRPr="00E07B1B">
        <w:t xml:space="preserve">. 2012. Lifestyle intervention on diet and exercise reduced excessive gestational weight gain in pregnant women under a randomised controlled trial. </w:t>
      </w:r>
      <w:r w:rsidRPr="00E07B1B">
        <w:rPr>
          <w:i/>
          <w:iCs/>
        </w:rPr>
        <w:t xml:space="preserve">BJOG: An International Journal of Obstetrics &amp; Gynaecology </w:t>
      </w:r>
      <w:r w:rsidRPr="00E07B1B">
        <w:rPr>
          <w:iCs/>
        </w:rPr>
        <w:t>119</w:t>
      </w:r>
      <w:r w:rsidRPr="00E07B1B">
        <w:t>(1): 70</w:t>
      </w:r>
      <w:r>
        <w:t>–</w:t>
      </w:r>
      <w:r w:rsidRPr="00E07B1B">
        <w:t>7.</w:t>
      </w:r>
    </w:p>
    <w:p w:rsidR="0025490C" w:rsidRPr="00E07B1B" w:rsidRDefault="0025490C" w:rsidP="000A645D">
      <w:pPr>
        <w:pStyle w:val="References"/>
      </w:pPr>
      <w:r w:rsidRPr="00E07B1B">
        <w:t xml:space="preserve">IADPSG. 2010. International Association of Diabetes and Pregnancy Study Groups recommendations on the diagnosis and classification of hyperglycaemia in pregnancy. </w:t>
      </w:r>
      <w:r w:rsidRPr="00E07B1B">
        <w:rPr>
          <w:i/>
          <w:iCs/>
        </w:rPr>
        <w:t xml:space="preserve">Diabetes Care </w:t>
      </w:r>
      <w:r w:rsidRPr="00E07B1B">
        <w:rPr>
          <w:iCs/>
        </w:rPr>
        <w:t>33</w:t>
      </w:r>
      <w:r w:rsidRPr="00E07B1B">
        <w:t>(3)</w:t>
      </w:r>
      <w:r>
        <w:t>:</w:t>
      </w:r>
      <w:r w:rsidRPr="00E07B1B">
        <w:t xml:space="preserve"> 676</w:t>
      </w:r>
      <w:r>
        <w:t>–</w:t>
      </w:r>
      <w:r w:rsidRPr="00E07B1B">
        <w:t>82.</w:t>
      </w:r>
    </w:p>
    <w:p w:rsidR="0025490C" w:rsidRPr="00E07B1B" w:rsidRDefault="0025490C" w:rsidP="000A645D">
      <w:pPr>
        <w:pStyle w:val="References"/>
      </w:pPr>
      <w:r w:rsidRPr="00E07B1B">
        <w:t xml:space="preserve">Icks A, Haastert B, Gandjour A, </w:t>
      </w:r>
      <w:r w:rsidR="00D562F2">
        <w:t>et al</w:t>
      </w:r>
      <w:r w:rsidRPr="00E07B1B">
        <w:t xml:space="preserve">. 2004. Cost effectiveness analysis of different screening procedures for type 2 diabetes. </w:t>
      </w:r>
      <w:r w:rsidRPr="00E07B1B">
        <w:rPr>
          <w:i/>
          <w:iCs/>
        </w:rPr>
        <w:t xml:space="preserve">Diabetes Care </w:t>
      </w:r>
      <w:r w:rsidRPr="00E07B1B">
        <w:rPr>
          <w:iCs/>
        </w:rPr>
        <w:t>27</w:t>
      </w:r>
      <w:r w:rsidRPr="00E07B1B">
        <w:t>(9): 2120</w:t>
      </w:r>
      <w:r>
        <w:t>–</w:t>
      </w:r>
      <w:r w:rsidRPr="00E07B1B">
        <w:t>8.</w:t>
      </w:r>
    </w:p>
    <w:p w:rsidR="0068074A" w:rsidRDefault="0025490C" w:rsidP="000A645D">
      <w:pPr>
        <w:pStyle w:val="References"/>
      </w:pPr>
      <w:r w:rsidRPr="00E07B1B">
        <w:t xml:space="preserve">Iqbal R, Rafique G, Badruddin S, </w:t>
      </w:r>
      <w:r w:rsidR="00D562F2">
        <w:t>et al</w:t>
      </w:r>
      <w:r w:rsidRPr="00E07B1B">
        <w:t xml:space="preserve">. 2007. Increased body fat percentage and physical inactivity are independent predictors of gestational diabetes mellitus in South Asian women. </w:t>
      </w:r>
      <w:r w:rsidRPr="00E07B1B">
        <w:rPr>
          <w:i/>
          <w:iCs/>
        </w:rPr>
        <w:t xml:space="preserve">European Journal of Clinical Nutrition </w:t>
      </w:r>
      <w:r w:rsidRPr="00E07B1B">
        <w:rPr>
          <w:iCs/>
        </w:rPr>
        <w:t>61</w:t>
      </w:r>
      <w:r w:rsidRPr="00E07B1B">
        <w:t>(6): 736</w:t>
      </w:r>
      <w:r>
        <w:t>–</w:t>
      </w:r>
      <w:r w:rsidRPr="00E07B1B">
        <w:t>42.</w:t>
      </w:r>
    </w:p>
    <w:p w:rsidR="0025490C" w:rsidRPr="00E07B1B" w:rsidRDefault="0025490C" w:rsidP="000A645D">
      <w:pPr>
        <w:pStyle w:val="References"/>
      </w:pPr>
      <w:r w:rsidRPr="00E07B1B">
        <w:t xml:space="preserve">Institute of Medicine. 2009. </w:t>
      </w:r>
      <w:r w:rsidRPr="00E07B1B">
        <w:rPr>
          <w:i/>
          <w:iCs/>
        </w:rPr>
        <w:t>Weight Gain during Pregnancy: Re</w:t>
      </w:r>
      <w:r w:rsidR="00991AD3">
        <w:rPr>
          <w:i/>
          <w:iCs/>
        </w:rPr>
        <w:noBreakHyphen/>
      </w:r>
      <w:r w:rsidRPr="00E07B1B">
        <w:rPr>
          <w:i/>
          <w:iCs/>
        </w:rPr>
        <w:t>examining the guidelines</w:t>
      </w:r>
      <w:r w:rsidRPr="00E07B1B">
        <w:t>. Washington</w:t>
      </w:r>
      <w:r>
        <w:t>: Institute of Medicine</w:t>
      </w:r>
      <w:r w:rsidRPr="00E07B1B">
        <w:t>.</w:t>
      </w:r>
    </w:p>
    <w:p w:rsidR="0068074A" w:rsidRDefault="0025490C" w:rsidP="000A645D">
      <w:pPr>
        <w:pStyle w:val="References"/>
      </w:pPr>
      <w:r w:rsidRPr="00E07B1B">
        <w:t xml:space="preserve">International Diabetes Federation. 2009. </w:t>
      </w:r>
      <w:r w:rsidRPr="00E07B1B">
        <w:rPr>
          <w:i/>
          <w:iCs/>
        </w:rPr>
        <w:t>Global Guideline on Pregnancy and Diabetes</w:t>
      </w:r>
      <w:r w:rsidRPr="00E07B1B">
        <w:t>. Brussels: International Diabetes Federation.</w:t>
      </w:r>
    </w:p>
    <w:p w:rsidR="0068074A" w:rsidRDefault="0025490C" w:rsidP="000A645D">
      <w:pPr>
        <w:pStyle w:val="References"/>
      </w:pPr>
      <w:r w:rsidRPr="00E07B1B">
        <w:t xml:space="preserve">Ismail NAM, Aris NM, Mahdy ZA, </w:t>
      </w:r>
      <w:r w:rsidR="00D562F2">
        <w:t>et al</w:t>
      </w:r>
      <w:r w:rsidRPr="00E07B1B">
        <w:t>. 2011. Gestational diabetes mellitus in primigravidae: a mild disease. [Research Support, Non-US Gov</w:t>
      </w:r>
      <w:r w:rsidR="00991AD3">
        <w:t>ernmen</w:t>
      </w:r>
      <w:r w:rsidRPr="00E07B1B">
        <w:t>t</w:t>
      </w:r>
      <w:r w:rsidR="00991AD3">
        <w:t>.</w:t>
      </w:r>
      <w:r w:rsidRPr="00E07B1B">
        <w:t xml:space="preserve">] </w:t>
      </w:r>
      <w:r w:rsidRPr="00E07B1B">
        <w:rPr>
          <w:i/>
          <w:iCs/>
        </w:rPr>
        <w:t xml:space="preserve">Acta Medica (Hradec Kralove) </w:t>
      </w:r>
      <w:r w:rsidRPr="00E07B1B">
        <w:rPr>
          <w:iCs/>
        </w:rPr>
        <w:t>54</w:t>
      </w:r>
      <w:r w:rsidRPr="00E07B1B">
        <w:t>(1): 21</w:t>
      </w:r>
      <w:r>
        <w:t>–</w:t>
      </w:r>
      <w:r w:rsidRPr="00E07B1B">
        <w:t>4.</w:t>
      </w:r>
    </w:p>
    <w:p w:rsidR="0068074A" w:rsidRDefault="0025490C" w:rsidP="000A645D">
      <w:pPr>
        <w:pStyle w:val="References"/>
      </w:pPr>
      <w:r w:rsidRPr="00E07B1B">
        <w:t>Jenum AK,</w:t>
      </w:r>
      <w:r>
        <w:t xml:space="preserve"> Mørkrid K, Sletnum L,</w:t>
      </w:r>
      <w:r w:rsidRPr="00E07B1B">
        <w:t xml:space="preserve"> </w:t>
      </w:r>
      <w:r w:rsidR="00D562F2">
        <w:t>et al</w:t>
      </w:r>
      <w:r w:rsidRPr="00E07B1B">
        <w:t xml:space="preserve">. 2012. Impact of ethnicity on gestational diabetes identified with the WHO and the modified International Association of Diabetes and Pregnancy Study Groups criteria: a population-based cohort study. </w:t>
      </w:r>
      <w:r w:rsidRPr="00E07B1B">
        <w:rPr>
          <w:i/>
          <w:iCs/>
        </w:rPr>
        <w:t xml:space="preserve">European Journal of Endocrinology </w:t>
      </w:r>
      <w:r w:rsidRPr="00E07B1B">
        <w:rPr>
          <w:iCs/>
        </w:rPr>
        <w:t>166</w:t>
      </w:r>
      <w:r w:rsidRPr="00E07B1B">
        <w:t>(2): 317</w:t>
      </w:r>
      <w:r>
        <w:t>–</w:t>
      </w:r>
      <w:r w:rsidRPr="00E07B1B">
        <w:t>24.</w:t>
      </w:r>
    </w:p>
    <w:p w:rsidR="0068074A" w:rsidRDefault="0025490C" w:rsidP="000A645D">
      <w:pPr>
        <w:pStyle w:val="References"/>
      </w:pPr>
      <w:r w:rsidRPr="00E07B1B">
        <w:t xml:space="preserve">Jiwani A, Marseille E, Lohse N, </w:t>
      </w:r>
      <w:r w:rsidR="00D562F2">
        <w:t>et al</w:t>
      </w:r>
      <w:r w:rsidRPr="00E07B1B">
        <w:t xml:space="preserve">. 2012. Gestational diabetes mellitus: results from a survey of country prevalence and practices. </w:t>
      </w:r>
      <w:r w:rsidRPr="00E07B1B">
        <w:rPr>
          <w:i/>
          <w:iCs/>
        </w:rPr>
        <w:t xml:space="preserve">Journal of Maternal-Fetal &amp; Neonatal Medicine </w:t>
      </w:r>
      <w:r w:rsidRPr="00E07B1B">
        <w:rPr>
          <w:iCs/>
        </w:rPr>
        <w:t>25</w:t>
      </w:r>
      <w:r w:rsidRPr="00E07B1B">
        <w:t>(6): 600</w:t>
      </w:r>
      <w:r>
        <w:t>–</w:t>
      </w:r>
      <w:r w:rsidRPr="00E07B1B">
        <w:t>10.</w:t>
      </w:r>
    </w:p>
    <w:p w:rsidR="0025490C" w:rsidRPr="00E07B1B" w:rsidRDefault="0025490C" w:rsidP="000A645D">
      <w:pPr>
        <w:pStyle w:val="References"/>
      </w:pPr>
      <w:r w:rsidRPr="00E07B1B">
        <w:t xml:space="preserve">Jones R, Freeman C, Johnson M, </w:t>
      </w:r>
      <w:r w:rsidR="00D562F2">
        <w:t>et al</w:t>
      </w:r>
      <w:r w:rsidRPr="00E07B1B">
        <w:t xml:space="preserve">. 2011. </w:t>
      </w:r>
      <w:r w:rsidRPr="00E07B1B">
        <w:rPr>
          <w:i/>
          <w:iCs/>
        </w:rPr>
        <w:t>Preventing the Progression of Pre-diabetes to Type 2 Diabetes in Adults: Systematic review and meta-analysis of lifestyle, pharmacological and surgical interventions</w:t>
      </w:r>
      <w:r w:rsidRPr="00E07B1B">
        <w:t>.</w:t>
      </w:r>
    </w:p>
    <w:p w:rsidR="0068074A" w:rsidRDefault="0025490C" w:rsidP="000A645D">
      <w:pPr>
        <w:pStyle w:val="References"/>
      </w:pPr>
      <w:r w:rsidRPr="00E07B1B">
        <w:t xml:space="preserve">Jovanovic L. 2004. Achieving euglycaemia in women with gestational diabetes mellitus: current options for screening, diagnosis and treatment. </w:t>
      </w:r>
      <w:r w:rsidRPr="00E07B1B">
        <w:rPr>
          <w:i/>
          <w:iCs/>
        </w:rPr>
        <w:t xml:space="preserve">Drugs </w:t>
      </w:r>
      <w:r w:rsidRPr="00E07B1B">
        <w:rPr>
          <w:iCs/>
        </w:rPr>
        <w:t>64</w:t>
      </w:r>
      <w:r w:rsidRPr="00E07B1B">
        <w:t>(13): 1401</w:t>
      </w:r>
      <w:r>
        <w:t>–</w:t>
      </w:r>
      <w:r w:rsidRPr="00E07B1B">
        <w:t>17.</w:t>
      </w:r>
    </w:p>
    <w:p w:rsidR="0025490C" w:rsidRPr="00E07B1B" w:rsidRDefault="0025490C" w:rsidP="000A645D">
      <w:pPr>
        <w:pStyle w:val="References"/>
      </w:pPr>
      <w:r w:rsidRPr="00E07B1B">
        <w:t xml:space="preserve">Karcaaltincaba D, Kandemir O, Yalvac S, </w:t>
      </w:r>
      <w:r w:rsidR="00D562F2">
        <w:t>et al</w:t>
      </w:r>
      <w:r w:rsidRPr="00E07B1B">
        <w:t xml:space="preserve">. 2009. Prevalence of gestational diabetes mellitus and gestational impaired glucose tolerance in pregnant women evaluated by National Diabetes Data Group and Carpenter and Coustan criteria. </w:t>
      </w:r>
      <w:r w:rsidRPr="00E07B1B">
        <w:rPr>
          <w:i/>
          <w:iCs/>
        </w:rPr>
        <w:t>Int</w:t>
      </w:r>
      <w:r>
        <w:rPr>
          <w:i/>
          <w:iCs/>
        </w:rPr>
        <w:t>ernational</w:t>
      </w:r>
      <w:r w:rsidRPr="00E07B1B">
        <w:rPr>
          <w:i/>
          <w:iCs/>
        </w:rPr>
        <w:t xml:space="preserve"> J</w:t>
      </w:r>
      <w:r>
        <w:rPr>
          <w:i/>
          <w:iCs/>
        </w:rPr>
        <w:t>ournal of</w:t>
      </w:r>
      <w:r w:rsidRPr="00E07B1B">
        <w:rPr>
          <w:i/>
          <w:iCs/>
        </w:rPr>
        <w:t xml:space="preserve"> Gynaecol</w:t>
      </w:r>
      <w:r>
        <w:rPr>
          <w:i/>
          <w:iCs/>
        </w:rPr>
        <w:t>ogy and</w:t>
      </w:r>
      <w:r w:rsidRPr="00E07B1B">
        <w:rPr>
          <w:i/>
          <w:iCs/>
        </w:rPr>
        <w:t xml:space="preserve"> Obstet</w:t>
      </w:r>
      <w:r>
        <w:rPr>
          <w:i/>
          <w:iCs/>
        </w:rPr>
        <w:t>rics</w:t>
      </w:r>
      <w:r w:rsidRPr="00E07B1B">
        <w:rPr>
          <w:i/>
          <w:iCs/>
        </w:rPr>
        <w:t xml:space="preserve"> </w:t>
      </w:r>
      <w:r w:rsidRPr="00E07B1B">
        <w:rPr>
          <w:iCs/>
        </w:rPr>
        <w:t>106</w:t>
      </w:r>
      <w:r w:rsidRPr="00E07B1B">
        <w:t>(3): 246</w:t>
      </w:r>
      <w:r>
        <w:t>–</w:t>
      </w:r>
      <w:r w:rsidRPr="00E07B1B">
        <w:t>49. DOI:</w:t>
      </w:r>
      <w:r>
        <w:t xml:space="preserve"> </w:t>
      </w:r>
      <w:r w:rsidRPr="00E07B1B">
        <w:t>10.1016/j.ijgo.2009.04.004</w:t>
      </w:r>
      <w:r w:rsidR="00991AD3">
        <w:t>.</w:t>
      </w:r>
    </w:p>
    <w:p w:rsidR="0068074A" w:rsidRDefault="0025490C" w:rsidP="000A645D">
      <w:pPr>
        <w:pStyle w:val="References"/>
      </w:pPr>
      <w:r w:rsidRPr="00E07B1B">
        <w:t>Keely E. 2012. An opportunity not to be missed</w:t>
      </w:r>
      <w:r>
        <w:t>:</w:t>
      </w:r>
      <w:r w:rsidRPr="00E07B1B">
        <w:t xml:space="preserve"> how do we improve postpartum screening rates for women with gestational diabetes? </w:t>
      </w:r>
      <w:r w:rsidRPr="00E07B1B">
        <w:rPr>
          <w:i/>
          <w:iCs/>
        </w:rPr>
        <w:t xml:space="preserve">Diabetes/Metabolism Research and Reviews </w:t>
      </w:r>
      <w:r w:rsidRPr="00E07B1B">
        <w:rPr>
          <w:iCs/>
        </w:rPr>
        <w:t>28(4)</w:t>
      </w:r>
      <w:r w:rsidRPr="00E07B1B">
        <w:t>: 312</w:t>
      </w:r>
      <w:r>
        <w:t>–</w:t>
      </w:r>
      <w:r w:rsidRPr="00E07B1B">
        <w:t>16.</w:t>
      </w:r>
    </w:p>
    <w:p w:rsidR="0068074A" w:rsidRDefault="0025490C" w:rsidP="000A645D">
      <w:pPr>
        <w:pStyle w:val="References"/>
      </w:pPr>
      <w:r w:rsidRPr="00E07B1B">
        <w:t xml:space="preserve">Kerlan V. 2010. Postpartum and contraception in women after gestational diabetes. </w:t>
      </w:r>
      <w:r w:rsidRPr="00E07B1B">
        <w:rPr>
          <w:i/>
          <w:iCs/>
        </w:rPr>
        <w:t xml:space="preserve">Diabetes &amp; Metabolism </w:t>
      </w:r>
      <w:r w:rsidRPr="00E07B1B">
        <w:rPr>
          <w:iCs/>
        </w:rPr>
        <w:t>36</w:t>
      </w:r>
      <w:r w:rsidRPr="00E07B1B">
        <w:t>(6 Pt 2): 566</w:t>
      </w:r>
      <w:r>
        <w:t>–</w:t>
      </w:r>
      <w:r w:rsidRPr="00E07B1B">
        <w:t>74.</w:t>
      </w:r>
    </w:p>
    <w:p w:rsidR="0068074A" w:rsidRDefault="0025490C" w:rsidP="000A645D">
      <w:pPr>
        <w:pStyle w:val="References"/>
      </w:pPr>
      <w:r w:rsidRPr="00E07B1B">
        <w:t xml:space="preserve">Kieffer EC, Willis SK, Arellano N, </w:t>
      </w:r>
      <w:r w:rsidR="00D562F2">
        <w:t>et al</w:t>
      </w:r>
      <w:r w:rsidRPr="00E07B1B">
        <w:t xml:space="preserve">. 2002. Perspectives of pregnant and postpartum </w:t>
      </w:r>
      <w:r>
        <w:t>L</w:t>
      </w:r>
      <w:r w:rsidRPr="00E07B1B">
        <w:t xml:space="preserve">atino women on diabetes, physical activity, and health. </w:t>
      </w:r>
      <w:r w:rsidRPr="00E07B1B">
        <w:rPr>
          <w:i/>
          <w:iCs/>
        </w:rPr>
        <w:t xml:space="preserve">Health Education &amp; Behavior </w:t>
      </w:r>
      <w:r w:rsidRPr="00E07B1B">
        <w:rPr>
          <w:iCs/>
        </w:rPr>
        <w:t>29</w:t>
      </w:r>
      <w:r w:rsidRPr="00E07B1B">
        <w:t>(5): 542</w:t>
      </w:r>
      <w:r>
        <w:t>–</w:t>
      </w:r>
      <w:r w:rsidRPr="00E07B1B">
        <w:t>56.</w:t>
      </w:r>
    </w:p>
    <w:p w:rsidR="0068074A" w:rsidRDefault="0025490C" w:rsidP="000A645D">
      <w:pPr>
        <w:pStyle w:val="References"/>
      </w:pPr>
      <w:r w:rsidRPr="00E07B1B">
        <w:t xml:space="preserve">Kim C, Herman WH, Cheung NW, </w:t>
      </w:r>
      <w:r w:rsidR="00D562F2">
        <w:t>et al</w:t>
      </w:r>
      <w:r w:rsidRPr="00E07B1B">
        <w:t xml:space="preserve">. 2011. Comparison of haemoglobin A1c with fasting plasma glucose and 2-h post challenge glucose for risk stratification among women with recent gestational diabetes mellitus. </w:t>
      </w:r>
      <w:r w:rsidRPr="00E07B1B">
        <w:rPr>
          <w:i/>
          <w:iCs/>
        </w:rPr>
        <w:t xml:space="preserve">Diabetes Care </w:t>
      </w:r>
      <w:r w:rsidRPr="00E07B1B">
        <w:rPr>
          <w:iCs/>
        </w:rPr>
        <w:t>34:</w:t>
      </w:r>
      <w:r w:rsidRPr="00E07B1B">
        <w:t xml:space="preserve"> 1949</w:t>
      </w:r>
      <w:r>
        <w:t>–</w:t>
      </w:r>
      <w:r w:rsidRPr="00E07B1B">
        <w:t>51.</w:t>
      </w:r>
    </w:p>
    <w:p w:rsidR="0025490C" w:rsidRPr="00E07B1B" w:rsidRDefault="0025490C" w:rsidP="000A645D">
      <w:pPr>
        <w:pStyle w:val="References"/>
      </w:pPr>
      <w:r w:rsidRPr="00E07B1B">
        <w:t xml:space="preserve">Kim C, Draska M, Hess ML, </w:t>
      </w:r>
      <w:r w:rsidR="00D562F2">
        <w:t>et al</w:t>
      </w:r>
      <w:r w:rsidRPr="00E07B1B">
        <w:t xml:space="preserve">. 2012. A web-based pedometer programme in women with a recent history of gestational diabetes. </w:t>
      </w:r>
      <w:r w:rsidRPr="00E07B1B">
        <w:rPr>
          <w:i/>
          <w:iCs/>
        </w:rPr>
        <w:t xml:space="preserve">Diabetic Medicine </w:t>
      </w:r>
      <w:r w:rsidRPr="00E07B1B">
        <w:rPr>
          <w:iCs/>
        </w:rPr>
        <w:t>29</w:t>
      </w:r>
      <w:r w:rsidRPr="00E07B1B">
        <w:t>(2): 278</w:t>
      </w:r>
      <w:r>
        <w:t>–</w:t>
      </w:r>
      <w:r w:rsidRPr="00E07B1B">
        <w:t>83. DOI: http://dx.doi.org/10.1111/j.1464-5491.2011.03415.x</w:t>
      </w:r>
    </w:p>
    <w:p w:rsidR="0068074A" w:rsidRDefault="0025490C" w:rsidP="000A645D">
      <w:pPr>
        <w:pStyle w:val="References"/>
      </w:pPr>
      <w:r w:rsidRPr="00E07B1B">
        <w:t xml:space="preserve">Kim S, England L, Wilson H, </w:t>
      </w:r>
      <w:r w:rsidR="00D562F2">
        <w:t>et al</w:t>
      </w:r>
      <w:r w:rsidRPr="00E07B1B">
        <w:t xml:space="preserve">. 2010. Percentage of gestational diabetes mellitus attributable to overweight and obesity. </w:t>
      </w:r>
      <w:r w:rsidRPr="00E07B1B">
        <w:rPr>
          <w:i/>
          <w:iCs/>
        </w:rPr>
        <w:t xml:space="preserve">American Journal of Public Health </w:t>
      </w:r>
      <w:r w:rsidRPr="00E07B1B">
        <w:rPr>
          <w:iCs/>
        </w:rPr>
        <w:t>100</w:t>
      </w:r>
      <w:r w:rsidRPr="00E07B1B">
        <w:t>(6): 1047</w:t>
      </w:r>
      <w:r>
        <w:t>–</w:t>
      </w:r>
      <w:r w:rsidRPr="00E07B1B">
        <w:t>52.</w:t>
      </w:r>
    </w:p>
    <w:p w:rsidR="0068074A" w:rsidRDefault="0025490C" w:rsidP="000A645D">
      <w:pPr>
        <w:pStyle w:val="References"/>
      </w:pPr>
      <w:r w:rsidRPr="00E07B1B">
        <w:t>Korpi-Hyovalti</w:t>
      </w:r>
      <w:r>
        <w:t xml:space="preserve"> </w:t>
      </w:r>
      <w:r w:rsidRPr="00E07B1B">
        <w:t xml:space="preserve">EA, Laaksonen DE, Schwab US, </w:t>
      </w:r>
      <w:r w:rsidR="00D562F2">
        <w:t>et al</w:t>
      </w:r>
      <w:r w:rsidRPr="00E07B1B">
        <w:t xml:space="preserve">. 2011. Feasibility of a lifestyle intervention in early pregnancy to prevent deterioration of glucose tolerance. </w:t>
      </w:r>
      <w:r w:rsidRPr="00E07B1B">
        <w:rPr>
          <w:i/>
          <w:iCs/>
        </w:rPr>
        <w:t xml:space="preserve">BMC Public Health </w:t>
      </w:r>
      <w:r w:rsidRPr="00E07B1B">
        <w:rPr>
          <w:iCs/>
        </w:rPr>
        <w:t>11</w:t>
      </w:r>
      <w:r w:rsidRPr="00E07B1B">
        <w:t>: 179.</w:t>
      </w:r>
    </w:p>
    <w:p w:rsidR="0068074A" w:rsidRDefault="0025490C" w:rsidP="000A645D">
      <w:pPr>
        <w:pStyle w:val="References"/>
      </w:pPr>
      <w:r w:rsidRPr="00E07B1B">
        <w:t xml:space="preserve">Kun A, Tornoczky J, Tabak AG. 2011. The prevalence and predictors of gestational diabetes mellitus in Hungary. </w:t>
      </w:r>
      <w:r w:rsidRPr="00E07B1B">
        <w:rPr>
          <w:i/>
          <w:iCs/>
        </w:rPr>
        <w:t xml:space="preserve">Hormone &amp; Metabolic Research </w:t>
      </w:r>
      <w:r w:rsidRPr="00E07B1B">
        <w:rPr>
          <w:iCs/>
        </w:rPr>
        <w:t>43</w:t>
      </w:r>
      <w:r w:rsidRPr="00E07B1B">
        <w:t>(11): 788</w:t>
      </w:r>
      <w:r>
        <w:t>–</w:t>
      </w:r>
      <w:r w:rsidRPr="00E07B1B">
        <w:t>93.</w:t>
      </w:r>
    </w:p>
    <w:p w:rsidR="0068074A" w:rsidRDefault="0025490C" w:rsidP="000A645D">
      <w:pPr>
        <w:pStyle w:val="References"/>
      </w:pPr>
      <w:r w:rsidRPr="00E07B1B">
        <w:t>Kurishita M, Nakashima K,</w:t>
      </w:r>
      <w:r>
        <w:t xml:space="preserve"> Kozu H</w:t>
      </w:r>
      <w:r w:rsidRPr="00E07B1B">
        <w:t>.</w:t>
      </w:r>
      <w:r>
        <w:t xml:space="preserve"> </w:t>
      </w:r>
      <w:r w:rsidRPr="00E07B1B">
        <w:t xml:space="preserve">1992. Glycated haemoglobin of fractionated erythrocytes, glycated albumin, and plasma fructosamine during pregnancy. </w:t>
      </w:r>
      <w:r w:rsidRPr="00E07B1B">
        <w:rPr>
          <w:i/>
          <w:iCs/>
        </w:rPr>
        <w:t>Am</w:t>
      </w:r>
      <w:r>
        <w:rPr>
          <w:i/>
          <w:iCs/>
        </w:rPr>
        <w:t>erican</w:t>
      </w:r>
      <w:r w:rsidRPr="00E07B1B">
        <w:rPr>
          <w:i/>
          <w:iCs/>
        </w:rPr>
        <w:t xml:space="preserve"> J</w:t>
      </w:r>
      <w:r>
        <w:rPr>
          <w:i/>
          <w:iCs/>
        </w:rPr>
        <w:t>ournal of</w:t>
      </w:r>
      <w:r w:rsidRPr="00E07B1B">
        <w:rPr>
          <w:i/>
          <w:iCs/>
        </w:rPr>
        <w:t xml:space="preserve"> Obstet</w:t>
      </w:r>
      <w:r>
        <w:rPr>
          <w:i/>
          <w:iCs/>
        </w:rPr>
        <w:t>rics &amp;</w:t>
      </w:r>
      <w:r w:rsidRPr="00E07B1B">
        <w:rPr>
          <w:i/>
          <w:iCs/>
        </w:rPr>
        <w:t xml:space="preserve"> Gynecol</w:t>
      </w:r>
      <w:r>
        <w:rPr>
          <w:i/>
          <w:iCs/>
        </w:rPr>
        <w:t>ogy</w:t>
      </w:r>
      <w:r w:rsidRPr="00E07B1B">
        <w:rPr>
          <w:i/>
          <w:iCs/>
        </w:rPr>
        <w:t xml:space="preserve"> </w:t>
      </w:r>
      <w:r w:rsidRPr="00E07B1B">
        <w:rPr>
          <w:iCs/>
        </w:rPr>
        <w:t>167</w:t>
      </w:r>
      <w:r w:rsidRPr="00E07B1B">
        <w:t>: 1372</w:t>
      </w:r>
      <w:r>
        <w:t>–</w:t>
      </w:r>
      <w:r w:rsidRPr="00E07B1B">
        <w:t>8.</w:t>
      </w:r>
    </w:p>
    <w:p w:rsidR="0068074A" w:rsidRDefault="0025490C" w:rsidP="000A645D">
      <w:pPr>
        <w:pStyle w:val="References"/>
      </w:pPr>
      <w:r w:rsidRPr="00E07B1B">
        <w:t xml:space="preserve">Kwak SH, Kim HS, Choi SH, </w:t>
      </w:r>
      <w:r w:rsidR="00D562F2">
        <w:t>et al</w:t>
      </w:r>
      <w:r w:rsidRPr="00E07B1B">
        <w:t xml:space="preserve">. 2008. Subsequent pregnancy after gestational diabetes mellitus. </w:t>
      </w:r>
      <w:r w:rsidRPr="00E07B1B">
        <w:rPr>
          <w:i/>
          <w:iCs/>
        </w:rPr>
        <w:t xml:space="preserve">Diabetes Care </w:t>
      </w:r>
      <w:r w:rsidRPr="00E07B1B">
        <w:rPr>
          <w:iCs/>
        </w:rPr>
        <w:t>31</w:t>
      </w:r>
      <w:r w:rsidRPr="00E07B1B">
        <w:t>(9): 1867</w:t>
      </w:r>
      <w:r>
        <w:t>–</w:t>
      </w:r>
      <w:r w:rsidRPr="00E07B1B">
        <w:t>71.</w:t>
      </w:r>
    </w:p>
    <w:p w:rsidR="0068074A" w:rsidRDefault="0025490C" w:rsidP="000A645D">
      <w:pPr>
        <w:pStyle w:val="References"/>
      </w:pPr>
      <w:r w:rsidRPr="00E07B1B">
        <w:t xml:space="preserve">Lagerros Y, Cnattingius S, Granath F, </w:t>
      </w:r>
      <w:r w:rsidR="00D562F2">
        <w:t>et al</w:t>
      </w:r>
      <w:r w:rsidRPr="00E07B1B">
        <w:t xml:space="preserve">. 2012. From infancy to pregnancy: birth weight, body mass index, and the risk of gestational diabetes. </w:t>
      </w:r>
      <w:r w:rsidRPr="00E07B1B">
        <w:rPr>
          <w:i/>
          <w:iCs/>
        </w:rPr>
        <w:t>European Journal of Epidemiology</w:t>
      </w:r>
      <w:r>
        <w:rPr>
          <w:i/>
          <w:iCs/>
        </w:rPr>
        <w:t xml:space="preserve"> </w:t>
      </w:r>
      <w:r w:rsidRPr="008902B1">
        <w:t>27</w:t>
      </w:r>
      <w:r w:rsidRPr="00FF6850">
        <w:t xml:space="preserve">: </w:t>
      </w:r>
      <w:r w:rsidRPr="00E07B1B">
        <w:t>799</w:t>
      </w:r>
      <w:r>
        <w:t>–</w:t>
      </w:r>
      <w:r w:rsidRPr="00E07B1B">
        <w:t>805.</w:t>
      </w:r>
    </w:p>
    <w:p w:rsidR="0068074A" w:rsidRDefault="0025490C" w:rsidP="000A645D">
      <w:pPr>
        <w:pStyle w:val="References"/>
      </w:pPr>
      <w:r w:rsidRPr="00E07B1B">
        <w:t xml:space="preserve">Landon, MB, Spong CY, Thom E, </w:t>
      </w:r>
      <w:r w:rsidR="00D562F2">
        <w:t>et al</w:t>
      </w:r>
      <w:r w:rsidRPr="00E07B1B">
        <w:t xml:space="preserve">. 2009. A </w:t>
      </w:r>
      <w:r w:rsidR="00DA11EE">
        <w:t>multicentre</w:t>
      </w:r>
      <w:r w:rsidRPr="00E07B1B">
        <w:t xml:space="preserve">, randomized trial of treatment for mild gestational diabetes. </w:t>
      </w:r>
      <w:r w:rsidRPr="00E07B1B">
        <w:rPr>
          <w:i/>
          <w:iCs/>
        </w:rPr>
        <w:t xml:space="preserve">New England Journal of Medicine </w:t>
      </w:r>
      <w:r w:rsidRPr="00E07B1B">
        <w:rPr>
          <w:iCs/>
        </w:rPr>
        <w:t>361</w:t>
      </w:r>
      <w:r w:rsidRPr="00E07B1B">
        <w:t>(14): 1339</w:t>
      </w:r>
      <w:r>
        <w:t>–</w:t>
      </w:r>
      <w:r w:rsidRPr="00E07B1B">
        <w:t>48.</w:t>
      </w:r>
    </w:p>
    <w:p w:rsidR="0068074A" w:rsidRDefault="0025490C" w:rsidP="000A645D">
      <w:pPr>
        <w:pStyle w:val="References"/>
      </w:pPr>
      <w:r w:rsidRPr="00E07B1B">
        <w:t xml:space="preserve">Langer O, Levy J, Brustman L, </w:t>
      </w:r>
      <w:r w:rsidR="00D562F2">
        <w:t>et al</w:t>
      </w:r>
      <w:r w:rsidRPr="00E07B1B">
        <w:t xml:space="preserve">. 1989. Glycemic control in gestational diabetes mellitus </w:t>
      </w:r>
      <w:r>
        <w:t>–</w:t>
      </w:r>
      <w:r w:rsidRPr="00E07B1B">
        <w:t xml:space="preserve"> </w:t>
      </w:r>
      <w:r w:rsidR="00991AD3">
        <w:t>h</w:t>
      </w:r>
      <w:r w:rsidRPr="00E07B1B">
        <w:t xml:space="preserve">ow tight is tight enough: </w:t>
      </w:r>
      <w:r>
        <w:t>s</w:t>
      </w:r>
      <w:r w:rsidRPr="00E07B1B">
        <w:t xml:space="preserve">mall for gestational age versus large for gestational age? </w:t>
      </w:r>
      <w:r w:rsidRPr="00E07B1B">
        <w:rPr>
          <w:i/>
          <w:iCs/>
        </w:rPr>
        <w:t xml:space="preserve">American Journal of Obstetrics </w:t>
      </w:r>
      <w:r>
        <w:rPr>
          <w:i/>
          <w:iCs/>
        </w:rPr>
        <w:t>&amp;</w:t>
      </w:r>
      <w:r w:rsidRPr="00E07B1B">
        <w:rPr>
          <w:i/>
          <w:iCs/>
        </w:rPr>
        <w:t xml:space="preserve"> Gynecology </w:t>
      </w:r>
      <w:r w:rsidRPr="00E07B1B">
        <w:rPr>
          <w:iCs/>
        </w:rPr>
        <w:t>161</w:t>
      </w:r>
      <w:r w:rsidRPr="00E07B1B">
        <w:t>(3): 646</w:t>
      </w:r>
      <w:r>
        <w:t>–</w:t>
      </w:r>
      <w:r w:rsidRPr="00E07B1B">
        <w:t>53.</w:t>
      </w:r>
    </w:p>
    <w:p w:rsidR="0068074A" w:rsidRDefault="0025490C" w:rsidP="000A645D">
      <w:pPr>
        <w:pStyle w:val="References"/>
      </w:pPr>
      <w:r w:rsidRPr="00E07B1B">
        <w:t xml:space="preserve">Langer O, Rodriguez DA, Xenakis EM, </w:t>
      </w:r>
      <w:r w:rsidR="00D562F2">
        <w:t>et al</w:t>
      </w:r>
      <w:r w:rsidRPr="00E07B1B">
        <w:t xml:space="preserve">. 1994. Intensified versus conventional management of gestational diabetes. </w:t>
      </w:r>
      <w:r w:rsidRPr="00E07B1B">
        <w:rPr>
          <w:i/>
          <w:iCs/>
        </w:rPr>
        <w:t xml:space="preserve">American Journal of Obstetrics &amp; Gynecology </w:t>
      </w:r>
      <w:r w:rsidRPr="00E07B1B">
        <w:rPr>
          <w:iCs/>
        </w:rPr>
        <w:t>170</w:t>
      </w:r>
      <w:r w:rsidRPr="00E07B1B">
        <w:t>(4): 1036</w:t>
      </w:r>
      <w:r>
        <w:t>–</w:t>
      </w:r>
      <w:r w:rsidRPr="00E07B1B">
        <w:t>46; discussion 1046</w:t>
      </w:r>
      <w:r>
        <w:t>–</w:t>
      </w:r>
      <w:r w:rsidRPr="00E07B1B">
        <w:t>7.</w:t>
      </w:r>
    </w:p>
    <w:p w:rsidR="0025490C" w:rsidRPr="009B1B22" w:rsidRDefault="0025490C" w:rsidP="000A645D">
      <w:pPr>
        <w:pStyle w:val="References"/>
      </w:pPr>
      <w:r>
        <w:rPr>
          <w:lang w:eastAsia="en-NZ"/>
        </w:rPr>
        <w:t xml:space="preserve">Langer O. 2010. </w:t>
      </w:r>
      <w:r w:rsidRPr="009B1B22">
        <w:rPr>
          <w:lang w:eastAsia="en-NZ"/>
        </w:rPr>
        <w:t>Changing the diagnosis criteria of type 2 diabetes in pregnancy: d</w:t>
      </w:r>
      <w:r>
        <w:rPr>
          <w:lang w:eastAsia="en-NZ"/>
        </w:rPr>
        <w:t>o the ends justify the means?</w:t>
      </w:r>
      <w:r w:rsidR="0068074A">
        <w:rPr>
          <w:lang w:eastAsia="en-NZ"/>
        </w:rPr>
        <w:t xml:space="preserve"> </w:t>
      </w:r>
      <w:r w:rsidRPr="00641A87">
        <w:rPr>
          <w:i/>
          <w:lang w:eastAsia="en-NZ"/>
        </w:rPr>
        <w:t>Journal of Maternal-Fetal and Neonatal Medicine</w:t>
      </w:r>
      <w:r w:rsidRPr="009B1B22">
        <w:rPr>
          <w:lang w:eastAsia="en-NZ"/>
        </w:rPr>
        <w:t xml:space="preserve"> </w:t>
      </w:r>
      <w:r w:rsidRPr="009B1B22">
        <w:rPr>
          <w:bCs/>
          <w:lang w:eastAsia="en-NZ"/>
        </w:rPr>
        <w:t>23</w:t>
      </w:r>
      <w:r w:rsidRPr="009B1B22">
        <w:rPr>
          <w:lang w:eastAsia="en-NZ"/>
        </w:rPr>
        <w:t>(3): 234</w:t>
      </w:r>
      <w:r w:rsidR="00991AD3">
        <w:rPr>
          <w:lang w:eastAsia="en-NZ"/>
        </w:rPr>
        <w:t>–</w:t>
      </w:r>
      <w:r w:rsidRPr="009B1B22">
        <w:rPr>
          <w:lang w:eastAsia="en-NZ"/>
        </w:rPr>
        <w:t>8.</w:t>
      </w:r>
    </w:p>
    <w:p w:rsidR="0025490C" w:rsidRPr="00E07B1B" w:rsidRDefault="0025490C" w:rsidP="000A645D">
      <w:pPr>
        <w:pStyle w:val="References"/>
      </w:pPr>
      <w:r w:rsidRPr="00E07B1B">
        <w:t xml:space="preserve">Lapolla A, Di Cianni G, Di Benedetto A, </w:t>
      </w:r>
      <w:r w:rsidR="00D562F2">
        <w:t>et al</w:t>
      </w:r>
      <w:r w:rsidRPr="00E07B1B">
        <w:t xml:space="preserve">. 2012. Quality of Life, Wishes, and Needs in Women with Gestational Diabetes: Italian DAWN Pregnancy Study. </w:t>
      </w:r>
      <w:r w:rsidRPr="00E07B1B">
        <w:rPr>
          <w:i/>
          <w:iCs/>
        </w:rPr>
        <w:t>International Journal of Endocrinology Print</w:t>
      </w:r>
      <w:r w:rsidRPr="00E07B1B">
        <w:t>. DOI:</w:t>
      </w:r>
      <w:r>
        <w:t xml:space="preserve"> </w:t>
      </w:r>
      <w:r w:rsidRPr="00E07B1B">
        <w:t>org/10.1155/2012/784726.</w:t>
      </w:r>
    </w:p>
    <w:p w:rsidR="0068074A" w:rsidRDefault="0025490C" w:rsidP="000A645D">
      <w:pPr>
        <w:pStyle w:val="References"/>
      </w:pPr>
      <w:r w:rsidRPr="00E07B1B">
        <w:t xml:space="preserve">Lau SL, Gunton JE, Athayde NP, </w:t>
      </w:r>
      <w:r w:rsidR="00D562F2">
        <w:t>et al</w:t>
      </w:r>
      <w:r w:rsidRPr="00E07B1B">
        <w:t xml:space="preserve">. 2011. Serum 25-hydroxyvitamin D and glycated haemoglobin levels in women with gestational diabetes mellitus. </w:t>
      </w:r>
      <w:r w:rsidRPr="00E07B1B">
        <w:rPr>
          <w:i/>
          <w:iCs/>
        </w:rPr>
        <w:t xml:space="preserve">Medical Journal of Australia </w:t>
      </w:r>
      <w:r w:rsidRPr="00E07B1B">
        <w:rPr>
          <w:iCs/>
        </w:rPr>
        <w:t>194</w:t>
      </w:r>
      <w:r w:rsidRPr="00E07B1B">
        <w:t>(7): 334</w:t>
      </w:r>
      <w:r w:rsidR="00991AD3">
        <w:t>–</w:t>
      </w:r>
      <w:r w:rsidRPr="00E07B1B">
        <w:t>7.</w:t>
      </w:r>
    </w:p>
    <w:p w:rsidR="0068074A" w:rsidRDefault="0025490C" w:rsidP="000A645D">
      <w:pPr>
        <w:pStyle w:val="References"/>
      </w:pPr>
      <w:r w:rsidRPr="00E07B1B">
        <w:t xml:space="preserve">Lawrence JM. 2011. Women with diabetes in pregnancy: different perceptions and expectations. </w:t>
      </w:r>
      <w:r w:rsidRPr="00E07B1B">
        <w:rPr>
          <w:i/>
          <w:iCs/>
        </w:rPr>
        <w:t xml:space="preserve">Best Practice &amp; Research in Clinical Obstetrics &amp; Gynaecology </w:t>
      </w:r>
      <w:r w:rsidRPr="00E07B1B">
        <w:rPr>
          <w:iCs/>
        </w:rPr>
        <w:t>25</w:t>
      </w:r>
      <w:r w:rsidRPr="00E07B1B">
        <w:t>(1): 15</w:t>
      </w:r>
      <w:r>
        <w:t>–</w:t>
      </w:r>
      <w:r w:rsidRPr="00E07B1B">
        <w:t>24.</w:t>
      </w:r>
    </w:p>
    <w:p w:rsidR="0068074A" w:rsidRPr="00991AD3" w:rsidRDefault="0025490C" w:rsidP="000A645D">
      <w:pPr>
        <w:pStyle w:val="References"/>
        <w:rPr>
          <w:spacing w:val="-2"/>
        </w:rPr>
      </w:pPr>
      <w:r w:rsidRPr="00E07B1B">
        <w:t xml:space="preserve">Lawrence JM, Black MH, Hsu J-W, </w:t>
      </w:r>
      <w:r w:rsidR="00D562F2">
        <w:t>et al</w:t>
      </w:r>
      <w:r w:rsidRPr="00E07B1B">
        <w:t xml:space="preserve">. 2010. Prevalence and timing of postpartum glucose testing </w:t>
      </w:r>
      <w:r w:rsidRPr="00991AD3">
        <w:rPr>
          <w:spacing w:val="-2"/>
        </w:rPr>
        <w:t xml:space="preserve">and sustained glucose dysregulation after gestational diabetes mellitus. </w:t>
      </w:r>
      <w:r w:rsidRPr="00991AD3">
        <w:rPr>
          <w:i/>
          <w:iCs/>
          <w:spacing w:val="-2"/>
        </w:rPr>
        <w:t xml:space="preserve">Diabetes Care </w:t>
      </w:r>
      <w:r w:rsidRPr="00991AD3">
        <w:rPr>
          <w:iCs/>
          <w:spacing w:val="-2"/>
        </w:rPr>
        <w:t>33</w:t>
      </w:r>
      <w:r w:rsidRPr="00991AD3">
        <w:rPr>
          <w:spacing w:val="-2"/>
        </w:rPr>
        <w:t>(3): 569</w:t>
      </w:r>
      <w:r w:rsidR="00991AD3" w:rsidRPr="00991AD3">
        <w:rPr>
          <w:spacing w:val="-2"/>
        </w:rPr>
        <w:t>–</w:t>
      </w:r>
      <w:r w:rsidRPr="00991AD3">
        <w:rPr>
          <w:spacing w:val="-2"/>
        </w:rPr>
        <w:t>76.</w:t>
      </w:r>
    </w:p>
    <w:p w:rsidR="0068074A" w:rsidRDefault="0025490C" w:rsidP="000A645D">
      <w:pPr>
        <w:pStyle w:val="References"/>
      </w:pPr>
      <w:r w:rsidRPr="00E07B1B">
        <w:t xml:space="preserve">Lee KF, Mak MWH, Lau KO, </w:t>
      </w:r>
      <w:r w:rsidR="00D562F2">
        <w:t>et al</w:t>
      </w:r>
      <w:r w:rsidRPr="00E07B1B">
        <w:t xml:space="preserve">. 2011. Risk of development of diabetes mellitus in Chinese women with persistently impaired glucose tolerance after gestational diabetes. </w:t>
      </w:r>
      <w:r w:rsidRPr="00E07B1B">
        <w:rPr>
          <w:i/>
          <w:iCs/>
        </w:rPr>
        <w:t xml:space="preserve">Hong Kong Medical Journal </w:t>
      </w:r>
      <w:r w:rsidRPr="00E07B1B">
        <w:rPr>
          <w:iCs/>
        </w:rPr>
        <w:t>17</w:t>
      </w:r>
      <w:r w:rsidRPr="00E07B1B">
        <w:t>(3): 195</w:t>
      </w:r>
      <w:r>
        <w:t>–</w:t>
      </w:r>
      <w:r w:rsidRPr="00E07B1B">
        <w:t>201.</w:t>
      </w:r>
    </w:p>
    <w:p w:rsidR="0068074A" w:rsidRDefault="0025490C" w:rsidP="000A645D">
      <w:pPr>
        <w:pStyle w:val="References"/>
      </w:pPr>
      <w:r w:rsidRPr="00E07B1B">
        <w:t xml:space="preserve">Lega IC, McLaughlin H, Coroneos M, </w:t>
      </w:r>
      <w:r w:rsidR="00D562F2">
        <w:t>et al</w:t>
      </w:r>
      <w:r w:rsidRPr="00E07B1B">
        <w:t xml:space="preserve">. 2012. A physician reminder to improve postpartum diabetes screening in women with gestational diabetes mellitus. </w:t>
      </w:r>
      <w:r w:rsidRPr="00E07B1B">
        <w:rPr>
          <w:i/>
          <w:iCs/>
        </w:rPr>
        <w:t xml:space="preserve">Diabetes Research &amp; Clinical Practice </w:t>
      </w:r>
      <w:r w:rsidRPr="00E07B1B">
        <w:rPr>
          <w:iCs/>
        </w:rPr>
        <w:t>95</w:t>
      </w:r>
      <w:r w:rsidRPr="00E07B1B">
        <w:t>(3): 352</w:t>
      </w:r>
      <w:r>
        <w:t>–</w:t>
      </w:r>
      <w:r w:rsidRPr="00E07B1B">
        <w:t>7.</w:t>
      </w:r>
    </w:p>
    <w:p w:rsidR="0068074A" w:rsidRDefault="0025490C" w:rsidP="000A645D">
      <w:pPr>
        <w:pStyle w:val="References"/>
      </w:pPr>
      <w:r w:rsidRPr="00E07B1B">
        <w:t xml:space="preserve">Ley SH, Hanley AJ, Retnakaran R, </w:t>
      </w:r>
      <w:r w:rsidR="00D562F2">
        <w:t>et al</w:t>
      </w:r>
      <w:r w:rsidRPr="00E07B1B">
        <w:t xml:space="preserve">. 2011. Effect of macronutrient intake during the second trimester on glucose metabolism later in pregnancy. </w:t>
      </w:r>
      <w:r w:rsidRPr="00E07B1B">
        <w:rPr>
          <w:i/>
          <w:iCs/>
        </w:rPr>
        <w:t xml:space="preserve">American Journal of Clinical Nutrition </w:t>
      </w:r>
      <w:r w:rsidRPr="00E07B1B">
        <w:rPr>
          <w:iCs/>
        </w:rPr>
        <w:t>94</w:t>
      </w:r>
      <w:r w:rsidRPr="00E07B1B">
        <w:t>(5):</w:t>
      </w:r>
      <w:r w:rsidR="00991AD3">
        <w:t> </w:t>
      </w:r>
      <w:r w:rsidRPr="00E07B1B">
        <w:t>1232</w:t>
      </w:r>
      <w:r>
        <w:t>–</w:t>
      </w:r>
      <w:r w:rsidRPr="00E07B1B">
        <w:t>40.</w:t>
      </w:r>
    </w:p>
    <w:p w:rsidR="0068074A" w:rsidRDefault="0025490C" w:rsidP="000A645D">
      <w:pPr>
        <w:pStyle w:val="References"/>
      </w:pPr>
      <w:r w:rsidRPr="00E07B1B">
        <w:t xml:space="preserve">Lim-Uy SW, Cunanan, EC, Andag-Silva, AA. 2010. Prevalence and risk factors of gestational diabetes mellitus at the University of Santo Tomas Hospital. </w:t>
      </w:r>
      <w:r w:rsidRPr="00E07B1B">
        <w:rPr>
          <w:i/>
          <w:iCs/>
        </w:rPr>
        <w:t xml:space="preserve">Philippine Journal of Internal Medicine </w:t>
      </w:r>
      <w:r w:rsidRPr="00E07B1B">
        <w:rPr>
          <w:iCs/>
        </w:rPr>
        <w:t>48(1)</w:t>
      </w:r>
      <w:r w:rsidRPr="00E07B1B">
        <w:t>:</w:t>
      </w:r>
      <w:r w:rsidR="00991AD3">
        <w:t> </w:t>
      </w:r>
      <w:r w:rsidRPr="00E07B1B">
        <w:t>24</w:t>
      </w:r>
      <w:r>
        <w:t>–</w:t>
      </w:r>
      <w:r w:rsidRPr="00E07B1B">
        <w:t>31.</w:t>
      </w:r>
    </w:p>
    <w:p w:rsidR="0068074A" w:rsidRDefault="0025490C" w:rsidP="000A645D">
      <w:pPr>
        <w:pStyle w:val="References"/>
      </w:pPr>
      <w:r w:rsidRPr="00E07B1B">
        <w:t xml:space="preserve">Lohse N, Marseille E, Kahn JG. 2011. Development of a model to assess the cost-effectiveness of gestational diabetes mellitus screening and lifestyle change for the prevention of type 2 diabetes mellitus. </w:t>
      </w:r>
      <w:r w:rsidRPr="00E07B1B">
        <w:rPr>
          <w:i/>
          <w:iCs/>
        </w:rPr>
        <w:t xml:space="preserve">International Journal of Gynaecology &amp; Obstetrics </w:t>
      </w:r>
      <w:r w:rsidRPr="00E07B1B">
        <w:rPr>
          <w:iCs/>
        </w:rPr>
        <w:t>115</w:t>
      </w:r>
      <w:r w:rsidRPr="00E07B1B">
        <w:t>(Suppl 1): S20</w:t>
      </w:r>
      <w:r>
        <w:t>–</w:t>
      </w:r>
      <w:r w:rsidRPr="00E07B1B">
        <w:t>5.</w:t>
      </w:r>
    </w:p>
    <w:p w:rsidR="0068074A" w:rsidRDefault="0025490C" w:rsidP="000A645D">
      <w:pPr>
        <w:pStyle w:val="References"/>
      </w:pPr>
      <w:r w:rsidRPr="00E07B1B">
        <w:t xml:space="preserve">Lowe LP, Metzger BE, Dyer AR, </w:t>
      </w:r>
      <w:r w:rsidR="00D562F2">
        <w:t>et al</w:t>
      </w:r>
      <w:r w:rsidRPr="00E07B1B">
        <w:t>. 2012. Hyperglycemia and adverse pregnancy outcome (HAPO) study.</w:t>
      </w:r>
      <w:r w:rsidRPr="00E07B1B">
        <w:rPr>
          <w:i/>
          <w:iCs/>
        </w:rPr>
        <w:t xml:space="preserve"> Diabetes Care </w:t>
      </w:r>
      <w:r w:rsidRPr="00E07B1B">
        <w:rPr>
          <w:iCs/>
        </w:rPr>
        <w:t>35:</w:t>
      </w:r>
      <w:r w:rsidRPr="00E07B1B">
        <w:t xml:space="preserve"> 574</w:t>
      </w:r>
      <w:r>
        <w:t>–</w:t>
      </w:r>
      <w:r w:rsidRPr="00E07B1B">
        <w:t>80.</w:t>
      </w:r>
    </w:p>
    <w:p w:rsidR="0068074A" w:rsidRDefault="0025490C" w:rsidP="000A645D">
      <w:pPr>
        <w:pStyle w:val="References"/>
      </w:pPr>
      <w:r w:rsidRPr="00E07B1B">
        <w:t xml:space="preserve">Luoto R, Kinnunen TI, Aittasalo M, </w:t>
      </w:r>
      <w:r w:rsidR="00D562F2">
        <w:t>et al</w:t>
      </w:r>
      <w:r w:rsidRPr="00E07B1B">
        <w:t xml:space="preserve">. 2011. Primary prevention of gestational diabetes mellitus and large-for-gestational-age newborns by lifestyle counseling: a cluster-randomized controlled trial. </w:t>
      </w:r>
      <w:r w:rsidRPr="00E07B1B">
        <w:rPr>
          <w:i/>
          <w:iCs/>
        </w:rPr>
        <w:t xml:space="preserve">PLoS Medicine </w:t>
      </w:r>
      <w:r w:rsidRPr="00E07B1B">
        <w:rPr>
          <w:iCs/>
        </w:rPr>
        <w:t>8</w:t>
      </w:r>
      <w:r w:rsidRPr="00E07B1B">
        <w:t>(5): e1001036.</w:t>
      </w:r>
    </w:p>
    <w:p w:rsidR="0025490C" w:rsidRPr="00E07B1B" w:rsidRDefault="0025490C" w:rsidP="000A645D">
      <w:pPr>
        <w:pStyle w:val="References"/>
      </w:pPr>
      <w:r w:rsidRPr="00E07B1B">
        <w:t xml:space="preserve">Madarasz E, Tamas G, Tabak AG, </w:t>
      </w:r>
      <w:r w:rsidR="00D562F2">
        <w:t>et al</w:t>
      </w:r>
      <w:r w:rsidRPr="00E07B1B">
        <w:t xml:space="preserve">. 2009. Carbohydrate metabolism and cardiovascular risk factors </w:t>
      </w:r>
      <w:r w:rsidR="00991AD3">
        <w:t>four</w:t>
      </w:r>
      <w:r w:rsidRPr="00E07B1B">
        <w:t xml:space="preserve"> years after a pregnancy complicated by gestational diabetes. </w:t>
      </w:r>
      <w:r w:rsidRPr="00E07B1B">
        <w:rPr>
          <w:i/>
          <w:iCs/>
        </w:rPr>
        <w:t xml:space="preserve">Diabetes Research </w:t>
      </w:r>
      <w:r>
        <w:rPr>
          <w:i/>
          <w:iCs/>
        </w:rPr>
        <w:t>and</w:t>
      </w:r>
      <w:r w:rsidRPr="00E07B1B">
        <w:rPr>
          <w:i/>
          <w:iCs/>
        </w:rPr>
        <w:t xml:space="preserve"> Clinical Practice </w:t>
      </w:r>
      <w:r w:rsidRPr="00E07B1B">
        <w:rPr>
          <w:iCs/>
        </w:rPr>
        <w:t>85</w:t>
      </w:r>
      <w:r w:rsidRPr="00E07B1B">
        <w:t>(2): 197</w:t>
      </w:r>
      <w:r>
        <w:t>–</w:t>
      </w:r>
      <w:r w:rsidRPr="00E07B1B">
        <w:t>202.</w:t>
      </w:r>
    </w:p>
    <w:p w:rsidR="0068074A" w:rsidRDefault="0025490C" w:rsidP="000A645D">
      <w:pPr>
        <w:pStyle w:val="References"/>
      </w:pPr>
      <w:r w:rsidRPr="00E07B1B">
        <w:t xml:space="preserve">Maegawa Y, Sugiyama T, Kusaka H, </w:t>
      </w:r>
      <w:r w:rsidR="00D562F2">
        <w:t>et al</w:t>
      </w:r>
      <w:r w:rsidRPr="00E07B1B">
        <w:t xml:space="preserve">. 2003. Screening tests for gestational diabetes in Japan in the first and second trimester of pregnancy. </w:t>
      </w:r>
      <w:r w:rsidRPr="00E07B1B">
        <w:rPr>
          <w:i/>
          <w:iCs/>
        </w:rPr>
        <w:t>Diabetes Res</w:t>
      </w:r>
      <w:r>
        <w:rPr>
          <w:i/>
          <w:iCs/>
        </w:rPr>
        <w:t>earch and</w:t>
      </w:r>
      <w:r w:rsidRPr="00E07B1B">
        <w:rPr>
          <w:i/>
          <w:iCs/>
        </w:rPr>
        <w:t xml:space="preserve"> Clin</w:t>
      </w:r>
      <w:r>
        <w:rPr>
          <w:i/>
          <w:iCs/>
        </w:rPr>
        <w:t>ical</w:t>
      </w:r>
      <w:r w:rsidRPr="00E07B1B">
        <w:rPr>
          <w:i/>
          <w:iCs/>
        </w:rPr>
        <w:t xml:space="preserve"> Pract</w:t>
      </w:r>
      <w:r>
        <w:rPr>
          <w:i/>
          <w:iCs/>
        </w:rPr>
        <w:t>ice</w:t>
      </w:r>
      <w:r w:rsidRPr="00E07B1B">
        <w:rPr>
          <w:i/>
          <w:iCs/>
        </w:rPr>
        <w:t xml:space="preserve"> </w:t>
      </w:r>
      <w:r w:rsidRPr="008902B1">
        <w:t>62</w:t>
      </w:r>
      <w:r w:rsidRPr="00E07B1B">
        <w:t>: 47</w:t>
      </w:r>
      <w:r>
        <w:t>–</w:t>
      </w:r>
      <w:r w:rsidRPr="00E07B1B">
        <w:t>53.</w:t>
      </w:r>
    </w:p>
    <w:p w:rsidR="0068074A" w:rsidRDefault="0025490C" w:rsidP="000A645D">
      <w:pPr>
        <w:pStyle w:val="References"/>
      </w:pPr>
      <w:r w:rsidRPr="00E07B1B">
        <w:t xml:space="preserve">Makgoba M, Savvidou MD, Steer PJ. 2012. An analysis of the interrelationship between maternal age, body mass index and racial origin in the development of gestational diabetes mellitus. </w:t>
      </w:r>
      <w:r w:rsidRPr="00E07B1B">
        <w:rPr>
          <w:i/>
          <w:iCs/>
        </w:rPr>
        <w:t>BJOG: An</w:t>
      </w:r>
      <w:r w:rsidR="00991AD3">
        <w:rPr>
          <w:i/>
          <w:iCs/>
        </w:rPr>
        <w:t> </w:t>
      </w:r>
      <w:r w:rsidRPr="00E07B1B">
        <w:rPr>
          <w:i/>
          <w:iCs/>
        </w:rPr>
        <w:t xml:space="preserve">International Journal of Obstetrics &amp; Gynaecology </w:t>
      </w:r>
      <w:r w:rsidRPr="00E07B1B">
        <w:rPr>
          <w:iCs/>
        </w:rPr>
        <w:t>119</w:t>
      </w:r>
      <w:r w:rsidRPr="00E07B1B">
        <w:t>(3): 276</w:t>
      </w:r>
      <w:r>
        <w:t>–</w:t>
      </w:r>
      <w:r w:rsidRPr="00E07B1B">
        <w:t>82.</w:t>
      </w:r>
    </w:p>
    <w:p w:rsidR="0025490C" w:rsidRPr="00E07B1B" w:rsidRDefault="0025490C" w:rsidP="000A645D">
      <w:pPr>
        <w:pStyle w:val="References"/>
      </w:pPr>
      <w:r w:rsidRPr="00E07B1B">
        <w:t xml:space="preserve">Malinowski-Polubiec A, Sienko J, Lewandowski Z, </w:t>
      </w:r>
      <w:r w:rsidR="00D562F2">
        <w:t>et al</w:t>
      </w:r>
      <w:r w:rsidRPr="00E07B1B">
        <w:t xml:space="preserve">. 2012. Risk factors of abnormal carbohydrate metabolism after pregnancy complicated by gestational diabetes. </w:t>
      </w:r>
      <w:r w:rsidRPr="00E07B1B">
        <w:rPr>
          <w:i/>
          <w:iCs/>
        </w:rPr>
        <w:t xml:space="preserve">Gynecological Endocrinology </w:t>
      </w:r>
      <w:r w:rsidRPr="00E07B1B">
        <w:rPr>
          <w:iCs/>
        </w:rPr>
        <w:t>28</w:t>
      </w:r>
      <w:r w:rsidRPr="00E07B1B">
        <w:t>(5): 360</w:t>
      </w:r>
      <w:r>
        <w:t>–</w:t>
      </w:r>
      <w:r w:rsidRPr="00E07B1B">
        <w:t>4.</w:t>
      </w:r>
    </w:p>
    <w:p w:rsidR="0025490C" w:rsidRPr="00E07B1B" w:rsidRDefault="0025490C" w:rsidP="000A645D">
      <w:pPr>
        <w:pStyle w:val="References"/>
      </w:pPr>
      <w:r w:rsidRPr="00E07B1B">
        <w:t xml:space="preserve">Mao H, Li Q, Gao S. 2012. Meta-analysis of the relationship between common type 2 diabetes risk gene variants with gestational diabetes mellitus. </w:t>
      </w:r>
      <w:r w:rsidRPr="00E07B1B">
        <w:rPr>
          <w:i/>
          <w:iCs/>
        </w:rPr>
        <w:t xml:space="preserve">PLoS ONE </w:t>
      </w:r>
      <w:r w:rsidRPr="00E07B1B">
        <w:rPr>
          <w:iCs/>
        </w:rPr>
        <w:t>7</w:t>
      </w:r>
      <w:r w:rsidRPr="00E07B1B">
        <w:t>(9): e45882.</w:t>
      </w:r>
    </w:p>
    <w:p w:rsidR="0068074A" w:rsidRDefault="0025490C" w:rsidP="000A645D">
      <w:pPr>
        <w:pStyle w:val="References"/>
      </w:pPr>
      <w:r w:rsidRPr="00E07B1B">
        <w:t xml:space="preserve">Maso G, Alberico S, Wiesenfeld U, </w:t>
      </w:r>
      <w:r w:rsidR="00D562F2">
        <w:t>et al</w:t>
      </w:r>
      <w:r w:rsidRPr="00E07B1B">
        <w:t xml:space="preserve">. 2011. GINEXMAL RCT: </w:t>
      </w:r>
      <w:r>
        <w:t>i</w:t>
      </w:r>
      <w:r w:rsidRPr="00E07B1B">
        <w:t xml:space="preserve">nduction of labour versus expectant management in gestational diabetes pregnancies. </w:t>
      </w:r>
      <w:r w:rsidRPr="00E07B1B">
        <w:rPr>
          <w:i/>
          <w:iCs/>
        </w:rPr>
        <w:t xml:space="preserve">BMC </w:t>
      </w:r>
      <w:r>
        <w:rPr>
          <w:i/>
          <w:iCs/>
        </w:rPr>
        <w:t>P</w:t>
      </w:r>
      <w:r w:rsidRPr="00E07B1B">
        <w:rPr>
          <w:i/>
          <w:iCs/>
        </w:rPr>
        <w:t xml:space="preserve">regnancy and </w:t>
      </w:r>
      <w:r>
        <w:rPr>
          <w:i/>
          <w:iCs/>
        </w:rPr>
        <w:t>C</w:t>
      </w:r>
      <w:r w:rsidRPr="00E07B1B">
        <w:rPr>
          <w:i/>
          <w:iCs/>
        </w:rPr>
        <w:t xml:space="preserve">hildbirth </w:t>
      </w:r>
      <w:r w:rsidRPr="00E07B1B">
        <w:rPr>
          <w:iCs/>
        </w:rPr>
        <w:t>11</w:t>
      </w:r>
      <w:r w:rsidRPr="00E07B1B">
        <w:t>(31).</w:t>
      </w:r>
    </w:p>
    <w:p w:rsidR="0025490C" w:rsidRPr="00E07B1B" w:rsidRDefault="0025490C" w:rsidP="000A645D">
      <w:pPr>
        <w:pStyle w:val="References"/>
      </w:pPr>
      <w:r w:rsidRPr="00E07B1B">
        <w:t xml:space="preserve">McClean S, Farrar D, Kelly CA, </w:t>
      </w:r>
      <w:r w:rsidR="00D562F2">
        <w:t>et al</w:t>
      </w:r>
      <w:r w:rsidRPr="00E07B1B">
        <w:t xml:space="preserve">. 2010. The importance of postpartum glucose tolerance testing after pregnancies complicated by gestational diabetes. </w:t>
      </w:r>
      <w:r w:rsidRPr="00E07B1B">
        <w:rPr>
          <w:i/>
          <w:iCs/>
        </w:rPr>
        <w:t xml:space="preserve">Diabetic Medicine </w:t>
      </w:r>
      <w:r w:rsidRPr="00E07B1B">
        <w:rPr>
          <w:iCs/>
        </w:rPr>
        <w:t>27</w:t>
      </w:r>
      <w:r w:rsidRPr="00E07B1B">
        <w:t>(6): 650</w:t>
      </w:r>
      <w:r>
        <w:t>–</w:t>
      </w:r>
      <w:r w:rsidRPr="00E07B1B">
        <w:t>4.</w:t>
      </w:r>
    </w:p>
    <w:p w:rsidR="0025490C" w:rsidRPr="00E07B1B" w:rsidRDefault="0025490C" w:rsidP="000A645D">
      <w:pPr>
        <w:pStyle w:val="References"/>
      </w:pPr>
      <w:r w:rsidRPr="00E07B1B">
        <w:t>McLachlan K, Jenkins A, O</w:t>
      </w:r>
      <w:r w:rsidR="0068074A">
        <w:t>’</w:t>
      </w:r>
      <w:r w:rsidRPr="00E07B1B">
        <w:t>Neal D.</w:t>
      </w:r>
      <w:r>
        <w:t xml:space="preserve"> </w:t>
      </w:r>
      <w:r w:rsidRPr="00E07B1B">
        <w:t xml:space="preserve">2007. The role of continuous glucose monitoring in clinical decision-making in diabetes in pregnancy. </w:t>
      </w:r>
      <w:r w:rsidRPr="00E07B1B">
        <w:rPr>
          <w:i/>
          <w:iCs/>
        </w:rPr>
        <w:t xml:space="preserve">Australian and New Zealand Journal of Obstetrics and Gynaecology </w:t>
      </w:r>
      <w:r w:rsidRPr="00E07B1B">
        <w:rPr>
          <w:iCs/>
        </w:rPr>
        <w:t>47:</w:t>
      </w:r>
      <w:r w:rsidRPr="00E07B1B">
        <w:t xml:space="preserve"> 186</w:t>
      </w:r>
      <w:r>
        <w:t>–</w:t>
      </w:r>
      <w:r w:rsidRPr="00E07B1B">
        <w:t>90.</w:t>
      </w:r>
    </w:p>
    <w:p w:rsidR="0025490C" w:rsidRPr="00E07B1B" w:rsidRDefault="0025490C" w:rsidP="000A645D">
      <w:pPr>
        <w:pStyle w:val="References"/>
      </w:pPr>
      <w:r w:rsidRPr="00E07B1B">
        <w:t>McLean M, Chipps D, Cheung NW.</w:t>
      </w:r>
      <w:r>
        <w:t xml:space="preserve"> </w:t>
      </w:r>
      <w:r w:rsidRPr="00E07B1B">
        <w:t>2006. Mother to child transmission of diabetes mellitus: does gestational diabetes program type 2 diabetes in next generation?</w:t>
      </w:r>
      <w:r w:rsidRPr="00E07B1B">
        <w:rPr>
          <w:i/>
          <w:iCs/>
        </w:rPr>
        <w:t xml:space="preserve"> Diabetic Medicine </w:t>
      </w:r>
      <w:r w:rsidRPr="00E07B1B">
        <w:rPr>
          <w:iCs/>
        </w:rPr>
        <w:t>23</w:t>
      </w:r>
      <w:r w:rsidRPr="00E07B1B">
        <w:t>(11): 1213</w:t>
      </w:r>
      <w:r>
        <w:t>–</w:t>
      </w:r>
      <w:r w:rsidRPr="00E07B1B">
        <w:t>15.</w:t>
      </w:r>
    </w:p>
    <w:p w:rsidR="0068074A" w:rsidRDefault="0025490C" w:rsidP="000A645D">
      <w:pPr>
        <w:pStyle w:val="References"/>
      </w:pPr>
      <w:r w:rsidRPr="00E07B1B">
        <w:t xml:space="preserve">McGrath NM, Baldwin A. 2012. Further post-partum follow-up of women with gestational diabetes mellitus from Northland, New Zealand. </w:t>
      </w:r>
      <w:r w:rsidRPr="00E07B1B">
        <w:rPr>
          <w:i/>
          <w:iCs/>
        </w:rPr>
        <w:t xml:space="preserve">Diabetic Medicine </w:t>
      </w:r>
      <w:r w:rsidRPr="00E07B1B">
        <w:rPr>
          <w:iCs/>
        </w:rPr>
        <w:t>29</w:t>
      </w:r>
      <w:r w:rsidRPr="00E07B1B">
        <w:t>(3): 415.</w:t>
      </w:r>
    </w:p>
    <w:p w:rsidR="0068074A" w:rsidRDefault="0025490C" w:rsidP="000A645D">
      <w:pPr>
        <w:pStyle w:val="References"/>
      </w:pPr>
      <w:r w:rsidRPr="00E07B1B">
        <w:t xml:space="preserve">McGrath NM, Evans C, Holgate A. 2007. Post-partum follow-up of women with gestational diabetes mellitus from Northland, New Zealand [2]. </w:t>
      </w:r>
      <w:r w:rsidRPr="00E07B1B">
        <w:rPr>
          <w:i/>
          <w:iCs/>
        </w:rPr>
        <w:t xml:space="preserve">Diabetic Medicine </w:t>
      </w:r>
      <w:r w:rsidRPr="00E07B1B">
        <w:rPr>
          <w:iCs/>
        </w:rPr>
        <w:t>24(2)</w:t>
      </w:r>
      <w:r w:rsidRPr="00E07B1B">
        <w:t>: 218</w:t>
      </w:r>
      <w:r>
        <w:t>–</w:t>
      </w:r>
      <w:r w:rsidRPr="00E07B1B">
        <w:t>19.</w:t>
      </w:r>
    </w:p>
    <w:p w:rsidR="0068074A" w:rsidRDefault="0025490C" w:rsidP="000A645D">
      <w:pPr>
        <w:pStyle w:val="References"/>
      </w:pPr>
      <w:r w:rsidRPr="00E07B1B">
        <w:t xml:space="preserve">Megia A, Naf S, Herranz L, </w:t>
      </w:r>
      <w:r w:rsidR="00D562F2">
        <w:t>et al</w:t>
      </w:r>
      <w:r w:rsidRPr="00E07B1B">
        <w:t xml:space="preserve">. 2012. The usefulness of HbA1c in postpartum reclassification of gestational diabetes. </w:t>
      </w:r>
      <w:r w:rsidRPr="00E07B1B">
        <w:rPr>
          <w:i/>
          <w:iCs/>
        </w:rPr>
        <w:t xml:space="preserve">British Journal of Obstetrics and Gynaecology </w:t>
      </w:r>
      <w:r w:rsidRPr="00E07B1B">
        <w:rPr>
          <w:iCs/>
        </w:rPr>
        <w:t>119:</w:t>
      </w:r>
      <w:r w:rsidRPr="00E07B1B">
        <w:t xml:space="preserve"> 891</w:t>
      </w:r>
      <w:r>
        <w:t>–</w:t>
      </w:r>
      <w:r w:rsidRPr="00E07B1B">
        <w:t>4.</w:t>
      </w:r>
    </w:p>
    <w:p w:rsidR="0068074A" w:rsidRDefault="0025490C" w:rsidP="000A645D">
      <w:pPr>
        <w:pStyle w:val="References"/>
      </w:pPr>
      <w:r w:rsidRPr="00E07B1B">
        <w:t xml:space="preserve">Metzger BE, Buchanan T, Coustan DR, </w:t>
      </w:r>
      <w:r w:rsidR="00D562F2">
        <w:t>et al</w:t>
      </w:r>
      <w:r w:rsidRPr="00E07B1B">
        <w:t xml:space="preserve">. 2007. Summary and recommendations of the </w:t>
      </w:r>
      <w:r>
        <w:t>Fif</w:t>
      </w:r>
      <w:r w:rsidRPr="00E07B1B">
        <w:t xml:space="preserve">th International </w:t>
      </w:r>
      <w:r>
        <w:t>W</w:t>
      </w:r>
      <w:r w:rsidRPr="00E07B1B">
        <w:t>orkshop</w:t>
      </w:r>
      <w:r>
        <w:t>–C</w:t>
      </w:r>
      <w:r w:rsidRPr="00E07B1B">
        <w:t xml:space="preserve">onference on </w:t>
      </w:r>
      <w:r>
        <w:t>G</w:t>
      </w:r>
      <w:r w:rsidRPr="00E07B1B">
        <w:t xml:space="preserve">estational </w:t>
      </w:r>
      <w:r>
        <w:t>D</w:t>
      </w:r>
      <w:r w:rsidRPr="00E07B1B">
        <w:t>iabetes</w:t>
      </w:r>
      <w:r>
        <w:t xml:space="preserve"> Mellitus</w:t>
      </w:r>
      <w:r w:rsidRPr="00E07B1B">
        <w:t xml:space="preserve">. </w:t>
      </w:r>
      <w:r w:rsidRPr="00E07B1B">
        <w:rPr>
          <w:i/>
          <w:iCs/>
        </w:rPr>
        <w:t xml:space="preserve">Diabetes Care </w:t>
      </w:r>
      <w:r w:rsidRPr="00E07B1B">
        <w:rPr>
          <w:iCs/>
        </w:rPr>
        <w:t>30</w:t>
      </w:r>
      <w:r w:rsidRPr="00E07B1B">
        <w:t>(Suppl 2): S251</w:t>
      </w:r>
      <w:r>
        <w:t>–</w:t>
      </w:r>
      <w:r w:rsidRPr="00E07B1B">
        <w:t>60.</w:t>
      </w:r>
    </w:p>
    <w:p w:rsidR="0025490C" w:rsidRPr="00D1191B" w:rsidRDefault="0025490C" w:rsidP="000A645D">
      <w:pPr>
        <w:pStyle w:val="References"/>
        <w:rPr>
          <w:lang w:eastAsia="en-NZ"/>
        </w:rPr>
      </w:pPr>
      <w:r w:rsidRPr="00D1191B">
        <w:rPr>
          <w:lang w:eastAsia="en-NZ"/>
        </w:rPr>
        <w:t>Ministry of Health. 2014.</w:t>
      </w:r>
      <w:r w:rsidRPr="00831441">
        <w:rPr>
          <w:i/>
          <w:lang w:eastAsia="en-NZ"/>
        </w:rPr>
        <w:t xml:space="preserve"> Guidance for Healthy Weight Gain in Pregnancy</w:t>
      </w:r>
      <w:r w:rsidRPr="00D1191B">
        <w:rPr>
          <w:lang w:eastAsia="en-NZ"/>
        </w:rPr>
        <w:t>. Wellington: Ministry of Health.</w:t>
      </w:r>
      <w:r>
        <w:rPr>
          <w:lang w:eastAsia="en-NZ"/>
        </w:rPr>
        <w:t xml:space="preserve"> URL:</w:t>
      </w:r>
      <w:r w:rsidRPr="00D1191B">
        <w:t xml:space="preserve"> </w:t>
      </w:r>
      <w:hyperlink r:id="rId42" w:history="1">
        <w:r w:rsidRPr="00D1191B">
          <w:rPr>
            <w:rStyle w:val="Hyperlink"/>
          </w:rPr>
          <w:t>www.health.govt.nz/publication/guidance-healthy-weight-gain-pregnancy</w:t>
        </w:r>
      </w:hyperlink>
      <w:r w:rsidRPr="00AE558F">
        <w:t xml:space="preserve"> (accessed 7</w:t>
      </w:r>
      <w:r w:rsidR="00991AD3">
        <w:t> </w:t>
      </w:r>
      <w:r w:rsidRPr="00AE558F">
        <w:t>September 2014).</w:t>
      </w:r>
    </w:p>
    <w:p w:rsidR="0025490C" w:rsidRPr="00E07B1B" w:rsidRDefault="0025490C" w:rsidP="000A645D">
      <w:pPr>
        <w:pStyle w:val="References"/>
      </w:pPr>
      <w:r w:rsidRPr="00E07B1B">
        <w:t>Mission JF, Ohno MS, Cheng YW</w:t>
      </w:r>
      <w:r>
        <w:t>,</w:t>
      </w:r>
      <w:r w:rsidRPr="00E07B1B">
        <w:t xml:space="preserve"> </w:t>
      </w:r>
      <w:r w:rsidR="00D562F2">
        <w:t>et al</w:t>
      </w:r>
      <w:r w:rsidRPr="00E07B1B">
        <w:t xml:space="preserve">. 2012. Gestational diabetes screening with the new IADPSG guidelines: a cost-effectiveness analysis. </w:t>
      </w:r>
      <w:r w:rsidRPr="00E07B1B">
        <w:rPr>
          <w:i/>
        </w:rPr>
        <w:t xml:space="preserve">American Journal of Obstetrics </w:t>
      </w:r>
      <w:r>
        <w:rPr>
          <w:i/>
        </w:rPr>
        <w:t>&amp;</w:t>
      </w:r>
      <w:r w:rsidRPr="00E07B1B">
        <w:rPr>
          <w:i/>
        </w:rPr>
        <w:t xml:space="preserve"> Gynecology</w:t>
      </w:r>
      <w:r w:rsidRPr="00713A7D">
        <w:t xml:space="preserve"> </w:t>
      </w:r>
      <w:r>
        <w:t>207(4):</w:t>
      </w:r>
      <w:r w:rsidR="00991AD3">
        <w:t> </w:t>
      </w:r>
      <w:r>
        <w:t>326.e1–9</w:t>
      </w:r>
      <w:r>
        <w:rPr>
          <w:i/>
        </w:rPr>
        <w:t>.</w:t>
      </w:r>
      <w:r w:rsidRPr="00E07B1B">
        <w:t xml:space="preserve"> DOI</w:t>
      </w:r>
      <w:r>
        <w:t>:</w:t>
      </w:r>
      <w:r w:rsidRPr="00E07B1B">
        <w:t xml:space="preserve"> 10.1016/j.ajog.2012.06.048</w:t>
      </w:r>
      <w:r w:rsidR="00991AD3">
        <w:t>.</w:t>
      </w:r>
    </w:p>
    <w:p w:rsidR="0068074A" w:rsidRDefault="0025490C" w:rsidP="000A645D">
      <w:pPr>
        <w:pStyle w:val="References"/>
      </w:pPr>
      <w:r w:rsidRPr="00E07B1B">
        <w:t>Moore L, Clokey D. 2013. A1C at the first prenatal visit: is it useful?</w:t>
      </w:r>
      <w:r>
        <w:t xml:space="preserve"> </w:t>
      </w:r>
      <w:r w:rsidRPr="00E07B1B">
        <w:rPr>
          <w:i/>
          <w:iCs/>
        </w:rPr>
        <w:t xml:space="preserve">American Journal of Obstetrics and Gynecology </w:t>
      </w:r>
      <w:r w:rsidRPr="00E07B1B">
        <w:t>(Suppl 275): S125.</w:t>
      </w:r>
    </w:p>
    <w:p w:rsidR="0025490C" w:rsidRDefault="0025490C" w:rsidP="000A645D">
      <w:pPr>
        <w:pStyle w:val="References"/>
        <w:rPr>
          <w:lang w:eastAsia="en-NZ"/>
        </w:rPr>
      </w:pPr>
      <w:r>
        <w:rPr>
          <w:lang w:eastAsia="en-NZ"/>
        </w:rPr>
        <w:t>Morikawa</w:t>
      </w:r>
      <w:r w:rsidRPr="00081136">
        <w:rPr>
          <w:lang w:eastAsia="en-NZ"/>
        </w:rPr>
        <w:t xml:space="preserve"> MT</w:t>
      </w:r>
      <w:r>
        <w:rPr>
          <w:lang w:eastAsia="en-NZ"/>
        </w:rPr>
        <w:t>,</w:t>
      </w:r>
      <w:r w:rsidRPr="00081136">
        <w:rPr>
          <w:lang w:eastAsia="en-NZ"/>
        </w:rPr>
        <w:t xml:space="preserve"> Yamada T</w:t>
      </w:r>
      <w:r>
        <w:rPr>
          <w:lang w:eastAsia="en-NZ"/>
        </w:rPr>
        <w:t>,</w:t>
      </w:r>
      <w:r w:rsidRPr="00081136">
        <w:rPr>
          <w:lang w:eastAsia="en-NZ"/>
        </w:rPr>
        <w:t xml:space="preserve"> Yamada</w:t>
      </w:r>
      <w:r>
        <w:rPr>
          <w:lang w:eastAsia="en-NZ"/>
        </w:rPr>
        <w:t xml:space="preserve"> </w:t>
      </w:r>
      <w:r w:rsidRPr="00081136">
        <w:rPr>
          <w:lang w:eastAsia="en-NZ"/>
        </w:rPr>
        <w:t>R</w:t>
      </w:r>
      <w:r>
        <w:rPr>
          <w:lang w:eastAsia="en-NZ"/>
        </w:rPr>
        <w:t xml:space="preserve">, </w:t>
      </w:r>
      <w:r w:rsidR="00D562F2">
        <w:rPr>
          <w:lang w:eastAsia="en-NZ"/>
        </w:rPr>
        <w:t>et al</w:t>
      </w:r>
      <w:r>
        <w:rPr>
          <w:lang w:eastAsia="en-NZ"/>
        </w:rPr>
        <w:t xml:space="preserve">. </w:t>
      </w:r>
      <w:r w:rsidRPr="00081136">
        <w:rPr>
          <w:lang w:eastAsia="en-NZ"/>
        </w:rPr>
        <w:t>2010. Change in the number of patients after the adoption of IADPSG criteria for hyperglycemia durin</w:t>
      </w:r>
      <w:r>
        <w:rPr>
          <w:lang w:eastAsia="en-NZ"/>
        </w:rPr>
        <w:t>g pregnancy in Japanese women.</w:t>
      </w:r>
      <w:r w:rsidR="0068074A">
        <w:rPr>
          <w:lang w:eastAsia="en-NZ"/>
        </w:rPr>
        <w:t xml:space="preserve"> </w:t>
      </w:r>
      <w:r w:rsidRPr="00081136">
        <w:rPr>
          <w:i/>
          <w:lang w:eastAsia="en-NZ"/>
        </w:rPr>
        <w:t>Diabetes Res Clin Pract</w:t>
      </w:r>
      <w:r w:rsidRPr="00081136">
        <w:rPr>
          <w:lang w:eastAsia="en-NZ"/>
        </w:rPr>
        <w:t xml:space="preserve"> </w:t>
      </w:r>
      <w:r w:rsidRPr="00081136">
        <w:rPr>
          <w:bCs/>
          <w:lang w:eastAsia="en-NZ"/>
        </w:rPr>
        <w:t>90</w:t>
      </w:r>
      <w:r w:rsidRPr="00081136">
        <w:rPr>
          <w:lang w:eastAsia="en-NZ"/>
        </w:rPr>
        <w:t>(3): 339</w:t>
      </w:r>
      <w:r w:rsidR="00991AD3">
        <w:rPr>
          <w:lang w:eastAsia="en-NZ"/>
        </w:rPr>
        <w:t>–</w:t>
      </w:r>
      <w:r w:rsidRPr="00081136">
        <w:rPr>
          <w:lang w:eastAsia="en-NZ"/>
        </w:rPr>
        <w:t>42.</w:t>
      </w:r>
    </w:p>
    <w:p w:rsidR="0025490C" w:rsidRPr="00F218AB" w:rsidRDefault="0025490C" w:rsidP="000A645D">
      <w:pPr>
        <w:pStyle w:val="References"/>
      </w:pPr>
      <w:r>
        <w:rPr>
          <w:lang w:eastAsia="en-NZ"/>
        </w:rPr>
        <w:t>Morrison MK</w:t>
      </w:r>
      <w:r w:rsidRPr="00F218AB">
        <w:rPr>
          <w:lang w:eastAsia="en-NZ"/>
        </w:rPr>
        <w:t>, Collins</w:t>
      </w:r>
      <w:r>
        <w:rPr>
          <w:lang w:eastAsia="en-NZ"/>
        </w:rPr>
        <w:t xml:space="preserve"> CE</w:t>
      </w:r>
      <w:r w:rsidR="00991AD3">
        <w:rPr>
          <w:lang w:eastAsia="en-NZ"/>
        </w:rPr>
        <w:t>,</w:t>
      </w:r>
      <w:r w:rsidRPr="00F218AB">
        <w:rPr>
          <w:lang w:eastAsia="en-NZ"/>
        </w:rPr>
        <w:t xml:space="preserve"> Lowe </w:t>
      </w:r>
      <w:r>
        <w:rPr>
          <w:lang w:eastAsia="en-NZ"/>
        </w:rPr>
        <w:t xml:space="preserve">JM. </w:t>
      </w:r>
      <w:r w:rsidRPr="00F218AB">
        <w:rPr>
          <w:lang w:eastAsia="en-NZ"/>
        </w:rPr>
        <w:t>2009.</w:t>
      </w:r>
      <w:r>
        <w:rPr>
          <w:lang w:eastAsia="en-NZ"/>
        </w:rPr>
        <w:t xml:space="preserve"> </w:t>
      </w:r>
      <w:r w:rsidRPr="00F218AB">
        <w:rPr>
          <w:lang w:eastAsia="en-NZ"/>
        </w:rPr>
        <w:t>Postnatal testing for diabetes in Australian women following</w:t>
      </w:r>
      <w:r>
        <w:rPr>
          <w:lang w:eastAsia="en-NZ"/>
        </w:rPr>
        <w:t xml:space="preserve"> gestational diabetes mellitus.</w:t>
      </w:r>
      <w:r w:rsidRPr="00F218AB">
        <w:rPr>
          <w:lang w:eastAsia="en-NZ"/>
        </w:rPr>
        <w:t xml:space="preserve"> </w:t>
      </w:r>
      <w:r w:rsidRPr="00F218AB">
        <w:rPr>
          <w:i/>
          <w:lang w:eastAsia="en-NZ"/>
        </w:rPr>
        <w:t>Australian &amp; New Zealand Journal of Obstetrics &amp; Gynaecology</w:t>
      </w:r>
      <w:r w:rsidRPr="00F218AB">
        <w:rPr>
          <w:lang w:eastAsia="en-NZ"/>
        </w:rPr>
        <w:t xml:space="preserve"> </w:t>
      </w:r>
      <w:r w:rsidRPr="00F218AB">
        <w:rPr>
          <w:bCs/>
          <w:lang w:eastAsia="en-NZ"/>
        </w:rPr>
        <w:t>49</w:t>
      </w:r>
      <w:r w:rsidRPr="00F218AB">
        <w:rPr>
          <w:lang w:eastAsia="en-NZ"/>
        </w:rPr>
        <w:t>(5): 494</w:t>
      </w:r>
      <w:r w:rsidR="00991AD3">
        <w:rPr>
          <w:lang w:eastAsia="en-NZ"/>
        </w:rPr>
        <w:t>–</w:t>
      </w:r>
      <w:r w:rsidRPr="00F218AB">
        <w:rPr>
          <w:lang w:eastAsia="en-NZ"/>
        </w:rPr>
        <w:t>8.</w:t>
      </w:r>
    </w:p>
    <w:p w:rsidR="0068074A" w:rsidRDefault="0025490C" w:rsidP="000A645D">
      <w:pPr>
        <w:pStyle w:val="References"/>
      </w:pPr>
      <w:r w:rsidRPr="00E07B1B">
        <w:t xml:space="preserve">Mosca A, Paleari R, Dalfra MG, </w:t>
      </w:r>
      <w:r w:rsidR="00D562F2">
        <w:t>et al</w:t>
      </w:r>
      <w:r w:rsidRPr="00E07B1B">
        <w:t xml:space="preserve">. 2006. Reference intervals for haemoglobin A1c in pregnant women: data from an Italian multicentre study. </w:t>
      </w:r>
      <w:r w:rsidRPr="00E07B1B">
        <w:rPr>
          <w:i/>
          <w:iCs/>
        </w:rPr>
        <w:t>Clin</w:t>
      </w:r>
      <w:r>
        <w:rPr>
          <w:i/>
          <w:iCs/>
        </w:rPr>
        <w:t>ical</w:t>
      </w:r>
      <w:r w:rsidRPr="00E07B1B">
        <w:rPr>
          <w:i/>
          <w:iCs/>
        </w:rPr>
        <w:t xml:space="preserve"> Chem</w:t>
      </w:r>
      <w:r>
        <w:rPr>
          <w:i/>
          <w:iCs/>
        </w:rPr>
        <w:t>istry</w:t>
      </w:r>
      <w:r w:rsidRPr="00E07B1B">
        <w:rPr>
          <w:i/>
          <w:iCs/>
        </w:rPr>
        <w:t xml:space="preserve"> </w:t>
      </w:r>
      <w:r w:rsidRPr="00E07B1B">
        <w:rPr>
          <w:iCs/>
        </w:rPr>
        <w:t>52:</w:t>
      </w:r>
      <w:r w:rsidRPr="00E07B1B">
        <w:t xml:space="preserve"> 1138</w:t>
      </w:r>
      <w:r>
        <w:t>–</w:t>
      </w:r>
      <w:r w:rsidRPr="00E07B1B">
        <w:t>43.</w:t>
      </w:r>
    </w:p>
    <w:p w:rsidR="0025490C" w:rsidRPr="008534D8" w:rsidRDefault="0025490C" w:rsidP="000A645D">
      <w:pPr>
        <w:pStyle w:val="References"/>
      </w:pPr>
      <w:r>
        <w:rPr>
          <w:lang w:eastAsia="en-NZ"/>
        </w:rPr>
        <w:t>Moses RG</w:t>
      </w:r>
      <w:r w:rsidR="00991AD3">
        <w:rPr>
          <w:lang w:eastAsia="en-NZ"/>
        </w:rPr>
        <w:t>,</w:t>
      </w:r>
      <w:r>
        <w:rPr>
          <w:lang w:eastAsia="en-NZ"/>
        </w:rPr>
        <w:t xml:space="preserve"> </w:t>
      </w:r>
      <w:r w:rsidR="00D562F2">
        <w:rPr>
          <w:lang w:eastAsia="en-NZ"/>
        </w:rPr>
        <w:t>et al</w:t>
      </w:r>
      <w:r>
        <w:rPr>
          <w:lang w:eastAsia="en-NZ"/>
        </w:rPr>
        <w:t>. 2011</w:t>
      </w:r>
      <w:r w:rsidRPr="008534D8">
        <w:rPr>
          <w:lang w:eastAsia="en-NZ"/>
        </w:rPr>
        <w:t xml:space="preserve">. The impact of potential new diagnostic criteria on the prevalence of gestational </w:t>
      </w:r>
      <w:r>
        <w:rPr>
          <w:lang w:eastAsia="en-NZ"/>
        </w:rPr>
        <w:t>diabetes mellitus in Australia.</w:t>
      </w:r>
      <w:r w:rsidRPr="008534D8">
        <w:rPr>
          <w:lang w:eastAsia="en-NZ"/>
        </w:rPr>
        <w:t xml:space="preserve"> </w:t>
      </w:r>
      <w:r w:rsidRPr="008534D8">
        <w:rPr>
          <w:i/>
          <w:lang w:eastAsia="en-NZ"/>
        </w:rPr>
        <w:t xml:space="preserve">Medical Journal of Australia </w:t>
      </w:r>
      <w:r w:rsidRPr="008534D8">
        <w:rPr>
          <w:bCs/>
          <w:lang w:eastAsia="en-NZ"/>
        </w:rPr>
        <w:t>194</w:t>
      </w:r>
      <w:r w:rsidRPr="008534D8">
        <w:rPr>
          <w:lang w:eastAsia="en-NZ"/>
        </w:rPr>
        <w:t>(7): 338</w:t>
      </w:r>
      <w:r w:rsidR="00991AD3">
        <w:rPr>
          <w:lang w:eastAsia="en-NZ"/>
        </w:rPr>
        <w:t>–</w:t>
      </w:r>
      <w:r w:rsidRPr="008534D8">
        <w:rPr>
          <w:lang w:eastAsia="en-NZ"/>
        </w:rPr>
        <w:t>40.</w:t>
      </w:r>
    </w:p>
    <w:p w:rsidR="0025490C" w:rsidRPr="00E07B1B" w:rsidRDefault="0025490C" w:rsidP="000A645D">
      <w:pPr>
        <w:pStyle w:val="References"/>
      </w:pPr>
      <w:r w:rsidRPr="00E07B1B">
        <w:t>Moses RG. 2012</w:t>
      </w:r>
      <w:r>
        <w:t>a</w:t>
      </w:r>
      <w:r w:rsidRPr="00E07B1B">
        <w:t xml:space="preserve">. Gestational diabetes mellitus: implications of an increased frequency with IADPSG criteria. </w:t>
      </w:r>
      <w:r w:rsidRPr="00E07B1B">
        <w:rPr>
          <w:i/>
          <w:iCs/>
        </w:rPr>
        <w:t xml:space="preserve">Diabetes Care </w:t>
      </w:r>
      <w:r w:rsidRPr="00E07B1B">
        <w:rPr>
          <w:iCs/>
        </w:rPr>
        <w:t>35</w:t>
      </w:r>
      <w:r w:rsidRPr="00E07B1B">
        <w:t>(3): 461. DOI:10.2337/dc11-2237</w:t>
      </w:r>
      <w:r w:rsidR="00991AD3">
        <w:t>.</w:t>
      </w:r>
    </w:p>
    <w:p w:rsidR="0068074A" w:rsidRDefault="0025490C" w:rsidP="000A645D">
      <w:pPr>
        <w:pStyle w:val="References"/>
      </w:pPr>
      <w:r w:rsidRPr="00E07B1B">
        <w:t>Moses RG. 2012</w:t>
      </w:r>
      <w:r>
        <w:t>b</w:t>
      </w:r>
      <w:r w:rsidRPr="00E07B1B">
        <w:t xml:space="preserve">. HbA1c and the diagnosis of gestational diabetes mellitus – a test whose time has not yet come (editorial). </w:t>
      </w:r>
      <w:r w:rsidRPr="00E07B1B">
        <w:rPr>
          <w:i/>
          <w:iCs/>
        </w:rPr>
        <w:t xml:space="preserve">Diabetes Research and Practice </w:t>
      </w:r>
      <w:r w:rsidRPr="00E07B1B">
        <w:rPr>
          <w:iCs/>
        </w:rPr>
        <w:t>98:</w:t>
      </w:r>
      <w:r w:rsidRPr="00E07B1B">
        <w:t xml:space="preserve"> 3</w:t>
      </w:r>
      <w:r>
        <w:t>–</w:t>
      </w:r>
      <w:r w:rsidRPr="00E07B1B">
        <w:t>4.</w:t>
      </w:r>
    </w:p>
    <w:p w:rsidR="0025490C" w:rsidRPr="00E07B1B" w:rsidRDefault="0025490C" w:rsidP="000A645D">
      <w:pPr>
        <w:pStyle w:val="References"/>
      </w:pPr>
      <w:r w:rsidRPr="00E07B1B">
        <w:t xml:space="preserve">Moss JR, Crowther CA, Hilier JE, </w:t>
      </w:r>
      <w:r w:rsidR="00D562F2">
        <w:t>et al</w:t>
      </w:r>
      <w:r w:rsidRPr="00E07B1B">
        <w:t>. 2007. Costs and consequences of treatment for mild gestational diabetes</w:t>
      </w:r>
      <w:r>
        <w:t>:</w:t>
      </w:r>
      <w:r w:rsidRPr="00E07B1B">
        <w:t xml:space="preserve"> evaluation from the ACHOIS randomised trial. </w:t>
      </w:r>
      <w:r w:rsidRPr="00E07B1B">
        <w:rPr>
          <w:i/>
        </w:rPr>
        <w:t xml:space="preserve">BMC Pregnancy </w:t>
      </w:r>
      <w:r>
        <w:rPr>
          <w:i/>
        </w:rPr>
        <w:t>and</w:t>
      </w:r>
      <w:r w:rsidRPr="00E07B1B">
        <w:rPr>
          <w:i/>
        </w:rPr>
        <w:t xml:space="preserve"> Childbirth</w:t>
      </w:r>
      <w:r>
        <w:t xml:space="preserve"> </w:t>
      </w:r>
      <w:r w:rsidRPr="00E07B1B">
        <w:t>7:</w:t>
      </w:r>
      <w:r w:rsidR="00991AD3">
        <w:t> </w:t>
      </w:r>
      <w:r w:rsidRPr="00E07B1B">
        <w:t>27.</w:t>
      </w:r>
    </w:p>
    <w:p w:rsidR="0068074A" w:rsidRDefault="0025490C" w:rsidP="000A645D">
      <w:pPr>
        <w:pStyle w:val="References"/>
      </w:pPr>
      <w:r w:rsidRPr="00E07B1B">
        <w:t xml:space="preserve">Mukerji G, Chiu M, Shah BR. 2012. Impact of gestational diabetes on the risk of diabetes following pregnancy among Chinese and South Asian women. </w:t>
      </w:r>
      <w:r w:rsidRPr="00E07B1B">
        <w:rPr>
          <w:i/>
          <w:iCs/>
        </w:rPr>
        <w:t xml:space="preserve">Diabetologia </w:t>
      </w:r>
      <w:r w:rsidRPr="00E07B1B">
        <w:rPr>
          <w:iCs/>
        </w:rPr>
        <w:t>55</w:t>
      </w:r>
      <w:r w:rsidRPr="00E07B1B">
        <w:t>(8): 2148</w:t>
      </w:r>
      <w:r>
        <w:t>–</w:t>
      </w:r>
      <w:r w:rsidRPr="00E07B1B">
        <w:t>53.</w:t>
      </w:r>
    </w:p>
    <w:p w:rsidR="0025490C" w:rsidRPr="00E07B1B" w:rsidRDefault="0025490C" w:rsidP="000A645D">
      <w:pPr>
        <w:pStyle w:val="References"/>
      </w:pPr>
      <w:r w:rsidRPr="00E07B1B">
        <w:t xml:space="preserve">Murphy HR, Rayman G, Lewis K, </w:t>
      </w:r>
      <w:r w:rsidR="00D562F2">
        <w:t>et al</w:t>
      </w:r>
      <w:r w:rsidRPr="00E07B1B">
        <w:t xml:space="preserve">. 2008. Effectiveness of continuous glucose monitoring in pregnant women with diabetes: randomised clinical trial. </w:t>
      </w:r>
      <w:r w:rsidRPr="00E07B1B">
        <w:rPr>
          <w:i/>
          <w:iCs/>
        </w:rPr>
        <w:t xml:space="preserve">British Medical Journal </w:t>
      </w:r>
      <w:r w:rsidRPr="00E07B1B">
        <w:rPr>
          <w:iCs/>
        </w:rPr>
        <w:t>337:</w:t>
      </w:r>
      <w:r w:rsidRPr="00E07B1B">
        <w:t xml:space="preserve"> a1680.</w:t>
      </w:r>
    </w:p>
    <w:p w:rsidR="0025490C" w:rsidRPr="00E07B1B" w:rsidRDefault="0025490C" w:rsidP="000A645D">
      <w:pPr>
        <w:pStyle w:val="References"/>
      </w:pPr>
      <w:r w:rsidRPr="00E07B1B">
        <w:t xml:space="preserve">Nanda S, Savvidou M, Syngelaki A, </w:t>
      </w:r>
      <w:r w:rsidR="00D562F2">
        <w:t>et al</w:t>
      </w:r>
      <w:r w:rsidRPr="00E07B1B">
        <w:t xml:space="preserve">. 2011. Prediction of gestational diabetes mellitus by maternal factors and biomarkers at 11 to 13 weeks. </w:t>
      </w:r>
      <w:r w:rsidRPr="00E07B1B">
        <w:rPr>
          <w:i/>
          <w:iCs/>
        </w:rPr>
        <w:t>Prenatal Diagnosis</w:t>
      </w:r>
      <w:r>
        <w:rPr>
          <w:i/>
          <w:iCs/>
        </w:rPr>
        <w:t xml:space="preserve"> </w:t>
      </w:r>
      <w:r w:rsidRPr="00E07B1B">
        <w:rPr>
          <w:iCs/>
        </w:rPr>
        <w:t>31</w:t>
      </w:r>
      <w:r w:rsidRPr="00E07B1B">
        <w:t>(2): 135</w:t>
      </w:r>
      <w:r>
        <w:t>–</w:t>
      </w:r>
      <w:r w:rsidRPr="00E07B1B">
        <w:t>41.</w:t>
      </w:r>
    </w:p>
    <w:p w:rsidR="0025490C" w:rsidRPr="00B85028" w:rsidRDefault="0025490C" w:rsidP="000A645D">
      <w:pPr>
        <w:pStyle w:val="References"/>
      </w:pPr>
      <w:r w:rsidRPr="00E07B1B">
        <w:t xml:space="preserve">Nankervis A, McIntyre HD, Moses R, </w:t>
      </w:r>
      <w:r w:rsidR="00D562F2">
        <w:t>et al</w:t>
      </w:r>
      <w:r w:rsidRPr="00E07B1B">
        <w:t xml:space="preserve">. 2013. </w:t>
      </w:r>
      <w:r w:rsidRPr="00E07B1B">
        <w:rPr>
          <w:i/>
          <w:iCs/>
        </w:rPr>
        <w:t>Consensus Guidelines for the Testing and Diagnosis of Gestational Diabetes Mellitus in Australia</w:t>
      </w:r>
      <w:r w:rsidRPr="00E07B1B">
        <w:t>. Australasian Diabetes In Pregnancy Society (ADIPS).</w:t>
      </w:r>
      <w:r>
        <w:t xml:space="preserve"> URL:</w:t>
      </w:r>
      <w:r w:rsidR="0068074A">
        <w:t xml:space="preserve"> </w:t>
      </w:r>
      <w:r w:rsidRPr="00B85028">
        <w:rPr>
          <w:rStyle w:val="Hyperlink"/>
          <w:rFonts w:cs="Arial"/>
          <w:szCs w:val="24"/>
        </w:rPr>
        <w:t>http://adips.org/downloads/ADIPSConsensusGuidelinesGDM-03.05.13VersionACCEPTEDFINAL.pdf</w:t>
      </w:r>
      <w:r>
        <w:rPr>
          <w:rStyle w:val="Hyperlink"/>
          <w:rFonts w:cs="Arial"/>
          <w:szCs w:val="24"/>
        </w:rPr>
        <w:t xml:space="preserve"> </w:t>
      </w:r>
      <w:r>
        <w:t>(accessed 15 September 2014).</w:t>
      </w:r>
    </w:p>
    <w:p w:rsidR="0068074A" w:rsidRDefault="0025490C" w:rsidP="000A645D">
      <w:pPr>
        <w:pStyle w:val="References"/>
      </w:pPr>
      <w:r w:rsidRPr="00E07B1B">
        <w:t xml:space="preserve">National Breastfeeding Advisory Committee of New Zealand. 2009. </w:t>
      </w:r>
      <w:r w:rsidRPr="00E07B1B">
        <w:rPr>
          <w:i/>
          <w:iCs/>
        </w:rPr>
        <w:t>The Ministry of Health National Strategic Plan of Action for Breastfeeding 2008</w:t>
      </w:r>
      <w:r>
        <w:rPr>
          <w:i/>
          <w:iCs/>
        </w:rPr>
        <w:t>–</w:t>
      </w:r>
      <w:r w:rsidRPr="00E07B1B">
        <w:rPr>
          <w:i/>
          <w:iCs/>
        </w:rPr>
        <w:t>2012</w:t>
      </w:r>
      <w:r w:rsidRPr="00E07B1B">
        <w:t>. Wellington: Ministry of Health.</w:t>
      </w:r>
    </w:p>
    <w:p w:rsidR="0068074A" w:rsidRDefault="0025490C" w:rsidP="000A645D">
      <w:pPr>
        <w:pStyle w:val="References"/>
      </w:pPr>
      <w:r w:rsidRPr="00E07B1B">
        <w:t xml:space="preserve">National Breastfeeding Advisory Committee of New Zealand. </w:t>
      </w:r>
      <w:r w:rsidR="00991AD3">
        <w:t>U</w:t>
      </w:r>
      <w:r w:rsidRPr="00E07B1B">
        <w:t xml:space="preserve">ndated. </w:t>
      </w:r>
      <w:r w:rsidRPr="00E07B1B">
        <w:rPr>
          <w:i/>
          <w:iCs/>
        </w:rPr>
        <w:t>Protecting, Promoting and Supporting Breastfeeding in New Zealand</w:t>
      </w:r>
      <w:r w:rsidRPr="00E07B1B">
        <w:t>. Wellington</w:t>
      </w:r>
      <w:r>
        <w:t>: Ministry of Health</w:t>
      </w:r>
      <w:r w:rsidRPr="00E07B1B">
        <w:t>.</w:t>
      </w:r>
    </w:p>
    <w:p w:rsidR="0068074A" w:rsidRDefault="0025490C" w:rsidP="000A645D">
      <w:pPr>
        <w:pStyle w:val="References"/>
      </w:pPr>
      <w:r w:rsidRPr="00E07B1B">
        <w:t xml:space="preserve">National Diabetes Data Group. 1979. Classification and diagnosis of diabetes mellitus and other categories of glucose intolerance. </w:t>
      </w:r>
      <w:r w:rsidRPr="00E07B1B">
        <w:rPr>
          <w:i/>
          <w:iCs/>
        </w:rPr>
        <w:t>Diabetes</w:t>
      </w:r>
      <w:r w:rsidRPr="00E07B1B">
        <w:rPr>
          <w:iCs/>
        </w:rPr>
        <w:t xml:space="preserve"> 28</w:t>
      </w:r>
      <w:r w:rsidRPr="00E07B1B">
        <w:t>(12): 1039</w:t>
      </w:r>
      <w:r>
        <w:t>–</w:t>
      </w:r>
      <w:r w:rsidRPr="00E07B1B">
        <w:t>57.</w:t>
      </w:r>
    </w:p>
    <w:p w:rsidR="0068074A" w:rsidRDefault="0025490C" w:rsidP="000A645D">
      <w:pPr>
        <w:pStyle w:val="References"/>
      </w:pPr>
      <w:r w:rsidRPr="00E07B1B">
        <w:t xml:space="preserve">National Health Committee. 2003. </w:t>
      </w:r>
      <w:r w:rsidRPr="00E07B1B">
        <w:rPr>
          <w:i/>
          <w:iCs/>
        </w:rPr>
        <w:t>Screening to Improve Health in New Zealand: Criteria to assess screening programmes</w:t>
      </w:r>
      <w:r w:rsidRPr="00E07B1B">
        <w:t>. Wellington</w:t>
      </w:r>
      <w:r>
        <w:t>: National Health Committee</w:t>
      </w:r>
      <w:r w:rsidRPr="00E07B1B">
        <w:t>.</w:t>
      </w:r>
    </w:p>
    <w:p w:rsidR="0025490C" w:rsidRPr="00E07B1B" w:rsidRDefault="0025490C" w:rsidP="000A645D">
      <w:pPr>
        <w:pStyle w:val="References"/>
      </w:pPr>
      <w:r w:rsidRPr="00E07B1B">
        <w:t xml:space="preserve">Negrato CA, Montenegro Jr RM, Mattar R, </w:t>
      </w:r>
      <w:r w:rsidR="00D562F2">
        <w:t>et al</w:t>
      </w:r>
      <w:r w:rsidRPr="00E07B1B">
        <w:t xml:space="preserve">. 2010. Dysglycaemias in pregnancy: from diagnosis to treatment. Brazilian consensus statement. </w:t>
      </w:r>
      <w:r w:rsidRPr="00E07B1B">
        <w:rPr>
          <w:i/>
          <w:iCs/>
        </w:rPr>
        <w:t xml:space="preserve">Diabetology &amp; Metabolic Syndrome </w:t>
      </w:r>
      <w:r w:rsidRPr="00E07B1B">
        <w:rPr>
          <w:iCs/>
        </w:rPr>
        <w:t>2</w:t>
      </w:r>
      <w:r w:rsidRPr="00E07B1B">
        <w:t>(27).</w:t>
      </w:r>
    </w:p>
    <w:p w:rsidR="0068074A" w:rsidRDefault="0025490C" w:rsidP="000A645D">
      <w:pPr>
        <w:pStyle w:val="References"/>
      </w:pPr>
      <w:r>
        <w:t>NICE</w:t>
      </w:r>
      <w:r w:rsidRPr="00E07B1B">
        <w:t xml:space="preserve">. 2008. </w:t>
      </w:r>
      <w:r w:rsidRPr="00E07B1B">
        <w:rPr>
          <w:i/>
          <w:iCs/>
        </w:rPr>
        <w:t>Diabetes in Pregnancy</w:t>
      </w:r>
      <w:r>
        <w:rPr>
          <w:i/>
          <w:iCs/>
        </w:rPr>
        <w:t>:</w:t>
      </w:r>
      <w:r w:rsidRPr="00E07B1B">
        <w:rPr>
          <w:i/>
          <w:iCs/>
        </w:rPr>
        <w:t xml:space="preserve"> Management of diabetes and its complications from preconception to the postnatal period</w:t>
      </w:r>
      <w:r w:rsidRPr="00E07B1B">
        <w:t>. London:</w:t>
      </w:r>
      <w:r w:rsidRPr="000352F2">
        <w:t xml:space="preserve"> </w:t>
      </w:r>
      <w:r w:rsidRPr="000E582B">
        <w:t>Royal College of Obstetricians and Gynaecologists</w:t>
      </w:r>
      <w:r w:rsidRPr="000352F2">
        <w:t>.</w:t>
      </w:r>
    </w:p>
    <w:p w:rsidR="0068074A" w:rsidRDefault="0025490C" w:rsidP="000A645D">
      <w:pPr>
        <w:pStyle w:val="References"/>
      </w:pPr>
      <w:r>
        <w:t>NICE</w:t>
      </w:r>
      <w:r w:rsidRPr="00E07B1B">
        <w:t xml:space="preserve">. 2012. </w:t>
      </w:r>
      <w:r w:rsidRPr="00E07B1B">
        <w:rPr>
          <w:i/>
          <w:iCs/>
        </w:rPr>
        <w:t>Preventi</w:t>
      </w:r>
      <w:r>
        <w:rPr>
          <w:i/>
          <w:iCs/>
        </w:rPr>
        <w:t>ng</w:t>
      </w:r>
      <w:r w:rsidRPr="00E07B1B">
        <w:rPr>
          <w:i/>
          <w:iCs/>
        </w:rPr>
        <w:t xml:space="preserve"> Type 2 Diabetes: Risk identification and interventions of individuals at high risk</w:t>
      </w:r>
      <w:r>
        <w:t xml:space="preserve">. London. </w:t>
      </w:r>
      <w:r w:rsidRPr="00E07B1B">
        <w:t xml:space="preserve">National Institute </w:t>
      </w:r>
      <w:r>
        <w:t>for</w:t>
      </w:r>
      <w:r w:rsidRPr="00E07B1B">
        <w:t xml:space="preserve"> Health and </w:t>
      </w:r>
      <w:r>
        <w:t>Care</w:t>
      </w:r>
      <w:r w:rsidRPr="00E07B1B">
        <w:t xml:space="preserve"> Excellence</w:t>
      </w:r>
      <w:r>
        <w:t>. URL:</w:t>
      </w:r>
      <w:r w:rsidRPr="00E07B1B">
        <w:t xml:space="preserve"> </w:t>
      </w:r>
      <w:hyperlink r:id="rId43" w:history="1">
        <w:r>
          <w:rPr>
            <w:rStyle w:val="Hyperlink"/>
            <w:rFonts w:cs="Arial"/>
            <w:szCs w:val="24"/>
          </w:rPr>
          <w:t>www.nice.org.uk/guidance/ph38</w:t>
        </w:r>
      </w:hyperlink>
      <w:r>
        <w:t xml:space="preserve"> (accessed 15 September 2014</w:t>
      </w:r>
      <w:r w:rsidRPr="00E07B1B">
        <w:t>).</w:t>
      </w:r>
    </w:p>
    <w:p w:rsidR="0068074A" w:rsidRDefault="0025490C" w:rsidP="000A645D">
      <w:pPr>
        <w:pStyle w:val="References"/>
      </w:pPr>
      <w:r w:rsidRPr="00E07B1B">
        <w:t xml:space="preserve">Nicholson W, Baptiste-Roberts K. 2011. Oral hypoglycaemic agents during pregnancy: the evidence for effectiveness and safety. </w:t>
      </w:r>
      <w:r w:rsidRPr="00E07B1B">
        <w:rPr>
          <w:i/>
          <w:iCs/>
        </w:rPr>
        <w:t xml:space="preserve">Best Practice &amp; Research Clinical Obstetrics and Gynecology </w:t>
      </w:r>
      <w:r w:rsidRPr="00E07B1B">
        <w:rPr>
          <w:iCs/>
        </w:rPr>
        <w:t>25</w:t>
      </w:r>
      <w:r w:rsidRPr="00E07B1B">
        <w:t>:</w:t>
      </w:r>
      <w:r>
        <w:t xml:space="preserve"> </w:t>
      </w:r>
      <w:r w:rsidRPr="00E07B1B">
        <w:t>51</w:t>
      </w:r>
      <w:r>
        <w:t>–</w:t>
      </w:r>
      <w:r w:rsidRPr="00E07B1B">
        <w:t>63.</w:t>
      </w:r>
    </w:p>
    <w:p w:rsidR="0068074A" w:rsidRDefault="0025490C" w:rsidP="000A645D">
      <w:pPr>
        <w:pStyle w:val="References"/>
      </w:pPr>
      <w:r w:rsidRPr="00E07B1B">
        <w:t xml:space="preserve">Nicholson W, Wilson L, Witkop C, </w:t>
      </w:r>
      <w:r w:rsidR="00D562F2">
        <w:t>et al</w:t>
      </w:r>
      <w:r w:rsidRPr="00E07B1B">
        <w:t xml:space="preserve">. 2008. </w:t>
      </w:r>
      <w:r w:rsidRPr="00E07B1B">
        <w:rPr>
          <w:i/>
          <w:iCs/>
        </w:rPr>
        <w:t>Therapeutic Management, Delivery and Postpartum Risk Assessment and Screening in Gestational Diabetes</w:t>
      </w:r>
      <w:r w:rsidRPr="00E07B1B">
        <w:t>. Publication No. 08-E004</w:t>
      </w:r>
      <w:r>
        <w:t>.</w:t>
      </w:r>
      <w:r w:rsidRPr="00E07B1B">
        <w:t xml:space="preserve"> Rockville MD</w:t>
      </w:r>
      <w:r>
        <w:t>: Agency for Healthcare and Research Quality</w:t>
      </w:r>
      <w:r w:rsidRPr="00E07B1B">
        <w:t>.</w:t>
      </w:r>
    </w:p>
    <w:p w:rsidR="0068074A" w:rsidRDefault="0025490C" w:rsidP="000A645D">
      <w:pPr>
        <w:pStyle w:val="References"/>
      </w:pPr>
      <w:r w:rsidRPr="00E07B1B">
        <w:t xml:space="preserve">Nicholson W, Bolen S, Witkop C, </w:t>
      </w:r>
      <w:r w:rsidR="00D562F2">
        <w:t>et al</w:t>
      </w:r>
      <w:r w:rsidRPr="00E07B1B">
        <w:t>. 2009. Benefits and risks of oral diabetes agents compared with insulin in women with gestational diabetes</w:t>
      </w:r>
      <w:r>
        <w:t>: a</w:t>
      </w:r>
      <w:r w:rsidRPr="00E07B1B">
        <w:t xml:space="preserve"> systematic review. </w:t>
      </w:r>
      <w:r w:rsidRPr="00E07B1B">
        <w:rPr>
          <w:i/>
          <w:iCs/>
        </w:rPr>
        <w:t xml:space="preserve">Obstetrics and Gynecology </w:t>
      </w:r>
      <w:r w:rsidRPr="00E07B1B">
        <w:rPr>
          <w:iCs/>
        </w:rPr>
        <w:t>113</w:t>
      </w:r>
      <w:r w:rsidRPr="00E07B1B">
        <w:t>(1): 193</w:t>
      </w:r>
      <w:r>
        <w:t>–</w:t>
      </w:r>
      <w:r w:rsidRPr="00E07B1B">
        <w:t>205.</w:t>
      </w:r>
    </w:p>
    <w:p w:rsidR="0068074A" w:rsidRDefault="0025490C" w:rsidP="000A645D">
      <w:pPr>
        <w:pStyle w:val="References"/>
      </w:pPr>
      <w:r w:rsidRPr="00E07B1B">
        <w:t xml:space="preserve">Nielsen LR, Ekbom P, Damm P, </w:t>
      </w:r>
      <w:r w:rsidR="00D562F2">
        <w:t>et al</w:t>
      </w:r>
      <w:r w:rsidRPr="00E07B1B">
        <w:t xml:space="preserve">. 2004. HbA(1c) levels are significantly lower in early and late pregnancy. </w:t>
      </w:r>
      <w:r w:rsidRPr="00E07B1B">
        <w:rPr>
          <w:i/>
          <w:iCs/>
        </w:rPr>
        <w:t xml:space="preserve">Diabetes Care </w:t>
      </w:r>
      <w:r w:rsidRPr="00E07B1B">
        <w:rPr>
          <w:iCs/>
        </w:rPr>
        <w:t>27:</w:t>
      </w:r>
      <w:r w:rsidRPr="00E07B1B">
        <w:t xml:space="preserve"> 1200</w:t>
      </w:r>
      <w:r>
        <w:t>–</w:t>
      </w:r>
      <w:r w:rsidRPr="00E07B1B">
        <w:t>01.</w:t>
      </w:r>
    </w:p>
    <w:p w:rsidR="0025490C" w:rsidRPr="00E07B1B" w:rsidRDefault="0025490C" w:rsidP="000A645D">
      <w:pPr>
        <w:pStyle w:val="References"/>
      </w:pPr>
      <w:r w:rsidRPr="00E07B1B">
        <w:t xml:space="preserve">Norris S, Kansagara D, Bougatsos C, </w:t>
      </w:r>
      <w:r w:rsidR="00D562F2">
        <w:t>et al</w:t>
      </w:r>
      <w:r w:rsidRPr="00E07B1B">
        <w:t xml:space="preserve">. 2008. Screening adults for type 2 diabetes: </w:t>
      </w:r>
      <w:r>
        <w:t>a</w:t>
      </w:r>
      <w:r w:rsidRPr="00E07B1B">
        <w:t xml:space="preserve"> review of the evidence for the US Preventive Services Task Force. </w:t>
      </w:r>
      <w:r w:rsidRPr="00E07B1B">
        <w:rPr>
          <w:i/>
          <w:iCs/>
        </w:rPr>
        <w:t xml:space="preserve">Annals of Internal Medicine </w:t>
      </w:r>
      <w:r w:rsidRPr="00E07B1B">
        <w:rPr>
          <w:iCs/>
        </w:rPr>
        <w:t>148:</w:t>
      </w:r>
      <w:r w:rsidRPr="00E07B1B">
        <w:t xml:space="preserve"> 855</w:t>
      </w:r>
      <w:r>
        <w:t>–</w:t>
      </w:r>
      <w:r w:rsidRPr="00E07B1B">
        <w:t>68.</w:t>
      </w:r>
    </w:p>
    <w:p w:rsidR="0068074A" w:rsidRDefault="0025490C" w:rsidP="000A645D">
      <w:pPr>
        <w:pStyle w:val="References"/>
      </w:pPr>
      <w:r w:rsidRPr="00E07B1B">
        <w:t xml:space="preserve">Ogonowski J, Miazgowski T. 2009. The prevalence of </w:t>
      </w:r>
      <w:r w:rsidR="00991AD3">
        <w:t>six</w:t>
      </w:r>
      <w:r w:rsidRPr="00E07B1B">
        <w:t xml:space="preserve"> weeks postpartum abnormal glucose tolerance in Caucasian women with gestational diabetes. </w:t>
      </w:r>
      <w:r w:rsidRPr="00E07B1B">
        <w:rPr>
          <w:i/>
          <w:iCs/>
        </w:rPr>
        <w:t xml:space="preserve">Diabetes Research </w:t>
      </w:r>
      <w:r>
        <w:rPr>
          <w:i/>
          <w:iCs/>
        </w:rPr>
        <w:t>and</w:t>
      </w:r>
      <w:r w:rsidRPr="00E07B1B">
        <w:rPr>
          <w:i/>
          <w:iCs/>
        </w:rPr>
        <w:t xml:space="preserve"> Clinical Practice </w:t>
      </w:r>
      <w:r w:rsidRPr="00E07B1B">
        <w:rPr>
          <w:iCs/>
        </w:rPr>
        <w:t>84</w:t>
      </w:r>
      <w:r w:rsidRPr="00E07B1B">
        <w:t>: 239</w:t>
      </w:r>
      <w:r>
        <w:t>–</w:t>
      </w:r>
      <w:r w:rsidRPr="00E07B1B">
        <w:t>44.</w:t>
      </w:r>
    </w:p>
    <w:p w:rsidR="0068074A" w:rsidRDefault="0025490C" w:rsidP="000A645D">
      <w:pPr>
        <w:pStyle w:val="References"/>
      </w:pPr>
      <w:r w:rsidRPr="00E07B1B">
        <w:t xml:space="preserve">Ogonowski J, Miazgowski T. 2010. Are short women at risk for gestational diabetes mellitus? </w:t>
      </w:r>
      <w:r w:rsidRPr="00E07B1B">
        <w:rPr>
          <w:i/>
          <w:iCs/>
        </w:rPr>
        <w:t xml:space="preserve">European Journal of Endocrinology </w:t>
      </w:r>
      <w:r w:rsidRPr="00E07B1B">
        <w:rPr>
          <w:iCs/>
        </w:rPr>
        <w:t>162</w:t>
      </w:r>
      <w:r w:rsidRPr="00E07B1B">
        <w:t>(3): 491</w:t>
      </w:r>
      <w:r>
        <w:t>–</w:t>
      </w:r>
      <w:r w:rsidRPr="00E07B1B">
        <w:t>7.</w:t>
      </w:r>
    </w:p>
    <w:p w:rsidR="0068074A" w:rsidRDefault="0025490C" w:rsidP="000A645D">
      <w:pPr>
        <w:pStyle w:val="References"/>
      </w:pPr>
      <w:r w:rsidRPr="00E07B1B">
        <w:t xml:space="preserve">Ogonowski J, Miazgowski T, Kuczynska M, </w:t>
      </w:r>
      <w:r w:rsidR="00D562F2">
        <w:t>et al</w:t>
      </w:r>
      <w:r w:rsidRPr="00E07B1B">
        <w:t xml:space="preserve">. 2009. Pregravid body mass index as a predictor of gestational diabetes mellitus. </w:t>
      </w:r>
      <w:r w:rsidRPr="00E07B1B">
        <w:rPr>
          <w:i/>
          <w:iCs/>
        </w:rPr>
        <w:t xml:space="preserve">Diabetic Medicine </w:t>
      </w:r>
      <w:r w:rsidRPr="00E07B1B">
        <w:rPr>
          <w:iCs/>
        </w:rPr>
        <w:t>26</w:t>
      </w:r>
      <w:r w:rsidRPr="00E07B1B">
        <w:t>(4): 334</w:t>
      </w:r>
      <w:r w:rsidR="00991AD3">
        <w:t>–</w:t>
      </w:r>
      <w:r w:rsidRPr="00E07B1B">
        <w:t>8.</w:t>
      </w:r>
    </w:p>
    <w:p w:rsidR="0025490C" w:rsidRPr="00E07B1B" w:rsidRDefault="0025490C" w:rsidP="000A645D">
      <w:pPr>
        <w:pStyle w:val="References"/>
      </w:pPr>
      <w:r w:rsidRPr="00E07B1B">
        <w:t xml:space="preserve">Ohno MS, Sparks TN, Cheng YW, </w:t>
      </w:r>
      <w:r w:rsidR="00D562F2">
        <w:t>et al</w:t>
      </w:r>
      <w:r w:rsidRPr="00E07B1B">
        <w:t xml:space="preserve">. 2011. Treating mild gestational diabetes mellitus: a cost effectiveness analysis. </w:t>
      </w:r>
      <w:r w:rsidRPr="00E07B1B">
        <w:rPr>
          <w:i/>
          <w:iCs/>
        </w:rPr>
        <w:t xml:space="preserve">American Journal of Obstetrics </w:t>
      </w:r>
      <w:r>
        <w:rPr>
          <w:i/>
          <w:iCs/>
        </w:rPr>
        <w:t>&amp;</w:t>
      </w:r>
      <w:r w:rsidRPr="00E07B1B">
        <w:rPr>
          <w:i/>
          <w:iCs/>
        </w:rPr>
        <w:t xml:space="preserve"> Gynaecology </w:t>
      </w:r>
      <w:r w:rsidRPr="00E07B1B">
        <w:rPr>
          <w:iCs/>
        </w:rPr>
        <w:t>282:</w:t>
      </w:r>
      <w:r w:rsidRPr="00E07B1B">
        <w:t xml:space="preserve"> e3. DOI:</w:t>
      </w:r>
      <w:r>
        <w:t xml:space="preserve"> </w:t>
      </w:r>
      <w:r w:rsidRPr="00E07B1B">
        <w:t>http://dx.doi.org/10.1016/j.ajog.2011.06.051</w:t>
      </w:r>
      <w:r w:rsidR="00991AD3">
        <w:t>.</w:t>
      </w:r>
    </w:p>
    <w:p w:rsidR="0025490C" w:rsidRPr="00E07B1B" w:rsidRDefault="0025490C" w:rsidP="000A645D">
      <w:pPr>
        <w:pStyle w:val="References"/>
      </w:pPr>
      <w:r w:rsidRPr="00E07B1B">
        <w:t xml:space="preserve">Oldfield MD, Donley P, Walwyn L, </w:t>
      </w:r>
      <w:r w:rsidR="00D562F2">
        <w:t>et al</w:t>
      </w:r>
      <w:r w:rsidRPr="00E07B1B">
        <w:t xml:space="preserve">. 2007. Long term prognosis of women with gestational diabetes in a multiethnic population. </w:t>
      </w:r>
      <w:r w:rsidRPr="00E07B1B">
        <w:rPr>
          <w:i/>
          <w:iCs/>
        </w:rPr>
        <w:t xml:space="preserve">Postgraduate Medical Journal </w:t>
      </w:r>
      <w:r w:rsidRPr="00E07B1B">
        <w:rPr>
          <w:iCs/>
        </w:rPr>
        <w:t>83</w:t>
      </w:r>
      <w:r w:rsidRPr="00E07B1B">
        <w:t>(980): 426</w:t>
      </w:r>
      <w:r>
        <w:t>–</w:t>
      </w:r>
      <w:r w:rsidRPr="00E07B1B">
        <w:t>30.</w:t>
      </w:r>
    </w:p>
    <w:p w:rsidR="0068074A" w:rsidRDefault="0025490C" w:rsidP="000A645D">
      <w:pPr>
        <w:pStyle w:val="References"/>
      </w:pPr>
      <w:r w:rsidRPr="00E07B1B">
        <w:t xml:space="preserve">Oostdam N, van Poppel M, Wouters M, </w:t>
      </w:r>
      <w:r w:rsidR="00D562F2">
        <w:t>et al</w:t>
      </w:r>
      <w:r w:rsidRPr="00E07B1B">
        <w:t xml:space="preserve">. 2011. Interventions for preventing gestational diabetes mellitus: a systematic review and meta-analysis. </w:t>
      </w:r>
      <w:r w:rsidRPr="00E07B1B">
        <w:rPr>
          <w:i/>
          <w:iCs/>
        </w:rPr>
        <w:t>Journal of Women</w:t>
      </w:r>
      <w:r w:rsidR="0068074A">
        <w:rPr>
          <w:i/>
          <w:iCs/>
        </w:rPr>
        <w:t>’</w:t>
      </w:r>
      <w:r w:rsidRPr="00E07B1B">
        <w:rPr>
          <w:i/>
          <w:iCs/>
        </w:rPr>
        <w:t xml:space="preserve">s Health </w:t>
      </w:r>
      <w:r w:rsidRPr="00E07B1B">
        <w:rPr>
          <w:iCs/>
        </w:rPr>
        <w:t>20</w:t>
      </w:r>
      <w:r w:rsidRPr="00E07B1B">
        <w:t>(10): 1551</w:t>
      </w:r>
      <w:r>
        <w:t>–</w:t>
      </w:r>
      <w:r w:rsidRPr="00E07B1B">
        <w:t>63.</w:t>
      </w:r>
    </w:p>
    <w:p w:rsidR="0068074A" w:rsidRDefault="0025490C" w:rsidP="000A645D">
      <w:pPr>
        <w:pStyle w:val="References"/>
      </w:pPr>
      <w:r w:rsidRPr="00E07B1B">
        <w:t xml:space="preserve">Oostdam N, van Poppel MNM, Wouters MGAJ, </w:t>
      </w:r>
      <w:r w:rsidR="00D562F2">
        <w:t>et al</w:t>
      </w:r>
      <w:r w:rsidRPr="00E07B1B">
        <w:t xml:space="preserve">. 2012. No effect of the FitFor2 exercise programme on blood glucose, insulin sensitivity, and birthweight in pregnant women who were overweight and at risk for gestational diabetes: results of a randomised controlled trial. </w:t>
      </w:r>
      <w:r w:rsidRPr="00E07B1B">
        <w:rPr>
          <w:i/>
          <w:iCs/>
        </w:rPr>
        <w:t>BJOG: An</w:t>
      </w:r>
      <w:r w:rsidR="00991AD3">
        <w:rPr>
          <w:i/>
          <w:iCs/>
        </w:rPr>
        <w:t> </w:t>
      </w:r>
      <w:r w:rsidRPr="00E07B1B">
        <w:rPr>
          <w:i/>
          <w:iCs/>
        </w:rPr>
        <w:t xml:space="preserve">International Journal of Obstetrics &amp; Gynaecology </w:t>
      </w:r>
      <w:r w:rsidRPr="00E07B1B">
        <w:rPr>
          <w:iCs/>
        </w:rPr>
        <w:t>119</w:t>
      </w:r>
      <w:r w:rsidRPr="00E07B1B">
        <w:t>(9): 1098</w:t>
      </w:r>
      <w:r>
        <w:t>–</w:t>
      </w:r>
      <w:r w:rsidRPr="00E07B1B">
        <w:t>107.</w:t>
      </w:r>
    </w:p>
    <w:p w:rsidR="0068074A" w:rsidRDefault="0025490C" w:rsidP="000A645D">
      <w:pPr>
        <w:pStyle w:val="References"/>
      </w:pPr>
      <w:r w:rsidRPr="00E07B1B">
        <w:t>O</w:t>
      </w:r>
      <w:r w:rsidR="0068074A">
        <w:t>’</w:t>
      </w:r>
      <w:r w:rsidRPr="00E07B1B">
        <w:t xml:space="preserve">Reilly MW, Avalos G, Dennedy MC, </w:t>
      </w:r>
      <w:r w:rsidR="00D562F2">
        <w:t>et al</w:t>
      </w:r>
      <w:r w:rsidRPr="00E07B1B">
        <w:t xml:space="preserve">. 2011. Atlantic DIP: high prevalence of abnormal glucose tolerance post partum is reduced by breast feeding in women with prior gestational diabetes mellitus. </w:t>
      </w:r>
      <w:r w:rsidRPr="00E07B1B">
        <w:rPr>
          <w:i/>
          <w:iCs/>
        </w:rPr>
        <w:t xml:space="preserve">European Journal of Endocrinology </w:t>
      </w:r>
      <w:r w:rsidRPr="00E07B1B">
        <w:rPr>
          <w:iCs/>
        </w:rPr>
        <w:t>165:</w:t>
      </w:r>
      <w:r w:rsidRPr="00E07B1B">
        <w:t xml:space="preserve"> 953</w:t>
      </w:r>
      <w:r>
        <w:t>–</w:t>
      </w:r>
      <w:r w:rsidRPr="00E07B1B">
        <w:t>9.</w:t>
      </w:r>
    </w:p>
    <w:p w:rsidR="0025490C" w:rsidRPr="00E07B1B" w:rsidRDefault="0025490C" w:rsidP="000A645D">
      <w:pPr>
        <w:pStyle w:val="References"/>
      </w:pPr>
      <w:r w:rsidRPr="00E07B1B">
        <w:t xml:space="preserve">Orozco LJ, Buchleitner AM, Gimenez-Perez G, </w:t>
      </w:r>
      <w:r w:rsidR="00D562F2">
        <w:t>et al</w:t>
      </w:r>
      <w:r w:rsidRPr="00E07B1B">
        <w:t xml:space="preserve">. 2008. Exercise or exercise and diet for preventing type 2 diabetes mellitus. </w:t>
      </w:r>
      <w:r w:rsidRPr="000E582B">
        <w:rPr>
          <w:i/>
        </w:rPr>
        <w:t>Cochrane Database of Systematic Reviews</w:t>
      </w:r>
      <w:r w:rsidRPr="00E07B1B">
        <w:t xml:space="preserve"> </w:t>
      </w:r>
      <w:r>
        <w:t>(</w:t>
      </w:r>
      <w:r w:rsidRPr="00E07B1B">
        <w:t>3</w:t>
      </w:r>
      <w:r>
        <w:t>)</w:t>
      </w:r>
      <w:r w:rsidRPr="00E07B1B">
        <w:t>.</w:t>
      </w:r>
      <w:r>
        <w:t xml:space="preserve"> </w:t>
      </w:r>
      <w:r w:rsidRPr="00E07B1B">
        <w:t>DOI:</w:t>
      </w:r>
      <w:r w:rsidR="00991AD3">
        <w:t> </w:t>
      </w:r>
      <w:r w:rsidRPr="00E07B1B">
        <w:t>http://dx.doi.org/10.1002/14651858.CD003054.pub3.</w:t>
      </w:r>
    </w:p>
    <w:p w:rsidR="0068074A" w:rsidRDefault="0025490C" w:rsidP="000A645D">
      <w:pPr>
        <w:pStyle w:val="References"/>
      </w:pPr>
      <w:r w:rsidRPr="00E07B1B">
        <w:t>O</w:t>
      </w:r>
      <w:r w:rsidR="0068074A">
        <w:t>’</w:t>
      </w:r>
      <w:r w:rsidRPr="00E07B1B">
        <w:t xml:space="preserve">Sullivan JB, Mahan CM. 1964. Criteria for the oral glucose tolerance test in pregnancy. </w:t>
      </w:r>
      <w:r w:rsidRPr="00E07B1B">
        <w:rPr>
          <w:i/>
          <w:iCs/>
        </w:rPr>
        <w:t xml:space="preserve">Diabetes Care </w:t>
      </w:r>
      <w:r w:rsidRPr="00E07B1B">
        <w:rPr>
          <w:iCs/>
        </w:rPr>
        <w:t>13</w:t>
      </w:r>
      <w:r>
        <w:rPr>
          <w:iCs/>
        </w:rPr>
        <w:t>:</w:t>
      </w:r>
      <w:r w:rsidRPr="00E07B1B">
        <w:t xml:space="preserve"> 278</w:t>
      </w:r>
      <w:r>
        <w:t>–</w:t>
      </w:r>
      <w:r w:rsidRPr="00E07B1B">
        <w:t>85.</w:t>
      </w:r>
    </w:p>
    <w:p w:rsidR="0025490C" w:rsidRPr="009712F2" w:rsidRDefault="0025490C" w:rsidP="000A645D">
      <w:pPr>
        <w:pStyle w:val="References"/>
      </w:pPr>
      <w:r>
        <w:rPr>
          <w:lang w:eastAsia="en-NZ"/>
        </w:rPr>
        <w:t>O</w:t>
      </w:r>
      <w:r w:rsidR="0068074A">
        <w:rPr>
          <w:lang w:eastAsia="en-NZ"/>
        </w:rPr>
        <w:t>’</w:t>
      </w:r>
      <w:r>
        <w:rPr>
          <w:lang w:eastAsia="en-NZ"/>
        </w:rPr>
        <w:t>Sullivan EP</w:t>
      </w:r>
      <w:r w:rsidRPr="009712F2">
        <w:rPr>
          <w:lang w:eastAsia="en-NZ"/>
        </w:rPr>
        <w:t>, Avalos</w:t>
      </w:r>
      <w:r>
        <w:rPr>
          <w:lang w:eastAsia="en-NZ"/>
        </w:rPr>
        <w:t xml:space="preserve"> G</w:t>
      </w:r>
      <w:r w:rsidRPr="009712F2">
        <w:rPr>
          <w:lang w:eastAsia="en-NZ"/>
        </w:rPr>
        <w:t>, O</w:t>
      </w:r>
      <w:r w:rsidR="0068074A">
        <w:rPr>
          <w:lang w:eastAsia="en-NZ"/>
        </w:rPr>
        <w:t>’</w:t>
      </w:r>
      <w:r w:rsidRPr="009712F2">
        <w:rPr>
          <w:lang w:eastAsia="en-NZ"/>
        </w:rPr>
        <w:t>Reilly</w:t>
      </w:r>
      <w:r>
        <w:rPr>
          <w:lang w:eastAsia="en-NZ"/>
        </w:rPr>
        <w:t xml:space="preserve"> M,</w:t>
      </w:r>
      <w:r w:rsidRPr="009712F2">
        <w:rPr>
          <w:lang w:eastAsia="en-NZ"/>
        </w:rPr>
        <w:t xml:space="preserve"> </w:t>
      </w:r>
      <w:r w:rsidR="00D562F2">
        <w:rPr>
          <w:lang w:eastAsia="en-NZ"/>
        </w:rPr>
        <w:t>et al</w:t>
      </w:r>
      <w:r>
        <w:rPr>
          <w:lang w:eastAsia="en-NZ"/>
        </w:rPr>
        <w:t>. 2011</w:t>
      </w:r>
      <w:r w:rsidRPr="009712F2">
        <w:rPr>
          <w:lang w:eastAsia="en-NZ"/>
        </w:rPr>
        <w:t>.</w:t>
      </w:r>
      <w:r>
        <w:rPr>
          <w:lang w:eastAsia="en-NZ"/>
        </w:rPr>
        <w:t xml:space="preserve"> </w:t>
      </w:r>
      <w:r w:rsidRPr="009712F2">
        <w:rPr>
          <w:lang w:eastAsia="en-NZ"/>
        </w:rPr>
        <w:t>Atlantic Diabetes in Pregnancy (DIP): the prevalence and outcomes of gestational diabetes mellitus</w:t>
      </w:r>
      <w:r>
        <w:rPr>
          <w:lang w:eastAsia="en-NZ"/>
        </w:rPr>
        <w:t xml:space="preserve"> using new diagnostic criteria.</w:t>
      </w:r>
      <w:r w:rsidRPr="009712F2">
        <w:rPr>
          <w:lang w:eastAsia="en-NZ"/>
        </w:rPr>
        <w:t xml:space="preserve"> </w:t>
      </w:r>
      <w:r w:rsidRPr="006833A8">
        <w:rPr>
          <w:i/>
          <w:lang w:eastAsia="en-NZ"/>
        </w:rPr>
        <w:t>Diabetologia</w:t>
      </w:r>
      <w:r w:rsidRPr="009712F2">
        <w:rPr>
          <w:lang w:eastAsia="en-NZ"/>
        </w:rPr>
        <w:t xml:space="preserve"> </w:t>
      </w:r>
      <w:r w:rsidRPr="006833A8">
        <w:rPr>
          <w:bCs/>
          <w:lang w:eastAsia="en-NZ"/>
        </w:rPr>
        <w:t>54</w:t>
      </w:r>
      <w:r w:rsidRPr="009712F2">
        <w:rPr>
          <w:lang w:eastAsia="en-NZ"/>
        </w:rPr>
        <w:t>(7):</w:t>
      </w:r>
      <w:r w:rsidR="00991AD3">
        <w:rPr>
          <w:lang w:eastAsia="en-NZ"/>
        </w:rPr>
        <w:t> </w:t>
      </w:r>
      <w:r w:rsidRPr="009712F2">
        <w:rPr>
          <w:lang w:eastAsia="en-NZ"/>
        </w:rPr>
        <w:t>1670</w:t>
      </w:r>
      <w:r w:rsidR="00991AD3">
        <w:rPr>
          <w:lang w:eastAsia="en-NZ"/>
        </w:rPr>
        <w:t>–</w:t>
      </w:r>
      <w:r w:rsidRPr="009712F2">
        <w:rPr>
          <w:lang w:eastAsia="en-NZ"/>
        </w:rPr>
        <w:t>5.</w:t>
      </w:r>
    </w:p>
    <w:p w:rsidR="0025490C" w:rsidRPr="00E07B1B" w:rsidRDefault="0025490C" w:rsidP="000A645D">
      <w:pPr>
        <w:pStyle w:val="References"/>
      </w:pPr>
      <w:r w:rsidRPr="00E07B1B">
        <w:t xml:space="preserve">Palomba S, Falbo A, Russo T, </w:t>
      </w:r>
      <w:r w:rsidR="00D562F2">
        <w:t>et al</w:t>
      </w:r>
      <w:r w:rsidRPr="00E07B1B">
        <w:t xml:space="preserve">. 2012. The risk of a persistent glucose metabolism impairment after gestational diabetes mellitus is increased in patients with polycystic ovary syndrome. </w:t>
      </w:r>
      <w:r w:rsidRPr="00E07B1B">
        <w:rPr>
          <w:i/>
          <w:iCs/>
        </w:rPr>
        <w:t xml:space="preserve">Diabetes Care </w:t>
      </w:r>
      <w:r w:rsidRPr="00E07B1B">
        <w:rPr>
          <w:iCs/>
        </w:rPr>
        <w:t>35</w:t>
      </w:r>
      <w:r w:rsidRPr="00E07B1B">
        <w:t>(4): 861</w:t>
      </w:r>
      <w:r>
        <w:t>–</w:t>
      </w:r>
      <w:r w:rsidRPr="00E07B1B">
        <w:t>7.</w:t>
      </w:r>
    </w:p>
    <w:p w:rsidR="0025490C" w:rsidRPr="00E07B1B" w:rsidRDefault="0025490C" w:rsidP="000A645D">
      <w:pPr>
        <w:pStyle w:val="References"/>
      </w:pPr>
      <w:r w:rsidRPr="00E07B1B">
        <w:t xml:space="preserve">Parlea L, Bromberg IL, Feig DS, </w:t>
      </w:r>
      <w:r w:rsidR="00D562F2">
        <w:t>et al</w:t>
      </w:r>
      <w:r w:rsidRPr="00E07B1B">
        <w:t xml:space="preserve">. 2012. Association between serum 25-hydroxyvitaminD in early pregnancy and risk of gestational diabetes mellitus. </w:t>
      </w:r>
      <w:r w:rsidRPr="00E07B1B">
        <w:rPr>
          <w:i/>
          <w:iCs/>
        </w:rPr>
        <w:t xml:space="preserve">Diabetic Medicine </w:t>
      </w:r>
      <w:r w:rsidRPr="00E07B1B">
        <w:rPr>
          <w:iCs/>
        </w:rPr>
        <w:t>29 (7):</w:t>
      </w:r>
      <w:r w:rsidRPr="00E07B1B">
        <w:t xml:space="preserve"> e25</w:t>
      </w:r>
      <w:r>
        <w:t>–</w:t>
      </w:r>
      <w:r w:rsidRPr="00E07B1B">
        <w:t>32.</w:t>
      </w:r>
    </w:p>
    <w:p w:rsidR="0068074A" w:rsidRDefault="0025490C" w:rsidP="000A645D">
      <w:pPr>
        <w:pStyle w:val="References"/>
      </w:pPr>
      <w:r w:rsidRPr="00E07B1B">
        <w:t>Paulweber</w:t>
      </w:r>
      <w:r>
        <w:t xml:space="preserve"> </w:t>
      </w:r>
      <w:r w:rsidRPr="00E07B1B">
        <w:t xml:space="preserve">B, Valensi P, Lindström J, </w:t>
      </w:r>
      <w:r w:rsidR="00D562F2">
        <w:t>et al</w:t>
      </w:r>
      <w:r w:rsidRPr="00E07B1B">
        <w:t>. 2010. A European evidence</w:t>
      </w:r>
      <w:r w:rsidR="00D07674">
        <w:t>-</w:t>
      </w:r>
      <w:r w:rsidRPr="00E07B1B">
        <w:t xml:space="preserve">based guideline for the prevention of type 2 diabetes. </w:t>
      </w:r>
      <w:r w:rsidRPr="00E07B1B">
        <w:rPr>
          <w:i/>
          <w:iCs/>
        </w:rPr>
        <w:t>Horm</w:t>
      </w:r>
      <w:r>
        <w:rPr>
          <w:i/>
          <w:iCs/>
        </w:rPr>
        <w:t>one and</w:t>
      </w:r>
      <w:r w:rsidRPr="00E07B1B">
        <w:rPr>
          <w:i/>
          <w:iCs/>
        </w:rPr>
        <w:t xml:space="preserve"> Metab</w:t>
      </w:r>
      <w:r>
        <w:rPr>
          <w:i/>
          <w:iCs/>
        </w:rPr>
        <w:t>olic</w:t>
      </w:r>
      <w:r w:rsidRPr="00E07B1B">
        <w:rPr>
          <w:i/>
          <w:iCs/>
        </w:rPr>
        <w:t xml:space="preserve"> Res</w:t>
      </w:r>
      <w:r>
        <w:rPr>
          <w:i/>
          <w:iCs/>
        </w:rPr>
        <w:t>earch</w:t>
      </w:r>
      <w:r w:rsidRPr="00E07B1B">
        <w:rPr>
          <w:i/>
          <w:iCs/>
        </w:rPr>
        <w:t xml:space="preserve"> </w:t>
      </w:r>
      <w:r w:rsidRPr="00E07B1B">
        <w:rPr>
          <w:iCs/>
        </w:rPr>
        <w:t>42</w:t>
      </w:r>
      <w:r w:rsidRPr="00E07B1B">
        <w:t>(Suppl 1): S3</w:t>
      </w:r>
      <w:r>
        <w:t>–</w:t>
      </w:r>
      <w:r w:rsidRPr="00E07B1B">
        <w:t>36.</w:t>
      </w:r>
    </w:p>
    <w:p w:rsidR="0025490C" w:rsidRPr="00E07B1B" w:rsidRDefault="0025490C" w:rsidP="000A645D">
      <w:pPr>
        <w:pStyle w:val="References"/>
      </w:pPr>
      <w:r w:rsidRPr="00E07B1B">
        <w:t>Phelan S, Phipps MG, Abrams B</w:t>
      </w:r>
      <w:r>
        <w:t>.</w:t>
      </w:r>
      <w:r w:rsidRPr="00E07B1B">
        <w:t xml:space="preserve"> 2011. Randomized trial of a behavioral intervention to prevent excessive gestational weight gain: the Fit for Delivery Study. </w:t>
      </w:r>
      <w:r w:rsidRPr="00E07B1B">
        <w:rPr>
          <w:i/>
          <w:iCs/>
        </w:rPr>
        <w:t xml:space="preserve">American Journal of Clinical Nutrition </w:t>
      </w:r>
      <w:r w:rsidRPr="00E07B1B">
        <w:rPr>
          <w:iCs/>
        </w:rPr>
        <w:t>93</w:t>
      </w:r>
      <w:r w:rsidRPr="00E07B1B">
        <w:t>(4): 772</w:t>
      </w:r>
      <w:r>
        <w:t>–</w:t>
      </w:r>
      <w:r w:rsidRPr="00E07B1B">
        <w:t xml:space="preserve">79. DOI: </w:t>
      </w:r>
      <w:hyperlink r:id="rId44" w:history="1">
        <w:r w:rsidRPr="00E07B1B">
          <w:rPr>
            <w:rStyle w:val="Hyperlink"/>
            <w:rFonts w:cs="Arial"/>
            <w:szCs w:val="24"/>
          </w:rPr>
          <w:t>http://dx.doi.org/10.3945/ajcn.110.005306</w:t>
        </w:r>
      </w:hyperlink>
      <w:r w:rsidR="00D07674">
        <w:rPr>
          <w:rStyle w:val="Hyperlink"/>
          <w:rFonts w:cs="Arial"/>
          <w:szCs w:val="24"/>
        </w:rPr>
        <w:t>.</w:t>
      </w:r>
    </w:p>
    <w:p w:rsidR="0025490C" w:rsidRPr="00E07B1B" w:rsidRDefault="0025490C" w:rsidP="000A645D">
      <w:pPr>
        <w:pStyle w:val="References"/>
      </w:pPr>
      <w:r w:rsidRPr="00E07B1B">
        <w:t xml:space="preserve">Phung OJ, Sood NA, Sill BE, </w:t>
      </w:r>
      <w:r w:rsidR="00D562F2">
        <w:t>et al</w:t>
      </w:r>
      <w:r w:rsidRPr="00E07B1B">
        <w:t xml:space="preserve">. 2011. Oral anti-diabetic drugs for the prevention of type 2 diabetes. </w:t>
      </w:r>
      <w:r w:rsidRPr="00E07B1B">
        <w:rPr>
          <w:i/>
          <w:iCs/>
        </w:rPr>
        <w:t xml:space="preserve">Diabetic Medicine </w:t>
      </w:r>
      <w:r w:rsidRPr="00E07B1B">
        <w:rPr>
          <w:iCs/>
        </w:rPr>
        <w:t>28</w:t>
      </w:r>
      <w:r w:rsidRPr="00E07B1B">
        <w:t>(8): 948</w:t>
      </w:r>
      <w:r>
        <w:t>–</w:t>
      </w:r>
      <w:r w:rsidRPr="00E07B1B">
        <w:t>64. DOI: http://dx.doi.org/10.1111/j.1464-5491.2011.03303.x</w:t>
      </w:r>
      <w:r w:rsidR="00D07674">
        <w:t>.</w:t>
      </w:r>
    </w:p>
    <w:p w:rsidR="0068074A" w:rsidRDefault="0025490C" w:rsidP="000A645D">
      <w:pPr>
        <w:pStyle w:val="References"/>
      </w:pPr>
      <w:r w:rsidRPr="00E07B1B">
        <w:t xml:space="preserve">Picon MJ, Murri M, Munoz A, </w:t>
      </w:r>
      <w:r w:rsidR="00D562F2">
        <w:t>et al</w:t>
      </w:r>
      <w:r w:rsidRPr="00E07B1B">
        <w:t xml:space="preserve">. 2012. Hemoglobin A1c versus oral glucose tolerance test in postpartum diabetes screening. </w:t>
      </w:r>
      <w:r w:rsidRPr="00E07B1B">
        <w:rPr>
          <w:i/>
          <w:iCs/>
        </w:rPr>
        <w:t xml:space="preserve">Diabetes Care </w:t>
      </w:r>
      <w:r w:rsidRPr="00E07B1B">
        <w:rPr>
          <w:iCs/>
        </w:rPr>
        <w:t>35</w:t>
      </w:r>
      <w:r w:rsidRPr="00E07B1B">
        <w:t>: 1648</w:t>
      </w:r>
      <w:r>
        <w:t>–</w:t>
      </w:r>
      <w:r w:rsidRPr="00E07B1B">
        <w:t>53.</w:t>
      </w:r>
    </w:p>
    <w:p w:rsidR="0068074A" w:rsidRDefault="0025490C" w:rsidP="000A645D">
      <w:pPr>
        <w:pStyle w:val="References"/>
      </w:pPr>
      <w:r w:rsidRPr="00E07B1B">
        <w:t xml:space="preserve">Pirkola J, Pouta A, Bloigu A, </w:t>
      </w:r>
      <w:r w:rsidR="00D562F2">
        <w:t>et al</w:t>
      </w:r>
      <w:r w:rsidRPr="00E07B1B">
        <w:t xml:space="preserve">. 2010. Prepregnancy overweight and gestational diabetes as determinants of subsequent diabetes and hypertension after 20-year follow-up. </w:t>
      </w:r>
      <w:r w:rsidRPr="00E07B1B">
        <w:rPr>
          <w:i/>
          <w:iCs/>
        </w:rPr>
        <w:t xml:space="preserve">Journal of Clinical Endocrinology &amp; Metabolism </w:t>
      </w:r>
      <w:r w:rsidRPr="00E07B1B">
        <w:rPr>
          <w:iCs/>
        </w:rPr>
        <w:t>95</w:t>
      </w:r>
      <w:r w:rsidRPr="00E07B1B">
        <w:t>(2): 772</w:t>
      </w:r>
      <w:r>
        <w:t>–</w:t>
      </w:r>
      <w:r w:rsidRPr="00E07B1B">
        <w:t>8.</w:t>
      </w:r>
    </w:p>
    <w:p w:rsidR="0068074A" w:rsidRDefault="0025490C" w:rsidP="000A645D">
      <w:pPr>
        <w:pStyle w:val="References"/>
      </w:pPr>
      <w:r w:rsidRPr="00E07B1B">
        <w:t xml:space="preserve">Poel Y, Hummel P, Lips P, </w:t>
      </w:r>
      <w:r w:rsidR="00D562F2">
        <w:t>et al</w:t>
      </w:r>
      <w:r w:rsidRPr="00E07B1B">
        <w:t>. 2012. Vitamin D and gestational diabetes:</w:t>
      </w:r>
      <w:r>
        <w:t xml:space="preserve"> a</w:t>
      </w:r>
      <w:r w:rsidRPr="00E07B1B">
        <w:t xml:space="preserve"> systematic review and meta-analysis. </w:t>
      </w:r>
      <w:r w:rsidRPr="00E07B1B">
        <w:rPr>
          <w:i/>
          <w:iCs/>
        </w:rPr>
        <w:t xml:space="preserve">European Journal of Internal Medicine </w:t>
      </w:r>
      <w:r w:rsidRPr="00E07B1B">
        <w:rPr>
          <w:iCs/>
        </w:rPr>
        <w:t>23:</w:t>
      </w:r>
      <w:r w:rsidRPr="00E07B1B">
        <w:t xml:space="preserve"> 465</w:t>
      </w:r>
      <w:r>
        <w:t>–</w:t>
      </w:r>
      <w:r w:rsidRPr="00E07B1B">
        <w:t>9.</w:t>
      </w:r>
    </w:p>
    <w:p w:rsidR="0068074A" w:rsidRDefault="0025490C" w:rsidP="000A645D">
      <w:pPr>
        <w:pStyle w:val="References"/>
      </w:pPr>
      <w:r w:rsidRPr="00E07B1B">
        <w:t xml:space="preserve">Qiu C, Zhang C, Gelaye B, </w:t>
      </w:r>
      <w:r w:rsidR="00D562F2">
        <w:t>et al</w:t>
      </w:r>
      <w:r w:rsidRPr="00E07B1B">
        <w:t>. 2011</w:t>
      </w:r>
      <w:r>
        <w:t>a</w:t>
      </w:r>
      <w:r w:rsidRPr="00E07B1B">
        <w:t xml:space="preserve">. Gestational diabetes mellitus in relation to maternal dietary heme iron and nonheme iron intake. </w:t>
      </w:r>
      <w:r w:rsidRPr="00E07B1B">
        <w:rPr>
          <w:i/>
          <w:iCs/>
        </w:rPr>
        <w:t xml:space="preserve">Diabetes Care </w:t>
      </w:r>
      <w:r w:rsidRPr="00E07B1B">
        <w:rPr>
          <w:iCs/>
        </w:rPr>
        <w:t>34</w:t>
      </w:r>
      <w:r w:rsidRPr="00E07B1B">
        <w:t>(7): 1564</w:t>
      </w:r>
      <w:r>
        <w:t>–</w:t>
      </w:r>
      <w:r w:rsidRPr="00E07B1B">
        <w:t>9.</w:t>
      </w:r>
    </w:p>
    <w:p w:rsidR="0068074A" w:rsidRDefault="0025490C" w:rsidP="000A645D">
      <w:pPr>
        <w:pStyle w:val="References"/>
      </w:pPr>
      <w:r w:rsidRPr="00E07B1B">
        <w:t xml:space="preserve">Qiu C, Hevner K, Abetew D, </w:t>
      </w:r>
      <w:r w:rsidR="00D562F2">
        <w:t>et al</w:t>
      </w:r>
      <w:r w:rsidRPr="00E07B1B">
        <w:t>. 2011</w:t>
      </w:r>
      <w:r>
        <w:t>b</w:t>
      </w:r>
      <w:r w:rsidRPr="00E07B1B">
        <w:t xml:space="preserve">. Oxidative DNA damage in early pregnancy and risk of gestational diabetes mellitus: </w:t>
      </w:r>
      <w:r>
        <w:t>a</w:t>
      </w:r>
      <w:r w:rsidRPr="00E07B1B">
        <w:t xml:space="preserve"> pilot study. </w:t>
      </w:r>
      <w:r w:rsidRPr="00E07B1B">
        <w:rPr>
          <w:i/>
          <w:iCs/>
        </w:rPr>
        <w:t xml:space="preserve">Clinical Biochemistry </w:t>
      </w:r>
      <w:r w:rsidRPr="00E07B1B">
        <w:rPr>
          <w:iCs/>
        </w:rPr>
        <w:t>44</w:t>
      </w:r>
      <w:r>
        <w:t>(10–</w:t>
      </w:r>
      <w:r w:rsidRPr="00E07B1B">
        <w:t>11): 804</w:t>
      </w:r>
      <w:r>
        <w:t>–</w:t>
      </w:r>
      <w:r w:rsidRPr="00E07B1B">
        <w:t>8.</w:t>
      </w:r>
    </w:p>
    <w:p w:rsidR="0068074A" w:rsidRDefault="0025490C" w:rsidP="000A645D">
      <w:pPr>
        <w:pStyle w:val="References"/>
      </w:pPr>
      <w:r w:rsidRPr="00E07B1B">
        <w:t xml:space="preserve">Qiu C, Frederick IO, Zhang, </w:t>
      </w:r>
      <w:r w:rsidR="00D562F2">
        <w:t>et al</w:t>
      </w:r>
      <w:r w:rsidRPr="00E07B1B">
        <w:t>. 2011</w:t>
      </w:r>
      <w:r>
        <w:t>c</w:t>
      </w:r>
      <w:r w:rsidRPr="00E07B1B">
        <w:t xml:space="preserve">. Risk of gestational diabetes mellitus in relation to maternal egg and cholesterol intake. </w:t>
      </w:r>
      <w:r w:rsidRPr="00E07B1B">
        <w:rPr>
          <w:i/>
          <w:iCs/>
        </w:rPr>
        <w:t xml:space="preserve">American Journal of Epidemiology </w:t>
      </w:r>
      <w:r w:rsidRPr="00E07B1B">
        <w:rPr>
          <w:iCs/>
        </w:rPr>
        <w:t>173 (6</w:t>
      </w:r>
      <w:r w:rsidRPr="00E07B1B">
        <w:rPr>
          <w:i/>
          <w:iCs/>
        </w:rPr>
        <w:t>)</w:t>
      </w:r>
      <w:r w:rsidRPr="00E07B1B">
        <w:t>: 649</w:t>
      </w:r>
      <w:r>
        <w:t>–</w:t>
      </w:r>
      <w:r w:rsidRPr="00E07B1B">
        <w:t>58.</w:t>
      </w:r>
    </w:p>
    <w:p w:rsidR="0068074A" w:rsidRDefault="0025490C" w:rsidP="000A645D">
      <w:pPr>
        <w:pStyle w:val="References"/>
      </w:pPr>
      <w:r w:rsidRPr="00E07B1B">
        <w:t xml:space="preserve">Quinlivan JA, Lam LT, Fisher J. 2011. A randomised trial of a four-step multidisciplinary approach to the antenatal care of obese pregnant women. </w:t>
      </w:r>
      <w:r w:rsidRPr="00E07B1B">
        <w:rPr>
          <w:i/>
          <w:iCs/>
        </w:rPr>
        <w:t xml:space="preserve">Australian &amp; New Zealand Journal of Obstetrics &amp; Gynaecology </w:t>
      </w:r>
      <w:r w:rsidRPr="00E07B1B">
        <w:rPr>
          <w:iCs/>
        </w:rPr>
        <w:t>51</w:t>
      </w:r>
      <w:r w:rsidRPr="00E07B1B">
        <w:t>(2): 141</w:t>
      </w:r>
      <w:r>
        <w:t>–</w:t>
      </w:r>
      <w:r w:rsidRPr="00E07B1B">
        <w:t>6.</w:t>
      </w:r>
    </w:p>
    <w:p w:rsidR="0068074A" w:rsidRDefault="0025490C" w:rsidP="000A645D">
      <w:pPr>
        <w:pStyle w:val="References"/>
      </w:pPr>
      <w:r w:rsidRPr="00E07B1B">
        <w:t xml:space="preserve">Radesky JS, Oken E, Rifas-Shiman SL, </w:t>
      </w:r>
      <w:r w:rsidR="00D562F2">
        <w:t>et al</w:t>
      </w:r>
      <w:r w:rsidR="00D07674">
        <w:t>.</w:t>
      </w:r>
      <w:r w:rsidRPr="00E07B1B">
        <w:t xml:space="preserve"> 2008. Diet during early pregnancy and development of gestational diabetes. </w:t>
      </w:r>
      <w:r w:rsidRPr="00E07B1B">
        <w:rPr>
          <w:i/>
          <w:iCs/>
        </w:rPr>
        <w:t xml:space="preserve">Paediatric and Perinatal Epidemiology </w:t>
      </w:r>
      <w:r w:rsidRPr="00E07B1B">
        <w:rPr>
          <w:iCs/>
        </w:rPr>
        <w:t>22</w:t>
      </w:r>
      <w:r w:rsidRPr="00E07B1B">
        <w:t>(1): 47</w:t>
      </w:r>
      <w:r>
        <w:t>–</w:t>
      </w:r>
      <w:r w:rsidRPr="00E07B1B">
        <w:t>59.</w:t>
      </w:r>
    </w:p>
    <w:p w:rsidR="0025490C" w:rsidRPr="00E07B1B" w:rsidRDefault="0025490C" w:rsidP="000A645D">
      <w:pPr>
        <w:pStyle w:val="References"/>
      </w:pPr>
      <w:r w:rsidRPr="00E07B1B">
        <w:t xml:space="preserve">Ramos-Levi AM, Perez-Ferre N, Fernandez D, </w:t>
      </w:r>
      <w:r w:rsidR="00D562F2">
        <w:t>et al</w:t>
      </w:r>
      <w:r w:rsidRPr="00E07B1B">
        <w:t xml:space="preserve">. 2012. Risk factors for gestational diabetes mellitus in a large population of women living in Spain: Implications for preventative strategies. </w:t>
      </w:r>
      <w:r w:rsidRPr="00E07B1B">
        <w:rPr>
          <w:i/>
          <w:iCs/>
        </w:rPr>
        <w:t>International Journal of Endocrinology</w:t>
      </w:r>
      <w:r w:rsidRPr="00E07B1B">
        <w:t>. DOI:</w:t>
      </w:r>
      <w:r>
        <w:t xml:space="preserve"> </w:t>
      </w:r>
      <w:r w:rsidRPr="00E07B1B">
        <w:t>10.1155/2012/312529</w:t>
      </w:r>
      <w:r w:rsidR="00D07674">
        <w:t>.</w:t>
      </w:r>
    </w:p>
    <w:p w:rsidR="0025490C" w:rsidRPr="00E07B1B" w:rsidRDefault="0025490C" w:rsidP="000A645D">
      <w:pPr>
        <w:pStyle w:val="References"/>
      </w:pPr>
      <w:r w:rsidRPr="00E07B1B">
        <w:t xml:space="preserve">Ratner RE, Christophi CA, Metzger BE, </w:t>
      </w:r>
      <w:r w:rsidR="00D562F2">
        <w:t>et al</w:t>
      </w:r>
      <w:r w:rsidRPr="00E07B1B">
        <w:t xml:space="preserve">. 2008. Prevention of diabetes in women with a history of gestational diabetes: effects of metformin and lifestyle interventions. </w:t>
      </w:r>
      <w:r w:rsidRPr="00E07B1B">
        <w:rPr>
          <w:i/>
          <w:iCs/>
        </w:rPr>
        <w:t xml:space="preserve">Journal of Clinical Endocrinology and Metabolism </w:t>
      </w:r>
      <w:r w:rsidRPr="00E07B1B">
        <w:rPr>
          <w:iCs/>
        </w:rPr>
        <w:t>93</w:t>
      </w:r>
      <w:r w:rsidRPr="00E07B1B">
        <w:t>(12)</w:t>
      </w:r>
      <w:r>
        <w:t>:</w:t>
      </w:r>
      <w:r w:rsidRPr="00E07B1B">
        <w:t xml:space="preserve"> 4774</w:t>
      </w:r>
      <w:r>
        <w:t>–</w:t>
      </w:r>
      <w:r w:rsidRPr="00E07B1B">
        <w:t>9.</w:t>
      </w:r>
    </w:p>
    <w:p w:rsidR="0025490C" w:rsidRPr="00E07B1B" w:rsidRDefault="0025490C" w:rsidP="000A645D">
      <w:pPr>
        <w:pStyle w:val="References"/>
      </w:pPr>
      <w:r w:rsidRPr="00E07B1B">
        <w:t xml:space="preserve">Reinhardt JA, van der Ploeg HP, Grzegrzulka R, </w:t>
      </w:r>
      <w:r w:rsidR="00D562F2">
        <w:t>et al</w:t>
      </w:r>
      <w:r w:rsidR="00EF4183">
        <w:t>. 2012. Im</w:t>
      </w:r>
      <w:r w:rsidRPr="00E07B1B">
        <w:t xml:space="preserve">plementing lifestyle change through phone-based motivational interviewing in rural-based women with previous gestational diabetes mellitus. </w:t>
      </w:r>
      <w:r w:rsidRPr="00E07B1B">
        <w:rPr>
          <w:i/>
          <w:iCs/>
        </w:rPr>
        <w:t xml:space="preserve">Health Promotion Journal of Australia </w:t>
      </w:r>
      <w:r w:rsidRPr="00E07B1B">
        <w:rPr>
          <w:iCs/>
        </w:rPr>
        <w:t>23</w:t>
      </w:r>
      <w:r w:rsidRPr="00E07B1B">
        <w:t>(1): 5</w:t>
      </w:r>
      <w:r>
        <w:t>–</w:t>
      </w:r>
      <w:r w:rsidRPr="00E07B1B">
        <w:t>9.</w:t>
      </w:r>
    </w:p>
    <w:p w:rsidR="0068074A" w:rsidRDefault="0025490C" w:rsidP="000A645D">
      <w:pPr>
        <w:pStyle w:val="References"/>
      </w:pPr>
      <w:r w:rsidRPr="00E07B1B">
        <w:t xml:space="preserve">Retnakaran R, Connelly PW, Sermer M, </w:t>
      </w:r>
      <w:r w:rsidR="00D562F2">
        <w:t>et al</w:t>
      </w:r>
      <w:r w:rsidRPr="00E07B1B">
        <w:t xml:space="preserve">. 2007. The impact of family history of diabetes on risk factors for gestational diabetes. </w:t>
      </w:r>
      <w:r w:rsidRPr="00E07B1B">
        <w:rPr>
          <w:i/>
          <w:iCs/>
        </w:rPr>
        <w:t xml:space="preserve">Clinical Endocrinology </w:t>
      </w:r>
      <w:r w:rsidRPr="00E07B1B">
        <w:rPr>
          <w:iCs/>
        </w:rPr>
        <w:t>67</w:t>
      </w:r>
      <w:r w:rsidRPr="00E07B1B">
        <w:t>(5): 754</w:t>
      </w:r>
      <w:r>
        <w:t>–</w:t>
      </w:r>
      <w:r w:rsidRPr="00E07B1B">
        <w:t>60.</w:t>
      </w:r>
    </w:p>
    <w:p w:rsidR="0068074A" w:rsidRDefault="0025490C" w:rsidP="000A645D">
      <w:pPr>
        <w:pStyle w:val="References"/>
      </w:pPr>
      <w:r w:rsidRPr="00E07B1B">
        <w:t xml:space="preserve">Retnakaran R, Qi Y, Connelly PW, </w:t>
      </w:r>
      <w:r w:rsidR="00D562F2">
        <w:t>et al</w:t>
      </w:r>
      <w:r w:rsidRPr="00E07B1B">
        <w:t xml:space="preserve">. 2010. Risk of early progression to prediabetes or diabetes in women with recent gestational dysglycaemia but normal glucose tolerance at </w:t>
      </w:r>
      <w:r w:rsidR="00D07674">
        <w:t>three</w:t>
      </w:r>
      <w:r w:rsidRPr="00E07B1B">
        <w:t xml:space="preserve">-month postpartum. </w:t>
      </w:r>
      <w:r w:rsidRPr="00E07B1B">
        <w:rPr>
          <w:i/>
          <w:iCs/>
        </w:rPr>
        <w:t xml:space="preserve">Clinical Endocrinology </w:t>
      </w:r>
      <w:r w:rsidRPr="00E07B1B">
        <w:rPr>
          <w:iCs/>
        </w:rPr>
        <w:t>73</w:t>
      </w:r>
      <w:r w:rsidRPr="00E07B1B">
        <w:t>: 476</w:t>
      </w:r>
      <w:r>
        <w:t>–</w:t>
      </w:r>
      <w:r w:rsidRPr="00E07B1B">
        <w:t>83.</w:t>
      </w:r>
    </w:p>
    <w:p w:rsidR="0068074A" w:rsidRDefault="0025490C" w:rsidP="000A645D">
      <w:pPr>
        <w:pStyle w:val="References"/>
      </w:pPr>
      <w:r w:rsidRPr="00E07B1B">
        <w:t xml:space="preserve">Retnakaran R, Austin PC, Shah BR. 2011. Effect of subsequent pregnancies on the risk of developing diabetes following a first pregnancy complicated by gestational diabetes: a population-based study. </w:t>
      </w:r>
      <w:r w:rsidRPr="00E07B1B">
        <w:rPr>
          <w:i/>
          <w:iCs/>
        </w:rPr>
        <w:t xml:space="preserve">Diabetic Medicine </w:t>
      </w:r>
      <w:r w:rsidRPr="00E07B1B">
        <w:rPr>
          <w:iCs/>
        </w:rPr>
        <w:t>28</w:t>
      </w:r>
      <w:r w:rsidRPr="00E07B1B">
        <w:t>(3): 287</w:t>
      </w:r>
      <w:r>
        <w:t>–</w:t>
      </w:r>
      <w:r w:rsidRPr="00E07B1B">
        <w:t>92.</w:t>
      </w:r>
    </w:p>
    <w:p w:rsidR="0068074A" w:rsidRPr="00D07674" w:rsidRDefault="0025490C" w:rsidP="000A645D">
      <w:pPr>
        <w:pStyle w:val="References"/>
        <w:rPr>
          <w:spacing w:val="-2"/>
        </w:rPr>
      </w:pPr>
      <w:r w:rsidRPr="00E07B1B">
        <w:t xml:space="preserve">Reyes-Munoz E, Parra A, Castillo-Mora A, </w:t>
      </w:r>
      <w:r w:rsidR="00D562F2">
        <w:t>et al</w:t>
      </w:r>
      <w:r w:rsidRPr="00E07B1B">
        <w:t>. 2012</w:t>
      </w:r>
      <w:r>
        <w:t>a</w:t>
      </w:r>
      <w:r w:rsidRPr="00E07B1B">
        <w:t xml:space="preserve">. Effect of the diagnostic criteria of the International Association of Diabetes and Pregnancy Study Groups on the prevalence of gestational </w:t>
      </w:r>
      <w:r w:rsidRPr="00D07674">
        <w:rPr>
          <w:spacing w:val="-2"/>
        </w:rPr>
        <w:t xml:space="preserve">diabetes mellitus in urban Mexican women: a cross-sectional study. </w:t>
      </w:r>
      <w:r w:rsidRPr="00D07674">
        <w:rPr>
          <w:i/>
          <w:iCs/>
          <w:spacing w:val="-2"/>
        </w:rPr>
        <w:t xml:space="preserve">Endocrine Practice </w:t>
      </w:r>
      <w:r w:rsidRPr="00D07674">
        <w:rPr>
          <w:iCs/>
          <w:spacing w:val="-2"/>
        </w:rPr>
        <w:t>18</w:t>
      </w:r>
      <w:r w:rsidRPr="00D07674">
        <w:rPr>
          <w:spacing w:val="-2"/>
        </w:rPr>
        <w:t>(2): 146–51.</w:t>
      </w:r>
    </w:p>
    <w:p w:rsidR="0068074A" w:rsidRDefault="0025490C" w:rsidP="000A645D">
      <w:pPr>
        <w:pStyle w:val="References"/>
      </w:pPr>
      <w:r w:rsidRPr="00E07B1B">
        <w:t xml:space="preserve">Reyes-Munoz E, Castellanos-Barroso G, Ramirez-Eugenio BY, </w:t>
      </w:r>
      <w:r w:rsidR="00D562F2">
        <w:t>et al</w:t>
      </w:r>
      <w:r w:rsidRPr="00E07B1B">
        <w:t>. 2012</w:t>
      </w:r>
      <w:r>
        <w:t>b</w:t>
      </w:r>
      <w:r w:rsidRPr="00E07B1B">
        <w:t xml:space="preserve">. The risk of gestational diabetes mellitus among Mexican women with a history of infertility and polycystic ovary syndrome. </w:t>
      </w:r>
      <w:r w:rsidRPr="00E07B1B">
        <w:rPr>
          <w:i/>
          <w:iCs/>
        </w:rPr>
        <w:t xml:space="preserve">Fertility and Sterility </w:t>
      </w:r>
      <w:r w:rsidRPr="00E07B1B">
        <w:rPr>
          <w:iCs/>
        </w:rPr>
        <w:t>97(6)</w:t>
      </w:r>
      <w:r w:rsidRPr="00E07B1B">
        <w:t>:1467</w:t>
      </w:r>
      <w:r>
        <w:t>–</w:t>
      </w:r>
      <w:r w:rsidRPr="00E07B1B">
        <w:t>71.</w:t>
      </w:r>
    </w:p>
    <w:p w:rsidR="0068074A" w:rsidRDefault="0025490C" w:rsidP="000A645D">
      <w:pPr>
        <w:pStyle w:val="References"/>
      </w:pPr>
      <w:r w:rsidRPr="00E07B1B">
        <w:t xml:space="preserve">Rivas A, Gonzalez N, Gonzalez J. 2007. High frequency of diabetes in early post-partum assessment of women with gestational diabetes mellitus. </w:t>
      </w:r>
      <w:r w:rsidRPr="00E07B1B">
        <w:rPr>
          <w:i/>
          <w:iCs/>
        </w:rPr>
        <w:t xml:space="preserve">Diabetes and Metabolic Syndrome: Clinical Research and Reviews </w:t>
      </w:r>
      <w:r w:rsidRPr="00E07B1B">
        <w:rPr>
          <w:iCs/>
        </w:rPr>
        <w:t>1</w:t>
      </w:r>
      <w:r w:rsidRPr="00E07B1B">
        <w:t>: 159</w:t>
      </w:r>
      <w:r>
        <w:t>–</w:t>
      </w:r>
      <w:r w:rsidRPr="00E07B1B">
        <w:t>65.</w:t>
      </w:r>
    </w:p>
    <w:p w:rsidR="0068074A" w:rsidRDefault="0025490C" w:rsidP="000A645D">
      <w:pPr>
        <w:pStyle w:val="References"/>
      </w:pPr>
      <w:r w:rsidRPr="00E07B1B">
        <w:t xml:space="preserve">Round JA, Jacklin P, Fraser RB, </w:t>
      </w:r>
      <w:r w:rsidR="00D562F2">
        <w:t>et al</w:t>
      </w:r>
      <w:r w:rsidRPr="00E07B1B">
        <w:t>. 2011. Screening for gestational diabetes mellitus: cost-utility of different screening strategies based on a woman</w:t>
      </w:r>
      <w:r w:rsidR="0068074A">
        <w:t>’</w:t>
      </w:r>
      <w:r w:rsidRPr="00E07B1B">
        <w:t xml:space="preserve">s individual risk of disease. </w:t>
      </w:r>
      <w:r w:rsidRPr="00E07B1B">
        <w:rPr>
          <w:i/>
          <w:iCs/>
        </w:rPr>
        <w:t xml:space="preserve">Diabetologia </w:t>
      </w:r>
      <w:r w:rsidRPr="000E582B">
        <w:t>54</w:t>
      </w:r>
      <w:r w:rsidRPr="00895944">
        <w:t>(</w:t>
      </w:r>
      <w:r w:rsidRPr="00E07B1B">
        <w:t>2):</w:t>
      </w:r>
      <w:r w:rsidR="00D07674">
        <w:t> </w:t>
      </w:r>
      <w:r w:rsidRPr="00E07B1B">
        <w:t>256</w:t>
      </w:r>
      <w:r>
        <w:t>–</w:t>
      </w:r>
      <w:r w:rsidRPr="00E07B1B">
        <w:t>63.</w:t>
      </w:r>
    </w:p>
    <w:p w:rsidR="0068074A" w:rsidRDefault="0025490C" w:rsidP="000A645D">
      <w:pPr>
        <w:pStyle w:val="References"/>
      </w:pPr>
      <w:r w:rsidRPr="00E07B1B">
        <w:t xml:space="preserve">Rowan JA, Gao W, Hague WM, </w:t>
      </w:r>
      <w:r w:rsidR="00D562F2">
        <w:t>et al</w:t>
      </w:r>
      <w:r w:rsidRPr="00E07B1B">
        <w:t xml:space="preserve">. 2010. Glycemia and its relationship to outcomes in the metformin in gestational diabetes trial. </w:t>
      </w:r>
      <w:r w:rsidRPr="00E07B1B">
        <w:rPr>
          <w:i/>
          <w:iCs/>
        </w:rPr>
        <w:t xml:space="preserve">Diabetes Care </w:t>
      </w:r>
      <w:r w:rsidRPr="000E582B">
        <w:t>33</w:t>
      </w:r>
      <w:r w:rsidRPr="00E07B1B">
        <w:t>(1): 9</w:t>
      </w:r>
      <w:r>
        <w:t>–</w:t>
      </w:r>
      <w:r w:rsidRPr="00E07B1B">
        <w:t>16.</w:t>
      </w:r>
    </w:p>
    <w:p w:rsidR="0068074A" w:rsidRDefault="0025490C" w:rsidP="000A645D">
      <w:pPr>
        <w:pStyle w:val="References"/>
      </w:pPr>
      <w:r w:rsidRPr="00E07B1B">
        <w:t>Rudra CB, Sorensen TK, Leisenring WM,</w:t>
      </w:r>
      <w:r>
        <w:t xml:space="preserve"> </w:t>
      </w:r>
      <w:r w:rsidR="00D562F2">
        <w:t>et al</w:t>
      </w:r>
      <w:r w:rsidRPr="00E07B1B">
        <w:t xml:space="preserve">. 2007. Weight characteristics and height in relation to risk of gestational diabetes mellitus. </w:t>
      </w:r>
      <w:r w:rsidRPr="00E07B1B">
        <w:rPr>
          <w:i/>
          <w:iCs/>
        </w:rPr>
        <w:t xml:space="preserve">American Journal of Epidemiology </w:t>
      </w:r>
      <w:r w:rsidRPr="00E07B1B">
        <w:t>(3): 302</w:t>
      </w:r>
      <w:r>
        <w:t>–</w:t>
      </w:r>
      <w:r w:rsidRPr="00E07B1B">
        <w:t>8.</w:t>
      </w:r>
    </w:p>
    <w:p w:rsidR="0025490C" w:rsidRPr="00E07B1B" w:rsidRDefault="0025490C" w:rsidP="000A645D">
      <w:pPr>
        <w:pStyle w:val="References"/>
      </w:pPr>
      <w:r w:rsidRPr="00E07B1B">
        <w:t xml:space="preserve">Russell C, Dodds L, Armson BA, </w:t>
      </w:r>
      <w:r w:rsidR="00D562F2">
        <w:t>et al</w:t>
      </w:r>
      <w:r w:rsidRPr="00E07B1B">
        <w:t xml:space="preserve">. 2008. Diabetes mellitus following gestational diabetes: role of </w:t>
      </w:r>
      <w:r w:rsidRPr="00D07674">
        <w:rPr>
          <w:spacing w:val="-2"/>
        </w:rPr>
        <w:t xml:space="preserve">subsequent pregnancy. </w:t>
      </w:r>
      <w:r w:rsidRPr="00D07674">
        <w:rPr>
          <w:i/>
          <w:iCs/>
          <w:spacing w:val="-2"/>
        </w:rPr>
        <w:t xml:space="preserve">BJOG: An International Journal of Obstetrics &amp; Gynaecology </w:t>
      </w:r>
      <w:r w:rsidRPr="00D07674">
        <w:rPr>
          <w:iCs/>
          <w:spacing w:val="-2"/>
        </w:rPr>
        <w:t>115</w:t>
      </w:r>
      <w:r w:rsidRPr="00D07674">
        <w:rPr>
          <w:spacing w:val="-2"/>
        </w:rPr>
        <w:t>(2): 253–9;</w:t>
      </w:r>
      <w:r w:rsidRPr="00E07B1B">
        <w:t xml:space="preserve"> discussion 260.</w:t>
      </w:r>
    </w:p>
    <w:p w:rsidR="0068074A" w:rsidRDefault="0025490C" w:rsidP="000A645D">
      <w:pPr>
        <w:pStyle w:val="References"/>
      </w:pPr>
      <w:r w:rsidRPr="00E07B1B">
        <w:t>Sacks D, Abu-Fadil S,</w:t>
      </w:r>
      <w:r>
        <w:t xml:space="preserve"> </w:t>
      </w:r>
      <w:r w:rsidRPr="00E07B1B">
        <w:t xml:space="preserve">Greenspoon JS, </w:t>
      </w:r>
      <w:r w:rsidR="00D562F2">
        <w:t>et al</w:t>
      </w:r>
      <w:r w:rsidRPr="00E07B1B">
        <w:t>.</w:t>
      </w:r>
      <w:r>
        <w:t xml:space="preserve"> </w:t>
      </w:r>
      <w:r w:rsidRPr="00E07B1B">
        <w:t>1989. Do the current standards for glucose tolerance testing in pregnancy represent a valid conversion of O</w:t>
      </w:r>
      <w:r w:rsidR="0068074A">
        <w:t>’</w:t>
      </w:r>
      <w:r w:rsidRPr="00E07B1B">
        <w:t>Sullivan</w:t>
      </w:r>
      <w:r w:rsidR="0068074A">
        <w:t>’</w:t>
      </w:r>
      <w:r w:rsidRPr="00E07B1B">
        <w:t xml:space="preserve">s original criteria? </w:t>
      </w:r>
      <w:r w:rsidRPr="00E07B1B">
        <w:rPr>
          <w:i/>
          <w:iCs/>
        </w:rPr>
        <w:t>Am</w:t>
      </w:r>
      <w:r>
        <w:rPr>
          <w:i/>
          <w:iCs/>
        </w:rPr>
        <w:t>erican</w:t>
      </w:r>
      <w:r w:rsidRPr="00E07B1B">
        <w:rPr>
          <w:i/>
          <w:iCs/>
        </w:rPr>
        <w:t xml:space="preserve"> J</w:t>
      </w:r>
      <w:r>
        <w:rPr>
          <w:i/>
          <w:iCs/>
        </w:rPr>
        <w:t>ournal of</w:t>
      </w:r>
      <w:r w:rsidRPr="00E07B1B">
        <w:rPr>
          <w:i/>
          <w:iCs/>
        </w:rPr>
        <w:t xml:space="preserve"> Obstet</w:t>
      </w:r>
      <w:r>
        <w:rPr>
          <w:i/>
          <w:iCs/>
        </w:rPr>
        <w:t>rics &amp;</w:t>
      </w:r>
      <w:r w:rsidRPr="00E07B1B">
        <w:rPr>
          <w:i/>
          <w:iCs/>
        </w:rPr>
        <w:t xml:space="preserve"> Gynecol</w:t>
      </w:r>
      <w:r>
        <w:rPr>
          <w:i/>
          <w:iCs/>
        </w:rPr>
        <w:t>ogy</w:t>
      </w:r>
      <w:r w:rsidRPr="00E07B1B">
        <w:rPr>
          <w:i/>
          <w:iCs/>
        </w:rPr>
        <w:t xml:space="preserve"> </w:t>
      </w:r>
      <w:r w:rsidRPr="000E582B">
        <w:t>161</w:t>
      </w:r>
      <w:r w:rsidRPr="00895944">
        <w:t>(</w:t>
      </w:r>
      <w:r w:rsidRPr="00E07B1B">
        <w:t>3): 638</w:t>
      </w:r>
      <w:r>
        <w:t>–</w:t>
      </w:r>
      <w:r w:rsidRPr="00E07B1B">
        <w:t>41.</w:t>
      </w:r>
    </w:p>
    <w:p w:rsidR="0068074A" w:rsidRDefault="0025490C" w:rsidP="000A645D">
      <w:pPr>
        <w:pStyle w:val="References"/>
      </w:pPr>
      <w:r w:rsidRPr="00E07B1B">
        <w:t xml:space="preserve">Savitz DA, Janevic TM, Engel SM, </w:t>
      </w:r>
      <w:r w:rsidR="00D562F2">
        <w:t>et al</w:t>
      </w:r>
      <w:r w:rsidRPr="00E07B1B">
        <w:t>. 2008. Ethnicity and gestational diabetes in New York City, 1995</w:t>
      </w:r>
      <w:r>
        <w:t>–</w:t>
      </w:r>
      <w:r w:rsidRPr="00E07B1B">
        <w:t xml:space="preserve">2003. </w:t>
      </w:r>
      <w:r w:rsidRPr="00E07B1B">
        <w:rPr>
          <w:i/>
          <w:iCs/>
        </w:rPr>
        <w:t xml:space="preserve">BJOG: An International Journal of Obstetrics &amp; Gynaecology </w:t>
      </w:r>
      <w:r w:rsidRPr="00E07B1B">
        <w:rPr>
          <w:iCs/>
        </w:rPr>
        <w:t>115</w:t>
      </w:r>
      <w:r w:rsidRPr="00E07B1B">
        <w:t>(8): 969</w:t>
      </w:r>
      <w:r>
        <w:t>–</w:t>
      </w:r>
      <w:r w:rsidRPr="00E07B1B">
        <w:t>78.</w:t>
      </w:r>
    </w:p>
    <w:p w:rsidR="0068074A" w:rsidRDefault="0025490C" w:rsidP="000A645D">
      <w:pPr>
        <w:pStyle w:val="References"/>
      </w:pPr>
      <w:r w:rsidRPr="00E07B1B">
        <w:t xml:space="preserve">Schaefer-Graf U, Klavehn S, Hartmann R, </w:t>
      </w:r>
      <w:r w:rsidR="00D562F2">
        <w:t>et al</w:t>
      </w:r>
      <w:r>
        <w:t>.</w:t>
      </w:r>
      <w:r w:rsidRPr="00E07B1B">
        <w:t xml:space="preserve"> 2009. How do we reduce the number of cases of missed postpartum diabetes in women with recent gestational diabetes mellitus? </w:t>
      </w:r>
      <w:r w:rsidRPr="00E07B1B">
        <w:rPr>
          <w:i/>
          <w:iCs/>
        </w:rPr>
        <w:t xml:space="preserve">Diabetes Care </w:t>
      </w:r>
      <w:r w:rsidRPr="000E582B">
        <w:t>32</w:t>
      </w:r>
      <w:r w:rsidRPr="00E07B1B">
        <w:t>(11): 1960</w:t>
      </w:r>
      <w:r>
        <w:t>–</w:t>
      </w:r>
      <w:r w:rsidRPr="00E07B1B">
        <w:t>4.</w:t>
      </w:r>
    </w:p>
    <w:p w:rsidR="0025490C" w:rsidRPr="00E07B1B" w:rsidRDefault="0025490C" w:rsidP="000A645D">
      <w:pPr>
        <w:pStyle w:val="References"/>
      </w:pPr>
      <w:r w:rsidRPr="00E07B1B">
        <w:t xml:space="preserve">Schneider S, Hoeft B, Freerksen N, </w:t>
      </w:r>
      <w:r w:rsidR="00D562F2">
        <w:t>et al</w:t>
      </w:r>
      <w:r w:rsidRPr="00E07B1B">
        <w:t xml:space="preserve">. 2011. Neonatal complications and risk factors among women with gestational diabetes mellitus. </w:t>
      </w:r>
      <w:r w:rsidRPr="00E07B1B">
        <w:rPr>
          <w:i/>
          <w:iCs/>
        </w:rPr>
        <w:t xml:space="preserve">Acta Obstetricia et Gynecologica Scandinavica </w:t>
      </w:r>
      <w:r w:rsidRPr="00E07B1B">
        <w:rPr>
          <w:iCs/>
        </w:rPr>
        <w:t>90(3</w:t>
      </w:r>
      <w:r w:rsidRPr="000E582B">
        <w:t>)</w:t>
      </w:r>
      <w:r>
        <w:t>:</w:t>
      </w:r>
      <w:r w:rsidR="00D07674">
        <w:t> </w:t>
      </w:r>
      <w:r w:rsidRPr="00E07B1B">
        <w:t>231</w:t>
      </w:r>
      <w:r>
        <w:t>–</w:t>
      </w:r>
      <w:r w:rsidRPr="00E07B1B">
        <w:t>7.</w:t>
      </w:r>
    </w:p>
    <w:p w:rsidR="0025490C" w:rsidRPr="00E07B1B" w:rsidRDefault="0025490C" w:rsidP="000A645D">
      <w:pPr>
        <w:pStyle w:val="References"/>
      </w:pPr>
      <w:r w:rsidRPr="00E07B1B">
        <w:t xml:space="preserve">Scott DA, Loveman E, McIntyre I, </w:t>
      </w:r>
      <w:r w:rsidR="00D562F2">
        <w:t>et al</w:t>
      </w:r>
      <w:r w:rsidRPr="00E07B1B">
        <w:t xml:space="preserve">. 2002. Screening for diabetes: a systematic review and economic evaluation. </w:t>
      </w:r>
      <w:r w:rsidRPr="00E07B1B">
        <w:rPr>
          <w:i/>
          <w:iCs/>
        </w:rPr>
        <w:t>Health Technology Assessment</w:t>
      </w:r>
      <w:r>
        <w:rPr>
          <w:i/>
          <w:iCs/>
        </w:rPr>
        <w:t xml:space="preserve"> </w:t>
      </w:r>
      <w:r w:rsidRPr="000E582B">
        <w:t>6</w:t>
      </w:r>
      <w:r w:rsidRPr="00895944">
        <w:t>(1</w:t>
      </w:r>
      <w:r w:rsidRPr="00E07B1B">
        <w:t>1)</w:t>
      </w:r>
      <w:r>
        <w:t>:</w:t>
      </w:r>
      <w:r w:rsidRPr="00E07B1B">
        <w:t xml:space="preserve"> 1</w:t>
      </w:r>
      <w:r>
        <w:t>–</w:t>
      </w:r>
      <w:r w:rsidRPr="00E07B1B">
        <w:t>161.</w:t>
      </w:r>
    </w:p>
    <w:p w:rsidR="0068074A" w:rsidRDefault="0025490C" w:rsidP="000A645D">
      <w:pPr>
        <w:pStyle w:val="References"/>
      </w:pPr>
      <w:r w:rsidRPr="00E07B1B">
        <w:t xml:space="preserve">Shea AK, Shah BR, Clark HD, </w:t>
      </w:r>
      <w:r w:rsidR="00D562F2">
        <w:t>et al</w:t>
      </w:r>
      <w:r w:rsidRPr="00E07B1B">
        <w:t xml:space="preserve">. 2011. The effectiveness of implementing a reminder system into routine clinical practice: does it increase postpartum screening in women with gestational diabetes? </w:t>
      </w:r>
      <w:r w:rsidRPr="00E07B1B">
        <w:rPr>
          <w:i/>
          <w:iCs/>
        </w:rPr>
        <w:t xml:space="preserve">Chronic Diseases in Canada </w:t>
      </w:r>
      <w:r w:rsidRPr="000E582B">
        <w:t>31</w:t>
      </w:r>
      <w:r w:rsidRPr="00895944">
        <w:t>(</w:t>
      </w:r>
      <w:r w:rsidRPr="00E07B1B">
        <w:t>2): 58</w:t>
      </w:r>
      <w:r>
        <w:t>–</w:t>
      </w:r>
      <w:r w:rsidRPr="00E07B1B">
        <w:t>64.</w:t>
      </w:r>
    </w:p>
    <w:p w:rsidR="0068074A" w:rsidRDefault="0025490C" w:rsidP="000A645D">
      <w:pPr>
        <w:pStyle w:val="References"/>
      </w:pPr>
      <w:r w:rsidRPr="00E07B1B">
        <w:t xml:space="preserve">SIGN. 2010. </w:t>
      </w:r>
      <w:r w:rsidRPr="00E07B1B">
        <w:rPr>
          <w:i/>
          <w:iCs/>
        </w:rPr>
        <w:t>Management of Diabetes: A national clinical guideline</w:t>
      </w:r>
      <w:r w:rsidRPr="00E07B1B">
        <w:t>.</w:t>
      </w:r>
      <w:r w:rsidRPr="00895944">
        <w:t xml:space="preserve"> </w:t>
      </w:r>
      <w:r w:rsidRPr="00E07B1B">
        <w:t>Edinburgh</w:t>
      </w:r>
      <w:r>
        <w:t>:</w:t>
      </w:r>
      <w:r w:rsidRPr="00E07B1B">
        <w:t xml:space="preserve"> Scottish Intercollegiate Guideline</w:t>
      </w:r>
      <w:r>
        <w:t>s</w:t>
      </w:r>
      <w:r w:rsidRPr="00E07B1B">
        <w:t xml:space="preserve"> Network.</w:t>
      </w:r>
    </w:p>
    <w:p w:rsidR="0068074A" w:rsidRDefault="0025490C" w:rsidP="000A645D">
      <w:pPr>
        <w:pStyle w:val="References"/>
      </w:pPr>
      <w:r w:rsidRPr="00E07B1B">
        <w:t xml:space="preserve">Simmons D, Rowan J, Reid R, </w:t>
      </w:r>
      <w:r w:rsidR="00D562F2">
        <w:t>et al</w:t>
      </w:r>
      <w:r w:rsidRPr="00E07B1B">
        <w:t xml:space="preserve">. 2008. Screening, diagnosis and services for women with gestational diabetes mellitus (GDM) in New Zealand: </w:t>
      </w:r>
      <w:r>
        <w:t>a</w:t>
      </w:r>
      <w:r w:rsidRPr="00E07B1B">
        <w:t xml:space="preserve"> technical report from the National GDM Technical Working Party. </w:t>
      </w:r>
      <w:r w:rsidRPr="00E07B1B">
        <w:rPr>
          <w:i/>
          <w:iCs/>
        </w:rPr>
        <w:t xml:space="preserve">New Zealand Medical Journal </w:t>
      </w:r>
      <w:r w:rsidRPr="000E582B">
        <w:t>121</w:t>
      </w:r>
      <w:r w:rsidRPr="00895944">
        <w:t>(1</w:t>
      </w:r>
      <w:r w:rsidRPr="00E07B1B">
        <w:t>270).</w:t>
      </w:r>
    </w:p>
    <w:p w:rsidR="0068074A" w:rsidRDefault="0025490C" w:rsidP="000A645D">
      <w:pPr>
        <w:pStyle w:val="References"/>
      </w:pPr>
      <w:r w:rsidRPr="00E07B1B">
        <w:t xml:space="preserve">Simmons D, Thompson C, Engelgau M. 2004. Controlling the diabetes epidemic: how should we screen for undiagnosed diabetes and dysglycaemia? </w:t>
      </w:r>
      <w:r w:rsidRPr="00E07B1B">
        <w:rPr>
          <w:i/>
          <w:iCs/>
        </w:rPr>
        <w:t>Diabetic Medicine</w:t>
      </w:r>
      <w:r w:rsidRPr="000E582B">
        <w:t xml:space="preserve"> 22</w:t>
      </w:r>
      <w:r w:rsidRPr="00895944">
        <w:t>:</w:t>
      </w:r>
      <w:r w:rsidRPr="00E07B1B">
        <w:t xml:space="preserve"> 207</w:t>
      </w:r>
      <w:r>
        <w:t>–</w:t>
      </w:r>
      <w:r w:rsidRPr="00E07B1B">
        <w:t>12.</w:t>
      </w:r>
    </w:p>
    <w:p w:rsidR="0068074A" w:rsidRDefault="0025490C" w:rsidP="000A645D">
      <w:pPr>
        <w:pStyle w:val="References"/>
      </w:pPr>
      <w:r w:rsidRPr="00E07B1B">
        <w:t>Simmon</w:t>
      </w:r>
      <w:r>
        <w:t>s</w:t>
      </w:r>
      <w:r w:rsidRPr="00E07B1B">
        <w:t xml:space="preserve"> R, Echouffo-Tcheugui J, Sharp S, </w:t>
      </w:r>
      <w:r w:rsidR="00D562F2">
        <w:t>et al</w:t>
      </w:r>
      <w:r w:rsidRPr="00E07B1B">
        <w:t>. 2012. Screening for type 2 diabetes and population mortality over 10 years (ADDITION</w:t>
      </w:r>
      <w:r>
        <w:t>–</w:t>
      </w:r>
      <w:r w:rsidRPr="00E07B1B">
        <w:t xml:space="preserve">Cambridge): a cluster randomized controlled trial. </w:t>
      </w:r>
      <w:r w:rsidRPr="00E07B1B">
        <w:rPr>
          <w:i/>
          <w:iCs/>
        </w:rPr>
        <w:t xml:space="preserve">Lancet </w:t>
      </w:r>
      <w:r w:rsidRPr="005B055B">
        <w:t>380</w:t>
      </w:r>
      <w:r w:rsidRPr="00E07B1B">
        <w:t>(9855): 1741</w:t>
      </w:r>
      <w:r>
        <w:t>–</w:t>
      </w:r>
      <w:r w:rsidRPr="00E07B1B">
        <w:t>8.</w:t>
      </w:r>
    </w:p>
    <w:p w:rsidR="0025490C" w:rsidRPr="00E07B1B" w:rsidRDefault="0025490C" w:rsidP="000A645D">
      <w:pPr>
        <w:pStyle w:val="References"/>
      </w:pPr>
      <w:r w:rsidRPr="00E07B1B">
        <w:t xml:space="preserve">Singh J, Huang C-C, Driggers RW, </w:t>
      </w:r>
      <w:r w:rsidR="00D562F2">
        <w:t>et al</w:t>
      </w:r>
      <w:r w:rsidRPr="00E07B1B">
        <w:t xml:space="preserve">. 2012. The impact of pre-pregnancy body mass index on the risk of gestational diabetes. </w:t>
      </w:r>
      <w:r w:rsidRPr="00E07B1B">
        <w:rPr>
          <w:i/>
          <w:iCs/>
        </w:rPr>
        <w:t xml:space="preserve">Journal of Maternal-Fetal &amp; Neonatal Medicine </w:t>
      </w:r>
      <w:r w:rsidRPr="000E582B">
        <w:t>25</w:t>
      </w:r>
      <w:r w:rsidRPr="002D4EEF">
        <w:t>(</w:t>
      </w:r>
      <w:r w:rsidRPr="00E07B1B">
        <w:t>1)</w:t>
      </w:r>
      <w:r>
        <w:t>:</w:t>
      </w:r>
      <w:r w:rsidRPr="00E07B1B">
        <w:t xml:space="preserve"> 5</w:t>
      </w:r>
      <w:r>
        <w:t>–</w:t>
      </w:r>
      <w:r w:rsidRPr="00E07B1B">
        <w:t>10.</w:t>
      </w:r>
    </w:p>
    <w:p w:rsidR="0068074A" w:rsidRDefault="0025490C" w:rsidP="000A645D">
      <w:pPr>
        <w:pStyle w:val="References"/>
      </w:pPr>
      <w:r w:rsidRPr="00E07B1B">
        <w:t xml:space="preserve">Smith BJ, Cheung NW, Bauman AE, </w:t>
      </w:r>
      <w:r w:rsidR="00D562F2">
        <w:t>et al</w:t>
      </w:r>
      <w:r w:rsidRPr="00E07B1B">
        <w:t xml:space="preserve"> 2005. Postpartum physical activity and related psychosocial factors among women with recent gestational diabetes mellitus. </w:t>
      </w:r>
      <w:r w:rsidRPr="00E07B1B">
        <w:rPr>
          <w:i/>
          <w:iCs/>
        </w:rPr>
        <w:t xml:space="preserve">Diabetes Care </w:t>
      </w:r>
      <w:r w:rsidRPr="000E582B">
        <w:t>28</w:t>
      </w:r>
      <w:r w:rsidRPr="00E07B1B">
        <w:t>(11):</w:t>
      </w:r>
      <w:r w:rsidR="00D07674">
        <w:t> </w:t>
      </w:r>
      <w:r w:rsidRPr="00E07B1B">
        <w:t>2650</w:t>
      </w:r>
      <w:r>
        <w:t>–</w:t>
      </w:r>
      <w:r w:rsidRPr="00E07B1B">
        <w:t>4.</w:t>
      </w:r>
    </w:p>
    <w:p w:rsidR="0025490C" w:rsidRPr="009712F2" w:rsidRDefault="0025490C" w:rsidP="000A645D">
      <w:pPr>
        <w:pStyle w:val="References"/>
      </w:pPr>
      <w:r>
        <w:rPr>
          <w:lang w:eastAsia="en-NZ"/>
        </w:rPr>
        <w:t>Somani BL</w:t>
      </w:r>
      <w:r w:rsidRPr="009712F2">
        <w:rPr>
          <w:lang w:eastAsia="en-NZ"/>
        </w:rPr>
        <w:t>, Arora</w:t>
      </w:r>
      <w:r>
        <w:rPr>
          <w:lang w:eastAsia="en-NZ"/>
        </w:rPr>
        <w:t xml:space="preserve"> MM</w:t>
      </w:r>
      <w:r w:rsidRPr="009712F2">
        <w:rPr>
          <w:lang w:eastAsia="en-NZ"/>
        </w:rPr>
        <w:t>, Bhatia</w:t>
      </w:r>
      <w:r>
        <w:rPr>
          <w:lang w:eastAsia="en-NZ"/>
        </w:rPr>
        <w:t xml:space="preserve"> K</w:t>
      </w:r>
      <w:r w:rsidRPr="009712F2">
        <w:rPr>
          <w:lang w:eastAsia="en-NZ"/>
        </w:rPr>
        <w:t>,</w:t>
      </w:r>
      <w:r>
        <w:rPr>
          <w:lang w:eastAsia="en-NZ"/>
        </w:rPr>
        <w:t xml:space="preserve"> </w:t>
      </w:r>
      <w:r w:rsidR="00D562F2">
        <w:rPr>
          <w:lang w:eastAsia="en-NZ"/>
        </w:rPr>
        <w:t>et al</w:t>
      </w:r>
      <w:r>
        <w:rPr>
          <w:lang w:eastAsia="en-NZ"/>
        </w:rPr>
        <w:t xml:space="preserve">. 2011. </w:t>
      </w:r>
      <w:r w:rsidRPr="009712F2">
        <w:rPr>
          <w:lang w:eastAsia="en-NZ"/>
        </w:rPr>
        <w:t>A comparative study of the different diagnostic criteria of gestational diabe</w:t>
      </w:r>
      <w:r>
        <w:rPr>
          <w:lang w:eastAsia="en-NZ"/>
        </w:rPr>
        <w:t>tes mellitus and its incidence.</w:t>
      </w:r>
      <w:r w:rsidRPr="009712F2">
        <w:rPr>
          <w:lang w:eastAsia="en-NZ"/>
        </w:rPr>
        <w:t xml:space="preserve"> </w:t>
      </w:r>
      <w:r w:rsidRPr="009712F2">
        <w:rPr>
          <w:i/>
          <w:lang w:eastAsia="en-NZ"/>
        </w:rPr>
        <w:t>Medical Journal Armed Forces India</w:t>
      </w:r>
      <w:r w:rsidRPr="009712F2">
        <w:rPr>
          <w:lang w:eastAsia="en-NZ"/>
        </w:rPr>
        <w:t xml:space="preserve"> </w:t>
      </w:r>
      <w:r w:rsidRPr="009712F2">
        <w:rPr>
          <w:bCs/>
          <w:lang w:eastAsia="en-NZ"/>
        </w:rPr>
        <w:t>68</w:t>
      </w:r>
      <w:r w:rsidRPr="009712F2">
        <w:rPr>
          <w:lang w:eastAsia="en-NZ"/>
        </w:rPr>
        <w:t>(1): 6</w:t>
      </w:r>
      <w:r w:rsidR="00D07674">
        <w:rPr>
          <w:lang w:eastAsia="en-NZ"/>
        </w:rPr>
        <w:t>–</w:t>
      </w:r>
      <w:r w:rsidRPr="009712F2">
        <w:rPr>
          <w:lang w:eastAsia="en-NZ"/>
        </w:rPr>
        <w:t>11.</w:t>
      </w:r>
    </w:p>
    <w:p w:rsidR="0025490C" w:rsidRPr="00E07B1B" w:rsidRDefault="0025490C" w:rsidP="000A645D">
      <w:pPr>
        <w:pStyle w:val="References"/>
      </w:pPr>
      <w:r w:rsidRPr="00E07B1B">
        <w:t>Spaulonc</w:t>
      </w:r>
      <w:r>
        <w:t>i</w:t>
      </w:r>
      <w:r w:rsidRPr="00E07B1B">
        <w:t xml:space="preserve"> CP, Bernardes LS, Trindade TC, </w:t>
      </w:r>
      <w:r w:rsidR="00D562F2">
        <w:t>et al</w:t>
      </w:r>
      <w:r w:rsidRPr="00E07B1B">
        <w:t xml:space="preserve">. 2013. Randomized trial of metformin versus insulin in the management of gestational diabetes. </w:t>
      </w:r>
      <w:r w:rsidRPr="00E07B1B">
        <w:rPr>
          <w:i/>
          <w:iCs/>
        </w:rPr>
        <w:t>American</w:t>
      </w:r>
      <w:r>
        <w:rPr>
          <w:i/>
          <w:iCs/>
        </w:rPr>
        <w:t xml:space="preserve"> </w:t>
      </w:r>
      <w:r w:rsidRPr="00E07B1B">
        <w:rPr>
          <w:i/>
          <w:iCs/>
        </w:rPr>
        <w:t xml:space="preserve">Journal of Obstetrics </w:t>
      </w:r>
      <w:r>
        <w:rPr>
          <w:i/>
          <w:iCs/>
        </w:rPr>
        <w:t>&amp;</w:t>
      </w:r>
      <w:r w:rsidRPr="00E07B1B">
        <w:rPr>
          <w:i/>
          <w:iCs/>
        </w:rPr>
        <w:t xml:space="preserve"> Gynecology</w:t>
      </w:r>
      <w:r>
        <w:rPr>
          <w:i/>
          <w:iCs/>
        </w:rPr>
        <w:t>.</w:t>
      </w:r>
      <w:r w:rsidRPr="00E07B1B">
        <w:rPr>
          <w:i/>
          <w:iCs/>
        </w:rPr>
        <w:t xml:space="preserve"> </w:t>
      </w:r>
      <w:r w:rsidRPr="00E07B1B">
        <w:t>DOI:</w:t>
      </w:r>
      <w:r w:rsidR="00D07674">
        <w:t> </w:t>
      </w:r>
      <w:r w:rsidRPr="00E07B1B">
        <w:t>10.1016/j.ajog.2013.03.022</w:t>
      </w:r>
      <w:r w:rsidR="00D07674">
        <w:t>.</w:t>
      </w:r>
    </w:p>
    <w:p w:rsidR="0068074A" w:rsidRDefault="0025490C" w:rsidP="000A645D">
      <w:pPr>
        <w:pStyle w:val="References"/>
      </w:pPr>
      <w:r w:rsidRPr="00E07B1B">
        <w:t xml:space="preserve">Stasenko M, Liddell J, Cheng YW, </w:t>
      </w:r>
      <w:r w:rsidR="00D562F2">
        <w:t>et al</w:t>
      </w:r>
      <w:r w:rsidRPr="00E07B1B">
        <w:t xml:space="preserve">. 2011. Patient counseling increases postpartum follow-up in women with gestational diabetes mellitus. </w:t>
      </w:r>
      <w:r w:rsidRPr="00E07B1B">
        <w:rPr>
          <w:i/>
          <w:iCs/>
        </w:rPr>
        <w:t>American Journal of Obstetrics &amp; Gynecology</w:t>
      </w:r>
      <w:r w:rsidRPr="000E582B">
        <w:t xml:space="preserve"> 204</w:t>
      </w:r>
      <w:r w:rsidRPr="00E07B1B">
        <w:t>(6):</w:t>
      </w:r>
      <w:r w:rsidR="00D07674">
        <w:t> </w:t>
      </w:r>
      <w:r w:rsidRPr="00E07B1B">
        <w:t>522.e521</w:t>
      </w:r>
      <w:r>
        <w:t>–</w:t>
      </w:r>
      <w:r w:rsidRPr="00E07B1B">
        <w:t>26.</w:t>
      </w:r>
    </w:p>
    <w:p w:rsidR="0068074A" w:rsidRDefault="0025490C" w:rsidP="000A645D">
      <w:pPr>
        <w:pStyle w:val="References"/>
      </w:pPr>
      <w:r w:rsidRPr="00E07B1B">
        <w:t xml:space="preserve">Sterne V, Logan T, Palmer M. 2011. Factors affecting attendance at postpartum diabetes screening in women with gestational diabetes mellitus. </w:t>
      </w:r>
      <w:r w:rsidRPr="00E07B1B">
        <w:rPr>
          <w:i/>
          <w:iCs/>
        </w:rPr>
        <w:t xml:space="preserve">Practical Diabetes International </w:t>
      </w:r>
      <w:r w:rsidRPr="000E582B">
        <w:t>28</w:t>
      </w:r>
      <w:r w:rsidRPr="002D4EEF">
        <w:t>(2</w:t>
      </w:r>
      <w:r w:rsidRPr="00E07B1B">
        <w:t>)</w:t>
      </w:r>
      <w:r>
        <w:t>:</w:t>
      </w:r>
      <w:r w:rsidRPr="00E07B1B">
        <w:t xml:space="preserve"> 64</w:t>
      </w:r>
      <w:r>
        <w:t>–</w:t>
      </w:r>
      <w:r w:rsidRPr="00E07B1B">
        <w:t>8.</w:t>
      </w:r>
    </w:p>
    <w:p w:rsidR="0068074A" w:rsidRDefault="0025490C" w:rsidP="000A645D">
      <w:pPr>
        <w:pStyle w:val="References"/>
      </w:pPr>
      <w:r w:rsidRPr="00E07B1B">
        <w:t xml:space="preserve">Stuebe A, Ecker J, Bates D, </w:t>
      </w:r>
      <w:r w:rsidR="00D562F2">
        <w:t>et al</w:t>
      </w:r>
      <w:r w:rsidRPr="00E07B1B">
        <w:t xml:space="preserve">. 2010. Barriers to follow-up for women with a history of gestational diabetes. </w:t>
      </w:r>
      <w:r w:rsidRPr="00E07B1B">
        <w:rPr>
          <w:i/>
          <w:iCs/>
        </w:rPr>
        <w:t>American Journal of Perinatology</w:t>
      </w:r>
      <w:r w:rsidRPr="000E582B">
        <w:t xml:space="preserve"> 27</w:t>
      </w:r>
      <w:r w:rsidRPr="00E07B1B">
        <w:t>(9)</w:t>
      </w:r>
      <w:r>
        <w:t>:</w:t>
      </w:r>
      <w:r w:rsidRPr="00E07B1B">
        <w:t xml:space="preserve"> 705</w:t>
      </w:r>
      <w:r>
        <w:t>–</w:t>
      </w:r>
      <w:r w:rsidRPr="00E07B1B">
        <w:t>10.</w:t>
      </w:r>
    </w:p>
    <w:p w:rsidR="0025490C" w:rsidRPr="00E07B1B" w:rsidRDefault="0025490C" w:rsidP="000A645D">
      <w:pPr>
        <w:pStyle w:val="References"/>
      </w:pPr>
      <w:r w:rsidRPr="00E07B1B">
        <w:t xml:space="preserve">Teede HJ, Harrison CL, Teh WT, </w:t>
      </w:r>
      <w:r w:rsidR="00D562F2">
        <w:t>et al</w:t>
      </w:r>
      <w:r w:rsidRPr="00E07B1B">
        <w:t xml:space="preserve">. 2011. Gestational diabetes: development of an early risk prediction tool to facilitate opportunities for prevention. </w:t>
      </w:r>
      <w:r w:rsidRPr="00E07B1B">
        <w:rPr>
          <w:i/>
          <w:iCs/>
        </w:rPr>
        <w:t xml:space="preserve">Australian </w:t>
      </w:r>
      <w:r>
        <w:rPr>
          <w:i/>
          <w:iCs/>
        </w:rPr>
        <w:t>and</w:t>
      </w:r>
      <w:r w:rsidRPr="00E07B1B">
        <w:rPr>
          <w:i/>
          <w:iCs/>
        </w:rPr>
        <w:t xml:space="preserve"> New Zealand Journal of Obstetrics </w:t>
      </w:r>
      <w:r>
        <w:rPr>
          <w:i/>
          <w:iCs/>
        </w:rPr>
        <w:t>and</w:t>
      </w:r>
      <w:r w:rsidRPr="00E07B1B">
        <w:rPr>
          <w:i/>
          <w:iCs/>
        </w:rPr>
        <w:t xml:space="preserve"> Gynaecology </w:t>
      </w:r>
      <w:r w:rsidRPr="000E582B">
        <w:t>51</w:t>
      </w:r>
      <w:r w:rsidRPr="002D4EEF">
        <w:t>(</w:t>
      </w:r>
      <w:r w:rsidRPr="00E07B1B">
        <w:t>6)</w:t>
      </w:r>
      <w:r>
        <w:t>:</w:t>
      </w:r>
      <w:r w:rsidRPr="00E07B1B">
        <w:t xml:space="preserve"> 499</w:t>
      </w:r>
      <w:r>
        <w:t>–</w:t>
      </w:r>
      <w:r w:rsidRPr="00E07B1B">
        <w:t>504.</w:t>
      </w:r>
    </w:p>
    <w:p w:rsidR="0025490C" w:rsidRPr="00E07B1B" w:rsidRDefault="0025490C" w:rsidP="000A645D">
      <w:pPr>
        <w:pStyle w:val="References"/>
      </w:pPr>
      <w:r w:rsidRPr="00E07B1B">
        <w:t xml:space="preserve">Teh WT, Teede HJ, Paul E, </w:t>
      </w:r>
      <w:r w:rsidR="00D562F2">
        <w:t>et al</w:t>
      </w:r>
      <w:r w:rsidRPr="00E07B1B">
        <w:t xml:space="preserve">. 2011. Risk factors for gestational diabetes mellitus: implications for the application of screening guidelines. </w:t>
      </w:r>
      <w:r w:rsidRPr="00E07B1B">
        <w:rPr>
          <w:i/>
          <w:iCs/>
        </w:rPr>
        <w:t xml:space="preserve">Australian </w:t>
      </w:r>
      <w:r>
        <w:rPr>
          <w:i/>
          <w:iCs/>
        </w:rPr>
        <w:t>and</w:t>
      </w:r>
      <w:r w:rsidRPr="00E07B1B">
        <w:rPr>
          <w:i/>
          <w:iCs/>
        </w:rPr>
        <w:t xml:space="preserve"> New Zealand Journal of Obstetrics </w:t>
      </w:r>
      <w:r>
        <w:rPr>
          <w:i/>
          <w:iCs/>
        </w:rPr>
        <w:t>and</w:t>
      </w:r>
      <w:r w:rsidRPr="00E07B1B">
        <w:rPr>
          <w:i/>
          <w:iCs/>
        </w:rPr>
        <w:t xml:space="preserve"> Gynaecology </w:t>
      </w:r>
      <w:r w:rsidRPr="00E07B1B">
        <w:rPr>
          <w:iCs/>
        </w:rPr>
        <w:t>51</w:t>
      </w:r>
      <w:r w:rsidRPr="00E07B1B">
        <w:t>(1): 26</w:t>
      </w:r>
      <w:r>
        <w:t>–</w:t>
      </w:r>
      <w:r w:rsidRPr="00E07B1B">
        <w:t>30.</w:t>
      </w:r>
    </w:p>
    <w:p w:rsidR="0068074A" w:rsidRDefault="0025490C" w:rsidP="000A645D">
      <w:pPr>
        <w:pStyle w:val="References"/>
      </w:pPr>
      <w:r w:rsidRPr="00E07B1B">
        <w:t xml:space="preserve">Tehrani FR, Hashemi S, Hasheminia M, </w:t>
      </w:r>
      <w:r w:rsidR="00D562F2">
        <w:t>et al</w:t>
      </w:r>
      <w:r w:rsidRPr="00E07B1B">
        <w:t xml:space="preserve">. 2012. Follow-up of women with gestational diabetes in the Tehran Lipid and Glucose Study (TLGS): </w:t>
      </w:r>
      <w:r>
        <w:t>a</w:t>
      </w:r>
      <w:r w:rsidRPr="00E07B1B">
        <w:t xml:space="preserve"> population-based cohort study. </w:t>
      </w:r>
      <w:r w:rsidRPr="00E07B1B">
        <w:rPr>
          <w:i/>
          <w:iCs/>
        </w:rPr>
        <w:t>Journal of Obstetrics and Gynaecology Research</w:t>
      </w:r>
      <w:r w:rsidRPr="000E582B">
        <w:t xml:space="preserve"> 38(4)</w:t>
      </w:r>
      <w:r w:rsidRPr="002D4EEF">
        <w:t>:</w:t>
      </w:r>
      <w:r w:rsidRPr="00E07B1B">
        <w:t xml:space="preserve"> 698</w:t>
      </w:r>
      <w:r>
        <w:t>–7</w:t>
      </w:r>
      <w:r w:rsidRPr="00E07B1B">
        <w:t>04.</w:t>
      </w:r>
    </w:p>
    <w:p w:rsidR="0068074A" w:rsidRDefault="0025490C" w:rsidP="000A645D">
      <w:pPr>
        <w:pStyle w:val="References"/>
      </w:pPr>
      <w:r w:rsidRPr="00E07B1B">
        <w:t xml:space="preserve">Thangaratinam S, Rogozinska E, Jolly K, </w:t>
      </w:r>
      <w:r w:rsidR="00D562F2">
        <w:t>et al</w:t>
      </w:r>
      <w:r w:rsidRPr="00E07B1B">
        <w:t xml:space="preserve">. 2012. Interventions to reduce or prevent obesity in pregnant women: </w:t>
      </w:r>
      <w:r>
        <w:t>a</w:t>
      </w:r>
      <w:r w:rsidRPr="00E07B1B">
        <w:t xml:space="preserve"> systematic review. </w:t>
      </w:r>
      <w:r w:rsidRPr="00E07B1B">
        <w:rPr>
          <w:i/>
          <w:iCs/>
        </w:rPr>
        <w:t>Health Technology Assessment</w:t>
      </w:r>
      <w:r w:rsidRPr="000E582B">
        <w:t xml:space="preserve"> 16</w:t>
      </w:r>
      <w:r w:rsidRPr="002D4EEF">
        <w:t>(</w:t>
      </w:r>
      <w:r w:rsidRPr="00E07B1B">
        <w:t>31): 1</w:t>
      </w:r>
      <w:r>
        <w:t>–</w:t>
      </w:r>
      <w:r w:rsidRPr="00E07B1B">
        <w:t>191.</w:t>
      </w:r>
    </w:p>
    <w:p w:rsidR="0068074A" w:rsidRDefault="0025490C" w:rsidP="000A645D">
      <w:pPr>
        <w:pStyle w:val="References"/>
      </w:pPr>
      <w:r w:rsidRPr="00E07B1B">
        <w:t xml:space="preserve">The HAPO Study Cooperative Research Group. 2008. Hyperglycaemia and adverse pregnancy outcomes. </w:t>
      </w:r>
      <w:r w:rsidRPr="00E07B1B">
        <w:rPr>
          <w:i/>
          <w:iCs/>
        </w:rPr>
        <w:t xml:space="preserve">New England Journal of Medicine </w:t>
      </w:r>
      <w:r w:rsidRPr="000E582B">
        <w:t>358</w:t>
      </w:r>
      <w:r w:rsidRPr="002D4EEF">
        <w:t>(19</w:t>
      </w:r>
      <w:r w:rsidRPr="00E07B1B">
        <w:t>): 1991</w:t>
      </w:r>
      <w:r>
        <w:t>–</w:t>
      </w:r>
      <w:r w:rsidRPr="00E07B1B">
        <w:t>2002.</w:t>
      </w:r>
    </w:p>
    <w:p w:rsidR="0025490C" w:rsidRPr="00E07B1B" w:rsidRDefault="0025490C" w:rsidP="000A645D">
      <w:pPr>
        <w:pStyle w:val="References"/>
      </w:pPr>
      <w:r w:rsidRPr="00D07674">
        <w:rPr>
          <w:i/>
        </w:rPr>
        <w:t>The New Zealand Physical Activity Guidelines – Hillary Commission 2001</w:t>
      </w:r>
      <w:r>
        <w:t xml:space="preserve">. </w:t>
      </w:r>
      <w:r w:rsidR="00D07674">
        <w:t xml:space="preserve">Wellington: </w:t>
      </w:r>
      <w:r>
        <w:t>Ministry of Health.</w:t>
      </w:r>
    </w:p>
    <w:p w:rsidR="0025490C" w:rsidRPr="00E07B1B" w:rsidRDefault="0025490C" w:rsidP="000A645D">
      <w:pPr>
        <w:pStyle w:val="References"/>
        <w:rPr>
          <w:color w:val="000000"/>
        </w:rPr>
      </w:pPr>
      <w:r w:rsidRPr="00E07B1B">
        <w:rPr>
          <w:noProof/>
        </w:rPr>
        <w:t xml:space="preserve">Tieu J, Crowther CA, Middleton P. 2008. Dietary advice in pregnancy for preventing gestational diabetes mellitus. </w:t>
      </w:r>
      <w:r w:rsidRPr="00E07B1B">
        <w:rPr>
          <w:i/>
          <w:noProof/>
        </w:rPr>
        <w:t>Cochrane Database of Systematic Reviews,</w:t>
      </w:r>
      <w:r>
        <w:rPr>
          <w:i/>
          <w:noProof/>
        </w:rPr>
        <w:t xml:space="preserve"> </w:t>
      </w:r>
      <w:r w:rsidRPr="00E07B1B">
        <w:rPr>
          <w:color w:val="000000"/>
        </w:rPr>
        <w:t>Issue 2. Art. no.: CD006674. DOI: 10.1002/14651858.CD006674.pub2</w:t>
      </w:r>
      <w:r w:rsidR="00D07674">
        <w:rPr>
          <w:color w:val="000000"/>
        </w:rPr>
        <w:t>.</w:t>
      </w:r>
    </w:p>
    <w:p w:rsidR="0025490C" w:rsidRPr="00E07B1B" w:rsidRDefault="0025490C" w:rsidP="000A645D">
      <w:pPr>
        <w:pStyle w:val="References"/>
      </w:pPr>
      <w:r w:rsidRPr="00E07B1B">
        <w:t xml:space="preserve">Tieu J, Coat S, Hague W, </w:t>
      </w:r>
      <w:r w:rsidR="00D562F2">
        <w:t>et al</w:t>
      </w:r>
      <w:r w:rsidRPr="00E07B1B">
        <w:t>. 2010</w:t>
      </w:r>
      <w:r>
        <w:t>a</w:t>
      </w:r>
      <w:r w:rsidRPr="00E07B1B">
        <w:t xml:space="preserve">. Oral anti-diabetic agents for women with pre-existing diabetes mellitus/impaired glucose tolerance or previous gestational diabetes mellitus. </w:t>
      </w:r>
      <w:r w:rsidRPr="00E07B1B">
        <w:rPr>
          <w:i/>
          <w:iCs/>
        </w:rPr>
        <w:t>Cochrane Database of Systematic Reviews</w:t>
      </w:r>
      <w:r>
        <w:rPr>
          <w:i/>
          <w:iCs/>
        </w:rPr>
        <w:t xml:space="preserve"> </w:t>
      </w:r>
      <w:r>
        <w:t xml:space="preserve">(Issue 10). </w:t>
      </w:r>
      <w:r w:rsidRPr="00E07B1B">
        <w:t xml:space="preserve">Art. no.: CD007724. DOI: </w:t>
      </w:r>
      <w:r>
        <w:t>10.1002/14651858.CD007724.pub2</w:t>
      </w:r>
      <w:r w:rsidR="00D07674">
        <w:t>.</w:t>
      </w:r>
    </w:p>
    <w:p w:rsidR="0025490C" w:rsidRPr="00E07B1B" w:rsidRDefault="0025490C" w:rsidP="000A645D">
      <w:pPr>
        <w:pStyle w:val="References"/>
      </w:pPr>
      <w:r w:rsidRPr="00E07B1B">
        <w:t xml:space="preserve">Tieu J, Middleton P, McPhee AJ, </w:t>
      </w:r>
      <w:r w:rsidR="00D562F2">
        <w:t>et al</w:t>
      </w:r>
      <w:r w:rsidR="00D07674">
        <w:t>.</w:t>
      </w:r>
      <w:r w:rsidRPr="00E07B1B">
        <w:t xml:space="preserve"> 2010</w:t>
      </w:r>
      <w:r>
        <w:t>b</w:t>
      </w:r>
      <w:r w:rsidRPr="00E07B1B">
        <w:t xml:space="preserve">. Screening and subsequent management for gestational diabetes for improving maternal and infant health. </w:t>
      </w:r>
      <w:r w:rsidRPr="00E07B1B">
        <w:rPr>
          <w:i/>
          <w:iCs/>
        </w:rPr>
        <w:t>Cochrane Database of Systematic Reviews</w:t>
      </w:r>
      <w:r w:rsidRPr="00E07B1B">
        <w:t>. DOI:</w:t>
      </w:r>
      <w:r>
        <w:t xml:space="preserve"> </w:t>
      </w:r>
      <w:r w:rsidRPr="00E07B1B">
        <w:t>http://dx.doi.org/10.1002/14651858.CD007222.pub2</w:t>
      </w:r>
      <w:r w:rsidR="00D07674">
        <w:t>.</w:t>
      </w:r>
    </w:p>
    <w:p w:rsidR="0068074A" w:rsidRDefault="0025490C" w:rsidP="000A645D">
      <w:pPr>
        <w:pStyle w:val="References"/>
      </w:pPr>
      <w:r w:rsidRPr="00E07B1B">
        <w:t xml:space="preserve">Torloni MR, Betran AP, Horta BL, </w:t>
      </w:r>
      <w:r w:rsidR="00D562F2">
        <w:t>et al</w:t>
      </w:r>
      <w:r w:rsidRPr="00E07B1B">
        <w:t xml:space="preserve">. 2009. Prepregnancy BMI and the risk of gestational diabetes: </w:t>
      </w:r>
      <w:r>
        <w:t>a</w:t>
      </w:r>
      <w:r w:rsidRPr="00E07B1B">
        <w:t xml:space="preserve"> systematic review of the literature with meta-analysis: diagnostic in obesity and complications. </w:t>
      </w:r>
      <w:r w:rsidRPr="00E07B1B">
        <w:rPr>
          <w:i/>
          <w:iCs/>
        </w:rPr>
        <w:t>Obesity Reviews</w:t>
      </w:r>
      <w:r w:rsidRPr="000E582B">
        <w:t xml:space="preserve"> 10(2)</w:t>
      </w:r>
      <w:r>
        <w:t>:</w:t>
      </w:r>
      <w:r w:rsidRPr="00E07B1B">
        <w:t xml:space="preserve"> 194</w:t>
      </w:r>
      <w:r>
        <w:t>–</w:t>
      </w:r>
      <w:r w:rsidRPr="00E07B1B">
        <w:t>203.</w:t>
      </w:r>
    </w:p>
    <w:p w:rsidR="0068074A" w:rsidRDefault="0025490C" w:rsidP="000A645D">
      <w:pPr>
        <w:pStyle w:val="References"/>
      </w:pPr>
      <w:r w:rsidRPr="00E07B1B">
        <w:t xml:space="preserve">Toulis KA, Goulis DG, Kolibianakis EM, </w:t>
      </w:r>
      <w:r w:rsidR="00D562F2">
        <w:t>et al</w:t>
      </w:r>
      <w:r w:rsidRPr="00E07B1B">
        <w:t xml:space="preserve">. 2009. Risk of gestational diabetes mellitus in women with polycystic ovary syndrome: a systematic review and a meta-analysis. </w:t>
      </w:r>
      <w:r w:rsidRPr="00E07B1B">
        <w:rPr>
          <w:i/>
          <w:iCs/>
        </w:rPr>
        <w:t xml:space="preserve">Fertility </w:t>
      </w:r>
      <w:r>
        <w:rPr>
          <w:i/>
          <w:iCs/>
        </w:rPr>
        <w:t>and</w:t>
      </w:r>
      <w:r w:rsidRPr="00E07B1B">
        <w:rPr>
          <w:i/>
          <w:iCs/>
        </w:rPr>
        <w:t xml:space="preserve"> Sterility</w:t>
      </w:r>
      <w:r w:rsidRPr="000E582B">
        <w:t xml:space="preserve"> 92</w:t>
      </w:r>
      <w:r w:rsidRPr="002D4EEF">
        <w:t>(</w:t>
      </w:r>
      <w:r w:rsidRPr="00E07B1B">
        <w:t>2)</w:t>
      </w:r>
      <w:r>
        <w:t>:</w:t>
      </w:r>
      <w:r w:rsidRPr="00E07B1B">
        <w:t xml:space="preserve"> 667</w:t>
      </w:r>
      <w:r>
        <w:t>–</w:t>
      </w:r>
      <w:r w:rsidRPr="00E07B1B">
        <w:t>77.</w:t>
      </w:r>
    </w:p>
    <w:p w:rsidR="0068074A" w:rsidRPr="00D07674" w:rsidRDefault="0025490C" w:rsidP="000A645D">
      <w:pPr>
        <w:pStyle w:val="References"/>
        <w:rPr>
          <w:spacing w:val="-2"/>
        </w:rPr>
      </w:pPr>
      <w:r w:rsidRPr="00E07B1B">
        <w:t xml:space="preserve">Vinter CA, Jensen DM, Ovesen P, </w:t>
      </w:r>
      <w:r w:rsidR="00D562F2">
        <w:t>et al</w:t>
      </w:r>
      <w:r w:rsidRPr="00E07B1B">
        <w:t xml:space="preserve">. 2011. The LiP (Lifestyle in Pregnancy) study: a randomized </w:t>
      </w:r>
      <w:r w:rsidRPr="00D07674">
        <w:rPr>
          <w:spacing w:val="-2"/>
        </w:rPr>
        <w:t xml:space="preserve">controlled trial of lifestyle intervention in 360 obese pregnant women. </w:t>
      </w:r>
      <w:r w:rsidRPr="00D07674">
        <w:rPr>
          <w:i/>
          <w:iCs/>
          <w:spacing w:val="-2"/>
        </w:rPr>
        <w:t xml:space="preserve">Diabetes Care </w:t>
      </w:r>
      <w:r w:rsidRPr="00D07674">
        <w:rPr>
          <w:spacing w:val="-2"/>
        </w:rPr>
        <w:t>34(12): 2502–7.</w:t>
      </w:r>
    </w:p>
    <w:p w:rsidR="0068074A" w:rsidRDefault="0025490C" w:rsidP="000A645D">
      <w:pPr>
        <w:pStyle w:val="References"/>
      </w:pPr>
      <w:r w:rsidRPr="00E07B1B">
        <w:t xml:space="preserve">Walsh JM, McGowan CA, Mahony R, </w:t>
      </w:r>
      <w:r w:rsidR="00D562F2">
        <w:t>et al</w:t>
      </w:r>
      <w:r w:rsidRPr="00E07B1B">
        <w:t>. 2012. Low glycaemic index diet in pregnancy to prevent macrosomia (ROLO study): randomised control trial.</w:t>
      </w:r>
      <w:r w:rsidRPr="00E07B1B">
        <w:rPr>
          <w:i/>
          <w:iCs/>
        </w:rPr>
        <w:t xml:space="preserve"> BMJ (Online)</w:t>
      </w:r>
      <w:r>
        <w:rPr>
          <w:i/>
          <w:iCs/>
        </w:rPr>
        <w:t xml:space="preserve"> </w:t>
      </w:r>
      <w:r w:rsidRPr="000E582B">
        <w:t>345</w:t>
      </w:r>
      <w:r w:rsidRPr="00B34B80">
        <w:t>(7</w:t>
      </w:r>
      <w:r w:rsidRPr="00E07B1B">
        <w:t>875): e5605.</w:t>
      </w:r>
    </w:p>
    <w:p w:rsidR="0068074A" w:rsidRDefault="0025490C" w:rsidP="000A645D">
      <w:pPr>
        <w:pStyle w:val="References"/>
      </w:pPr>
      <w:r w:rsidRPr="00E07B1B">
        <w:t xml:space="preserve">Wang Z, Kanguru L, Hussein J, </w:t>
      </w:r>
      <w:r w:rsidR="00D562F2">
        <w:t>et al</w:t>
      </w:r>
      <w:r w:rsidRPr="00E07B1B">
        <w:t xml:space="preserve">. 2013. Incidence of adverse outcomes associated with gestational diabetes mellitus in low- and middle-income countries. </w:t>
      </w:r>
      <w:r w:rsidRPr="00E07B1B">
        <w:rPr>
          <w:i/>
          <w:iCs/>
        </w:rPr>
        <w:t xml:space="preserve">International Journal of Gynecology and Obstetrics </w:t>
      </w:r>
      <w:r w:rsidRPr="00E07B1B">
        <w:rPr>
          <w:iCs/>
        </w:rPr>
        <w:t>121</w:t>
      </w:r>
      <w:r w:rsidRPr="00E07B1B">
        <w:t>: 14</w:t>
      </w:r>
      <w:r>
        <w:t>–</w:t>
      </w:r>
      <w:r w:rsidRPr="00E07B1B">
        <w:t>19.</w:t>
      </w:r>
    </w:p>
    <w:p w:rsidR="0068074A" w:rsidRDefault="0025490C" w:rsidP="000A645D">
      <w:pPr>
        <w:pStyle w:val="References"/>
      </w:pPr>
      <w:r w:rsidRPr="00E07B1B">
        <w:t xml:space="preserve">Waugh N, Royle P, Clar C, </w:t>
      </w:r>
      <w:r w:rsidR="00D562F2">
        <w:t>et al</w:t>
      </w:r>
      <w:r w:rsidRPr="00E07B1B">
        <w:t xml:space="preserve">. 2010. Screening for hyperglycaemia in pregnancy: </w:t>
      </w:r>
      <w:r>
        <w:t>a</w:t>
      </w:r>
      <w:r w:rsidRPr="00E07B1B">
        <w:t xml:space="preserve"> rapid update for the National Screening Committee. </w:t>
      </w:r>
      <w:r w:rsidRPr="00E07B1B">
        <w:rPr>
          <w:i/>
          <w:iCs/>
        </w:rPr>
        <w:t>Health Technology Assessment</w:t>
      </w:r>
      <w:r w:rsidRPr="000E582B">
        <w:t xml:space="preserve"> 14</w:t>
      </w:r>
      <w:r w:rsidRPr="00B34B80">
        <w:t>(4</w:t>
      </w:r>
      <w:r w:rsidRPr="00E07B1B">
        <w:t>5).</w:t>
      </w:r>
    </w:p>
    <w:p w:rsidR="0025490C" w:rsidRPr="00E07B1B" w:rsidRDefault="0025490C" w:rsidP="000A645D">
      <w:pPr>
        <w:pStyle w:val="References"/>
      </w:pPr>
      <w:r w:rsidRPr="00E07B1B">
        <w:t xml:space="preserve">Wen SW, Lin S, Kramer MS, </w:t>
      </w:r>
      <w:r w:rsidR="00D562F2">
        <w:t>et al</w:t>
      </w:r>
      <w:r w:rsidRPr="00E07B1B">
        <w:t xml:space="preserve">. 2000. Impact of prenatal glucose screening on the diagnosis of gestational diabetes and on pregnancy outcomes. </w:t>
      </w:r>
      <w:r w:rsidRPr="00E07B1B">
        <w:rPr>
          <w:i/>
          <w:iCs/>
        </w:rPr>
        <w:t>Am</w:t>
      </w:r>
      <w:r>
        <w:rPr>
          <w:i/>
          <w:iCs/>
        </w:rPr>
        <w:t>erican</w:t>
      </w:r>
      <w:r w:rsidRPr="00E07B1B">
        <w:rPr>
          <w:i/>
          <w:iCs/>
        </w:rPr>
        <w:t xml:space="preserve"> J</w:t>
      </w:r>
      <w:r>
        <w:rPr>
          <w:i/>
          <w:iCs/>
        </w:rPr>
        <w:t>ournal of</w:t>
      </w:r>
      <w:r w:rsidRPr="00E07B1B">
        <w:rPr>
          <w:i/>
          <w:iCs/>
        </w:rPr>
        <w:t xml:space="preserve"> Epidemiol</w:t>
      </w:r>
      <w:r>
        <w:rPr>
          <w:i/>
          <w:iCs/>
        </w:rPr>
        <w:t>ogy</w:t>
      </w:r>
      <w:r w:rsidR="00DF1211">
        <w:rPr>
          <w:iCs/>
        </w:rPr>
        <w:br/>
      </w:r>
      <w:r w:rsidRPr="000E582B">
        <w:t>152</w:t>
      </w:r>
      <w:r w:rsidRPr="00E07B1B">
        <w:t>(11)</w:t>
      </w:r>
      <w:r>
        <w:t>:</w:t>
      </w:r>
      <w:r w:rsidRPr="00E07B1B">
        <w:t xml:space="preserve"> 1009</w:t>
      </w:r>
      <w:r>
        <w:t>–</w:t>
      </w:r>
      <w:r w:rsidRPr="00E07B1B">
        <w:t>14.</w:t>
      </w:r>
    </w:p>
    <w:p w:rsidR="0068074A" w:rsidRDefault="0025490C" w:rsidP="000A645D">
      <w:pPr>
        <w:pStyle w:val="References"/>
      </w:pPr>
      <w:r w:rsidRPr="00E07B1B">
        <w:t xml:space="preserve">Wendland E, Torloni M, Falavigna M, </w:t>
      </w:r>
      <w:r w:rsidR="00D562F2">
        <w:t>et al</w:t>
      </w:r>
      <w:r w:rsidRPr="00E07B1B">
        <w:t>. 2012. Gestational diabetes and pregnancy outcomes</w:t>
      </w:r>
      <w:r>
        <w:t>:</w:t>
      </w:r>
      <w:r w:rsidRPr="00E07B1B">
        <w:t xml:space="preserve"> a systematic review of the World Health Organization (WHO) and the International Association of Diabetes </w:t>
      </w:r>
      <w:r>
        <w:t>and</w:t>
      </w:r>
      <w:r w:rsidRPr="00E07B1B">
        <w:t xml:space="preserve"> Pregnancy Study Groups (IADPSG) diagnostic criteria. </w:t>
      </w:r>
      <w:r w:rsidRPr="00E07B1B">
        <w:rPr>
          <w:i/>
          <w:iCs/>
        </w:rPr>
        <w:t xml:space="preserve">BMC Pregnancy and Childbirth </w:t>
      </w:r>
      <w:r w:rsidRPr="00E07B1B">
        <w:rPr>
          <w:iCs/>
        </w:rPr>
        <w:t>12</w:t>
      </w:r>
      <w:r w:rsidRPr="00E07B1B">
        <w:t>.</w:t>
      </w:r>
    </w:p>
    <w:p w:rsidR="0068074A" w:rsidRDefault="0025490C" w:rsidP="000A645D">
      <w:pPr>
        <w:pStyle w:val="References"/>
      </w:pPr>
      <w:r w:rsidRPr="00E07B1B">
        <w:t xml:space="preserve">Wensel T. 2009. Role of metformin in the treatment of gestational diabetes. </w:t>
      </w:r>
      <w:r w:rsidRPr="00E07B1B">
        <w:rPr>
          <w:i/>
          <w:iCs/>
        </w:rPr>
        <w:t>Annals of Pharmacotherapy</w:t>
      </w:r>
      <w:r w:rsidRPr="000E582B">
        <w:t xml:space="preserve"> 43</w:t>
      </w:r>
      <w:r w:rsidRPr="00AB2761">
        <w:t>:</w:t>
      </w:r>
      <w:r w:rsidRPr="00E07B1B">
        <w:t xml:space="preserve"> 939</w:t>
      </w:r>
      <w:r>
        <w:t>–</w:t>
      </w:r>
      <w:r w:rsidRPr="00E07B1B">
        <w:t>43.</w:t>
      </w:r>
    </w:p>
    <w:p w:rsidR="0025490C" w:rsidRPr="00E07B1B" w:rsidRDefault="0025490C" w:rsidP="000A645D">
      <w:pPr>
        <w:pStyle w:val="References"/>
      </w:pPr>
      <w:r w:rsidRPr="00E07B1B">
        <w:t>Werner EF, Pettker CM, Zuckerwise L</w:t>
      </w:r>
      <w:r>
        <w:t>,</w:t>
      </w:r>
      <w:r w:rsidRPr="00E07B1B">
        <w:t xml:space="preserve"> </w:t>
      </w:r>
      <w:r w:rsidR="00D562F2">
        <w:t>et al</w:t>
      </w:r>
      <w:r w:rsidRPr="00E07B1B">
        <w:t xml:space="preserve">. 2012. Screening for gestational diabetes mellitus: </w:t>
      </w:r>
      <w:r>
        <w:t>a</w:t>
      </w:r>
      <w:r w:rsidRPr="00E07B1B">
        <w:t xml:space="preserve">re the criteria proposed by the International Association of Diabetes </w:t>
      </w:r>
      <w:r>
        <w:t>and</w:t>
      </w:r>
      <w:r w:rsidRPr="00E07B1B">
        <w:t xml:space="preserve"> Pregnancy Study Groups cost effective? </w:t>
      </w:r>
      <w:r w:rsidRPr="00E07B1B">
        <w:rPr>
          <w:i/>
        </w:rPr>
        <w:t xml:space="preserve">Diabetes Care </w:t>
      </w:r>
      <w:r w:rsidRPr="00E07B1B">
        <w:t>35:</w:t>
      </w:r>
      <w:r>
        <w:t xml:space="preserve"> </w:t>
      </w:r>
      <w:r w:rsidRPr="00E07B1B">
        <w:t>529</w:t>
      </w:r>
      <w:r>
        <w:t>–</w:t>
      </w:r>
      <w:r w:rsidRPr="00E07B1B">
        <w:t>35</w:t>
      </w:r>
      <w:r w:rsidR="00DF1211">
        <w:t>.</w:t>
      </w:r>
    </w:p>
    <w:p w:rsidR="0068074A" w:rsidRDefault="0025490C" w:rsidP="000A645D">
      <w:pPr>
        <w:pStyle w:val="References"/>
      </w:pPr>
      <w:r>
        <w:t>WHO</w:t>
      </w:r>
      <w:r w:rsidRPr="00E07B1B">
        <w:t xml:space="preserve">. 2011a. </w:t>
      </w:r>
      <w:r w:rsidRPr="00E07B1B">
        <w:rPr>
          <w:i/>
          <w:iCs/>
        </w:rPr>
        <w:t>Use of Glycated Haemoglobin (HbA1c) in the Diagnosis of Diabetes</w:t>
      </w:r>
      <w:r>
        <w:rPr>
          <w:i/>
          <w:iCs/>
        </w:rPr>
        <w:t>:</w:t>
      </w:r>
      <w:r w:rsidRPr="00E07B1B">
        <w:rPr>
          <w:i/>
          <w:iCs/>
        </w:rPr>
        <w:t xml:space="preserve"> Abbreviated report of a WHO consultation</w:t>
      </w:r>
      <w:r w:rsidRPr="00E07B1B">
        <w:t>. Geneva: World Health Organization.</w:t>
      </w:r>
    </w:p>
    <w:p w:rsidR="0068074A" w:rsidRDefault="0025490C" w:rsidP="000A645D">
      <w:pPr>
        <w:pStyle w:val="References"/>
      </w:pPr>
      <w:r>
        <w:t>WHO</w:t>
      </w:r>
      <w:r w:rsidRPr="00E07B1B">
        <w:t>. 2011</w:t>
      </w:r>
      <w:r>
        <w:t>b</w:t>
      </w:r>
      <w:r w:rsidRPr="00E07B1B">
        <w:t xml:space="preserve">. </w:t>
      </w:r>
      <w:r w:rsidRPr="00E07B1B">
        <w:rPr>
          <w:i/>
          <w:iCs/>
        </w:rPr>
        <w:t>WHO Recommendations for Induction of Labour</w:t>
      </w:r>
      <w:r w:rsidRPr="00E07B1B">
        <w:t>. Geneva</w:t>
      </w:r>
      <w:r>
        <w:t>: World Health Organization</w:t>
      </w:r>
      <w:r w:rsidRPr="00E07B1B">
        <w:t>.</w:t>
      </w:r>
    </w:p>
    <w:p w:rsidR="0025490C" w:rsidRPr="008D338F" w:rsidRDefault="0025490C" w:rsidP="000A645D">
      <w:pPr>
        <w:pStyle w:val="References"/>
      </w:pPr>
      <w:r w:rsidRPr="008D338F">
        <w:rPr>
          <w:lang w:eastAsia="en-NZ"/>
        </w:rPr>
        <w:t xml:space="preserve">WHO. 2006. </w:t>
      </w:r>
      <w:r w:rsidRPr="00DF1211">
        <w:rPr>
          <w:i/>
          <w:lang w:eastAsia="en-NZ"/>
        </w:rPr>
        <w:t xml:space="preserve">Definition and </w:t>
      </w:r>
      <w:r w:rsidR="00DF1211">
        <w:rPr>
          <w:i/>
          <w:lang w:eastAsia="en-NZ"/>
        </w:rPr>
        <w:t>D</w:t>
      </w:r>
      <w:r w:rsidRPr="00DF1211">
        <w:rPr>
          <w:i/>
          <w:lang w:eastAsia="en-NZ"/>
        </w:rPr>
        <w:t xml:space="preserve">iagnosis of </w:t>
      </w:r>
      <w:r w:rsidR="00DF1211">
        <w:rPr>
          <w:i/>
          <w:lang w:eastAsia="en-NZ"/>
        </w:rPr>
        <w:t>D</w:t>
      </w:r>
      <w:r w:rsidRPr="00DF1211">
        <w:rPr>
          <w:i/>
          <w:lang w:eastAsia="en-NZ"/>
        </w:rPr>
        <w:t xml:space="preserve">iabetes </w:t>
      </w:r>
      <w:r w:rsidR="00DF1211">
        <w:rPr>
          <w:i/>
          <w:lang w:eastAsia="en-NZ"/>
        </w:rPr>
        <w:t>M</w:t>
      </w:r>
      <w:r w:rsidRPr="00DF1211">
        <w:rPr>
          <w:i/>
          <w:lang w:eastAsia="en-NZ"/>
        </w:rPr>
        <w:t xml:space="preserve">ellitus and </w:t>
      </w:r>
      <w:r w:rsidR="00DF1211">
        <w:rPr>
          <w:i/>
          <w:lang w:eastAsia="en-NZ"/>
        </w:rPr>
        <w:t>I</w:t>
      </w:r>
      <w:r w:rsidRPr="00DF1211">
        <w:rPr>
          <w:i/>
          <w:lang w:eastAsia="en-NZ"/>
        </w:rPr>
        <w:t xml:space="preserve">ntermediate </w:t>
      </w:r>
      <w:r w:rsidR="00DF1211">
        <w:rPr>
          <w:i/>
          <w:lang w:eastAsia="en-NZ"/>
        </w:rPr>
        <w:t>H</w:t>
      </w:r>
      <w:r w:rsidRPr="00DF1211">
        <w:rPr>
          <w:i/>
          <w:lang w:eastAsia="en-NZ"/>
        </w:rPr>
        <w:t xml:space="preserve">yperglycemia: </w:t>
      </w:r>
      <w:r w:rsidR="00DF1211">
        <w:rPr>
          <w:i/>
          <w:lang w:eastAsia="en-NZ"/>
        </w:rPr>
        <w:t>A</w:t>
      </w:r>
      <w:r w:rsidRPr="00DF1211">
        <w:rPr>
          <w:i/>
          <w:lang w:eastAsia="en-NZ"/>
        </w:rPr>
        <w:t xml:space="preserve"> report of WHO/IDF consultation</w:t>
      </w:r>
      <w:r>
        <w:rPr>
          <w:lang w:eastAsia="en-NZ"/>
        </w:rPr>
        <w:t xml:space="preserve">. </w:t>
      </w:r>
      <w:r w:rsidR="00EF4183">
        <w:rPr>
          <w:lang w:eastAsia="en-NZ"/>
        </w:rPr>
        <w:t>Geneva:</w:t>
      </w:r>
      <w:r w:rsidR="00EF4183" w:rsidRPr="008D338F">
        <w:rPr>
          <w:lang w:eastAsia="en-NZ"/>
        </w:rPr>
        <w:t xml:space="preserve"> </w:t>
      </w:r>
      <w:r w:rsidR="00EF4183">
        <w:rPr>
          <w:lang w:eastAsia="en-NZ"/>
        </w:rPr>
        <w:t>World</w:t>
      </w:r>
      <w:r w:rsidR="00DF1211">
        <w:rPr>
          <w:lang w:eastAsia="en-NZ"/>
        </w:rPr>
        <w:t xml:space="preserve"> Health Organization</w:t>
      </w:r>
      <w:r w:rsidRPr="008D338F">
        <w:rPr>
          <w:lang w:eastAsia="en-NZ"/>
        </w:rPr>
        <w:t>.</w:t>
      </w:r>
    </w:p>
    <w:p w:rsidR="0068074A" w:rsidRDefault="0025490C" w:rsidP="000A645D">
      <w:pPr>
        <w:pStyle w:val="References"/>
      </w:pPr>
      <w:r>
        <w:t>WHO</w:t>
      </w:r>
      <w:r w:rsidR="00DF1211">
        <w:t>,</w:t>
      </w:r>
      <w:r w:rsidRPr="00E07B1B">
        <w:t xml:space="preserve"> Department of Non</w:t>
      </w:r>
      <w:r w:rsidR="00DF1211">
        <w:noBreakHyphen/>
      </w:r>
      <w:r w:rsidRPr="00E07B1B">
        <w:t>communicable Disease Surveillance. 1999</w:t>
      </w:r>
      <w:r>
        <w:t>.</w:t>
      </w:r>
      <w:r w:rsidRPr="00E07B1B">
        <w:t xml:space="preserve"> </w:t>
      </w:r>
      <w:r w:rsidRPr="00E07B1B">
        <w:rPr>
          <w:i/>
          <w:iCs/>
        </w:rPr>
        <w:t xml:space="preserve">Definition, Diagnosis and Classification of Diabetes Mellitus and </w:t>
      </w:r>
      <w:r w:rsidR="00DF1211">
        <w:rPr>
          <w:i/>
          <w:iCs/>
        </w:rPr>
        <w:t>i</w:t>
      </w:r>
      <w:r w:rsidRPr="00E07B1B">
        <w:rPr>
          <w:i/>
          <w:iCs/>
        </w:rPr>
        <w:t>ts Complications</w:t>
      </w:r>
      <w:r w:rsidR="00DF1211">
        <w:rPr>
          <w:i/>
          <w:iCs/>
        </w:rPr>
        <w:t>:</w:t>
      </w:r>
      <w:r w:rsidRPr="00E07B1B">
        <w:rPr>
          <w:i/>
          <w:iCs/>
        </w:rPr>
        <w:t xml:space="preserve"> Report of a WHO consultation. Part 1: Diagnosis and classification of diabetes mellitus</w:t>
      </w:r>
      <w:r w:rsidRPr="00E07B1B">
        <w:t>. Geneva: World Health Organization.</w:t>
      </w:r>
    </w:p>
    <w:p w:rsidR="0068074A" w:rsidRDefault="0025490C" w:rsidP="000A645D">
      <w:pPr>
        <w:pStyle w:val="References"/>
      </w:pPr>
      <w:r w:rsidRPr="00E07B1B">
        <w:t xml:space="preserve">Winnard D, Anderson P. 2013. </w:t>
      </w:r>
      <w:r w:rsidRPr="00E07B1B">
        <w:rPr>
          <w:i/>
          <w:iCs/>
        </w:rPr>
        <w:t>Diabetes in Pregnancy in CMDHB: Trends over time, a 2011 snapshot and service implications</w:t>
      </w:r>
      <w:r w:rsidRPr="00E07B1B">
        <w:t>. Counties Man</w:t>
      </w:r>
      <w:r>
        <w:t>u</w:t>
      </w:r>
      <w:r w:rsidRPr="00E07B1B">
        <w:t>kau District Health Board.</w:t>
      </w:r>
    </w:p>
    <w:p w:rsidR="0068074A" w:rsidRDefault="0025490C" w:rsidP="000A645D">
      <w:pPr>
        <w:pStyle w:val="References"/>
      </w:pPr>
      <w:r w:rsidRPr="00E07B1B">
        <w:t xml:space="preserve">Wisconsin Department of Health Services. 2012. </w:t>
      </w:r>
      <w:r w:rsidRPr="00E07B1B">
        <w:rPr>
          <w:i/>
          <w:iCs/>
        </w:rPr>
        <w:t>Wisconsin Diabetes Mellitus Essential Care Guidelines</w:t>
      </w:r>
      <w:r w:rsidRPr="00E07B1B">
        <w:t>.</w:t>
      </w:r>
    </w:p>
    <w:p w:rsidR="0068074A" w:rsidRDefault="0025490C" w:rsidP="000A645D">
      <w:pPr>
        <w:pStyle w:val="References"/>
      </w:pPr>
      <w:r w:rsidRPr="00E07B1B">
        <w:t xml:space="preserve">Witkop CT, Neale D, Wilson LM, </w:t>
      </w:r>
      <w:r w:rsidR="00D562F2">
        <w:t>et al</w:t>
      </w:r>
      <w:r w:rsidRPr="00E07B1B">
        <w:t xml:space="preserve">. 2009. Active compared with expectant delivery management in women with gestational diabetes: a systematic review. </w:t>
      </w:r>
      <w:r w:rsidRPr="00E07B1B">
        <w:rPr>
          <w:i/>
          <w:iCs/>
        </w:rPr>
        <w:t>Obstetrics &amp; Gynecology</w:t>
      </w:r>
      <w:r w:rsidRPr="000E582B">
        <w:t xml:space="preserve"> 113</w:t>
      </w:r>
      <w:r w:rsidRPr="00E07B1B">
        <w:t>(1): 206</w:t>
      </w:r>
      <w:r>
        <w:t>–</w:t>
      </w:r>
      <w:r w:rsidRPr="00E07B1B">
        <w:t>17.</w:t>
      </w:r>
    </w:p>
    <w:p w:rsidR="0025490C" w:rsidRPr="00E07B1B" w:rsidRDefault="0025490C" w:rsidP="000A645D">
      <w:pPr>
        <w:pStyle w:val="References"/>
      </w:pPr>
      <w:r w:rsidRPr="001672BC">
        <w:t xml:space="preserve">Workbase. 2014. </w:t>
      </w:r>
      <w:r w:rsidRPr="00DF1211">
        <w:rPr>
          <w:i/>
        </w:rPr>
        <w:t xml:space="preserve">Māori </w:t>
      </w:r>
      <w:r w:rsidR="00DF1211">
        <w:rPr>
          <w:i/>
        </w:rPr>
        <w:t>H</w:t>
      </w:r>
      <w:r w:rsidRPr="00DF1211">
        <w:rPr>
          <w:i/>
        </w:rPr>
        <w:t xml:space="preserve">ealth </w:t>
      </w:r>
      <w:r w:rsidR="00DF1211">
        <w:rPr>
          <w:i/>
        </w:rPr>
        <w:t>L</w:t>
      </w:r>
      <w:r w:rsidRPr="00DF1211">
        <w:rPr>
          <w:i/>
        </w:rPr>
        <w:t xml:space="preserve">iteracy </w:t>
      </w:r>
      <w:r w:rsidR="00DF1211">
        <w:rPr>
          <w:i/>
        </w:rPr>
        <w:t>R</w:t>
      </w:r>
      <w:r w:rsidRPr="00DF1211">
        <w:rPr>
          <w:i/>
        </w:rPr>
        <w:t xml:space="preserve">esearch: </w:t>
      </w:r>
      <w:r w:rsidR="00DF1211">
        <w:rPr>
          <w:i/>
        </w:rPr>
        <w:t>G</w:t>
      </w:r>
      <w:r w:rsidRPr="00DF1211">
        <w:rPr>
          <w:i/>
        </w:rPr>
        <w:t>estational diabetes mellitus</w:t>
      </w:r>
      <w:r w:rsidRPr="001672BC">
        <w:t>. Wellington: Ministry of Health.</w:t>
      </w:r>
    </w:p>
    <w:p w:rsidR="0025490C" w:rsidRPr="00E07B1B" w:rsidRDefault="0025490C" w:rsidP="000A645D">
      <w:pPr>
        <w:pStyle w:val="References"/>
      </w:pPr>
      <w:r w:rsidRPr="00E07B1B">
        <w:t xml:space="preserve">Yang H, Wei Y, Gao X, </w:t>
      </w:r>
      <w:r w:rsidR="00D562F2">
        <w:t>et al</w:t>
      </w:r>
      <w:r w:rsidRPr="00E07B1B">
        <w:t xml:space="preserve">. 2009. Risk factors for gestational diabetes mellitus in Chinese women: a prospective study of 16,286 pregnant women in China. </w:t>
      </w:r>
      <w:r w:rsidRPr="00E07B1B">
        <w:rPr>
          <w:i/>
          <w:iCs/>
        </w:rPr>
        <w:t xml:space="preserve">Diabetic Medicine </w:t>
      </w:r>
      <w:r w:rsidRPr="00E07B1B">
        <w:rPr>
          <w:iCs/>
        </w:rPr>
        <w:t>26</w:t>
      </w:r>
      <w:r w:rsidRPr="00E07B1B">
        <w:t>(11): 1099</w:t>
      </w:r>
      <w:r>
        <w:t>–</w:t>
      </w:r>
      <w:r w:rsidRPr="00E07B1B">
        <w:t>104.</w:t>
      </w:r>
    </w:p>
    <w:p w:rsidR="0068074A" w:rsidRDefault="0025490C" w:rsidP="000A645D">
      <w:pPr>
        <w:pStyle w:val="References"/>
      </w:pPr>
      <w:r w:rsidRPr="00E07B1B">
        <w:t xml:space="preserve">Yappa M, Simmons D. 2000. Screening for gestational diabetes mellitus in a multiethnic population in New Zealand. </w:t>
      </w:r>
      <w:r w:rsidRPr="00E07B1B">
        <w:rPr>
          <w:i/>
          <w:iCs/>
        </w:rPr>
        <w:t>Diabetes Research and Clinical Practice</w:t>
      </w:r>
      <w:r w:rsidRPr="000E582B">
        <w:t xml:space="preserve"> 48</w:t>
      </w:r>
      <w:r w:rsidRPr="00E07B1B">
        <w:t>(3): 217</w:t>
      </w:r>
      <w:r>
        <w:t>–</w:t>
      </w:r>
      <w:r w:rsidRPr="00E07B1B">
        <w:t>23.</w:t>
      </w:r>
    </w:p>
    <w:p w:rsidR="0068074A" w:rsidRDefault="0025490C" w:rsidP="000A645D">
      <w:pPr>
        <w:pStyle w:val="References"/>
      </w:pPr>
      <w:r w:rsidRPr="00E07B1B">
        <w:t>Yogev Y, Xenakis E, Langer O. 2004. The association between pre</w:t>
      </w:r>
      <w:r w:rsidR="00DF1211">
        <w:noBreakHyphen/>
      </w:r>
      <w:r w:rsidRPr="00E07B1B">
        <w:t>eclampsia and the severity of gestational diabetes: the impact of glycemic control</w:t>
      </w:r>
      <w:r>
        <w:t>.</w:t>
      </w:r>
      <w:r w:rsidRPr="00E07B1B">
        <w:t xml:space="preserve"> </w:t>
      </w:r>
      <w:r w:rsidRPr="00E07B1B">
        <w:rPr>
          <w:i/>
          <w:iCs/>
        </w:rPr>
        <w:t>American Journal of Obstetrics and Gynecology</w:t>
      </w:r>
      <w:r w:rsidRPr="000E582B">
        <w:t xml:space="preserve"> 191</w:t>
      </w:r>
      <w:r w:rsidRPr="00AB2761">
        <w:t>:</w:t>
      </w:r>
      <w:r w:rsidRPr="00E07B1B">
        <w:t xml:space="preserve"> 1655.</w:t>
      </w:r>
    </w:p>
    <w:p w:rsidR="0025490C" w:rsidRPr="00E07B1B" w:rsidRDefault="0025490C" w:rsidP="000A645D">
      <w:pPr>
        <w:pStyle w:val="References"/>
      </w:pPr>
      <w:r w:rsidRPr="00E07B1B">
        <w:t xml:space="preserve">Yogev Y, Melamed N, Bardin R, </w:t>
      </w:r>
      <w:r w:rsidR="00D562F2">
        <w:t>et al</w:t>
      </w:r>
      <w:r w:rsidRPr="00E07B1B">
        <w:t xml:space="preserve">. 2010. Pregnancy outcome at extremely advanced maternal age. </w:t>
      </w:r>
      <w:r w:rsidRPr="00E07B1B">
        <w:rPr>
          <w:i/>
          <w:iCs/>
        </w:rPr>
        <w:t xml:space="preserve">American Journal of Obstetrics &amp; Gynecology </w:t>
      </w:r>
      <w:r w:rsidRPr="00E07B1B">
        <w:rPr>
          <w:iCs/>
        </w:rPr>
        <w:t>203</w:t>
      </w:r>
      <w:r w:rsidRPr="00E07B1B">
        <w:t>(6): 558.e551</w:t>
      </w:r>
      <w:r>
        <w:t>–</w:t>
      </w:r>
      <w:r w:rsidRPr="00E07B1B">
        <w:t>7.</w:t>
      </w:r>
    </w:p>
    <w:p w:rsidR="0068074A" w:rsidRDefault="0025490C" w:rsidP="000A645D">
      <w:pPr>
        <w:pStyle w:val="References"/>
      </w:pPr>
      <w:r w:rsidRPr="00E07B1B">
        <w:t xml:space="preserve">Ziegler A, Wallner M, Kaiser I, </w:t>
      </w:r>
      <w:r w:rsidR="00D562F2">
        <w:t>et al</w:t>
      </w:r>
      <w:r w:rsidRPr="00E07B1B">
        <w:t>. 2012. Long</w:t>
      </w:r>
      <w:r w:rsidR="00DF1211">
        <w:t>-</w:t>
      </w:r>
      <w:r w:rsidRPr="00E07B1B">
        <w:t xml:space="preserve">term protective effect of lactation on the development of type 2 diabetes in women with recent gestational diabetes mellitus. </w:t>
      </w:r>
      <w:r w:rsidRPr="00E07B1B">
        <w:rPr>
          <w:i/>
          <w:iCs/>
        </w:rPr>
        <w:t>Diabetes</w:t>
      </w:r>
      <w:r w:rsidRPr="000E582B">
        <w:t xml:space="preserve"> 61</w:t>
      </w:r>
      <w:r w:rsidRPr="00E07B1B">
        <w:t>(December): 3167</w:t>
      </w:r>
      <w:r>
        <w:t>–</w:t>
      </w:r>
      <w:r w:rsidRPr="00E07B1B">
        <w:t>71.</w:t>
      </w:r>
    </w:p>
    <w:p w:rsidR="00DF1211" w:rsidRDefault="00DF1211" w:rsidP="00DF1211"/>
    <w:p w:rsidR="0025490C" w:rsidRPr="00E07B1B" w:rsidRDefault="0025490C" w:rsidP="006452A9">
      <w:pPr>
        <w:pStyle w:val="Heading1"/>
      </w:pPr>
      <w:r w:rsidRPr="00E07B1B">
        <w:br w:type="page"/>
      </w:r>
      <w:bookmarkStart w:id="370" w:name="_Toc402873631"/>
      <w:bookmarkStart w:id="371" w:name="_Toc403469691"/>
      <w:bookmarkStart w:id="372" w:name="_Toc363717742"/>
      <w:r w:rsidRPr="00E07B1B">
        <w:t>Glossary</w:t>
      </w:r>
      <w:bookmarkEnd w:id="370"/>
      <w:bookmarkEnd w:id="371"/>
    </w:p>
    <w:tbl>
      <w:tblPr>
        <w:tblW w:w="9555" w:type="dxa"/>
        <w:tblLayout w:type="fixed"/>
        <w:tblCellMar>
          <w:left w:w="57" w:type="dxa"/>
          <w:right w:w="57" w:type="dxa"/>
        </w:tblCellMar>
        <w:tblLook w:val="00A0" w:firstRow="1" w:lastRow="0" w:firstColumn="1" w:lastColumn="0" w:noHBand="0" w:noVBand="0"/>
      </w:tblPr>
      <w:tblGrid>
        <w:gridCol w:w="2196"/>
        <w:gridCol w:w="7359"/>
      </w:tblGrid>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Adverse event</w:t>
            </w:r>
          </w:p>
        </w:tc>
        <w:tc>
          <w:tcPr>
            <w:tcW w:w="7359" w:type="dxa"/>
          </w:tcPr>
          <w:p w:rsidR="0025490C" w:rsidRPr="00E07B1B" w:rsidRDefault="0025490C" w:rsidP="006452A9">
            <w:pPr>
              <w:pStyle w:val="TableText"/>
              <w:spacing w:before="0" w:after="150"/>
            </w:pPr>
            <w:r w:rsidRPr="00E07B1B">
              <w:t>An adverse outcome that occurs during or after the use of a drug or other intervention but is not necessarily caused by it</w:t>
            </w:r>
            <w:r w:rsidR="006452A9">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Antenatal/</w:t>
            </w:r>
            <w:r w:rsidR="006452A9">
              <w:rPr>
                <w:b/>
              </w:rPr>
              <w:t xml:space="preserve"> </w:t>
            </w:r>
            <w:r w:rsidRPr="006452A9">
              <w:rPr>
                <w:b/>
              </w:rPr>
              <w:t>antepartum</w:t>
            </w:r>
          </w:p>
        </w:tc>
        <w:tc>
          <w:tcPr>
            <w:tcW w:w="7359" w:type="dxa"/>
          </w:tcPr>
          <w:p w:rsidR="0025490C" w:rsidRPr="00E07B1B" w:rsidRDefault="0025490C" w:rsidP="006452A9">
            <w:pPr>
              <w:pStyle w:val="TableText"/>
              <w:spacing w:before="0" w:after="150"/>
            </w:pPr>
            <w:r w:rsidRPr="00E07B1B">
              <w:t>Occurring before birth; concerned with the care and treatment of the unborn child and pregnant women</w:t>
            </w:r>
            <w:r w:rsidR="006452A9">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Applicability</w:t>
            </w:r>
          </w:p>
        </w:tc>
        <w:tc>
          <w:tcPr>
            <w:tcW w:w="7359" w:type="dxa"/>
          </w:tcPr>
          <w:p w:rsidR="0025490C" w:rsidRPr="00E07B1B" w:rsidRDefault="0025490C" w:rsidP="006452A9">
            <w:pPr>
              <w:pStyle w:val="TableText"/>
              <w:spacing w:before="0" w:after="150"/>
            </w:pPr>
            <w:r w:rsidRPr="00E07B1B">
              <w:t>The degree to which a body of evidence is relevant to a particular health care context</w:t>
            </w:r>
            <w:r w:rsidR="006452A9">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Bias</w:t>
            </w:r>
          </w:p>
        </w:tc>
        <w:tc>
          <w:tcPr>
            <w:tcW w:w="7359" w:type="dxa"/>
          </w:tcPr>
          <w:p w:rsidR="0025490C" w:rsidRPr="00E07B1B" w:rsidRDefault="0025490C" w:rsidP="006452A9">
            <w:pPr>
              <w:pStyle w:val="TableText"/>
              <w:spacing w:before="0" w:after="150"/>
            </w:pPr>
            <w:r w:rsidRPr="00E07B1B">
              <w:t xml:space="preserve">Systematic (as opposed to random) deviation of the results of a study from the </w:t>
            </w:r>
            <w:r w:rsidR="0068074A">
              <w:t>‘</w:t>
            </w:r>
            <w:r w:rsidRPr="00E07B1B">
              <w:t>true</w:t>
            </w:r>
            <w:r w:rsidR="0068074A">
              <w:t>’</w:t>
            </w:r>
            <w:r w:rsidRPr="00E07B1B">
              <w:t xml:space="preserve"> results</w:t>
            </w:r>
            <w:r w:rsidR="006452A9">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Body mass index (BMI)</w:t>
            </w:r>
          </w:p>
        </w:tc>
        <w:tc>
          <w:tcPr>
            <w:tcW w:w="7359" w:type="dxa"/>
          </w:tcPr>
          <w:p w:rsidR="0025490C" w:rsidRPr="00E07B1B" w:rsidRDefault="0025490C" w:rsidP="006452A9">
            <w:pPr>
              <w:pStyle w:val="TableText"/>
              <w:spacing w:before="0" w:after="150"/>
            </w:pPr>
            <w:r w:rsidRPr="00E07B1B">
              <w:t>The body</w:t>
            </w:r>
            <w:r w:rsidR="0068074A">
              <w:t>’</w:t>
            </w:r>
            <w:r w:rsidRPr="00E07B1B">
              <w:t>s weight in kilograms divided by the square of the height in metres, used in the assessment of obesity</w:t>
            </w:r>
            <w:r w:rsidR="006452A9">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Case control study</w:t>
            </w:r>
          </w:p>
        </w:tc>
        <w:tc>
          <w:tcPr>
            <w:tcW w:w="7359" w:type="dxa"/>
          </w:tcPr>
          <w:p w:rsidR="0025490C" w:rsidRPr="00E07B1B" w:rsidRDefault="0025490C" w:rsidP="006452A9">
            <w:pPr>
              <w:pStyle w:val="TableText"/>
              <w:spacing w:before="0" w:after="150"/>
            </w:pPr>
            <w:r w:rsidRPr="00E07B1B">
              <w:t xml:space="preserve">A study that compares people </w:t>
            </w:r>
            <w:r>
              <w:t xml:space="preserve">who have </w:t>
            </w:r>
            <w:r w:rsidRPr="00E07B1B">
              <w:t xml:space="preserve">a specific disease or outcome of interest (cases) </w:t>
            </w:r>
            <w:r>
              <w:t>with</w:t>
            </w:r>
            <w:r w:rsidRPr="00E07B1B">
              <w:t xml:space="preserve"> people from the same population </w:t>
            </w:r>
            <w:r>
              <w:t>who do not have</w:t>
            </w:r>
            <w:r w:rsidRPr="00E07B1B">
              <w:t xml:space="preserve"> that disease or outcome (controls), and </w:t>
            </w:r>
            <w:r>
              <w:t>that</w:t>
            </w:r>
            <w:r w:rsidRPr="00E07B1B">
              <w:t xml:space="preserve"> seeks to find associations between the outcome and prior exposure to particular risk factors. This design is particularly useful where the outcome is rare and past exposure can be reliably measured. Case</w:t>
            </w:r>
            <w:r>
              <w:t xml:space="preserve"> </w:t>
            </w:r>
            <w:r w:rsidRPr="00E07B1B">
              <w:t>control studies are usually retrospective</w:t>
            </w:r>
            <w:r w:rsidR="006452A9">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Clinical effectiveness</w:t>
            </w:r>
          </w:p>
        </w:tc>
        <w:tc>
          <w:tcPr>
            <w:tcW w:w="7359" w:type="dxa"/>
          </w:tcPr>
          <w:p w:rsidR="0025490C" w:rsidRPr="00E07B1B" w:rsidRDefault="0025490C" w:rsidP="006452A9">
            <w:pPr>
              <w:pStyle w:val="TableText"/>
              <w:spacing w:before="0" w:after="150"/>
            </w:pPr>
            <w:r w:rsidRPr="00E07B1B">
              <w:t>The extent to which a specific treatment or intervention, when used under usual or everyday conditions, has a beneficial effect on the course or outcome of disease compared with no treatment or other routine care</w:t>
            </w:r>
            <w:r w:rsidR="006452A9">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Cochrane Library</w:t>
            </w:r>
          </w:p>
        </w:tc>
        <w:tc>
          <w:tcPr>
            <w:tcW w:w="7359" w:type="dxa"/>
          </w:tcPr>
          <w:p w:rsidR="0025490C" w:rsidRPr="00E07B1B" w:rsidRDefault="0025490C" w:rsidP="006452A9">
            <w:pPr>
              <w:pStyle w:val="TableText"/>
              <w:spacing w:before="0" w:after="150"/>
            </w:pPr>
            <w:r w:rsidRPr="00E07B1B">
              <w:t>A regularly updated electronic collection of evidence-based health</w:t>
            </w:r>
            <w:r>
              <w:t xml:space="preserve"> </w:t>
            </w:r>
            <w:r w:rsidRPr="00E07B1B">
              <w:t>care databases, including the Cochrane Database of Systematic Reviews</w:t>
            </w:r>
            <w:r w:rsidR="006452A9">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Cochrane Review / Cochrane Systematic Review</w:t>
            </w:r>
          </w:p>
        </w:tc>
        <w:tc>
          <w:tcPr>
            <w:tcW w:w="7359" w:type="dxa"/>
          </w:tcPr>
          <w:p w:rsidR="0025490C" w:rsidRPr="00E07B1B" w:rsidRDefault="0025490C" w:rsidP="006452A9">
            <w:pPr>
              <w:pStyle w:val="TableText"/>
              <w:spacing w:before="0" w:after="150"/>
            </w:pPr>
            <w:r w:rsidRPr="00E07B1B">
              <w:t>A systematic review of the evidence usually from randomised controlled trials relating to a particular health problem or health</w:t>
            </w:r>
            <w:r>
              <w:t xml:space="preserve"> </w:t>
            </w:r>
            <w:r w:rsidRPr="00E07B1B">
              <w:t>care intervention, produced by the Cochrane Collaboration. Available electronically as part of the Cochrane Library</w:t>
            </w:r>
            <w:r w:rsidR="006452A9">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Cohort study</w:t>
            </w:r>
          </w:p>
        </w:tc>
        <w:tc>
          <w:tcPr>
            <w:tcW w:w="7359" w:type="dxa"/>
          </w:tcPr>
          <w:p w:rsidR="0068074A" w:rsidRDefault="0025490C" w:rsidP="00B53EF0">
            <w:pPr>
              <w:pStyle w:val="TableText"/>
              <w:spacing w:before="0"/>
            </w:pPr>
            <w:r w:rsidRPr="00E07B1B">
              <w:t>An observational study that takes a group (cohort) of patients and follows their progress over time in order to measure outcomes such as disease or mortality rates and make comparisons according to the treatments or interventions that another group of patients received.</w:t>
            </w:r>
          </w:p>
          <w:p w:rsidR="0025490C" w:rsidRPr="00E07B1B" w:rsidRDefault="0025490C" w:rsidP="006452A9">
            <w:pPr>
              <w:pStyle w:val="TableText"/>
              <w:spacing w:before="0" w:after="150"/>
            </w:pPr>
            <w:r w:rsidRPr="00E07B1B">
              <w:t xml:space="preserve">Cohorts can be assembled in the present and followed into the future (a </w:t>
            </w:r>
            <w:r w:rsidR="0068074A">
              <w:t>‘</w:t>
            </w:r>
            <w:r w:rsidRPr="00E07B1B">
              <w:t>concurrent</w:t>
            </w:r>
            <w:r w:rsidR="0068074A">
              <w:t>’</w:t>
            </w:r>
            <w:r w:rsidRPr="00E07B1B">
              <w:t xml:space="preserve"> or </w:t>
            </w:r>
            <w:r w:rsidR="0068074A">
              <w:t>‘</w:t>
            </w:r>
            <w:r w:rsidRPr="00E07B1B">
              <w:t>prospective</w:t>
            </w:r>
            <w:r w:rsidR="0068074A">
              <w:t>’</w:t>
            </w:r>
            <w:r w:rsidRPr="00E07B1B">
              <w:t xml:space="preserve"> cohort study) or identified from past records and followed forward from that time up to the present (a </w:t>
            </w:r>
            <w:r w:rsidR="0068074A">
              <w:t>‘</w:t>
            </w:r>
            <w:r w:rsidRPr="00E07B1B">
              <w:t>historical</w:t>
            </w:r>
            <w:r w:rsidR="0068074A">
              <w:t>’</w:t>
            </w:r>
            <w:r w:rsidRPr="00E07B1B">
              <w:t xml:space="preserve"> or </w:t>
            </w:r>
            <w:r w:rsidR="0068074A">
              <w:t>‘</w:t>
            </w:r>
            <w:r w:rsidRPr="00E07B1B">
              <w:t>retrospective</w:t>
            </w:r>
            <w:r w:rsidR="0068074A">
              <w:t>’</w:t>
            </w:r>
            <w:r w:rsidRPr="00E07B1B">
              <w:t xml:space="preserve"> cohort study)</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Confidence interval</w:t>
            </w:r>
          </w:p>
        </w:tc>
        <w:tc>
          <w:tcPr>
            <w:tcW w:w="7359" w:type="dxa"/>
          </w:tcPr>
          <w:p w:rsidR="0025490C" w:rsidRPr="00E07B1B" w:rsidRDefault="0025490C" w:rsidP="00B53EF0">
            <w:pPr>
              <w:pStyle w:val="TableText"/>
              <w:spacing w:before="0" w:after="150"/>
            </w:pPr>
            <w:r>
              <w:t>A</w:t>
            </w:r>
            <w:r w:rsidRPr="00E07B1B">
              <w:t xml:space="preserve"> range of values for an unknown population outcome estimated from a study. It will depend on the number of study recruits and the variation in the outcome data. A 95%</w:t>
            </w:r>
            <w:r>
              <w:t xml:space="preserve"> </w:t>
            </w:r>
            <w:r w:rsidRPr="00E07B1B">
              <w:t>confidence interval (CI) means that if the study was repeated 100</w:t>
            </w:r>
            <w:r w:rsidR="00B53EF0">
              <w:t> </w:t>
            </w:r>
            <w:r w:rsidRPr="00E07B1B">
              <w:t xml:space="preserve">times with a different sample of recruits and a CI calculated each time, the interval would contain the </w:t>
            </w:r>
            <w:r w:rsidR="0068074A">
              <w:t>‘</w:t>
            </w:r>
            <w:r w:rsidRPr="00E07B1B">
              <w:t>true</w:t>
            </w:r>
            <w:r w:rsidR="0068074A">
              <w:t>’</w:t>
            </w:r>
            <w:r w:rsidRPr="00E07B1B">
              <w:t xml:space="preserve"> value of </w:t>
            </w:r>
            <w:r w:rsidR="00B53EF0">
              <w:t>the population outcome 95 times.</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Considered judgement</w:t>
            </w:r>
          </w:p>
        </w:tc>
        <w:tc>
          <w:tcPr>
            <w:tcW w:w="7359" w:type="dxa"/>
          </w:tcPr>
          <w:p w:rsidR="0025490C" w:rsidRPr="00E07B1B" w:rsidRDefault="0025490C" w:rsidP="006452A9">
            <w:pPr>
              <w:pStyle w:val="TableText"/>
              <w:spacing w:before="0" w:after="150"/>
            </w:pPr>
            <w:r w:rsidRPr="00E07B1B">
              <w:t>The application of the collective knowledge of a guideline development group to a body of evidence, to assess its applicability to the target population and the strength of any recommendation that it would support</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Control group</w:t>
            </w:r>
          </w:p>
        </w:tc>
        <w:tc>
          <w:tcPr>
            <w:tcW w:w="7359" w:type="dxa"/>
          </w:tcPr>
          <w:p w:rsidR="0025490C" w:rsidRPr="00E07B1B" w:rsidRDefault="0025490C" w:rsidP="006452A9">
            <w:pPr>
              <w:pStyle w:val="TableText"/>
              <w:spacing w:before="0" w:after="150"/>
            </w:pPr>
            <w:r w:rsidRPr="00E07B1B">
              <w:t>A group of patients that receives no treatment, a treatment of known effect or a placebo (dummy treatment)</w:t>
            </w:r>
            <w:r>
              <w:t xml:space="preserve"> as part of a study,</w:t>
            </w:r>
            <w:r w:rsidRPr="00E07B1B">
              <w:t xml:space="preserve"> in order to provide a comparison for a group receiving an experimental treatment, such as a new drug</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Cost-effectiveness</w:t>
            </w:r>
          </w:p>
        </w:tc>
        <w:tc>
          <w:tcPr>
            <w:tcW w:w="7359" w:type="dxa"/>
          </w:tcPr>
          <w:p w:rsidR="0025490C" w:rsidRPr="00E07B1B" w:rsidRDefault="0025490C" w:rsidP="006452A9">
            <w:pPr>
              <w:pStyle w:val="TableText"/>
              <w:spacing w:before="0" w:after="150"/>
            </w:pPr>
            <w:r w:rsidRPr="00E07B1B">
              <w:t>Value for money. A specific health</w:t>
            </w:r>
            <w:r>
              <w:t xml:space="preserve"> </w:t>
            </w:r>
            <w:r w:rsidRPr="00E07B1B">
              <w:t xml:space="preserve">care treatment is said to be </w:t>
            </w:r>
            <w:r w:rsidR="0068074A">
              <w:t>‘</w:t>
            </w:r>
            <w:r w:rsidRPr="00E07B1B">
              <w:t>cost-effective</w:t>
            </w:r>
            <w:r w:rsidR="0068074A">
              <w:t>’</w:t>
            </w:r>
            <w:r w:rsidRPr="00E07B1B">
              <w:t xml:space="preserve"> if it gives a greater health gain than could be achieved by using the resources in other ways</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Cost-effectiveness analysis</w:t>
            </w:r>
          </w:p>
        </w:tc>
        <w:tc>
          <w:tcPr>
            <w:tcW w:w="7359" w:type="dxa"/>
          </w:tcPr>
          <w:p w:rsidR="0025490C" w:rsidRPr="00E07B1B" w:rsidRDefault="0025490C" w:rsidP="006452A9">
            <w:pPr>
              <w:pStyle w:val="TableText"/>
              <w:spacing w:before="0" w:after="150"/>
            </w:pPr>
            <w:r w:rsidRPr="00E07B1B">
              <w:t xml:space="preserve">A type of economic evaluation comparing the costs and the health effects of different treatments. Health effects are measured in </w:t>
            </w:r>
            <w:r w:rsidR="0068074A">
              <w:t>‘</w:t>
            </w:r>
            <w:r w:rsidRPr="00E07B1B">
              <w:t>health-related units</w:t>
            </w:r>
            <w:r w:rsidR="0068074A">
              <w:t>’</w:t>
            </w:r>
            <w:r>
              <w:t>;</w:t>
            </w:r>
            <w:r w:rsidRPr="00E07B1B">
              <w:t xml:space="preserve"> for example, the cost of preventing one additional patient from a condition</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Cross-sectional study</w:t>
            </w:r>
          </w:p>
        </w:tc>
        <w:tc>
          <w:tcPr>
            <w:tcW w:w="7359" w:type="dxa"/>
          </w:tcPr>
          <w:p w:rsidR="0025490C" w:rsidRPr="00E07B1B" w:rsidRDefault="0025490C" w:rsidP="006452A9">
            <w:pPr>
              <w:pStyle w:val="TableText"/>
              <w:spacing w:before="0" w:after="150"/>
            </w:pPr>
            <w:r w:rsidRPr="00E07B1B">
              <w:t>The observation of a defined set of people at a single point in time or</w:t>
            </w:r>
            <w:r>
              <w:t xml:space="preserve"> specific</w:t>
            </w:r>
            <w:r w:rsidRPr="00E07B1B">
              <w:t xml:space="preserve"> time period – a snapshot. This type of study contrasts with a longitudinal study, which follows a set of people over a </w:t>
            </w:r>
            <w:r>
              <w:t xml:space="preserve">longer </w:t>
            </w:r>
            <w:r w:rsidRPr="00E07B1B">
              <w:t>period of time</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Diabetic ketoacidosis</w:t>
            </w:r>
          </w:p>
        </w:tc>
        <w:tc>
          <w:tcPr>
            <w:tcW w:w="7359" w:type="dxa"/>
          </w:tcPr>
          <w:p w:rsidR="0025490C" w:rsidRPr="00E07B1B" w:rsidRDefault="0025490C" w:rsidP="006452A9">
            <w:pPr>
              <w:pStyle w:val="TableText"/>
              <w:spacing w:before="0" w:after="150"/>
            </w:pPr>
            <w:r w:rsidRPr="00E07B1B">
              <w:t>A state of absolute or relative insulin deﬁciency characterised by hyperglycaemia, dehydration, acidosis and ketosis</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Diagnostic study</w:t>
            </w:r>
          </w:p>
        </w:tc>
        <w:tc>
          <w:tcPr>
            <w:tcW w:w="7359" w:type="dxa"/>
          </w:tcPr>
          <w:p w:rsidR="0025490C" w:rsidRPr="00E07B1B" w:rsidRDefault="0025490C" w:rsidP="006452A9">
            <w:pPr>
              <w:pStyle w:val="TableText"/>
              <w:spacing w:before="0" w:after="150"/>
            </w:pPr>
            <w:r w:rsidRPr="00E07B1B">
              <w:t>A study to assess the effectiveness of a test or measurement in terms of its ability to accurately detect or exclude a specific disease</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Epidemiology</w:t>
            </w:r>
          </w:p>
        </w:tc>
        <w:tc>
          <w:tcPr>
            <w:tcW w:w="7359" w:type="dxa"/>
          </w:tcPr>
          <w:p w:rsidR="0025490C" w:rsidRPr="00E07B1B" w:rsidRDefault="0025490C" w:rsidP="006452A9">
            <w:pPr>
              <w:pStyle w:val="TableText"/>
              <w:spacing w:before="0" w:after="150"/>
            </w:pPr>
            <w:r w:rsidRPr="00E07B1B">
              <w:t>Study of diseases within a population, covering the causes and means of prevention</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Evidence-based</w:t>
            </w:r>
          </w:p>
        </w:tc>
        <w:tc>
          <w:tcPr>
            <w:tcW w:w="7359" w:type="dxa"/>
          </w:tcPr>
          <w:p w:rsidR="0025490C" w:rsidRPr="00E07B1B" w:rsidRDefault="0025490C" w:rsidP="006452A9">
            <w:pPr>
              <w:pStyle w:val="TableText"/>
              <w:spacing w:before="0" w:after="150"/>
            </w:pPr>
            <w:r w:rsidRPr="00E07B1B">
              <w:t>The best available evidence gained from the scientific method to inform medical decision</w:t>
            </w:r>
            <w:r>
              <w:t>-</w:t>
            </w:r>
            <w:r w:rsidRPr="00E07B1B">
              <w:t>making. It seeks to assess the quality of evidence of the risks and benefits of treatments (including lack of treatment)</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Evidence level</w:t>
            </w:r>
          </w:p>
        </w:tc>
        <w:tc>
          <w:tcPr>
            <w:tcW w:w="7359" w:type="dxa"/>
          </w:tcPr>
          <w:p w:rsidR="0025490C" w:rsidRPr="00E07B1B" w:rsidRDefault="0025490C" w:rsidP="006452A9">
            <w:pPr>
              <w:pStyle w:val="TableText"/>
              <w:spacing w:before="0" w:after="150"/>
            </w:pPr>
            <w:r w:rsidRPr="00E07B1B">
              <w:t>A code (eg</w:t>
            </w:r>
            <w:r>
              <w:t>,</w:t>
            </w:r>
            <w:r w:rsidRPr="00E07B1B">
              <w:t xml:space="preserve"> 1++, 1+) linked to an individual study, indicating where it fits into the hierarchy of evidence and how well it has adhered to recognised research principles. Also called level of evidence</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Evidence statement</w:t>
            </w:r>
          </w:p>
        </w:tc>
        <w:tc>
          <w:tcPr>
            <w:tcW w:w="7359" w:type="dxa"/>
          </w:tcPr>
          <w:p w:rsidR="0025490C" w:rsidRPr="00E07B1B" w:rsidRDefault="0025490C" w:rsidP="006452A9">
            <w:pPr>
              <w:pStyle w:val="TableText"/>
              <w:spacing w:before="0" w:after="150"/>
            </w:pPr>
            <w:r w:rsidRPr="00E07B1B">
              <w:t xml:space="preserve">A </w:t>
            </w:r>
            <w:r>
              <w:t>statement</w:t>
            </w:r>
            <w:r w:rsidRPr="00E07B1B">
              <w:t xml:space="preserve"> summarising the results of a collection of studies which, taken together, represent the evidence supporting a particular recommendation or series of</w:t>
            </w:r>
            <w:r w:rsidR="00B53EF0">
              <w:t xml:space="preserve"> recommendations in a guideline.</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Evidence table</w:t>
            </w:r>
          </w:p>
        </w:tc>
        <w:tc>
          <w:tcPr>
            <w:tcW w:w="7359" w:type="dxa"/>
          </w:tcPr>
          <w:p w:rsidR="0025490C" w:rsidRPr="00E07B1B" w:rsidRDefault="0025490C" w:rsidP="006452A9">
            <w:pPr>
              <w:pStyle w:val="TableText"/>
              <w:spacing w:before="0" w:after="150"/>
            </w:pPr>
            <w:r w:rsidRPr="00E07B1B">
              <w:t>A table summarising the results of a collection of studies which, taken together, represent the evidence supporting a particular recommendation or series of recommendations in a guideline</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Fetal</w:t>
            </w:r>
          </w:p>
        </w:tc>
        <w:tc>
          <w:tcPr>
            <w:tcW w:w="7359" w:type="dxa"/>
          </w:tcPr>
          <w:p w:rsidR="0025490C" w:rsidRPr="00E07B1B" w:rsidRDefault="0025490C" w:rsidP="006452A9">
            <w:pPr>
              <w:pStyle w:val="TableText"/>
              <w:spacing w:before="0" w:after="150"/>
            </w:pPr>
            <w:r w:rsidRPr="00E07B1B">
              <w:t>Of or pertaining to a fetus or to the period of its development</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Gestation</w:t>
            </w:r>
          </w:p>
        </w:tc>
        <w:tc>
          <w:tcPr>
            <w:tcW w:w="7359" w:type="dxa"/>
          </w:tcPr>
          <w:p w:rsidR="0025490C" w:rsidRPr="00E07B1B" w:rsidRDefault="0025490C" w:rsidP="006452A9">
            <w:pPr>
              <w:pStyle w:val="TableText"/>
              <w:spacing w:before="0" w:after="150"/>
            </w:pPr>
            <w:r w:rsidRPr="00E07B1B">
              <w:t>The time from conception to birth. The duration of gestation is measured from the first day of the last normal menstrual period</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Gestational age</w:t>
            </w:r>
          </w:p>
        </w:tc>
        <w:tc>
          <w:tcPr>
            <w:tcW w:w="7359" w:type="dxa"/>
          </w:tcPr>
          <w:p w:rsidR="0025490C" w:rsidRPr="00E07B1B" w:rsidRDefault="0025490C" w:rsidP="006452A9">
            <w:pPr>
              <w:pStyle w:val="TableText"/>
              <w:spacing w:before="0" w:after="150"/>
            </w:pPr>
            <w:r w:rsidRPr="00E07B1B">
              <w:t>The period of time between last menstrual period and birth</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Gestational diabetes</w:t>
            </w:r>
          </w:p>
        </w:tc>
        <w:tc>
          <w:tcPr>
            <w:tcW w:w="7359" w:type="dxa"/>
          </w:tcPr>
          <w:p w:rsidR="0025490C" w:rsidRPr="00E07B1B" w:rsidRDefault="0025490C" w:rsidP="006452A9">
            <w:pPr>
              <w:pStyle w:val="TableText"/>
              <w:spacing w:before="0" w:after="150"/>
            </w:pPr>
            <w:r w:rsidRPr="00E07B1B">
              <w:t>Carbohydrate intolerance of varying severity which is diagnosed in pregnancy and may or may not resolve after pregnancy</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Glycaemic control targets</w:t>
            </w:r>
          </w:p>
        </w:tc>
        <w:tc>
          <w:tcPr>
            <w:tcW w:w="7359" w:type="dxa"/>
          </w:tcPr>
          <w:p w:rsidR="0025490C" w:rsidRPr="00E07B1B" w:rsidRDefault="0025490C" w:rsidP="006452A9">
            <w:pPr>
              <w:pStyle w:val="TableText"/>
              <w:spacing w:before="0" w:after="150"/>
            </w:pPr>
            <w:r w:rsidRPr="00E07B1B">
              <w:t>Recommended levels of blood glucose</w:t>
            </w:r>
            <w:r w:rsidR="00B53EF0">
              <w:t>.</w:t>
            </w:r>
          </w:p>
        </w:tc>
      </w:tr>
      <w:tr w:rsidR="0025490C" w:rsidRPr="00E07B1B" w:rsidTr="006452A9">
        <w:trPr>
          <w:cantSplit/>
        </w:trPr>
        <w:tc>
          <w:tcPr>
            <w:tcW w:w="2196" w:type="dxa"/>
          </w:tcPr>
          <w:p w:rsidR="0025490C" w:rsidRPr="006452A9" w:rsidRDefault="0025490C" w:rsidP="00B53EF0">
            <w:pPr>
              <w:pStyle w:val="TableText"/>
              <w:spacing w:before="0" w:after="150"/>
              <w:ind w:right="142"/>
              <w:rPr>
                <w:b/>
              </w:rPr>
            </w:pPr>
            <w:r w:rsidRPr="006452A9">
              <w:rPr>
                <w:b/>
              </w:rPr>
              <w:t>Glycated haemoglobin</w:t>
            </w:r>
            <w:r w:rsidR="00B53EF0">
              <w:rPr>
                <w:b/>
              </w:rPr>
              <w:t xml:space="preserve"> </w:t>
            </w:r>
            <w:r w:rsidRPr="006452A9">
              <w:rPr>
                <w:b/>
              </w:rPr>
              <w:t>(HbA1c)</w:t>
            </w:r>
          </w:p>
        </w:tc>
        <w:tc>
          <w:tcPr>
            <w:tcW w:w="7359" w:type="dxa"/>
          </w:tcPr>
          <w:p w:rsidR="0025490C" w:rsidRPr="00E07B1B" w:rsidRDefault="0025490C" w:rsidP="006452A9">
            <w:pPr>
              <w:pStyle w:val="TableText"/>
              <w:spacing w:before="0" w:after="150"/>
            </w:pPr>
            <w:r w:rsidRPr="00E07B1B">
              <w:t xml:space="preserve">A test </w:t>
            </w:r>
            <w:r>
              <w:t>that</w:t>
            </w:r>
            <w:r w:rsidRPr="00E07B1B">
              <w:t xml:space="preserve"> measures the amount of glucose-bound haemoglobin and reflects how well the blood glucose level has been controlled over the previous </w:t>
            </w:r>
            <w:r>
              <w:t>six</w:t>
            </w:r>
            <w:r w:rsidRPr="00E07B1B">
              <w:t xml:space="preserve"> to </w:t>
            </w:r>
            <w:r>
              <w:t>eight</w:t>
            </w:r>
            <w:r w:rsidRPr="00E07B1B">
              <w:t xml:space="preserve"> weeks</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Harms</w:t>
            </w:r>
          </w:p>
        </w:tc>
        <w:tc>
          <w:tcPr>
            <w:tcW w:w="7359" w:type="dxa"/>
          </w:tcPr>
          <w:p w:rsidR="0025490C" w:rsidRPr="00E07B1B" w:rsidRDefault="0025490C" w:rsidP="006452A9">
            <w:pPr>
              <w:pStyle w:val="TableText"/>
              <w:spacing w:before="0" w:after="150"/>
            </w:pPr>
            <w:r w:rsidRPr="00E07B1B">
              <w:t>Adverse effects</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Heterogeneity</w:t>
            </w:r>
          </w:p>
        </w:tc>
        <w:tc>
          <w:tcPr>
            <w:tcW w:w="7359" w:type="dxa"/>
          </w:tcPr>
          <w:p w:rsidR="0025490C" w:rsidRPr="00E07B1B" w:rsidRDefault="0025490C" w:rsidP="006452A9">
            <w:pPr>
              <w:pStyle w:val="TableText"/>
              <w:spacing w:before="0" w:after="150"/>
            </w:pPr>
            <w:r>
              <w:t>Also termed</w:t>
            </w:r>
            <w:r w:rsidRPr="00E07B1B">
              <w:t xml:space="preserve"> lack of homogeneity. The term is used in meta-analyses and systematic reviews when the results or estimates of effects of treatment from separate studies seem to be very different in terms of the size of treatment effects or even to the extent that some indicate beneficial and others suggest adverse treatment effects. Such results may occur </w:t>
            </w:r>
            <w:r>
              <w:t>due to</w:t>
            </w:r>
            <w:r w:rsidRPr="00E07B1B">
              <w:t xml:space="preserve"> differences between studies in terms of the patient populations, outcome measures, definition of variables or duration of follow-up</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Hierarchy of evidence</w:t>
            </w:r>
          </w:p>
        </w:tc>
        <w:tc>
          <w:tcPr>
            <w:tcW w:w="7359" w:type="dxa"/>
          </w:tcPr>
          <w:p w:rsidR="0025490C" w:rsidRPr="00E07B1B" w:rsidRDefault="0025490C" w:rsidP="006452A9">
            <w:pPr>
              <w:pStyle w:val="TableText"/>
              <w:spacing w:before="0" w:after="150"/>
            </w:pPr>
            <w:r w:rsidRPr="00E07B1B">
              <w:t>An established hierarchy of study types, based on the degree of certainty that can be attributed to the conclusions that can be drawn from a well-conducted study. Well</w:t>
            </w:r>
            <w:r>
              <w:t>-</w:t>
            </w:r>
            <w:r w:rsidRPr="00E07B1B">
              <w:t>conducted randomised controlled trials (RCTs) are at the top of this hierarchy (for example, several large</w:t>
            </w:r>
            <w:r>
              <w:t>,</w:t>
            </w:r>
            <w:r w:rsidRPr="00E07B1B">
              <w:t xml:space="preserve"> statistically significant RCTs </w:t>
            </w:r>
            <w:r>
              <w:t>that</w:t>
            </w:r>
            <w:r w:rsidRPr="00E07B1B">
              <w:t xml:space="preserve"> are in agreement represent stronger evidence than one small RCT). Well-conducted studies of patients</w:t>
            </w:r>
            <w:r w:rsidR="0068074A">
              <w:t>’</w:t>
            </w:r>
            <w:r w:rsidRPr="00E07B1B">
              <w:t xml:space="preserve"> views and experiences would appear at a lower level in the hierarchy of evidence</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Homogeneity</w:t>
            </w:r>
          </w:p>
        </w:tc>
        <w:tc>
          <w:tcPr>
            <w:tcW w:w="7359" w:type="dxa"/>
          </w:tcPr>
          <w:p w:rsidR="0025490C" w:rsidRPr="00E07B1B" w:rsidRDefault="0025490C" w:rsidP="006452A9">
            <w:pPr>
              <w:pStyle w:val="TableText"/>
              <w:spacing w:before="0" w:after="150"/>
            </w:pPr>
            <w:r>
              <w:t>Where</w:t>
            </w:r>
            <w:r w:rsidRPr="00E07B1B">
              <w:t xml:space="preserve"> the results of studies included in a systematic review or meta-analysis are similar and there is no evidence of heterogeneity. Results are usually regarded as homogeneous when differences between studies could reasonably be expected to occur by chance</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Hyperglycaemia</w:t>
            </w:r>
          </w:p>
        </w:tc>
        <w:tc>
          <w:tcPr>
            <w:tcW w:w="7359" w:type="dxa"/>
          </w:tcPr>
          <w:p w:rsidR="0025490C" w:rsidRPr="00E07B1B" w:rsidRDefault="0025490C" w:rsidP="006452A9">
            <w:pPr>
              <w:pStyle w:val="TableText"/>
              <w:spacing w:before="0" w:after="150"/>
            </w:pPr>
            <w:r w:rsidRPr="00E07B1B">
              <w:t>Elevated blood sugar levels</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Hypoglycaemic agents</w:t>
            </w:r>
          </w:p>
        </w:tc>
        <w:tc>
          <w:tcPr>
            <w:tcW w:w="7359" w:type="dxa"/>
          </w:tcPr>
          <w:p w:rsidR="0025490C" w:rsidRPr="00E07B1B" w:rsidRDefault="0025490C" w:rsidP="006452A9">
            <w:pPr>
              <w:pStyle w:val="TableText"/>
              <w:spacing w:before="0" w:after="150"/>
            </w:pPr>
            <w:r w:rsidRPr="00E07B1B">
              <w:t>Pharmacological agents that are used to control blood sugar</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Hypertension</w:t>
            </w:r>
          </w:p>
        </w:tc>
        <w:tc>
          <w:tcPr>
            <w:tcW w:w="7359" w:type="dxa"/>
          </w:tcPr>
          <w:p w:rsidR="0025490C" w:rsidRPr="00E07B1B" w:rsidRDefault="0025490C" w:rsidP="006452A9">
            <w:pPr>
              <w:pStyle w:val="TableText"/>
              <w:spacing w:before="0" w:after="150"/>
            </w:pPr>
            <w:r w:rsidRPr="00E07B1B">
              <w:t>High blood pressure</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Hypoglycaemia</w:t>
            </w:r>
          </w:p>
        </w:tc>
        <w:tc>
          <w:tcPr>
            <w:tcW w:w="7359" w:type="dxa"/>
          </w:tcPr>
          <w:p w:rsidR="0025490C" w:rsidRPr="00E07B1B" w:rsidRDefault="0025490C" w:rsidP="006452A9">
            <w:pPr>
              <w:pStyle w:val="TableText"/>
              <w:spacing w:before="0" w:after="150"/>
            </w:pPr>
            <w:r w:rsidRPr="00E07B1B">
              <w:t>Low blood glucose level</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Interquartile range</w:t>
            </w:r>
          </w:p>
        </w:tc>
        <w:tc>
          <w:tcPr>
            <w:tcW w:w="7359" w:type="dxa"/>
          </w:tcPr>
          <w:p w:rsidR="0025490C" w:rsidRPr="00E07B1B" w:rsidRDefault="0025490C" w:rsidP="006452A9">
            <w:pPr>
              <w:pStyle w:val="TableText"/>
              <w:spacing w:before="0" w:after="150"/>
            </w:pPr>
            <w:r w:rsidRPr="00E07B1B">
              <w:t>Difference between the first quartile (25</w:t>
            </w:r>
            <w:r w:rsidRPr="00F902FD">
              <w:t>th</w:t>
            </w:r>
            <w:r w:rsidRPr="00E07B1B">
              <w:t xml:space="preserve"> percentile) and the third quartile (75</w:t>
            </w:r>
            <w:r w:rsidRPr="00F902FD">
              <w:t>th</w:t>
            </w:r>
            <w:r w:rsidRPr="00E07B1B">
              <w:t xml:space="preserve"> percentile) of an ordered range of data</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Macrosomia</w:t>
            </w:r>
          </w:p>
        </w:tc>
        <w:tc>
          <w:tcPr>
            <w:tcW w:w="7359" w:type="dxa"/>
          </w:tcPr>
          <w:p w:rsidR="0025490C" w:rsidRPr="00E07B1B" w:rsidRDefault="0025490C" w:rsidP="006452A9">
            <w:pPr>
              <w:pStyle w:val="TableText"/>
              <w:spacing w:before="0" w:after="150"/>
            </w:pPr>
            <w:r w:rsidRPr="00E07B1B">
              <w:t>A</w:t>
            </w:r>
            <w:r>
              <w:t xml:space="preserve"> condition in which a baby is</w:t>
            </w:r>
            <w:r w:rsidRPr="00E07B1B">
              <w:t xml:space="preserve"> large, often deﬁned as having a birthweight above the 90</w:t>
            </w:r>
            <w:r w:rsidRPr="00F902FD">
              <w:t>th</w:t>
            </w:r>
            <w:r w:rsidRPr="00E07B1B">
              <w:t xml:space="preserve"> centile for gestation or a birthweight of 4000 g or more</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Methodological quality</w:t>
            </w:r>
          </w:p>
        </w:tc>
        <w:tc>
          <w:tcPr>
            <w:tcW w:w="7359" w:type="dxa"/>
          </w:tcPr>
          <w:p w:rsidR="0025490C" w:rsidRPr="00E07B1B" w:rsidRDefault="0025490C" w:rsidP="006452A9">
            <w:pPr>
              <w:pStyle w:val="TableText"/>
              <w:spacing w:before="0" w:after="150"/>
            </w:pPr>
            <w:r w:rsidRPr="00E07B1B">
              <w:t>The extent to which a study has conformed to recognised good practice in the design and execution of its research methods</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Necrotising enterocolitis</w:t>
            </w:r>
          </w:p>
        </w:tc>
        <w:tc>
          <w:tcPr>
            <w:tcW w:w="7359" w:type="dxa"/>
          </w:tcPr>
          <w:p w:rsidR="0025490C" w:rsidRPr="00E07B1B" w:rsidRDefault="0025490C" w:rsidP="006452A9">
            <w:pPr>
              <w:pStyle w:val="TableText"/>
              <w:spacing w:before="0" w:after="150"/>
            </w:pPr>
            <w:r w:rsidRPr="00E07B1B">
              <w:t xml:space="preserve">A medical condition primarily seen in premature infants, where portions of the bowel </w:t>
            </w:r>
            <w:r w:rsidR="00B53EF0">
              <w:t>undergo tissue death (necrosis).</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Negative predictive value (NPV)</w:t>
            </w:r>
          </w:p>
        </w:tc>
        <w:tc>
          <w:tcPr>
            <w:tcW w:w="7359" w:type="dxa"/>
          </w:tcPr>
          <w:p w:rsidR="0025490C" w:rsidRPr="00E07B1B" w:rsidRDefault="0025490C" w:rsidP="006452A9">
            <w:pPr>
              <w:pStyle w:val="TableText"/>
              <w:spacing w:before="0" w:after="150"/>
            </w:pPr>
            <w:r w:rsidRPr="00E07B1B">
              <w:t xml:space="preserve">The proportion of people with a negative test result who do not have the disease (where not having the disease is indicated by the </w:t>
            </w:r>
            <w:r w:rsidR="0068074A">
              <w:t>‘</w:t>
            </w:r>
            <w:r w:rsidRPr="00E07B1B">
              <w:t>gold standard</w:t>
            </w:r>
            <w:r w:rsidR="0068074A">
              <w:t>’</w:t>
            </w:r>
            <w:r w:rsidRPr="00E07B1B">
              <w:t xml:space="preserve"> test being negative)</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 xml:space="preserve">Neonatal </w:t>
            </w:r>
          </w:p>
        </w:tc>
        <w:tc>
          <w:tcPr>
            <w:tcW w:w="7359" w:type="dxa"/>
          </w:tcPr>
          <w:p w:rsidR="0025490C" w:rsidRPr="00E07B1B" w:rsidRDefault="0025490C" w:rsidP="006452A9">
            <w:pPr>
              <w:pStyle w:val="TableText"/>
              <w:spacing w:before="0" w:after="150"/>
            </w:pPr>
            <w:r w:rsidRPr="00E07B1B">
              <w:t>Pertaining to the neonatal period</w:t>
            </w:r>
            <w:r>
              <w:t>,</w:t>
            </w:r>
            <w:r w:rsidRPr="00E07B1B">
              <w:t xml:space="preserve"> which is t</w:t>
            </w:r>
            <w:r w:rsidR="00B53EF0">
              <w:t>he first four weeks after birth.</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Neonate</w:t>
            </w:r>
          </w:p>
        </w:tc>
        <w:tc>
          <w:tcPr>
            <w:tcW w:w="7359" w:type="dxa"/>
          </w:tcPr>
          <w:p w:rsidR="0025490C" w:rsidRPr="00E07B1B" w:rsidRDefault="0025490C" w:rsidP="006452A9">
            <w:pPr>
              <w:pStyle w:val="TableText"/>
              <w:spacing w:before="0" w:after="150"/>
            </w:pPr>
            <w:r w:rsidRPr="00E07B1B">
              <w:t xml:space="preserve">An infant in the first </w:t>
            </w:r>
            <w:r>
              <w:t>four</w:t>
            </w:r>
            <w:r w:rsidR="00B53EF0">
              <w:t xml:space="preserve"> weeks of life.</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Number needed to treat to benefit</w:t>
            </w:r>
          </w:p>
        </w:tc>
        <w:tc>
          <w:tcPr>
            <w:tcW w:w="7359" w:type="dxa"/>
          </w:tcPr>
          <w:p w:rsidR="0025490C" w:rsidRPr="00E07B1B" w:rsidRDefault="0025490C" w:rsidP="006452A9">
            <w:pPr>
              <w:pStyle w:val="TableText"/>
              <w:spacing w:before="0" w:after="150"/>
            </w:pPr>
            <w:r w:rsidRPr="00E07B1B">
              <w:t>The number of patients who need to be treated with the new or intervention treatment (rather than the control treatment) for one patient to benefit from the new treatment</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Observational studies</w:t>
            </w:r>
          </w:p>
        </w:tc>
        <w:tc>
          <w:tcPr>
            <w:tcW w:w="7359" w:type="dxa"/>
          </w:tcPr>
          <w:p w:rsidR="0025490C" w:rsidRPr="00E07B1B" w:rsidRDefault="0025490C" w:rsidP="006452A9">
            <w:pPr>
              <w:pStyle w:val="TableText"/>
              <w:spacing w:before="0" w:after="150"/>
            </w:pPr>
            <w:r w:rsidRPr="00E07B1B">
              <w:t>A study in which the investigators do not seek to intervene, and simply observe the course of events. Changes or differences in one characteristic (eg</w:t>
            </w:r>
            <w:r>
              <w:t>,</w:t>
            </w:r>
            <w:r w:rsidRPr="00E07B1B">
              <w:t xml:space="preserve"> whether or not people received the intervention of interest) are studied in relation to changes or differences in other characteristic(s) (eg</w:t>
            </w:r>
            <w:r>
              <w:t>,</w:t>
            </w:r>
            <w:r w:rsidRPr="00E07B1B">
              <w:t xml:space="preserve"> whether or not they died), without action by the investigator. There is greater risk of selection bias than in experimental studies</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Odds ratio (OR)</w:t>
            </w:r>
          </w:p>
        </w:tc>
        <w:tc>
          <w:tcPr>
            <w:tcW w:w="7359" w:type="dxa"/>
          </w:tcPr>
          <w:p w:rsidR="0025490C" w:rsidRPr="00E07B1B" w:rsidRDefault="0025490C" w:rsidP="006452A9">
            <w:pPr>
              <w:pStyle w:val="TableText"/>
              <w:spacing w:before="0" w:after="150"/>
            </w:pPr>
            <w:r w:rsidRPr="00E07B1B">
              <w:t xml:space="preserve">The odds of the outcome in the intervention group to the odds of </w:t>
            </w:r>
            <w:r w:rsidR="00B53EF0">
              <w:t>an outcome in the control group.</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Parity</w:t>
            </w:r>
          </w:p>
        </w:tc>
        <w:tc>
          <w:tcPr>
            <w:tcW w:w="7359" w:type="dxa"/>
          </w:tcPr>
          <w:p w:rsidR="0025490C" w:rsidRPr="00E07B1B" w:rsidRDefault="0025490C" w:rsidP="00B53EF0">
            <w:pPr>
              <w:pStyle w:val="TableText"/>
              <w:spacing w:before="0" w:after="150"/>
            </w:pPr>
            <w:r w:rsidRPr="00E07B1B">
              <w:t>The number of times a woman has given birth to a fetus with a gestational age of 20</w:t>
            </w:r>
            <w:r w:rsidR="00B53EF0">
              <w:t> </w:t>
            </w:r>
            <w:r w:rsidRPr="00E07B1B">
              <w:t>weeks or more, regardless of whether the child was born alive or was stillborn</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Placebo</w:t>
            </w:r>
          </w:p>
        </w:tc>
        <w:tc>
          <w:tcPr>
            <w:tcW w:w="7359" w:type="dxa"/>
          </w:tcPr>
          <w:p w:rsidR="0025490C" w:rsidRPr="00E07B1B" w:rsidRDefault="0025490C" w:rsidP="006452A9">
            <w:pPr>
              <w:pStyle w:val="TableText"/>
              <w:spacing w:before="0" w:after="150"/>
            </w:pPr>
            <w:r w:rsidRPr="00E07B1B">
              <w:t>An inactive substance or preparation used as a control in an experiment or test to determine the effectiveness of a medicinal drug</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Positive predictive value</w:t>
            </w:r>
          </w:p>
        </w:tc>
        <w:tc>
          <w:tcPr>
            <w:tcW w:w="7359" w:type="dxa"/>
          </w:tcPr>
          <w:p w:rsidR="0025490C" w:rsidRPr="00E07B1B" w:rsidRDefault="0025490C" w:rsidP="006452A9">
            <w:pPr>
              <w:pStyle w:val="TableText"/>
              <w:spacing w:before="0" w:after="150"/>
            </w:pPr>
            <w:r w:rsidRPr="00E07B1B">
              <w:t xml:space="preserve">The proportion of people with a positive test result who have the disease (where having the disease is indicated by the </w:t>
            </w:r>
            <w:r w:rsidR="0068074A">
              <w:t>‘</w:t>
            </w:r>
            <w:r w:rsidRPr="00E07B1B">
              <w:t>gold standard</w:t>
            </w:r>
            <w:r w:rsidR="0068074A">
              <w:t>’</w:t>
            </w:r>
            <w:r w:rsidRPr="00E07B1B">
              <w:t xml:space="preserve"> test being positive)</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Pre-eclampsia</w:t>
            </w:r>
          </w:p>
        </w:tc>
        <w:tc>
          <w:tcPr>
            <w:tcW w:w="7359" w:type="dxa"/>
          </w:tcPr>
          <w:p w:rsidR="0025490C" w:rsidRPr="00E07B1B" w:rsidRDefault="0025490C" w:rsidP="006452A9">
            <w:pPr>
              <w:pStyle w:val="TableText"/>
              <w:spacing w:before="0" w:after="150"/>
            </w:pPr>
            <w:r w:rsidRPr="00E07B1B">
              <w:t>A pregnancy</w:t>
            </w:r>
            <w:r>
              <w:t>-</w:t>
            </w:r>
            <w:r w:rsidRPr="00E07B1B">
              <w:t xml:space="preserve">induced condition </w:t>
            </w:r>
            <w:r>
              <w:t>that</w:t>
            </w:r>
            <w:r w:rsidRPr="00E07B1B">
              <w:t xml:space="preserve"> can occur in the second half of pregnancy. It is characterised by high blood pressure, swelling that happens suddenly along with rapid weight gain due to fluid retention, and protein in the urine</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Preterm birth</w:t>
            </w:r>
          </w:p>
        </w:tc>
        <w:tc>
          <w:tcPr>
            <w:tcW w:w="7359" w:type="dxa"/>
          </w:tcPr>
          <w:p w:rsidR="0025490C" w:rsidRPr="00E07B1B" w:rsidRDefault="0025490C" w:rsidP="006452A9">
            <w:pPr>
              <w:pStyle w:val="TableText"/>
              <w:spacing w:before="0" w:after="150"/>
            </w:pPr>
            <w:r w:rsidRPr="00E07B1B">
              <w:t>The birth of a baby of less than 37 weeks</w:t>
            </w:r>
            <w:r w:rsidR="0068074A">
              <w:t>’</w:t>
            </w:r>
            <w:r w:rsidRPr="00E07B1B">
              <w:t xml:space="preserve"> gestation</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Prevalence</w:t>
            </w:r>
          </w:p>
        </w:tc>
        <w:tc>
          <w:tcPr>
            <w:tcW w:w="7359" w:type="dxa"/>
          </w:tcPr>
          <w:p w:rsidR="0025490C" w:rsidRPr="00E07B1B" w:rsidRDefault="0025490C" w:rsidP="006452A9">
            <w:pPr>
              <w:pStyle w:val="TableText"/>
              <w:spacing w:before="0" w:after="150"/>
            </w:pPr>
            <w:r w:rsidRPr="00E07B1B">
              <w:t>The proportion of individuals in a population having a disease</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i/>
              </w:rPr>
              <w:t>p</w:t>
            </w:r>
            <w:r w:rsidRPr="006452A9">
              <w:rPr>
                <w:b/>
              </w:rPr>
              <w:t>-value</w:t>
            </w:r>
          </w:p>
        </w:tc>
        <w:tc>
          <w:tcPr>
            <w:tcW w:w="7359" w:type="dxa"/>
          </w:tcPr>
          <w:p w:rsidR="0025490C" w:rsidRPr="00E07B1B" w:rsidRDefault="0025490C" w:rsidP="006452A9">
            <w:pPr>
              <w:pStyle w:val="TableText"/>
              <w:spacing w:before="0" w:after="150"/>
            </w:pPr>
            <w:r w:rsidRPr="00E07B1B">
              <w:t xml:space="preserve">Used in hypothesis testing where initially it is assumed that there is no difference between two treatments. The </w:t>
            </w:r>
            <w:r w:rsidRPr="00F902FD">
              <w:rPr>
                <w:i/>
              </w:rPr>
              <w:t>p</w:t>
            </w:r>
            <w:r w:rsidRPr="00E07B1B">
              <w:t xml:space="preserve">-value is the probability that the difference observed in a study between the two treatments might have occurred by chance. Small </w:t>
            </w:r>
            <w:r w:rsidRPr="00F902FD">
              <w:rPr>
                <w:i/>
              </w:rPr>
              <w:t>p</w:t>
            </w:r>
            <w:r w:rsidRPr="00E07B1B">
              <w:t xml:space="preserve">-values indicate evidence against an assumption of no difference. Large </w:t>
            </w:r>
            <w:r w:rsidRPr="00F902FD">
              <w:rPr>
                <w:i/>
              </w:rPr>
              <w:t>p</w:t>
            </w:r>
            <w:r w:rsidRPr="00E07B1B">
              <w:t xml:space="preserve">-values indicate insufficient evidence against the assumption of no difference between treatments, </w:t>
            </w:r>
            <w:r>
              <w:rPr>
                <w:b/>
              </w:rPr>
              <w:t>not</w:t>
            </w:r>
            <w:r w:rsidRPr="00E07B1B">
              <w:t xml:space="preserve"> that there is actually no difference between treatments. </w:t>
            </w:r>
            <w:r>
              <w:t xml:space="preserve">A </w:t>
            </w:r>
            <w:r>
              <w:rPr>
                <w:i/>
              </w:rPr>
              <w:t>p</w:t>
            </w:r>
            <w:r w:rsidRPr="00E07B1B">
              <w:t>-value will depend on study size; large studies can detect small differences</w:t>
            </w:r>
            <w:r>
              <w:t>,</w:t>
            </w:r>
            <w:r w:rsidR="00B53EF0">
              <w:t xml:space="preserve"> for example.</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Postnatal</w:t>
            </w:r>
          </w:p>
        </w:tc>
        <w:tc>
          <w:tcPr>
            <w:tcW w:w="7359" w:type="dxa"/>
          </w:tcPr>
          <w:p w:rsidR="0025490C" w:rsidRPr="00E07B1B" w:rsidRDefault="0025490C" w:rsidP="006452A9">
            <w:pPr>
              <w:pStyle w:val="TableText"/>
              <w:spacing w:before="0" w:after="150"/>
            </w:pPr>
            <w:r w:rsidRPr="00E07B1B">
              <w:t>Occurring after birth; concerned with the care and treatment of the baby and pregnant women after birth</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Postpartum</w:t>
            </w:r>
          </w:p>
        </w:tc>
        <w:tc>
          <w:tcPr>
            <w:tcW w:w="7359" w:type="dxa"/>
          </w:tcPr>
          <w:p w:rsidR="0025490C" w:rsidRPr="00E07B1B" w:rsidRDefault="0025490C" w:rsidP="006452A9">
            <w:pPr>
              <w:pStyle w:val="TableText"/>
              <w:spacing w:before="0" w:after="150"/>
            </w:pPr>
            <w:r w:rsidRPr="00E07B1B">
              <w:t>The period of time after</w:t>
            </w:r>
            <w:r>
              <w:t xml:space="preserve"> </w:t>
            </w:r>
            <w:r w:rsidRPr="00E07B1B">
              <w:t>birth</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Postprandial</w:t>
            </w:r>
          </w:p>
        </w:tc>
        <w:tc>
          <w:tcPr>
            <w:tcW w:w="7359" w:type="dxa"/>
          </w:tcPr>
          <w:p w:rsidR="0025490C" w:rsidRPr="00E07B1B" w:rsidRDefault="0025490C" w:rsidP="006452A9">
            <w:pPr>
              <w:pStyle w:val="TableText"/>
              <w:spacing w:before="0" w:after="150"/>
            </w:pPr>
            <w:r w:rsidRPr="00E07B1B">
              <w:t>After a meal</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Randomised controlled trial</w:t>
            </w:r>
          </w:p>
        </w:tc>
        <w:tc>
          <w:tcPr>
            <w:tcW w:w="7359" w:type="dxa"/>
          </w:tcPr>
          <w:p w:rsidR="0025490C" w:rsidRPr="00E07B1B" w:rsidRDefault="0025490C" w:rsidP="006452A9">
            <w:pPr>
              <w:pStyle w:val="TableText"/>
              <w:spacing w:before="0" w:after="150"/>
            </w:pPr>
            <w:r w:rsidRPr="00E07B1B">
              <w:t>A comparative study in which participants are randomly allocated to intervention and control groups and followed up to examine differences</w:t>
            </w:r>
            <w:r w:rsidR="00B53EF0">
              <w:t xml:space="preserve"> in outcomes between the groups.</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Reference standard</w:t>
            </w:r>
          </w:p>
        </w:tc>
        <w:tc>
          <w:tcPr>
            <w:tcW w:w="7359" w:type="dxa"/>
          </w:tcPr>
          <w:p w:rsidR="0025490C" w:rsidRPr="00E07B1B" w:rsidRDefault="0025490C" w:rsidP="006452A9">
            <w:pPr>
              <w:pStyle w:val="TableText"/>
              <w:spacing w:before="0" w:after="150"/>
            </w:pPr>
            <w:r w:rsidRPr="00E07B1B">
              <w:t>A method, procedure or measurement that is widely accepted as being the best available. Also called a gold standard</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Regimen</w:t>
            </w:r>
          </w:p>
        </w:tc>
        <w:tc>
          <w:tcPr>
            <w:tcW w:w="7359" w:type="dxa"/>
          </w:tcPr>
          <w:p w:rsidR="0025490C" w:rsidRPr="00E07B1B" w:rsidRDefault="0025490C" w:rsidP="006452A9">
            <w:pPr>
              <w:pStyle w:val="TableText"/>
              <w:spacing w:before="0" w:after="150"/>
            </w:pPr>
            <w:r w:rsidRPr="00E07B1B">
              <w:t>A pattern of treatment, eg</w:t>
            </w:r>
            <w:r>
              <w:t>,</w:t>
            </w:r>
            <w:r w:rsidR="00B53EF0">
              <w:t xml:space="preserve"> dose, frequency of a drug.</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Risk of bias</w:t>
            </w:r>
          </w:p>
        </w:tc>
        <w:tc>
          <w:tcPr>
            <w:tcW w:w="7359" w:type="dxa"/>
          </w:tcPr>
          <w:p w:rsidR="0025490C" w:rsidRPr="00E07B1B" w:rsidRDefault="0025490C" w:rsidP="006452A9">
            <w:pPr>
              <w:pStyle w:val="TableText"/>
              <w:spacing w:before="0" w:after="150"/>
            </w:pPr>
            <w:r>
              <w:t xml:space="preserve">The extent to which </w:t>
            </w:r>
            <w:r w:rsidRPr="00E07B1B">
              <w:t>the reported outcomes of a study</w:t>
            </w:r>
            <w:r>
              <w:t xml:space="preserve"> are at risk of bias, which</w:t>
            </w:r>
            <w:r w:rsidRPr="00E07B1B">
              <w:t xml:space="preserve"> may be caused by an inadequacy in the way the study is designed or conducted. For example</w:t>
            </w:r>
            <w:r>
              <w:t>,</w:t>
            </w:r>
            <w:r w:rsidRPr="00E07B1B">
              <w:t xml:space="preserve"> if any of the following aspects of the trial were not conducted properly then the trial may be said to have an increased risk of bias: the random allocation of the treatments, allocation concealment, blinding of researchers during intervention and measurement of outcomes, missing outcome da</w:t>
            </w:r>
            <w:r w:rsidR="00B53EF0">
              <w:t>ta, selective outcome reporting.</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Risk ratio (RR)</w:t>
            </w:r>
          </w:p>
        </w:tc>
        <w:tc>
          <w:tcPr>
            <w:tcW w:w="7359" w:type="dxa"/>
          </w:tcPr>
          <w:p w:rsidR="0025490C" w:rsidRPr="00E07B1B" w:rsidRDefault="0025490C" w:rsidP="006452A9">
            <w:pPr>
              <w:pStyle w:val="TableText"/>
              <w:spacing w:before="0" w:after="150"/>
            </w:pPr>
            <w:r w:rsidRPr="00E07B1B">
              <w:t xml:space="preserve">The ratio of risks in two treatment groups. In intervention studies, it is the ratio of the risk in the intervention group to the risk in the control group. A risk ratio of </w:t>
            </w:r>
            <w:r>
              <w:t>1</w:t>
            </w:r>
            <w:r w:rsidRPr="00E07B1B">
              <w:t xml:space="preserve"> indicates no difference between comparison groups. For undesirable outcomes, a risk ratio that is less than </w:t>
            </w:r>
            <w:r>
              <w:t>1</w:t>
            </w:r>
            <w:r w:rsidRPr="00E07B1B">
              <w:t xml:space="preserve"> indicates that the intervention was effective in reducing the risk of that outcome.</w:t>
            </w:r>
            <w:r>
              <w:t xml:space="preserve"> </w:t>
            </w:r>
            <w:r w:rsidRPr="00E07B1B">
              <w:t xml:space="preserve">(Also called </w:t>
            </w:r>
            <w:r>
              <w:t>r</w:t>
            </w:r>
            <w:r w:rsidRPr="00E07B1B">
              <w:t>elative risk)</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Sample size</w:t>
            </w:r>
          </w:p>
        </w:tc>
        <w:tc>
          <w:tcPr>
            <w:tcW w:w="7359" w:type="dxa"/>
          </w:tcPr>
          <w:p w:rsidR="0025490C" w:rsidRPr="00E07B1B" w:rsidRDefault="0025490C" w:rsidP="006452A9">
            <w:pPr>
              <w:pStyle w:val="TableText"/>
              <w:spacing w:before="0" w:after="150"/>
            </w:pPr>
            <w:r w:rsidRPr="00E07B1B">
              <w:t>The number of units (</w:t>
            </w:r>
            <w:r>
              <w:t>people</w:t>
            </w:r>
            <w:r w:rsidRPr="00E07B1B">
              <w:t>, animals, patients, specified circumstances, etc) in a population to be studied. The sample size should be big enough to have a high likelihood of detecting a tru</w:t>
            </w:r>
            <w:r w:rsidR="00B53EF0">
              <w:t>e difference between two groups.</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Sensitivity</w:t>
            </w:r>
          </w:p>
        </w:tc>
        <w:tc>
          <w:tcPr>
            <w:tcW w:w="7359" w:type="dxa"/>
          </w:tcPr>
          <w:p w:rsidR="0025490C" w:rsidRPr="00E07B1B" w:rsidRDefault="0025490C" w:rsidP="006452A9">
            <w:pPr>
              <w:pStyle w:val="TableText"/>
              <w:spacing w:before="0" w:after="150"/>
            </w:pPr>
            <w:r>
              <w:t>T</w:t>
            </w:r>
            <w:r w:rsidRPr="00E07B1B">
              <w:t>he proportion of true positive results that are correctly identified as positive by the test. 100% sensitivity means that all those with a negative test result do not have the disease. Specificity should be considered alongside sensitivity to fully judge the accuracy of a test</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Shoulder dystocia</w:t>
            </w:r>
          </w:p>
        </w:tc>
        <w:tc>
          <w:tcPr>
            <w:tcW w:w="7359" w:type="dxa"/>
          </w:tcPr>
          <w:p w:rsidR="0025490C" w:rsidRPr="00E07B1B" w:rsidRDefault="0025490C" w:rsidP="006452A9">
            <w:pPr>
              <w:pStyle w:val="TableText"/>
              <w:spacing w:before="0" w:after="150"/>
            </w:pPr>
            <w:r w:rsidRPr="00E07B1B">
              <w:t>Any documented evidence of difficulty with delivering the shoulders after delivery of the baby</w:t>
            </w:r>
            <w:r w:rsidR="0068074A">
              <w:t>’</w:t>
            </w:r>
            <w:r w:rsidRPr="00E07B1B">
              <w:t>s head</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Sliding scale</w:t>
            </w:r>
          </w:p>
        </w:tc>
        <w:tc>
          <w:tcPr>
            <w:tcW w:w="7359" w:type="dxa"/>
          </w:tcPr>
          <w:p w:rsidR="0025490C" w:rsidRPr="00E07B1B" w:rsidRDefault="0025490C" w:rsidP="006452A9">
            <w:pPr>
              <w:pStyle w:val="TableText"/>
              <w:spacing w:before="0" w:after="150"/>
            </w:pPr>
            <w:r w:rsidRPr="00E07B1B">
              <w:t>Intravenous insulin and dextrose infusions with a set of instructions for adjusting the dose of insulin on the basis of blood glucose test results</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Specificity</w:t>
            </w:r>
          </w:p>
        </w:tc>
        <w:tc>
          <w:tcPr>
            <w:tcW w:w="7359" w:type="dxa"/>
          </w:tcPr>
          <w:p w:rsidR="0025490C" w:rsidRPr="00E07B1B" w:rsidRDefault="0025490C" w:rsidP="006452A9">
            <w:pPr>
              <w:pStyle w:val="TableText"/>
              <w:spacing w:before="0" w:after="150"/>
            </w:pPr>
            <w:r>
              <w:t>T</w:t>
            </w:r>
            <w:r w:rsidRPr="00E07B1B">
              <w:t>he proportion of true negative results that are correctly identified as negative by the test. 100% specificity means that all those with a positive test result have the disease. Sensitivity should be considered alongside specificity</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Stillbirth</w:t>
            </w:r>
          </w:p>
        </w:tc>
        <w:tc>
          <w:tcPr>
            <w:tcW w:w="7359" w:type="dxa"/>
          </w:tcPr>
          <w:p w:rsidR="0025490C" w:rsidRPr="00E07B1B" w:rsidRDefault="0025490C" w:rsidP="006452A9">
            <w:pPr>
              <w:pStyle w:val="TableText"/>
              <w:spacing w:before="0" w:after="150"/>
            </w:pPr>
            <w:r w:rsidRPr="00E07B1B">
              <w:t>Death in a fetus ≥ 400 g or at least 20 weeks</w:t>
            </w:r>
            <w:r w:rsidR="0068074A">
              <w:t>’</w:t>
            </w:r>
            <w:r w:rsidRPr="00E07B1B">
              <w:t xml:space="preserve"> gestational age</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Study population</w:t>
            </w:r>
          </w:p>
        </w:tc>
        <w:tc>
          <w:tcPr>
            <w:tcW w:w="7359" w:type="dxa"/>
          </w:tcPr>
          <w:p w:rsidR="0025490C" w:rsidRPr="00E07B1B" w:rsidRDefault="0025490C" w:rsidP="006452A9">
            <w:pPr>
              <w:pStyle w:val="TableText"/>
              <w:spacing w:before="0" w:after="150"/>
            </w:pPr>
            <w:r>
              <w:t>All of the p</w:t>
            </w:r>
            <w:r w:rsidRPr="00E07B1B">
              <w:t>eople who have been identified as the subjects of a study</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Systematic review</w:t>
            </w:r>
          </w:p>
        </w:tc>
        <w:tc>
          <w:tcPr>
            <w:tcW w:w="7359" w:type="dxa"/>
          </w:tcPr>
          <w:p w:rsidR="0025490C" w:rsidRPr="00E07B1B" w:rsidRDefault="0025490C" w:rsidP="006452A9">
            <w:pPr>
              <w:pStyle w:val="TableText"/>
              <w:spacing w:before="0" w:after="150"/>
            </w:pPr>
            <w:r w:rsidRPr="00E07B1B">
              <w:t>A review of a clearly formulated question using systematic and explicit methods to identify, select and critically appraise relevant research, and to collect and analyse data from the studies that are included in the review. Statistical methods may or may not</w:t>
            </w:r>
            <w:r w:rsidR="00B53EF0">
              <w:t xml:space="preserve"> be used to analyse the results.</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Trimester</w:t>
            </w:r>
          </w:p>
        </w:tc>
        <w:tc>
          <w:tcPr>
            <w:tcW w:w="7359" w:type="dxa"/>
          </w:tcPr>
          <w:p w:rsidR="0025490C" w:rsidRPr="00E07B1B" w:rsidRDefault="0025490C" w:rsidP="006452A9">
            <w:pPr>
              <w:pStyle w:val="TableText"/>
              <w:spacing w:before="0" w:after="150"/>
            </w:pPr>
            <w:r w:rsidRPr="00E07B1B">
              <w:t xml:space="preserve">One of the </w:t>
            </w:r>
            <w:r>
              <w:t>three-</w:t>
            </w:r>
            <w:r w:rsidRPr="00E07B1B">
              <w:t xml:space="preserve">month periods into which pregnancy is divided. The </w:t>
            </w:r>
            <w:r>
              <w:t>first</w:t>
            </w:r>
            <w:r w:rsidRPr="00E07B1B">
              <w:t xml:space="preserve"> trimester is 0–13 weeks of gestation, the </w:t>
            </w:r>
            <w:r>
              <w:t>second</w:t>
            </w:r>
            <w:r w:rsidRPr="00E07B1B">
              <w:t xml:space="preserve"> trimester is 14–26 weeks of gestation, and the </w:t>
            </w:r>
            <w:r>
              <w:t>third</w:t>
            </w:r>
            <w:r w:rsidRPr="00E07B1B">
              <w:t xml:space="preserve"> trimester is 27 weeks of gestation until birth</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Type 1 diabetes mellitus</w:t>
            </w:r>
          </w:p>
        </w:tc>
        <w:tc>
          <w:tcPr>
            <w:tcW w:w="7359" w:type="dxa"/>
          </w:tcPr>
          <w:p w:rsidR="0025490C" w:rsidRPr="00E07B1B" w:rsidRDefault="0025490C" w:rsidP="006452A9">
            <w:pPr>
              <w:pStyle w:val="TableText"/>
              <w:spacing w:before="0" w:after="150"/>
            </w:pPr>
            <w:r w:rsidRPr="00E07B1B">
              <w:t>An absolute deﬁciency of insulin production. It accounts for 5</w:t>
            </w:r>
            <w:r>
              <w:t>–</w:t>
            </w:r>
            <w:r w:rsidRPr="00E07B1B">
              <w:t>15% of all people with diabetes</w:t>
            </w:r>
            <w:r w:rsidR="00B53EF0">
              <w:t>.</w:t>
            </w:r>
          </w:p>
        </w:tc>
      </w:tr>
      <w:tr w:rsidR="0025490C" w:rsidRPr="00E07B1B" w:rsidTr="006452A9">
        <w:trPr>
          <w:cantSplit/>
        </w:trPr>
        <w:tc>
          <w:tcPr>
            <w:tcW w:w="2196" w:type="dxa"/>
          </w:tcPr>
          <w:p w:rsidR="0025490C" w:rsidRPr="006452A9" w:rsidRDefault="0025490C" w:rsidP="006452A9">
            <w:pPr>
              <w:pStyle w:val="TableText"/>
              <w:spacing w:before="0" w:after="150"/>
              <w:ind w:right="142"/>
              <w:rPr>
                <w:b/>
              </w:rPr>
            </w:pPr>
            <w:r w:rsidRPr="006452A9">
              <w:rPr>
                <w:b/>
              </w:rPr>
              <w:t>Type 2 diabetes mellitus</w:t>
            </w:r>
          </w:p>
        </w:tc>
        <w:tc>
          <w:tcPr>
            <w:tcW w:w="7359" w:type="dxa"/>
          </w:tcPr>
          <w:p w:rsidR="0025490C" w:rsidRPr="00E07B1B" w:rsidRDefault="0025490C" w:rsidP="006452A9">
            <w:pPr>
              <w:pStyle w:val="TableText"/>
              <w:spacing w:before="0" w:after="150"/>
            </w:pPr>
            <w:r w:rsidRPr="00E07B1B">
              <w:t>A relative deﬁciency of insulin production, and/or the insulin produced is not effective (insulin resistance). It accounts for 85</w:t>
            </w:r>
            <w:r>
              <w:t>–</w:t>
            </w:r>
            <w:r w:rsidRPr="00E07B1B">
              <w:t>95% of all people with diabetes</w:t>
            </w:r>
            <w:r w:rsidR="00B53EF0">
              <w:t>.</w:t>
            </w:r>
          </w:p>
        </w:tc>
      </w:tr>
    </w:tbl>
    <w:p w:rsidR="0025490C" w:rsidRDefault="0025490C" w:rsidP="00B53EF0"/>
    <w:p w:rsidR="007910D2" w:rsidRDefault="007910D2">
      <w:pPr>
        <w:spacing w:line="240" w:lineRule="auto"/>
      </w:pPr>
      <w:r>
        <w:br w:type="page"/>
      </w:r>
    </w:p>
    <w:p w:rsidR="007910D2" w:rsidRDefault="007910D2" w:rsidP="007910D2">
      <w:pPr>
        <w:pStyle w:val="Heading1"/>
      </w:pPr>
      <w:bookmarkStart w:id="373" w:name="_Toc403469692"/>
      <w:r>
        <w:t>Appendices</w:t>
      </w:r>
      <w:bookmarkEnd w:id="373"/>
    </w:p>
    <w:p w:rsidR="0025490C" w:rsidRPr="00E07B1B" w:rsidRDefault="0025490C" w:rsidP="007910D2">
      <w:pPr>
        <w:pStyle w:val="Heading2"/>
        <w:rPr>
          <w:noProof/>
        </w:rPr>
      </w:pPr>
      <w:bookmarkStart w:id="374" w:name="_Toc402873632"/>
      <w:bookmarkStart w:id="375" w:name="_Toc403469693"/>
      <w:r w:rsidRPr="00E07B1B">
        <w:t>Appendix A</w:t>
      </w:r>
      <w:r>
        <w:t>:</w:t>
      </w:r>
      <w:r w:rsidRPr="00E07B1B">
        <w:t xml:space="preserve"> Methods and searching</w:t>
      </w:r>
      <w:bookmarkEnd w:id="372"/>
      <w:bookmarkEnd w:id="374"/>
      <w:bookmarkEnd w:id="375"/>
    </w:p>
    <w:p w:rsidR="0025490C" w:rsidRDefault="0025490C" w:rsidP="00EE1CCB">
      <w:r>
        <w:t>This appendix</w:t>
      </w:r>
      <w:r w:rsidRPr="00E07B1B">
        <w:t xml:space="preserve"> details the methodology used for the development of this guideline.</w:t>
      </w:r>
    </w:p>
    <w:p w:rsidR="0025490C" w:rsidRPr="00E07B1B" w:rsidRDefault="0025490C" w:rsidP="00EE1CCB"/>
    <w:p w:rsidR="0068074A" w:rsidRDefault="0025490C" w:rsidP="00EE1CCB">
      <w:pPr>
        <w:pStyle w:val="Heading3"/>
      </w:pPr>
      <w:r w:rsidRPr="00F303D3">
        <w:t>Electronic searching</w:t>
      </w:r>
    </w:p>
    <w:p w:rsidR="0025490C" w:rsidRDefault="0025490C" w:rsidP="00EE1CCB">
      <w:r w:rsidRPr="00E07B1B">
        <w:t>Search strategies were developed by an information specialist in conjunction with the research team or were rerun from previous guidelines and systematic reviews where available.</w:t>
      </w:r>
    </w:p>
    <w:p w:rsidR="0025490C" w:rsidRPr="00E07B1B" w:rsidRDefault="0025490C" w:rsidP="00EE1CCB"/>
    <w:p w:rsidR="0025490C" w:rsidRPr="00E07B1B" w:rsidRDefault="0025490C" w:rsidP="00EE1CCB">
      <w:r w:rsidRPr="00E07B1B">
        <w:t xml:space="preserve">Date of searches was limited from 2007 to present unless otherwise stated based on the search dates of the National Institute for </w:t>
      </w:r>
      <w:r>
        <w:t>H</w:t>
      </w:r>
      <w:r w:rsidRPr="00E07B1B">
        <w:t xml:space="preserve">ealth and </w:t>
      </w:r>
      <w:r>
        <w:t xml:space="preserve">Care </w:t>
      </w:r>
      <w:r w:rsidRPr="00E07B1B">
        <w:t>Excellence 2008 guideline and</w:t>
      </w:r>
      <w:r>
        <w:t xml:space="preserve"> from</w:t>
      </w:r>
      <w:r w:rsidRPr="00E07B1B">
        <w:t xml:space="preserve"> 2008 for the screening questions as determined by the Health Technology Assessment screening guideline (Waugh </w:t>
      </w:r>
      <w:r w:rsidR="00D562F2">
        <w:t>et al</w:t>
      </w:r>
      <w:r>
        <w:t xml:space="preserve"> </w:t>
      </w:r>
      <w:r w:rsidRPr="00E07B1B">
        <w:t>2010).</w:t>
      </w:r>
    </w:p>
    <w:p w:rsidR="0025490C" w:rsidRDefault="0025490C" w:rsidP="00EE1CCB"/>
    <w:p w:rsidR="0025490C" w:rsidRPr="00E07B1B" w:rsidRDefault="0025490C" w:rsidP="00EE1CCB">
      <w:r w:rsidRPr="00E07B1B">
        <w:t>The databases that were searched were:</w:t>
      </w:r>
    </w:p>
    <w:p w:rsidR="0025490C" w:rsidRPr="00E07B1B" w:rsidRDefault="0025490C" w:rsidP="00EE1CCB">
      <w:pPr>
        <w:pStyle w:val="Bullet"/>
        <w:spacing w:before="60"/>
      </w:pPr>
      <w:r w:rsidRPr="00E07B1B">
        <w:t>Medline</w:t>
      </w:r>
    </w:p>
    <w:p w:rsidR="0025490C" w:rsidRPr="00E07B1B" w:rsidRDefault="0025490C" w:rsidP="00EE1CCB">
      <w:pPr>
        <w:pStyle w:val="Bullet"/>
        <w:spacing w:before="60"/>
      </w:pPr>
      <w:r w:rsidRPr="00E07B1B">
        <w:t>Embase</w:t>
      </w:r>
    </w:p>
    <w:p w:rsidR="0025490C" w:rsidRPr="00E07B1B" w:rsidRDefault="0025490C" w:rsidP="00EE1CCB">
      <w:pPr>
        <w:pStyle w:val="Bullet"/>
        <w:spacing w:before="60"/>
      </w:pPr>
      <w:r w:rsidRPr="00E07B1B">
        <w:t>Cinahl</w:t>
      </w:r>
    </w:p>
    <w:p w:rsidR="0025490C" w:rsidRPr="00E07B1B" w:rsidRDefault="0025490C" w:rsidP="00EE1CCB">
      <w:pPr>
        <w:pStyle w:val="Bullet"/>
        <w:spacing w:before="60"/>
      </w:pPr>
      <w:r w:rsidRPr="00E07B1B">
        <w:t>CENTRAL</w:t>
      </w:r>
    </w:p>
    <w:p w:rsidR="0025490C" w:rsidRPr="00E07B1B" w:rsidRDefault="0025490C" w:rsidP="00EE1CCB">
      <w:pPr>
        <w:pStyle w:val="Bullet"/>
        <w:spacing w:before="60"/>
      </w:pPr>
      <w:r w:rsidRPr="00E07B1B">
        <w:t>Cochrane Database of Systematic Reviews</w:t>
      </w:r>
    </w:p>
    <w:p w:rsidR="0025490C" w:rsidRPr="00E07B1B" w:rsidRDefault="0025490C" w:rsidP="00EE1CCB">
      <w:pPr>
        <w:pStyle w:val="Bullet"/>
        <w:spacing w:before="60"/>
      </w:pPr>
      <w:r w:rsidRPr="00E07B1B">
        <w:t>HTA database</w:t>
      </w:r>
    </w:p>
    <w:p w:rsidR="0025490C" w:rsidRPr="00E07B1B" w:rsidRDefault="0025490C" w:rsidP="00EE1CCB">
      <w:pPr>
        <w:pStyle w:val="Bullet"/>
        <w:spacing w:before="60"/>
      </w:pPr>
      <w:r w:rsidRPr="00E07B1B">
        <w:t>National Guideline Clearing House</w:t>
      </w:r>
    </w:p>
    <w:p w:rsidR="0025490C" w:rsidRPr="00E07B1B" w:rsidRDefault="0025490C" w:rsidP="00EE1CCB">
      <w:pPr>
        <w:pStyle w:val="Bullet"/>
        <w:spacing w:before="60"/>
      </w:pPr>
      <w:r w:rsidRPr="00E07B1B">
        <w:t>Guidelines International Network Database</w:t>
      </w:r>
    </w:p>
    <w:p w:rsidR="0025490C" w:rsidRPr="00E07B1B" w:rsidRDefault="0025490C" w:rsidP="00EE1CCB">
      <w:pPr>
        <w:pStyle w:val="Bullet"/>
        <w:spacing w:before="60"/>
      </w:pPr>
      <w:r w:rsidRPr="00E07B1B">
        <w:t>Te Puna</w:t>
      </w:r>
    </w:p>
    <w:p w:rsidR="0025490C" w:rsidRPr="00E07B1B" w:rsidRDefault="0025490C" w:rsidP="00EE1CCB">
      <w:pPr>
        <w:pStyle w:val="Bullet"/>
        <w:spacing w:before="60"/>
      </w:pPr>
      <w:r w:rsidRPr="00E07B1B">
        <w:t>Clinical Trials Register</w:t>
      </w:r>
    </w:p>
    <w:p w:rsidR="0025490C" w:rsidRPr="00E07B1B" w:rsidRDefault="0025490C" w:rsidP="00EE1CCB">
      <w:pPr>
        <w:pStyle w:val="Bullet"/>
        <w:spacing w:before="60"/>
      </w:pPr>
      <w:r w:rsidRPr="00E07B1B">
        <w:t>Specialised register of the Pregnancy and Childbirth Cochrane Group</w:t>
      </w:r>
      <w:r>
        <w:t>.</w:t>
      </w:r>
    </w:p>
    <w:p w:rsidR="0025490C" w:rsidRDefault="0025490C" w:rsidP="00EE1CCB"/>
    <w:p w:rsidR="0068074A" w:rsidRDefault="0025490C" w:rsidP="00EE1CCB">
      <w:r w:rsidRPr="00E07B1B">
        <w:t>New Zealand</w:t>
      </w:r>
      <w:r>
        <w:t>-</w:t>
      </w:r>
      <w:r w:rsidRPr="00E07B1B">
        <w:t xml:space="preserve">specific data </w:t>
      </w:r>
      <w:r>
        <w:t xml:space="preserve">were identified </w:t>
      </w:r>
      <w:r w:rsidRPr="00E07B1B">
        <w:t xml:space="preserve">via </w:t>
      </w:r>
      <w:r>
        <w:t>g</w:t>
      </w:r>
      <w:r w:rsidRPr="00E07B1B">
        <w:t>overnment and professional body websites, personal contacts and Google searches.</w:t>
      </w:r>
    </w:p>
    <w:p w:rsidR="0025490C" w:rsidRPr="00E07B1B" w:rsidRDefault="0025490C" w:rsidP="00EE1CCB"/>
    <w:p w:rsidR="0068074A" w:rsidRDefault="0025490C" w:rsidP="00EE1CCB">
      <w:pPr>
        <w:pStyle w:val="Heading3"/>
      </w:pPr>
      <w:r w:rsidRPr="00F303D3">
        <w:t>Population</w:t>
      </w:r>
    </w:p>
    <w:p w:rsidR="0025490C" w:rsidRDefault="0025490C" w:rsidP="00EE1CCB">
      <w:r w:rsidRPr="00E07B1B">
        <w:t xml:space="preserve">The target population was women who develop hyperglycaemia during pregnancy, alternatively referred to as gestational diabetes. Women with a diagnosis of </w:t>
      </w:r>
      <w:r>
        <w:t>t</w:t>
      </w:r>
      <w:r w:rsidRPr="00E07B1B">
        <w:t xml:space="preserve">ype 1 or </w:t>
      </w:r>
      <w:r>
        <w:t>t</w:t>
      </w:r>
      <w:r w:rsidRPr="00E07B1B">
        <w:t xml:space="preserve">ype 2 diabetes made prior to pregnancy were excluded. </w:t>
      </w:r>
      <w:r>
        <w:t>The Guideline Development Team</w:t>
      </w:r>
      <w:r w:rsidRPr="00E07B1B">
        <w:t xml:space="preserve"> did include women with undiagnosed diabetes identified in early pregnancy and </w:t>
      </w:r>
      <w:r>
        <w:t>women diagnosed with</w:t>
      </w:r>
      <w:r w:rsidRPr="00E07B1B">
        <w:t xml:space="preserve"> type 2 diabetes in the postpartum period.</w:t>
      </w:r>
    </w:p>
    <w:p w:rsidR="0025490C" w:rsidRPr="00E07B1B" w:rsidRDefault="0025490C" w:rsidP="00EE1CCB"/>
    <w:p w:rsidR="0068074A" w:rsidRDefault="0025490C" w:rsidP="00EE1CCB">
      <w:pPr>
        <w:pStyle w:val="Heading3"/>
      </w:pPr>
      <w:r w:rsidRPr="00E07B1B">
        <w:t>Type of studies</w:t>
      </w:r>
    </w:p>
    <w:p w:rsidR="0025490C" w:rsidRDefault="0025490C" w:rsidP="00EE1CCB">
      <w:pPr>
        <w:keepLines/>
      </w:pPr>
      <w:r w:rsidRPr="00E07B1B">
        <w:t>Where possible</w:t>
      </w:r>
      <w:r>
        <w:t>,</w:t>
      </w:r>
      <w:r w:rsidRPr="00E07B1B">
        <w:t xml:space="preserve"> the highest possible level of evidence </w:t>
      </w:r>
      <w:r>
        <w:t xml:space="preserve">was used </w:t>
      </w:r>
      <w:r w:rsidRPr="00E07B1B">
        <w:t>to inform clinical practice recommendations.</w:t>
      </w:r>
      <w:r>
        <w:t xml:space="preserve"> This meant, where possible, restricting</w:t>
      </w:r>
      <w:r w:rsidRPr="00E07B1B">
        <w:t xml:space="preserve"> evidence to clinical guidelines, systematic reviews, randomised controlled trials (for intervention questions), diagnostic studies and economic modelling studies. </w:t>
      </w:r>
      <w:r>
        <w:t>The Guideline Development Team</w:t>
      </w:r>
      <w:r w:rsidRPr="00E07B1B">
        <w:t xml:space="preserve"> acknowledge</w:t>
      </w:r>
      <w:r>
        <w:t>s</w:t>
      </w:r>
      <w:r w:rsidRPr="00E07B1B">
        <w:t xml:space="preserve"> that</w:t>
      </w:r>
      <w:r>
        <w:t xml:space="preserve"> the studies</w:t>
      </w:r>
      <w:r w:rsidRPr="00E07B1B">
        <w:t xml:space="preserve"> in some areas</w:t>
      </w:r>
      <w:r>
        <w:t>,</w:t>
      </w:r>
      <w:r w:rsidRPr="00E07B1B">
        <w:t xml:space="preserve"> such as epidemiology</w:t>
      </w:r>
      <w:r>
        <w:t>,</w:t>
      </w:r>
      <w:r w:rsidRPr="00E07B1B">
        <w:t xml:space="preserve"> do not meet these criteria and a lower level of evidence </w:t>
      </w:r>
      <w:r>
        <w:t>was</w:t>
      </w:r>
      <w:r w:rsidRPr="00E07B1B">
        <w:t xml:space="preserve"> accept</w:t>
      </w:r>
      <w:r>
        <w:t>ed.</w:t>
      </w:r>
    </w:p>
    <w:p w:rsidR="0025490C" w:rsidRPr="00E07B1B" w:rsidRDefault="0025490C" w:rsidP="00EE1CCB"/>
    <w:p w:rsidR="0068074A" w:rsidRDefault="0025490C" w:rsidP="00EE1CCB">
      <w:r w:rsidRPr="00E07B1B">
        <w:t xml:space="preserve">Where studies were identified within existing systematic reviews or guidelines, they were not critically appraised nor </w:t>
      </w:r>
      <w:r>
        <w:t xml:space="preserve">was </w:t>
      </w:r>
      <w:r w:rsidRPr="00E07B1B">
        <w:t>an evidence table created.</w:t>
      </w:r>
    </w:p>
    <w:p w:rsidR="0025490C" w:rsidRDefault="0025490C" w:rsidP="00EE1CCB"/>
    <w:p w:rsidR="0025490C" w:rsidRDefault="0025490C" w:rsidP="00EE1CCB">
      <w:r w:rsidRPr="00E07B1B">
        <w:t>Only evidence published in peer</w:t>
      </w:r>
      <w:r>
        <w:t>-</w:t>
      </w:r>
      <w:r w:rsidRPr="00E07B1B">
        <w:t xml:space="preserve">reviewed journals </w:t>
      </w:r>
      <w:r>
        <w:t>was</w:t>
      </w:r>
      <w:r w:rsidRPr="00E07B1B">
        <w:t xml:space="preserve"> included in the systematic reviews. The evidence </w:t>
      </w:r>
      <w:r>
        <w:t>was</w:t>
      </w:r>
      <w:r w:rsidRPr="00E07B1B">
        <w:t xml:space="preserve"> limited to those published in the English language.</w:t>
      </w:r>
    </w:p>
    <w:p w:rsidR="0025490C" w:rsidRPr="00E07B1B" w:rsidRDefault="0025490C" w:rsidP="00EE1CCB"/>
    <w:p w:rsidR="0025490C" w:rsidRDefault="0025490C" w:rsidP="00EE1CCB">
      <w:r w:rsidRPr="00E07B1B">
        <w:t xml:space="preserve">The following types of publication were excluded from the systematic reviews: case series studies, editorials and commentaries, publications in abstract form (including conference proceedings), book chapters, personal communications </w:t>
      </w:r>
      <w:r>
        <w:t>and</w:t>
      </w:r>
      <w:r w:rsidRPr="00E07B1B">
        <w:t xml:space="preserve"> news items.</w:t>
      </w:r>
    </w:p>
    <w:p w:rsidR="0025490C" w:rsidRPr="00E07B1B" w:rsidRDefault="0025490C" w:rsidP="00EE1CCB"/>
    <w:p w:rsidR="0025490C" w:rsidRPr="00E07B1B" w:rsidRDefault="0025490C" w:rsidP="00EE1CCB">
      <w:pPr>
        <w:pStyle w:val="Heading3"/>
      </w:pPr>
      <w:r w:rsidRPr="00E07B1B">
        <w:t>Evidence tables</w:t>
      </w:r>
    </w:p>
    <w:p w:rsidR="0025490C" w:rsidRDefault="0025490C" w:rsidP="00EE1CCB">
      <w:r w:rsidRPr="00E07B1B">
        <w:t>Evidence has been summarised in risk of bias or evidence tables depending on the level of evidence. These have been provided to the Ministry of Health in a separate document.</w:t>
      </w:r>
    </w:p>
    <w:p w:rsidR="0025490C" w:rsidRPr="00E07B1B" w:rsidRDefault="0025490C" w:rsidP="00EE1CCB"/>
    <w:p w:rsidR="0025490C" w:rsidRPr="00E07B1B" w:rsidRDefault="0025490C" w:rsidP="00EE1CCB">
      <w:pPr>
        <w:pStyle w:val="Heading3"/>
      </w:pPr>
      <w:r w:rsidRPr="00E07B1B">
        <w:t>Assessment of quality of included studies</w:t>
      </w:r>
    </w:p>
    <w:p w:rsidR="0025490C" w:rsidRDefault="0025490C" w:rsidP="00EE1CCB">
      <w:r w:rsidRPr="00E07B1B">
        <w:t>A number of internationally recognised tools are available to critically appraise studies. In these systematic reviews</w:t>
      </w:r>
      <w:r>
        <w:t>,</w:t>
      </w:r>
      <w:r w:rsidRPr="00E07B1B">
        <w:t xml:space="preserve"> guidelines have been appraised using the AGREE II tool; </w:t>
      </w:r>
      <w:r>
        <w:t>s</w:t>
      </w:r>
      <w:r w:rsidRPr="00E07B1B">
        <w:t xml:space="preserve">ystematic reviews have been appraised using an adapted Grading of Recommendations Assessment, Development and Evaluation (GRADE) method </w:t>
      </w:r>
      <w:r>
        <w:t>which</w:t>
      </w:r>
      <w:r w:rsidRPr="00E07B1B">
        <w:t xml:space="preserve"> has been developed by the Scottish Intercollegiate Guideline</w:t>
      </w:r>
      <w:r>
        <w:t>s</w:t>
      </w:r>
      <w:r w:rsidRPr="00E07B1B">
        <w:t xml:space="preserve"> Network (SIGN).</w:t>
      </w:r>
      <w:r>
        <w:t xml:space="preserve"> </w:t>
      </w:r>
      <w:r w:rsidRPr="00E07B1B">
        <w:t>Randomised and non-randomised studies were appraised using the Review Manager program (Cochrane Collaboration) and diagnostic studies using the Quality Assessment of Diagnostic Accuracy Studies (QUADAS) (</w:t>
      </w:r>
      <w:hyperlink r:id="rId45" w:history="1">
        <w:r w:rsidRPr="00C32744">
          <w:rPr>
            <w:rStyle w:val="Hyperlink"/>
          </w:rPr>
          <w:t>http://publications.nice.org.uk/the-guidelines-manual-appendices-bi-pmg6b/appendix-f-methodology-checklist-the-quadas-2-tool-for-studies-of-diagnostic-test-accuracy</w:t>
        </w:r>
      </w:hyperlink>
      <w:r>
        <w:t>).</w:t>
      </w:r>
    </w:p>
    <w:p w:rsidR="0025490C" w:rsidRPr="00E07B1B" w:rsidRDefault="0025490C" w:rsidP="00EE1CCB"/>
    <w:p w:rsidR="0068074A" w:rsidRDefault="0025490C" w:rsidP="00EE1CCB">
      <w:r w:rsidRPr="00E07B1B">
        <w:t xml:space="preserve">The AGREE tool </w:t>
      </w:r>
      <w:r>
        <w:t>(</w:t>
      </w:r>
      <w:hyperlink r:id="rId46" w:history="1">
        <w:r w:rsidRPr="00E07B1B">
          <w:rPr>
            <w:rStyle w:val="Hyperlink"/>
            <w:rFonts w:cs="Arial"/>
            <w:szCs w:val="24"/>
          </w:rPr>
          <w:t>www.agreetrust.org</w:t>
        </w:r>
      </w:hyperlink>
      <w:r w:rsidRPr="00E07B1B">
        <w:t>) evaluates the quality of clinical practice guidelines and either recommends the guideline, recommends with provisos or does not recommend the guideline. The adapted GRADE (</w:t>
      </w:r>
      <w:hyperlink r:id="rId47" w:history="1">
        <w:r w:rsidRPr="00E07B1B">
          <w:rPr>
            <w:rStyle w:val="Hyperlink"/>
            <w:rFonts w:cs="Arial"/>
            <w:szCs w:val="24"/>
          </w:rPr>
          <w:t>www.gradeworkinggroup.org</w:t>
        </w:r>
      </w:hyperlink>
      <w:r w:rsidRPr="00E07B1B">
        <w:t>) method details the volume of evidence, the methodological risk of bias, evidence of heterogeneity, directness of evidence, precision of the evidence and publication bias. Cochrane (</w:t>
      </w:r>
      <w:hyperlink r:id="rId48" w:history="1">
        <w:r w:rsidRPr="00E07B1B">
          <w:rPr>
            <w:rStyle w:val="Hyperlink"/>
            <w:rFonts w:cs="Arial"/>
            <w:szCs w:val="24"/>
          </w:rPr>
          <w:t>www.cochrane.org</w:t>
        </w:r>
      </w:hyperlink>
      <w:r w:rsidRPr="00E07B1B">
        <w:t>) methodology appraises evidence based on method of randomisation, allocation concealment, blinding of participants, researchers and outcome assessors, selection and reporting bias.</w:t>
      </w:r>
    </w:p>
    <w:p w:rsidR="0025490C" w:rsidRPr="00E07B1B" w:rsidRDefault="0025490C" w:rsidP="00EE1CCB"/>
    <w:p w:rsidR="0025490C" w:rsidRDefault="0025490C" w:rsidP="00EE1CCB">
      <w:r w:rsidRPr="00E07B1B">
        <w:t>The following search strategies are taken from MEDLINE and have been adapted when used with other search engines.</w:t>
      </w:r>
    </w:p>
    <w:p w:rsidR="0025490C" w:rsidRPr="00E07B1B" w:rsidRDefault="0025490C" w:rsidP="00EE1CCB"/>
    <w:p w:rsidR="0025490C" w:rsidRPr="00E07B1B" w:rsidRDefault="0025490C" w:rsidP="00EE1CCB">
      <w:pPr>
        <w:pStyle w:val="Heading3"/>
      </w:pPr>
      <w:r w:rsidRPr="00E07B1B">
        <w:t>Risk factors</w:t>
      </w:r>
    </w:p>
    <w:p w:rsidR="0025490C" w:rsidRPr="00E07B1B" w:rsidRDefault="0025490C" w:rsidP="00EE1CCB">
      <w:pPr>
        <w:keepNext/>
      </w:pPr>
      <w:r w:rsidRPr="00E07B1B">
        <w:t>Database: Ovid MEDLINE(R) In-Process &amp; Other Non-Indexed Citations, Ovid MEDLINE(R) Daily and Ovid MEDLINE(R) &lt;1946 to Present&gt;</w:t>
      </w:r>
    </w:p>
    <w:p w:rsidR="0025490C" w:rsidRPr="00E07B1B" w:rsidRDefault="0025490C" w:rsidP="00EE1CCB">
      <w:pPr>
        <w:keepNext/>
      </w:pPr>
      <w:r w:rsidRPr="00E07B1B">
        <w:t>Search Strategy:</w:t>
      </w:r>
    </w:p>
    <w:p w:rsidR="0025490C" w:rsidRPr="00E07B1B" w:rsidRDefault="0025490C" w:rsidP="00EE1CCB">
      <w:r w:rsidRPr="00E07B1B">
        <w:t>--------------------------------------------------------------------------------</w:t>
      </w:r>
    </w:p>
    <w:p w:rsidR="0025490C" w:rsidRPr="00E07B1B" w:rsidRDefault="0025490C" w:rsidP="00EE1CCB">
      <w:r w:rsidRPr="00E07B1B">
        <w:t>1</w:t>
      </w:r>
      <w:r>
        <w:t xml:space="preserve"> </w:t>
      </w:r>
      <w:r w:rsidRPr="00E07B1B">
        <w:t>pregnant women/ (4665)</w:t>
      </w:r>
    </w:p>
    <w:p w:rsidR="0025490C" w:rsidRPr="00E07B1B" w:rsidRDefault="0025490C" w:rsidP="00EE1CCB">
      <w:r w:rsidRPr="00E07B1B">
        <w:t>2</w:t>
      </w:r>
      <w:r>
        <w:t xml:space="preserve"> </w:t>
      </w:r>
      <w:r w:rsidRPr="00E07B1B">
        <w:t>pregnancy/ (653624)</w:t>
      </w:r>
    </w:p>
    <w:p w:rsidR="0025490C" w:rsidRPr="00E07B1B" w:rsidRDefault="0025490C" w:rsidP="00EE1CCB">
      <w:r w:rsidRPr="00E07B1B">
        <w:t>3</w:t>
      </w:r>
      <w:r>
        <w:t xml:space="preserve"> </w:t>
      </w:r>
      <w:r w:rsidRPr="00E07B1B">
        <w:t>pregnan$.tw. (336429)</w:t>
      </w:r>
    </w:p>
    <w:p w:rsidR="0025490C" w:rsidRPr="00E07B1B" w:rsidRDefault="0025490C" w:rsidP="00EE1CCB">
      <w:r w:rsidRPr="00E07B1B">
        <w:t>4</w:t>
      </w:r>
      <w:r>
        <w:t xml:space="preserve"> </w:t>
      </w:r>
      <w:r w:rsidRPr="00E07B1B">
        <w:t>or/1-3 (723933)</w:t>
      </w:r>
    </w:p>
    <w:p w:rsidR="0025490C" w:rsidRPr="00E07B1B" w:rsidRDefault="0025490C" w:rsidP="00EE1CCB">
      <w:r w:rsidRPr="00E07B1B">
        <w:t>5</w:t>
      </w:r>
      <w:r>
        <w:t xml:space="preserve"> </w:t>
      </w:r>
      <w:r w:rsidRPr="00E07B1B">
        <w:t>pregnancy in diabetes/ (9442)</w:t>
      </w:r>
    </w:p>
    <w:p w:rsidR="0025490C" w:rsidRPr="00E07B1B" w:rsidRDefault="0025490C" w:rsidP="00EE1CCB">
      <w:r w:rsidRPr="00E07B1B">
        <w:t>6</w:t>
      </w:r>
      <w:r>
        <w:t xml:space="preserve"> </w:t>
      </w:r>
      <w:r w:rsidRPr="00E07B1B">
        <w:t>or/4-5 (723963)</w:t>
      </w:r>
    </w:p>
    <w:p w:rsidR="0025490C" w:rsidRPr="00E07B1B" w:rsidRDefault="0025490C" w:rsidP="00EE1CCB">
      <w:r w:rsidRPr="00E07B1B">
        <w:t>7</w:t>
      </w:r>
      <w:r>
        <w:t xml:space="preserve"> </w:t>
      </w:r>
      <w:r w:rsidRPr="00E07B1B">
        <w:t>exp diabetes mellitus/ (284883)</w:t>
      </w:r>
    </w:p>
    <w:p w:rsidR="0025490C" w:rsidRPr="00E07B1B" w:rsidRDefault="0025490C" w:rsidP="00EE1CCB">
      <w:r w:rsidRPr="00E07B1B">
        <w:t>8</w:t>
      </w:r>
      <w:r>
        <w:t xml:space="preserve"> </w:t>
      </w:r>
      <w:r w:rsidRPr="00E07B1B">
        <w:t>diabetes, mellitus type 1/ (56570)</w:t>
      </w:r>
    </w:p>
    <w:p w:rsidR="0025490C" w:rsidRPr="00E07B1B" w:rsidRDefault="0025490C" w:rsidP="00EE1CCB">
      <w:r w:rsidRPr="00E07B1B">
        <w:t>9</w:t>
      </w:r>
      <w:r>
        <w:t xml:space="preserve"> </w:t>
      </w:r>
      <w:r w:rsidRPr="00E07B1B">
        <w:t>diabetes, mellitus type 2/ (72971)</w:t>
      </w:r>
    </w:p>
    <w:p w:rsidR="0025490C" w:rsidRPr="00E07B1B" w:rsidRDefault="0025490C" w:rsidP="00EE1CCB">
      <w:r w:rsidRPr="00E07B1B">
        <w:t>10</w:t>
      </w:r>
      <w:r>
        <w:t xml:space="preserve"> </w:t>
      </w:r>
      <w:r w:rsidRPr="00E07B1B">
        <w:t>diabetes mellitus, lipoatrophic/ (171)</w:t>
      </w:r>
    </w:p>
    <w:p w:rsidR="0025490C" w:rsidRPr="00E07B1B" w:rsidRDefault="0025490C" w:rsidP="00EE1CCB">
      <w:r w:rsidRPr="00E07B1B">
        <w:t>11</w:t>
      </w:r>
      <w:r>
        <w:t xml:space="preserve"> </w:t>
      </w:r>
      <w:r w:rsidRPr="00E07B1B">
        <w:t>diabetes insipidus/ (5624)</w:t>
      </w:r>
    </w:p>
    <w:p w:rsidR="0025490C" w:rsidRPr="00E07B1B" w:rsidRDefault="0025490C" w:rsidP="00EE1CCB">
      <w:r w:rsidRPr="00E07B1B">
        <w:t>12</w:t>
      </w:r>
      <w:r>
        <w:t xml:space="preserve"> </w:t>
      </w:r>
      <w:r w:rsidRPr="00E07B1B">
        <w:t>diabetes, gestational/ (4733)</w:t>
      </w:r>
    </w:p>
    <w:p w:rsidR="0025490C" w:rsidRPr="00E07B1B" w:rsidRDefault="0025490C" w:rsidP="00EE1CCB">
      <w:r w:rsidRPr="00E07B1B">
        <w:t>13</w:t>
      </w:r>
      <w:r>
        <w:t xml:space="preserve"> </w:t>
      </w:r>
      <w:r w:rsidRPr="00E07B1B">
        <w:t>diabet$.tw. (358743)</w:t>
      </w:r>
    </w:p>
    <w:p w:rsidR="0025490C" w:rsidRPr="00E07B1B" w:rsidRDefault="0025490C" w:rsidP="00EE1CCB">
      <w:r w:rsidRPr="00E07B1B">
        <w:t>14</w:t>
      </w:r>
      <w:r>
        <w:t xml:space="preserve"> </w:t>
      </w:r>
      <w:r w:rsidRPr="00E07B1B">
        <w:t>or/7-13 (409632)</w:t>
      </w:r>
    </w:p>
    <w:p w:rsidR="0025490C" w:rsidRPr="00E07B1B" w:rsidRDefault="0025490C" w:rsidP="00EE1CCB">
      <w:r w:rsidRPr="00E07B1B">
        <w:t>15</w:t>
      </w:r>
      <w:r>
        <w:t xml:space="preserve"> </w:t>
      </w:r>
      <w:r w:rsidRPr="00E07B1B">
        <w:t>and/6,14 (22551)</w:t>
      </w:r>
    </w:p>
    <w:p w:rsidR="0025490C" w:rsidRPr="00E07B1B" w:rsidRDefault="0025490C" w:rsidP="00EE1CCB">
      <w:r w:rsidRPr="00E07B1B">
        <w:t>16</w:t>
      </w:r>
      <w:r>
        <w:t xml:space="preserve"> </w:t>
      </w:r>
      <w:r w:rsidRPr="00E07B1B">
        <w:t>exp risk/ (728523)</w:t>
      </w:r>
    </w:p>
    <w:p w:rsidR="0025490C" w:rsidRPr="00E07B1B" w:rsidRDefault="0025490C" w:rsidP="00EE1CCB">
      <w:r w:rsidRPr="00E07B1B">
        <w:t>17</w:t>
      </w:r>
      <w:r>
        <w:t xml:space="preserve"> </w:t>
      </w:r>
      <w:r w:rsidRPr="00E07B1B">
        <w:t>risk$.tw. (1108951)</w:t>
      </w:r>
    </w:p>
    <w:p w:rsidR="0025490C" w:rsidRPr="00E07B1B" w:rsidRDefault="0025490C" w:rsidP="00EE1CCB">
      <w:r w:rsidRPr="00E07B1B">
        <w:t>18</w:t>
      </w:r>
      <w:r>
        <w:t xml:space="preserve"> </w:t>
      </w:r>
      <w:r w:rsidRPr="00E07B1B">
        <w:t>or/16-17 (1413855)</w:t>
      </w:r>
    </w:p>
    <w:p w:rsidR="0025490C" w:rsidRPr="00E07B1B" w:rsidRDefault="0025490C" w:rsidP="00EE1CCB">
      <w:r w:rsidRPr="00E07B1B">
        <w:t>19</w:t>
      </w:r>
      <w:r>
        <w:t xml:space="preserve"> </w:t>
      </w:r>
      <w:r w:rsidRPr="00E07B1B">
        <w:t>and/15,18 (7631)</w:t>
      </w:r>
    </w:p>
    <w:p w:rsidR="0025490C" w:rsidRPr="00E07B1B" w:rsidRDefault="0025490C" w:rsidP="00EE1CCB">
      <w:r w:rsidRPr="00E07B1B">
        <w:t>20</w:t>
      </w:r>
      <w:r>
        <w:t xml:space="preserve"> </w:t>
      </w:r>
      <w:r w:rsidRPr="00E07B1B">
        <w:t>epidemiological studies/ (5442)</w:t>
      </w:r>
    </w:p>
    <w:p w:rsidR="0025490C" w:rsidRPr="00E07B1B" w:rsidRDefault="0025490C" w:rsidP="00EE1CCB">
      <w:r w:rsidRPr="00E07B1B">
        <w:t>21</w:t>
      </w:r>
      <w:r>
        <w:t xml:space="preserve"> </w:t>
      </w:r>
      <w:r w:rsidRPr="00E07B1B">
        <w:t>exp case control studies/ (563363)</w:t>
      </w:r>
    </w:p>
    <w:p w:rsidR="0025490C" w:rsidRPr="00E07B1B" w:rsidRDefault="0025490C" w:rsidP="00EE1CCB">
      <w:r w:rsidRPr="00E07B1B">
        <w:t>22</w:t>
      </w:r>
      <w:r>
        <w:t xml:space="preserve"> </w:t>
      </w:r>
      <w:r w:rsidRPr="00E07B1B">
        <w:t>exp cohort studies/ (1193155)</w:t>
      </w:r>
    </w:p>
    <w:p w:rsidR="0025490C" w:rsidRPr="00E07B1B" w:rsidRDefault="0025490C" w:rsidP="00EE1CCB">
      <w:r w:rsidRPr="00E07B1B">
        <w:t>23</w:t>
      </w:r>
      <w:r>
        <w:t xml:space="preserve"> </w:t>
      </w:r>
      <w:r w:rsidRPr="00E07B1B">
        <w:t>case control.tw. (64621)</w:t>
      </w:r>
    </w:p>
    <w:p w:rsidR="0025490C" w:rsidRPr="00E07B1B" w:rsidRDefault="0025490C" w:rsidP="00EE1CCB">
      <w:r w:rsidRPr="00E07B1B">
        <w:t>24</w:t>
      </w:r>
      <w:r>
        <w:t xml:space="preserve"> </w:t>
      </w:r>
      <w:r w:rsidRPr="00E07B1B">
        <w:t>(cohort adj (study or studies)).tw. (66238)</w:t>
      </w:r>
    </w:p>
    <w:p w:rsidR="0025490C" w:rsidRPr="00E07B1B" w:rsidRDefault="0025490C" w:rsidP="00EE1CCB">
      <w:r w:rsidRPr="00E07B1B">
        <w:t>25</w:t>
      </w:r>
      <w:r>
        <w:t xml:space="preserve"> </w:t>
      </w:r>
      <w:r w:rsidRPr="00E07B1B">
        <w:t>cohort analy$.tw. (2932)</w:t>
      </w:r>
    </w:p>
    <w:p w:rsidR="0025490C" w:rsidRPr="00E07B1B" w:rsidRDefault="0025490C" w:rsidP="00EE1CCB">
      <w:r w:rsidRPr="00E07B1B">
        <w:t>26</w:t>
      </w:r>
      <w:r>
        <w:t xml:space="preserve"> </w:t>
      </w:r>
      <w:r w:rsidRPr="00E07B1B">
        <w:t>(follow up adj (study or studies)).tw. (34231)</w:t>
      </w:r>
    </w:p>
    <w:p w:rsidR="0025490C" w:rsidRPr="00E07B1B" w:rsidRDefault="0025490C" w:rsidP="00EE1CCB">
      <w:r w:rsidRPr="00E07B1B">
        <w:t>27</w:t>
      </w:r>
      <w:r>
        <w:t xml:space="preserve"> </w:t>
      </w:r>
      <w:r w:rsidRPr="00E07B1B">
        <w:t>(observational adj (study or studies)).tw. (34224)</w:t>
      </w:r>
    </w:p>
    <w:p w:rsidR="0025490C" w:rsidRPr="00E07B1B" w:rsidRDefault="0025490C" w:rsidP="00EE1CCB">
      <w:r w:rsidRPr="00E07B1B">
        <w:t>28</w:t>
      </w:r>
      <w:r>
        <w:t xml:space="preserve"> </w:t>
      </w:r>
      <w:r w:rsidRPr="00E07B1B">
        <w:t>longitudinal.tw. (119058)</w:t>
      </w:r>
    </w:p>
    <w:p w:rsidR="0025490C" w:rsidRPr="00E07B1B" w:rsidRDefault="0025490C" w:rsidP="00EE1CCB">
      <w:r w:rsidRPr="00E07B1B">
        <w:t>29</w:t>
      </w:r>
      <w:r>
        <w:t xml:space="preserve"> </w:t>
      </w:r>
      <w:r w:rsidRPr="00E07B1B">
        <w:t>retrospective.tw. (227811)</w:t>
      </w:r>
    </w:p>
    <w:p w:rsidR="0025490C" w:rsidRPr="00E07B1B" w:rsidRDefault="0025490C" w:rsidP="00EE1CCB">
      <w:r w:rsidRPr="00E07B1B">
        <w:t>30</w:t>
      </w:r>
      <w:r>
        <w:t xml:space="preserve"> </w:t>
      </w:r>
      <w:r w:rsidRPr="00E07B1B">
        <w:t>cross sectional.tw. (134214)</w:t>
      </w:r>
    </w:p>
    <w:p w:rsidR="0025490C" w:rsidRPr="00E07B1B" w:rsidRDefault="0025490C" w:rsidP="00EE1CCB">
      <w:r w:rsidRPr="00E07B1B">
        <w:t>31</w:t>
      </w:r>
      <w:r>
        <w:t xml:space="preserve"> </w:t>
      </w:r>
      <w:r w:rsidRPr="00E07B1B">
        <w:t>cross-sectional studies/ (143704)</w:t>
      </w:r>
    </w:p>
    <w:p w:rsidR="0025490C" w:rsidRPr="00E07B1B" w:rsidRDefault="0025490C" w:rsidP="00EE1CCB">
      <w:r w:rsidRPr="00E07B1B">
        <w:t>32</w:t>
      </w:r>
      <w:r>
        <w:t xml:space="preserve"> </w:t>
      </w:r>
      <w:r w:rsidRPr="00E07B1B">
        <w:t>or/20-31 (1634776)</w:t>
      </w:r>
    </w:p>
    <w:p w:rsidR="0025490C" w:rsidRPr="00E07B1B" w:rsidRDefault="0025490C" w:rsidP="00EE1CCB">
      <w:r w:rsidRPr="00E07B1B">
        <w:t>33</w:t>
      </w:r>
      <w:r>
        <w:t xml:space="preserve"> </w:t>
      </w:r>
      <w:r w:rsidRPr="00E07B1B">
        <w:t>and/19,32 (2956)</w:t>
      </w:r>
    </w:p>
    <w:p w:rsidR="0025490C" w:rsidRPr="00E07B1B" w:rsidRDefault="0025490C" w:rsidP="00EE1CCB">
      <w:r w:rsidRPr="00E07B1B">
        <w:t>34</w:t>
      </w:r>
      <w:r>
        <w:t xml:space="preserve"> </w:t>
      </w:r>
      <w:r w:rsidRPr="00E07B1B">
        <w:t>animal/ not (human/ or (human/ and animal/)) (3666161)</w:t>
      </w:r>
    </w:p>
    <w:p w:rsidR="0025490C" w:rsidRPr="00E07B1B" w:rsidRDefault="0025490C" w:rsidP="00EE1CCB">
      <w:r w:rsidRPr="00E07B1B">
        <w:t>35</w:t>
      </w:r>
      <w:r>
        <w:t xml:space="preserve"> </w:t>
      </w:r>
      <w:r w:rsidRPr="00E07B1B">
        <w:t>33 not 34 (2953)</w:t>
      </w:r>
    </w:p>
    <w:p w:rsidR="0025490C" w:rsidRPr="00E07B1B" w:rsidRDefault="0025490C" w:rsidP="00EE1CCB">
      <w:r w:rsidRPr="00E07B1B">
        <w:t>36</w:t>
      </w:r>
      <w:r>
        <w:t xml:space="preserve"> </w:t>
      </w:r>
      <w:r w:rsidRPr="00E07B1B">
        <w:t>limit 35 to yr=</w:t>
      </w:r>
      <w:r w:rsidR="0068074A">
        <w:t>“</w:t>
      </w:r>
      <w:r w:rsidRPr="00E07B1B">
        <w:t>2007</w:t>
      </w:r>
      <w:r w:rsidR="0068074A">
        <w:t xml:space="preserve"> – </w:t>
      </w:r>
      <w:r w:rsidRPr="00E07B1B">
        <w:t>2012</w:t>
      </w:r>
      <w:r w:rsidR="0068074A">
        <w:t>”</w:t>
      </w:r>
      <w:r w:rsidRPr="00E07B1B">
        <w:t xml:space="preserve"> (1315)</w:t>
      </w:r>
    </w:p>
    <w:p w:rsidR="0025490C" w:rsidRPr="00E07B1B" w:rsidRDefault="0025490C" w:rsidP="00EE1CCB">
      <w:r w:rsidRPr="00E07B1B">
        <w:t>37</w:t>
      </w:r>
      <w:r>
        <w:t xml:space="preserve"> </w:t>
      </w:r>
      <w:r w:rsidRPr="00E07B1B">
        <w:t>limit 36 to english language (1227)</w:t>
      </w:r>
    </w:p>
    <w:p w:rsidR="0025490C" w:rsidRPr="00E07B1B" w:rsidRDefault="0025490C" w:rsidP="00EE1CCB"/>
    <w:p w:rsidR="0025490C" w:rsidRPr="00E07B1B" w:rsidRDefault="0025490C" w:rsidP="00EE1CCB">
      <w:pPr>
        <w:pStyle w:val="Heading3"/>
      </w:pPr>
      <w:r w:rsidRPr="00E07B1B">
        <w:t xml:space="preserve">Induction of </w:t>
      </w:r>
      <w:r>
        <w:t>l</w:t>
      </w:r>
      <w:r w:rsidRPr="00E07B1B">
        <w:t>abour</w:t>
      </w:r>
    </w:p>
    <w:p w:rsidR="0025490C" w:rsidRPr="00E07B1B" w:rsidRDefault="0025490C" w:rsidP="00EE1CCB">
      <w:pPr>
        <w:keepNext/>
      </w:pPr>
      <w:r w:rsidRPr="00E07B1B">
        <w:t>Database: Ovid MEDLINE(R) In-Process &amp; Other Non-Indexed Citations, Ovid MEDLINE(R) Daily and Ovid MEDLINE(R) &lt;1946 to Present&gt;</w:t>
      </w:r>
    </w:p>
    <w:p w:rsidR="0025490C" w:rsidRPr="00E07B1B" w:rsidRDefault="0025490C" w:rsidP="00EE1CCB">
      <w:pPr>
        <w:keepNext/>
      </w:pPr>
      <w:r w:rsidRPr="00E07B1B">
        <w:t>Search Strategy:</w:t>
      </w:r>
    </w:p>
    <w:p w:rsidR="0025490C" w:rsidRPr="00E07B1B" w:rsidRDefault="0025490C" w:rsidP="00EE1CCB">
      <w:pPr>
        <w:keepNext/>
      </w:pPr>
      <w:r w:rsidRPr="00E07B1B">
        <w:t>--------------------------------------------------------------------------------</w:t>
      </w:r>
    </w:p>
    <w:p w:rsidR="0025490C" w:rsidRPr="00E07B1B" w:rsidRDefault="0025490C" w:rsidP="00EE1CCB">
      <w:pPr>
        <w:keepNext/>
      </w:pPr>
      <w:r w:rsidRPr="00E07B1B">
        <w:t>1</w:t>
      </w:r>
      <w:r>
        <w:t xml:space="preserve"> </w:t>
      </w:r>
      <w:r w:rsidRPr="00E07B1B">
        <w:t>exp Diabetes, Gestational/ (6152)</w:t>
      </w:r>
    </w:p>
    <w:p w:rsidR="0025490C" w:rsidRPr="00E07B1B" w:rsidRDefault="0025490C" w:rsidP="00EE1CCB">
      <w:pPr>
        <w:keepNext/>
      </w:pPr>
      <w:r w:rsidRPr="00E07B1B">
        <w:t>2</w:t>
      </w:r>
      <w:r>
        <w:t xml:space="preserve"> </w:t>
      </w:r>
      <w:r w:rsidRPr="00E07B1B">
        <w:t>(pregnan$ adj5 diabet$).tw. (7868)</w:t>
      </w:r>
    </w:p>
    <w:p w:rsidR="0025490C" w:rsidRPr="00E07B1B" w:rsidRDefault="0025490C" w:rsidP="00EE1CCB">
      <w:pPr>
        <w:keepNext/>
      </w:pPr>
      <w:r w:rsidRPr="00E07B1B">
        <w:t>3</w:t>
      </w:r>
      <w:r>
        <w:t xml:space="preserve"> </w:t>
      </w:r>
      <w:r w:rsidRPr="00E07B1B">
        <w:t>(hyperglyc$ adj5 pregnan$).tw. (368)</w:t>
      </w:r>
    </w:p>
    <w:p w:rsidR="0025490C" w:rsidRPr="00E07B1B" w:rsidRDefault="0025490C" w:rsidP="00EE1CCB">
      <w:r w:rsidRPr="00E07B1B">
        <w:t>4</w:t>
      </w:r>
      <w:r>
        <w:t xml:space="preserve"> </w:t>
      </w:r>
      <w:r w:rsidRPr="00E07B1B">
        <w:t>GDM.tw. (2407)</w:t>
      </w:r>
    </w:p>
    <w:p w:rsidR="0025490C" w:rsidRPr="00E07B1B" w:rsidRDefault="0025490C" w:rsidP="00EE1CCB">
      <w:r w:rsidRPr="00E07B1B">
        <w:t>5</w:t>
      </w:r>
      <w:r>
        <w:t xml:space="preserve"> </w:t>
      </w:r>
      <w:r w:rsidRPr="00E07B1B">
        <w:t>(insulin resistance adj5 pregnan$).tw. (377)</w:t>
      </w:r>
    </w:p>
    <w:p w:rsidR="0025490C" w:rsidRPr="00E07B1B" w:rsidRDefault="0025490C" w:rsidP="00EE1CCB">
      <w:r w:rsidRPr="00E07B1B">
        <w:t>6</w:t>
      </w:r>
      <w:r>
        <w:t xml:space="preserve"> </w:t>
      </w:r>
      <w:r w:rsidRPr="00E07B1B">
        <w:t>(glucose intoleran$ adj5 pregnan$).tw. (207)</w:t>
      </w:r>
    </w:p>
    <w:p w:rsidR="0025490C" w:rsidRPr="00E07B1B" w:rsidRDefault="0025490C" w:rsidP="00EE1CCB">
      <w:r w:rsidRPr="00E07B1B">
        <w:t>7</w:t>
      </w:r>
      <w:r>
        <w:t xml:space="preserve"> </w:t>
      </w:r>
      <w:r w:rsidRPr="00E07B1B">
        <w:t>(gestation$ adj5 diabet$).tw. (6931)</w:t>
      </w:r>
    </w:p>
    <w:p w:rsidR="0025490C" w:rsidRPr="00E07B1B" w:rsidRDefault="0025490C" w:rsidP="00EE1CCB">
      <w:r w:rsidRPr="00E07B1B">
        <w:t>8</w:t>
      </w:r>
      <w:r>
        <w:t xml:space="preserve"> </w:t>
      </w:r>
      <w:r w:rsidRPr="00E07B1B">
        <w:t>(gestation$ adj5 weight gain).tw. (1047)</w:t>
      </w:r>
    </w:p>
    <w:p w:rsidR="0025490C" w:rsidRPr="00E07B1B" w:rsidRDefault="0025490C" w:rsidP="00EE1CCB">
      <w:r w:rsidRPr="00E07B1B">
        <w:t>9</w:t>
      </w:r>
      <w:r>
        <w:t xml:space="preserve"> </w:t>
      </w:r>
      <w:r w:rsidRPr="00E07B1B">
        <w:t>(gestation$ adj5 obes$).tw. (409)</w:t>
      </w:r>
    </w:p>
    <w:p w:rsidR="0025490C" w:rsidRPr="00E07B1B" w:rsidRDefault="0025490C" w:rsidP="00EE1CCB">
      <w:r w:rsidRPr="00E07B1B">
        <w:t>10</w:t>
      </w:r>
      <w:r>
        <w:t xml:space="preserve"> </w:t>
      </w:r>
      <w:r w:rsidRPr="00E07B1B">
        <w:t>maternal obes$.tw. (803)</w:t>
      </w:r>
    </w:p>
    <w:p w:rsidR="0025490C" w:rsidRPr="00E07B1B" w:rsidRDefault="0025490C" w:rsidP="00EE1CCB">
      <w:r w:rsidRPr="00E07B1B">
        <w:t>11</w:t>
      </w:r>
      <w:r>
        <w:t xml:space="preserve"> </w:t>
      </w:r>
      <w:r w:rsidRPr="00E07B1B">
        <w:t>(maternal adj5 weight gain).tw. (1499)</w:t>
      </w:r>
    </w:p>
    <w:p w:rsidR="0025490C" w:rsidRPr="00E07B1B" w:rsidRDefault="0025490C" w:rsidP="00EE1CCB">
      <w:r w:rsidRPr="00E07B1B">
        <w:t>12</w:t>
      </w:r>
      <w:r>
        <w:t xml:space="preserve"> </w:t>
      </w:r>
      <w:r w:rsidRPr="00E07B1B">
        <w:t>or/1-11 (17064)</w:t>
      </w:r>
    </w:p>
    <w:p w:rsidR="0025490C" w:rsidRPr="00E07B1B" w:rsidRDefault="0025490C" w:rsidP="00EE1CCB">
      <w:r w:rsidRPr="00E07B1B">
        <w:t>13</w:t>
      </w:r>
      <w:r>
        <w:t xml:space="preserve"> </w:t>
      </w:r>
      <w:r w:rsidRPr="00E07B1B">
        <w:t>exp cesarean section/ or exp cesarean section, repeat/ or exp labor, induced/ (39389)</w:t>
      </w:r>
    </w:p>
    <w:p w:rsidR="0025490C" w:rsidRPr="00E07B1B" w:rsidRDefault="0025490C" w:rsidP="00EE1CCB">
      <w:r w:rsidRPr="00E07B1B">
        <w:t>14</w:t>
      </w:r>
      <w:r>
        <w:t xml:space="preserve"> </w:t>
      </w:r>
      <w:r w:rsidRPr="00E07B1B">
        <w:t>(induc$ adj5 labo?r).tw. (6598)</w:t>
      </w:r>
    </w:p>
    <w:p w:rsidR="0025490C" w:rsidRPr="00E07B1B" w:rsidRDefault="0025490C" w:rsidP="00EE1CCB">
      <w:r w:rsidRPr="00E07B1B">
        <w:t>15</w:t>
      </w:r>
      <w:r>
        <w:t xml:space="preserve"> </w:t>
      </w:r>
      <w:r w:rsidRPr="00E07B1B">
        <w:t>c?esarean$.tw. (38712)</w:t>
      </w:r>
    </w:p>
    <w:p w:rsidR="0025490C" w:rsidRPr="00E07B1B" w:rsidRDefault="0025490C" w:rsidP="00EE1CCB">
      <w:r w:rsidRPr="00E07B1B">
        <w:t>16</w:t>
      </w:r>
      <w:r>
        <w:t xml:space="preserve"> </w:t>
      </w:r>
      <w:r w:rsidRPr="00E07B1B">
        <w:t>C-section$.tw. (585)</w:t>
      </w:r>
    </w:p>
    <w:p w:rsidR="0025490C" w:rsidRPr="00E07B1B" w:rsidRDefault="0025490C" w:rsidP="00EE1CCB">
      <w:r w:rsidRPr="00E07B1B">
        <w:t>17</w:t>
      </w:r>
      <w:r>
        <w:t xml:space="preserve"> </w:t>
      </w:r>
      <w:r w:rsidRPr="00E07B1B">
        <w:t>(active adj3 induction$).tw. (759)</w:t>
      </w:r>
    </w:p>
    <w:p w:rsidR="0025490C" w:rsidRPr="00E07B1B" w:rsidRDefault="0025490C" w:rsidP="00EE1CCB">
      <w:r w:rsidRPr="00E07B1B">
        <w:t>18</w:t>
      </w:r>
      <w:r>
        <w:t xml:space="preserve"> </w:t>
      </w:r>
      <w:r w:rsidRPr="00E07B1B">
        <w:t>(elective$ adj3 induc$).tw. (479)</w:t>
      </w:r>
    </w:p>
    <w:p w:rsidR="0025490C" w:rsidRPr="00E07B1B" w:rsidRDefault="0025490C" w:rsidP="00EE1CCB">
      <w:r w:rsidRPr="00E07B1B">
        <w:t>19</w:t>
      </w:r>
      <w:r>
        <w:t xml:space="preserve"> </w:t>
      </w:r>
      <w:r w:rsidRPr="00E07B1B">
        <w:t>(timing adj3 induc$).tw. (451)</w:t>
      </w:r>
    </w:p>
    <w:p w:rsidR="0025490C" w:rsidRPr="00E07B1B" w:rsidRDefault="0025490C" w:rsidP="00EE1CCB">
      <w:r w:rsidRPr="00E07B1B">
        <w:t>20</w:t>
      </w:r>
      <w:r>
        <w:t xml:space="preserve"> </w:t>
      </w:r>
      <w:r w:rsidRPr="00E07B1B">
        <w:t>delivery.tw. (239266)</w:t>
      </w:r>
    </w:p>
    <w:p w:rsidR="0025490C" w:rsidRPr="00E07B1B" w:rsidRDefault="0025490C" w:rsidP="00EE1CCB">
      <w:r w:rsidRPr="00E07B1B">
        <w:t>21</w:t>
      </w:r>
      <w:r>
        <w:t xml:space="preserve"> </w:t>
      </w:r>
      <w:r w:rsidRPr="00E07B1B">
        <w:t>delivered.tw. (94733)</w:t>
      </w:r>
    </w:p>
    <w:p w:rsidR="0025490C" w:rsidRPr="00E07B1B" w:rsidRDefault="0025490C" w:rsidP="00EE1CCB">
      <w:r w:rsidRPr="00E07B1B">
        <w:t>22</w:t>
      </w:r>
      <w:r>
        <w:t xml:space="preserve"> </w:t>
      </w:r>
      <w:r w:rsidRPr="00E07B1B">
        <w:t>(deliver or delivering).tw. (52200)</w:t>
      </w:r>
    </w:p>
    <w:p w:rsidR="0025490C" w:rsidRPr="00E07B1B" w:rsidRDefault="0025490C" w:rsidP="00EE1CCB">
      <w:r w:rsidRPr="00E07B1B">
        <w:t>23</w:t>
      </w:r>
      <w:r>
        <w:t xml:space="preserve"> </w:t>
      </w:r>
      <w:r w:rsidRPr="00E07B1B">
        <w:t>or/13-22 (377580)</w:t>
      </w:r>
    </w:p>
    <w:p w:rsidR="0025490C" w:rsidRPr="00E07B1B" w:rsidRDefault="0025490C" w:rsidP="00EE1CCB">
      <w:r w:rsidRPr="00E07B1B">
        <w:t>24</w:t>
      </w:r>
      <w:r>
        <w:t xml:space="preserve"> </w:t>
      </w:r>
      <w:r w:rsidRPr="00E07B1B">
        <w:t>randomized controlled trial.pt. (343003)</w:t>
      </w:r>
    </w:p>
    <w:p w:rsidR="0025490C" w:rsidRPr="00E07B1B" w:rsidRDefault="0025490C" w:rsidP="00EE1CCB">
      <w:r w:rsidRPr="00E07B1B">
        <w:t>25</w:t>
      </w:r>
      <w:r>
        <w:t xml:space="preserve"> </w:t>
      </w:r>
      <w:r w:rsidRPr="00E07B1B">
        <w:t>controlled clinical trial.pt. (85733)</w:t>
      </w:r>
    </w:p>
    <w:p w:rsidR="0025490C" w:rsidRPr="00E07B1B" w:rsidRDefault="0025490C" w:rsidP="00EE1CCB">
      <w:r w:rsidRPr="00E07B1B">
        <w:t>26</w:t>
      </w:r>
      <w:r>
        <w:t xml:space="preserve"> </w:t>
      </w:r>
      <w:r w:rsidRPr="00E07B1B">
        <w:t>randomized.ab. (259617)</w:t>
      </w:r>
    </w:p>
    <w:p w:rsidR="0025490C" w:rsidRPr="00E07B1B" w:rsidRDefault="0025490C" w:rsidP="00EE1CCB">
      <w:r w:rsidRPr="00E07B1B">
        <w:t>27</w:t>
      </w:r>
      <w:r>
        <w:t xml:space="preserve"> </w:t>
      </w:r>
      <w:r w:rsidRPr="00E07B1B">
        <w:t>placebo.tw. (146234)</w:t>
      </w:r>
    </w:p>
    <w:p w:rsidR="0025490C" w:rsidRPr="00E07B1B" w:rsidRDefault="0025490C" w:rsidP="00EE1CCB">
      <w:r w:rsidRPr="00E07B1B">
        <w:t>28</w:t>
      </w:r>
      <w:r>
        <w:t xml:space="preserve"> </w:t>
      </w:r>
      <w:r w:rsidRPr="00E07B1B">
        <w:t>clinical trials as topic.sh. (163875)</w:t>
      </w:r>
    </w:p>
    <w:p w:rsidR="0025490C" w:rsidRPr="00E07B1B" w:rsidRDefault="0025490C" w:rsidP="00EE1CCB">
      <w:r w:rsidRPr="00E07B1B">
        <w:t>29</w:t>
      </w:r>
      <w:r>
        <w:t xml:space="preserve"> </w:t>
      </w:r>
      <w:r w:rsidRPr="00E07B1B">
        <w:t>randomly.ab. (189192)</w:t>
      </w:r>
    </w:p>
    <w:p w:rsidR="0025490C" w:rsidRPr="00E07B1B" w:rsidRDefault="0025490C" w:rsidP="00EE1CCB">
      <w:r w:rsidRPr="00E07B1B">
        <w:t>30</w:t>
      </w:r>
      <w:r>
        <w:t xml:space="preserve"> </w:t>
      </w:r>
      <w:r w:rsidRPr="00E07B1B">
        <w:t>trial.ti. (111700)</w:t>
      </w:r>
    </w:p>
    <w:p w:rsidR="0025490C" w:rsidRPr="00E07B1B" w:rsidRDefault="0025490C" w:rsidP="00EE1CCB">
      <w:r w:rsidRPr="00E07B1B">
        <w:t>31</w:t>
      </w:r>
      <w:r>
        <w:t xml:space="preserve"> </w:t>
      </w:r>
      <w:r w:rsidRPr="00E07B1B">
        <w:t>(crossover or cross-over or cross over).tw. (55734)</w:t>
      </w:r>
    </w:p>
    <w:p w:rsidR="0025490C" w:rsidRPr="00E07B1B" w:rsidRDefault="0025490C" w:rsidP="00EE1CCB">
      <w:r w:rsidRPr="00E07B1B">
        <w:t>32</w:t>
      </w:r>
      <w:r>
        <w:t xml:space="preserve"> </w:t>
      </w:r>
      <w:r w:rsidRPr="00E07B1B">
        <w:t>or/24-31 (842723)</w:t>
      </w:r>
    </w:p>
    <w:p w:rsidR="0025490C" w:rsidRPr="00E07B1B" w:rsidRDefault="0025490C" w:rsidP="00EE1CCB">
      <w:r w:rsidRPr="00E07B1B">
        <w:t>33</w:t>
      </w:r>
      <w:r>
        <w:t xml:space="preserve"> </w:t>
      </w:r>
      <w:r w:rsidRPr="00E07B1B">
        <w:t>exp animals/ not humans.sh. (3813901)</w:t>
      </w:r>
    </w:p>
    <w:p w:rsidR="0025490C" w:rsidRPr="00E07B1B" w:rsidRDefault="0025490C" w:rsidP="00EE1CCB">
      <w:r w:rsidRPr="00E07B1B">
        <w:t>34</w:t>
      </w:r>
      <w:r>
        <w:t xml:space="preserve"> </w:t>
      </w:r>
      <w:r w:rsidRPr="00E07B1B">
        <w:t>32 not 33 (777552)</w:t>
      </w:r>
    </w:p>
    <w:p w:rsidR="0025490C" w:rsidRPr="00E07B1B" w:rsidRDefault="0025490C" w:rsidP="00EE1CCB">
      <w:r w:rsidRPr="00E07B1B">
        <w:t>35</w:t>
      </w:r>
      <w:r>
        <w:t xml:space="preserve"> </w:t>
      </w:r>
      <w:r w:rsidRPr="00E07B1B">
        <w:t>Meta-Analysis as Topic/ (12621)</w:t>
      </w:r>
    </w:p>
    <w:p w:rsidR="0025490C" w:rsidRPr="00E07B1B" w:rsidRDefault="0025490C" w:rsidP="00EE1CCB">
      <w:r w:rsidRPr="00E07B1B">
        <w:t>36</w:t>
      </w:r>
      <w:r>
        <w:t xml:space="preserve"> </w:t>
      </w:r>
      <w:r w:rsidRPr="00E07B1B">
        <w:t>meta analy$.tw. (48571)</w:t>
      </w:r>
    </w:p>
    <w:p w:rsidR="0025490C" w:rsidRPr="00E07B1B" w:rsidRDefault="0025490C" w:rsidP="00EE1CCB">
      <w:r w:rsidRPr="00E07B1B">
        <w:t>37</w:t>
      </w:r>
      <w:r>
        <w:t xml:space="preserve"> </w:t>
      </w:r>
      <w:r w:rsidRPr="00E07B1B">
        <w:t>metaanaly$.tw. (1210)</w:t>
      </w:r>
    </w:p>
    <w:p w:rsidR="0025490C" w:rsidRPr="00E07B1B" w:rsidRDefault="0025490C" w:rsidP="00EE1CCB">
      <w:r w:rsidRPr="00E07B1B">
        <w:t>38</w:t>
      </w:r>
      <w:r>
        <w:t xml:space="preserve"> </w:t>
      </w:r>
      <w:r w:rsidRPr="00E07B1B">
        <w:t>Meta-Analysis/ (38026)</w:t>
      </w:r>
    </w:p>
    <w:p w:rsidR="0025490C" w:rsidRPr="00E07B1B" w:rsidRDefault="0025490C" w:rsidP="00EE1CCB">
      <w:r w:rsidRPr="00E07B1B">
        <w:t>39</w:t>
      </w:r>
      <w:r>
        <w:t xml:space="preserve"> </w:t>
      </w:r>
      <w:r w:rsidRPr="00E07B1B">
        <w:t>(systematic adj (review$1 or overview$1)).tw. (40683)</w:t>
      </w:r>
    </w:p>
    <w:p w:rsidR="0025490C" w:rsidRPr="00E07B1B" w:rsidRDefault="0025490C" w:rsidP="00EE1CCB">
      <w:r w:rsidRPr="00E07B1B">
        <w:t>40</w:t>
      </w:r>
      <w:r>
        <w:t xml:space="preserve"> </w:t>
      </w:r>
      <w:r w:rsidRPr="00E07B1B">
        <w:t>exp Review Literature as Topic/ (6633)</w:t>
      </w:r>
    </w:p>
    <w:p w:rsidR="0025490C" w:rsidRPr="00E07B1B" w:rsidRDefault="0025490C" w:rsidP="00EE1CCB">
      <w:r w:rsidRPr="00E07B1B">
        <w:t>41</w:t>
      </w:r>
      <w:r>
        <w:t xml:space="preserve"> </w:t>
      </w:r>
      <w:r w:rsidRPr="00E07B1B">
        <w:t>Review/ (1760390)</w:t>
      </w:r>
    </w:p>
    <w:p w:rsidR="0025490C" w:rsidRPr="00E07B1B" w:rsidRDefault="0025490C" w:rsidP="00EE1CCB">
      <w:r w:rsidRPr="00E07B1B">
        <w:t>42</w:t>
      </w:r>
      <w:r>
        <w:t xml:space="preserve"> </w:t>
      </w:r>
      <w:r w:rsidRPr="00E07B1B">
        <w:t>or/35-41 (1810442)</w:t>
      </w:r>
    </w:p>
    <w:p w:rsidR="0025490C" w:rsidRPr="00E07B1B" w:rsidRDefault="0025490C" w:rsidP="00EE1CCB">
      <w:r w:rsidRPr="00E07B1B">
        <w:t>43</w:t>
      </w:r>
      <w:r>
        <w:t xml:space="preserve"> </w:t>
      </w:r>
      <w:r w:rsidRPr="00E07B1B">
        <w:t>cochrane.ab. (24190)</w:t>
      </w:r>
    </w:p>
    <w:p w:rsidR="0025490C" w:rsidRPr="00E07B1B" w:rsidRDefault="0025490C" w:rsidP="00EE1CCB">
      <w:r w:rsidRPr="00E07B1B">
        <w:t>44</w:t>
      </w:r>
      <w:r>
        <w:t xml:space="preserve"> </w:t>
      </w:r>
      <w:r w:rsidRPr="00E07B1B">
        <w:t>embase.ab. (21912)</w:t>
      </w:r>
    </w:p>
    <w:p w:rsidR="0025490C" w:rsidRPr="00E07B1B" w:rsidRDefault="0025490C" w:rsidP="00EE1CCB">
      <w:r w:rsidRPr="00E07B1B">
        <w:t>45</w:t>
      </w:r>
      <w:r>
        <w:t xml:space="preserve"> </w:t>
      </w:r>
      <w:r w:rsidRPr="00E07B1B">
        <w:t>(psychlit or psyclit).ab. (874)</w:t>
      </w:r>
    </w:p>
    <w:p w:rsidR="0025490C" w:rsidRPr="00E07B1B" w:rsidRDefault="0025490C" w:rsidP="00EE1CCB">
      <w:r w:rsidRPr="00E07B1B">
        <w:t>46</w:t>
      </w:r>
      <w:r>
        <w:t xml:space="preserve"> </w:t>
      </w:r>
      <w:r w:rsidRPr="00E07B1B">
        <w:t>(psychinfo or psycinfo).ab. (8375)</w:t>
      </w:r>
    </w:p>
    <w:p w:rsidR="0025490C" w:rsidRPr="00E07B1B" w:rsidRDefault="0025490C" w:rsidP="00EE1CCB">
      <w:r w:rsidRPr="00E07B1B">
        <w:t>47</w:t>
      </w:r>
      <w:r>
        <w:t xml:space="preserve"> </w:t>
      </w:r>
      <w:r w:rsidRPr="00E07B1B">
        <w:t>(cinahl or cinhal).ab. (8081)</w:t>
      </w:r>
    </w:p>
    <w:p w:rsidR="0025490C" w:rsidRPr="00E07B1B" w:rsidRDefault="0025490C" w:rsidP="00EE1CCB">
      <w:r w:rsidRPr="00E07B1B">
        <w:t>48</w:t>
      </w:r>
      <w:r>
        <w:t xml:space="preserve"> </w:t>
      </w:r>
      <w:r w:rsidRPr="00E07B1B">
        <w:t>science citation index.ab. (1748)</w:t>
      </w:r>
    </w:p>
    <w:p w:rsidR="0025490C" w:rsidRPr="00E07B1B" w:rsidRDefault="0025490C" w:rsidP="00EE1CCB">
      <w:r w:rsidRPr="00E07B1B">
        <w:t>49</w:t>
      </w:r>
      <w:r>
        <w:t xml:space="preserve"> </w:t>
      </w:r>
      <w:r w:rsidRPr="00E07B1B">
        <w:t>bids.ab. (338)</w:t>
      </w:r>
    </w:p>
    <w:p w:rsidR="0025490C" w:rsidRPr="00E07B1B" w:rsidRDefault="0025490C" w:rsidP="00EE1CCB">
      <w:r w:rsidRPr="00E07B1B">
        <w:t>50</w:t>
      </w:r>
      <w:r>
        <w:t xml:space="preserve"> </w:t>
      </w:r>
      <w:r w:rsidRPr="00E07B1B">
        <w:t>cancerlit.ab. (568)</w:t>
      </w:r>
    </w:p>
    <w:p w:rsidR="0025490C" w:rsidRPr="00E07B1B" w:rsidRDefault="0025490C" w:rsidP="00EE1CCB">
      <w:r w:rsidRPr="00E07B1B">
        <w:t>51</w:t>
      </w:r>
      <w:r>
        <w:t xml:space="preserve"> </w:t>
      </w:r>
      <w:r w:rsidRPr="00E07B1B">
        <w:t>or/43-50 (39707)</w:t>
      </w:r>
    </w:p>
    <w:p w:rsidR="0025490C" w:rsidRPr="00E07B1B" w:rsidRDefault="0025490C" w:rsidP="00EE1CCB">
      <w:r w:rsidRPr="00E07B1B">
        <w:t>52</w:t>
      </w:r>
      <w:r>
        <w:t xml:space="preserve"> </w:t>
      </w:r>
      <w:r w:rsidRPr="00E07B1B">
        <w:t>reference list$.ab. (8367)</w:t>
      </w:r>
    </w:p>
    <w:p w:rsidR="0025490C" w:rsidRPr="00E07B1B" w:rsidRDefault="0025490C" w:rsidP="00EE1CCB">
      <w:r w:rsidRPr="00E07B1B">
        <w:t>53</w:t>
      </w:r>
      <w:r>
        <w:t xml:space="preserve"> </w:t>
      </w:r>
      <w:r w:rsidRPr="00E07B1B">
        <w:t>bibliograph$.ab. (10633)</w:t>
      </w:r>
    </w:p>
    <w:p w:rsidR="0025490C" w:rsidRPr="00E07B1B" w:rsidRDefault="0025490C" w:rsidP="00EE1CCB">
      <w:r w:rsidRPr="00E07B1B">
        <w:t>54</w:t>
      </w:r>
      <w:r>
        <w:t xml:space="preserve"> </w:t>
      </w:r>
      <w:r w:rsidRPr="00E07B1B">
        <w:t>hand-search$.ab. (3445)</w:t>
      </w:r>
    </w:p>
    <w:p w:rsidR="0025490C" w:rsidRPr="00E07B1B" w:rsidRDefault="0025490C" w:rsidP="00EE1CCB">
      <w:r w:rsidRPr="00E07B1B">
        <w:t>55</w:t>
      </w:r>
      <w:r>
        <w:t xml:space="preserve"> </w:t>
      </w:r>
      <w:r w:rsidRPr="00E07B1B">
        <w:t>relevant journals.ab. (610)</w:t>
      </w:r>
    </w:p>
    <w:p w:rsidR="0025490C" w:rsidRPr="00E07B1B" w:rsidRDefault="0025490C" w:rsidP="00EE1CCB">
      <w:r w:rsidRPr="00E07B1B">
        <w:t>56</w:t>
      </w:r>
      <w:r>
        <w:t xml:space="preserve"> </w:t>
      </w:r>
      <w:r w:rsidRPr="00E07B1B">
        <w:t>manual search$.ab. (2004)</w:t>
      </w:r>
    </w:p>
    <w:p w:rsidR="0025490C" w:rsidRPr="00E07B1B" w:rsidRDefault="0025490C" w:rsidP="00EE1CCB">
      <w:r w:rsidRPr="00E07B1B">
        <w:t>57</w:t>
      </w:r>
      <w:r>
        <w:t xml:space="preserve"> </w:t>
      </w:r>
      <w:r w:rsidRPr="00E07B1B">
        <w:t>or/52-56 (22420)</w:t>
      </w:r>
    </w:p>
    <w:p w:rsidR="0025490C" w:rsidRPr="00E07B1B" w:rsidRDefault="0025490C" w:rsidP="00EE1CCB">
      <w:r w:rsidRPr="00E07B1B">
        <w:t>58</w:t>
      </w:r>
      <w:r>
        <w:t xml:space="preserve"> </w:t>
      </w:r>
      <w:r w:rsidRPr="00E07B1B">
        <w:t>Comment/ (527572)</w:t>
      </w:r>
    </w:p>
    <w:p w:rsidR="0025490C" w:rsidRPr="00E07B1B" w:rsidRDefault="0025490C" w:rsidP="00EE1CCB">
      <w:r w:rsidRPr="00E07B1B">
        <w:t>59</w:t>
      </w:r>
      <w:r>
        <w:t xml:space="preserve"> </w:t>
      </w:r>
      <w:r w:rsidRPr="00E07B1B">
        <w:t>Letter/ (786066)</w:t>
      </w:r>
    </w:p>
    <w:p w:rsidR="0025490C" w:rsidRPr="00E07B1B" w:rsidRDefault="0025490C" w:rsidP="00EE1CCB">
      <w:r w:rsidRPr="00E07B1B">
        <w:t>60</w:t>
      </w:r>
      <w:r>
        <w:t xml:space="preserve"> </w:t>
      </w:r>
      <w:r w:rsidRPr="00E07B1B">
        <w:t>Editorial/ (323245)</w:t>
      </w:r>
    </w:p>
    <w:p w:rsidR="0025490C" w:rsidRPr="00E07B1B" w:rsidRDefault="0025490C" w:rsidP="00EE1CCB">
      <w:r w:rsidRPr="00E07B1B">
        <w:t>61</w:t>
      </w:r>
      <w:r>
        <w:t xml:space="preserve"> </w:t>
      </w:r>
      <w:r w:rsidRPr="00E07B1B">
        <w:t>animal/ (5098239)</w:t>
      </w:r>
    </w:p>
    <w:p w:rsidR="0025490C" w:rsidRPr="00E07B1B" w:rsidRDefault="0025490C" w:rsidP="00EE1CCB">
      <w:r w:rsidRPr="00E07B1B">
        <w:t>62</w:t>
      </w:r>
      <w:r>
        <w:t xml:space="preserve"> </w:t>
      </w:r>
      <w:r w:rsidRPr="00E07B1B">
        <w:t>human/ (12720842)</w:t>
      </w:r>
    </w:p>
    <w:p w:rsidR="0025490C" w:rsidRPr="00E07B1B" w:rsidRDefault="0025490C" w:rsidP="00EE1CCB">
      <w:r w:rsidRPr="00E07B1B">
        <w:t>63</w:t>
      </w:r>
      <w:r>
        <w:t xml:space="preserve"> </w:t>
      </w:r>
      <w:r w:rsidRPr="00E07B1B">
        <w:t>61 not (61 and 62) (3721468)</w:t>
      </w:r>
    </w:p>
    <w:p w:rsidR="0025490C" w:rsidRPr="00E07B1B" w:rsidRDefault="0025490C" w:rsidP="00EE1CCB">
      <w:r w:rsidRPr="00E07B1B">
        <w:t>64</w:t>
      </w:r>
      <w:r>
        <w:t xml:space="preserve"> </w:t>
      </w:r>
      <w:r w:rsidRPr="00E07B1B">
        <w:t>or/58-60,63 (4899891)</w:t>
      </w:r>
    </w:p>
    <w:p w:rsidR="0025490C" w:rsidRPr="00E07B1B" w:rsidRDefault="0025490C" w:rsidP="00EE1CCB">
      <w:r w:rsidRPr="00E07B1B">
        <w:t>65</w:t>
      </w:r>
      <w:r>
        <w:t xml:space="preserve"> </w:t>
      </w:r>
      <w:r w:rsidRPr="00E07B1B">
        <w:t>42 or 51 or 57 (1820731)</w:t>
      </w:r>
    </w:p>
    <w:p w:rsidR="0025490C" w:rsidRPr="00E07B1B" w:rsidRDefault="0025490C" w:rsidP="00EE1CCB">
      <w:r w:rsidRPr="00E07B1B">
        <w:t>66</w:t>
      </w:r>
      <w:r>
        <w:t xml:space="preserve"> </w:t>
      </w:r>
      <w:r w:rsidRPr="00E07B1B">
        <w:t>65 not 64 (1661128)</w:t>
      </w:r>
    </w:p>
    <w:p w:rsidR="0025490C" w:rsidRPr="00E07B1B" w:rsidRDefault="0025490C" w:rsidP="00EE1CCB">
      <w:r w:rsidRPr="00E07B1B">
        <w:t>67</w:t>
      </w:r>
      <w:r>
        <w:t xml:space="preserve"> </w:t>
      </w:r>
      <w:r w:rsidRPr="00E07B1B">
        <w:t>34 or 66 (2329282)</w:t>
      </w:r>
    </w:p>
    <w:p w:rsidR="0025490C" w:rsidRPr="00E07B1B" w:rsidRDefault="0025490C" w:rsidP="00EE1CCB">
      <w:r w:rsidRPr="00E07B1B">
        <w:t>68</w:t>
      </w:r>
      <w:r>
        <w:t xml:space="preserve"> </w:t>
      </w:r>
      <w:r w:rsidRPr="00E07B1B">
        <w:t>12 and 23 and 67 (680)</w:t>
      </w:r>
    </w:p>
    <w:p w:rsidR="0025490C" w:rsidRPr="00E07B1B" w:rsidRDefault="0025490C" w:rsidP="00EE1CCB">
      <w:r w:rsidRPr="00E07B1B">
        <w:t>69</w:t>
      </w:r>
      <w:r>
        <w:t xml:space="preserve"> </w:t>
      </w:r>
      <w:r w:rsidRPr="00E07B1B">
        <w:t>(2007$ or 2008$ or 2009$ or 2010$ or 2011$ or 2012$).ed. (5464646)</w:t>
      </w:r>
    </w:p>
    <w:p w:rsidR="0025490C" w:rsidRPr="00E07B1B" w:rsidRDefault="0025490C" w:rsidP="00EE1CCB">
      <w:r w:rsidRPr="00E07B1B">
        <w:t>70</w:t>
      </w:r>
      <w:r>
        <w:t xml:space="preserve"> </w:t>
      </w:r>
      <w:r w:rsidRPr="00E07B1B">
        <w:t>68 and 69 (297)</w:t>
      </w:r>
    </w:p>
    <w:p w:rsidR="0025490C" w:rsidRPr="00E07B1B" w:rsidRDefault="0025490C" w:rsidP="00EE1CCB"/>
    <w:p w:rsidR="0025490C" w:rsidRPr="00E07B1B" w:rsidRDefault="0025490C" w:rsidP="00EE1CCB">
      <w:pPr>
        <w:pStyle w:val="Heading3"/>
      </w:pPr>
      <w:r w:rsidRPr="00E07B1B">
        <w:t>Follow-up</w:t>
      </w:r>
    </w:p>
    <w:p w:rsidR="0025490C" w:rsidRPr="00E07B1B" w:rsidRDefault="0025490C" w:rsidP="00EE1CCB">
      <w:r w:rsidRPr="00E07B1B">
        <w:t>Database: Ovid MEDLINE(R) In-Process &amp; Other Non-Indexed Citations, Ovid MEDLINE(R) Daily and Ovid MEDLINE(R) &lt;1946 to Present&gt;</w:t>
      </w:r>
    </w:p>
    <w:p w:rsidR="0025490C" w:rsidRPr="00E07B1B" w:rsidRDefault="0025490C" w:rsidP="00EE1CCB">
      <w:r w:rsidRPr="00E07B1B">
        <w:t>Search Strategy:</w:t>
      </w:r>
    </w:p>
    <w:p w:rsidR="0025490C" w:rsidRPr="00E07B1B" w:rsidRDefault="0025490C" w:rsidP="00EE1CCB">
      <w:r w:rsidRPr="00E07B1B">
        <w:t>--------------------------------------------------------------------------------</w:t>
      </w:r>
    </w:p>
    <w:p w:rsidR="0025490C" w:rsidRPr="00E07B1B" w:rsidRDefault="0025490C" w:rsidP="00EE1CCB">
      <w:r w:rsidRPr="00E07B1B">
        <w:t>1</w:t>
      </w:r>
      <w:r>
        <w:t xml:space="preserve"> </w:t>
      </w:r>
      <w:r w:rsidRPr="00E07B1B">
        <w:t>pregnant women/ (4669)</w:t>
      </w:r>
    </w:p>
    <w:p w:rsidR="0025490C" w:rsidRPr="00E07B1B" w:rsidRDefault="0025490C" w:rsidP="00EE1CCB">
      <w:r w:rsidRPr="00E07B1B">
        <w:t>2</w:t>
      </w:r>
      <w:r>
        <w:t xml:space="preserve"> </w:t>
      </w:r>
      <w:r w:rsidRPr="00E07B1B">
        <w:t>pregnancy/ (653981)</w:t>
      </w:r>
    </w:p>
    <w:p w:rsidR="0025490C" w:rsidRPr="00E07B1B" w:rsidRDefault="0025490C" w:rsidP="00EE1CCB">
      <w:r w:rsidRPr="00E07B1B">
        <w:t>3</w:t>
      </w:r>
      <w:r>
        <w:t xml:space="preserve"> </w:t>
      </w:r>
      <w:r w:rsidRPr="00E07B1B">
        <w:t>pregna$.tw. (337064)</w:t>
      </w:r>
    </w:p>
    <w:p w:rsidR="0025490C" w:rsidRPr="00E07B1B" w:rsidRDefault="0025490C" w:rsidP="00EE1CCB">
      <w:r w:rsidRPr="00E07B1B">
        <w:t>4</w:t>
      </w:r>
      <w:r>
        <w:t xml:space="preserve"> </w:t>
      </w:r>
      <w:r w:rsidRPr="00E07B1B">
        <w:t>or/1-3 (724682)</w:t>
      </w:r>
    </w:p>
    <w:p w:rsidR="0025490C" w:rsidRPr="00E07B1B" w:rsidRDefault="0025490C" w:rsidP="00EE1CCB">
      <w:r w:rsidRPr="00E07B1B">
        <w:t>5</w:t>
      </w:r>
      <w:r>
        <w:t xml:space="preserve"> </w:t>
      </w:r>
      <w:r w:rsidRPr="00E07B1B">
        <w:t>pregnancy in diabetics/ (9444)</w:t>
      </w:r>
    </w:p>
    <w:p w:rsidR="0025490C" w:rsidRPr="00E07B1B" w:rsidRDefault="0025490C" w:rsidP="00EE1CCB">
      <w:r w:rsidRPr="00E07B1B">
        <w:t>6</w:t>
      </w:r>
      <w:r>
        <w:t xml:space="preserve"> </w:t>
      </w:r>
      <w:r w:rsidRPr="00E07B1B">
        <w:t>or/4-5 (724712)</w:t>
      </w:r>
    </w:p>
    <w:p w:rsidR="0025490C" w:rsidRPr="00E07B1B" w:rsidRDefault="0025490C" w:rsidP="00EE1CCB">
      <w:r w:rsidRPr="00E07B1B">
        <w:t>7</w:t>
      </w:r>
      <w:r>
        <w:t xml:space="preserve"> </w:t>
      </w:r>
      <w:r w:rsidRPr="00E07B1B">
        <w:t>exp diabetes mellitus/ (285217)</w:t>
      </w:r>
    </w:p>
    <w:p w:rsidR="0025490C" w:rsidRPr="00E07B1B" w:rsidRDefault="0025490C" w:rsidP="00EE1CCB">
      <w:r w:rsidRPr="00E07B1B">
        <w:t>8</w:t>
      </w:r>
      <w:r>
        <w:t xml:space="preserve"> </w:t>
      </w:r>
      <w:r w:rsidRPr="00E07B1B">
        <w:t>diabetes, mellitus type 1/ (56611)</w:t>
      </w:r>
    </w:p>
    <w:p w:rsidR="0025490C" w:rsidRPr="00E07B1B" w:rsidRDefault="0025490C" w:rsidP="00EE1CCB">
      <w:r w:rsidRPr="00E07B1B">
        <w:t>9</w:t>
      </w:r>
      <w:r>
        <w:t xml:space="preserve"> </w:t>
      </w:r>
      <w:r w:rsidRPr="00E07B1B">
        <w:t>diabetes, mellitus type 2/ (73142)</w:t>
      </w:r>
    </w:p>
    <w:p w:rsidR="0025490C" w:rsidRPr="00E07B1B" w:rsidRDefault="0025490C" w:rsidP="00EE1CCB">
      <w:r w:rsidRPr="00E07B1B">
        <w:t>10</w:t>
      </w:r>
      <w:r>
        <w:t xml:space="preserve"> </w:t>
      </w:r>
      <w:r w:rsidRPr="00E07B1B">
        <w:t>diabetes mellitus, lipoatrophic/ (171)</w:t>
      </w:r>
    </w:p>
    <w:p w:rsidR="0025490C" w:rsidRPr="00E07B1B" w:rsidRDefault="0025490C" w:rsidP="00EE1CCB">
      <w:r w:rsidRPr="00E07B1B">
        <w:t>11</w:t>
      </w:r>
      <w:r>
        <w:t xml:space="preserve"> </w:t>
      </w:r>
      <w:r w:rsidRPr="00E07B1B">
        <w:t>diabetes insipidus/ (5625)</w:t>
      </w:r>
    </w:p>
    <w:p w:rsidR="0025490C" w:rsidRPr="00E07B1B" w:rsidRDefault="0025490C" w:rsidP="00EE1CCB">
      <w:r w:rsidRPr="00E07B1B">
        <w:t>12</w:t>
      </w:r>
      <w:r>
        <w:t xml:space="preserve"> </w:t>
      </w:r>
      <w:r w:rsidRPr="00E07B1B">
        <w:t>diabetes, gestational/ (4744)</w:t>
      </w:r>
    </w:p>
    <w:p w:rsidR="0025490C" w:rsidRPr="00E07B1B" w:rsidRDefault="0025490C" w:rsidP="00EE1CCB">
      <w:r w:rsidRPr="00E07B1B">
        <w:t>13</w:t>
      </w:r>
      <w:r>
        <w:t xml:space="preserve"> </w:t>
      </w:r>
      <w:r w:rsidRPr="00E07B1B">
        <w:t>diabetes$.tw. (282751)</w:t>
      </w:r>
    </w:p>
    <w:p w:rsidR="0025490C" w:rsidRPr="00E07B1B" w:rsidRDefault="0025490C" w:rsidP="00EE1CCB">
      <w:r w:rsidRPr="00E07B1B">
        <w:t>14</w:t>
      </w:r>
      <w:r>
        <w:t xml:space="preserve"> </w:t>
      </w:r>
      <w:r w:rsidRPr="00E07B1B">
        <w:t>or/7-13 (386068)</w:t>
      </w:r>
    </w:p>
    <w:p w:rsidR="0025490C" w:rsidRPr="00E07B1B" w:rsidRDefault="0025490C" w:rsidP="00EE1CCB">
      <w:r w:rsidRPr="00E07B1B">
        <w:t>15</w:t>
      </w:r>
      <w:r>
        <w:t xml:space="preserve"> </w:t>
      </w:r>
      <w:r w:rsidRPr="00E07B1B">
        <w:t>and/6,14 (20647)</w:t>
      </w:r>
    </w:p>
    <w:p w:rsidR="0025490C" w:rsidRPr="00E07B1B" w:rsidRDefault="0025490C" w:rsidP="00EE1CCB">
      <w:r w:rsidRPr="00E07B1B">
        <w:t>16</w:t>
      </w:r>
      <w:r>
        <w:t xml:space="preserve"> </w:t>
      </w:r>
      <w:r w:rsidRPr="00E07B1B">
        <w:t>postnatal care/ (3477)</w:t>
      </w:r>
    </w:p>
    <w:p w:rsidR="0025490C" w:rsidRPr="00E07B1B" w:rsidRDefault="0025490C" w:rsidP="00EE1CCB">
      <w:r w:rsidRPr="00E07B1B">
        <w:t>17</w:t>
      </w:r>
      <w:r>
        <w:t xml:space="preserve"> </w:t>
      </w:r>
      <w:r w:rsidRPr="00E07B1B">
        <w:t>((postnatal or postpartum) adj (care or period)).tw. (9624)</w:t>
      </w:r>
    </w:p>
    <w:p w:rsidR="0025490C" w:rsidRPr="00E07B1B" w:rsidRDefault="0025490C" w:rsidP="00EE1CCB">
      <w:r w:rsidRPr="00E07B1B">
        <w:t>18</w:t>
      </w:r>
      <w:r>
        <w:t xml:space="preserve"> </w:t>
      </w:r>
      <w:r w:rsidRPr="00E07B1B">
        <w:t>or/16-17 (12590)</w:t>
      </w:r>
    </w:p>
    <w:p w:rsidR="0025490C" w:rsidRPr="00E07B1B" w:rsidRDefault="0025490C" w:rsidP="00EE1CCB">
      <w:r w:rsidRPr="00E07B1B">
        <w:t>19</w:t>
      </w:r>
      <w:r>
        <w:t xml:space="preserve"> </w:t>
      </w:r>
      <w:r w:rsidRPr="00E07B1B">
        <w:t>aftercare/ (6239)</w:t>
      </w:r>
    </w:p>
    <w:p w:rsidR="0025490C" w:rsidRPr="00E07B1B" w:rsidRDefault="0025490C" w:rsidP="00EE1CCB">
      <w:r w:rsidRPr="00E07B1B">
        <w:t>20</w:t>
      </w:r>
      <w:r>
        <w:t xml:space="preserve"> </w:t>
      </w:r>
      <w:r w:rsidRPr="00E07B1B">
        <w:t>after?care.tw. (1959)</w:t>
      </w:r>
    </w:p>
    <w:p w:rsidR="0025490C" w:rsidRPr="00E07B1B" w:rsidRDefault="0025490C" w:rsidP="00EE1CCB">
      <w:r w:rsidRPr="00E07B1B">
        <w:t>21</w:t>
      </w:r>
      <w:r>
        <w:t xml:space="preserve"> </w:t>
      </w:r>
      <w:r w:rsidRPr="00E07B1B">
        <w:t>or/19-20 (7447)</w:t>
      </w:r>
    </w:p>
    <w:p w:rsidR="0025490C" w:rsidRPr="00E07B1B" w:rsidRDefault="0025490C" w:rsidP="00EE1CCB">
      <w:r w:rsidRPr="00E07B1B">
        <w:t>22</w:t>
      </w:r>
      <w:r>
        <w:t xml:space="preserve"> </w:t>
      </w:r>
      <w:r w:rsidRPr="00E07B1B">
        <w:t>follow up.tw. (531657)</w:t>
      </w:r>
    </w:p>
    <w:p w:rsidR="0025490C" w:rsidRPr="00E07B1B" w:rsidRDefault="0025490C" w:rsidP="00EE1CCB">
      <w:r w:rsidRPr="00E07B1B">
        <w:t>23</w:t>
      </w:r>
      <w:r>
        <w:t xml:space="preserve"> </w:t>
      </w:r>
      <w:r w:rsidRPr="00E07B1B">
        <w:t>follow?up.tw. (15451)</w:t>
      </w:r>
    </w:p>
    <w:p w:rsidR="0025490C" w:rsidRPr="00E07B1B" w:rsidRDefault="0025490C" w:rsidP="00EE1CCB">
      <w:r w:rsidRPr="00E07B1B">
        <w:t>24</w:t>
      </w:r>
      <w:r>
        <w:t xml:space="preserve"> </w:t>
      </w:r>
      <w:r w:rsidRPr="00E07B1B">
        <w:t>or/22-23 (546097)</w:t>
      </w:r>
    </w:p>
    <w:p w:rsidR="0025490C" w:rsidRPr="00E07B1B" w:rsidRDefault="0025490C" w:rsidP="00EE1CCB">
      <w:r w:rsidRPr="00E07B1B">
        <w:t>25</w:t>
      </w:r>
      <w:r>
        <w:t xml:space="preserve"> </w:t>
      </w:r>
      <w:r w:rsidRPr="00E07B1B">
        <w:t>or/18,21,24 (563688)</w:t>
      </w:r>
    </w:p>
    <w:p w:rsidR="0025490C" w:rsidRPr="00E07B1B" w:rsidRDefault="0025490C" w:rsidP="00EE1CCB">
      <w:r w:rsidRPr="00E07B1B">
        <w:t>26</w:t>
      </w:r>
      <w:r>
        <w:t xml:space="preserve"> </w:t>
      </w:r>
      <w:r w:rsidRPr="00E07B1B">
        <w:t>and/15,25 (978)</w:t>
      </w:r>
    </w:p>
    <w:p w:rsidR="0025490C" w:rsidRPr="00E07B1B" w:rsidRDefault="0025490C" w:rsidP="00EE1CCB">
      <w:r w:rsidRPr="00E07B1B">
        <w:t>27</w:t>
      </w:r>
      <w:r>
        <w:t xml:space="preserve"> </w:t>
      </w:r>
      <w:r w:rsidRPr="00E07B1B">
        <w:t>animal/ not (human/ and animal/) (3668019)</w:t>
      </w:r>
    </w:p>
    <w:p w:rsidR="0025490C" w:rsidRPr="00E07B1B" w:rsidRDefault="0025490C" w:rsidP="00EE1CCB">
      <w:r w:rsidRPr="00E07B1B">
        <w:t>28</w:t>
      </w:r>
      <w:r>
        <w:t xml:space="preserve"> </w:t>
      </w:r>
      <w:r w:rsidRPr="00E07B1B">
        <w:t>26 not 27 (964)</w:t>
      </w:r>
    </w:p>
    <w:p w:rsidR="0025490C" w:rsidRPr="00E07B1B" w:rsidRDefault="0025490C" w:rsidP="00EE1CCB">
      <w:r w:rsidRPr="00E07B1B">
        <w:t>29</w:t>
      </w:r>
      <w:r>
        <w:t xml:space="preserve"> </w:t>
      </w:r>
      <w:r w:rsidRPr="00E07B1B">
        <w:t>limit 28 to (english language and yr=</w:t>
      </w:r>
      <w:r w:rsidR="0068074A">
        <w:t>“</w:t>
      </w:r>
      <w:r w:rsidRPr="00E07B1B">
        <w:t>2007</w:t>
      </w:r>
      <w:r w:rsidR="0068074A">
        <w:t xml:space="preserve"> – </w:t>
      </w:r>
      <w:r w:rsidRPr="00E07B1B">
        <w:t>2012</w:t>
      </w:r>
      <w:r w:rsidR="0068074A">
        <w:t>”</w:t>
      </w:r>
      <w:r w:rsidRPr="00E07B1B">
        <w:t>) (349)</w:t>
      </w:r>
    </w:p>
    <w:p w:rsidR="0025490C" w:rsidRPr="00E07B1B" w:rsidRDefault="0025490C" w:rsidP="00EE1CCB"/>
    <w:p w:rsidR="0025490C" w:rsidRPr="00E07B1B" w:rsidRDefault="0025490C" w:rsidP="00EE1CCB">
      <w:pPr>
        <w:pStyle w:val="Heading3"/>
      </w:pPr>
      <w:r w:rsidRPr="00E07B1B">
        <w:t>Cost effectiveness</w:t>
      </w:r>
    </w:p>
    <w:p w:rsidR="0025490C" w:rsidRPr="00E07B1B" w:rsidRDefault="0025490C" w:rsidP="00EE1CCB">
      <w:r w:rsidRPr="00E07B1B">
        <w:t>Database: Ovid MEDLINE(R) In-Process &amp; Other Non-Indexed Citations, Ovid MEDLINE(R) Daily and Ovid MEDLINE(R) &lt;1946 to Present&gt;</w:t>
      </w:r>
    </w:p>
    <w:p w:rsidR="0025490C" w:rsidRPr="00E07B1B" w:rsidRDefault="0025490C" w:rsidP="00EE1CCB">
      <w:r w:rsidRPr="00E07B1B">
        <w:t>Search Strategy:</w:t>
      </w:r>
    </w:p>
    <w:p w:rsidR="0025490C" w:rsidRPr="00E07B1B" w:rsidRDefault="0025490C" w:rsidP="00EE1CCB">
      <w:r w:rsidRPr="00E07B1B">
        <w:t>--------------------------------------------------------------------------------</w:t>
      </w:r>
    </w:p>
    <w:p w:rsidR="0025490C" w:rsidRPr="00E07B1B" w:rsidRDefault="0025490C" w:rsidP="00EE1CCB">
      <w:r w:rsidRPr="00E07B1B">
        <w:t>1</w:t>
      </w:r>
      <w:r>
        <w:t xml:space="preserve"> </w:t>
      </w:r>
      <w:r w:rsidRPr="00E07B1B">
        <w:t>(costs and cost analysis).mp. [mp=title, abstract, original title, name of substance word, subject heading word, protocol supplementary concept, rare disease supplementary concept, unique identifier] (41112)</w:t>
      </w:r>
    </w:p>
    <w:p w:rsidR="0025490C" w:rsidRPr="00E07B1B" w:rsidRDefault="0025490C" w:rsidP="00EE1CCB">
      <w:r w:rsidRPr="00E07B1B">
        <w:t>2</w:t>
      </w:r>
      <w:r>
        <w:t xml:space="preserve"> </w:t>
      </w:r>
      <w:r w:rsidRPr="00E07B1B">
        <w:t>cost of illness/ (15285)</w:t>
      </w:r>
    </w:p>
    <w:p w:rsidR="0025490C" w:rsidRPr="00E07B1B" w:rsidRDefault="0025490C" w:rsidP="00EE1CCB">
      <w:r w:rsidRPr="00E07B1B">
        <w:t>3</w:t>
      </w:r>
      <w:r>
        <w:t xml:space="preserve"> </w:t>
      </w:r>
      <w:r w:rsidRPr="00E07B1B">
        <w:t>exp economics/ (459496)</w:t>
      </w:r>
    </w:p>
    <w:p w:rsidR="0025490C" w:rsidRPr="00E07B1B" w:rsidRDefault="0025490C" w:rsidP="00EE1CCB">
      <w:r w:rsidRPr="00E07B1B">
        <w:t>4</w:t>
      </w:r>
      <w:r>
        <w:t xml:space="preserve"> </w:t>
      </w:r>
      <w:r w:rsidRPr="00E07B1B">
        <w:t>(pharmacoeconomic$ or pharmaco-economic$ or cost$ or economic$).tw. (408042)</w:t>
      </w:r>
    </w:p>
    <w:p w:rsidR="0025490C" w:rsidRPr="00E07B1B" w:rsidRDefault="0025490C" w:rsidP="00EE1CCB">
      <w:r w:rsidRPr="00E07B1B">
        <w:t>5</w:t>
      </w:r>
      <w:r>
        <w:t xml:space="preserve"> </w:t>
      </w:r>
      <w:r w:rsidRPr="00E07B1B">
        <w:t>exp quality-adjusted life years/ (5792)</w:t>
      </w:r>
    </w:p>
    <w:p w:rsidR="0025490C" w:rsidRPr="00E07B1B" w:rsidRDefault="0025490C" w:rsidP="00EE1CCB">
      <w:r w:rsidRPr="00E07B1B">
        <w:t>6</w:t>
      </w:r>
      <w:r>
        <w:t xml:space="preserve"> </w:t>
      </w:r>
      <w:r w:rsidRPr="00E07B1B">
        <w:t>(qaly$ or EQ5D or EQ-5D or euroqol or euro-qol).tw. (6729)</w:t>
      </w:r>
    </w:p>
    <w:p w:rsidR="0025490C" w:rsidRPr="00E07B1B" w:rsidRDefault="0025490C" w:rsidP="00EE1CCB">
      <w:r w:rsidRPr="00E07B1B">
        <w:t>7</w:t>
      </w:r>
      <w:r>
        <w:t xml:space="preserve"> </w:t>
      </w:r>
      <w:r w:rsidRPr="00E07B1B">
        <w:t>6 or 4 or 1 or 3 or 2 or 5 (748255)</w:t>
      </w:r>
    </w:p>
    <w:p w:rsidR="0025490C" w:rsidRPr="00E07B1B" w:rsidRDefault="0025490C" w:rsidP="00EE1CCB">
      <w:r w:rsidRPr="00E07B1B">
        <w:t>8</w:t>
      </w:r>
      <w:r>
        <w:t xml:space="preserve"> </w:t>
      </w:r>
      <w:r w:rsidRPr="00E07B1B">
        <w:t>exp diabetes, gestational/ (5867)</w:t>
      </w:r>
    </w:p>
    <w:p w:rsidR="0025490C" w:rsidRPr="00E07B1B" w:rsidRDefault="0025490C" w:rsidP="00EE1CCB">
      <w:r w:rsidRPr="00E07B1B">
        <w:t>9</w:t>
      </w:r>
      <w:r>
        <w:t xml:space="preserve"> </w:t>
      </w:r>
      <w:r w:rsidRPr="00E07B1B">
        <w:t>(gestation* adj2 diabetes*).tw. (5973)</w:t>
      </w:r>
    </w:p>
    <w:p w:rsidR="0025490C" w:rsidRPr="00E07B1B" w:rsidRDefault="0025490C" w:rsidP="00EE1CCB">
      <w:r w:rsidRPr="00E07B1B">
        <w:t>10</w:t>
      </w:r>
      <w:r>
        <w:t xml:space="preserve"> </w:t>
      </w:r>
      <w:r w:rsidRPr="00E07B1B">
        <w:t>exp hyperglycemia/ (23109)</w:t>
      </w:r>
    </w:p>
    <w:p w:rsidR="0025490C" w:rsidRPr="00E07B1B" w:rsidRDefault="0025490C" w:rsidP="00EE1CCB">
      <w:r w:rsidRPr="00E07B1B">
        <w:t>11</w:t>
      </w:r>
      <w:r>
        <w:t xml:space="preserve"> </w:t>
      </w:r>
      <w:r w:rsidRPr="00E07B1B">
        <w:t>exp pregnancy/ (670623)</w:t>
      </w:r>
    </w:p>
    <w:p w:rsidR="0025490C" w:rsidRPr="00E07B1B" w:rsidRDefault="0025490C" w:rsidP="00EE1CCB">
      <w:r w:rsidRPr="00E07B1B">
        <w:t>12</w:t>
      </w:r>
      <w:r>
        <w:t xml:space="preserve"> </w:t>
      </w:r>
      <w:r w:rsidRPr="00E07B1B">
        <w:t>11 and 10 (1336)</w:t>
      </w:r>
    </w:p>
    <w:p w:rsidR="0025490C" w:rsidRPr="00E07B1B" w:rsidRDefault="0025490C" w:rsidP="00EE1CCB">
      <w:r w:rsidRPr="00E07B1B">
        <w:t>13</w:t>
      </w:r>
      <w:r>
        <w:t xml:space="preserve"> </w:t>
      </w:r>
      <w:r w:rsidRPr="00E07B1B">
        <w:t>((hyperglycemia or hyperglycaemia) adj4 pregnan$).tw. (263)</w:t>
      </w:r>
    </w:p>
    <w:p w:rsidR="0025490C" w:rsidRPr="00E07B1B" w:rsidRDefault="0025490C" w:rsidP="00EE1CCB">
      <w:r w:rsidRPr="00E07B1B">
        <w:t>14</w:t>
      </w:r>
      <w:r>
        <w:t xml:space="preserve"> </w:t>
      </w:r>
      <w:r w:rsidRPr="00E07B1B">
        <w:t>13 or 8 or 9 or 12 (8883)</w:t>
      </w:r>
    </w:p>
    <w:p w:rsidR="0025490C" w:rsidRPr="00E07B1B" w:rsidRDefault="0025490C" w:rsidP="00EE1CCB">
      <w:r w:rsidRPr="00E07B1B">
        <w:t>15</w:t>
      </w:r>
      <w:r>
        <w:t xml:space="preserve"> </w:t>
      </w:r>
      <w:r w:rsidRPr="00E07B1B">
        <w:t>((glucose tolerance or impaired fasting glucose) adj3 pregnan*).tw. (433)</w:t>
      </w:r>
    </w:p>
    <w:p w:rsidR="0025490C" w:rsidRPr="00E07B1B" w:rsidRDefault="0025490C" w:rsidP="00EE1CCB">
      <w:r w:rsidRPr="00E07B1B">
        <w:t>16</w:t>
      </w:r>
      <w:r>
        <w:t xml:space="preserve"> </w:t>
      </w:r>
      <w:r w:rsidRPr="00E07B1B">
        <w:t>diabet$adj2 pregnan$.m_titl. (0)</w:t>
      </w:r>
    </w:p>
    <w:p w:rsidR="0025490C" w:rsidRPr="00E07B1B" w:rsidRDefault="0025490C" w:rsidP="00EE1CCB">
      <w:r w:rsidRPr="00E07B1B">
        <w:t>17</w:t>
      </w:r>
      <w:r>
        <w:t xml:space="preserve"> </w:t>
      </w:r>
      <w:r w:rsidRPr="00E07B1B">
        <w:t>15 or 14 or 16 (9042)</w:t>
      </w:r>
    </w:p>
    <w:p w:rsidR="0025490C" w:rsidRPr="00E07B1B" w:rsidRDefault="0025490C" w:rsidP="00EE1CCB">
      <w:r w:rsidRPr="00E07B1B">
        <w:t>18</w:t>
      </w:r>
      <w:r>
        <w:t xml:space="preserve"> </w:t>
      </w:r>
      <w:r w:rsidRPr="00E07B1B">
        <w:t>7 and 17 (310)</w:t>
      </w:r>
    </w:p>
    <w:p w:rsidR="0025490C" w:rsidRPr="00E07B1B" w:rsidRDefault="0025490C" w:rsidP="00EE1CCB">
      <w:r w:rsidRPr="00E07B1B">
        <w:t>19</w:t>
      </w:r>
      <w:r>
        <w:t xml:space="preserve"> </w:t>
      </w:r>
      <w:r w:rsidRPr="00E07B1B">
        <w:t>limit 18 to english language (279)</w:t>
      </w:r>
    </w:p>
    <w:p w:rsidR="0025490C" w:rsidRPr="00E07B1B" w:rsidRDefault="0025490C" w:rsidP="00EE1CCB">
      <w:r w:rsidRPr="00E07B1B">
        <w:t>20</w:t>
      </w:r>
      <w:r>
        <w:t xml:space="preserve"> </w:t>
      </w:r>
      <w:r w:rsidRPr="00E07B1B">
        <w:t>limit 19 to yr=</w:t>
      </w:r>
      <w:r w:rsidR="0068074A">
        <w:t>“</w:t>
      </w:r>
      <w:r w:rsidRPr="00E07B1B">
        <w:t>2009</w:t>
      </w:r>
      <w:r w:rsidR="0068074A">
        <w:t xml:space="preserve"> – </w:t>
      </w:r>
      <w:r w:rsidRPr="00E07B1B">
        <w:t>2012</w:t>
      </w:r>
      <w:r w:rsidR="0068074A">
        <w:t>”</w:t>
      </w:r>
      <w:r w:rsidRPr="00E07B1B">
        <w:t xml:space="preserve"> (88)</w:t>
      </w:r>
    </w:p>
    <w:p w:rsidR="0025490C" w:rsidRPr="00E07B1B" w:rsidRDefault="0025490C" w:rsidP="00EE1CCB"/>
    <w:p w:rsidR="0025490C" w:rsidRPr="00E07B1B" w:rsidRDefault="0025490C" w:rsidP="00EE1CCB">
      <w:pPr>
        <w:pStyle w:val="Heading3"/>
      </w:pPr>
      <w:r w:rsidRPr="00E07B1B">
        <w:t>Prevention of diabetes</w:t>
      </w:r>
    </w:p>
    <w:p w:rsidR="0025490C" w:rsidRPr="00E07B1B" w:rsidRDefault="0025490C" w:rsidP="00EE1CCB">
      <w:r w:rsidRPr="00E07B1B">
        <w:t>Database: Embase &lt;1980 to 2012 Week 44&gt;</w:t>
      </w:r>
    </w:p>
    <w:p w:rsidR="0025490C" w:rsidRPr="00E07B1B" w:rsidRDefault="0025490C" w:rsidP="00EE1CCB">
      <w:r w:rsidRPr="00E07B1B">
        <w:t>Search Strategy:</w:t>
      </w:r>
    </w:p>
    <w:p w:rsidR="0025490C" w:rsidRPr="00E07B1B" w:rsidRDefault="0025490C" w:rsidP="00EE1CCB">
      <w:r w:rsidRPr="00E07B1B">
        <w:t>--------------------------------------------------------------------------------</w:t>
      </w:r>
    </w:p>
    <w:p w:rsidR="0025490C" w:rsidRPr="00E07B1B" w:rsidRDefault="0025490C" w:rsidP="00EE1CCB">
      <w:r w:rsidRPr="00E07B1B">
        <w:t>1</w:t>
      </w:r>
      <w:r>
        <w:t xml:space="preserve"> </w:t>
      </w:r>
      <w:r w:rsidRPr="00E07B1B">
        <w:t>exp pregnancy diabetes mellitus/ (17371)</w:t>
      </w:r>
    </w:p>
    <w:p w:rsidR="0025490C" w:rsidRPr="00E07B1B" w:rsidRDefault="0025490C" w:rsidP="00EE1CCB">
      <w:r w:rsidRPr="00E07B1B">
        <w:t>2</w:t>
      </w:r>
      <w:r>
        <w:t xml:space="preserve"> </w:t>
      </w:r>
      <w:r w:rsidRPr="00E07B1B">
        <w:t>(pregnan$ adj5 diabet$).tw. (9751)</w:t>
      </w:r>
    </w:p>
    <w:p w:rsidR="0025490C" w:rsidRPr="00E07B1B" w:rsidRDefault="0025490C" w:rsidP="00EE1CCB">
      <w:r w:rsidRPr="00E07B1B">
        <w:t>3</w:t>
      </w:r>
      <w:r>
        <w:t xml:space="preserve"> </w:t>
      </w:r>
      <w:r w:rsidRPr="00E07B1B">
        <w:t>(hyperglyc$ adj5 pregnan$).tw. (503)</w:t>
      </w:r>
    </w:p>
    <w:p w:rsidR="0025490C" w:rsidRPr="00E07B1B" w:rsidRDefault="0025490C" w:rsidP="00EE1CCB">
      <w:r w:rsidRPr="00E07B1B">
        <w:t>4</w:t>
      </w:r>
      <w:r>
        <w:t xml:space="preserve"> </w:t>
      </w:r>
      <w:r w:rsidRPr="00E07B1B">
        <w:t>GDM.tw. (3550)</w:t>
      </w:r>
    </w:p>
    <w:p w:rsidR="0025490C" w:rsidRPr="00E07B1B" w:rsidRDefault="0025490C" w:rsidP="00EE1CCB">
      <w:r w:rsidRPr="00E07B1B">
        <w:t>5</w:t>
      </w:r>
      <w:r>
        <w:t xml:space="preserve"> </w:t>
      </w:r>
      <w:r w:rsidRPr="00E07B1B">
        <w:t>(insulin resistance adj5 pregnan$).tw. (484)</w:t>
      </w:r>
    </w:p>
    <w:p w:rsidR="0025490C" w:rsidRPr="00E07B1B" w:rsidRDefault="0025490C" w:rsidP="00EE1CCB">
      <w:r w:rsidRPr="00E07B1B">
        <w:t>6</w:t>
      </w:r>
      <w:r>
        <w:t xml:space="preserve"> </w:t>
      </w:r>
      <w:r w:rsidRPr="00E07B1B">
        <w:t>(glucose intoleran$ adj5 pregnan$).tw. (258)</w:t>
      </w:r>
    </w:p>
    <w:p w:rsidR="0025490C" w:rsidRPr="00E07B1B" w:rsidRDefault="0025490C" w:rsidP="00EE1CCB">
      <w:r w:rsidRPr="00E07B1B">
        <w:t>7</w:t>
      </w:r>
      <w:r>
        <w:t xml:space="preserve"> </w:t>
      </w:r>
      <w:r w:rsidRPr="00E07B1B">
        <w:t>(gestation$ adj5 diabet$).tw. (9572)</w:t>
      </w:r>
    </w:p>
    <w:p w:rsidR="0025490C" w:rsidRPr="00E07B1B" w:rsidRDefault="0025490C" w:rsidP="00EE1CCB">
      <w:r w:rsidRPr="00E07B1B">
        <w:t>8</w:t>
      </w:r>
      <w:r>
        <w:t xml:space="preserve"> </w:t>
      </w:r>
      <w:r w:rsidRPr="00E07B1B">
        <w:t>(gestation$ adj5 weight gain).tw. (1277)</w:t>
      </w:r>
    </w:p>
    <w:p w:rsidR="0025490C" w:rsidRPr="00E07B1B" w:rsidRDefault="0025490C" w:rsidP="00EE1CCB">
      <w:r w:rsidRPr="00E07B1B">
        <w:t>9</w:t>
      </w:r>
      <w:r>
        <w:t xml:space="preserve"> </w:t>
      </w:r>
      <w:r w:rsidRPr="00E07B1B">
        <w:t>(gestation$ adj5 obes$).tw. (625)</w:t>
      </w:r>
    </w:p>
    <w:p w:rsidR="0025490C" w:rsidRPr="00E07B1B" w:rsidRDefault="0025490C" w:rsidP="00EE1CCB">
      <w:r w:rsidRPr="00E07B1B">
        <w:t>10</w:t>
      </w:r>
      <w:r>
        <w:t xml:space="preserve"> </w:t>
      </w:r>
      <w:r w:rsidRPr="00E07B1B">
        <w:t>maternal obes$.tw. (1213)</w:t>
      </w:r>
    </w:p>
    <w:p w:rsidR="0025490C" w:rsidRPr="00E07B1B" w:rsidRDefault="0025490C" w:rsidP="00EE1CCB">
      <w:r w:rsidRPr="00E07B1B">
        <w:t>11</w:t>
      </w:r>
      <w:r>
        <w:t xml:space="preserve"> </w:t>
      </w:r>
      <w:r w:rsidRPr="00E07B1B">
        <w:t>(maternal adj5 weight).tw. (6635)</w:t>
      </w:r>
    </w:p>
    <w:p w:rsidR="0025490C" w:rsidRPr="00E07B1B" w:rsidRDefault="0025490C" w:rsidP="00EE1CCB">
      <w:r w:rsidRPr="00E07B1B">
        <w:t>12</w:t>
      </w:r>
      <w:r>
        <w:t xml:space="preserve"> </w:t>
      </w:r>
      <w:r w:rsidRPr="00E07B1B">
        <w:t>or/1-11 (30268)</w:t>
      </w:r>
    </w:p>
    <w:p w:rsidR="0025490C" w:rsidRPr="00E07B1B" w:rsidRDefault="0025490C" w:rsidP="00EE1CCB">
      <w:r w:rsidRPr="00E07B1B">
        <w:t>13</w:t>
      </w:r>
      <w:r>
        <w:t xml:space="preserve"> </w:t>
      </w:r>
      <w:r w:rsidRPr="00E07B1B">
        <w:t>exp lifestyle/ (63323)</w:t>
      </w:r>
    </w:p>
    <w:p w:rsidR="0025490C" w:rsidRPr="00E07B1B" w:rsidRDefault="0025490C" w:rsidP="00EE1CCB">
      <w:r w:rsidRPr="00E07B1B">
        <w:t>14</w:t>
      </w:r>
      <w:r>
        <w:t xml:space="preserve"> </w:t>
      </w:r>
      <w:r w:rsidRPr="00E07B1B">
        <w:t>life*style.tw. (51852)</w:t>
      </w:r>
    </w:p>
    <w:p w:rsidR="0025490C" w:rsidRPr="00E07B1B" w:rsidRDefault="0025490C" w:rsidP="00EE1CCB">
      <w:r w:rsidRPr="00E07B1B">
        <w:t>15</w:t>
      </w:r>
      <w:r>
        <w:t xml:space="preserve"> </w:t>
      </w:r>
      <w:r w:rsidRPr="00E07B1B">
        <w:t>exp diet therapy/ or exp low carbohydrate diet/ or exp diet/ or exp diabetic diet/ or exp low fat diet/ or exp diet restriction/ or exp Mediterranean diet/ or exp low calory diet/ (351610)</w:t>
      </w:r>
    </w:p>
    <w:p w:rsidR="0025490C" w:rsidRPr="00E07B1B" w:rsidRDefault="0025490C" w:rsidP="00EE1CCB">
      <w:r w:rsidRPr="00E07B1B">
        <w:t>16</w:t>
      </w:r>
      <w:r>
        <w:t xml:space="preserve"> </w:t>
      </w:r>
      <w:r w:rsidRPr="00E07B1B">
        <w:t>diet$.tw. (407610)</w:t>
      </w:r>
    </w:p>
    <w:p w:rsidR="0025490C" w:rsidRPr="00E07B1B" w:rsidRDefault="0025490C" w:rsidP="00EE1CCB">
      <w:r w:rsidRPr="00E07B1B">
        <w:t>17</w:t>
      </w:r>
      <w:r>
        <w:t xml:space="preserve"> </w:t>
      </w:r>
      <w:r w:rsidRPr="00E07B1B">
        <w:t>(food adj3 intake).tw. (39241)</w:t>
      </w:r>
    </w:p>
    <w:p w:rsidR="0025490C" w:rsidRPr="00E07B1B" w:rsidRDefault="0025490C" w:rsidP="00EE1CCB">
      <w:r w:rsidRPr="00E07B1B">
        <w:t>18</w:t>
      </w:r>
      <w:r>
        <w:t xml:space="preserve"> </w:t>
      </w:r>
      <w:r w:rsidRPr="00E07B1B">
        <w:t>calor$.tw. (61907)</w:t>
      </w:r>
    </w:p>
    <w:p w:rsidR="0025490C" w:rsidRPr="00E07B1B" w:rsidRDefault="0025490C" w:rsidP="00EE1CCB">
      <w:r w:rsidRPr="00E07B1B">
        <w:t>19</w:t>
      </w:r>
      <w:r>
        <w:t xml:space="preserve"> </w:t>
      </w:r>
      <w:r w:rsidRPr="00E07B1B">
        <w:t>nutrition$.tw. (199321)</w:t>
      </w:r>
    </w:p>
    <w:p w:rsidR="0025490C" w:rsidRPr="00E07B1B" w:rsidRDefault="0025490C" w:rsidP="00EE1CCB">
      <w:r w:rsidRPr="00E07B1B">
        <w:t>20</w:t>
      </w:r>
      <w:r>
        <w:t xml:space="preserve"> </w:t>
      </w:r>
      <w:r w:rsidRPr="00E07B1B">
        <w:t>exp weight reduction/ or exp body weight/ (347235)</w:t>
      </w:r>
    </w:p>
    <w:p w:rsidR="0025490C" w:rsidRPr="00E07B1B" w:rsidRDefault="0025490C" w:rsidP="00EE1CCB">
      <w:r w:rsidRPr="00E07B1B">
        <w:t>21</w:t>
      </w:r>
      <w:r>
        <w:t xml:space="preserve"> </w:t>
      </w:r>
      <w:r w:rsidRPr="00E07B1B">
        <w:t>(weight adj3 reduc$).tw. (26363)</w:t>
      </w:r>
    </w:p>
    <w:p w:rsidR="0025490C" w:rsidRPr="00E07B1B" w:rsidRDefault="0025490C" w:rsidP="00EE1CCB">
      <w:r w:rsidRPr="00E07B1B">
        <w:t>22</w:t>
      </w:r>
      <w:r>
        <w:t xml:space="preserve"> </w:t>
      </w:r>
      <w:r w:rsidRPr="00E07B1B">
        <w:t>(weight adj3 los$).tw. (71696)</w:t>
      </w:r>
    </w:p>
    <w:p w:rsidR="0025490C" w:rsidRPr="00E07B1B" w:rsidRDefault="0025490C" w:rsidP="00EE1CCB">
      <w:r w:rsidRPr="00E07B1B">
        <w:t>23</w:t>
      </w:r>
      <w:r>
        <w:t xml:space="preserve"> </w:t>
      </w:r>
      <w:r w:rsidRPr="00E07B1B">
        <w:t>loose weight.tw. (96)</w:t>
      </w:r>
    </w:p>
    <w:p w:rsidR="0025490C" w:rsidRPr="00E07B1B" w:rsidRDefault="0025490C" w:rsidP="00EE1CCB">
      <w:r w:rsidRPr="00E07B1B">
        <w:t>24</w:t>
      </w:r>
      <w:r>
        <w:t xml:space="preserve"> </w:t>
      </w:r>
      <w:r w:rsidRPr="00E07B1B">
        <w:t>(body mass index adj3 reduc$).tw. (605)</w:t>
      </w:r>
    </w:p>
    <w:p w:rsidR="0025490C" w:rsidRPr="00E07B1B" w:rsidRDefault="0025490C" w:rsidP="00EE1CCB">
      <w:r w:rsidRPr="00E07B1B">
        <w:t>25</w:t>
      </w:r>
      <w:r>
        <w:t xml:space="preserve"> </w:t>
      </w:r>
      <w:r w:rsidRPr="00E07B1B">
        <w:t>(body mass index adj3 decreas$).tw. (796)</w:t>
      </w:r>
    </w:p>
    <w:p w:rsidR="0025490C" w:rsidRPr="00E07B1B" w:rsidRDefault="0025490C" w:rsidP="00EE1CCB">
      <w:r w:rsidRPr="00E07B1B">
        <w:t>26</w:t>
      </w:r>
      <w:r>
        <w:t xml:space="preserve"> </w:t>
      </w:r>
      <w:r w:rsidRPr="00E07B1B">
        <w:t>(body mass index adj2 loss).tw. (226)</w:t>
      </w:r>
    </w:p>
    <w:p w:rsidR="0025490C" w:rsidRPr="00E07B1B" w:rsidRDefault="0025490C" w:rsidP="00EE1CCB">
      <w:r w:rsidRPr="00E07B1B">
        <w:t>27</w:t>
      </w:r>
      <w:r>
        <w:t xml:space="preserve"> </w:t>
      </w:r>
      <w:r w:rsidRPr="00E07B1B">
        <w:t>exp muscle exercise/ or aerobic exercise/ or exp dynamic exercise/ or exp stretching exercise/ or aquatic exercise/ or exp exercise/ (180252)</w:t>
      </w:r>
    </w:p>
    <w:p w:rsidR="0025490C" w:rsidRPr="00E07B1B" w:rsidRDefault="0025490C" w:rsidP="00EE1CCB">
      <w:r w:rsidRPr="00E07B1B">
        <w:t>28</w:t>
      </w:r>
      <w:r>
        <w:t xml:space="preserve"> </w:t>
      </w:r>
      <w:r w:rsidRPr="00E07B1B">
        <w:t>exercise$.tw. (215829)</w:t>
      </w:r>
    </w:p>
    <w:p w:rsidR="0025490C" w:rsidRPr="00E07B1B" w:rsidRDefault="0025490C" w:rsidP="00EE1CCB">
      <w:r w:rsidRPr="00E07B1B">
        <w:t>29</w:t>
      </w:r>
      <w:r>
        <w:t xml:space="preserve"> </w:t>
      </w:r>
      <w:r w:rsidRPr="00E07B1B">
        <w:t>(run$ or jog$).tw. (137079)</w:t>
      </w:r>
    </w:p>
    <w:p w:rsidR="0025490C" w:rsidRPr="00E07B1B" w:rsidRDefault="0025490C" w:rsidP="00EE1CCB">
      <w:r w:rsidRPr="00E07B1B">
        <w:t>30</w:t>
      </w:r>
      <w:r>
        <w:t xml:space="preserve"> </w:t>
      </w:r>
      <w:r w:rsidRPr="00E07B1B">
        <w:t>(sport$ or walk$).tw. (123365)</w:t>
      </w:r>
    </w:p>
    <w:p w:rsidR="0025490C" w:rsidRPr="00E07B1B" w:rsidRDefault="0025490C" w:rsidP="00EE1CCB">
      <w:r w:rsidRPr="00E07B1B">
        <w:t>31</w:t>
      </w:r>
      <w:r>
        <w:t xml:space="preserve"> </w:t>
      </w:r>
      <w:r w:rsidRPr="00E07B1B">
        <w:t>(swim$ or cycling).tw. (60481)</w:t>
      </w:r>
    </w:p>
    <w:p w:rsidR="0025490C" w:rsidRPr="00E07B1B" w:rsidRDefault="0025490C" w:rsidP="00EE1CCB">
      <w:r w:rsidRPr="00E07B1B">
        <w:t>32</w:t>
      </w:r>
      <w:r>
        <w:t xml:space="preserve"> </w:t>
      </w:r>
      <w:r w:rsidRPr="00E07B1B">
        <w:t>(training or bicycling).tw. (258884)</w:t>
      </w:r>
    </w:p>
    <w:p w:rsidR="0025490C" w:rsidRPr="00E07B1B" w:rsidRDefault="0025490C" w:rsidP="00EE1CCB">
      <w:r w:rsidRPr="00E07B1B">
        <w:t>33</w:t>
      </w:r>
      <w:r>
        <w:t xml:space="preserve"> </w:t>
      </w:r>
      <w:r w:rsidRPr="00E07B1B">
        <w:t>fit$.tw. (202036)</w:t>
      </w:r>
    </w:p>
    <w:p w:rsidR="0025490C" w:rsidRPr="00E07B1B" w:rsidRDefault="0025490C" w:rsidP="00EE1CCB">
      <w:r w:rsidRPr="00E07B1B">
        <w:t>34</w:t>
      </w:r>
      <w:r>
        <w:t xml:space="preserve"> </w:t>
      </w:r>
      <w:r w:rsidRPr="00E07B1B">
        <w:t>yoga.tw. (1985)</w:t>
      </w:r>
    </w:p>
    <w:p w:rsidR="0025490C" w:rsidRPr="00E07B1B" w:rsidRDefault="0025490C" w:rsidP="00EE1CCB">
      <w:r w:rsidRPr="00E07B1B">
        <w:t>35</w:t>
      </w:r>
      <w:r>
        <w:t xml:space="preserve"> </w:t>
      </w:r>
      <w:r w:rsidRPr="00E07B1B">
        <w:t>aerobic$.tw. (60083)</w:t>
      </w:r>
    </w:p>
    <w:p w:rsidR="0025490C" w:rsidRPr="00E07B1B" w:rsidRDefault="0025490C" w:rsidP="00EE1CCB">
      <w:r w:rsidRPr="00E07B1B">
        <w:t>36</w:t>
      </w:r>
      <w:r>
        <w:t xml:space="preserve"> </w:t>
      </w:r>
      <w:r w:rsidRPr="00E07B1B">
        <w:t>physical therap$.tw. (15308)</w:t>
      </w:r>
    </w:p>
    <w:p w:rsidR="0025490C" w:rsidRPr="00E07B1B" w:rsidRDefault="0025490C" w:rsidP="00EE1CCB">
      <w:r w:rsidRPr="00E07B1B">
        <w:t>37</w:t>
      </w:r>
      <w:r>
        <w:t xml:space="preserve"> </w:t>
      </w:r>
      <w:r w:rsidRPr="00E07B1B">
        <w:t>exp running/ or exp swimming/ or exp walking/ or exp fitness/ (96177)</w:t>
      </w:r>
    </w:p>
    <w:p w:rsidR="0025490C" w:rsidRPr="00E07B1B" w:rsidRDefault="0025490C" w:rsidP="00EE1CCB">
      <w:r w:rsidRPr="00E07B1B">
        <w:t>38</w:t>
      </w:r>
      <w:r>
        <w:t xml:space="preserve"> </w:t>
      </w:r>
      <w:r w:rsidRPr="00E07B1B">
        <w:t>exp Yoga/ (2891)</w:t>
      </w:r>
    </w:p>
    <w:p w:rsidR="0025490C" w:rsidRPr="00E07B1B" w:rsidRDefault="0025490C" w:rsidP="00EE1CCB">
      <w:r w:rsidRPr="00E07B1B">
        <w:t>39</w:t>
      </w:r>
      <w:r>
        <w:t xml:space="preserve"> </w:t>
      </w:r>
      <w:r w:rsidRPr="00E07B1B">
        <w:t>or/13-38 (2019336)</w:t>
      </w:r>
    </w:p>
    <w:p w:rsidR="0025490C" w:rsidRPr="00E07B1B" w:rsidRDefault="0025490C" w:rsidP="00EE1CCB">
      <w:r w:rsidRPr="00E07B1B">
        <w:t>40</w:t>
      </w:r>
      <w:r>
        <w:t xml:space="preserve"> </w:t>
      </w:r>
      <w:r w:rsidRPr="00E07B1B">
        <w:t>exp health promotion/ (62935)</w:t>
      </w:r>
    </w:p>
    <w:p w:rsidR="0025490C" w:rsidRPr="00E07B1B" w:rsidRDefault="0025490C" w:rsidP="00EE1CCB">
      <w:r w:rsidRPr="00E07B1B">
        <w:t>41</w:t>
      </w:r>
      <w:r>
        <w:t xml:space="preserve"> </w:t>
      </w:r>
      <w:r w:rsidRPr="00E07B1B">
        <w:t>(Health$ adj2 Promot$).tw. (31732)</w:t>
      </w:r>
    </w:p>
    <w:p w:rsidR="0025490C" w:rsidRPr="00E07B1B" w:rsidRDefault="0025490C" w:rsidP="00EE1CCB">
      <w:r w:rsidRPr="00E07B1B">
        <w:t>42</w:t>
      </w:r>
      <w:r>
        <w:t xml:space="preserve"> </w:t>
      </w:r>
      <w:r w:rsidRPr="00E07B1B">
        <w:t>exp health education/ (212877)</w:t>
      </w:r>
    </w:p>
    <w:p w:rsidR="0025490C" w:rsidRPr="00E07B1B" w:rsidRDefault="0025490C" w:rsidP="00EE1CCB">
      <w:r w:rsidRPr="00E07B1B">
        <w:t>43</w:t>
      </w:r>
      <w:r>
        <w:t xml:space="preserve"> </w:t>
      </w:r>
      <w:r w:rsidRPr="00E07B1B">
        <w:t>(Health adj2 Educat$).tw. (31144)</w:t>
      </w:r>
    </w:p>
    <w:p w:rsidR="0025490C" w:rsidRPr="00E07B1B" w:rsidRDefault="0025490C" w:rsidP="00EE1CCB">
      <w:r w:rsidRPr="00E07B1B">
        <w:t>44</w:t>
      </w:r>
      <w:r>
        <w:t xml:space="preserve"> </w:t>
      </w:r>
      <w:r w:rsidRPr="00E07B1B">
        <w:t>exp behavior therapy/ or exp Cognitive Therapy/ (52987)</w:t>
      </w:r>
    </w:p>
    <w:p w:rsidR="0025490C" w:rsidRPr="00E07B1B" w:rsidRDefault="0025490C" w:rsidP="00EE1CCB">
      <w:r w:rsidRPr="00E07B1B">
        <w:t>45</w:t>
      </w:r>
      <w:r>
        <w:t xml:space="preserve"> </w:t>
      </w:r>
      <w:r w:rsidRPr="00E07B1B">
        <w:t>(motivation$ adj2 therap$).tw. (583)</w:t>
      </w:r>
    </w:p>
    <w:p w:rsidR="0025490C" w:rsidRPr="00E07B1B" w:rsidRDefault="0025490C" w:rsidP="00EE1CCB">
      <w:r w:rsidRPr="00E07B1B">
        <w:t>46</w:t>
      </w:r>
      <w:r>
        <w:t xml:space="preserve"> </w:t>
      </w:r>
      <w:r w:rsidRPr="00E07B1B">
        <w:t>exp psychotherapy/ (168640)</w:t>
      </w:r>
    </w:p>
    <w:p w:rsidR="0025490C" w:rsidRPr="00E07B1B" w:rsidRDefault="0025490C" w:rsidP="00EE1CCB">
      <w:r w:rsidRPr="00E07B1B">
        <w:t>47</w:t>
      </w:r>
      <w:r>
        <w:t xml:space="preserve"> </w:t>
      </w:r>
      <w:r w:rsidRPr="00E07B1B">
        <w:t>Psychotherapy.tw. (32635)</w:t>
      </w:r>
    </w:p>
    <w:p w:rsidR="0025490C" w:rsidRPr="00E07B1B" w:rsidRDefault="0025490C" w:rsidP="00EE1CCB">
      <w:r w:rsidRPr="00E07B1B">
        <w:t>48</w:t>
      </w:r>
      <w:r>
        <w:t xml:space="preserve"> </w:t>
      </w:r>
      <w:r w:rsidRPr="00E07B1B">
        <w:t>behavio?r therap$.tw. (6210)</w:t>
      </w:r>
    </w:p>
    <w:p w:rsidR="0025490C" w:rsidRPr="00E07B1B" w:rsidRDefault="0025490C" w:rsidP="00EE1CCB">
      <w:r w:rsidRPr="00E07B1B">
        <w:t>49</w:t>
      </w:r>
      <w:r>
        <w:t xml:space="preserve"> </w:t>
      </w:r>
      <w:r w:rsidRPr="00E07B1B">
        <w:t>(cognitive adj3 therap$).tw. (14022)</w:t>
      </w:r>
    </w:p>
    <w:p w:rsidR="0025490C" w:rsidRPr="00E07B1B" w:rsidRDefault="0025490C" w:rsidP="00EE1CCB">
      <w:r w:rsidRPr="00E07B1B">
        <w:t>50</w:t>
      </w:r>
      <w:r>
        <w:t xml:space="preserve"> </w:t>
      </w:r>
      <w:r w:rsidRPr="00E07B1B">
        <w:t>exp directive counseling/ (453)</w:t>
      </w:r>
    </w:p>
    <w:p w:rsidR="0025490C" w:rsidRPr="00E07B1B" w:rsidRDefault="0025490C" w:rsidP="00EE1CCB">
      <w:r w:rsidRPr="00E07B1B">
        <w:t>51</w:t>
      </w:r>
      <w:r>
        <w:t xml:space="preserve"> </w:t>
      </w:r>
      <w:r w:rsidRPr="00E07B1B">
        <w:t>Counse?ling.tw. (66432)</w:t>
      </w:r>
    </w:p>
    <w:p w:rsidR="0025490C" w:rsidRPr="00E07B1B" w:rsidRDefault="0025490C" w:rsidP="00EE1CCB">
      <w:r w:rsidRPr="00E07B1B">
        <w:t>52</w:t>
      </w:r>
      <w:r>
        <w:t xml:space="preserve"> </w:t>
      </w:r>
      <w:r w:rsidRPr="00E07B1B">
        <w:t>exp social support/ (50442)</w:t>
      </w:r>
    </w:p>
    <w:p w:rsidR="0025490C" w:rsidRPr="00E07B1B" w:rsidRDefault="0025490C" w:rsidP="00EE1CCB">
      <w:r w:rsidRPr="00E07B1B">
        <w:t>53</w:t>
      </w:r>
      <w:r>
        <w:t xml:space="preserve"> </w:t>
      </w:r>
      <w:r w:rsidRPr="00E07B1B">
        <w:t>Social Support.tw. (22632)</w:t>
      </w:r>
    </w:p>
    <w:p w:rsidR="0025490C" w:rsidRPr="00E07B1B" w:rsidRDefault="0025490C" w:rsidP="00EE1CCB">
      <w:r w:rsidRPr="00E07B1B">
        <w:t>54</w:t>
      </w:r>
      <w:r>
        <w:t xml:space="preserve"> </w:t>
      </w:r>
      <w:r w:rsidRPr="00E07B1B">
        <w:t>exp self concept/ (112567)</w:t>
      </w:r>
    </w:p>
    <w:p w:rsidR="0025490C" w:rsidRPr="00E07B1B" w:rsidRDefault="0025490C" w:rsidP="00EE1CCB">
      <w:r w:rsidRPr="00E07B1B">
        <w:t>55</w:t>
      </w:r>
      <w:r>
        <w:t xml:space="preserve"> </w:t>
      </w:r>
      <w:r w:rsidRPr="00E07B1B">
        <w:t>self efficacy.tw. (12426)</w:t>
      </w:r>
    </w:p>
    <w:p w:rsidR="0025490C" w:rsidRPr="00E07B1B" w:rsidRDefault="0025490C" w:rsidP="00EE1CCB">
      <w:r w:rsidRPr="00E07B1B">
        <w:t>56</w:t>
      </w:r>
      <w:r>
        <w:t xml:space="preserve"> </w:t>
      </w:r>
      <w:r w:rsidRPr="00E07B1B">
        <w:t>(motivation$ adj3 therap$).tw. (784)</w:t>
      </w:r>
    </w:p>
    <w:p w:rsidR="0025490C" w:rsidRPr="00E07B1B" w:rsidRDefault="0025490C" w:rsidP="00EE1CCB">
      <w:r w:rsidRPr="00E07B1B">
        <w:t>57</w:t>
      </w:r>
      <w:r>
        <w:t xml:space="preserve"> </w:t>
      </w:r>
      <w:r w:rsidRPr="00E07B1B">
        <w:t>or/40-56 (596619)</w:t>
      </w:r>
    </w:p>
    <w:p w:rsidR="0025490C" w:rsidRPr="00E07B1B" w:rsidRDefault="0025490C" w:rsidP="00EE1CCB">
      <w:r w:rsidRPr="00E07B1B">
        <w:t>58</w:t>
      </w:r>
      <w:r>
        <w:t xml:space="preserve"> </w:t>
      </w:r>
      <w:r w:rsidRPr="00E07B1B">
        <w:t>exp prebiotic agent/ or exp probiotic agent/ or exp synbiotic agent/ or exp diet supplementation/ (69851)</w:t>
      </w:r>
    </w:p>
    <w:p w:rsidR="0025490C" w:rsidRPr="00E07B1B" w:rsidRDefault="0025490C" w:rsidP="00EE1CCB">
      <w:r w:rsidRPr="00E07B1B">
        <w:t>59</w:t>
      </w:r>
      <w:r>
        <w:t xml:space="preserve"> </w:t>
      </w:r>
      <w:r w:rsidRPr="00E07B1B">
        <w:t>prebiotic$.tw. (3621)</w:t>
      </w:r>
    </w:p>
    <w:p w:rsidR="0025490C" w:rsidRPr="00E07B1B" w:rsidRDefault="0025490C" w:rsidP="00EE1CCB">
      <w:r w:rsidRPr="00E07B1B">
        <w:t>60</w:t>
      </w:r>
      <w:r>
        <w:t xml:space="preserve"> </w:t>
      </w:r>
      <w:r w:rsidRPr="00E07B1B">
        <w:t>probiotic$.tw. (10898)</w:t>
      </w:r>
    </w:p>
    <w:p w:rsidR="0025490C" w:rsidRPr="00E07B1B" w:rsidRDefault="0025490C" w:rsidP="00EE1CCB">
      <w:r w:rsidRPr="00E07B1B">
        <w:t>61</w:t>
      </w:r>
      <w:r>
        <w:t xml:space="preserve"> </w:t>
      </w:r>
      <w:r w:rsidRPr="00E07B1B">
        <w:t>synbiotic$.tw. (529)</w:t>
      </w:r>
    </w:p>
    <w:p w:rsidR="0025490C" w:rsidRPr="00E07B1B" w:rsidRDefault="0025490C" w:rsidP="00EE1CCB">
      <w:r w:rsidRPr="00E07B1B">
        <w:t>62</w:t>
      </w:r>
      <w:r>
        <w:t xml:space="preserve"> </w:t>
      </w:r>
      <w:r w:rsidRPr="00E07B1B">
        <w:t>bifidobacteri$.tw. (5778)</w:t>
      </w:r>
    </w:p>
    <w:p w:rsidR="0025490C" w:rsidRPr="00E07B1B" w:rsidRDefault="0025490C" w:rsidP="00EE1CCB">
      <w:r w:rsidRPr="00E07B1B">
        <w:t>63</w:t>
      </w:r>
      <w:r>
        <w:t xml:space="preserve"> </w:t>
      </w:r>
      <w:r w:rsidRPr="00E07B1B">
        <w:t>lactic acid bacteri$.tw. (6112)</w:t>
      </w:r>
    </w:p>
    <w:p w:rsidR="0025490C" w:rsidRPr="00E07B1B" w:rsidRDefault="0025490C" w:rsidP="00EE1CCB">
      <w:r w:rsidRPr="00E07B1B">
        <w:t>64</w:t>
      </w:r>
      <w:r>
        <w:t xml:space="preserve"> </w:t>
      </w:r>
      <w:r w:rsidRPr="00E07B1B">
        <w:t>Lactobacill$.tw. (19822)</w:t>
      </w:r>
    </w:p>
    <w:p w:rsidR="0025490C" w:rsidRPr="00E07B1B" w:rsidRDefault="0025490C" w:rsidP="00EE1CCB">
      <w:r w:rsidRPr="00E07B1B">
        <w:t>65</w:t>
      </w:r>
      <w:r>
        <w:t xml:space="preserve"> </w:t>
      </w:r>
      <w:r w:rsidRPr="00E07B1B">
        <w:t>Saccharomyces boulardii.tw. (524)</w:t>
      </w:r>
    </w:p>
    <w:p w:rsidR="0025490C" w:rsidRPr="00E07B1B" w:rsidRDefault="0025490C" w:rsidP="00EE1CCB">
      <w:r w:rsidRPr="00E07B1B">
        <w:t>66</w:t>
      </w:r>
      <w:r>
        <w:t xml:space="preserve"> </w:t>
      </w:r>
      <w:r w:rsidRPr="00E07B1B">
        <w:t>Streptococcus thermophilus.tw. (1212)</w:t>
      </w:r>
    </w:p>
    <w:p w:rsidR="0025490C" w:rsidRPr="00E07B1B" w:rsidRDefault="0025490C" w:rsidP="00EE1CCB">
      <w:r w:rsidRPr="00E07B1B">
        <w:t>67</w:t>
      </w:r>
      <w:r>
        <w:t xml:space="preserve"> </w:t>
      </w:r>
      <w:r w:rsidRPr="00E07B1B">
        <w:t>Enterococcus faecium.tw. (3842)</w:t>
      </w:r>
    </w:p>
    <w:p w:rsidR="0025490C" w:rsidRPr="00E07B1B" w:rsidRDefault="0025490C" w:rsidP="00EE1CCB">
      <w:r w:rsidRPr="00E07B1B">
        <w:t>68</w:t>
      </w:r>
      <w:r>
        <w:t xml:space="preserve"> </w:t>
      </w:r>
      <w:r w:rsidRPr="00E07B1B">
        <w:t>exp Leuconostoc/ or exp lactic acid bacterium/ (4789)</w:t>
      </w:r>
    </w:p>
    <w:p w:rsidR="0025490C" w:rsidRPr="00E07B1B" w:rsidRDefault="0025490C" w:rsidP="00EE1CCB">
      <w:r w:rsidRPr="00E07B1B">
        <w:t>69</w:t>
      </w:r>
      <w:r>
        <w:t xml:space="preserve"> </w:t>
      </w:r>
      <w:r w:rsidRPr="00E07B1B">
        <w:t>exp Enterococcus faecium/ (4202)</w:t>
      </w:r>
    </w:p>
    <w:p w:rsidR="0025490C" w:rsidRPr="00E07B1B" w:rsidRDefault="0025490C" w:rsidP="00EE1CCB">
      <w:r w:rsidRPr="00E07B1B">
        <w:t>70</w:t>
      </w:r>
      <w:r>
        <w:t xml:space="preserve"> </w:t>
      </w:r>
      <w:r w:rsidRPr="00E07B1B">
        <w:t>Leuconostoc.tw. (1866)</w:t>
      </w:r>
    </w:p>
    <w:p w:rsidR="0025490C" w:rsidRPr="00E07B1B" w:rsidRDefault="0025490C" w:rsidP="00EE1CCB">
      <w:r w:rsidRPr="00E07B1B">
        <w:t>71</w:t>
      </w:r>
      <w:r>
        <w:t xml:space="preserve"> </w:t>
      </w:r>
      <w:r w:rsidRPr="00E07B1B">
        <w:t>exp antioxidant/ (87591)</w:t>
      </w:r>
    </w:p>
    <w:p w:rsidR="0025490C" w:rsidRPr="00E07B1B" w:rsidRDefault="0025490C" w:rsidP="00EE1CCB">
      <w:r w:rsidRPr="00E07B1B">
        <w:t>72</w:t>
      </w:r>
      <w:r>
        <w:t xml:space="preserve"> </w:t>
      </w:r>
      <w:r w:rsidRPr="00E07B1B">
        <w:t>Antioxidant$.tw. (120535)</w:t>
      </w:r>
    </w:p>
    <w:p w:rsidR="0025490C" w:rsidRPr="00E07B1B" w:rsidRDefault="0025490C" w:rsidP="00EE1CCB">
      <w:r w:rsidRPr="00E07B1B">
        <w:t>73</w:t>
      </w:r>
      <w:r>
        <w:t xml:space="preserve"> </w:t>
      </w:r>
      <w:r w:rsidRPr="00E07B1B">
        <w:t>exp fish oil/ (11279)</w:t>
      </w:r>
    </w:p>
    <w:p w:rsidR="0025490C" w:rsidRPr="00E07B1B" w:rsidRDefault="0025490C" w:rsidP="00EE1CCB">
      <w:r w:rsidRPr="00E07B1B">
        <w:t>74</w:t>
      </w:r>
      <w:r>
        <w:t xml:space="preserve"> </w:t>
      </w:r>
      <w:r w:rsidRPr="00E07B1B">
        <w:t>(Fish adj2 Oil$).tw. (8639)</w:t>
      </w:r>
    </w:p>
    <w:p w:rsidR="0025490C" w:rsidRPr="00E07B1B" w:rsidRDefault="0025490C" w:rsidP="00EE1CCB">
      <w:r w:rsidRPr="00E07B1B">
        <w:t>75</w:t>
      </w:r>
      <w:r>
        <w:t xml:space="preserve"> </w:t>
      </w:r>
      <w:r w:rsidRPr="00E07B1B">
        <w:t>exp vitamin D/ (77399)</w:t>
      </w:r>
    </w:p>
    <w:p w:rsidR="0025490C" w:rsidRPr="00E07B1B" w:rsidRDefault="0025490C" w:rsidP="00EE1CCB">
      <w:r w:rsidRPr="00E07B1B">
        <w:t>76</w:t>
      </w:r>
      <w:r>
        <w:t xml:space="preserve"> </w:t>
      </w:r>
      <w:r w:rsidRPr="00E07B1B">
        <w:t>Vitamin D.tw. (41430)</w:t>
      </w:r>
    </w:p>
    <w:p w:rsidR="0025490C" w:rsidRPr="00E07B1B" w:rsidRDefault="0025490C" w:rsidP="00EE1CCB">
      <w:r w:rsidRPr="00E07B1B">
        <w:t>77</w:t>
      </w:r>
      <w:r>
        <w:t xml:space="preserve"> </w:t>
      </w:r>
      <w:r w:rsidRPr="00E07B1B">
        <w:t>exp inositol/ (8226)</w:t>
      </w:r>
    </w:p>
    <w:p w:rsidR="0025490C" w:rsidRPr="00E07B1B" w:rsidRDefault="0025490C" w:rsidP="00EE1CCB">
      <w:r w:rsidRPr="00E07B1B">
        <w:t>78</w:t>
      </w:r>
      <w:r>
        <w:t xml:space="preserve"> </w:t>
      </w:r>
      <w:r w:rsidRPr="00E07B1B">
        <w:t>(mesoinositol or myoinositol).tw. (1198)</w:t>
      </w:r>
    </w:p>
    <w:p w:rsidR="0025490C" w:rsidRPr="00E07B1B" w:rsidRDefault="0025490C" w:rsidP="00EE1CCB">
      <w:r w:rsidRPr="00E07B1B">
        <w:t>79</w:t>
      </w:r>
      <w:r>
        <w:t xml:space="preserve"> </w:t>
      </w:r>
      <w:r w:rsidRPr="00E07B1B">
        <w:t>(chiro-inositol$ or myo-inositol).tw. (5478)</w:t>
      </w:r>
    </w:p>
    <w:p w:rsidR="0025490C" w:rsidRPr="00E07B1B" w:rsidRDefault="0025490C" w:rsidP="00EE1CCB">
      <w:r w:rsidRPr="00E07B1B">
        <w:t>80</w:t>
      </w:r>
      <w:r>
        <w:t xml:space="preserve"> </w:t>
      </w:r>
      <w:r w:rsidRPr="00E07B1B">
        <w:t>exp thiamine/ or thiamin$.tw. (18855)</w:t>
      </w:r>
    </w:p>
    <w:p w:rsidR="0025490C" w:rsidRPr="00E07B1B" w:rsidRDefault="0025490C" w:rsidP="00EE1CCB">
      <w:r w:rsidRPr="00E07B1B">
        <w:t>81</w:t>
      </w:r>
      <w:r>
        <w:t xml:space="preserve"> </w:t>
      </w:r>
      <w:r w:rsidRPr="00E07B1B">
        <w:t>or/58-80 (359796)</w:t>
      </w:r>
    </w:p>
    <w:p w:rsidR="0025490C" w:rsidRPr="00E07B1B" w:rsidRDefault="0025490C" w:rsidP="00EE1CCB">
      <w:r w:rsidRPr="00E07B1B">
        <w:t>82</w:t>
      </w:r>
      <w:r>
        <w:t xml:space="preserve"> </w:t>
      </w:r>
      <w:r w:rsidRPr="00E07B1B">
        <w:t>39 or 57 or 81 (2733053)</w:t>
      </w:r>
    </w:p>
    <w:p w:rsidR="0025490C" w:rsidRPr="00E07B1B" w:rsidRDefault="0025490C" w:rsidP="00EE1CCB">
      <w:r w:rsidRPr="00E07B1B">
        <w:t>83</w:t>
      </w:r>
      <w:r>
        <w:t xml:space="preserve"> </w:t>
      </w:r>
      <w:r w:rsidRPr="00E07B1B">
        <w:t>12 and 82 (14222)</w:t>
      </w:r>
    </w:p>
    <w:p w:rsidR="0025490C" w:rsidRPr="00E07B1B" w:rsidRDefault="0025490C" w:rsidP="00EE1CCB">
      <w:r w:rsidRPr="00E07B1B">
        <w:t>84</w:t>
      </w:r>
      <w:r>
        <w:t xml:space="preserve"> </w:t>
      </w:r>
      <w:r w:rsidRPr="00E07B1B">
        <w:t>Clinical Trial/ (873672)</w:t>
      </w:r>
    </w:p>
    <w:p w:rsidR="0025490C" w:rsidRPr="00E07B1B" w:rsidRDefault="0025490C" w:rsidP="00EE1CCB">
      <w:r w:rsidRPr="00E07B1B">
        <w:t>85</w:t>
      </w:r>
      <w:r>
        <w:t xml:space="preserve"> </w:t>
      </w:r>
      <w:r w:rsidRPr="00E07B1B">
        <w:t>Randomized Controlled Trial/ (332138)</w:t>
      </w:r>
    </w:p>
    <w:p w:rsidR="0025490C" w:rsidRPr="00E07B1B" w:rsidRDefault="0025490C" w:rsidP="00EE1CCB">
      <w:r w:rsidRPr="00E07B1B">
        <w:t>86</w:t>
      </w:r>
      <w:r>
        <w:t xml:space="preserve"> </w:t>
      </w:r>
      <w:r w:rsidRPr="00E07B1B">
        <w:t>exp randomization/ (59934)</w:t>
      </w:r>
    </w:p>
    <w:p w:rsidR="0025490C" w:rsidRPr="00E07B1B" w:rsidRDefault="0025490C" w:rsidP="00EE1CCB">
      <w:r w:rsidRPr="00E07B1B">
        <w:t>87</w:t>
      </w:r>
      <w:r>
        <w:t xml:space="preserve"> </w:t>
      </w:r>
      <w:r w:rsidRPr="00E07B1B">
        <w:t>Single Blind Procedure/ (16606)</w:t>
      </w:r>
    </w:p>
    <w:p w:rsidR="0025490C" w:rsidRPr="00E07B1B" w:rsidRDefault="0025490C" w:rsidP="00EE1CCB">
      <w:r w:rsidRPr="00E07B1B">
        <w:t>88</w:t>
      </w:r>
      <w:r>
        <w:t xml:space="preserve"> </w:t>
      </w:r>
      <w:r w:rsidRPr="00E07B1B">
        <w:t>Double Blind Procedure/ (111711)</w:t>
      </w:r>
    </w:p>
    <w:p w:rsidR="0025490C" w:rsidRPr="00E07B1B" w:rsidRDefault="0025490C" w:rsidP="00EE1CCB">
      <w:r w:rsidRPr="00E07B1B">
        <w:t>89</w:t>
      </w:r>
      <w:r>
        <w:t xml:space="preserve"> </w:t>
      </w:r>
      <w:r w:rsidRPr="00E07B1B">
        <w:t>Crossover Procedure/ (35428)</w:t>
      </w:r>
    </w:p>
    <w:p w:rsidR="0025490C" w:rsidRPr="00E07B1B" w:rsidRDefault="0025490C" w:rsidP="00EE1CCB">
      <w:r w:rsidRPr="00E07B1B">
        <w:t>90</w:t>
      </w:r>
      <w:r>
        <w:t xml:space="preserve"> </w:t>
      </w:r>
      <w:r w:rsidRPr="00E07B1B">
        <w:t>Placebo/ (207567)</w:t>
      </w:r>
    </w:p>
    <w:p w:rsidR="0025490C" w:rsidRPr="00E07B1B" w:rsidRDefault="0025490C" w:rsidP="00EE1CCB">
      <w:r w:rsidRPr="00E07B1B">
        <w:t>91</w:t>
      </w:r>
      <w:r>
        <w:t xml:space="preserve"> </w:t>
      </w:r>
      <w:r w:rsidRPr="00E07B1B">
        <w:t>Randomi?ed controlled trial$.tw. (80572)</w:t>
      </w:r>
    </w:p>
    <w:p w:rsidR="0025490C" w:rsidRPr="00E07B1B" w:rsidRDefault="0025490C" w:rsidP="00EE1CCB">
      <w:r w:rsidRPr="00E07B1B">
        <w:t>92</w:t>
      </w:r>
      <w:r>
        <w:t xml:space="preserve"> </w:t>
      </w:r>
      <w:r w:rsidRPr="00E07B1B">
        <w:t>Rct.tw. (10348)</w:t>
      </w:r>
    </w:p>
    <w:p w:rsidR="0025490C" w:rsidRPr="00E07B1B" w:rsidRDefault="0025490C" w:rsidP="00EE1CCB">
      <w:r w:rsidRPr="00E07B1B">
        <w:t>93</w:t>
      </w:r>
      <w:r>
        <w:t xml:space="preserve"> </w:t>
      </w:r>
      <w:r w:rsidRPr="00E07B1B">
        <w:t>random allocation.tw. (1193)</w:t>
      </w:r>
    </w:p>
    <w:p w:rsidR="0025490C" w:rsidRPr="00E07B1B" w:rsidRDefault="0025490C" w:rsidP="00EE1CCB">
      <w:r w:rsidRPr="00E07B1B">
        <w:t>94</w:t>
      </w:r>
      <w:r>
        <w:t xml:space="preserve"> </w:t>
      </w:r>
      <w:r w:rsidRPr="00E07B1B">
        <w:t>randomly allocated.tw. (17891)</w:t>
      </w:r>
    </w:p>
    <w:p w:rsidR="0025490C" w:rsidRPr="00E07B1B" w:rsidRDefault="0025490C" w:rsidP="00EE1CCB">
      <w:r w:rsidRPr="00E07B1B">
        <w:t>95</w:t>
      </w:r>
      <w:r>
        <w:t xml:space="preserve"> </w:t>
      </w:r>
      <w:r w:rsidRPr="00E07B1B">
        <w:t>allocated randomly.tw. (1845)</w:t>
      </w:r>
    </w:p>
    <w:p w:rsidR="0025490C" w:rsidRPr="00E07B1B" w:rsidRDefault="0025490C" w:rsidP="00EE1CCB">
      <w:r w:rsidRPr="00E07B1B">
        <w:t>96</w:t>
      </w:r>
      <w:r>
        <w:t xml:space="preserve"> </w:t>
      </w:r>
      <w:r w:rsidRPr="00E07B1B">
        <w:t>(allocated adj2 random).tw. (712)</w:t>
      </w:r>
    </w:p>
    <w:p w:rsidR="0025490C" w:rsidRPr="00E07B1B" w:rsidRDefault="0025490C" w:rsidP="00EE1CCB">
      <w:r w:rsidRPr="00E07B1B">
        <w:t>97</w:t>
      </w:r>
      <w:r>
        <w:t xml:space="preserve"> </w:t>
      </w:r>
      <w:r w:rsidRPr="00E07B1B">
        <w:t>Single blind$.tw. (12733)</w:t>
      </w:r>
    </w:p>
    <w:p w:rsidR="0025490C" w:rsidRPr="00E07B1B" w:rsidRDefault="0025490C" w:rsidP="00EE1CCB">
      <w:r w:rsidRPr="00E07B1B">
        <w:t>98</w:t>
      </w:r>
      <w:r>
        <w:t xml:space="preserve"> </w:t>
      </w:r>
      <w:r w:rsidRPr="00E07B1B">
        <w:t>Double blind$.tw. (131840)</w:t>
      </w:r>
    </w:p>
    <w:p w:rsidR="0025490C" w:rsidRPr="00E07B1B" w:rsidRDefault="0025490C" w:rsidP="00EE1CCB">
      <w:r w:rsidRPr="00E07B1B">
        <w:t>99</w:t>
      </w:r>
      <w:r>
        <w:t xml:space="preserve"> </w:t>
      </w:r>
      <w:r w:rsidRPr="00E07B1B">
        <w:t>((treble or triple) adj blind$).tw. (287)</w:t>
      </w:r>
    </w:p>
    <w:p w:rsidR="0025490C" w:rsidRPr="00E07B1B" w:rsidRDefault="0025490C" w:rsidP="00EE1CCB">
      <w:r w:rsidRPr="00E07B1B">
        <w:t>100</w:t>
      </w:r>
      <w:r>
        <w:t xml:space="preserve"> </w:t>
      </w:r>
      <w:r w:rsidRPr="00E07B1B">
        <w:t>placebo$.tw. (181223)</w:t>
      </w:r>
    </w:p>
    <w:p w:rsidR="0025490C" w:rsidRPr="00E07B1B" w:rsidRDefault="0025490C" w:rsidP="00EE1CCB">
      <w:r w:rsidRPr="00E07B1B">
        <w:t>101</w:t>
      </w:r>
      <w:r>
        <w:t xml:space="preserve"> </w:t>
      </w:r>
      <w:r w:rsidRPr="00E07B1B">
        <w:t>prospective study/ (218076)</w:t>
      </w:r>
    </w:p>
    <w:p w:rsidR="0025490C" w:rsidRPr="00E07B1B" w:rsidRDefault="0025490C" w:rsidP="00EE1CCB">
      <w:r w:rsidRPr="00E07B1B">
        <w:t>102</w:t>
      </w:r>
      <w:r>
        <w:t xml:space="preserve"> </w:t>
      </w:r>
      <w:r w:rsidRPr="00E07B1B">
        <w:t>or/84-101 (1286597)</w:t>
      </w:r>
    </w:p>
    <w:p w:rsidR="0025490C" w:rsidRPr="00E07B1B" w:rsidRDefault="0025490C" w:rsidP="00EE1CCB">
      <w:r w:rsidRPr="00E07B1B">
        <w:t>103</w:t>
      </w:r>
      <w:r>
        <w:t xml:space="preserve"> </w:t>
      </w:r>
      <w:r w:rsidRPr="00E07B1B">
        <w:t>case study/ (17571)</w:t>
      </w:r>
    </w:p>
    <w:p w:rsidR="0025490C" w:rsidRPr="00E07B1B" w:rsidRDefault="0025490C" w:rsidP="00EE1CCB">
      <w:r w:rsidRPr="00E07B1B">
        <w:t>104</w:t>
      </w:r>
      <w:r>
        <w:t xml:space="preserve"> </w:t>
      </w:r>
      <w:r w:rsidRPr="00E07B1B">
        <w:t>case report.tw. (234064)</w:t>
      </w:r>
    </w:p>
    <w:p w:rsidR="0025490C" w:rsidRPr="00E07B1B" w:rsidRDefault="0025490C" w:rsidP="00EE1CCB">
      <w:r w:rsidRPr="00E07B1B">
        <w:t>105</w:t>
      </w:r>
      <w:r>
        <w:t xml:space="preserve"> </w:t>
      </w:r>
      <w:r w:rsidRPr="00E07B1B">
        <w:t>abstract report/ or letter/ (849577)</w:t>
      </w:r>
    </w:p>
    <w:p w:rsidR="0025490C" w:rsidRPr="00E07B1B" w:rsidRDefault="0025490C" w:rsidP="00EE1CCB">
      <w:r w:rsidRPr="00E07B1B">
        <w:t>106</w:t>
      </w:r>
      <w:r>
        <w:t xml:space="preserve"> </w:t>
      </w:r>
      <w:r w:rsidRPr="00E07B1B">
        <w:t>or/103-105 (1096413)</w:t>
      </w:r>
    </w:p>
    <w:p w:rsidR="0025490C" w:rsidRPr="00E07B1B" w:rsidRDefault="0025490C" w:rsidP="00EE1CCB">
      <w:r w:rsidRPr="00E07B1B">
        <w:t>107</w:t>
      </w:r>
      <w:r>
        <w:t xml:space="preserve"> </w:t>
      </w:r>
      <w:r w:rsidRPr="00E07B1B">
        <w:t>102 not 106 (1251029)</w:t>
      </w:r>
    </w:p>
    <w:p w:rsidR="0025490C" w:rsidRPr="00E07B1B" w:rsidRDefault="0025490C" w:rsidP="00EE1CCB">
      <w:r w:rsidRPr="00E07B1B">
        <w:t>108</w:t>
      </w:r>
      <w:r>
        <w:t xml:space="preserve"> </w:t>
      </w:r>
      <w:r w:rsidRPr="00E07B1B">
        <w:t>exp Meta Analysis/ (66936)</w:t>
      </w:r>
    </w:p>
    <w:p w:rsidR="0025490C" w:rsidRPr="00E07B1B" w:rsidRDefault="0025490C" w:rsidP="00EE1CCB">
      <w:r w:rsidRPr="00E07B1B">
        <w:t>109</w:t>
      </w:r>
      <w:r>
        <w:t xml:space="preserve"> </w:t>
      </w:r>
      <w:r w:rsidRPr="00E07B1B">
        <w:t>((meta adj analy$) or metaanalys$).tw. (61975)</w:t>
      </w:r>
    </w:p>
    <w:p w:rsidR="0025490C" w:rsidRPr="00E07B1B" w:rsidRDefault="0025490C" w:rsidP="00EE1CCB">
      <w:r w:rsidRPr="00E07B1B">
        <w:t>110</w:t>
      </w:r>
      <w:r>
        <w:t xml:space="preserve"> </w:t>
      </w:r>
      <w:r w:rsidRPr="00E07B1B">
        <w:t>(systematic adj (review$1 or overview$1)).tw. (47873)</w:t>
      </w:r>
    </w:p>
    <w:p w:rsidR="0025490C" w:rsidRPr="00E07B1B" w:rsidRDefault="0025490C" w:rsidP="00EE1CCB">
      <w:r w:rsidRPr="00E07B1B">
        <w:t>111</w:t>
      </w:r>
      <w:r>
        <w:t xml:space="preserve"> </w:t>
      </w:r>
      <w:r w:rsidRPr="00E07B1B">
        <w:t>review.ti. (261772)</w:t>
      </w:r>
    </w:p>
    <w:p w:rsidR="0025490C" w:rsidRPr="00E07B1B" w:rsidRDefault="0025490C" w:rsidP="00EE1CCB">
      <w:r w:rsidRPr="00E07B1B">
        <w:t>112</w:t>
      </w:r>
      <w:r>
        <w:t xml:space="preserve"> </w:t>
      </w:r>
      <w:r w:rsidRPr="00E07B1B">
        <w:t>or/108-111 (351225)</w:t>
      </w:r>
    </w:p>
    <w:p w:rsidR="0025490C" w:rsidRPr="00E07B1B" w:rsidRDefault="0025490C" w:rsidP="00EE1CCB">
      <w:r w:rsidRPr="00E07B1B">
        <w:t>113</w:t>
      </w:r>
      <w:r>
        <w:t xml:space="preserve"> </w:t>
      </w:r>
      <w:r w:rsidRPr="00E07B1B">
        <w:t>107 or 112 (1521145)</w:t>
      </w:r>
    </w:p>
    <w:p w:rsidR="0025490C" w:rsidRPr="00E07B1B" w:rsidRDefault="0025490C" w:rsidP="00EE1CCB">
      <w:r w:rsidRPr="00E07B1B">
        <w:t>114</w:t>
      </w:r>
      <w:r>
        <w:t xml:space="preserve"> </w:t>
      </w:r>
      <w:r w:rsidRPr="00E07B1B">
        <w:t>83 and 113 (1984)</w:t>
      </w:r>
    </w:p>
    <w:p w:rsidR="0025490C" w:rsidRPr="00E07B1B" w:rsidRDefault="0025490C" w:rsidP="00EE1CCB">
      <w:r w:rsidRPr="00E07B1B">
        <w:t>115</w:t>
      </w:r>
      <w:r>
        <w:t xml:space="preserve"> </w:t>
      </w:r>
      <w:r w:rsidRPr="00E07B1B">
        <w:t>(2007$ or 2008$ or 2009$ or 2010$ or 2011$ or 2012$).em. (6315759)</w:t>
      </w:r>
    </w:p>
    <w:p w:rsidR="0025490C" w:rsidRPr="00E07B1B" w:rsidRDefault="0025490C" w:rsidP="00EE1CCB">
      <w:r w:rsidRPr="00E07B1B">
        <w:t>116</w:t>
      </w:r>
      <w:r>
        <w:t xml:space="preserve"> </w:t>
      </w:r>
      <w:r w:rsidRPr="00E07B1B">
        <w:t>114 and 115 (1207)</w:t>
      </w:r>
    </w:p>
    <w:p w:rsidR="0025490C" w:rsidRPr="00E07B1B" w:rsidRDefault="0025490C" w:rsidP="00EE1CCB"/>
    <w:p w:rsidR="0025490C" w:rsidRPr="00E07B1B" w:rsidRDefault="0025490C" w:rsidP="00EE1CCB">
      <w:pPr>
        <w:pStyle w:val="Heading3"/>
      </w:pPr>
      <w:r w:rsidRPr="00E07B1B">
        <w:t>Different intensities of glycaemic control/treatment targets</w:t>
      </w:r>
    </w:p>
    <w:p w:rsidR="0025490C" w:rsidRPr="00E07B1B" w:rsidRDefault="0025490C" w:rsidP="00EE1CCB">
      <w:r w:rsidRPr="00E07B1B">
        <w:t>Database: Ovid MEDLINE(R) In-Process &amp; Other Non-Indexed Citations, Ovid MEDLINE(R) Daily and Ovid MEDLINE(R) &lt;1946 to Present&gt;</w:t>
      </w:r>
    </w:p>
    <w:p w:rsidR="0025490C" w:rsidRPr="00E07B1B" w:rsidRDefault="0025490C" w:rsidP="00EE1CCB">
      <w:r w:rsidRPr="00E07B1B">
        <w:t>Search Strategy:</w:t>
      </w:r>
    </w:p>
    <w:p w:rsidR="0025490C" w:rsidRPr="00E07B1B" w:rsidRDefault="0025490C" w:rsidP="00EE1CCB">
      <w:r w:rsidRPr="00E07B1B">
        <w:t>--------------------------------------------------------------------------------</w:t>
      </w:r>
    </w:p>
    <w:p w:rsidR="0025490C" w:rsidRPr="00E07B1B" w:rsidRDefault="0025490C" w:rsidP="00EE1CCB">
      <w:r w:rsidRPr="00E07B1B">
        <w:t>1</w:t>
      </w:r>
      <w:r>
        <w:t xml:space="preserve"> </w:t>
      </w:r>
      <w:r w:rsidRPr="00E07B1B">
        <w:t>exp Diabetes, Gestational/ (6056)</w:t>
      </w:r>
    </w:p>
    <w:p w:rsidR="0025490C" w:rsidRPr="00E07B1B" w:rsidRDefault="0025490C" w:rsidP="00EE1CCB">
      <w:r w:rsidRPr="00E07B1B">
        <w:t>2</w:t>
      </w:r>
      <w:r>
        <w:t xml:space="preserve"> </w:t>
      </w:r>
      <w:r w:rsidRPr="00E07B1B">
        <w:t>(pregnan$ adj5 diabet$).tw. (7796)</w:t>
      </w:r>
    </w:p>
    <w:p w:rsidR="0025490C" w:rsidRPr="00E07B1B" w:rsidRDefault="0025490C" w:rsidP="00EE1CCB">
      <w:r w:rsidRPr="00E07B1B">
        <w:t>3</w:t>
      </w:r>
      <w:r>
        <w:t xml:space="preserve"> </w:t>
      </w:r>
      <w:r w:rsidRPr="00E07B1B">
        <w:t>(hyperglyc$ adj5 pregnan$).tw. (361)</w:t>
      </w:r>
    </w:p>
    <w:p w:rsidR="0025490C" w:rsidRPr="00E07B1B" w:rsidRDefault="0025490C" w:rsidP="00EE1CCB">
      <w:r w:rsidRPr="00E07B1B">
        <w:t>4</w:t>
      </w:r>
      <w:r>
        <w:t xml:space="preserve"> </w:t>
      </w:r>
      <w:r w:rsidRPr="00E07B1B">
        <w:t>GDM.tw. (2355)</w:t>
      </w:r>
    </w:p>
    <w:p w:rsidR="0025490C" w:rsidRPr="00E07B1B" w:rsidRDefault="0025490C" w:rsidP="00EE1CCB">
      <w:r w:rsidRPr="00E07B1B">
        <w:t>5</w:t>
      </w:r>
      <w:r>
        <w:t xml:space="preserve"> </w:t>
      </w:r>
      <w:r w:rsidRPr="00E07B1B">
        <w:t>(insulin resistance adj5 pregnan$).tw. (373)</w:t>
      </w:r>
    </w:p>
    <w:p w:rsidR="0025490C" w:rsidRPr="00E07B1B" w:rsidRDefault="0025490C" w:rsidP="00EE1CCB">
      <w:r w:rsidRPr="00E07B1B">
        <w:t>6</w:t>
      </w:r>
      <w:r>
        <w:t xml:space="preserve"> </w:t>
      </w:r>
      <w:r w:rsidRPr="00E07B1B">
        <w:t>(glucose intoleran$ adj5 pregnan$).tw. (203)</w:t>
      </w:r>
    </w:p>
    <w:p w:rsidR="0025490C" w:rsidRPr="00E07B1B" w:rsidRDefault="0025490C" w:rsidP="00EE1CCB">
      <w:r w:rsidRPr="00E07B1B">
        <w:t>7</w:t>
      </w:r>
      <w:r>
        <w:t xml:space="preserve"> </w:t>
      </w:r>
      <w:r w:rsidRPr="00E07B1B">
        <w:t>(gestation$ adj5 diabet$).tw. (6835)</w:t>
      </w:r>
    </w:p>
    <w:p w:rsidR="0025490C" w:rsidRPr="00E07B1B" w:rsidRDefault="0025490C" w:rsidP="00EE1CCB">
      <w:r w:rsidRPr="00E07B1B">
        <w:t>8</w:t>
      </w:r>
      <w:r>
        <w:t xml:space="preserve"> </w:t>
      </w:r>
      <w:r w:rsidRPr="00E07B1B">
        <w:t>(gestation$ adj5 weight gain).tw. (1004)</w:t>
      </w:r>
    </w:p>
    <w:p w:rsidR="0025490C" w:rsidRPr="00E07B1B" w:rsidRDefault="0025490C" w:rsidP="00EE1CCB">
      <w:r w:rsidRPr="00E07B1B">
        <w:t>9</w:t>
      </w:r>
      <w:r>
        <w:t xml:space="preserve"> </w:t>
      </w:r>
      <w:r w:rsidRPr="00E07B1B">
        <w:t>(gestation$ adj5 obes$).tw. (397)</w:t>
      </w:r>
    </w:p>
    <w:p w:rsidR="0025490C" w:rsidRPr="00E07B1B" w:rsidRDefault="0025490C" w:rsidP="00EE1CCB">
      <w:r w:rsidRPr="00E07B1B">
        <w:t>10</w:t>
      </w:r>
      <w:r>
        <w:t xml:space="preserve"> </w:t>
      </w:r>
      <w:r w:rsidRPr="00E07B1B">
        <w:t>maternal obes$.tw. (778)</w:t>
      </w:r>
    </w:p>
    <w:p w:rsidR="0025490C" w:rsidRPr="00E07B1B" w:rsidRDefault="0025490C" w:rsidP="00EE1CCB">
      <w:r w:rsidRPr="00E07B1B">
        <w:t>11</w:t>
      </w:r>
      <w:r>
        <w:t xml:space="preserve"> </w:t>
      </w:r>
      <w:r w:rsidRPr="00E07B1B">
        <w:t>(maternal adj5 weight gain).tw. (1469)</w:t>
      </w:r>
    </w:p>
    <w:p w:rsidR="0025490C" w:rsidRPr="00E07B1B" w:rsidRDefault="0025490C" w:rsidP="00EE1CCB">
      <w:r w:rsidRPr="00E07B1B">
        <w:t>12</w:t>
      </w:r>
      <w:r>
        <w:t xml:space="preserve"> </w:t>
      </w:r>
      <w:r w:rsidRPr="00E07B1B">
        <w:t>(glucose toleran$ adj5 pregnan$).tw. (732)</w:t>
      </w:r>
    </w:p>
    <w:p w:rsidR="0025490C" w:rsidRPr="00E07B1B" w:rsidRDefault="0025490C" w:rsidP="00EE1CCB">
      <w:r w:rsidRPr="00E07B1B">
        <w:t>13</w:t>
      </w:r>
      <w:r>
        <w:t xml:space="preserve"> </w:t>
      </w:r>
      <w:r w:rsidRPr="00E07B1B">
        <w:t>(maternal adj3 hyperglycemi$).tw. (275)</w:t>
      </w:r>
    </w:p>
    <w:p w:rsidR="0025490C" w:rsidRPr="00E07B1B" w:rsidRDefault="0025490C" w:rsidP="00EE1CCB">
      <w:r w:rsidRPr="00E07B1B">
        <w:t>14</w:t>
      </w:r>
      <w:r>
        <w:t xml:space="preserve"> </w:t>
      </w:r>
      <w:r w:rsidRPr="00E07B1B">
        <w:t>(maternal adj3 hyperglycaemi$).tw. (83)</w:t>
      </w:r>
    </w:p>
    <w:p w:rsidR="0025490C" w:rsidRPr="00E07B1B" w:rsidRDefault="0025490C" w:rsidP="00EE1CCB">
      <w:r w:rsidRPr="00E07B1B">
        <w:t>15</w:t>
      </w:r>
      <w:r>
        <w:t xml:space="preserve"> </w:t>
      </w:r>
      <w:r w:rsidRPr="00E07B1B">
        <w:t>(pregestational adj3 diabet$).tw. (340)</w:t>
      </w:r>
    </w:p>
    <w:p w:rsidR="0025490C" w:rsidRPr="00E07B1B" w:rsidRDefault="0025490C" w:rsidP="00EE1CCB">
      <w:r w:rsidRPr="00E07B1B">
        <w:t>16</w:t>
      </w:r>
      <w:r>
        <w:t xml:space="preserve"> </w:t>
      </w:r>
      <w:r w:rsidRPr="00E07B1B">
        <w:t>maternal glyc?emi$.tw. (202)</w:t>
      </w:r>
    </w:p>
    <w:p w:rsidR="0025490C" w:rsidRPr="00E07B1B" w:rsidRDefault="0025490C" w:rsidP="00EE1CCB">
      <w:r w:rsidRPr="00E07B1B">
        <w:t>17</w:t>
      </w:r>
      <w:r>
        <w:t xml:space="preserve"> </w:t>
      </w:r>
      <w:r w:rsidRPr="00E07B1B">
        <w:t>or/1-16 (17191)</w:t>
      </w:r>
    </w:p>
    <w:p w:rsidR="0025490C" w:rsidRPr="00E07B1B" w:rsidRDefault="0025490C" w:rsidP="00EE1CCB">
      <w:r w:rsidRPr="00E07B1B">
        <w:t>18</w:t>
      </w:r>
      <w:r>
        <w:t xml:space="preserve"> </w:t>
      </w:r>
      <w:r w:rsidRPr="00E07B1B">
        <w:t>glyc?emic status.tw. (399)</w:t>
      </w:r>
    </w:p>
    <w:p w:rsidR="0025490C" w:rsidRPr="00E07B1B" w:rsidRDefault="0025490C" w:rsidP="00EE1CCB">
      <w:r w:rsidRPr="00E07B1B">
        <w:t>19</w:t>
      </w:r>
      <w:r>
        <w:t xml:space="preserve"> </w:t>
      </w:r>
      <w:r w:rsidRPr="00E07B1B">
        <w:t>(glycemic adj3 control$).tw. (11565)</w:t>
      </w:r>
    </w:p>
    <w:p w:rsidR="0025490C" w:rsidRPr="00E07B1B" w:rsidRDefault="0025490C" w:rsidP="00EE1CCB">
      <w:r w:rsidRPr="00E07B1B">
        <w:t>20</w:t>
      </w:r>
      <w:r>
        <w:t xml:space="preserve"> </w:t>
      </w:r>
      <w:r w:rsidRPr="00E07B1B">
        <w:t>(glycaemic adj3 control$).tw. (4789)</w:t>
      </w:r>
    </w:p>
    <w:p w:rsidR="0025490C" w:rsidRPr="00E07B1B" w:rsidRDefault="0025490C" w:rsidP="00EE1CCB">
      <w:r w:rsidRPr="00E07B1B">
        <w:t>21</w:t>
      </w:r>
      <w:r>
        <w:t xml:space="preserve"> </w:t>
      </w:r>
      <w:r w:rsidRPr="00E07B1B">
        <w:t>(monitor$ adj3 glucose).tw. (6070)</w:t>
      </w:r>
    </w:p>
    <w:p w:rsidR="0025490C" w:rsidRPr="00E07B1B" w:rsidRDefault="0025490C" w:rsidP="00EE1CCB">
      <w:r w:rsidRPr="00E07B1B">
        <w:t>22</w:t>
      </w:r>
      <w:r>
        <w:t xml:space="preserve"> </w:t>
      </w:r>
      <w:r w:rsidRPr="00E07B1B">
        <w:t>(monitor$ adj3 glyc?em$).tw. (419)</w:t>
      </w:r>
    </w:p>
    <w:p w:rsidR="0025490C" w:rsidRPr="00E07B1B" w:rsidRDefault="0025490C" w:rsidP="00EE1CCB">
      <w:r w:rsidRPr="00E07B1B">
        <w:t>23</w:t>
      </w:r>
      <w:r>
        <w:t xml:space="preserve"> </w:t>
      </w:r>
      <w:r w:rsidRPr="00E07B1B">
        <w:t>(metabolic adj3 control$).tw. (10554)</w:t>
      </w:r>
    </w:p>
    <w:p w:rsidR="0025490C" w:rsidRPr="00E07B1B" w:rsidRDefault="0025490C" w:rsidP="00EE1CCB">
      <w:r w:rsidRPr="00E07B1B">
        <w:t>24</w:t>
      </w:r>
      <w:r>
        <w:t xml:space="preserve"> </w:t>
      </w:r>
      <w:r w:rsidRPr="00E07B1B">
        <w:t>(glucose adj3 control$).tw. (11585)</w:t>
      </w:r>
    </w:p>
    <w:p w:rsidR="0025490C" w:rsidRPr="00E07B1B" w:rsidRDefault="0025490C" w:rsidP="00EE1CCB">
      <w:r w:rsidRPr="00E07B1B">
        <w:t>25</w:t>
      </w:r>
      <w:r>
        <w:t xml:space="preserve"> </w:t>
      </w:r>
      <w:r w:rsidRPr="00E07B1B">
        <w:t>(metabolic adj3 manag$).tw. (796)</w:t>
      </w:r>
    </w:p>
    <w:p w:rsidR="0025490C" w:rsidRPr="00E07B1B" w:rsidRDefault="0025490C" w:rsidP="00EE1CCB">
      <w:r w:rsidRPr="00E07B1B">
        <w:t>26</w:t>
      </w:r>
      <w:r>
        <w:t xml:space="preserve"> </w:t>
      </w:r>
      <w:r w:rsidRPr="00E07B1B">
        <w:t>(normoglyc?emi$ adj3 control$).tw. (456)</w:t>
      </w:r>
    </w:p>
    <w:p w:rsidR="0025490C" w:rsidRPr="00E07B1B" w:rsidRDefault="0025490C" w:rsidP="00EE1CCB">
      <w:r w:rsidRPr="00E07B1B">
        <w:t>27</w:t>
      </w:r>
      <w:r>
        <w:t xml:space="preserve"> </w:t>
      </w:r>
      <w:r w:rsidRPr="00E07B1B">
        <w:t>(intens$ adj3 manag$).tw. (3534)</w:t>
      </w:r>
    </w:p>
    <w:p w:rsidR="0025490C" w:rsidRPr="00E07B1B" w:rsidRDefault="0025490C" w:rsidP="00EE1CCB">
      <w:r w:rsidRPr="00E07B1B">
        <w:t>28</w:t>
      </w:r>
      <w:r>
        <w:t xml:space="preserve"> </w:t>
      </w:r>
      <w:r w:rsidRPr="00E07B1B">
        <w:t>(tight$ adj3 manag$).tw. (114)</w:t>
      </w:r>
    </w:p>
    <w:p w:rsidR="0025490C" w:rsidRPr="00E07B1B" w:rsidRDefault="0025490C" w:rsidP="00EE1CCB">
      <w:r w:rsidRPr="00E07B1B">
        <w:t>29</w:t>
      </w:r>
      <w:r>
        <w:t xml:space="preserve"> </w:t>
      </w:r>
      <w:r w:rsidRPr="00E07B1B">
        <w:t>(strict adj3 manag$).tw. (272)</w:t>
      </w:r>
    </w:p>
    <w:p w:rsidR="0025490C" w:rsidRPr="00E07B1B" w:rsidRDefault="0025490C" w:rsidP="00EE1CCB">
      <w:r w:rsidRPr="00E07B1B">
        <w:t>30</w:t>
      </w:r>
      <w:r>
        <w:t xml:space="preserve"> </w:t>
      </w:r>
      <w:r w:rsidRPr="00E07B1B">
        <w:t>(level$ adj3 glyc?emi$).tw. (1635)</w:t>
      </w:r>
    </w:p>
    <w:p w:rsidR="0025490C" w:rsidRPr="00E07B1B" w:rsidRDefault="0025490C" w:rsidP="00EE1CCB">
      <w:r w:rsidRPr="00E07B1B">
        <w:t>31</w:t>
      </w:r>
      <w:r>
        <w:t xml:space="preserve"> </w:t>
      </w:r>
      <w:r w:rsidRPr="00E07B1B">
        <w:t>(intens$ adj3 control$).tw. (4223)</w:t>
      </w:r>
    </w:p>
    <w:p w:rsidR="0025490C" w:rsidRPr="00E07B1B" w:rsidRDefault="0025490C" w:rsidP="00EE1CCB">
      <w:r w:rsidRPr="00E07B1B">
        <w:t>32</w:t>
      </w:r>
      <w:r>
        <w:t xml:space="preserve"> </w:t>
      </w:r>
      <w:r w:rsidRPr="00E07B1B">
        <w:t>(intens$ adj3 treat$).tw. (15946)</w:t>
      </w:r>
    </w:p>
    <w:p w:rsidR="0025490C" w:rsidRPr="00E07B1B" w:rsidRDefault="0025490C" w:rsidP="00EE1CCB">
      <w:r w:rsidRPr="00E07B1B">
        <w:t>33</w:t>
      </w:r>
      <w:r>
        <w:t xml:space="preserve"> </w:t>
      </w:r>
      <w:r w:rsidRPr="00E07B1B">
        <w:t>(tight adj3 control$).tw. (3377)</w:t>
      </w:r>
    </w:p>
    <w:p w:rsidR="0025490C" w:rsidRPr="00E07B1B" w:rsidRDefault="0025490C" w:rsidP="00EE1CCB">
      <w:r w:rsidRPr="00E07B1B">
        <w:t>34</w:t>
      </w:r>
      <w:r>
        <w:t xml:space="preserve"> </w:t>
      </w:r>
      <w:r w:rsidRPr="00E07B1B">
        <w:t>(tight adj3 treat$).tw. (133)</w:t>
      </w:r>
    </w:p>
    <w:p w:rsidR="0025490C" w:rsidRPr="00E07B1B" w:rsidRDefault="0025490C" w:rsidP="00EE1CCB">
      <w:r w:rsidRPr="00E07B1B">
        <w:t>35</w:t>
      </w:r>
      <w:r>
        <w:t xml:space="preserve"> </w:t>
      </w:r>
      <w:r w:rsidRPr="00E07B1B">
        <w:t>(strict adj3 control$).tw. (3347)</w:t>
      </w:r>
    </w:p>
    <w:p w:rsidR="0025490C" w:rsidRPr="00E07B1B" w:rsidRDefault="0025490C" w:rsidP="00EE1CCB">
      <w:r w:rsidRPr="00E07B1B">
        <w:t>36</w:t>
      </w:r>
      <w:r>
        <w:t xml:space="preserve"> </w:t>
      </w:r>
      <w:r w:rsidRPr="00E07B1B">
        <w:t>(strict adj3 treat$).tw. (450)</w:t>
      </w:r>
    </w:p>
    <w:p w:rsidR="0025490C" w:rsidRPr="00E07B1B" w:rsidRDefault="0025490C" w:rsidP="00EE1CCB">
      <w:r w:rsidRPr="00E07B1B">
        <w:t>37</w:t>
      </w:r>
      <w:r>
        <w:t xml:space="preserve"> </w:t>
      </w:r>
      <w:r w:rsidRPr="00E07B1B">
        <w:t>or/18-36 (68433)</w:t>
      </w:r>
    </w:p>
    <w:p w:rsidR="0025490C" w:rsidRPr="00E07B1B" w:rsidRDefault="0025490C" w:rsidP="00EE1CCB">
      <w:r w:rsidRPr="00E07B1B">
        <w:t>38</w:t>
      </w:r>
      <w:r>
        <w:t xml:space="preserve"> </w:t>
      </w:r>
      <w:r w:rsidRPr="00E07B1B">
        <w:t>17 and 37 (1801)</w:t>
      </w:r>
    </w:p>
    <w:p w:rsidR="0025490C" w:rsidRPr="00E07B1B" w:rsidRDefault="0025490C" w:rsidP="00EE1CCB">
      <w:r w:rsidRPr="00E07B1B">
        <w:t>39</w:t>
      </w:r>
      <w:r>
        <w:t xml:space="preserve"> </w:t>
      </w:r>
      <w:r w:rsidRPr="00E07B1B">
        <w:t>randomized controlled trial.pt. (339054)</w:t>
      </w:r>
    </w:p>
    <w:p w:rsidR="0025490C" w:rsidRPr="00E07B1B" w:rsidRDefault="0025490C" w:rsidP="00EE1CCB">
      <w:r w:rsidRPr="00E07B1B">
        <w:t>40</w:t>
      </w:r>
      <w:r>
        <w:t xml:space="preserve"> </w:t>
      </w:r>
      <w:r w:rsidRPr="00E07B1B">
        <w:t>controlled clinical trial.pt. (85098)</w:t>
      </w:r>
    </w:p>
    <w:p w:rsidR="0025490C" w:rsidRPr="00E07B1B" w:rsidRDefault="0025490C" w:rsidP="00EE1CCB">
      <w:r w:rsidRPr="00E07B1B">
        <w:t>41</w:t>
      </w:r>
      <w:r>
        <w:t xml:space="preserve"> </w:t>
      </w:r>
      <w:r w:rsidRPr="00E07B1B">
        <w:t>randomized.ab. (256457)</w:t>
      </w:r>
    </w:p>
    <w:p w:rsidR="0025490C" w:rsidRPr="00E07B1B" w:rsidRDefault="0025490C" w:rsidP="00EE1CCB">
      <w:r w:rsidRPr="00E07B1B">
        <w:t>42</w:t>
      </w:r>
      <w:r>
        <w:t xml:space="preserve"> </w:t>
      </w:r>
      <w:r w:rsidRPr="00E07B1B">
        <w:t>placebo.tw. (144132)</w:t>
      </w:r>
    </w:p>
    <w:p w:rsidR="0025490C" w:rsidRPr="00E07B1B" w:rsidRDefault="0025490C" w:rsidP="00EE1CCB">
      <w:r w:rsidRPr="00E07B1B">
        <w:t>43</w:t>
      </w:r>
      <w:r>
        <w:t xml:space="preserve"> </w:t>
      </w:r>
      <w:r w:rsidRPr="00E07B1B">
        <w:t>clinical trials as topic.sh. (162088)</w:t>
      </w:r>
    </w:p>
    <w:p w:rsidR="0025490C" w:rsidRPr="00E07B1B" w:rsidRDefault="0025490C" w:rsidP="00EE1CCB">
      <w:r w:rsidRPr="00E07B1B">
        <w:t>44</w:t>
      </w:r>
      <w:r>
        <w:t xml:space="preserve"> </w:t>
      </w:r>
      <w:r w:rsidRPr="00E07B1B">
        <w:t>randomly.ab. (187749)</w:t>
      </w:r>
    </w:p>
    <w:p w:rsidR="0025490C" w:rsidRPr="00E07B1B" w:rsidRDefault="0025490C" w:rsidP="00EE1CCB">
      <w:r w:rsidRPr="00E07B1B">
        <w:t>45</w:t>
      </w:r>
      <w:r>
        <w:t xml:space="preserve"> </w:t>
      </w:r>
      <w:r w:rsidRPr="00E07B1B">
        <w:t>trial.ti. (109412)</w:t>
      </w:r>
    </w:p>
    <w:p w:rsidR="0025490C" w:rsidRPr="00E07B1B" w:rsidRDefault="0025490C" w:rsidP="00EE1CCB">
      <w:r w:rsidRPr="00E07B1B">
        <w:t>46</w:t>
      </w:r>
      <w:r>
        <w:t xml:space="preserve"> </w:t>
      </w:r>
      <w:r w:rsidRPr="00E07B1B">
        <w:t>(crossover or cross-over or cross over).tw. (55285)</w:t>
      </w:r>
    </w:p>
    <w:p w:rsidR="0025490C" w:rsidRPr="00E07B1B" w:rsidRDefault="0025490C" w:rsidP="00EE1CCB">
      <w:r w:rsidRPr="00E07B1B">
        <w:t>47</w:t>
      </w:r>
      <w:r>
        <w:t xml:space="preserve"> </w:t>
      </w:r>
      <w:r w:rsidRPr="00E07B1B">
        <w:t>or/39-46 (833381)</w:t>
      </w:r>
    </w:p>
    <w:p w:rsidR="0025490C" w:rsidRPr="00E07B1B" w:rsidRDefault="0025490C" w:rsidP="00EE1CCB">
      <w:r w:rsidRPr="00E07B1B">
        <w:t>48</w:t>
      </w:r>
      <w:r>
        <w:t xml:space="preserve"> </w:t>
      </w:r>
      <w:r w:rsidRPr="00E07B1B">
        <w:t>exp animals/ not humans.sh. (3754079)</w:t>
      </w:r>
    </w:p>
    <w:p w:rsidR="0025490C" w:rsidRPr="00E07B1B" w:rsidRDefault="0025490C" w:rsidP="00EE1CCB">
      <w:r w:rsidRPr="00E07B1B">
        <w:t>49</w:t>
      </w:r>
      <w:r>
        <w:t xml:space="preserve"> </w:t>
      </w:r>
      <w:r w:rsidRPr="00E07B1B">
        <w:t>47 not 48 (768269)</w:t>
      </w:r>
    </w:p>
    <w:p w:rsidR="0025490C" w:rsidRPr="00E07B1B" w:rsidRDefault="0025490C" w:rsidP="00EE1CCB">
      <w:r w:rsidRPr="00E07B1B">
        <w:t>50</w:t>
      </w:r>
      <w:r>
        <w:t xml:space="preserve"> </w:t>
      </w:r>
      <w:r w:rsidRPr="00E07B1B">
        <w:t>Meta-Analysis as Topic/ (12380)</w:t>
      </w:r>
    </w:p>
    <w:p w:rsidR="0025490C" w:rsidRPr="00E07B1B" w:rsidRDefault="0025490C" w:rsidP="00EE1CCB">
      <w:r w:rsidRPr="00E07B1B">
        <w:t>51</w:t>
      </w:r>
      <w:r>
        <w:t xml:space="preserve"> </w:t>
      </w:r>
      <w:r w:rsidRPr="00E07B1B">
        <w:t>meta analy$.tw. (47545)</w:t>
      </w:r>
    </w:p>
    <w:p w:rsidR="0025490C" w:rsidRPr="00E07B1B" w:rsidRDefault="0025490C" w:rsidP="00EE1CCB">
      <w:r w:rsidRPr="00E07B1B">
        <w:t>52</w:t>
      </w:r>
      <w:r>
        <w:t xml:space="preserve"> </w:t>
      </w:r>
      <w:r w:rsidRPr="00E07B1B">
        <w:t>metaanaly$.tw. (1196)</w:t>
      </w:r>
    </w:p>
    <w:p w:rsidR="0025490C" w:rsidRPr="00E07B1B" w:rsidRDefault="0025490C" w:rsidP="00EE1CCB">
      <w:r w:rsidRPr="00E07B1B">
        <w:t>53</w:t>
      </w:r>
      <w:r>
        <w:t xml:space="preserve"> </w:t>
      </w:r>
      <w:r w:rsidRPr="00E07B1B">
        <w:t>Meta-Analysis/ (36981)</w:t>
      </w:r>
    </w:p>
    <w:p w:rsidR="0025490C" w:rsidRPr="00E07B1B" w:rsidRDefault="0025490C" w:rsidP="00EE1CCB">
      <w:r w:rsidRPr="00E07B1B">
        <w:t>54</w:t>
      </w:r>
      <w:r>
        <w:t xml:space="preserve"> </w:t>
      </w:r>
      <w:r w:rsidRPr="00E07B1B">
        <w:t>(systematic adj (review$1 or overview$1)).tw. (39972)</w:t>
      </w:r>
    </w:p>
    <w:p w:rsidR="0025490C" w:rsidRPr="00E07B1B" w:rsidRDefault="0025490C" w:rsidP="00EE1CCB">
      <w:r w:rsidRPr="00E07B1B">
        <w:t>55</w:t>
      </w:r>
      <w:r>
        <w:t xml:space="preserve"> </w:t>
      </w:r>
      <w:r w:rsidRPr="00E07B1B">
        <w:t>exp Review Literature as Topic/ (6505)</w:t>
      </w:r>
    </w:p>
    <w:p w:rsidR="0025490C" w:rsidRPr="00E07B1B" w:rsidRDefault="0025490C" w:rsidP="00EE1CCB">
      <w:r w:rsidRPr="00E07B1B">
        <w:t>56</w:t>
      </w:r>
      <w:r>
        <w:t xml:space="preserve"> </w:t>
      </w:r>
      <w:r w:rsidRPr="00E07B1B">
        <w:t>Review/ (1739624)</w:t>
      </w:r>
    </w:p>
    <w:p w:rsidR="0025490C" w:rsidRPr="00E07B1B" w:rsidRDefault="0025490C" w:rsidP="00EE1CCB">
      <w:r w:rsidRPr="00E07B1B">
        <w:t>57</w:t>
      </w:r>
      <w:r>
        <w:t xml:space="preserve"> </w:t>
      </w:r>
      <w:r w:rsidRPr="00E07B1B">
        <w:t>or/50-56 (1788851)</w:t>
      </w:r>
    </w:p>
    <w:p w:rsidR="0025490C" w:rsidRPr="00E07B1B" w:rsidRDefault="0025490C" w:rsidP="00EE1CCB">
      <w:r w:rsidRPr="00E07B1B">
        <w:t>58</w:t>
      </w:r>
      <w:r>
        <w:t xml:space="preserve"> </w:t>
      </w:r>
      <w:r w:rsidRPr="00E07B1B">
        <w:t>cochrane.ab. (23227)</w:t>
      </w:r>
    </w:p>
    <w:p w:rsidR="0025490C" w:rsidRPr="00E07B1B" w:rsidRDefault="0025490C" w:rsidP="00EE1CCB">
      <w:r w:rsidRPr="00E07B1B">
        <w:t>59</w:t>
      </w:r>
      <w:r>
        <w:t xml:space="preserve"> </w:t>
      </w:r>
      <w:r w:rsidRPr="00E07B1B">
        <w:t>embase.ab. (21144)</w:t>
      </w:r>
    </w:p>
    <w:p w:rsidR="0025490C" w:rsidRPr="00E07B1B" w:rsidRDefault="0025490C" w:rsidP="00EE1CCB">
      <w:r w:rsidRPr="00E07B1B">
        <w:t>60</w:t>
      </w:r>
      <w:r>
        <w:t xml:space="preserve"> </w:t>
      </w:r>
      <w:r w:rsidRPr="00E07B1B">
        <w:t>(psychlit or psyclit).ab. (845)</w:t>
      </w:r>
    </w:p>
    <w:p w:rsidR="0025490C" w:rsidRPr="00E07B1B" w:rsidRDefault="0025490C" w:rsidP="00EE1CCB">
      <w:r w:rsidRPr="00E07B1B">
        <w:t>61</w:t>
      </w:r>
      <w:r>
        <w:t xml:space="preserve"> </w:t>
      </w:r>
      <w:r w:rsidRPr="00E07B1B">
        <w:t>(psychinfo or psycinfo).ab. (8271)</w:t>
      </w:r>
    </w:p>
    <w:p w:rsidR="0025490C" w:rsidRPr="00E07B1B" w:rsidRDefault="0025490C" w:rsidP="00EE1CCB">
      <w:r w:rsidRPr="00E07B1B">
        <w:t>62</w:t>
      </w:r>
      <w:r>
        <w:t xml:space="preserve"> </w:t>
      </w:r>
      <w:r w:rsidRPr="00E07B1B">
        <w:t>(cinahl or cinhal).ab. (7751)</w:t>
      </w:r>
    </w:p>
    <w:p w:rsidR="0025490C" w:rsidRPr="00E07B1B" w:rsidRDefault="0025490C" w:rsidP="00EE1CCB">
      <w:r w:rsidRPr="00E07B1B">
        <w:t>63</w:t>
      </w:r>
      <w:r>
        <w:t xml:space="preserve"> </w:t>
      </w:r>
      <w:r w:rsidRPr="00E07B1B">
        <w:t>science citation index.ab. (1619)</w:t>
      </w:r>
    </w:p>
    <w:p w:rsidR="0025490C" w:rsidRPr="00E07B1B" w:rsidRDefault="0025490C" w:rsidP="00EE1CCB">
      <w:r w:rsidRPr="00E07B1B">
        <w:t>64</w:t>
      </w:r>
      <w:r>
        <w:t xml:space="preserve"> </w:t>
      </w:r>
      <w:r w:rsidRPr="00E07B1B">
        <w:t>bids.ab. (332)</w:t>
      </w:r>
    </w:p>
    <w:p w:rsidR="0025490C" w:rsidRPr="00E07B1B" w:rsidRDefault="0025490C" w:rsidP="00EE1CCB">
      <w:r w:rsidRPr="00E07B1B">
        <w:t>65</w:t>
      </w:r>
      <w:r>
        <w:t xml:space="preserve"> </w:t>
      </w:r>
      <w:r w:rsidRPr="00E07B1B">
        <w:t>cancerlit.ab. (548)</w:t>
      </w:r>
    </w:p>
    <w:p w:rsidR="0025490C" w:rsidRPr="00E07B1B" w:rsidRDefault="0025490C" w:rsidP="00EE1CCB">
      <w:r w:rsidRPr="00E07B1B">
        <w:t>66</w:t>
      </w:r>
      <w:r>
        <w:t xml:space="preserve"> </w:t>
      </w:r>
      <w:r w:rsidRPr="00E07B1B">
        <w:t>or/58-65 (38655)</w:t>
      </w:r>
    </w:p>
    <w:p w:rsidR="0025490C" w:rsidRPr="00E07B1B" w:rsidRDefault="0025490C" w:rsidP="00EE1CCB">
      <w:r w:rsidRPr="00E07B1B">
        <w:t>67</w:t>
      </w:r>
      <w:r>
        <w:t xml:space="preserve"> </w:t>
      </w:r>
      <w:r w:rsidRPr="00E07B1B">
        <w:t>reference list$.ab. (7972)</w:t>
      </w:r>
    </w:p>
    <w:p w:rsidR="0025490C" w:rsidRPr="00E07B1B" w:rsidRDefault="0025490C" w:rsidP="00EE1CCB">
      <w:r w:rsidRPr="00E07B1B">
        <w:t>68</w:t>
      </w:r>
      <w:r>
        <w:t xml:space="preserve"> </w:t>
      </w:r>
      <w:r w:rsidRPr="00E07B1B">
        <w:t>bibliograph$.ab. (10392)</w:t>
      </w:r>
    </w:p>
    <w:p w:rsidR="0025490C" w:rsidRPr="00E07B1B" w:rsidRDefault="0025490C" w:rsidP="00EE1CCB">
      <w:r w:rsidRPr="00E07B1B">
        <w:t>69</w:t>
      </w:r>
      <w:r>
        <w:t xml:space="preserve"> </w:t>
      </w:r>
      <w:r w:rsidRPr="00E07B1B">
        <w:t>hand-search$.ab. (3348)</w:t>
      </w:r>
    </w:p>
    <w:p w:rsidR="0025490C" w:rsidRPr="00E07B1B" w:rsidRDefault="0025490C" w:rsidP="00EE1CCB">
      <w:r w:rsidRPr="00E07B1B">
        <w:t>70</w:t>
      </w:r>
      <w:r>
        <w:t xml:space="preserve"> </w:t>
      </w:r>
      <w:r w:rsidRPr="00E07B1B">
        <w:t>relevant journals.ab. (584)</w:t>
      </w:r>
    </w:p>
    <w:p w:rsidR="0025490C" w:rsidRPr="00E07B1B" w:rsidRDefault="0025490C" w:rsidP="00EE1CCB">
      <w:r w:rsidRPr="00E07B1B">
        <w:t>71</w:t>
      </w:r>
      <w:r>
        <w:t xml:space="preserve"> </w:t>
      </w:r>
      <w:r w:rsidRPr="00E07B1B">
        <w:t>manual search$.ab. (1982)</w:t>
      </w:r>
    </w:p>
    <w:p w:rsidR="0025490C" w:rsidRPr="00E07B1B" w:rsidRDefault="0025490C" w:rsidP="00EE1CCB">
      <w:r w:rsidRPr="00E07B1B">
        <w:t>72</w:t>
      </w:r>
      <w:r>
        <w:t xml:space="preserve"> </w:t>
      </w:r>
      <w:r w:rsidRPr="00E07B1B">
        <w:t>or/67-71 (21718)</w:t>
      </w:r>
    </w:p>
    <w:p w:rsidR="0025490C" w:rsidRPr="00E07B1B" w:rsidRDefault="0025490C" w:rsidP="00EE1CCB">
      <w:r w:rsidRPr="00E07B1B">
        <w:t>73</w:t>
      </w:r>
      <w:r>
        <w:t xml:space="preserve"> </w:t>
      </w:r>
      <w:r w:rsidRPr="00E07B1B">
        <w:t>Comment/ (520330)</w:t>
      </w:r>
    </w:p>
    <w:p w:rsidR="0025490C" w:rsidRPr="00E07B1B" w:rsidRDefault="0025490C" w:rsidP="00EE1CCB">
      <w:r w:rsidRPr="00E07B1B">
        <w:t>74</w:t>
      </w:r>
      <w:r>
        <w:t xml:space="preserve"> </w:t>
      </w:r>
      <w:r w:rsidRPr="00E07B1B">
        <w:t>Letter/ (777608)</w:t>
      </w:r>
    </w:p>
    <w:p w:rsidR="0025490C" w:rsidRPr="00E07B1B" w:rsidRDefault="0025490C" w:rsidP="00EE1CCB">
      <w:r w:rsidRPr="00E07B1B">
        <w:t>75</w:t>
      </w:r>
      <w:r>
        <w:t xml:space="preserve"> </w:t>
      </w:r>
      <w:r w:rsidRPr="00E07B1B">
        <w:t>Editorial/ (319765)</w:t>
      </w:r>
    </w:p>
    <w:p w:rsidR="0025490C" w:rsidRPr="00E07B1B" w:rsidRDefault="0025490C" w:rsidP="00EE1CCB">
      <w:r w:rsidRPr="00E07B1B">
        <w:t>76</w:t>
      </w:r>
      <w:r>
        <w:t xml:space="preserve"> </w:t>
      </w:r>
      <w:r w:rsidRPr="00E07B1B">
        <w:t>animal/ (5004352)</w:t>
      </w:r>
    </w:p>
    <w:p w:rsidR="0025490C" w:rsidRPr="00E07B1B" w:rsidRDefault="0025490C" w:rsidP="00EE1CCB">
      <w:r w:rsidRPr="00E07B1B">
        <w:t>77</w:t>
      </w:r>
      <w:r>
        <w:t xml:space="preserve"> </w:t>
      </w:r>
      <w:r w:rsidRPr="00E07B1B">
        <w:t>human/ (12551760)</w:t>
      </w:r>
    </w:p>
    <w:p w:rsidR="0025490C" w:rsidRPr="00E07B1B" w:rsidRDefault="0025490C" w:rsidP="00EE1CCB">
      <w:r w:rsidRPr="00E07B1B">
        <w:t>78</w:t>
      </w:r>
      <w:r>
        <w:t xml:space="preserve"> </w:t>
      </w:r>
      <w:r w:rsidRPr="00E07B1B">
        <w:t>76 not (76 and 77) (3663527)</w:t>
      </w:r>
    </w:p>
    <w:p w:rsidR="0025490C" w:rsidRPr="00E07B1B" w:rsidRDefault="0025490C" w:rsidP="00EE1CCB">
      <w:r w:rsidRPr="00E07B1B">
        <w:t>79</w:t>
      </w:r>
      <w:r>
        <w:t xml:space="preserve"> </w:t>
      </w:r>
      <w:r w:rsidRPr="00E07B1B">
        <w:t>or/73-75,78 (4830271)</w:t>
      </w:r>
    </w:p>
    <w:p w:rsidR="0025490C" w:rsidRPr="00E07B1B" w:rsidRDefault="0025490C" w:rsidP="00EE1CCB">
      <w:r w:rsidRPr="00E07B1B">
        <w:t>80</w:t>
      </w:r>
      <w:r>
        <w:t xml:space="preserve"> </w:t>
      </w:r>
      <w:r w:rsidRPr="00E07B1B">
        <w:t>57 or 66 or 72 (1799057)</w:t>
      </w:r>
    </w:p>
    <w:p w:rsidR="0025490C" w:rsidRPr="00E07B1B" w:rsidRDefault="0025490C" w:rsidP="00EE1CCB">
      <w:r w:rsidRPr="00E07B1B">
        <w:t>81</w:t>
      </w:r>
      <w:r>
        <w:t xml:space="preserve"> </w:t>
      </w:r>
      <w:r w:rsidRPr="00E07B1B">
        <w:t>80 not 79 (1641401)</w:t>
      </w:r>
    </w:p>
    <w:p w:rsidR="0025490C" w:rsidRPr="00E07B1B" w:rsidRDefault="0025490C" w:rsidP="00EE1CCB">
      <w:r w:rsidRPr="00E07B1B">
        <w:t>82</w:t>
      </w:r>
      <w:r>
        <w:t xml:space="preserve"> </w:t>
      </w:r>
      <w:r w:rsidRPr="00E07B1B">
        <w:t>49 or 81 (2301809)</w:t>
      </w:r>
    </w:p>
    <w:p w:rsidR="0025490C" w:rsidRPr="00E07B1B" w:rsidRDefault="0025490C" w:rsidP="00EE1CCB">
      <w:r w:rsidRPr="00E07B1B">
        <w:t>83</w:t>
      </w:r>
      <w:r>
        <w:t xml:space="preserve"> </w:t>
      </w:r>
      <w:r w:rsidRPr="00E07B1B">
        <w:t>38 and 82 (531)</w:t>
      </w:r>
    </w:p>
    <w:p w:rsidR="0025490C" w:rsidRPr="00E07B1B" w:rsidRDefault="0025490C" w:rsidP="00EE1CCB"/>
    <w:p w:rsidR="0025490C" w:rsidRPr="00E07B1B" w:rsidRDefault="0025490C" w:rsidP="00EE1CCB">
      <w:pPr>
        <w:pStyle w:val="Heading3"/>
      </w:pPr>
      <w:r w:rsidRPr="00E07B1B">
        <w:t>Treatment of gestational diabetes:</w:t>
      </w:r>
    </w:p>
    <w:p w:rsidR="0025490C" w:rsidRPr="00E07B1B" w:rsidRDefault="0025490C" w:rsidP="00EE1CCB">
      <w:r w:rsidRPr="00E07B1B">
        <w:t>The search strategy for this topic was conducted by the Cochrane Pregnancy and Childbirth Group and is available through the trials search co-ordinator of this group</w:t>
      </w:r>
      <w:r w:rsidR="00EE1CCB">
        <w:t>.</w:t>
      </w:r>
    </w:p>
    <w:p w:rsidR="0025490C" w:rsidRPr="00E07B1B" w:rsidRDefault="0025490C" w:rsidP="00EE1CCB"/>
    <w:p w:rsidR="0025490C" w:rsidRPr="00E07B1B" w:rsidRDefault="0025490C" w:rsidP="00EE1CCB">
      <w:pPr>
        <w:pStyle w:val="Heading3"/>
      </w:pPr>
      <w:r w:rsidRPr="00E07B1B">
        <w:t>Early screening with HbA1c</w:t>
      </w:r>
    </w:p>
    <w:p w:rsidR="0025490C" w:rsidRPr="00E07B1B" w:rsidRDefault="0025490C" w:rsidP="00EE1CCB">
      <w:pPr>
        <w:keepNext/>
      </w:pPr>
      <w:r w:rsidRPr="00E07B1B">
        <w:t>Database: Embase &lt;1980 to 2013 March 29&gt;</w:t>
      </w:r>
    </w:p>
    <w:p w:rsidR="0025490C" w:rsidRPr="00E07B1B" w:rsidRDefault="0025490C" w:rsidP="00EE1CCB">
      <w:pPr>
        <w:keepNext/>
      </w:pPr>
      <w:r w:rsidRPr="00E07B1B">
        <w:t>Search Strategy:</w:t>
      </w:r>
    </w:p>
    <w:p w:rsidR="0025490C" w:rsidRPr="00E07B1B" w:rsidRDefault="0025490C" w:rsidP="00EE1CCB">
      <w:pPr>
        <w:keepNext/>
      </w:pPr>
      <w:r w:rsidRPr="00E07B1B">
        <w:t>--------------------------------------------------------------------------------</w:t>
      </w:r>
    </w:p>
    <w:p w:rsidR="0025490C" w:rsidRPr="00E07B1B" w:rsidRDefault="0025490C" w:rsidP="00EE1CCB">
      <w:r w:rsidRPr="00E07B1B">
        <w:t>1</w:t>
      </w:r>
      <w:r>
        <w:t xml:space="preserve"> </w:t>
      </w:r>
      <w:r w:rsidRPr="00E07B1B">
        <w:t>exp non insulin dependent diabetes mellitus/ or exp pregnancy diabetes mellitus/ (138815)</w:t>
      </w:r>
    </w:p>
    <w:p w:rsidR="0025490C" w:rsidRPr="00E07B1B" w:rsidRDefault="0025490C" w:rsidP="00EE1CCB">
      <w:r w:rsidRPr="00E07B1B">
        <w:t>2</w:t>
      </w:r>
      <w:r>
        <w:t xml:space="preserve"> </w:t>
      </w:r>
      <w:r w:rsidRPr="00E07B1B">
        <w:t>diabet$ type 2.tw. (1278)</w:t>
      </w:r>
    </w:p>
    <w:p w:rsidR="0025490C" w:rsidRPr="00E07B1B" w:rsidRDefault="0025490C" w:rsidP="00EE1CCB">
      <w:r w:rsidRPr="00E07B1B">
        <w:t>3</w:t>
      </w:r>
      <w:r>
        <w:t xml:space="preserve"> </w:t>
      </w:r>
      <w:r w:rsidRPr="00E07B1B">
        <w:t>diabet$ type II.tw. (416)</w:t>
      </w:r>
    </w:p>
    <w:p w:rsidR="0025490C" w:rsidRPr="00E07B1B" w:rsidRDefault="0025490C" w:rsidP="00EE1CCB">
      <w:r w:rsidRPr="00E07B1B">
        <w:t>4</w:t>
      </w:r>
      <w:r>
        <w:t xml:space="preserve"> </w:t>
      </w:r>
      <w:r w:rsidRPr="00E07B1B">
        <w:t>noninsulin-dependent diabet$.tw. (1495)</w:t>
      </w:r>
    </w:p>
    <w:p w:rsidR="0025490C" w:rsidRPr="00E07B1B" w:rsidRDefault="0025490C" w:rsidP="00EE1CCB">
      <w:r w:rsidRPr="00E07B1B">
        <w:t>5</w:t>
      </w:r>
      <w:r>
        <w:t xml:space="preserve"> </w:t>
      </w:r>
      <w:r w:rsidRPr="00E07B1B">
        <w:t>diabet$ type two.tw. (2)</w:t>
      </w:r>
    </w:p>
    <w:p w:rsidR="0025490C" w:rsidRPr="00E07B1B" w:rsidRDefault="0025490C" w:rsidP="00EE1CCB">
      <w:r w:rsidRPr="00E07B1B">
        <w:t>6</w:t>
      </w:r>
      <w:r>
        <w:t xml:space="preserve"> </w:t>
      </w:r>
      <w:r w:rsidRPr="00E07B1B">
        <w:t>maturity onset diabetes mellitus.tw. (109)</w:t>
      </w:r>
    </w:p>
    <w:p w:rsidR="0025490C" w:rsidRPr="00E07B1B" w:rsidRDefault="0025490C" w:rsidP="00EE1CCB">
      <w:r w:rsidRPr="00E07B1B">
        <w:t>7</w:t>
      </w:r>
      <w:r>
        <w:t xml:space="preserve"> </w:t>
      </w:r>
      <w:r w:rsidRPr="00E07B1B">
        <w:t>diabet$ non insulin dependent.tw. (72)</w:t>
      </w:r>
    </w:p>
    <w:p w:rsidR="0025490C" w:rsidRPr="00E07B1B" w:rsidRDefault="0025490C" w:rsidP="00EE1CCB">
      <w:r w:rsidRPr="00E07B1B">
        <w:t>8</w:t>
      </w:r>
      <w:r>
        <w:t xml:space="preserve"> </w:t>
      </w:r>
      <w:r w:rsidRPr="00E07B1B">
        <w:t>diabetes mellitus adult onset.tw. (3)</w:t>
      </w:r>
    </w:p>
    <w:p w:rsidR="0025490C" w:rsidRPr="00E07B1B" w:rsidRDefault="0025490C" w:rsidP="00EE1CCB">
      <w:r w:rsidRPr="00E07B1B">
        <w:t>9</w:t>
      </w:r>
      <w:r>
        <w:t xml:space="preserve"> </w:t>
      </w:r>
      <w:r w:rsidRPr="00E07B1B">
        <w:t>or/1-8 (139826)</w:t>
      </w:r>
    </w:p>
    <w:p w:rsidR="0025490C" w:rsidRPr="00E07B1B" w:rsidRDefault="0025490C" w:rsidP="00EE1CCB">
      <w:r w:rsidRPr="00E07B1B">
        <w:t>10</w:t>
      </w:r>
      <w:r>
        <w:t xml:space="preserve"> </w:t>
      </w:r>
      <w:r w:rsidRPr="00E07B1B">
        <w:t>HbA1C.tw. (24464)</w:t>
      </w:r>
    </w:p>
    <w:p w:rsidR="0025490C" w:rsidRPr="00E07B1B" w:rsidRDefault="0025490C" w:rsidP="00EE1CCB">
      <w:r w:rsidRPr="00E07B1B">
        <w:t>11</w:t>
      </w:r>
      <w:r>
        <w:t xml:space="preserve"> </w:t>
      </w:r>
      <w:r w:rsidRPr="00E07B1B">
        <w:t>Hb A1C.tw. (404)</w:t>
      </w:r>
    </w:p>
    <w:p w:rsidR="0025490C" w:rsidRPr="00E07B1B" w:rsidRDefault="0025490C" w:rsidP="00EE1CCB">
      <w:r w:rsidRPr="00E07B1B">
        <w:t>12</w:t>
      </w:r>
      <w:r>
        <w:t xml:space="preserve"> </w:t>
      </w:r>
      <w:r w:rsidRPr="00E07B1B">
        <w:t>glycosylated hemoglobin/ (14312)</w:t>
      </w:r>
    </w:p>
    <w:p w:rsidR="0025490C" w:rsidRPr="00E07B1B" w:rsidRDefault="0025490C" w:rsidP="00EE1CCB">
      <w:r w:rsidRPr="00E07B1B">
        <w:t>13</w:t>
      </w:r>
      <w:r>
        <w:t xml:space="preserve"> </w:t>
      </w:r>
      <w:r w:rsidRPr="00E07B1B">
        <w:t>glycoh?emoglobin.tw. (937)</w:t>
      </w:r>
    </w:p>
    <w:p w:rsidR="0025490C" w:rsidRPr="00E07B1B" w:rsidRDefault="0025490C" w:rsidP="00EE1CCB">
      <w:r w:rsidRPr="00E07B1B">
        <w:t>14</w:t>
      </w:r>
      <w:r>
        <w:t xml:space="preserve"> </w:t>
      </w:r>
      <w:r w:rsidRPr="00E07B1B">
        <w:t>glycosyl h?emoglobin.tw. (8)</w:t>
      </w:r>
    </w:p>
    <w:p w:rsidR="0025490C" w:rsidRPr="00E07B1B" w:rsidRDefault="0025490C" w:rsidP="00EE1CCB">
      <w:r w:rsidRPr="00E07B1B">
        <w:t>15</w:t>
      </w:r>
      <w:r>
        <w:t xml:space="preserve"> </w:t>
      </w:r>
      <w:r w:rsidRPr="00E07B1B">
        <w:t>glycosylh?emoglobin.tw. (1)</w:t>
      </w:r>
    </w:p>
    <w:p w:rsidR="0025490C" w:rsidRPr="00E07B1B" w:rsidRDefault="0025490C" w:rsidP="00EE1CCB">
      <w:r w:rsidRPr="00E07B1B">
        <w:t>16</w:t>
      </w:r>
      <w:r>
        <w:t xml:space="preserve"> </w:t>
      </w:r>
      <w:r w:rsidRPr="00E07B1B">
        <w:t>hb a 1.tw. (11)</w:t>
      </w:r>
    </w:p>
    <w:p w:rsidR="0025490C" w:rsidRPr="00E07B1B" w:rsidRDefault="0025490C" w:rsidP="00EE1CCB">
      <w:r w:rsidRPr="00E07B1B">
        <w:t>17</w:t>
      </w:r>
      <w:r>
        <w:t xml:space="preserve"> </w:t>
      </w:r>
      <w:r w:rsidRPr="00E07B1B">
        <w:t>hb a1.tw. (141)</w:t>
      </w:r>
    </w:p>
    <w:p w:rsidR="0025490C" w:rsidRPr="00E07B1B" w:rsidRDefault="0025490C" w:rsidP="00EE1CCB">
      <w:r w:rsidRPr="00E07B1B">
        <w:t>18</w:t>
      </w:r>
      <w:r>
        <w:t xml:space="preserve"> </w:t>
      </w:r>
      <w:r w:rsidRPr="00E07B1B">
        <w:t>H?emoglobin A1.tw. (638)</w:t>
      </w:r>
    </w:p>
    <w:p w:rsidR="0025490C" w:rsidRPr="00E07B1B" w:rsidRDefault="0025490C" w:rsidP="00EE1CCB">
      <w:r w:rsidRPr="00E07B1B">
        <w:t>19</w:t>
      </w:r>
      <w:r>
        <w:t xml:space="preserve"> </w:t>
      </w:r>
      <w:r w:rsidRPr="00E07B1B">
        <w:t>glucose tolerance test/ (18994)</w:t>
      </w:r>
    </w:p>
    <w:p w:rsidR="0025490C" w:rsidRPr="00E07B1B" w:rsidRDefault="0025490C" w:rsidP="00EE1CCB">
      <w:r w:rsidRPr="00E07B1B">
        <w:t>20</w:t>
      </w:r>
      <w:r>
        <w:t xml:space="preserve"> </w:t>
      </w:r>
      <w:r w:rsidRPr="00E07B1B">
        <w:t>glucose challenge.tw. (2266)</w:t>
      </w:r>
    </w:p>
    <w:p w:rsidR="0025490C" w:rsidRPr="00E07B1B" w:rsidRDefault="0025490C" w:rsidP="00EE1CCB">
      <w:r w:rsidRPr="00E07B1B">
        <w:t>21</w:t>
      </w:r>
      <w:r>
        <w:t xml:space="preserve"> </w:t>
      </w:r>
      <w:r w:rsidRPr="00E07B1B">
        <w:t>Glucose Tolerance.tw. (36962)</w:t>
      </w:r>
    </w:p>
    <w:p w:rsidR="0025490C" w:rsidRPr="00E07B1B" w:rsidRDefault="0025490C" w:rsidP="00EE1CCB">
      <w:r w:rsidRPr="00E07B1B">
        <w:t>22</w:t>
      </w:r>
      <w:r>
        <w:t xml:space="preserve"> </w:t>
      </w:r>
      <w:r w:rsidRPr="00E07B1B">
        <w:t>or/10-21 (81915)</w:t>
      </w:r>
    </w:p>
    <w:p w:rsidR="0025490C" w:rsidRPr="00E07B1B" w:rsidRDefault="0025490C" w:rsidP="00EE1CCB">
      <w:r w:rsidRPr="00E07B1B">
        <w:t>23</w:t>
      </w:r>
      <w:r>
        <w:t xml:space="preserve"> </w:t>
      </w:r>
      <w:r w:rsidRPr="00E07B1B">
        <w:t>Pregnan$.tw. (402066)</w:t>
      </w:r>
    </w:p>
    <w:p w:rsidR="0025490C" w:rsidRPr="00E07B1B" w:rsidRDefault="0025490C" w:rsidP="00EE1CCB">
      <w:r w:rsidRPr="00E07B1B">
        <w:t>24</w:t>
      </w:r>
      <w:r>
        <w:t xml:space="preserve"> </w:t>
      </w:r>
      <w:r w:rsidRPr="00E07B1B">
        <w:t>9 and 22 and 23 (3208)</w:t>
      </w:r>
    </w:p>
    <w:p w:rsidR="0025490C" w:rsidRPr="00E07B1B" w:rsidRDefault="0025490C" w:rsidP="00EE1CCB">
      <w:r w:rsidRPr="00E07B1B">
        <w:t>25</w:t>
      </w:r>
      <w:r>
        <w:t xml:space="preserve"> </w:t>
      </w:r>
      <w:r w:rsidRPr="00E07B1B">
        <w:t>limit 24 to (human and english language) (2338)</w:t>
      </w:r>
    </w:p>
    <w:p w:rsidR="0025490C" w:rsidRPr="00E07B1B" w:rsidRDefault="0025490C" w:rsidP="00EE1CCB">
      <w:r w:rsidRPr="00E07B1B">
        <w:t>26</w:t>
      </w:r>
      <w:r>
        <w:t xml:space="preserve"> </w:t>
      </w:r>
      <w:r w:rsidRPr="00E07B1B">
        <w:t xml:space="preserve">exp </w:t>
      </w:r>
      <w:r w:rsidR="0068074A">
        <w:t>“</w:t>
      </w:r>
      <w:r w:rsidRPr="00E07B1B">
        <w:t>SENSITIVITY AND SPECIFICITY</w:t>
      </w:r>
      <w:r w:rsidR="0068074A">
        <w:t>”</w:t>
      </w:r>
      <w:r w:rsidRPr="00E07B1B">
        <w:t>/ (186605)</w:t>
      </w:r>
    </w:p>
    <w:p w:rsidR="0025490C" w:rsidRPr="00E07B1B" w:rsidRDefault="0025490C" w:rsidP="00EE1CCB">
      <w:r w:rsidRPr="00E07B1B">
        <w:t>27</w:t>
      </w:r>
      <w:r>
        <w:t xml:space="preserve"> </w:t>
      </w:r>
      <w:r w:rsidRPr="00E07B1B">
        <w:t>sensitivity.tw. (575062)</w:t>
      </w:r>
    </w:p>
    <w:p w:rsidR="0025490C" w:rsidRPr="00E07B1B" w:rsidRDefault="0025490C" w:rsidP="00EE1CCB">
      <w:r w:rsidRPr="00E07B1B">
        <w:t>28</w:t>
      </w:r>
      <w:r>
        <w:t xml:space="preserve"> </w:t>
      </w:r>
      <w:r w:rsidRPr="00E07B1B">
        <w:t>specificity.tw. (348268)</w:t>
      </w:r>
    </w:p>
    <w:p w:rsidR="0025490C" w:rsidRPr="00E07B1B" w:rsidRDefault="0025490C" w:rsidP="00EE1CCB">
      <w:r w:rsidRPr="00E07B1B">
        <w:t>29</w:t>
      </w:r>
      <w:r>
        <w:t xml:space="preserve"> </w:t>
      </w:r>
      <w:r w:rsidRPr="00E07B1B">
        <w:t>((pre-test or pretest) adj probability).tw. (1639)</w:t>
      </w:r>
    </w:p>
    <w:p w:rsidR="0025490C" w:rsidRPr="00E07B1B" w:rsidRDefault="0025490C" w:rsidP="00EE1CCB">
      <w:r w:rsidRPr="00E07B1B">
        <w:t>30</w:t>
      </w:r>
      <w:r>
        <w:t xml:space="preserve"> </w:t>
      </w:r>
      <w:r w:rsidRPr="00E07B1B">
        <w:t>post-test probability.tw. (407)</w:t>
      </w:r>
    </w:p>
    <w:p w:rsidR="0025490C" w:rsidRPr="00E07B1B" w:rsidRDefault="0025490C" w:rsidP="00EE1CCB">
      <w:r w:rsidRPr="00E07B1B">
        <w:t>31</w:t>
      </w:r>
      <w:r>
        <w:t xml:space="preserve"> </w:t>
      </w:r>
      <w:r w:rsidRPr="00E07B1B">
        <w:t>predictive value$.tw. (81088)</w:t>
      </w:r>
    </w:p>
    <w:p w:rsidR="0025490C" w:rsidRPr="00E07B1B" w:rsidRDefault="0025490C" w:rsidP="00EE1CCB">
      <w:r w:rsidRPr="00E07B1B">
        <w:t>32</w:t>
      </w:r>
      <w:r>
        <w:t xml:space="preserve"> </w:t>
      </w:r>
      <w:r w:rsidRPr="00E07B1B">
        <w:t>likelihood ratio$.tw. (9652)</w:t>
      </w:r>
    </w:p>
    <w:p w:rsidR="0025490C" w:rsidRPr="00E07B1B" w:rsidRDefault="0025490C" w:rsidP="00EE1CCB">
      <w:r w:rsidRPr="00E07B1B">
        <w:t>33</w:t>
      </w:r>
      <w:r>
        <w:t xml:space="preserve"> </w:t>
      </w:r>
      <w:r w:rsidRPr="00E07B1B">
        <w:t>*Diagnostic Accuracy/ (4007)</w:t>
      </w:r>
    </w:p>
    <w:p w:rsidR="0025490C" w:rsidRPr="00E07B1B" w:rsidRDefault="0025490C" w:rsidP="00EE1CCB">
      <w:r w:rsidRPr="00E07B1B">
        <w:t>34</w:t>
      </w:r>
      <w:r>
        <w:t xml:space="preserve"> </w:t>
      </w:r>
      <w:r w:rsidRPr="00E07B1B">
        <w:t>or/26-33 (902132)</w:t>
      </w:r>
    </w:p>
    <w:p w:rsidR="0025490C" w:rsidRPr="00E07B1B" w:rsidRDefault="0025490C" w:rsidP="00EE1CCB">
      <w:r w:rsidRPr="00E07B1B">
        <w:t>35</w:t>
      </w:r>
      <w:r>
        <w:t xml:space="preserve"> </w:t>
      </w:r>
      <w:r w:rsidRPr="00E07B1B">
        <w:t>25 and 34 (391)</w:t>
      </w:r>
    </w:p>
    <w:p w:rsidR="0025490C" w:rsidRPr="00E07B1B" w:rsidRDefault="0025490C" w:rsidP="00EE1CCB"/>
    <w:p w:rsidR="0025490C" w:rsidRPr="00E07B1B" w:rsidRDefault="0025490C" w:rsidP="00EE1CCB">
      <w:pPr>
        <w:pStyle w:val="Heading3"/>
      </w:pPr>
      <w:r w:rsidRPr="00E07B1B">
        <w:t>Diagnostic test accuracy (randomised controlled trials)</w:t>
      </w:r>
    </w:p>
    <w:p w:rsidR="0025490C" w:rsidRPr="00E07B1B" w:rsidRDefault="0025490C" w:rsidP="00EE1CCB">
      <w:pPr>
        <w:keepNext/>
      </w:pPr>
      <w:r w:rsidRPr="00E07B1B">
        <w:t>Database: Ovid MEDLINE(R) In-Process &amp; Other Non-Indexed Citations, Ovid MEDLINE(R) Daily and Ovid MEDLINE(R) &lt;1946 to Present&gt;</w:t>
      </w:r>
    </w:p>
    <w:p w:rsidR="0025490C" w:rsidRPr="00E07B1B" w:rsidRDefault="0025490C" w:rsidP="00EE1CCB">
      <w:pPr>
        <w:keepNext/>
      </w:pPr>
      <w:r w:rsidRPr="00E07B1B">
        <w:t>Search Strategy:</w:t>
      </w:r>
    </w:p>
    <w:p w:rsidR="0025490C" w:rsidRPr="00E07B1B" w:rsidRDefault="0025490C" w:rsidP="00EE1CCB">
      <w:pPr>
        <w:keepNext/>
      </w:pPr>
      <w:r w:rsidRPr="00E07B1B">
        <w:t>--------------------------------------------------------------------------------</w:t>
      </w:r>
    </w:p>
    <w:p w:rsidR="0025490C" w:rsidRPr="00E07B1B" w:rsidRDefault="0025490C" w:rsidP="00EE1CCB">
      <w:pPr>
        <w:keepNext/>
      </w:pPr>
      <w:r w:rsidRPr="00E07B1B">
        <w:t>1</w:t>
      </w:r>
      <w:r>
        <w:t xml:space="preserve"> </w:t>
      </w:r>
      <w:r w:rsidRPr="00E07B1B">
        <w:t>exp Diabetes Mellitus, Type 2/ (76314)</w:t>
      </w:r>
    </w:p>
    <w:p w:rsidR="0025490C" w:rsidRPr="00E07B1B" w:rsidRDefault="0025490C" w:rsidP="00EE1CCB">
      <w:pPr>
        <w:keepNext/>
      </w:pPr>
      <w:r w:rsidRPr="00E07B1B">
        <w:t>2</w:t>
      </w:r>
      <w:r>
        <w:t xml:space="preserve"> </w:t>
      </w:r>
      <w:r w:rsidRPr="00E07B1B">
        <w:t>(diabet$ adj5 type 2).tw. (61768)</w:t>
      </w:r>
    </w:p>
    <w:p w:rsidR="0025490C" w:rsidRPr="00E07B1B" w:rsidRDefault="0025490C" w:rsidP="00EE1CCB">
      <w:pPr>
        <w:keepNext/>
      </w:pPr>
      <w:r w:rsidRPr="00E07B1B">
        <w:t>3</w:t>
      </w:r>
      <w:r>
        <w:t xml:space="preserve"> </w:t>
      </w:r>
      <w:r w:rsidRPr="00E07B1B">
        <w:t>(diabet$ adj5 type II).tw. (7327)</w:t>
      </w:r>
    </w:p>
    <w:p w:rsidR="0025490C" w:rsidRPr="00E07B1B" w:rsidRDefault="0025490C" w:rsidP="00EE1CCB">
      <w:pPr>
        <w:keepNext/>
      </w:pPr>
      <w:r w:rsidRPr="00E07B1B">
        <w:t>4</w:t>
      </w:r>
      <w:r>
        <w:t xml:space="preserve"> </w:t>
      </w:r>
      <w:r w:rsidRPr="00E07B1B">
        <w:t>maturity onset diabetes mellitus.tw. (118)</w:t>
      </w:r>
    </w:p>
    <w:p w:rsidR="0025490C" w:rsidRPr="00E07B1B" w:rsidRDefault="0025490C" w:rsidP="00EE1CCB">
      <w:pPr>
        <w:keepNext/>
      </w:pPr>
      <w:r w:rsidRPr="00E07B1B">
        <w:t>5</w:t>
      </w:r>
      <w:r>
        <w:t xml:space="preserve"> </w:t>
      </w:r>
      <w:r w:rsidRPr="00E07B1B">
        <w:t>(diabet$ adj3 non-insulin-dependent).tw. (10065)</w:t>
      </w:r>
    </w:p>
    <w:p w:rsidR="0025490C" w:rsidRPr="00E07B1B" w:rsidRDefault="0025490C" w:rsidP="00EE1CCB">
      <w:pPr>
        <w:keepNext/>
      </w:pPr>
      <w:r w:rsidRPr="00E07B1B">
        <w:t>6</w:t>
      </w:r>
      <w:r>
        <w:t xml:space="preserve"> </w:t>
      </w:r>
      <w:r w:rsidRPr="00E07B1B">
        <w:t>(diabet$ adj5 type ii).tw. (7327)</w:t>
      </w:r>
    </w:p>
    <w:p w:rsidR="0025490C" w:rsidRPr="00E07B1B" w:rsidRDefault="0025490C" w:rsidP="00EE1CCB">
      <w:r w:rsidRPr="00E07B1B">
        <w:t>7</w:t>
      </w:r>
      <w:r>
        <w:t xml:space="preserve"> </w:t>
      </w:r>
      <w:r w:rsidRPr="00E07B1B">
        <w:t>stable diabetes mellitus.tw. (16)</w:t>
      </w:r>
    </w:p>
    <w:p w:rsidR="0025490C" w:rsidRPr="00E07B1B" w:rsidRDefault="0025490C" w:rsidP="00EE1CCB">
      <w:r w:rsidRPr="00E07B1B">
        <w:t>8</w:t>
      </w:r>
      <w:r>
        <w:t xml:space="preserve"> </w:t>
      </w:r>
      <w:r w:rsidRPr="00E07B1B">
        <w:t>niddm.tw. (6742)</w:t>
      </w:r>
    </w:p>
    <w:p w:rsidR="0025490C" w:rsidRPr="00E07B1B" w:rsidRDefault="0025490C" w:rsidP="00EE1CCB">
      <w:r w:rsidRPr="00E07B1B">
        <w:t>9</w:t>
      </w:r>
      <w:r>
        <w:t xml:space="preserve"> </w:t>
      </w:r>
      <w:r w:rsidRPr="00E07B1B">
        <w:t>noninsulin-dependent diabet$.tw. (1245)</w:t>
      </w:r>
    </w:p>
    <w:p w:rsidR="0025490C" w:rsidRPr="00E07B1B" w:rsidRDefault="0025490C" w:rsidP="00EE1CCB">
      <w:r w:rsidRPr="00E07B1B">
        <w:t>10</w:t>
      </w:r>
      <w:r>
        <w:t xml:space="preserve"> </w:t>
      </w:r>
      <w:r w:rsidRPr="00E07B1B">
        <w:t>non insulin-dependent diabet$.tw. (9674)</w:t>
      </w:r>
    </w:p>
    <w:p w:rsidR="0025490C" w:rsidRPr="00E07B1B" w:rsidRDefault="0025490C" w:rsidP="00EE1CCB">
      <w:r w:rsidRPr="00E07B1B">
        <w:t>11</w:t>
      </w:r>
      <w:r>
        <w:t xml:space="preserve"> </w:t>
      </w:r>
      <w:r w:rsidRPr="00E07B1B">
        <w:t>diabetes mellitus adult onset.tw. (3)</w:t>
      </w:r>
    </w:p>
    <w:p w:rsidR="0025490C" w:rsidRPr="00E07B1B" w:rsidRDefault="0025490C" w:rsidP="00EE1CCB">
      <w:r w:rsidRPr="00E07B1B">
        <w:t>12</w:t>
      </w:r>
      <w:r>
        <w:t xml:space="preserve"> </w:t>
      </w:r>
      <w:r w:rsidRPr="00E07B1B">
        <w:t>ketosis-resistant diabetes mellitus.tw. (1)</w:t>
      </w:r>
    </w:p>
    <w:p w:rsidR="0025490C" w:rsidRPr="00E07B1B" w:rsidRDefault="0025490C" w:rsidP="00EE1CCB">
      <w:r w:rsidRPr="00E07B1B">
        <w:t>13</w:t>
      </w:r>
      <w:r>
        <w:t xml:space="preserve"> </w:t>
      </w:r>
      <w:r w:rsidRPr="00E07B1B">
        <w:t>(diabet$ adj5 type two).tw. (35)</w:t>
      </w:r>
    </w:p>
    <w:p w:rsidR="0025490C" w:rsidRPr="00E07B1B" w:rsidRDefault="0025490C" w:rsidP="00EE1CCB">
      <w:r w:rsidRPr="00E07B1B">
        <w:t>14</w:t>
      </w:r>
      <w:r>
        <w:t xml:space="preserve"> </w:t>
      </w:r>
      <w:r w:rsidRPr="00E07B1B">
        <w:t>or/1-13 (102243)</w:t>
      </w:r>
    </w:p>
    <w:p w:rsidR="0025490C" w:rsidRPr="00E07B1B" w:rsidRDefault="0025490C" w:rsidP="00EE1CCB">
      <w:r w:rsidRPr="00E07B1B">
        <w:t>15</w:t>
      </w:r>
      <w:r>
        <w:t xml:space="preserve"> </w:t>
      </w:r>
      <w:r w:rsidRPr="00E07B1B">
        <w:t>fasting plasma glucose.tw. (6679)</w:t>
      </w:r>
    </w:p>
    <w:p w:rsidR="0025490C" w:rsidRPr="00E07B1B" w:rsidRDefault="0025490C" w:rsidP="00EE1CCB">
      <w:r w:rsidRPr="00E07B1B">
        <w:t>16</w:t>
      </w:r>
      <w:r>
        <w:t xml:space="preserve"> </w:t>
      </w:r>
      <w:r w:rsidRPr="00E07B1B">
        <w:t>exp Blood Glucose/ (121244)</w:t>
      </w:r>
    </w:p>
    <w:p w:rsidR="0025490C" w:rsidRPr="00E07B1B" w:rsidRDefault="0025490C" w:rsidP="00EE1CCB">
      <w:r w:rsidRPr="00E07B1B">
        <w:t>17</w:t>
      </w:r>
      <w:r>
        <w:t xml:space="preserve"> </w:t>
      </w:r>
      <w:r w:rsidRPr="00E07B1B">
        <w:t>fasting blood glucose.tw. (5446)</w:t>
      </w:r>
    </w:p>
    <w:p w:rsidR="0025490C" w:rsidRPr="00E07B1B" w:rsidRDefault="0025490C" w:rsidP="00EE1CCB">
      <w:r w:rsidRPr="00E07B1B">
        <w:t>18</w:t>
      </w:r>
      <w:r>
        <w:t xml:space="preserve"> </w:t>
      </w:r>
      <w:r w:rsidRPr="00E07B1B">
        <w:t>fasting glucose.tw. (8934)</w:t>
      </w:r>
    </w:p>
    <w:p w:rsidR="0025490C" w:rsidRPr="00E07B1B" w:rsidRDefault="0025490C" w:rsidP="00EE1CCB">
      <w:r w:rsidRPr="00E07B1B">
        <w:t>19</w:t>
      </w:r>
      <w:r>
        <w:t xml:space="preserve"> </w:t>
      </w:r>
      <w:r w:rsidRPr="00E07B1B">
        <w:t>fpg.tw. (2918)</w:t>
      </w:r>
    </w:p>
    <w:p w:rsidR="0025490C" w:rsidRPr="00E07B1B" w:rsidRDefault="0025490C" w:rsidP="00EE1CCB">
      <w:r w:rsidRPr="00E07B1B">
        <w:t>20</w:t>
      </w:r>
      <w:r>
        <w:t xml:space="preserve"> </w:t>
      </w:r>
      <w:r w:rsidRPr="00E07B1B">
        <w:t>random blood glucose.tw. (253)</w:t>
      </w:r>
    </w:p>
    <w:p w:rsidR="0025490C" w:rsidRPr="00E07B1B" w:rsidRDefault="0025490C" w:rsidP="00EE1CCB">
      <w:r w:rsidRPr="00E07B1B">
        <w:t>21</w:t>
      </w:r>
      <w:r>
        <w:t xml:space="preserve"> </w:t>
      </w:r>
      <w:r w:rsidRPr="00E07B1B">
        <w:t>HbA1C.tw. (11908)</w:t>
      </w:r>
    </w:p>
    <w:p w:rsidR="0025490C" w:rsidRPr="00E07B1B" w:rsidRDefault="0025490C" w:rsidP="00EE1CCB">
      <w:r w:rsidRPr="00E07B1B">
        <w:t>22</w:t>
      </w:r>
      <w:r>
        <w:t xml:space="preserve"> </w:t>
      </w:r>
      <w:r w:rsidRPr="00E07B1B">
        <w:t>Hb A1C.tw. (332)</w:t>
      </w:r>
    </w:p>
    <w:p w:rsidR="0025490C" w:rsidRPr="00E07B1B" w:rsidRDefault="0025490C" w:rsidP="00EE1CCB">
      <w:r w:rsidRPr="00E07B1B">
        <w:t>23</w:t>
      </w:r>
      <w:r>
        <w:t xml:space="preserve"> </w:t>
      </w:r>
      <w:r w:rsidRPr="00E07B1B">
        <w:t>exp Hemoglobin A, Glycosylated/ (20399)</w:t>
      </w:r>
    </w:p>
    <w:p w:rsidR="0025490C" w:rsidRPr="00E07B1B" w:rsidRDefault="0025490C" w:rsidP="00EE1CCB">
      <w:r w:rsidRPr="00E07B1B">
        <w:t>24</w:t>
      </w:r>
      <w:r>
        <w:t xml:space="preserve"> </w:t>
      </w:r>
      <w:r w:rsidRPr="00E07B1B">
        <w:t>hb a1c.tw. (332)</w:t>
      </w:r>
    </w:p>
    <w:p w:rsidR="0025490C" w:rsidRPr="00E07B1B" w:rsidRDefault="0025490C" w:rsidP="00EE1CCB">
      <w:r w:rsidRPr="00E07B1B">
        <w:t>25</w:t>
      </w:r>
      <w:r>
        <w:t xml:space="preserve"> </w:t>
      </w:r>
      <w:r w:rsidRPr="00E07B1B">
        <w:t>hb a1b.tw. (7)</w:t>
      </w:r>
    </w:p>
    <w:p w:rsidR="0025490C" w:rsidRPr="00E07B1B" w:rsidRDefault="0025490C" w:rsidP="00EE1CCB">
      <w:r w:rsidRPr="00E07B1B">
        <w:t>26</w:t>
      </w:r>
      <w:r>
        <w:t xml:space="preserve"> </w:t>
      </w:r>
      <w:r w:rsidRPr="00E07B1B">
        <w:t>hba1.tw. (1562)</w:t>
      </w:r>
    </w:p>
    <w:p w:rsidR="0025490C" w:rsidRPr="00E07B1B" w:rsidRDefault="0025490C" w:rsidP="00EE1CCB">
      <w:r w:rsidRPr="00E07B1B">
        <w:t>27</w:t>
      </w:r>
      <w:r>
        <w:t xml:space="preserve"> </w:t>
      </w:r>
      <w:r w:rsidRPr="00E07B1B">
        <w:t>H?emoglobin A1.tw. (494)</w:t>
      </w:r>
    </w:p>
    <w:p w:rsidR="0025490C" w:rsidRPr="00E07B1B" w:rsidRDefault="0025490C" w:rsidP="00EE1CCB">
      <w:r w:rsidRPr="00E07B1B">
        <w:t>28</w:t>
      </w:r>
      <w:r>
        <w:t xml:space="preserve"> </w:t>
      </w:r>
      <w:r w:rsidRPr="00E07B1B">
        <w:t>H?emoglobin A 1.tw. (38)</w:t>
      </w:r>
    </w:p>
    <w:p w:rsidR="0025490C" w:rsidRPr="00E07B1B" w:rsidRDefault="0025490C" w:rsidP="00EE1CCB">
      <w:r w:rsidRPr="00E07B1B">
        <w:t>29</w:t>
      </w:r>
      <w:r>
        <w:t xml:space="preserve"> </w:t>
      </w:r>
      <w:r w:rsidRPr="00E07B1B">
        <w:t>glycohemoglobin a.tw. (14)</w:t>
      </w:r>
    </w:p>
    <w:p w:rsidR="0025490C" w:rsidRPr="00E07B1B" w:rsidRDefault="0025490C" w:rsidP="00EE1CCB">
      <w:r w:rsidRPr="00E07B1B">
        <w:t>30</w:t>
      </w:r>
      <w:r>
        <w:t xml:space="preserve"> </w:t>
      </w:r>
      <w:r w:rsidRPr="00E07B1B">
        <w:t>glycated hemoglobins.tw. (28)</w:t>
      </w:r>
    </w:p>
    <w:p w:rsidR="0025490C" w:rsidRPr="00E07B1B" w:rsidRDefault="0025490C" w:rsidP="00EE1CCB">
      <w:r w:rsidRPr="00E07B1B">
        <w:t>31</w:t>
      </w:r>
      <w:r>
        <w:t xml:space="preserve"> </w:t>
      </w:r>
      <w:r w:rsidRPr="00E07B1B">
        <w:t>(glycated adj3 h?emoglobin$).tw. (4050)</w:t>
      </w:r>
    </w:p>
    <w:p w:rsidR="0025490C" w:rsidRPr="00E07B1B" w:rsidRDefault="0025490C" w:rsidP="00EE1CCB">
      <w:r w:rsidRPr="00E07B1B">
        <w:t>32</w:t>
      </w:r>
      <w:r>
        <w:t xml:space="preserve"> </w:t>
      </w:r>
      <w:r w:rsidRPr="00E07B1B">
        <w:t>hb a1.tw. (92)</w:t>
      </w:r>
    </w:p>
    <w:p w:rsidR="0025490C" w:rsidRPr="00E07B1B" w:rsidRDefault="0025490C" w:rsidP="00EE1CCB">
      <w:r w:rsidRPr="00E07B1B">
        <w:t>33</w:t>
      </w:r>
      <w:r>
        <w:t xml:space="preserve"> </w:t>
      </w:r>
      <w:r w:rsidRPr="00E07B1B">
        <w:t>Random glucose.tw. (119)</w:t>
      </w:r>
    </w:p>
    <w:p w:rsidR="0025490C" w:rsidRPr="00E07B1B" w:rsidRDefault="0025490C" w:rsidP="00EE1CCB">
      <w:r w:rsidRPr="00E07B1B">
        <w:t>34</w:t>
      </w:r>
      <w:r>
        <w:t xml:space="preserve"> </w:t>
      </w:r>
      <w:r w:rsidRPr="00E07B1B">
        <w:t>RBG.tw. (210)</w:t>
      </w:r>
    </w:p>
    <w:p w:rsidR="0025490C" w:rsidRPr="00E07B1B" w:rsidRDefault="0025490C" w:rsidP="00EE1CCB">
      <w:r w:rsidRPr="00E07B1B">
        <w:t>35</w:t>
      </w:r>
      <w:r>
        <w:t xml:space="preserve"> </w:t>
      </w:r>
      <w:r w:rsidRPr="00E07B1B">
        <w:t>exp Glucose Tolerance Test/ (27817)</w:t>
      </w:r>
    </w:p>
    <w:p w:rsidR="0025490C" w:rsidRPr="00E07B1B" w:rsidRDefault="0025490C" w:rsidP="00EE1CCB">
      <w:r w:rsidRPr="00E07B1B">
        <w:t>36</w:t>
      </w:r>
      <w:r>
        <w:t xml:space="preserve"> </w:t>
      </w:r>
      <w:r w:rsidRPr="00E07B1B">
        <w:t>glucose challenge test.tw. (378)</w:t>
      </w:r>
    </w:p>
    <w:p w:rsidR="0025490C" w:rsidRPr="00E07B1B" w:rsidRDefault="0025490C" w:rsidP="00EE1CCB">
      <w:r w:rsidRPr="00E07B1B">
        <w:t>37</w:t>
      </w:r>
      <w:r>
        <w:t xml:space="preserve"> </w:t>
      </w:r>
      <w:r w:rsidRPr="00E07B1B">
        <w:t>Glucose Tolerance Test.tw. (12791)</w:t>
      </w:r>
    </w:p>
    <w:p w:rsidR="0025490C" w:rsidRPr="00E07B1B" w:rsidRDefault="0025490C" w:rsidP="00EE1CCB">
      <w:r w:rsidRPr="00E07B1B">
        <w:t>38</w:t>
      </w:r>
      <w:r>
        <w:t xml:space="preserve"> </w:t>
      </w:r>
      <w:r w:rsidRPr="00E07B1B">
        <w:t>or/15-37 (161311)</w:t>
      </w:r>
    </w:p>
    <w:p w:rsidR="0025490C" w:rsidRPr="00E07B1B" w:rsidRDefault="0025490C" w:rsidP="00EE1CCB">
      <w:r w:rsidRPr="00E07B1B">
        <w:t>39</w:t>
      </w:r>
      <w:r>
        <w:t xml:space="preserve"> </w:t>
      </w:r>
      <w:r w:rsidRPr="00E07B1B">
        <w:t>14 and 38 (32862)</w:t>
      </w:r>
    </w:p>
    <w:p w:rsidR="0025490C" w:rsidRPr="00E07B1B" w:rsidRDefault="0025490C" w:rsidP="00EE1CCB">
      <w:r w:rsidRPr="00E07B1B">
        <w:t>40</w:t>
      </w:r>
      <w:r>
        <w:t xml:space="preserve"> </w:t>
      </w:r>
      <w:r w:rsidRPr="00E07B1B">
        <w:t>exp Pregnancy/ (681069)</w:t>
      </w:r>
    </w:p>
    <w:p w:rsidR="0025490C" w:rsidRPr="00E07B1B" w:rsidRDefault="0025490C" w:rsidP="00EE1CCB">
      <w:r w:rsidRPr="00E07B1B">
        <w:t>41</w:t>
      </w:r>
      <w:r>
        <w:t xml:space="preserve"> </w:t>
      </w:r>
      <w:r w:rsidRPr="00E07B1B">
        <w:t>exp Pregnancy in Diabetics/ (10739)</w:t>
      </w:r>
    </w:p>
    <w:p w:rsidR="0025490C" w:rsidRPr="00E07B1B" w:rsidRDefault="0025490C" w:rsidP="00EE1CCB">
      <w:r w:rsidRPr="00E07B1B">
        <w:t>42</w:t>
      </w:r>
      <w:r>
        <w:t xml:space="preserve"> </w:t>
      </w:r>
      <w:r w:rsidRPr="00E07B1B">
        <w:t>Pregnan$.tw. (345732)</w:t>
      </w:r>
    </w:p>
    <w:p w:rsidR="0025490C" w:rsidRPr="00E07B1B" w:rsidRDefault="0025490C" w:rsidP="00EE1CCB">
      <w:r w:rsidRPr="00E07B1B">
        <w:t>43</w:t>
      </w:r>
      <w:r>
        <w:t xml:space="preserve"> </w:t>
      </w:r>
      <w:r w:rsidRPr="00E07B1B">
        <w:t>gestation$.tw. (136196)</w:t>
      </w:r>
    </w:p>
    <w:p w:rsidR="0025490C" w:rsidRPr="00E07B1B" w:rsidRDefault="0025490C" w:rsidP="00EE1CCB">
      <w:r w:rsidRPr="00E07B1B">
        <w:t>44</w:t>
      </w:r>
      <w:r>
        <w:t xml:space="preserve"> </w:t>
      </w:r>
      <w:r w:rsidRPr="00E07B1B">
        <w:t>or/40-43 (787032)</w:t>
      </w:r>
    </w:p>
    <w:p w:rsidR="0025490C" w:rsidRPr="00E07B1B" w:rsidRDefault="0025490C" w:rsidP="00EE1CCB">
      <w:r w:rsidRPr="00E07B1B">
        <w:t>45</w:t>
      </w:r>
      <w:r>
        <w:t xml:space="preserve"> </w:t>
      </w:r>
      <w:r w:rsidRPr="00E07B1B">
        <w:t>39 and 44 (1166)</w:t>
      </w:r>
    </w:p>
    <w:p w:rsidR="0025490C" w:rsidRPr="00E07B1B" w:rsidRDefault="0025490C" w:rsidP="00EE1CCB">
      <w:r w:rsidRPr="00E07B1B">
        <w:t>46</w:t>
      </w:r>
      <w:r>
        <w:t xml:space="preserve"> </w:t>
      </w:r>
      <w:r w:rsidRPr="00E07B1B">
        <w:t>exp animals/ not humans.sh. (3784287)</w:t>
      </w:r>
    </w:p>
    <w:p w:rsidR="0025490C" w:rsidRDefault="0025490C" w:rsidP="00EE1CCB">
      <w:r w:rsidRPr="00E07B1B">
        <w:t>47</w:t>
      </w:r>
      <w:r>
        <w:t xml:space="preserve"> </w:t>
      </w:r>
      <w:r w:rsidRPr="00E07B1B">
        <w:t>45 not 46 (1070)</w:t>
      </w:r>
    </w:p>
    <w:p w:rsidR="0025490C" w:rsidRDefault="0025490C" w:rsidP="00844C60">
      <w:pPr>
        <w:pStyle w:val="Heading2"/>
        <w:spacing w:after="240"/>
      </w:pPr>
      <w:bookmarkStart w:id="376" w:name="_Toc358366887"/>
      <w:bookmarkStart w:id="377" w:name="_Toc363717743"/>
      <w:bookmarkStart w:id="378" w:name="_Toc402873633"/>
      <w:bookmarkStart w:id="379" w:name="_Toc403469694"/>
      <w:r w:rsidRPr="00E07B1B">
        <w:t>Appendix B</w:t>
      </w:r>
      <w:r>
        <w:t>:</w:t>
      </w:r>
      <w:r w:rsidRPr="00E07B1B">
        <w:t xml:space="preserve"> Guideline Development Team</w:t>
      </w:r>
      <w:bookmarkEnd w:id="376"/>
      <w:bookmarkEnd w:id="377"/>
      <w:bookmarkEnd w:id="378"/>
      <w:bookmarkEnd w:id="379"/>
    </w:p>
    <w:tbl>
      <w:tblPr>
        <w:tblW w:w="4941"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4394"/>
        <w:gridCol w:w="5014"/>
      </w:tblGrid>
      <w:tr w:rsidR="0025490C" w:rsidRPr="00844C60" w:rsidTr="00C50E54">
        <w:trPr>
          <w:cantSplit/>
        </w:trPr>
        <w:tc>
          <w:tcPr>
            <w:tcW w:w="2335" w:type="pct"/>
            <w:tcBorders>
              <w:top w:val="single" w:sz="4" w:space="0" w:color="auto"/>
              <w:bottom w:val="single" w:sz="4" w:space="0" w:color="auto"/>
            </w:tcBorders>
            <w:tcMar>
              <w:top w:w="0" w:type="dxa"/>
              <w:left w:w="108" w:type="dxa"/>
              <w:bottom w:w="0" w:type="dxa"/>
              <w:right w:w="108" w:type="dxa"/>
            </w:tcMar>
          </w:tcPr>
          <w:p w:rsidR="0025490C" w:rsidRPr="00844C60" w:rsidRDefault="0025490C" w:rsidP="00844C60">
            <w:pPr>
              <w:pStyle w:val="TableText"/>
              <w:rPr>
                <w:b/>
              </w:rPr>
            </w:pPr>
            <w:r w:rsidRPr="00844C60">
              <w:rPr>
                <w:b/>
              </w:rPr>
              <w:t>Member</w:t>
            </w:r>
          </w:p>
        </w:tc>
        <w:tc>
          <w:tcPr>
            <w:tcW w:w="2665" w:type="pct"/>
            <w:tcBorders>
              <w:top w:val="single" w:sz="4" w:space="0" w:color="auto"/>
              <w:bottom w:val="single" w:sz="4" w:space="0" w:color="auto"/>
            </w:tcBorders>
          </w:tcPr>
          <w:p w:rsidR="0025490C" w:rsidRPr="00844C60" w:rsidRDefault="0025490C" w:rsidP="00844C60">
            <w:pPr>
              <w:pStyle w:val="TableText"/>
              <w:rPr>
                <w:b/>
              </w:rPr>
            </w:pPr>
            <w:r w:rsidRPr="00844C60">
              <w:rPr>
                <w:b/>
              </w:rPr>
              <w:t>Organisation</w:t>
            </w:r>
          </w:p>
        </w:tc>
      </w:tr>
      <w:tr w:rsidR="0025490C" w:rsidRPr="00E07B1B" w:rsidTr="00C50E54">
        <w:trPr>
          <w:cantSplit/>
        </w:trPr>
        <w:tc>
          <w:tcPr>
            <w:tcW w:w="2335" w:type="pct"/>
            <w:tcBorders>
              <w:top w:val="single" w:sz="4" w:space="0" w:color="auto"/>
              <w:bottom w:val="nil"/>
            </w:tcBorders>
            <w:shd w:val="clear" w:color="auto" w:fill="F2F2F2" w:themeFill="background1" w:themeFillShade="F2"/>
            <w:tcMar>
              <w:top w:w="0" w:type="dxa"/>
              <w:left w:w="108" w:type="dxa"/>
              <w:bottom w:w="0" w:type="dxa"/>
              <w:right w:w="108" w:type="dxa"/>
            </w:tcMar>
          </w:tcPr>
          <w:p w:rsidR="0025490C" w:rsidRPr="00E07B1B" w:rsidRDefault="0025490C" w:rsidP="00844C60">
            <w:pPr>
              <w:pStyle w:val="TableText"/>
            </w:pPr>
            <w:r w:rsidRPr="00E07B1B">
              <w:t>Ken Clark</w:t>
            </w:r>
          </w:p>
        </w:tc>
        <w:tc>
          <w:tcPr>
            <w:tcW w:w="2665" w:type="pct"/>
            <w:tcBorders>
              <w:top w:val="single" w:sz="4" w:space="0" w:color="auto"/>
              <w:bottom w:val="nil"/>
            </w:tcBorders>
            <w:shd w:val="clear" w:color="auto" w:fill="F2F2F2" w:themeFill="background1" w:themeFillShade="F2"/>
          </w:tcPr>
          <w:p w:rsidR="0025490C" w:rsidRPr="00E07B1B" w:rsidRDefault="0025490C" w:rsidP="00844C60">
            <w:pPr>
              <w:pStyle w:val="TableText"/>
            </w:pPr>
            <w:r w:rsidRPr="00E07B1B">
              <w:t>Chair</w:t>
            </w:r>
          </w:p>
        </w:tc>
      </w:tr>
      <w:tr w:rsidR="0025490C" w:rsidRPr="00E07B1B" w:rsidTr="00C50E54">
        <w:trPr>
          <w:cantSplit/>
        </w:trPr>
        <w:tc>
          <w:tcPr>
            <w:tcW w:w="2335" w:type="pct"/>
            <w:tcBorders>
              <w:top w:val="nil"/>
              <w:bottom w:val="nil"/>
            </w:tcBorders>
            <w:tcMar>
              <w:top w:w="0" w:type="dxa"/>
              <w:left w:w="108" w:type="dxa"/>
              <w:bottom w:w="0" w:type="dxa"/>
              <w:right w:w="108" w:type="dxa"/>
            </w:tcMar>
          </w:tcPr>
          <w:p w:rsidR="0025490C" w:rsidRPr="00E07B1B" w:rsidRDefault="0025490C" w:rsidP="00C50E54">
            <w:pPr>
              <w:pStyle w:val="TableText"/>
            </w:pPr>
            <w:r w:rsidRPr="00E07B1B">
              <w:t>Norma Campbell</w:t>
            </w:r>
            <w:r w:rsidR="00C50E54">
              <w:br/>
              <w:t>Nicholette Emerson</w:t>
            </w:r>
          </w:p>
        </w:tc>
        <w:tc>
          <w:tcPr>
            <w:tcW w:w="2665" w:type="pct"/>
            <w:tcBorders>
              <w:top w:val="nil"/>
              <w:bottom w:val="nil"/>
            </w:tcBorders>
          </w:tcPr>
          <w:p w:rsidR="0025490C" w:rsidRPr="00E07B1B" w:rsidRDefault="0025490C" w:rsidP="00844C60">
            <w:pPr>
              <w:pStyle w:val="TableText"/>
            </w:pPr>
            <w:r w:rsidRPr="00E07B1B">
              <w:t>New Zealand College of Midwives</w:t>
            </w:r>
          </w:p>
        </w:tc>
      </w:tr>
      <w:tr w:rsidR="0025490C" w:rsidRPr="00E07B1B" w:rsidTr="00C50E54">
        <w:trPr>
          <w:cantSplit/>
        </w:trPr>
        <w:tc>
          <w:tcPr>
            <w:tcW w:w="2335" w:type="pct"/>
            <w:tcBorders>
              <w:top w:val="nil"/>
              <w:bottom w:val="nil"/>
            </w:tcBorders>
            <w:shd w:val="clear" w:color="auto" w:fill="F2F2F2" w:themeFill="background1" w:themeFillShade="F2"/>
            <w:tcMar>
              <w:top w:w="0" w:type="dxa"/>
              <w:left w:w="108" w:type="dxa"/>
              <w:bottom w:w="0" w:type="dxa"/>
              <w:right w:w="108" w:type="dxa"/>
            </w:tcMar>
          </w:tcPr>
          <w:p w:rsidR="0025490C" w:rsidRPr="00E07B1B" w:rsidRDefault="0025490C" w:rsidP="00844C60">
            <w:pPr>
              <w:pStyle w:val="TableText"/>
            </w:pPr>
            <w:r w:rsidRPr="00E07B1B">
              <w:t>Ross Lawrenson</w:t>
            </w:r>
          </w:p>
        </w:tc>
        <w:tc>
          <w:tcPr>
            <w:tcW w:w="2665" w:type="pct"/>
            <w:tcBorders>
              <w:top w:val="nil"/>
              <w:bottom w:val="nil"/>
            </w:tcBorders>
            <w:shd w:val="clear" w:color="auto" w:fill="F2F2F2" w:themeFill="background1" w:themeFillShade="F2"/>
          </w:tcPr>
          <w:p w:rsidR="0025490C" w:rsidRPr="00E07B1B" w:rsidRDefault="0025490C" w:rsidP="00844C60">
            <w:pPr>
              <w:pStyle w:val="TableText"/>
            </w:pPr>
            <w:r w:rsidRPr="00E07B1B">
              <w:t>National Screening Advisory Committee</w:t>
            </w:r>
          </w:p>
        </w:tc>
      </w:tr>
      <w:tr w:rsidR="0025490C" w:rsidRPr="00E07B1B" w:rsidTr="00C50E54">
        <w:trPr>
          <w:cantSplit/>
        </w:trPr>
        <w:tc>
          <w:tcPr>
            <w:tcW w:w="2335" w:type="pct"/>
            <w:tcBorders>
              <w:top w:val="nil"/>
              <w:bottom w:val="nil"/>
            </w:tcBorders>
            <w:tcMar>
              <w:top w:w="0" w:type="dxa"/>
              <w:left w:w="108" w:type="dxa"/>
              <w:bottom w:w="0" w:type="dxa"/>
              <w:right w:w="108" w:type="dxa"/>
            </w:tcMar>
          </w:tcPr>
          <w:p w:rsidR="0025490C" w:rsidRPr="00E07B1B" w:rsidRDefault="0025490C" w:rsidP="00C50E54">
            <w:pPr>
              <w:pStyle w:val="TableText"/>
            </w:pPr>
            <w:r w:rsidRPr="00E07B1B">
              <w:t>Rose Elder</w:t>
            </w:r>
          </w:p>
        </w:tc>
        <w:tc>
          <w:tcPr>
            <w:tcW w:w="2665" w:type="pct"/>
            <w:tcBorders>
              <w:top w:val="nil"/>
              <w:bottom w:val="nil"/>
            </w:tcBorders>
          </w:tcPr>
          <w:p w:rsidR="0025490C" w:rsidRPr="00E07B1B" w:rsidRDefault="0025490C" w:rsidP="00844C60">
            <w:pPr>
              <w:pStyle w:val="TableText"/>
            </w:pPr>
            <w:r w:rsidRPr="00E07B1B">
              <w:t>Royal Australia</w:t>
            </w:r>
            <w:r>
              <w:t>n</w:t>
            </w:r>
            <w:r w:rsidRPr="00E07B1B">
              <w:t xml:space="preserve"> and New Zealand College of Obstetrics and Gynaecology</w:t>
            </w:r>
          </w:p>
        </w:tc>
      </w:tr>
      <w:tr w:rsidR="0025490C" w:rsidRPr="00E07B1B" w:rsidTr="00C50E54">
        <w:trPr>
          <w:cantSplit/>
        </w:trPr>
        <w:tc>
          <w:tcPr>
            <w:tcW w:w="2335" w:type="pct"/>
            <w:tcBorders>
              <w:top w:val="nil"/>
              <w:bottom w:val="nil"/>
            </w:tcBorders>
            <w:shd w:val="clear" w:color="auto" w:fill="F2F2F2" w:themeFill="background1" w:themeFillShade="F2"/>
            <w:tcMar>
              <w:top w:w="0" w:type="dxa"/>
              <w:left w:w="108" w:type="dxa"/>
              <w:bottom w:w="0" w:type="dxa"/>
              <w:right w:w="108" w:type="dxa"/>
            </w:tcMar>
          </w:tcPr>
          <w:p w:rsidR="0025490C" w:rsidRPr="00E07B1B" w:rsidRDefault="00C50E54" w:rsidP="00844C60">
            <w:pPr>
              <w:pStyle w:val="TableText"/>
            </w:pPr>
            <w:r>
              <w:t>Michelle Downie</w:t>
            </w:r>
          </w:p>
        </w:tc>
        <w:tc>
          <w:tcPr>
            <w:tcW w:w="2665" w:type="pct"/>
            <w:tcBorders>
              <w:top w:val="nil"/>
              <w:bottom w:val="nil"/>
            </w:tcBorders>
            <w:shd w:val="clear" w:color="auto" w:fill="F2F2F2" w:themeFill="background1" w:themeFillShade="F2"/>
          </w:tcPr>
          <w:p w:rsidR="0025490C" w:rsidRPr="00E07B1B" w:rsidRDefault="0025490C" w:rsidP="00844C60">
            <w:pPr>
              <w:pStyle w:val="TableText"/>
            </w:pPr>
            <w:r w:rsidRPr="00E07B1B">
              <w:t>New Zealand Society for the Study of Diabetes</w:t>
            </w:r>
          </w:p>
        </w:tc>
      </w:tr>
      <w:tr w:rsidR="0025490C" w:rsidRPr="00E07B1B" w:rsidTr="00C50E54">
        <w:trPr>
          <w:cantSplit/>
        </w:trPr>
        <w:tc>
          <w:tcPr>
            <w:tcW w:w="2335" w:type="pct"/>
            <w:tcBorders>
              <w:top w:val="nil"/>
              <w:bottom w:val="nil"/>
            </w:tcBorders>
            <w:tcMar>
              <w:top w:w="0" w:type="dxa"/>
              <w:left w:w="108" w:type="dxa"/>
              <w:bottom w:w="0" w:type="dxa"/>
              <w:right w:w="108" w:type="dxa"/>
            </w:tcMar>
          </w:tcPr>
          <w:p w:rsidR="0025490C" w:rsidRPr="00E07B1B" w:rsidRDefault="0025490C" w:rsidP="00844C60">
            <w:pPr>
              <w:pStyle w:val="TableText"/>
            </w:pPr>
            <w:r w:rsidRPr="00E07B1B">
              <w:t>Janet Rowan*</w:t>
            </w:r>
          </w:p>
        </w:tc>
        <w:tc>
          <w:tcPr>
            <w:tcW w:w="2665" w:type="pct"/>
            <w:tcBorders>
              <w:top w:val="nil"/>
              <w:bottom w:val="nil"/>
            </w:tcBorders>
          </w:tcPr>
          <w:p w:rsidR="0025490C" w:rsidRPr="00E07B1B" w:rsidRDefault="0025490C" w:rsidP="00844C60">
            <w:pPr>
              <w:pStyle w:val="TableText"/>
            </w:pPr>
            <w:r w:rsidRPr="00E07B1B">
              <w:t>Australasian Diabetes in Pregnancy Society</w:t>
            </w:r>
          </w:p>
        </w:tc>
      </w:tr>
      <w:tr w:rsidR="0025490C" w:rsidRPr="00E07B1B" w:rsidTr="00C50E54">
        <w:trPr>
          <w:cantSplit/>
        </w:trPr>
        <w:tc>
          <w:tcPr>
            <w:tcW w:w="2335" w:type="pct"/>
            <w:tcBorders>
              <w:top w:val="nil"/>
              <w:bottom w:val="nil"/>
            </w:tcBorders>
            <w:shd w:val="clear" w:color="auto" w:fill="F2F2F2" w:themeFill="background1" w:themeFillShade="F2"/>
            <w:tcMar>
              <w:top w:w="0" w:type="dxa"/>
              <w:left w:w="108" w:type="dxa"/>
              <w:bottom w:w="0" w:type="dxa"/>
              <w:right w:w="108" w:type="dxa"/>
            </w:tcMar>
          </w:tcPr>
          <w:p w:rsidR="0025490C" w:rsidRPr="00E07B1B" w:rsidRDefault="0025490C" w:rsidP="00844C60">
            <w:pPr>
              <w:pStyle w:val="TableText"/>
            </w:pPr>
            <w:r w:rsidRPr="00E07B1B">
              <w:t>Karl Cole</w:t>
            </w:r>
          </w:p>
        </w:tc>
        <w:tc>
          <w:tcPr>
            <w:tcW w:w="2665" w:type="pct"/>
            <w:tcBorders>
              <w:top w:val="nil"/>
              <w:bottom w:val="nil"/>
            </w:tcBorders>
            <w:shd w:val="clear" w:color="auto" w:fill="F2F2F2" w:themeFill="background1" w:themeFillShade="F2"/>
          </w:tcPr>
          <w:p w:rsidR="0025490C" w:rsidRPr="00E07B1B" w:rsidRDefault="0025490C" w:rsidP="00844C60">
            <w:pPr>
              <w:pStyle w:val="TableText"/>
            </w:pPr>
            <w:r w:rsidRPr="00E07B1B">
              <w:t>Royal New Zealand College of General Practitioners</w:t>
            </w:r>
          </w:p>
        </w:tc>
      </w:tr>
      <w:tr w:rsidR="0025490C" w:rsidRPr="00E07B1B" w:rsidTr="00C50E54">
        <w:trPr>
          <w:cantSplit/>
        </w:trPr>
        <w:tc>
          <w:tcPr>
            <w:tcW w:w="2335" w:type="pct"/>
            <w:tcBorders>
              <w:top w:val="nil"/>
              <w:bottom w:val="nil"/>
            </w:tcBorders>
            <w:tcMar>
              <w:top w:w="0" w:type="dxa"/>
              <w:left w:w="108" w:type="dxa"/>
              <w:bottom w:w="0" w:type="dxa"/>
              <w:right w:w="108" w:type="dxa"/>
            </w:tcMar>
          </w:tcPr>
          <w:p w:rsidR="0025490C" w:rsidRPr="00E07B1B" w:rsidRDefault="0025490C" w:rsidP="00844C60">
            <w:pPr>
              <w:pStyle w:val="TableText"/>
            </w:pPr>
            <w:r w:rsidRPr="00E07B1B">
              <w:t>Diana McNeill</w:t>
            </w:r>
          </w:p>
        </w:tc>
        <w:tc>
          <w:tcPr>
            <w:tcW w:w="2665" w:type="pct"/>
            <w:tcBorders>
              <w:top w:val="nil"/>
              <w:bottom w:val="nil"/>
            </w:tcBorders>
          </w:tcPr>
          <w:p w:rsidR="0025490C" w:rsidRPr="00E07B1B" w:rsidRDefault="0025490C" w:rsidP="00C50E54">
            <w:pPr>
              <w:pStyle w:val="TableText"/>
            </w:pPr>
            <w:r w:rsidRPr="00E07B1B">
              <w:t>Diabetes New Zealand</w:t>
            </w:r>
            <w:r w:rsidR="00C50E54">
              <w:br/>
            </w:r>
            <w:r w:rsidRPr="00E07B1B">
              <w:t>Consumer</w:t>
            </w:r>
            <w:r w:rsidR="00C50E54">
              <w:br/>
            </w:r>
            <w:r w:rsidRPr="00E07B1B">
              <w:t>Māori</w:t>
            </w:r>
          </w:p>
        </w:tc>
      </w:tr>
      <w:tr w:rsidR="0025490C" w:rsidRPr="00E07B1B" w:rsidTr="00C50E54">
        <w:trPr>
          <w:cantSplit/>
        </w:trPr>
        <w:tc>
          <w:tcPr>
            <w:tcW w:w="2335" w:type="pct"/>
            <w:tcBorders>
              <w:top w:val="nil"/>
              <w:bottom w:val="nil"/>
            </w:tcBorders>
            <w:shd w:val="clear" w:color="auto" w:fill="F2F2F2" w:themeFill="background1" w:themeFillShade="F2"/>
            <w:tcMar>
              <w:top w:w="0" w:type="dxa"/>
              <w:left w:w="108" w:type="dxa"/>
              <w:bottom w:w="0" w:type="dxa"/>
              <w:right w:w="108" w:type="dxa"/>
            </w:tcMar>
          </w:tcPr>
          <w:p w:rsidR="0025490C" w:rsidRPr="00E07B1B" w:rsidRDefault="0025490C" w:rsidP="00844C60">
            <w:pPr>
              <w:pStyle w:val="TableText"/>
            </w:pPr>
            <w:r w:rsidRPr="00E07B1B">
              <w:t>Malcolm Battin</w:t>
            </w:r>
          </w:p>
        </w:tc>
        <w:tc>
          <w:tcPr>
            <w:tcW w:w="2665" w:type="pct"/>
            <w:tcBorders>
              <w:top w:val="nil"/>
              <w:bottom w:val="nil"/>
            </w:tcBorders>
            <w:shd w:val="clear" w:color="auto" w:fill="F2F2F2" w:themeFill="background1" w:themeFillShade="F2"/>
          </w:tcPr>
          <w:p w:rsidR="0025490C" w:rsidRPr="00E07B1B" w:rsidRDefault="0025490C" w:rsidP="00C50E54">
            <w:pPr>
              <w:pStyle w:val="TableText"/>
            </w:pPr>
            <w:r w:rsidRPr="00E07B1B">
              <w:t>Perinatal Society of New Zealand</w:t>
            </w:r>
            <w:r w:rsidR="00C50E54">
              <w:br/>
            </w:r>
            <w:r w:rsidRPr="00E07B1B">
              <w:t>Pediatric Society</w:t>
            </w:r>
          </w:p>
        </w:tc>
      </w:tr>
      <w:tr w:rsidR="0025490C" w:rsidRPr="00E07B1B" w:rsidTr="00C50E54">
        <w:trPr>
          <w:cantSplit/>
        </w:trPr>
        <w:tc>
          <w:tcPr>
            <w:tcW w:w="2335" w:type="pct"/>
            <w:tcBorders>
              <w:top w:val="nil"/>
              <w:bottom w:val="nil"/>
            </w:tcBorders>
            <w:tcMar>
              <w:top w:w="0" w:type="dxa"/>
              <w:left w:w="108" w:type="dxa"/>
              <w:bottom w:w="0" w:type="dxa"/>
              <w:right w:w="108" w:type="dxa"/>
            </w:tcMar>
          </w:tcPr>
          <w:p w:rsidR="0025490C" w:rsidRPr="00E07B1B" w:rsidRDefault="0025490C" w:rsidP="00C50E54">
            <w:pPr>
              <w:pStyle w:val="TableText"/>
              <w:rPr>
                <w:color w:val="000000"/>
              </w:rPr>
            </w:pPr>
            <w:r w:rsidRPr="00E07B1B">
              <w:rPr>
                <w:color w:val="000000"/>
              </w:rPr>
              <w:t>Kara Okesene-Gafa</w:t>
            </w:r>
          </w:p>
        </w:tc>
        <w:tc>
          <w:tcPr>
            <w:tcW w:w="2665" w:type="pct"/>
            <w:tcBorders>
              <w:top w:val="nil"/>
              <w:bottom w:val="nil"/>
            </w:tcBorders>
          </w:tcPr>
          <w:p w:rsidR="0025490C" w:rsidRPr="00E07B1B" w:rsidRDefault="0025490C" w:rsidP="00844C60">
            <w:pPr>
              <w:pStyle w:val="TableText"/>
            </w:pPr>
            <w:r w:rsidRPr="00E07B1B">
              <w:rPr>
                <w:color w:val="000000"/>
              </w:rPr>
              <w:t>Pacific</w:t>
            </w:r>
            <w:r>
              <w:rPr>
                <w:color w:val="000000"/>
              </w:rPr>
              <w:t xml:space="preserve"> </w:t>
            </w:r>
            <w:r w:rsidRPr="00E07B1B">
              <w:rPr>
                <w:color w:val="000000"/>
              </w:rPr>
              <w:t>peoples representative</w:t>
            </w:r>
          </w:p>
        </w:tc>
      </w:tr>
      <w:tr w:rsidR="0025490C" w:rsidRPr="00E07B1B" w:rsidTr="00C50E54">
        <w:trPr>
          <w:cantSplit/>
        </w:trPr>
        <w:tc>
          <w:tcPr>
            <w:tcW w:w="2335" w:type="pct"/>
            <w:tcBorders>
              <w:top w:val="nil"/>
              <w:bottom w:val="nil"/>
            </w:tcBorders>
            <w:shd w:val="clear" w:color="auto" w:fill="F2F2F2" w:themeFill="background1" w:themeFillShade="F2"/>
            <w:tcMar>
              <w:top w:w="0" w:type="dxa"/>
              <w:left w:w="108" w:type="dxa"/>
              <w:bottom w:w="0" w:type="dxa"/>
              <w:right w:w="108" w:type="dxa"/>
            </w:tcMar>
          </w:tcPr>
          <w:p w:rsidR="0025490C" w:rsidRPr="00E07B1B" w:rsidRDefault="0025490C" w:rsidP="00C50E54">
            <w:pPr>
              <w:pStyle w:val="TableText"/>
            </w:pPr>
            <w:r w:rsidRPr="00E07B1B">
              <w:t>Mary Meendering</w:t>
            </w:r>
          </w:p>
        </w:tc>
        <w:tc>
          <w:tcPr>
            <w:tcW w:w="2665" w:type="pct"/>
            <w:tcBorders>
              <w:top w:val="nil"/>
              <w:bottom w:val="nil"/>
            </w:tcBorders>
            <w:shd w:val="clear" w:color="auto" w:fill="F2F2F2" w:themeFill="background1" w:themeFillShade="F2"/>
          </w:tcPr>
          <w:p w:rsidR="0025490C" w:rsidRPr="00E07B1B" w:rsidRDefault="0025490C" w:rsidP="00844C60">
            <w:pPr>
              <w:pStyle w:val="TableText"/>
            </w:pPr>
            <w:r w:rsidRPr="00E07B1B">
              <w:t>Clinical Nurse Specialist diabetes</w:t>
            </w:r>
          </w:p>
        </w:tc>
      </w:tr>
      <w:tr w:rsidR="0025490C" w:rsidRPr="00E07B1B" w:rsidTr="00C50E54">
        <w:trPr>
          <w:cantSplit/>
        </w:trPr>
        <w:tc>
          <w:tcPr>
            <w:tcW w:w="2335" w:type="pct"/>
            <w:tcBorders>
              <w:top w:val="nil"/>
              <w:bottom w:val="nil"/>
            </w:tcBorders>
            <w:tcMar>
              <w:top w:w="0" w:type="dxa"/>
              <w:left w:w="108" w:type="dxa"/>
              <w:bottom w:w="0" w:type="dxa"/>
              <w:right w:w="108" w:type="dxa"/>
            </w:tcMar>
          </w:tcPr>
          <w:p w:rsidR="0025490C" w:rsidRPr="00E07B1B" w:rsidRDefault="0025490C" w:rsidP="00844C60">
            <w:pPr>
              <w:pStyle w:val="TableText"/>
            </w:pPr>
            <w:r w:rsidRPr="00E07B1B">
              <w:t>Kelsey Coster</w:t>
            </w:r>
          </w:p>
        </w:tc>
        <w:tc>
          <w:tcPr>
            <w:tcW w:w="2665" w:type="pct"/>
            <w:tcBorders>
              <w:top w:val="nil"/>
              <w:bottom w:val="nil"/>
            </w:tcBorders>
          </w:tcPr>
          <w:p w:rsidR="0025490C" w:rsidRPr="00E07B1B" w:rsidRDefault="0025490C" w:rsidP="00844C60">
            <w:pPr>
              <w:pStyle w:val="TableText"/>
            </w:pPr>
            <w:r w:rsidRPr="00E07B1B">
              <w:t>Consumer</w:t>
            </w:r>
          </w:p>
        </w:tc>
      </w:tr>
      <w:tr w:rsidR="0025490C" w:rsidRPr="00E07B1B" w:rsidTr="00C50E54">
        <w:trPr>
          <w:cantSplit/>
        </w:trPr>
        <w:tc>
          <w:tcPr>
            <w:tcW w:w="2335" w:type="pct"/>
            <w:tcBorders>
              <w:top w:val="nil"/>
              <w:bottom w:val="nil"/>
            </w:tcBorders>
            <w:shd w:val="clear" w:color="auto" w:fill="F2F2F2" w:themeFill="background1" w:themeFillShade="F2"/>
            <w:tcMar>
              <w:top w:w="0" w:type="dxa"/>
              <w:left w:w="108" w:type="dxa"/>
              <w:bottom w:w="0" w:type="dxa"/>
              <w:right w:w="108" w:type="dxa"/>
            </w:tcMar>
          </w:tcPr>
          <w:p w:rsidR="0025490C" w:rsidRPr="00E07B1B" w:rsidRDefault="0025490C" w:rsidP="00844C60">
            <w:pPr>
              <w:pStyle w:val="TableText"/>
            </w:pPr>
            <w:r w:rsidRPr="00E07B1B">
              <w:t>Tim Cundy</w:t>
            </w:r>
          </w:p>
        </w:tc>
        <w:tc>
          <w:tcPr>
            <w:tcW w:w="2665" w:type="pct"/>
            <w:tcBorders>
              <w:top w:val="nil"/>
              <w:bottom w:val="nil"/>
            </w:tcBorders>
            <w:shd w:val="clear" w:color="auto" w:fill="F2F2F2" w:themeFill="background1" w:themeFillShade="F2"/>
          </w:tcPr>
          <w:p w:rsidR="0025490C" w:rsidRPr="00E07B1B" w:rsidRDefault="0025490C" w:rsidP="00844C60">
            <w:pPr>
              <w:pStyle w:val="TableText"/>
            </w:pPr>
            <w:r w:rsidRPr="00E07B1B">
              <w:t>National Dia</w:t>
            </w:r>
            <w:r w:rsidR="00C50E54">
              <w:t>betes Service Improvement Group</w:t>
            </w:r>
          </w:p>
        </w:tc>
      </w:tr>
      <w:tr w:rsidR="0025490C" w:rsidRPr="00E07B1B" w:rsidTr="00C50E54">
        <w:trPr>
          <w:cantSplit/>
        </w:trPr>
        <w:tc>
          <w:tcPr>
            <w:tcW w:w="2335" w:type="pct"/>
            <w:tcBorders>
              <w:top w:val="nil"/>
              <w:bottom w:val="nil"/>
            </w:tcBorders>
            <w:tcMar>
              <w:top w:w="0" w:type="dxa"/>
              <w:left w:w="108" w:type="dxa"/>
              <w:bottom w:w="0" w:type="dxa"/>
              <w:right w:w="108" w:type="dxa"/>
            </w:tcMar>
          </w:tcPr>
          <w:p w:rsidR="0025490C" w:rsidRPr="00E07B1B" w:rsidRDefault="0025490C" w:rsidP="00844C60">
            <w:pPr>
              <w:pStyle w:val="TableText"/>
            </w:pPr>
            <w:r w:rsidRPr="00E07B1B">
              <w:t>Anna Jackson</w:t>
            </w:r>
          </w:p>
        </w:tc>
        <w:tc>
          <w:tcPr>
            <w:tcW w:w="2665" w:type="pct"/>
            <w:tcBorders>
              <w:top w:val="nil"/>
              <w:bottom w:val="nil"/>
            </w:tcBorders>
          </w:tcPr>
          <w:p w:rsidR="0025490C" w:rsidRPr="00E07B1B" w:rsidRDefault="0025490C" w:rsidP="00844C60">
            <w:pPr>
              <w:pStyle w:val="TableText"/>
            </w:pPr>
            <w:r w:rsidRPr="00E07B1B">
              <w:t>Dietician</w:t>
            </w:r>
          </w:p>
        </w:tc>
      </w:tr>
      <w:tr w:rsidR="0025490C" w:rsidRPr="00E07B1B" w:rsidTr="00C50E54">
        <w:trPr>
          <w:cantSplit/>
        </w:trPr>
        <w:tc>
          <w:tcPr>
            <w:tcW w:w="2335" w:type="pct"/>
            <w:tcBorders>
              <w:top w:val="nil"/>
              <w:bottom w:val="nil"/>
            </w:tcBorders>
            <w:shd w:val="clear" w:color="auto" w:fill="F2F2F2" w:themeFill="background1" w:themeFillShade="F2"/>
            <w:tcMar>
              <w:top w:w="0" w:type="dxa"/>
              <w:left w:w="108" w:type="dxa"/>
              <w:bottom w:w="0" w:type="dxa"/>
              <w:right w:w="108" w:type="dxa"/>
            </w:tcMar>
          </w:tcPr>
          <w:p w:rsidR="0025490C" w:rsidRPr="00E07B1B" w:rsidRDefault="0025490C" w:rsidP="00844C60">
            <w:pPr>
              <w:pStyle w:val="TableText"/>
            </w:pPr>
            <w:r w:rsidRPr="00E07B1B">
              <w:t>No representative</w:t>
            </w:r>
          </w:p>
        </w:tc>
        <w:tc>
          <w:tcPr>
            <w:tcW w:w="2665" w:type="pct"/>
            <w:tcBorders>
              <w:top w:val="nil"/>
              <w:bottom w:val="nil"/>
            </w:tcBorders>
            <w:shd w:val="clear" w:color="auto" w:fill="F2F2F2" w:themeFill="background1" w:themeFillShade="F2"/>
          </w:tcPr>
          <w:p w:rsidR="0025490C" w:rsidRPr="00E07B1B" w:rsidRDefault="0025490C" w:rsidP="00844C60">
            <w:pPr>
              <w:pStyle w:val="TableText"/>
            </w:pPr>
            <w:r w:rsidRPr="00E07B1B">
              <w:t>Royal Australasian College of Physicians</w:t>
            </w:r>
          </w:p>
        </w:tc>
      </w:tr>
      <w:tr w:rsidR="0025490C" w:rsidRPr="00E07B1B" w:rsidTr="00C50E54">
        <w:trPr>
          <w:cantSplit/>
        </w:trPr>
        <w:tc>
          <w:tcPr>
            <w:tcW w:w="2335" w:type="pct"/>
            <w:tcBorders>
              <w:top w:val="nil"/>
              <w:bottom w:val="nil"/>
            </w:tcBorders>
            <w:tcMar>
              <w:top w:w="0" w:type="dxa"/>
              <w:left w:w="108" w:type="dxa"/>
              <w:bottom w:w="0" w:type="dxa"/>
              <w:right w:w="108" w:type="dxa"/>
            </w:tcMar>
          </w:tcPr>
          <w:p w:rsidR="0025490C" w:rsidRPr="00E07B1B" w:rsidRDefault="0025490C" w:rsidP="00844C60">
            <w:pPr>
              <w:pStyle w:val="TableText"/>
            </w:pPr>
            <w:r w:rsidRPr="00E07B1B">
              <w:t>Leona Dann/Kass Ozturk (</w:t>
            </w:r>
            <w:r>
              <w:t>Ministry of Health</w:t>
            </w:r>
            <w:r w:rsidRPr="00E07B1B">
              <w:t>)</w:t>
            </w:r>
          </w:p>
        </w:tc>
        <w:tc>
          <w:tcPr>
            <w:tcW w:w="2665" w:type="pct"/>
            <w:tcBorders>
              <w:top w:val="nil"/>
              <w:bottom w:val="nil"/>
            </w:tcBorders>
          </w:tcPr>
          <w:p w:rsidR="0025490C" w:rsidRPr="00E07B1B" w:rsidRDefault="0025490C" w:rsidP="00C50E54">
            <w:pPr>
              <w:pStyle w:val="TableText"/>
            </w:pPr>
            <w:r w:rsidRPr="00E07B1B">
              <w:t xml:space="preserve">Ex </w:t>
            </w:r>
            <w:r w:rsidR="00C50E54">
              <w:t>o</w:t>
            </w:r>
            <w:r w:rsidRPr="00E07B1B">
              <w:t>fficio</w:t>
            </w:r>
            <w:r>
              <w:t xml:space="preserve"> </w:t>
            </w:r>
            <w:r w:rsidRPr="00E07B1B">
              <w:t>member</w:t>
            </w:r>
          </w:p>
        </w:tc>
      </w:tr>
      <w:tr w:rsidR="0025490C" w:rsidRPr="00E07B1B" w:rsidTr="00C50E54">
        <w:trPr>
          <w:cantSplit/>
        </w:trPr>
        <w:tc>
          <w:tcPr>
            <w:tcW w:w="2335" w:type="pct"/>
            <w:tcBorders>
              <w:top w:val="nil"/>
              <w:bottom w:val="nil"/>
            </w:tcBorders>
            <w:shd w:val="clear" w:color="auto" w:fill="F2F2F2" w:themeFill="background1" w:themeFillShade="F2"/>
            <w:tcMar>
              <w:top w:w="0" w:type="dxa"/>
              <w:left w:w="108" w:type="dxa"/>
              <w:bottom w:w="0" w:type="dxa"/>
              <w:right w:w="108" w:type="dxa"/>
            </w:tcMar>
          </w:tcPr>
          <w:p w:rsidR="0025490C" w:rsidRPr="00E07B1B" w:rsidRDefault="0025490C" w:rsidP="00844C60">
            <w:pPr>
              <w:pStyle w:val="TableText"/>
            </w:pPr>
            <w:r w:rsidRPr="00E07B1B">
              <w:t>Cindy Farquhar</w:t>
            </w:r>
          </w:p>
        </w:tc>
        <w:tc>
          <w:tcPr>
            <w:tcW w:w="2665" w:type="pct"/>
            <w:tcBorders>
              <w:top w:val="nil"/>
              <w:bottom w:val="nil"/>
            </w:tcBorders>
            <w:shd w:val="clear" w:color="auto" w:fill="F2F2F2" w:themeFill="background1" w:themeFillShade="F2"/>
          </w:tcPr>
          <w:p w:rsidR="0025490C" w:rsidRPr="00E07B1B" w:rsidRDefault="0025490C" w:rsidP="00844C60">
            <w:pPr>
              <w:pStyle w:val="TableText"/>
            </w:pPr>
            <w:r w:rsidRPr="00E07B1B">
              <w:t xml:space="preserve">Ex </w:t>
            </w:r>
            <w:r>
              <w:t>o</w:t>
            </w:r>
            <w:r w:rsidRPr="00E07B1B">
              <w:t>fficio</w:t>
            </w:r>
            <w:r>
              <w:t xml:space="preserve"> </w:t>
            </w:r>
            <w:r w:rsidRPr="00E07B1B">
              <w:t>member</w:t>
            </w:r>
          </w:p>
        </w:tc>
      </w:tr>
      <w:tr w:rsidR="0025490C" w:rsidRPr="00E07B1B" w:rsidTr="00C50E54">
        <w:trPr>
          <w:cantSplit/>
        </w:trPr>
        <w:tc>
          <w:tcPr>
            <w:tcW w:w="2335" w:type="pct"/>
            <w:tcBorders>
              <w:top w:val="nil"/>
              <w:bottom w:val="nil"/>
            </w:tcBorders>
            <w:tcMar>
              <w:top w:w="0" w:type="dxa"/>
              <w:left w:w="108" w:type="dxa"/>
              <w:bottom w:w="0" w:type="dxa"/>
              <w:right w:w="108" w:type="dxa"/>
            </w:tcMar>
          </w:tcPr>
          <w:p w:rsidR="0025490C" w:rsidRPr="00E07B1B" w:rsidRDefault="0025490C" w:rsidP="00844C60">
            <w:pPr>
              <w:pStyle w:val="TableText"/>
            </w:pPr>
            <w:r w:rsidRPr="00E07B1B">
              <w:t>Catherine Marshall (implementation)</w:t>
            </w:r>
          </w:p>
        </w:tc>
        <w:tc>
          <w:tcPr>
            <w:tcW w:w="2665" w:type="pct"/>
            <w:tcBorders>
              <w:top w:val="nil"/>
              <w:bottom w:val="nil"/>
            </w:tcBorders>
          </w:tcPr>
          <w:p w:rsidR="0025490C" w:rsidRPr="00E07B1B" w:rsidRDefault="0025490C" w:rsidP="00844C60">
            <w:pPr>
              <w:pStyle w:val="TableText"/>
            </w:pPr>
            <w:r w:rsidRPr="00E07B1B">
              <w:t xml:space="preserve">Ex </w:t>
            </w:r>
            <w:r>
              <w:t>o</w:t>
            </w:r>
            <w:r w:rsidRPr="00E07B1B">
              <w:t>fficio</w:t>
            </w:r>
            <w:r>
              <w:t xml:space="preserve"> </w:t>
            </w:r>
            <w:r w:rsidRPr="00E07B1B">
              <w:t>member</w:t>
            </w:r>
          </w:p>
        </w:tc>
      </w:tr>
      <w:tr w:rsidR="0025490C" w:rsidRPr="00E07B1B" w:rsidTr="00C50E54">
        <w:trPr>
          <w:cantSplit/>
        </w:trPr>
        <w:tc>
          <w:tcPr>
            <w:tcW w:w="2335" w:type="pct"/>
            <w:tcBorders>
              <w:top w:val="nil"/>
              <w:bottom w:val="nil"/>
            </w:tcBorders>
            <w:shd w:val="clear" w:color="auto" w:fill="F2F2F2" w:themeFill="background1" w:themeFillShade="F2"/>
            <w:tcMar>
              <w:top w:w="0" w:type="dxa"/>
              <w:left w:w="108" w:type="dxa"/>
              <w:bottom w:w="0" w:type="dxa"/>
              <w:right w:w="108" w:type="dxa"/>
            </w:tcMar>
          </w:tcPr>
          <w:p w:rsidR="0025490C" w:rsidRPr="00E07B1B" w:rsidRDefault="0025490C" w:rsidP="00844C60">
            <w:pPr>
              <w:pStyle w:val="TableText"/>
            </w:pPr>
            <w:r w:rsidRPr="00E07B1B">
              <w:t>Caroline Crowther</w:t>
            </w:r>
          </w:p>
        </w:tc>
        <w:tc>
          <w:tcPr>
            <w:tcW w:w="2665" w:type="pct"/>
            <w:tcBorders>
              <w:top w:val="nil"/>
              <w:bottom w:val="nil"/>
            </w:tcBorders>
            <w:shd w:val="clear" w:color="auto" w:fill="F2F2F2" w:themeFill="background1" w:themeFillShade="F2"/>
          </w:tcPr>
          <w:p w:rsidR="0025490C" w:rsidRPr="00E07B1B" w:rsidRDefault="0025490C" w:rsidP="00844C60">
            <w:pPr>
              <w:pStyle w:val="TableText"/>
            </w:pPr>
            <w:r w:rsidRPr="00E07B1B">
              <w:t xml:space="preserve">Ex </w:t>
            </w:r>
            <w:r>
              <w:t>o</w:t>
            </w:r>
            <w:r w:rsidRPr="00E07B1B">
              <w:t>fficio</w:t>
            </w:r>
            <w:r>
              <w:t xml:space="preserve"> </w:t>
            </w:r>
            <w:r w:rsidRPr="00E07B1B">
              <w:t>member</w:t>
            </w:r>
          </w:p>
        </w:tc>
      </w:tr>
      <w:tr w:rsidR="0025490C" w:rsidRPr="00E07B1B" w:rsidTr="00C50E54">
        <w:trPr>
          <w:cantSplit/>
        </w:trPr>
        <w:tc>
          <w:tcPr>
            <w:tcW w:w="2335" w:type="pct"/>
            <w:tcBorders>
              <w:top w:val="nil"/>
              <w:bottom w:val="nil"/>
            </w:tcBorders>
            <w:tcMar>
              <w:top w:w="0" w:type="dxa"/>
              <w:left w:w="108" w:type="dxa"/>
              <w:bottom w:w="0" w:type="dxa"/>
              <w:right w:w="108" w:type="dxa"/>
            </w:tcMar>
          </w:tcPr>
          <w:p w:rsidR="0025490C" w:rsidRPr="00E07B1B" w:rsidRDefault="0025490C" w:rsidP="00844C60">
            <w:pPr>
              <w:pStyle w:val="TableText"/>
            </w:pPr>
            <w:r w:rsidRPr="00E07B1B">
              <w:t>Julie Brown</w:t>
            </w:r>
          </w:p>
        </w:tc>
        <w:tc>
          <w:tcPr>
            <w:tcW w:w="2665" w:type="pct"/>
            <w:tcBorders>
              <w:top w:val="nil"/>
              <w:bottom w:val="nil"/>
            </w:tcBorders>
          </w:tcPr>
          <w:p w:rsidR="0025490C" w:rsidRPr="00E07B1B" w:rsidRDefault="0025490C" w:rsidP="00844C60">
            <w:pPr>
              <w:pStyle w:val="TableText"/>
            </w:pPr>
            <w:r w:rsidRPr="00E07B1B">
              <w:t xml:space="preserve">Ex </w:t>
            </w:r>
            <w:r>
              <w:t>o</w:t>
            </w:r>
            <w:r w:rsidRPr="00E07B1B">
              <w:t>fficio</w:t>
            </w:r>
            <w:r>
              <w:t xml:space="preserve"> </w:t>
            </w:r>
            <w:r w:rsidRPr="00E07B1B">
              <w:t>member</w:t>
            </w:r>
          </w:p>
        </w:tc>
      </w:tr>
      <w:tr w:rsidR="0025490C" w:rsidRPr="00E07B1B" w:rsidTr="00C50E54">
        <w:trPr>
          <w:cantSplit/>
        </w:trPr>
        <w:tc>
          <w:tcPr>
            <w:tcW w:w="2335" w:type="pct"/>
            <w:tcBorders>
              <w:top w:val="nil"/>
              <w:bottom w:val="nil"/>
            </w:tcBorders>
            <w:shd w:val="clear" w:color="auto" w:fill="F2F2F2" w:themeFill="background1" w:themeFillShade="F2"/>
            <w:tcMar>
              <w:top w:w="0" w:type="dxa"/>
              <w:left w:w="108" w:type="dxa"/>
              <w:bottom w:w="0" w:type="dxa"/>
              <w:right w:w="108" w:type="dxa"/>
            </w:tcMar>
          </w:tcPr>
          <w:p w:rsidR="0025490C" w:rsidRPr="00E07B1B" w:rsidRDefault="0025490C" w:rsidP="00844C60">
            <w:pPr>
              <w:pStyle w:val="TableText"/>
            </w:pPr>
            <w:r w:rsidRPr="00E07B1B">
              <w:t>Catherine Coop</w:t>
            </w:r>
          </w:p>
        </w:tc>
        <w:tc>
          <w:tcPr>
            <w:tcW w:w="2665" w:type="pct"/>
            <w:tcBorders>
              <w:top w:val="nil"/>
              <w:bottom w:val="nil"/>
            </w:tcBorders>
            <w:shd w:val="clear" w:color="auto" w:fill="F2F2F2" w:themeFill="background1" w:themeFillShade="F2"/>
          </w:tcPr>
          <w:p w:rsidR="0025490C" w:rsidRPr="00E07B1B" w:rsidRDefault="0025490C" w:rsidP="00844C60">
            <w:pPr>
              <w:pStyle w:val="TableText"/>
            </w:pPr>
            <w:r w:rsidRPr="00E07B1B">
              <w:t xml:space="preserve">Ex </w:t>
            </w:r>
            <w:r>
              <w:t>o</w:t>
            </w:r>
            <w:r w:rsidRPr="00E07B1B">
              <w:t>fficio</w:t>
            </w:r>
            <w:r>
              <w:t xml:space="preserve"> </w:t>
            </w:r>
            <w:r w:rsidRPr="00E07B1B">
              <w:t>member</w:t>
            </w:r>
          </w:p>
        </w:tc>
      </w:tr>
      <w:tr w:rsidR="0025490C" w:rsidRPr="00E07B1B" w:rsidTr="00C50E54">
        <w:trPr>
          <w:cantSplit/>
        </w:trPr>
        <w:tc>
          <w:tcPr>
            <w:tcW w:w="2335" w:type="pct"/>
            <w:tcBorders>
              <w:top w:val="nil"/>
              <w:bottom w:val="nil"/>
            </w:tcBorders>
            <w:tcMar>
              <w:top w:w="0" w:type="dxa"/>
              <w:left w:w="108" w:type="dxa"/>
              <w:bottom w:w="0" w:type="dxa"/>
              <w:right w:w="108" w:type="dxa"/>
            </w:tcMar>
          </w:tcPr>
          <w:p w:rsidR="0025490C" w:rsidRPr="00E07B1B" w:rsidRDefault="0025490C" w:rsidP="00844C60">
            <w:pPr>
              <w:pStyle w:val="TableText"/>
            </w:pPr>
            <w:r w:rsidRPr="00E07B1B">
              <w:t>Anita Fitzgerald</w:t>
            </w:r>
          </w:p>
        </w:tc>
        <w:tc>
          <w:tcPr>
            <w:tcW w:w="2665" w:type="pct"/>
            <w:tcBorders>
              <w:top w:val="nil"/>
              <w:bottom w:val="nil"/>
            </w:tcBorders>
          </w:tcPr>
          <w:p w:rsidR="0025490C" w:rsidRPr="00E07B1B" w:rsidRDefault="0025490C" w:rsidP="00844C60">
            <w:pPr>
              <w:pStyle w:val="TableText"/>
              <w:rPr>
                <w:color w:val="000000"/>
              </w:rPr>
            </w:pPr>
            <w:r w:rsidRPr="00E07B1B">
              <w:t xml:space="preserve">Ex </w:t>
            </w:r>
            <w:r>
              <w:t>o</w:t>
            </w:r>
            <w:r w:rsidRPr="00E07B1B">
              <w:t>fficio</w:t>
            </w:r>
            <w:r>
              <w:t xml:space="preserve"> </w:t>
            </w:r>
            <w:r w:rsidRPr="00E07B1B">
              <w:t>member</w:t>
            </w:r>
          </w:p>
        </w:tc>
      </w:tr>
      <w:tr w:rsidR="0025490C" w:rsidRPr="00E07B1B" w:rsidTr="00C50E54">
        <w:trPr>
          <w:cantSplit/>
        </w:trPr>
        <w:tc>
          <w:tcPr>
            <w:tcW w:w="2335" w:type="pct"/>
            <w:tcBorders>
              <w:top w:val="nil"/>
              <w:bottom w:val="nil"/>
            </w:tcBorders>
            <w:shd w:val="clear" w:color="auto" w:fill="F2F2F2" w:themeFill="background1" w:themeFillShade="F2"/>
            <w:tcMar>
              <w:top w:w="0" w:type="dxa"/>
              <w:left w:w="108" w:type="dxa"/>
              <w:bottom w:w="0" w:type="dxa"/>
              <w:right w:w="108" w:type="dxa"/>
            </w:tcMar>
          </w:tcPr>
          <w:p w:rsidR="0025490C" w:rsidRPr="00E07B1B" w:rsidRDefault="0025490C" w:rsidP="00844C60">
            <w:pPr>
              <w:pStyle w:val="TableText"/>
            </w:pPr>
            <w:r w:rsidRPr="00E07B1B">
              <w:t>Anne Lethaby</w:t>
            </w:r>
          </w:p>
        </w:tc>
        <w:tc>
          <w:tcPr>
            <w:tcW w:w="2665" w:type="pct"/>
            <w:tcBorders>
              <w:top w:val="nil"/>
              <w:bottom w:val="nil"/>
            </w:tcBorders>
            <w:shd w:val="clear" w:color="auto" w:fill="F2F2F2" w:themeFill="background1" w:themeFillShade="F2"/>
          </w:tcPr>
          <w:p w:rsidR="0025490C" w:rsidRPr="00E07B1B" w:rsidRDefault="0025490C" w:rsidP="00844C60">
            <w:pPr>
              <w:pStyle w:val="TableText"/>
            </w:pPr>
            <w:r w:rsidRPr="00E07B1B">
              <w:t xml:space="preserve">Ex </w:t>
            </w:r>
            <w:r>
              <w:t>o</w:t>
            </w:r>
            <w:r w:rsidRPr="00E07B1B">
              <w:t>fficio</w:t>
            </w:r>
            <w:r>
              <w:t xml:space="preserve"> </w:t>
            </w:r>
            <w:r w:rsidRPr="00E07B1B">
              <w:t>member</w:t>
            </w:r>
          </w:p>
        </w:tc>
      </w:tr>
      <w:tr w:rsidR="0025490C" w:rsidRPr="00E07B1B" w:rsidTr="00C50E54">
        <w:trPr>
          <w:cantSplit/>
        </w:trPr>
        <w:tc>
          <w:tcPr>
            <w:tcW w:w="2335" w:type="pct"/>
            <w:tcBorders>
              <w:top w:val="nil"/>
              <w:bottom w:val="nil"/>
            </w:tcBorders>
            <w:tcMar>
              <w:top w:w="0" w:type="dxa"/>
              <w:left w:w="108" w:type="dxa"/>
              <w:bottom w:w="0" w:type="dxa"/>
              <w:right w:w="108" w:type="dxa"/>
            </w:tcMar>
          </w:tcPr>
          <w:p w:rsidR="0025490C" w:rsidRPr="00E07B1B" w:rsidRDefault="0025490C" w:rsidP="00844C60">
            <w:pPr>
              <w:pStyle w:val="TableText"/>
            </w:pPr>
            <w:r w:rsidRPr="00E07B1B">
              <w:t>Philippa Middleton</w:t>
            </w:r>
          </w:p>
        </w:tc>
        <w:tc>
          <w:tcPr>
            <w:tcW w:w="2665" w:type="pct"/>
            <w:tcBorders>
              <w:top w:val="nil"/>
              <w:bottom w:val="nil"/>
            </w:tcBorders>
          </w:tcPr>
          <w:p w:rsidR="0025490C" w:rsidRPr="00E07B1B" w:rsidRDefault="0025490C" w:rsidP="00844C60">
            <w:pPr>
              <w:pStyle w:val="TableText"/>
              <w:rPr>
                <w:color w:val="000000"/>
              </w:rPr>
            </w:pPr>
            <w:r w:rsidRPr="00E07B1B">
              <w:t xml:space="preserve">Ex </w:t>
            </w:r>
            <w:r>
              <w:t>o</w:t>
            </w:r>
            <w:r w:rsidRPr="00E07B1B">
              <w:t>fficio</w:t>
            </w:r>
            <w:r>
              <w:t xml:space="preserve"> </w:t>
            </w:r>
            <w:r w:rsidRPr="00E07B1B">
              <w:t>member</w:t>
            </w:r>
          </w:p>
        </w:tc>
      </w:tr>
      <w:tr w:rsidR="0025490C" w:rsidRPr="00E07B1B" w:rsidTr="00C50E54">
        <w:trPr>
          <w:cantSplit/>
        </w:trPr>
        <w:tc>
          <w:tcPr>
            <w:tcW w:w="2335" w:type="pct"/>
            <w:tcBorders>
              <w:top w:val="nil"/>
              <w:bottom w:val="single" w:sz="4" w:space="0" w:color="auto"/>
            </w:tcBorders>
            <w:shd w:val="clear" w:color="auto" w:fill="F2F2F2" w:themeFill="background1" w:themeFillShade="F2"/>
            <w:tcMar>
              <w:top w:w="0" w:type="dxa"/>
              <w:left w:w="108" w:type="dxa"/>
              <w:bottom w:w="0" w:type="dxa"/>
              <w:right w:w="108" w:type="dxa"/>
            </w:tcMar>
          </w:tcPr>
          <w:p w:rsidR="0025490C" w:rsidRPr="00E07B1B" w:rsidRDefault="0025490C" w:rsidP="00844C60">
            <w:pPr>
              <w:pStyle w:val="TableText"/>
            </w:pPr>
            <w:r w:rsidRPr="00E07B1B">
              <w:t>Vicki Masson</w:t>
            </w:r>
          </w:p>
        </w:tc>
        <w:tc>
          <w:tcPr>
            <w:tcW w:w="2665" w:type="pct"/>
            <w:tcBorders>
              <w:top w:val="nil"/>
              <w:bottom w:val="single" w:sz="4" w:space="0" w:color="auto"/>
            </w:tcBorders>
            <w:shd w:val="clear" w:color="auto" w:fill="F2F2F2" w:themeFill="background1" w:themeFillShade="F2"/>
          </w:tcPr>
          <w:p w:rsidR="0025490C" w:rsidRPr="00E07B1B" w:rsidRDefault="0025490C" w:rsidP="00844C60">
            <w:pPr>
              <w:pStyle w:val="TableText"/>
            </w:pPr>
            <w:r w:rsidRPr="00E07B1B">
              <w:t xml:space="preserve">Ex </w:t>
            </w:r>
            <w:r>
              <w:t>o</w:t>
            </w:r>
            <w:r w:rsidRPr="00E07B1B">
              <w:t>fficio member</w:t>
            </w:r>
          </w:p>
        </w:tc>
      </w:tr>
    </w:tbl>
    <w:p w:rsidR="0025490C" w:rsidRDefault="0025490C" w:rsidP="00C50E54">
      <w:pPr>
        <w:pStyle w:val="Note"/>
        <w:ind w:left="0" w:firstLine="0"/>
      </w:pPr>
      <w:r>
        <w:t xml:space="preserve">Note: </w:t>
      </w:r>
      <w:r w:rsidRPr="00E07B1B">
        <w:t>*</w:t>
      </w:r>
      <w:r>
        <w:t xml:space="preserve"> </w:t>
      </w:r>
      <w:r w:rsidRPr="00E07B1B">
        <w:t>Dr Janet Rowan withdrew from the Guideline Development Team following the last team meeting due to conflicts with some of the recommendations.</w:t>
      </w:r>
      <w:r>
        <w:t xml:space="preserve"> </w:t>
      </w:r>
      <w:r w:rsidRPr="00E07B1B">
        <w:t>She was</w:t>
      </w:r>
      <w:r>
        <w:t>,</w:t>
      </w:r>
      <w:r w:rsidRPr="00E07B1B">
        <w:t xml:space="preserve"> however</w:t>
      </w:r>
      <w:r>
        <w:t>,</w:t>
      </w:r>
      <w:r w:rsidRPr="00E07B1B">
        <w:t xml:space="preserve"> present at all meetings and contributed to the guideline development process. We thank her for her valuable contribution.</w:t>
      </w:r>
    </w:p>
    <w:p w:rsidR="00C04C3B" w:rsidRPr="00E07B1B" w:rsidRDefault="00C04C3B" w:rsidP="00C50E54"/>
    <w:p w:rsidR="00C04C3B" w:rsidRDefault="00C04C3B" w:rsidP="00C04C3B">
      <w:bookmarkStart w:id="380" w:name="_Toc358366888"/>
      <w:bookmarkStart w:id="381" w:name="_Toc363717744"/>
      <w:bookmarkStart w:id="382" w:name="_Toc402873634"/>
      <w:r>
        <w:br w:type="page"/>
      </w:r>
    </w:p>
    <w:p w:rsidR="0025490C" w:rsidRDefault="0025490C" w:rsidP="00C04C3B">
      <w:pPr>
        <w:pStyle w:val="Heading2"/>
        <w:spacing w:before="0" w:after="240"/>
      </w:pPr>
      <w:bookmarkStart w:id="383" w:name="_Toc403469695"/>
      <w:r w:rsidRPr="00E07B1B">
        <w:t>Appendix C</w:t>
      </w:r>
      <w:r>
        <w:t>:</w:t>
      </w:r>
      <w:r w:rsidRPr="00E07B1B">
        <w:t xml:space="preserve"> Clinical questions</w:t>
      </w:r>
      <w:bookmarkEnd w:id="380"/>
      <w:bookmarkEnd w:id="381"/>
      <w:bookmarkEnd w:id="382"/>
      <w:bookmarkEnd w:id="383"/>
    </w:p>
    <w:p w:rsidR="0025490C" w:rsidRPr="00E07B1B" w:rsidRDefault="0025490C" w:rsidP="00C50E54">
      <w:pPr>
        <w:pStyle w:val="Heading3"/>
      </w:pPr>
      <w:bookmarkStart w:id="384" w:name="_Toc358366889"/>
      <w:bookmarkStart w:id="385" w:name="_Toc363717745"/>
      <w:r w:rsidRPr="00E07B1B">
        <w:t>Epidemiology</w:t>
      </w:r>
      <w:bookmarkEnd w:id="384"/>
      <w:r w:rsidRPr="00E07B1B">
        <w:t xml:space="preserve"> and early screening</w:t>
      </w:r>
      <w:bookmarkEnd w:id="385"/>
    </w:p>
    <w:p w:rsidR="0025490C" w:rsidRPr="00E07B1B" w:rsidRDefault="0025490C" w:rsidP="00C50E54">
      <w:pPr>
        <w:ind w:left="567" w:hanging="567"/>
      </w:pPr>
      <w:r w:rsidRPr="00E07B1B">
        <w:t>1a</w:t>
      </w:r>
      <w:r>
        <w:tab/>
      </w:r>
      <w:r w:rsidRPr="00E07B1B">
        <w:t>Who should be screened for hyperglycaemia in pregnancy?</w:t>
      </w:r>
    </w:p>
    <w:p w:rsidR="0025490C" w:rsidRPr="00E07B1B" w:rsidRDefault="0025490C" w:rsidP="00C50E54">
      <w:pPr>
        <w:spacing w:before="120"/>
        <w:ind w:left="567" w:hanging="567"/>
      </w:pPr>
      <w:r w:rsidRPr="00E07B1B">
        <w:t>1b</w:t>
      </w:r>
      <w:r>
        <w:tab/>
      </w:r>
      <w:r w:rsidRPr="00E07B1B">
        <w:t>Should all pregnant women less than 20 weeks</w:t>
      </w:r>
      <w:r w:rsidR="0068074A">
        <w:t>’</w:t>
      </w:r>
      <w:r w:rsidRPr="00E07B1B">
        <w:t xml:space="preserve"> gestation be offered HbA1c to diagnose type 2 diabetes?</w:t>
      </w:r>
    </w:p>
    <w:p w:rsidR="0025490C" w:rsidRPr="00E07B1B" w:rsidRDefault="0025490C" w:rsidP="00C50E54">
      <w:pPr>
        <w:spacing w:before="120"/>
        <w:ind w:left="567" w:hanging="567"/>
      </w:pPr>
      <w:r w:rsidRPr="00E07B1B">
        <w:t>1c</w:t>
      </w:r>
      <w:r>
        <w:tab/>
      </w:r>
      <w:r w:rsidRPr="00E07B1B">
        <w:t>What thresholds should be used to diagnose type 2 diabetes in pregnant women less than 20 weeks</w:t>
      </w:r>
      <w:r w:rsidR="0068074A">
        <w:t>’</w:t>
      </w:r>
      <w:r w:rsidRPr="00E07B1B">
        <w:t xml:space="preserve"> gestation?</w:t>
      </w:r>
    </w:p>
    <w:p w:rsidR="0068074A" w:rsidRDefault="0025490C" w:rsidP="00C50E54">
      <w:pPr>
        <w:spacing w:before="120"/>
        <w:ind w:left="567" w:hanging="567"/>
      </w:pPr>
      <w:r w:rsidRPr="00E07B1B">
        <w:t>2</w:t>
      </w:r>
      <w:r>
        <w:tab/>
      </w:r>
      <w:r w:rsidRPr="00E07B1B">
        <w:t>What risk factors are associated with increased risk of gestational diabetes?</w:t>
      </w:r>
    </w:p>
    <w:p w:rsidR="0025490C" w:rsidRPr="00E07B1B" w:rsidRDefault="0025490C" w:rsidP="00C50E54"/>
    <w:p w:rsidR="0025490C" w:rsidRPr="00E07B1B" w:rsidRDefault="0025490C" w:rsidP="00C50E54">
      <w:pPr>
        <w:pStyle w:val="Heading3"/>
      </w:pPr>
      <w:bookmarkStart w:id="386" w:name="_Toc358366890"/>
      <w:bookmarkStart w:id="387" w:name="_Toc363717746"/>
      <w:r w:rsidRPr="00E07B1B">
        <w:t>Prevention of gestational diabetes</w:t>
      </w:r>
      <w:bookmarkEnd w:id="386"/>
      <w:bookmarkEnd w:id="387"/>
    </w:p>
    <w:p w:rsidR="0068074A" w:rsidRDefault="0025490C" w:rsidP="00C50E54">
      <w:pPr>
        <w:ind w:left="567" w:hanging="567"/>
      </w:pPr>
      <w:r w:rsidRPr="00E07B1B">
        <w:t>3</w:t>
      </w:r>
      <w:r>
        <w:tab/>
      </w:r>
      <w:r w:rsidRPr="00E07B1B">
        <w:t>How effective are lifestyle interventions for the prevention of gestational diabetes (pre</w:t>
      </w:r>
      <w:r w:rsidR="00C50E54">
        <w:noBreakHyphen/>
      </w:r>
      <w:r w:rsidRPr="00E07B1B">
        <w:t>conception and during pregnancy)?</w:t>
      </w:r>
    </w:p>
    <w:p w:rsidR="0025490C" w:rsidRPr="00E07B1B" w:rsidRDefault="0025490C" w:rsidP="00C50E54"/>
    <w:p w:rsidR="0025490C" w:rsidRPr="00E07B1B" w:rsidRDefault="0025490C" w:rsidP="00C50E54">
      <w:pPr>
        <w:pStyle w:val="Heading3"/>
      </w:pPr>
      <w:bookmarkStart w:id="388" w:name="_Toc358366891"/>
      <w:bookmarkStart w:id="389" w:name="_Toc363717747"/>
      <w:r w:rsidRPr="00E07B1B">
        <w:t>24</w:t>
      </w:r>
      <w:r>
        <w:t>-</w:t>
      </w:r>
      <w:r w:rsidRPr="00E07B1B">
        <w:t xml:space="preserve"> to 28</w:t>
      </w:r>
      <w:r>
        <w:t>-</w:t>
      </w:r>
      <w:r w:rsidRPr="00E07B1B">
        <w:t>week screening</w:t>
      </w:r>
      <w:bookmarkEnd w:id="388"/>
      <w:r w:rsidRPr="00E07B1B">
        <w:t xml:space="preserve"> and diagnosis</w:t>
      </w:r>
      <w:bookmarkEnd w:id="389"/>
    </w:p>
    <w:p w:rsidR="0068074A" w:rsidRDefault="0025490C" w:rsidP="00C50E54">
      <w:pPr>
        <w:ind w:left="567" w:hanging="567"/>
      </w:pPr>
      <w:r w:rsidRPr="00E07B1B">
        <w:t>4</w:t>
      </w:r>
      <w:r>
        <w:tab/>
      </w:r>
      <w:r w:rsidRPr="00E07B1B">
        <w:t>What is the diagnostic accuracy of commonly used screening and diagnostic tests for gestational diabetes?</w:t>
      </w:r>
    </w:p>
    <w:p w:rsidR="0025490C" w:rsidRPr="00E07B1B" w:rsidRDefault="0025490C" w:rsidP="00C50E54">
      <w:pPr>
        <w:spacing w:before="120"/>
        <w:ind w:left="567" w:hanging="567"/>
      </w:pPr>
      <w:r w:rsidRPr="00E07B1B">
        <w:t>5</w:t>
      </w:r>
      <w:r>
        <w:tab/>
      </w:r>
      <w:r w:rsidRPr="00E07B1B">
        <w:t>What is the optimal diagnostic threshold for diagnosing gestational diabetes?</w:t>
      </w:r>
    </w:p>
    <w:p w:rsidR="0025490C" w:rsidRPr="00E07B1B" w:rsidRDefault="0025490C" w:rsidP="00C50E54">
      <w:pPr>
        <w:spacing w:before="120"/>
        <w:ind w:left="567" w:hanging="567"/>
      </w:pPr>
      <w:r w:rsidRPr="00E07B1B">
        <w:t>6</w:t>
      </w:r>
      <w:r>
        <w:tab/>
      </w:r>
      <w:r w:rsidRPr="00E07B1B">
        <w:t>Which screening/diagnostic regimen is optimal for maternal and infant outcomes?</w:t>
      </w:r>
    </w:p>
    <w:p w:rsidR="0025490C" w:rsidRPr="00E07B1B" w:rsidRDefault="0025490C" w:rsidP="00C50E54">
      <w:pPr>
        <w:spacing w:before="120"/>
        <w:ind w:left="567" w:hanging="567"/>
      </w:pPr>
      <w:r w:rsidRPr="00E07B1B">
        <w:t>7</w:t>
      </w:r>
      <w:r>
        <w:tab/>
      </w:r>
      <w:r w:rsidRPr="00E07B1B">
        <w:t>What is the evidence for referral pathways following screening for gestational diabetes?</w:t>
      </w:r>
    </w:p>
    <w:p w:rsidR="0025490C" w:rsidRPr="00E07B1B" w:rsidRDefault="0025490C" w:rsidP="00C50E54">
      <w:pPr>
        <w:spacing w:before="120"/>
        <w:ind w:left="567" w:hanging="567"/>
      </w:pPr>
      <w:r w:rsidRPr="00E07B1B">
        <w:t>8</w:t>
      </w:r>
      <w:r>
        <w:tab/>
      </w:r>
      <w:r w:rsidRPr="00E07B1B">
        <w:t>What is the effectiveness of risk factor versus universal screening on maternal and infant outcomes?</w:t>
      </w:r>
    </w:p>
    <w:p w:rsidR="0025490C" w:rsidRDefault="0025490C" w:rsidP="00C50E54">
      <w:pPr>
        <w:spacing w:before="120"/>
        <w:ind w:left="567" w:hanging="567"/>
      </w:pPr>
      <w:r w:rsidRPr="00E07B1B">
        <w:t>9</w:t>
      </w:r>
      <w:r>
        <w:tab/>
      </w:r>
      <w:r w:rsidRPr="00E07B1B">
        <w:t>What is the cost</w:t>
      </w:r>
      <w:r>
        <w:t xml:space="preserve">-effectiveness of commonly used </w:t>
      </w:r>
      <w:r w:rsidRPr="00E07B1B">
        <w:t>screening/diagnostic strategies?</w:t>
      </w:r>
    </w:p>
    <w:p w:rsidR="0025490C" w:rsidRPr="00E07B1B" w:rsidRDefault="0025490C" w:rsidP="00C50E54"/>
    <w:p w:rsidR="0025490C" w:rsidRPr="00E07B1B" w:rsidRDefault="0025490C" w:rsidP="00C50E54">
      <w:pPr>
        <w:pStyle w:val="Heading3"/>
      </w:pPr>
      <w:bookmarkStart w:id="390" w:name="_Toc358366892"/>
      <w:bookmarkStart w:id="391" w:name="_Toc363717748"/>
      <w:r w:rsidRPr="00E07B1B">
        <w:t>Treatment/management</w:t>
      </w:r>
      <w:bookmarkEnd w:id="390"/>
      <w:bookmarkEnd w:id="391"/>
    </w:p>
    <w:p w:rsidR="0068074A" w:rsidRDefault="0025490C" w:rsidP="00C50E54">
      <w:pPr>
        <w:ind w:left="567" w:hanging="567"/>
      </w:pPr>
      <w:r w:rsidRPr="00E07B1B">
        <w:t>10</w:t>
      </w:r>
      <w:r>
        <w:tab/>
      </w:r>
      <w:r w:rsidRPr="00E07B1B">
        <w:t>What is the safety and effectiveness of dietary and lifestyle interventions versus usual care on maternal and infant outcomes in women with gestational diabetes?</w:t>
      </w:r>
    </w:p>
    <w:p w:rsidR="0025490C" w:rsidRPr="00E07B1B" w:rsidRDefault="0025490C" w:rsidP="00C50E54">
      <w:pPr>
        <w:spacing w:before="120"/>
        <w:ind w:left="567" w:hanging="567"/>
      </w:pPr>
      <w:r w:rsidRPr="00E07B1B">
        <w:t>11</w:t>
      </w:r>
      <w:r>
        <w:tab/>
      </w:r>
      <w:r w:rsidRPr="00E07B1B">
        <w:t>What is the safety and effectiveness of oral hypoglycaemic versus insulin therapy on maternal and infant outcomes in women with gestational diabetes?</w:t>
      </w:r>
    </w:p>
    <w:p w:rsidR="0025490C" w:rsidRPr="00E07B1B" w:rsidRDefault="0025490C" w:rsidP="00C50E54">
      <w:pPr>
        <w:spacing w:before="120"/>
        <w:ind w:left="567" w:hanging="567"/>
      </w:pPr>
      <w:r w:rsidRPr="00E07B1B">
        <w:t>12</w:t>
      </w:r>
      <w:r>
        <w:tab/>
      </w:r>
      <w:r w:rsidRPr="00E07B1B">
        <w:t>What is the optimal timing and mode of delivery for women with gestational diabetes?</w:t>
      </w:r>
    </w:p>
    <w:p w:rsidR="0025490C" w:rsidRPr="00E07B1B" w:rsidRDefault="0025490C" w:rsidP="00C50E54">
      <w:pPr>
        <w:spacing w:before="120"/>
        <w:ind w:left="567" w:hanging="567"/>
      </w:pPr>
      <w:r w:rsidRPr="00E07B1B">
        <w:t>13</w:t>
      </w:r>
      <w:r>
        <w:tab/>
      </w:r>
      <w:r w:rsidRPr="00E07B1B">
        <w:t>What are the optimal glucose targets for managing hyperglycaemia in pregnancy?</w:t>
      </w:r>
    </w:p>
    <w:p w:rsidR="0025490C" w:rsidRPr="00E07B1B" w:rsidRDefault="0025490C" w:rsidP="00C50E54">
      <w:pPr>
        <w:spacing w:before="120"/>
        <w:ind w:left="567" w:hanging="567"/>
      </w:pPr>
      <w:r w:rsidRPr="00E07B1B">
        <w:t>14</w:t>
      </w:r>
      <w:r>
        <w:tab/>
      </w:r>
      <w:r w:rsidRPr="00E07B1B">
        <w:t>What is the safety and effectiveness of treatment of gestational diabetes targeted according to foetal ultrasound measurement?</w:t>
      </w:r>
    </w:p>
    <w:p w:rsidR="0068074A" w:rsidRDefault="0025490C" w:rsidP="00C50E54">
      <w:pPr>
        <w:spacing w:before="120"/>
        <w:ind w:left="567" w:hanging="567"/>
      </w:pPr>
      <w:r w:rsidRPr="00E07B1B">
        <w:t>15</w:t>
      </w:r>
      <w:r>
        <w:tab/>
      </w:r>
      <w:r w:rsidRPr="00E07B1B">
        <w:t>What is the cost</w:t>
      </w:r>
      <w:r>
        <w:t>-</w:t>
      </w:r>
      <w:r w:rsidRPr="00E07B1B">
        <w:t>effectiveness of treatments for gestational diabetes?</w:t>
      </w:r>
    </w:p>
    <w:p w:rsidR="0025490C" w:rsidRPr="00E07B1B" w:rsidRDefault="0025490C" w:rsidP="00C50E54"/>
    <w:p w:rsidR="0025490C" w:rsidRPr="00E07B1B" w:rsidRDefault="0025490C" w:rsidP="00C50E54">
      <w:pPr>
        <w:pStyle w:val="Heading3"/>
      </w:pPr>
      <w:bookmarkStart w:id="392" w:name="_Toc358366893"/>
      <w:bookmarkStart w:id="393" w:name="_Toc363717749"/>
      <w:r w:rsidRPr="00E07B1B">
        <w:t>Follow-up</w:t>
      </w:r>
      <w:bookmarkEnd w:id="392"/>
      <w:bookmarkEnd w:id="393"/>
    </w:p>
    <w:p w:rsidR="0025490C" w:rsidRPr="00E07B1B" w:rsidRDefault="0025490C" w:rsidP="00C50E54">
      <w:pPr>
        <w:keepNext/>
        <w:ind w:left="567" w:hanging="567"/>
      </w:pPr>
      <w:r w:rsidRPr="00E07B1B">
        <w:t>16</w:t>
      </w:r>
      <w:r>
        <w:tab/>
      </w:r>
      <w:r w:rsidRPr="00E07B1B">
        <w:t>What information and follow-up should be offered to women with gestational diabetes after birth? (Diet and lifestyle information/interventions, breastfeeding, contraception)</w:t>
      </w:r>
    </w:p>
    <w:p w:rsidR="0025490C" w:rsidRPr="00E07B1B" w:rsidRDefault="0025490C" w:rsidP="00C50E54">
      <w:pPr>
        <w:keepNext/>
        <w:spacing w:before="120"/>
        <w:ind w:left="567" w:hanging="567"/>
      </w:pPr>
      <w:r w:rsidRPr="00E07B1B">
        <w:t>17</w:t>
      </w:r>
      <w:r>
        <w:tab/>
      </w:r>
      <w:r w:rsidRPr="00E07B1B">
        <w:t>What is the best practice for immediate postpartum care for women and infants?</w:t>
      </w:r>
    </w:p>
    <w:p w:rsidR="0068074A" w:rsidRDefault="0025490C" w:rsidP="00C50E54">
      <w:pPr>
        <w:spacing w:before="120"/>
        <w:ind w:left="567" w:hanging="567"/>
        <w:rPr>
          <w:b/>
          <w:bCs/>
        </w:rPr>
      </w:pPr>
      <w:r w:rsidRPr="00E07B1B">
        <w:t>18</w:t>
      </w:r>
      <w:r>
        <w:tab/>
      </w:r>
      <w:r w:rsidRPr="00E07B1B">
        <w:rPr>
          <w:bCs/>
        </w:rPr>
        <w:t>What is the risk of developing type 2 diabetes and what are the risk factors for developing type 2 diabetes in women with gestational diabetes?</w:t>
      </w:r>
    </w:p>
    <w:p w:rsidR="0025490C" w:rsidRPr="00E07B1B" w:rsidRDefault="0025490C" w:rsidP="00C50E54">
      <w:pPr>
        <w:spacing w:before="120"/>
        <w:ind w:left="567" w:hanging="567"/>
      </w:pPr>
      <w:r w:rsidRPr="00E07B1B">
        <w:t>19</w:t>
      </w:r>
      <w:r>
        <w:tab/>
      </w:r>
      <w:r w:rsidRPr="00E07B1B">
        <w:t>What is the diagnostic test accuracy of postpartum screening test for diabetes in women who have been diagnosed with gestational diabetes?</w:t>
      </w:r>
    </w:p>
    <w:p w:rsidR="0025490C" w:rsidRPr="00E07B1B" w:rsidRDefault="0025490C" w:rsidP="00C50E54">
      <w:pPr>
        <w:spacing w:before="120"/>
        <w:ind w:left="567" w:hanging="567"/>
      </w:pPr>
      <w:r w:rsidRPr="00E07B1B">
        <w:t>20</w:t>
      </w:r>
      <w:r>
        <w:tab/>
      </w:r>
      <w:r w:rsidRPr="00E07B1B">
        <w:t>What interventions are useful in increasing the uptake of postnatal glucose screening in women who had gestational diabetes?</w:t>
      </w:r>
    </w:p>
    <w:p w:rsidR="0025490C" w:rsidRDefault="0025490C" w:rsidP="00C50E54">
      <w:pPr>
        <w:spacing w:before="120"/>
        <w:ind w:left="567" w:hanging="567"/>
      </w:pPr>
      <w:r w:rsidRPr="00E07B1B">
        <w:t>21</w:t>
      </w:r>
      <w:r>
        <w:tab/>
      </w:r>
      <w:r w:rsidRPr="00E07B1B">
        <w:t>Can type 2 diabetes be prevented in women with a diagnosis of gestational diabetes?</w:t>
      </w:r>
    </w:p>
    <w:p w:rsidR="00C50E54" w:rsidRPr="00E07B1B" w:rsidRDefault="00C50E54" w:rsidP="00C50E54"/>
    <w:p w:rsidR="00C50E54" w:rsidRDefault="00C50E54" w:rsidP="001967D2">
      <w:bookmarkStart w:id="394" w:name="_Toc358366894"/>
      <w:bookmarkStart w:id="395" w:name="_Toc363717750"/>
      <w:bookmarkStart w:id="396" w:name="_Toc402873635"/>
      <w:bookmarkStart w:id="397" w:name="_Toc403469696"/>
      <w:r>
        <w:br w:type="page"/>
      </w:r>
    </w:p>
    <w:p w:rsidR="0025490C" w:rsidRPr="00E07B1B" w:rsidRDefault="0025490C" w:rsidP="00C50E54">
      <w:pPr>
        <w:pStyle w:val="Heading2"/>
        <w:spacing w:before="0" w:after="240"/>
      </w:pPr>
      <w:r w:rsidRPr="00E07B1B">
        <w:t>Appendix D</w:t>
      </w:r>
      <w:r>
        <w:t>:</w:t>
      </w:r>
      <w:r w:rsidRPr="00E07B1B">
        <w:t xml:space="preserve"> Maternal and infant outcomes</w:t>
      </w:r>
      <w:bookmarkEnd w:id="394"/>
      <w:bookmarkEnd w:id="395"/>
      <w:bookmarkEnd w:id="396"/>
      <w:bookmarkEnd w:id="397"/>
    </w:p>
    <w:p w:rsidR="0025490C" w:rsidRDefault="0025490C" w:rsidP="001967D2">
      <w:r w:rsidRPr="00E07B1B">
        <w:t>The following maternal and infant outcomes were identified by the Guideline Development Team. These outcomes were used to inform the evidence base for the clinical questions listed in Appendix</w:t>
      </w:r>
      <w:r w:rsidR="001967D2">
        <w:t> </w:t>
      </w:r>
      <w:r w:rsidRPr="00E07B1B">
        <w:t>C.</w:t>
      </w:r>
    </w:p>
    <w:p w:rsidR="0025490C" w:rsidRPr="00E07B1B" w:rsidRDefault="0025490C" w:rsidP="001967D2"/>
    <w:p w:rsidR="0025490C" w:rsidRPr="00E07B1B" w:rsidRDefault="0025490C" w:rsidP="001967D2">
      <w:pPr>
        <w:pStyle w:val="Heading3"/>
      </w:pPr>
      <w:bookmarkStart w:id="398" w:name="_Toc358366895"/>
      <w:bookmarkStart w:id="399" w:name="_Toc363717751"/>
      <w:r w:rsidRPr="00E07B1B">
        <w:t>Maternal</w:t>
      </w:r>
      <w:bookmarkEnd w:id="398"/>
      <w:bookmarkEnd w:id="399"/>
    </w:p>
    <w:p w:rsidR="0025490C" w:rsidRPr="00E07B1B" w:rsidRDefault="0025490C" w:rsidP="001967D2">
      <w:pPr>
        <w:pStyle w:val="Bullet"/>
      </w:pPr>
      <w:r w:rsidRPr="00E07B1B">
        <w:t>Gestational weight gain</w:t>
      </w:r>
    </w:p>
    <w:p w:rsidR="0025490C" w:rsidRPr="00E07B1B" w:rsidRDefault="0025490C" w:rsidP="001967D2">
      <w:pPr>
        <w:pStyle w:val="Bullet"/>
      </w:pPr>
      <w:r w:rsidRPr="00E07B1B">
        <w:t>Pre-eclampsia</w:t>
      </w:r>
    </w:p>
    <w:p w:rsidR="0025490C" w:rsidRPr="00E07B1B" w:rsidRDefault="0025490C" w:rsidP="001967D2">
      <w:pPr>
        <w:pStyle w:val="Bullet"/>
      </w:pPr>
      <w:r w:rsidRPr="00E07B1B">
        <w:t>Induction of labour/caesarean section</w:t>
      </w:r>
    </w:p>
    <w:p w:rsidR="0025490C" w:rsidRPr="00E07B1B" w:rsidRDefault="0025490C" w:rsidP="001967D2">
      <w:pPr>
        <w:pStyle w:val="Bullet"/>
      </w:pPr>
      <w:r w:rsidRPr="00E07B1B">
        <w:t>Maternal mortality</w:t>
      </w:r>
    </w:p>
    <w:p w:rsidR="0025490C" w:rsidRPr="00E07B1B" w:rsidRDefault="0025490C" w:rsidP="001967D2">
      <w:pPr>
        <w:pStyle w:val="Bullet"/>
      </w:pPr>
      <w:r w:rsidRPr="00E07B1B">
        <w:t>Gestational diabetes</w:t>
      </w:r>
    </w:p>
    <w:p w:rsidR="0025490C" w:rsidRPr="00E07B1B" w:rsidRDefault="0025490C" w:rsidP="001967D2">
      <w:pPr>
        <w:pStyle w:val="Bullet"/>
      </w:pPr>
      <w:r w:rsidRPr="00E07B1B">
        <w:t>Perineal trauma</w:t>
      </w:r>
    </w:p>
    <w:p w:rsidR="0025490C" w:rsidRPr="00E07B1B" w:rsidRDefault="0025490C" w:rsidP="001967D2">
      <w:pPr>
        <w:pStyle w:val="Bullet"/>
      </w:pPr>
      <w:r w:rsidRPr="00E07B1B">
        <w:t>Acceptability</w:t>
      </w:r>
    </w:p>
    <w:p w:rsidR="0025490C" w:rsidRPr="00E07B1B" w:rsidRDefault="0025490C" w:rsidP="001967D2">
      <w:pPr>
        <w:pStyle w:val="Bullet"/>
      </w:pPr>
      <w:r w:rsidRPr="00E07B1B">
        <w:t>Type 2 diabetes</w:t>
      </w:r>
    </w:p>
    <w:p w:rsidR="0025490C" w:rsidRPr="00E07B1B" w:rsidRDefault="0025490C" w:rsidP="001967D2">
      <w:pPr>
        <w:pStyle w:val="Bullet"/>
      </w:pPr>
      <w:r w:rsidRPr="00E07B1B">
        <w:t>Maternal morbidity</w:t>
      </w:r>
      <w:r>
        <w:t>,</w:t>
      </w:r>
      <w:r w:rsidRPr="00E07B1B">
        <w:t xml:space="preserve"> eg</w:t>
      </w:r>
      <w:r>
        <w:t>,</w:t>
      </w:r>
      <w:r w:rsidRPr="00E07B1B">
        <w:t xml:space="preserve"> wound infection</w:t>
      </w:r>
    </w:p>
    <w:p w:rsidR="0025490C" w:rsidRPr="00E07B1B" w:rsidRDefault="0025490C" w:rsidP="001967D2"/>
    <w:p w:rsidR="0025490C" w:rsidRPr="00E07B1B" w:rsidRDefault="0025490C" w:rsidP="001967D2">
      <w:pPr>
        <w:pStyle w:val="Heading3"/>
      </w:pPr>
      <w:bookmarkStart w:id="400" w:name="_Toc358366896"/>
      <w:bookmarkStart w:id="401" w:name="_Toc363717752"/>
      <w:r w:rsidRPr="00E07B1B">
        <w:t>Infant</w:t>
      </w:r>
      <w:bookmarkEnd w:id="400"/>
      <w:bookmarkEnd w:id="401"/>
    </w:p>
    <w:p w:rsidR="0025490C" w:rsidRPr="00E07B1B" w:rsidRDefault="0025490C" w:rsidP="001967D2">
      <w:pPr>
        <w:pStyle w:val="Bullet"/>
      </w:pPr>
      <w:r w:rsidRPr="00E07B1B">
        <w:t>Neonatal hypoglycaemia</w:t>
      </w:r>
    </w:p>
    <w:p w:rsidR="0025490C" w:rsidRPr="00E07B1B" w:rsidRDefault="0025490C" w:rsidP="001967D2">
      <w:pPr>
        <w:pStyle w:val="Bullet"/>
      </w:pPr>
      <w:r w:rsidRPr="00E07B1B">
        <w:t>Admission to neonatal intensive care</w:t>
      </w:r>
    </w:p>
    <w:p w:rsidR="0025490C" w:rsidRPr="00E07B1B" w:rsidRDefault="0025490C" w:rsidP="001967D2">
      <w:pPr>
        <w:pStyle w:val="Bullet"/>
      </w:pPr>
      <w:r w:rsidRPr="00E07B1B">
        <w:t>Large for gestational age</w:t>
      </w:r>
    </w:p>
    <w:p w:rsidR="0025490C" w:rsidRPr="00E07B1B" w:rsidRDefault="0025490C" w:rsidP="001967D2">
      <w:pPr>
        <w:pStyle w:val="Bullet"/>
      </w:pPr>
      <w:r w:rsidRPr="00E07B1B">
        <w:t>Respiratory distress syndrome</w:t>
      </w:r>
    </w:p>
    <w:p w:rsidR="0025490C" w:rsidRPr="00E07B1B" w:rsidRDefault="0025490C" w:rsidP="001967D2">
      <w:pPr>
        <w:pStyle w:val="Bullet"/>
      </w:pPr>
      <w:r w:rsidRPr="00E07B1B">
        <w:t>Hyperbilirubinaemia</w:t>
      </w:r>
    </w:p>
    <w:p w:rsidR="0025490C" w:rsidRPr="00E07B1B" w:rsidRDefault="0025490C" w:rsidP="001967D2">
      <w:pPr>
        <w:pStyle w:val="Bullet"/>
      </w:pPr>
      <w:r w:rsidRPr="00E07B1B">
        <w:t>Laboratory measures</w:t>
      </w:r>
    </w:p>
    <w:p w:rsidR="0025490C" w:rsidRPr="00E07B1B" w:rsidRDefault="0025490C" w:rsidP="001967D2">
      <w:pPr>
        <w:pStyle w:val="Bullet"/>
      </w:pPr>
      <w:r w:rsidRPr="00E07B1B">
        <w:t>Gestational age at delivery (&lt;</w:t>
      </w:r>
      <w:r>
        <w:t xml:space="preserve"> </w:t>
      </w:r>
      <w:r w:rsidRPr="00E07B1B">
        <w:t>37/40 weeks)</w:t>
      </w:r>
    </w:p>
    <w:p w:rsidR="0025490C" w:rsidRPr="00E07B1B" w:rsidRDefault="0025490C" w:rsidP="001967D2">
      <w:pPr>
        <w:pStyle w:val="Bullet"/>
      </w:pPr>
      <w:r w:rsidRPr="00E07B1B">
        <w:t>Birth trauma</w:t>
      </w:r>
    </w:p>
    <w:p w:rsidR="0025490C" w:rsidRPr="00E07B1B" w:rsidRDefault="0025490C" w:rsidP="001967D2">
      <w:pPr>
        <w:pStyle w:val="Bullet"/>
      </w:pPr>
      <w:r w:rsidRPr="00E07B1B">
        <w:t>Perinatal mortality</w:t>
      </w:r>
    </w:p>
    <w:p w:rsidR="0025490C" w:rsidRPr="00E07B1B" w:rsidRDefault="0025490C" w:rsidP="001967D2">
      <w:pPr>
        <w:pStyle w:val="Bullet"/>
      </w:pPr>
      <w:r w:rsidRPr="00E07B1B">
        <w:t>Stillbirth</w:t>
      </w:r>
    </w:p>
    <w:p w:rsidR="0025490C" w:rsidRPr="00E07B1B" w:rsidRDefault="0025490C" w:rsidP="001967D2">
      <w:pPr>
        <w:pStyle w:val="Bullet"/>
      </w:pPr>
      <w:r w:rsidRPr="00E07B1B">
        <w:t>Perinatal asph</w:t>
      </w:r>
      <w:r>
        <w:t>y</w:t>
      </w:r>
      <w:r w:rsidRPr="00E07B1B">
        <w:t>xia</w:t>
      </w:r>
    </w:p>
    <w:p w:rsidR="0025490C" w:rsidRPr="00E07B1B" w:rsidRDefault="0025490C" w:rsidP="001967D2">
      <w:pPr>
        <w:pStyle w:val="Bullet"/>
      </w:pPr>
      <w:r w:rsidRPr="00E07B1B">
        <w:t>Obesity in older age</w:t>
      </w:r>
    </w:p>
    <w:p w:rsidR="0025490C" w:rsidRPr="00E07B1B" w:rsidRDefault="0025490C" w:rsidP="001967D2">
      <w:pPr>
        <w:pStyle w:val="Bullet"/>
      </w:pPr>
      <w:r w:rsidRPr="00E07B1B">
        <w:t>Type 2 diabetes in childhood</w:t>
      </w:r>
    </w:p>
    <w:p w:rsidR="0025490C" w:rsidRDefault="0025490C" w:rsidP="001967D2">
      <w:pPr>
        <w:pStyle w:val="Bullet"/>
      </w:pPr>
      <w:r w:rsidRPr="00E07B1B">
        <w:t>Neurodevelopment</w:t>
      </w:r>
    </w:p>
    <w:p w:rsidR="00C04C3B" w:rsidRPr="00E07B1B" w:rsidRDefault="00C04C3B" w:rsidP="001967D2"/>
    <w:p w:rsidR="0025490C" w:rsidRPr="00E07B1B" w:rsidRDefault="0025490C" w:rsidP="00C04C3B">
      <w:pPr>
        <w:pStyle w:val="Heading2"/>
        <w:spacing w:before="0" w:after="240"/>
        <w:ind w:left="0" w:firstLine="0"/>
      </w:pPr>
      <w:r w:rsidRPr="00E07B1B">
        <w:rPr>
          <w:szCs w:val="24"/>
        </w:rPr>
        <w:br w:type="page"/>
      </w:r>
      <w:bookmarkStart w:id="402" w:name="_Toc358366897"/>
      <w:bookmarkStart w:id="403" w:name="_Toc363717753"/>
      <w:bookmarkStart w:id="404" w:name="_Toc402873636"/>
      <w:bookmarkStart w:id="405" w:name="_Toc403469697"/>
      <w:r w:rsidRPr="00E07B1B">
        <w:t>Appendix E</w:t>
      </w:r>
      <w:bookmarkEnd w:id="402"/>
      <w:r>
        <w:t>:</w:t>
      </w:r>
      <w:r w:rsidRPr="00E07B1B">
        <w:t xml:space="preserve"> </w:t>
      </w:r>
      <w:r>
        <w:t xml:space="preserve">Supporting evidence for </w:t>
      </w:r>
      <w:r w:rsidRPr="00E07B1B">
        <w:t>Chapter</w:t>
      </w:r>
      <w:r w:rsidR="00C04C3B">
        <w:t> </w:t>
      </w:r>
      <w:r w:rsidRPr="00E07B1B">
        <w:t>1</w:t>
      </w:r>
      <w:bookmarkEnd w:id="403"/>
      <w:bookmarkEnd w:id="404"/>
      <w:bookmarkEnd w:id="405"/>
    </w:p>
    <w:p w:rsidR="0025490C" w:rsidRPr="00E07B1B" w:rsidRDefault="0025490C" w:rsidP="001967D2">
      <w:pPr>
        <w:pStyle w:val="Figure"/>
      </w:pPr>
      <w:bookmarkStart w:id="406" w:name="_Toc363717754"/>
      <w:bookmarkStart w:id="407" w:name="_Toc403636044"/>
      <w:r w:rsidRPr="00E07B1B">
        <w:t>Figure 1</w:t>
      </w:r>
      <w:r w:rsidR="001967D2">
        <w:t>:</w:t>
      </w:r>
      <w:r w:rsidR="009E3907">
        <w:t xml:space="preserve"> </w:t>
      </w:r>
      <w:r w:rsidRPr="00E07B1B">
        <w:t xml:space="preserve">Percentage of women with gestational diabetes in New Zealand </w:t>
      </w:r>
      <w:r>
        <w:t>(</w:t>
      </w:r>
      <w:r w:rsidRPr="00E07B1B">
        <w:t>2008</w:t>
      </w:r>
      <w:r>
        <w:t>–</w:t>
      </w:r>
      <w:r w:rsidRPr="00E07B1B">
        <w:t>2012</w:t>
      </w:r>
      <w:bookmarkEnd w:id="406"/>
      <w:r>
        <w:t>)</w:t>
      </w:r>
      <w:bookmarkEnd w:id="407"/>
    </w:p>
    <w:p w:rsidR="001967D2" w:rsidRPr="001967D2" w:rsidRDefault="00B379A1" w:rsidP="00B379A1">
      <w:r w:rsidRPr="00B379A1">
        <w:rPr>
          <w:noProof/>
          <w:lang w:eastAsia="en-NZ"/>
        </w:rPr>
        <w:drawing>
          <wp:inline distT="0" distB="0" distL="0" distR="0" wp14:anchorId="1F52D28B" wp14:editId="4763D1F9">
            <wp:extent cx="4390839" cy="2061556"/>
            <wp:effectExtent l="0" t="0" r="0" b="0"/>
            <wp:docPr id="3" name="Picture 3" title="Figure 1: Percentage of women with gestational diabetes in New Zealand (2008–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9"/>
                    <a:srcRect l="1739" t="1761" r="1739" b="6540"/>
                    <a:stretch/>
                  </pic:blipFill>
                  <pic:spPr bwMode="auto">
                    <a:xfrm>
                      <a:off x="0" y="0"/>
                      <a:ext cx="4390839" cy="2061556"/>
                    </a:xfrm>
                    <a:prstGeom prst="rect">
                      <a:avLst/>
                    </a:prstGeom>
                    <a:ln>
                      <a:noFill/>
                    </a:ln>
                    <a:extLst>
                      <a:ext uri="{53640926-AAD7-44D8-BBD7-CCE9431645EC}">
                        <a14:shadowObscured xmlns:a14="http://schemas.microsoft.com/office/drawing/2010/main"/>
                      </a:ext>
                    </a:extLst>
                  </pic:spPr>
                </pic:pic>
              </a:graphicData>
            </a:graphic>
          </wp:inline>
        </w:drawing>
      </w:r>
    </w:p>
    <w:p w:rsidR="0025490C" w:rsidRPr="00B539E0" w:rsidRDefault="0025490C" w:rsidP="001967D2">
      <w:pPr>
        <w:pStyle w:val="Source"/>
        <w:rPr>
          <w:lang w:eastAsia="en-NZ"/>
        </w:rPr>
      </w:pPr>
      <w:r w:rsidRPr="00B539E0">
        <w:rPr>
          <w:lang w:eastAsia="en-NZ"/>
        </w:rPr>
        <w:t>Source: National Maternity Collection, Ministry of Health, 2012</w:t>
      </w:r>
    </w:p>
    <w:p w:rsidR="0025490C" w:rsidRPr="00E07B1B" w:rsidRDefault="0025490C" w:rsidP="001967D2">
      <w:pPr>
        <w:rPr>
          <w:lang w:eastAsia="en-NZ"/>
        </w:rPr>
      </w:pPr>
    </w:p>
    <w:p w:rsidR="0025490C" w:rsidRPr="00E07B1B" w:rsidRDefault="0025490C" w:rsidP="001967D2">
      <w:pPr>
        <w:pStyle w:val="Figure"/>
      </w:pPr>
      <w:bookmarkStart w:id="408" w:name="_Toc363717755"/>
      <w:bookmarkStart w:id="409" w:name="_Toc403636045"/>
      <w:r w:rsidRPr="00E07B1B">
        <w:t>Figure 2</w:t>
      </w:r>
      <w:r w:rsidR="001967D2">
        <w:t>:</w:t>
      </w:r>
      <w:r w:rsidRPr="00E07B1B">
        <w:t xml:space="preserve"> Incidence of gestational diabetes at National Women</w:t>
      </w:r>
      <w:r w:rsidR="0068074A">
        <w:t>’</w:t>
      </w:r>
      <w:r w:rsidRPr="00E07B1B">
        <w:t>s Hospital</w:t>
      </w:r>
      <w:r>
        <w:t xml:space="preserve"> </w:t>
      </w:r>
      <w:r w:rsidRPr="00E07B1B">
        <w:t>(2002</w:t>
      </w:r>
      <w:r>
        <w:t>–</w:t>
      </w:r>
      <w:r w:rsidRPr="00E07B1B">
        <w:t>2011)</w:t>
      </w:r>
      <w:bookmarkEnd w:id="408"/>
      <w:bookmarkEnd w:id="409"/>
    </w:p>
    <w:p w:rsidR="001967D2" w:rsidRPr="001967D2" w:rsidRDefault="00B379A1" w:rsidP="00B379A1">
      <w:r w:rsidRPr="00B379A1">
        <w:rPr>
          <w:noProof/>
          <w:lang w:eastAsia="en-NZ"/>
        </w:rPr>
        <w:drawing>
          <wp:inline distT="0" distB="0" distL="0" distR="0" wp14:anchorId="5B7B0F21" wp14:editId="1B003E61">
            <wp:extent cx="4393654" cy="1853738"/>
            <wp:effectExtent l="0" t="0" r="6985" b="0"/>
            <wp:docPr id="4" name="Picture 4" title="Figure 2: Incidence of gestational diabetes at National Women’s Hospital (2002–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0"/>
                    <a:srcRect l="2172" t="2280" r="1846" b="6603"/>
                    <a:stretch/>
                  </pic:blipFill>
                  <pic:spPr bwMode="auto">
                    <a:xfrm>
                      <a:off x="0" y="0"/>
                      <a:ext cx="4398077" cy="1855604"/>
                    </a:xfrm>
                    <a:prstGeom prst="rect">
                      <a:avLst/>
                    </a:prstGeom>
                    <a:ln>
                      <a:noFill/>
                    </a:ln>
                    <a:extLst>
                      <a:ext uri="{53640926-AAD7-44D8-BBD7-CCE9431645EC}">
                        <a14:shadowObscured xmlns:a14="http://schemas.microsoft.com/office/drawing/2010/main"/>
                      </a:ext>
                    </a:extLst>
                  </pic:spPr>
                </pic:pic>
              </a:graphicData>
            </a:graphic>
          </wp:inline>
        </w:drawing>
      </w:r>
    </w:p>
    <w:p w:rsidR="0025490C" w:rsidRDefault="0025490C" w:rsidP="001967D2">
      <w:pPr>
        <w:pStyle w:val="Source"/>
      </w:pPr>
      <w:r w:rsidRPr="00B539E0">
        <w:t>Source: Auckland District Health Board (2012)</w:t>
      </w:r>
    </w:p>
    <w:p w:rsidR="00B379A1" w:rsidRPr="00B379A1" w:rsidRDefault="00B379A1" w:rsidP="00B379A1"/>
    <w:p w:rsidR="0068074A" w:rsidRDefault="0025490C" w:rsidP="001967D2">
      <w:pPr>
        <w:pStyle w:val="Figure"/>
      </w:pPr>
      <w:bookmarkStart w:id="410" w:name="_Toc363717756"/>
      <w:bookmarkStart w:id="411" w:name="_Toc403636046"/>
      <w:r w:rsidRPr="00E07B1B">
        <w:t>Figure 3</w:t>
      </w:r>
      <w:r w:rsidR="001967D2">
        <w:t>:</w:t>
      </w:r>
      <w:r w:rsidRPr="00E07B1B">
        <w:t xml:space="preserve"> Incidence of gestational diabetes for Counties Man</w:t>
      </w:r>
      <w:r>
        <w:t>u</w:t>
      </w:r>
      <w:r w:rsidRPr="00E07B1B">
        <w:t>kau District Health Board (2006/</w:t>
      </w:r>
      <w:r>
        <w:t>0</w:t>
      </w:r>
      <w:r w:rsidRPr="00E07B1B">
        <w:t>7</w:t>
      </w:r>
      <w:r>
        <w:t>–</w:t>
      </w:r>
      <w:r w:rsidRPr="00E07B1B">
        <w:t>2011/12)</w:t>
      </w:r>
      <w:bookmarkEnd w:id="410"/>
      <w:bookmarkEnd w:id="411"/>
    </w:p>
    <w:p w:rsidR="001967D2" w:rsidRPr="001967D2" w:rsidRDefault="00B379A1" w:rsidP="0025490C">
      <w:r w:rsidRPr="00B379A1">
        <w:rPr>
          <w:noProof/>
          <w:lang w:eastAsia="en-NZ"/>
        </w:rPr>
        <w:drawing>
          <wp:inline distT="0" distB="0" distL="0" distR="0" wp14:anchorId="7365DD76" wp14:editId="25EDE9FC">
            <wp:extent cx="4438997" cy="2518756"/>
            <wp:effectExtent l="0" t="0" r="0" b="0"/>
            <wp:docPr id="5" name="Picture 5" title="Figure 3: Incidence of gestational diabetes for Counties Manukau District Health Board (2006/07–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1"/>
                    <a:srcRect l="2170" t="1720" r="1447" b="5386"/>
                    <a:stretch/>
                  </pic:blipFill>
                  <pic:spPr bwMode="auto">
                    <a:xfrm>
                      <a:off x="0" y="0"/>
                      <a:ext cx="4438042" cy="2518214"/>
                    </a:xfrm>
                    <a:prstGeom prst="rect">
                      <a:avLst/>
                    </a:prstGeom>
                    <a:ln>
                      <a:noFill/>
                    </a:ln>
                    <a:extLst>
                      <a:ext uri="{53640926-AAD7-44D8-BBD7-CCE9431645EC}">
                        <a14:shadowObscured xmlns:a14="http://schemas.microsoft.com/office/drawing/2010/main"/>
                      </a:ext>
                    </a:extLst>
                  </pic:spPr>
                </pic:pic>
              </a:graphicData>
            </a:graphic>
          </wp:inline>
        </w:drawing>
      </w:r>
    </w:p>
    <w:p w:rsidR="0025490C" w:rsidRDefault="0025490C" w:rsidP="001967D2">
      <w:pPr>
        <w:pStyle w:val="Source"/>
      </w:pPr>
      <w:r w:rsidRPr="00B539E0">
        <w:t>Source: Winnard and Anderson (2013)</w:t>
      </w:r>
    </w:p>
    <w:p w:rsidR="0025490C" w:rsidRPr="00E07B1B" w:rsidRDefault="001967D2" w:rsidP="00B01366">
      <w:pPr>
        <w:pStyle w:val="Table"/>
        <w:spacing w:before="360"/>
      </w:pPr>
      <w:bookmarkStart w:id="412" w:name="_Toc363717757"/>
      <w:bookmarkStart w:id="413" w:name="_Toc403635882"/>
      <w:r>
        <w:t>T</w:t>
      </w:r>
      <w:r w:rsidR="0025490C" w:rsidRPr="00E07B1B">
        <w:t>able 1</w:t>
      </w:r>
      <w:r>
        <w:t>:</w:t>
      </w:r>
      <w:r w:rsidR="0025490C" w:rsidRPr="00E07B1B">
        <w:t xml:space="preserve"> Percentage of women flagged with gestational diabetes mellitus by ethnicity in New Zealand (2012)</w:t>
      </w:r>
      <w:bookmarkEnd w:id="412"/>
      <w:bookmarkEnd w:id="413"/>
    </w:p>
    <w:tbl>
      <w:tblPr>
        <w:tblW w:w="0" w:type="auto"/>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518"/>
        <w:gridCol w:w="1169"/>
        <w:gridCol w:w="1169"/>
        <w:gridCol w:w="1169"/>
        <w:gridCol w:w="1169"/>
        <w:gridCol w:w="1170"/>
        <w:gridCol w:w="992"/>
      </w:tblGrid>
      <w:tr w:rsidR="0025490C" w:rsidRPr="001967D2" w:rsidTr="001967D2">
        <w:trPr>
          <w:cantSplit/>
        </w:trPr>
        <w:tc>
          <w:tcPr>
            <w:tcW w:w="2518" w:type="dxa"/>
            <w:vMerge w:val="restart"/>
            <w:tcBorders>
              <w:top w:val="single" w:sz="4" w:space="0" w:color="auto"/>
              <w:left w:val="nil"/>
              <w:bottom w:val="nil"/>
              <w:right w:val="single" w:sz="4" w:space="0" w:color="A6A6A6" w:themeColor="background1" w:themeShade="A6"/>
            </w:tcBorders>
          </w:tcPr>
          <w:p w:rsidR="0025490C" w:rsidRPr="001967D2" w:rsidRDefault="0025490C" w:rsidP="00B01366">
            <w:pPr>
              <w:pStyle w:val="TableText"/>
              <w:rPr>
                <w:b/>
              </w:rPr>
            </w:pPr>
            <w:r w:rsidRPr="001967D2">
              <w:rPr>
                <w:b/>
              </w:rPr>
              <w:t>District health board</w:t>
            </w:r>
          </w:p>
        </w:tc>
        <w:tc>
          <w:tcPr>
            <w:tcW w:w="5846" w:type="dxa"/>
            <w:gridSpan w:val="5"/>
            <w:tcBorders>
              <w:top w:val="single" w:sz="4" w:space="0" w:color="auto"/>
              <w:left w:val="single" w:sz="4" w:space="0" w:color="A6A6A6" w:themeColor="background1" w:themeShade="A6"/>
              <w:bottom w:val="nil"/>
              <w:right w:val="single" w:sz="4" w:space="0" w:color="A6A6A6" w:themeColor="background1" w:themeShade="A6"/>
            </w:tcBorders>
          </w:tcPr>
          <w:p w:rsidR="0025490C" w:rsidRPr="001967D2" w:rsidRDefault="0025490C" w:rsidP="00B01366">
            <w:pPr>
              <w:pStyle w:val="TableText"/>
              <w:jc w:val="center"/>
              <w:rPr>
                <w:b/>
              </w:rPr>
            </w:pPr>
            <w:r w:rsidRPr="001967D2">
              <w:rPr>
                <w:b/>
              </w:rPr>
              <w:t>Ethnicity</w:t>
            </w:r>
          </w:p>
        </w:tc>
        <w:tc>
          <w:tcPr>
            <w:tcW w:w="992" w:type="dxa"/>
            <w:vMerge w:val="restart"/>
            <w:tcBorders>
              <w:top w:val="single" w:sz="4" w:space="0" w:color="auto"/>
              <w:left w:val="single" w:sz="4" w:space="0" w:color="A6A6A6" w:themeColor="background1" w:themeShade="A6"/>
              <w:bottom w:val="nil"/>
              <w:right w:val="nil"/>
            </w:tcBorders>
          </w:tcPr>
          <w:p w:rsidR="0025490C" w:rsidRPr="001967D2" w:rsidRDefault="0025490C" w:rsidP="00B01366">
            <w:pPr>
              <w:pStyle w:val="TableText"/>
              <w:jc w:val="center"/>
              <w:rPr>
                <w:b/>
              </w:rPr>
            </w:pPr>
            <w:r w:rsidRPr="001967D2">
              <w:rPr>
                <w:b/>
              </w:rPr>
              <w:t>Total</w:t>
            </w:r>
          </w:p>
        </w:tc>
      </w:tr>
      <w:tr w:rsidR="0025490C" w:rsidRPr="001967D2" w:rsidTr="001967D2">
        <w:trPr>
          <w:cantSplit/>
        </w:trPr>
        <w:tc>
          <w:tcPr>
            <w:tcW w:w="2518" w:type="dxa"/>
            <w:vMerge/>
            <w:tcBorders>
              <w:top w:val="nil"/>
              <w:left w:val="nil"/>
              <w:bottom w:val="single" w:sz="4" w:space="0" w:color="auto"/>
              <w:right w:val="single" w:sz="4" w:space="0" w:color="A6A6A6" w:themeColor="background1" w:themeShade="A6"/>
            </w:tcBorders>
          </w:tcPr>
          <w:p w:rsidR="0025490C" w:rsidRPr="001967D2" w:rsidRDefault="0025490C" w:rsidP="00B01366">
            <w:pPr>
              <w:pStyle w:val="TableText"/>
              <w:rPr>
                <w:b/>
              </w:rPr>
            </w:pPr>
          </w:p>
        </w:tc>
        <w:tc>
          <w:tcPr>
            <w:tcW w:w="1169" w:type="dxa"/>
            <w:tcBorders>
              <w:top w:val="nil"/>
              <w:left w:val="single" w:sz="4" w:space="0" w:color="A6A6A6" w:themeColor="background1" w:themeShade="A6"/>
              <w:bottom w:val="single" w:sz="4" w:space="0" w:color="auto"/>
              <w:right w:val="nil"/>
            </w:tcBorders>
          </w:tcPr>
          <w:p w:rsidR="0025490C" w:rsidRPr="001967D2" w:rsidRDefault="0025490C" w:rsidP="00B01366">
            <w:pPr>
              <w:pStyle w:val="TableText"/>
              <w:spacing w:before="0"/>
              <w:jc w:val="center"/>
              <w:rPr>
                <w:b/>
              </w:rPr>
            </w:pPr>
            <w:r w:rsidRPr="001967D2">
              <w:rPr>
                <w:b/>
              </w:rPr>
              <w:t>Asian</w:t>
            </w:r>
          </w:p>
        </w:tc>
        <w:tc>
          <w:tcPr>
            <w:tcW w:w="1169" w:type="dxa"/>
            <w:tcBorders>
              <w:top w:val="nil"/>
              <w:left w:val="nil"/>
              <w:bottom w:val="single" w:sz="4" w:space="0" w:color="auto"/>
              <w:right w:val="nil"/>
            </w:tcBorders>
          </w:tcPr>
          <w:p w:rsidR="0025490C" w:rsidRPr="001967D2" w:rsidRDefault="0025490C" w:rsidP="00B01366">
            <w:pPr>
              <w:pStyle w:val="TableText"/>
              <w:spacing w:before="0"/>
              <w:jc w:val="center"/>
              <w:rPr>
                <w:b/>
              </w:rPr>
            </w:pPr>
            <w:r w:rsidRPr="001967D2">
              <w:rPr>
                <w:b/>
              </w:rPr>
              <w:t>European</w:t>
            </w:r>
          </w:p>
        </w:tc>
        <w:tc>
          <w:tcPr>
            <w:tcW w:w="1169" w:type="dxa"/>
            <w:tcBorders>
              <w:top w:val="nil"/>
              <w:left w:val="nil"/>
              <w:bottom w:val="single" w:sz="4" w:space="0" w:color="auto"/>
              <w:right w:val="nil"/>
            </w:tcBorders>
          </w:tcPr>
          <w:p w:rsidR="0025490C" w:rsidRPr="001967D2" w:rsidRDefault="0025490C" w:rsidP="00B01366">
            <w:pPr>
              <w:pStyle w:val="TableText"/>
              <w:spacing w:before="0"/>
              <w:jc w:val="center"/>
              <w:rPr>
                <w:b/>
              </w:rPr>
            </w:pPr>
            <w:r w:rsidRPr="001967D2">
              <w:rPr>
                <w:b/>
              </w:rPr>
              <w:t>Māori</w:t>
            </w:r>
          </w:p>
        </w:tc>
        <w:tc>
          <w:tcPr>
            <w:tcW w:w="1169" w:type="dxa"/>
            <w:tcBorders>
              <w:top w:val="nil"/>
              <w:left w:val="nil"/>
              <w:bottom w:val="single" w:sz="4" w:space="0" w:color="auto"/>
              <w:right w:val="nil"/>
            </w:tcBorders>
          </w:tcPr>
          <w:p w:rsidR="0025490C" w:rsidRPr="001967D2" w:rsidRDefault="0025490C" w:rsidP="00B01366">
            <w:pPr>
              <w:pStyle w:val="TableText"/>
              <w:spacing w:before="0"/>
              <w:jc w:val="center"/>
              <w:rPr>
                <w:b/>
              </w:rPr>
            </w:pPr>
            <w:r w:rsidRPr="001967D2">
              <w:rPr>
                <w:b/>
              </w:rPr>
              <w:t>Pacific</w:t>
            </w:r>
          </w:p>
        </w:tc>
        <w:tc>
          <w:tcPr>
            <w:tcW w:w="1170" w:type="dxa"/>
            <w:tcBorders>
              <w:top w:val="nil"/>
              <w:left w:val="nil"/>
              <w:bottom w:val="single" w:sz="4" w:space="0" w:color="auto"/>
              <w:right w:val="single" w:sz="4" w:space="0" w:color="A6A6A6" w:themeColor="background1" w:themeShade="A6"/>
            </w:tcBorders>
          </w:tcPr>
          <w:p w:rsidR="0025490C" w:rsidRPr="001967D2" w:rsidRDefault="0025490C" w:rsidP="00B01366">
            <w:pPr>
              <w:pStyle w:val="TableText"/>
              <w:spacing w:before="0"/>
              <w:jc w:val="center"/>
              <w:rPr>
                <w:b/>
              </w:rPr>
            </w:pPr>
            <w:r w:rsidRPr="001967D2">
              <w:rPr>
                <w:b/>
              </w:rPr>
              <w:t>MELAA</w:t>
            </w:r>
          </w:p>
        </w:tc>
        <w:tc>
          <w:tcPr>
            <w:tcW w:w="992" w:type="dxa"/>
            <w:vMerge/>
            <w:tcBorders>
              <w:top w:val="nil"/>
              <w:left w:val="single" w:sz="4" w:space="0" w:color="A6A6A6" w:themeColor="background1" w:themeShade="A6"/>
              <w:bottom w:val="single" w:sz="4" w:space="0" w:color="auto"/>
              <w:right w:val="nil"/>
            </w:tcBorders>
          </w:tcPr>
          <w:p w:rsidR="0025490C" w:rsidRPr="001967D2" w:rsidRDefault="0025490C" w:rsidP="00B01366">
            <w:pPr>
              <w:pStyle w:val="TableText"/>
              <w:rPr>
                <w:b/>
              </w:rPr>
            </w:pPr>
          </w:p>
        </w:tc>
      </w:tr>
      <w:tr w:rsidR="0025490C" w:rsidRPr="00E07B1B" w:rsidTr="001967D2">
        <w:trPr>
          <w:cantSplit/>
        </w:trPr>
        <w:tc>
          <w:tcPr>
            <w:tcW w:w="2518" w:type="dxa"/>
            <w:tcBorders>
              <w:top w:val="single" w:sz="4" w:space="0" w:color="auto"/>
              <w:left w:val="nil"/>
              <w:bottom w:val="nil"/>
              <w:right w:val="single" w:sz="4" w:space="0" w:color="A6A6A6" w:themeColor="background1" w:themeShade="A6"/>
            </w:tcBorders>
            <w:shd w:val="clear" w:color="auto" w:fill="F2F2F2" w:themeFill="background1" w:themeFillShade="F2"/>
          </w:tcPr>
          <w:p w:rsidR="0025490C" w:rsidRPr="00E07B1B" w:rsidRDefault="0025490C" w:rsidP="00B01366">
            <w:pPr>
              <w:pStyle w:val="TableText"/>
            </w:pPr>
            <w:r w:rsidRPr="00E07B1B">
              <w:t>Auckland</w:t>
            </w:r>
          </w:p>
        </w:tc>
        <w:tc>
          <w:tcPr>
            <w:tcW w:w="1169" w:type="dxa"/>
            <w:tcBorders>
              <w:top w:val="single" w:sz="4" w:space="0" w:color="auto"/>
              <w:left w:val="single" w:sz="4" w:space="0" w:color="A6A6A6" w:themeColor="background1" w:themeShade="A6"/>
              <w:bottom w:val="nil"/>
              <w:right w:val="nil"/>
            </w:tcBorders>
            <w:shd w:val="clear" w:color="auto" w:fill="F2F2F2" w:themeFill="background1" w:themeFillShade="F2"/>
          </w:tcPr>
          <w:p w:rsidR="0025490C" w:rsidRPr="00E07B1B" w:rsidRDefault="0025490C" w:rsidP="00B01366">
            <w:pPr>
              <w:pStyle w:val="TableText"/>
              <w:tabs>
                <w:tab w:val="decimal" w:pos="527"/>
              </w:tabs>
            </w:pPr>
            <w:r w:rsidRPr="00E07B1B">
              <w:t>13.8</w:t>
            </w:r>
          </w:p>
        </w:tc>
        <w:tc>
          <w:tcPr>
            <w:tcW w:w="1169" w:type="dxa"/>
            <w:tcBorders>
              <w:top w:val="single" w:sz="4" w:space="0" w:color="auto"/>
              <w:left w:val="nil"/>
              <w:bottom w:val="nil"/>
              <w:right w:val="nil"/>
            </w:tcBorders>
            <w:shd w:val="clear" w:color="auto" w:fill="F2F2F2" w:themeFill="background1" w:themeFillShade="F2"/>
          </w:tcPr>
          <w:p w:rsidR="0025490C" w:rsidRPr="00E07B1B" w:rsidRDefault="0025490C" w:rsidP="00B01366">
            <w:pPr>
              <w:pStyle w:val="TableText"/>
              <w:tabs>
                <w:tab w:val="decimal" w:pos="527"/>
              </w:tabs>
            </w:pPr>
            <w:r w:rsidRPr="00E07B1B">
              <w:t>3.3</w:t>
            </w:r>
          </w:p>
        </w:tc>
        <w:tc>
          <w:tcPr>
            <w:tcW w:w="1169" w:type="dxa"/>
            <w:tcBorders>
              <w:top w:val="single" w:sz="4" w:space="0" w:color="auto"/>
              <w:left w:val="nil"/>
              <w:bottom w:val="nil"/>
              <w:right w:val="nil"/>
            </w:tcBorders>
            <w:shd w:val="clear" w:color="auto" w:fill="F2F2F2" w:themeFill="background1" w:themeFillShade="F2"/>
          </w:tcPr>
          <w:p w:rsidR="0025490C" w:rsidRPr="00E07B1B" w:rsidRDefault="0025490C" w:rsidP="00B01366">
            <w:pPr>
              <w:pStyle w:val="TableText"/>
              <w:tabs>
                <w:tab w:val="decimal" w:pos="527"/>
              </w:tabs>
            </w:pPr>
            <w:r w:rsidRPr="00E07B1B">
              <w:t>5.0</w:t>
            </w:r>
          </w:p>
        </w:tc>
        <w:tc>
          <w:tcPr>
            <w:tcW w:w="1169" w:type="dxa"/>
            <w:tcBorders>
              <w:top w:val="single" w:sz="4" w:space="0" w:color="auto"/>
              <w:left w:val="nil"/>
              <w:bottom w:val="nil"/>
              <w:right w:val="nil"/>
            </w:tcBorders>
            <w:shd w:val="clear" w:color="auto" w:fill="F2F2F2" w:themeFill="background1" w:themeFillShade="F2"/>
          </w:tcPr>
          <w:p w:rsidR="0025490C" w:rsidRPr="00E07B1B" w:rsidRDefault="0025490C" w:rsidP="00B01366">
            <w:pPr>
              <w:pStyle w:val="TableText"/>
              <w:tabs>
                <w:tab w:val="decimal" w:pos="527"/>
              </w:tabs>
            </w:pPr>
            <w:r w:rsidRPr="00E07B1B">
              <w:t>11.8</w:t>
            </w:r>
          </w:p>
        </w:tc>
        <w:tc>
          <w:tcPr>
            <w:tcW w:w="1170" w:type="dxa"/>
            <w:tcBorders>
              <w:top w:val="single" w:sz="4" w:space="0" w:color="auto"/>
              <w:left w:val="nil"/>
              <w:bottom w:val="nil"/>
              <w:right w:val="single" w:sz="4" w:space="0" w:color="A6A6A6" w:themeColor="background1" w:themeShade="A6"/>
            </w:tcBorders>
            <w:shd w:val="clear" w:color="auto" w:fill="F2F2F2" w:themeFill="background1" w:themeFillShade="F2"/>
          </w:tcPr>
          <w:p w:rsidR="0025490C" w:rsidRPr="00E07B1B" w:rsidRDefault="0025490C" w:rsidP="00B01366">
            <w:pPr>
              <w:pStyle w:val="TableText"/>
              <w:tabs>
                <w:tab w:val="decimal" w:pos="527"/>
              </w:tabs>
            </w:pPr>
            <w:r w:rsidRPr="00E07B1B">
              <w:t>7.4</w:t>
            </w:r>
          </w:p>
        </w:tc>
        <w:tc>
          <w:tcPr>
            <w:tcW w:w="992" w:type="dxa"/>
            <w:tcBorders>
              <w:top w:val="single" w:sz="4" w:space="0" w:color="auto"/>
              <w:left w:val="single" w:sz="4" w:space="0" w:color="A6A6A6" w:themeColor="background1" w:themeShade="A6"/>
              <w:bottom w:val="nil"/>
              <w:right w:val="nil"/>
            </w:tcBorders>
            <w:shd w:val="clear" w:color="auto" w:fill="F2F2F2" w:themeFill="background1" w:themeFillShade="F2"/>
          </w:tcPr>
          <w:p w:rsidR="0025490C" w:rsidRPr="00E07B1B" w:rsidRDefault="0025490C" w:rsidP="00B01366">
            <w:pPr>
              <w:pStyle w:val="TableText"/>
              <w:jc w:val="center"/>
            </w:pPr>
            <w:r w:rsidRPr="00E07B1B">
              <w:t>8.2</w:t>
            </w:r>
          </w:p>
        </w:tc>
      </w:tr>
      <w:tr w:rsidR="0025490C" w:rsidRPr="00E07B1B" w:rsidTr="001967D2">
        <w:trPr>
          <w:cantSplit/>
        </w:trPr>
        <w:tc>
          <w:tcPr>
            <w:tcW w:w="2518" w:type="dxa"/>
            <w:tcBorders>
              <w:top w:val="nil"/>
              <w:left w:val="nil"/>
              <w:bottom w:val="nil"/>
              <w:right w:val="single" w:sz="4" w:space="0" w:color="A6A6A6" w:themeColor="background1" w:themeShade="A6"/>
            </w:tcBorders>
          </w:tcPr>
          <w:p w:rsidR="0025490C" w:rsidRPr="00E07B1B" w:rsidRDefault="0025490C" w:rsidP="00B01366">
            <w:pPr>
              <w:pStyle w:val="TableText"/>
            </w:pPr>
            <w:r w:rsidRPr="00E07B1B">
              <w:t>Waitemata</w:t>
            </w:r>
          </w:p>
        </w:tc>
        <w:tc>
          <w:tcPr>
            <w:tcW w:w="1169" w:type="dxa"/>
            <w:tcBorders>
              <w:top w:val="nil"/>
              <w:left w:val="single" w:sz="4" w:space="0" w:color="A6A6A6" w:themeColor="background1" w:themeShade="A6"/>
              <w:bottom w:val="nil"/>
              <w:right w:val="nil"/>
            </w:tcBorders>
          </w:tcPr>
          <w:p w:rsidR="0025490C" w:rsidRPr="00E07B1B" w:rsidRDefault="0025490C" w:rsidP="00B01366">
            <w:pPr>
              <w:pStyle w:val="TableText"/>
              <w:tabs>
                <w:tab w:val="decimal" w:pos="527"/>
              </w:tabs>
            </w:pPr>
            <w:r w:rsidRPr="00E07B1B">
              <w:t>12.6</w:t>
            </w:r>
          </w:p>
        </w:tc>
        <w:tc>
          <w:tcPr>
            <w:tcW w:w="1169" w:type="dxa"/>
            <w:tcBorders>
              <w:top w:val="nil"/>
              <w:left w:val="nil"/>
              <w:bottom w:val="nil"/>
              <w:right w:val="nil"/>
            </w:tcBorders>
          </w:tcPr>
          <w:p w:rsidR="0025490C" w:rsidRPr="00E07B1B" w:rsidRDefault="0025490C" w:rsidP="00B01366">
            <w:pPr>
              <w:pStyle w:val="TableText"/>
              <w:tabs>
                <w:tab w:val="decimal" w:pos="527"/>
              </w:tabs>
            </w:pPr>
            <w:r w:rsidRPr="00E07B1B">
              <w:t>4.1</w:t>
            </w:r>
          </w:p>
        </w:tc>
        <w:tc>
          <w:tcPr>
            <w:tcW w:w="1169" w:type="dxa"/>
            <w:tcBorders>
              <w:top w:val="nil"/>
              <w:left w:val="nil"/>
              <w:bottom w:val="nil"/>
              <w:right w:val="nil"/>
            </w:tcBorders>
          </w:tcPr>
          <w:p w:rsidR="0025490C" w:rsidRPr="00E07B1B" w:rsidRDefault="0025490C" w:rsidP="00B01366">
            <w:pPr>
              <w:pStyle w:val="TableText"/>
              <w:tabs>
                <w:tab w:val="decimal" w:pos="527"/>
              </w:tabs>
            </w:pPr>
            <w:r w:rsidRPr="00E07B1B">
              <w:t>4.9</w:t>
            </w:r>
          </w:p>
        </w:tc>
        <w:tc>
          <w:tcPr>
            <w:tcW w:w="1169" w:type="dxa"/>
            <w:tcBorders>
              <w:top w:val="nil"/>
              <w:left w:val="nil"/>
              <w:bottom w:val="nil"/>
              <w:right w:val="nil"/>
            </w:tcBorders>
          </w:tcPr>
          <w:p w:rsidR="0025490C" w:rsidRPr="00E07B1B" w:rsidRDefault="0025490C" w:rsidP="00B01366">
            <w:pPr>
              <w:pStyle w:val="TableText"/>
              <w:tabs>
                <w:tab w:val="decimal" w:pos="527"/>
              </w:tabs>
            </w:pPr>
            <w:r w:rsidRPr="00E07B1B">
              <w:t>12.2</w:t>
            </w:r>
          </w:p>
        </w:tc>
        <w:tc>
          <w:tcPr>
            <w:tcW w:w="1170" w:type="dxa"/>
            <w:tcBorders>
              <w:top w:val="nil"/>
              <w:left w:val="nil"/>
              <w:bottom w:val="nil"/>
              <w:right w:val="single" w:sz="4" w:space="0" w:color="A6A6A6" w:themeColor="background1" w:themeShade="A6"/>
            </w:tcBorders>
          </w:tcPr>
          <w:p w:rsidR="0025490C" w:rsidRPr="00E07B1B" w:rsidRDefault="0025490C" w:rsidP="00B01366">
            <w:pPr>
              <w:pStyle w:val="TableText"/>
              <w:tabs>
                <w:tab w:val="decimal" w:pos="527"/>
              </w:tabs>
            </w:pPr>
            <w:r w:rsidRPr="00E07B1B">
              <w:t>7.9</w:t>
            </w:r>
          </w:p>
        </w:tc>
        <w:tc>
          <w:tcPr>
            <w:tcW w:w="992" w:type="dxa"/>
            <w:tcBorders>
              <w:top w:val="nil"/>
              <w:left w:val="single" w:sz="4" w:space="0" w:color="A6A6A6" w:themeColor="background1" w:themeShade="A6"/>
              <w:bottom w:val="nil"/>
              <w:right w:val="nil"/>
            </w:tcBorders>
          </w:tcPr>
          <w:p w:rsidR="0025490C" w:rsidRPr="00E07B1B" w:rsidRDefault="0025490C" w:rsidP="00B01366">
            <w:pPr>
              <w:pStyle w:val="TableText"/>
              <w:jc w:val="center"/>
            </w:pPr>
            <w:r w:rsidRPr="00E07B1B">
              <w:t>7.1</w:t>
            </w:r>
          </w:p>
        </w:tc>
      </w:tr>
      <w:tr w:rsidR="0025490C" w:rsidRPr="00E07B1B" w:rsidTr="001967D2">
        <w:trPr>
          <w:cantSplit/>
        </w:trPr>
        <w:tc>
          <w:tcPr>
            <w:tcW w:w="2518"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B01366">
            <w:pPr>
              <w:pStyle w:val="TableText"/>
            </w:pPr>
            <w:r w:rsidRPr="00E07B1B">
              <w:t>Counties Manukau</w:t>
            </w:r>
          </w:p>
        </w:tc>
        <w:tc>
          <w:tcPr>
            <w:tcW w:w="1169"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B01366">
            <w:pPr>
              <w:pStyle w:val="TableText"/>
              <w:tabs>
                <w:tab w:val="decimal" w:pos="527"/>
              </w:tabs>
            </w:pPr>
            <w:r w:rsidRPr="00E07B1B">
              <w:t>13.3</w:t>
            </w:r>
          </w:p>
        </w:tc>
        <w:tc>
          <w:tcPr>
            <w:tcW w:w="1169" w:type="dxa"/>
            <w:tcBorders>
              <w:top w:val="nil"/>
              <w:left w:val="nil"/>
              <w:bottom w:val="nil"/>
              <w:right w:val="nil"/>
            </w:tcBorders>
            <w:shd w:val="clear" w:color="auto" w:fill="F2F2F2" w:themeFill="background1" w:themeFillShade="F2"/>
          </w:tcPr>
          <w:p w:rsidR="0025490C" w:rsidRPr="00E07B1B" w:rsidRDefault="0025490C" w:rsidP="00B01366">
            <w:pPr>
              <w:pStyle w:val="TableText"/>
              <w:tabs>
                <w:tab w:val="decimal" w:pos="527"/>
              </w:tabs>
            </w:pPr>
            <w:r w:rsidRPr="00E07B1B">
              <w:t>4.3</w:t>
            </w:r>
          </w:p>
        </w:tc>
        <w:tc>
          <w:tcPr>
            <w:tcW w:w="1169" w:type="dxa"/>
            <w:tcBorders>
              <w:top w:val="nil"/>
              <w:left w:val="nil"/>
              <w:bottom w:val="nil"/>
              <w:right w:val="nil"/>
            </w:tcBorders>
            <w:shd w:val="clear" w:color="auto" w:fill="F2F2F2" w:themeFill="background1" w:themeFillShade="F2"/>
          </w:tcPr>
          <w:p w:rsidR="0025490C" w:rsidRPr="00E07B1B" w:rsidRDefault="0025490C" w:rsidP="00B01366">
            <w:pPr>
              <w:pStyle w:val="TableText"/>
              <w:tabs>
                <w:tab w:val="decimal" w:pos="527"/>
              </w:tabs>
            </w:pPr>
            <w:r w:rsidRPr="00E07B1B">
              <w:t>3.9</w:t>
            </w:r>
          </w:p>
        </w:tc>
        <w:tc>
          <w:tcPr>
            <w:tcW w:w="1169" w:type="dxa"/>
            <w:tcBorders>
              <w:top w:val="nil"/>
              <w:left w:val="nil"/>
              <w:bottom w:val="nil"/>
              <w:right w:val="nil"/>
            </w:tcBorders>
            <w:shd w:val="clear" w:color="auto" w:fill="F2F2F2" w:themeFill="background1" w:themeFillShade="F2"/>
          </w:tcPr>
          <w:p w:rsidR="0025490C" w:rsidRPr="00E07B1B" w:rsidRDefault="0025490C" w:rsidP="00B01366">
            <w:pPr>
              <w:pStyle w:val="TableText"/>
              <w:tabs>
                <w:tab w:val="decimal" w:pos="527"/>
              </w:tabs>
            </w:pPr>
            <w:r w:rsidRPr="00E07B1B">
              <w:t>8.3</w:t>
            </w:r>
          </w:p>
        </w:tc>
        <w:tc>
          <w:tcPr>
            <w:tcW w:w="1170"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B01366">
            <w:pPr>
              <w:pStyle w:val="TableText"/>
              <w:tabs>
                <w:tab w:val="decimal" w:pos="527"/>
              </w:tabs>
            </w:pPr>
            <w:r w:rsidRPr="00E07B1B">
              <w:t>5.9</w:t>
            </w:r>
          </w:p>
        </w:tc>
        <w:tc>
          <w:tcPr>
            <w:tcW w:w="992"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B01366">
            <w:pPr>
              <w:pStyle w:val="TableText"/>
              <w:jc w:val="center"/>
            </w:pPr>
            <w:r w:rsidRPr="00E07B1B">
              <w:t>7.1</w:t>
            </w:r>
          </w:p>
        </w:tc>
      </w:tr>
      <w:tr w:rsidR="0025490C" w:rsidRPr="00E07B1B" w:rsidTr="001967D2">
        <w:trPr>
          <w:cantSplit/>
        </w:trPr>
        <w:tc>
          <w:tcPr>
            <w:tcW w:w="2518" w:type="dxa"/>
            <w:tcBorders>
              <w:top w:val="nil"/>
              <w:left w:val="nil"/>
              <w:bottom w:val="nil"/>
              <w:right w:val="single" w:sz="4" w:space="0" w:color="A6A6A6" w:themeColor="background1" w:themeShade="A6"/>
            </w:tcBorders>
          </w:tcPr>
          <w:p w:rsidR="0025490C" w:rsidRPr="00E07B1B" w:rsidRDefault="0025490C" w:rsidP="001967D2">
            <w:pPr>
              <w:pStyle w:val="TableText"/>
            </w:pPr>
            <w:r w:rsidRPr="00E07B1B">
              <w:t>Canterbury</w:t>
            </w:r>
          </w:p>
        </w:tc>
        <w:tc>
          <w:tcPr>
            <w:tcW w:w="1169" w:type="dxa"/>
            <w:tcBorders>
              <w:top w:val="nil"/>
              <w:left w:val="single" w:sz="4" w:space="0" w:color="A6A6A6" w:themeColor="background1" w:themeShade="A6"/>
              <w:bottom w:val="nil"/>
              <w:right w:val="nil"/>
            </w:tcBorders>
          </w:tcPr>
          <w:p w:rsidR="0025490C" w:rsidRPr="00E07B1B" w:rsidRDefault="0025490C" w:rsidP="001967D2">
            <w:pPr>
              <w:pStyle w:val="TableText"/>
              <w:tabs>
                <w:tab w:val="decimal" w:pos="527"/>
              </w:tabs>
            </w:pPr>
            <w:r w:rsidRPr="00E07B1B">
              <w:t>10.3</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4.7</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4.4</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10.6</w:t>
            </w:r>
          </w:p>
        </w:tc>
        <w:tc>
          <w:tcPr>
            <w:tcW w:w="1170" w:type="dxa"/>
            <w:tcBorders>
              <w:top w:val="nil"/>
              <w:left w:val="nil"/>
              <w:bottom w:val="nil"/>
              <w:right w:val="single" w:sz="4" w:space="0" w:color="A6A6A6" w:themeColor="background1" w:themeShade="A6"/>
            </w:tcBorders>
          </w:tcPr>
          <w:p w:rsidR="0025490C" w:rsidRPr="00E07B1B" w:rsidRDefault="0025490C" w:rsidP="001967D2">
            <w:pPr>
              <w:pStyle w:val="TableText"/>
              <w:tabs>
                <w:tab w:val="decimal" w:pos="527"/>
              </w:tabs>
            </w:pPr>
            <w:r w:rsidRPr="00E07B1B">
              <w:t>7.5</w:t>
            </w:r>
          </w:p>
        </w:tc>
        <w:tc>
          <w:tcPr>
            <w:tcW w:w="992" w:type="dxa"/>
            <w:tcBorders>
              <w:top w:val="nil"/>
              <w:left w:val="single" w:sz="4" w:space="0" w:color="A6A6A6" w:themeColor="background1" w:themeShade="A6"/>
              <w:bottom w:val="nil"/>
              <w:right w:val="nil"/>
            </w:tcBorders>
          </w:tcPr>
          <w:p w:rsidR="0025490C" w:rsidRPr="00E07B1B" w:rsidRDefault="0025490C" w:rsidP="001967D2">
            <w:pPr>
              <w:pStyle w:val="TableText"/>
              <w:jc w:val="center"/>
            </w:pPr>
            <w:r w:rsidRPr="00E07B1B">
              <w:t>5.6</w:t>
            </w:r>
          </w:p>
        </w:tc>
      </w:tr>
      <w:tr w:rsidR="0025490C" w:rsidRPr="00E07B1B" w:rsidTr="001967D2">
        <w:trPr>
          <w:cantSplit/>
        </w:trPr>
        <w:tc>
          <w:tcPr>
            <w:tcW w:w="2518"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1967D2">
            <w:pPr>
              <w:pStyle w:val="TableText"/>
            </w:pPr>
            <w:r w:rsidRPr="00E07B1B">
              <w:t>Waikato</w:t>
            </w:r>
          </w:p>
        </w:tc>
        <w:tc>
          <w:tcPr>
            <w:tcW w:w="1169"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1.2</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3.9</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3.5</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5.5</w:t>
            </w:r>
          </w:p>
        </w:tc>
        <w:tc>
          <w:tcPr>
            <w:tcW w:w="1170"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1967D2">
            <w:pPr>
              <w:pStyle w:val="TableText"/>
              <w:tabs>
                <w:tab w:val="decimal" w:pos="527"/>
              </w:tabs>
            </w:pPr>
            <w:r w:rsidRPr="00E07B1B">
              <w:t>15.8</w:t>
            </w:r>
          </w:p>
        </w:tc>
        <w:tc>
          <w:tcPr>
            <w:tcW w:w="992"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967D2">
            <w:pPr>
              <w:pStyle w:val="TableText"/>
              <w:jc w:val="center"/>
            </w:pPr>
            <w:r w:rsidRPr="00E07B1B">
              <w:t>4.7</w:t>
            </w:r>
          </w:p>
        </w:tc>
      </w:tr>
      <w:tr w:rsidR="0025490C" w:rsidRPr="00E07B1B" w:rsidTr="001967D2">
        <w:trPr>
          <w:cantSplit/>
        </w:trPr>
        <w:tc>
          <w:tcPr>
            <w:tcW w:w="2518" w:type="dxa"/>
            <w:tcBorders>
              <w:top w:val="nil"/>
              <w:left w:val="nil"/>
              <w:bottom w:val="nil"/>
              <w:right w:val="single" w:sz="4" w:space="0" w:color="A6A6A6" w:themeColor="background1" w:themeShade="A6"/>
            </w:tcBorders>
          </w:tcPr>
          <w:p w:rsidR="0025490C" w:rsidRPr="00E07B1B" w:rsidRDefault="0025490C" w:rsidP="001967D2">
            <w:pPr>
              <w:pStyle w:val="TableText"/>
            </w:pPr>
            <w:r w:rsidRPr="00E07B1B">
              <w:t xml:space="preserve">Capital </w:t>
            </w:r>
            <w:r>
              <w:t>&amp;</w:t>
            </w:r>
            <w:r w:rsidRPr="00E07B1B">
              <w:t xml:space="preserve"> Coast</w:t>
            </w:r>
          </w:p>
        </w:tc>
        <w:tc>
          <w:tcPr>
            <w:tcW w:w="1169" w:type="dxa"/>
            <w:tcBorders>
              <w:top w:val="nil"/>
              <w:left w:val="single" w:sz="4" w:space="0" w:color="A6A6A6" w:themeColor="background1" w:themeShade="A6"/>
              <w:bottom w:val="nil"/>
              <w:right w:val="nil"/>
            </w:tcBorders>
          </w:tcPr>
          <w:p w:rsidR="0025490C" w:rsidRPr="00E07B1B" w:rsidRDefault="0025490C" w:rsidP="001967D2">
            <w:pPr>
              <w:pStyle w:val="TableText"/>
              <w:tabs>
                <w:tab w:val="decimal" w:pos="527"/>
              </w:tabs>
            </w:pPr>
            <w:r w:rsidRPr="00E07B1B">
              <w:t>9.8</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3.0</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4.5</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7.2</w:t>
            </w:r>
          </w:p>
        </w:tc>
        <w:tc>
          <w:tcPr>
            <w:tcW w:w="1170" w:type="dxa"/>
            <w:tcBorders>
              <w:top w:val="nil"/>
              <w:left w:val="nil"/>
              <w:bottom w:val="nil"/>
              <w:right w:val="single" w:sz="4" w:space="0" w:color="A6A6A6" w:themeColor="background1" w:themeShade="A6"/>
            </w:tcBorders>
          </w:tcPr>
          <w:p w:rsidR="0025490C" w:rsidRPr="00E07B1B" w:rsidRDefault="0025490C" w:rsidP="001967D2">
            <w:pPr>
              <w:pStyle w:val="TableText"/>
              <w:tabs>
                <w:tab w:val="decimal" w:pos="527"/>
              </w:tabs>
            </w:pPr>
            <w:r w:rsidRPr="00E07B1B">
              <w:t>7.0</w:t>
            </w:r>
          </w:p>
        </w:tc>
        <w:tc>
          <w:tcPr>
            <w:tcW w:w="992" w:type="dxa"/>
            <w:tcBorders>
              <w:top w:val="nil"/>
              <w:left w:val="single" w:sz="4" w:space="0" w:color="A6A6A6" w:themeColor="background1" w:themeShade="A6"/>
              <w:bottom w:val="nil"/>
              <w:right w:val="nil"/>
            </w:tcBorders>
          </w:tcPr>
          <w:p w:rsidR="0025490C" w:rsidRPr="00E07B1B" w:rsidRDefault="0025490C" w:rsidP="001967D2">
            <w:pPr>
              <w:pStyle w:val="TableText"/>
              <w:jc w:val="center"/>
            </w:pPr>
            <w:r w:rsidRPr="00E07B1B">
              <w:t>4.7</w:t>
            </w:r>
          </w:p>
        </w:tc>
      </w:tr>
      <w:tr w:rsidR="0025490C" w:rsidRPr="00E07B1B" w:rsidTr="001967D2">
        <w:trPr>
          <w:cantSplit/>
        </w:trPr>
        <w:tc>
          <w:tcPr>
            <w:tcW w:w="2518"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1967D2">
            <w:pPr>
              <w:pStyle w:val="TableText"/>
            </w:pPr>
            <w:r w:rsidRPr="00E07B1B">
              <w:t>Taranaki</w:t>
            </w:r>
          </w:p>
        </w:tc>
        <w:tc>
          <w:tcPr>
            <w:tcW w:w="1169"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9.8</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4.2</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4.1</w:t>
            </w:r>
          </w:p>
        </w:tc>
        <w:tc>
          <w:tcPr>
            <w:tcW w:w="1169" w:type="dxa"/>
            <w:tcBorders>
              <w:top w:val="nil"/>
              <w:left w:val="nil"/>
              <w:bottom w:val="nil"/>
              <w:right w:val="nil"/>
            </w:tcBorders>
            <w:shd w:val="clear" w:color="auto" w:fill="F2F2F2" w:themeFill="background1" w:themeFillShade="F2"/>
          </w:tcPr>
          <w:p w:rsidR="0025490C" w:rsidRPr="00E07B1B" w:rsidRDefault="001967D2" w:rsidP="001967D2">
            <w:pPr>
              <w:pStyle w:val="TableText"/>
              <w:tabs>
                <w:tab w:val="decimal" w:pos="527"/>
              </w:tabs>
            </w:pPr>
            <w:r>
              <w:t>–</w:t>
            </w:r>
          </w:p>
        </w:tc>
        <w:tc>
          <w:tcPr>
            <w:tcW w:w="1170"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1967D2">
            <w:pPr>
              <w:pStyle w:val="TableText"/>
              <w:tabs>
                <w:tab w:val="decimal" w:pos="527"/>
              </w:tabs>
            </w:pPr>
            <w:r w:rsidRPr="00E07B1B">
              <w:t>7.7</w:t>
            </w:r>
          </w:p>
        </w:tc>
        <w:tc>
          <w:tcPr>
            <w:tcW w:w="992"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967D2">
            <w:pPr>
              <w:pStyle w:val="TableText"/>
              <w:jc w:val="center"/>
            </w:pPr>
            <w:r w:rsidRPr="00E07B1B">
              <w:t>4.5</w:t>
            </w:r>
          </w:p>
        </w:tc>
      </w:tr>
      <w:tr w:rsidR="0025490C" w:rsidRPr="00E07B1B" w:rsidTr="001967D2">
        <w:trPr>
          <w:cantSplit/>
        </w:trPr>
        <w:tc>
          <w:tcPr>
            <w:tcW w:w="2518" w:type="dxa"/>
            <w:tcBorders>
              <w:top w:val="nil"/>
              <w:left w:val="nil"/>
              <w:bottom w:val="nil"/>
              <w:right w:val="single" w:sz="4" w:space="0" w:color="A6A6A6" w:themeColor="background1" w:themeShade="A6"/>
            </w:tcBorders>
          </w:tcPr>
          <w:p w:rsidR="0025490C" w:rsidRPr="00E07B1B" w:rsidRDefault="0025490C" w:rsidP="001967D2">
            <w:pPr>
              <w:pStyle w:val="TableText"/>
            </w:pPr>
            <w:r w:rsidRPr="00E07B1B">
              <w:t>Hawke</w:t>
            </w:r>
            <w:r w:rsidR="0068074A">
              <w:t>’</w:t>
            </w:r>
            <w:r w:rsidRPr="00E07B1B">
              <w:t>s Bay</w:t>
            </w:r>
          </w:p>
        </w:tc>
        <w:tc>
          <w:tcPr>
            <w:tcW w:w="1169" w:type="dxa"/>
            <w:tcBorders>
              <w:top w:val="nil"/>
              <w:left w:val="single" w:sz="4" w:space="0" w:color="A6A6A6" w:themeColor="background1" w:themeShade="A6"/>
              <w:bottom w:val="nil"/>
              <w:right w:val="nil"/>
            </w:tcBorders>
          </w:tcPr>
          <w:p w:rsidR="0025490C" w:rsidRPr="00E07B1B" w:rsidRDefault="0025490C" w:rsidP="001967D2">
            <w:pPr>
              <w:pStyle w:val="TableText"/>
              <w:tabs>
                <w:tab w:val="decimal" w:pos="527"/>
              </w:tabs>
            </w:pPr>
            <w:r w:rsidRPr="00E07B1B">
              <w:t>4.4</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4.5</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3.6</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7.5</w:t>
            </w:r>
          </w:p>
        </w:tc>
        <w:tc>
          <w:tcPr>
            <w:tcW w:w="1170" w:type="dxa"/>
            <w:tcBorders>
              <w:top w:val="nil"/>
              <w:left w:val="nil"/>
              <w:bottom w:val="nil"/>
              <w:right w:val="single" w:sz="4" w:space="0" w:color="A6A6A6" w:themeColor="background1" w:themeShade="A6"/>
            </w:tcBorders>
          </w:tcPr>
          <w:p w:rsidR="0025490C" w:rsidRPr="00E07B1B" w:rsidRDefault="0025490C" w:rsidP="001967D2">
            <w:pPr>
              <w:pStyle w:val="TableText"/>
              <w:tabs>
                <w:tab w:val="decimal" w:pos="527"/>
              </w:tabs>
            </w:pPr>
            <w:r w:rsidRPr="00E07B1B">
              <w:t>4.6</w:t>
            </w:r>
          </w:p>
        </w:tc>
        <w:tc>
          <w:tcPr>
            <w:tcW w:w="992" w:type="dxa"/>
            <w:tcBorders>
              <w:top w:val="nil"/>
              <w:left w:val="single" w:sz="4" w:space="0" w:color="A6A6A6" w:themeColor="background1" w:themeShade="A6"/>
              <w:bottom w:val="nil"/>
              <w:right w:val="nil"/>
            </w:tcBorders>
          </w:tcPr>
          <w:p w:rsidR="0025490C" w:rsidRPr="00E07B1B" w:rsidRDefault="0025490C" w:rsidP="001967D2">
            <w:pPr>
              <w:pStyle w:val="TableText"/>
              <w:jc w:val="center"/>
            </w:pPr>
            <w:r w:rsidRPr="00E07B1B">
              <w:t>4.2</w:t>
            </w:r>
          </w:p>
        </w:tc>
      </w:tr>
      <w:tr w:rsidR="0025490C" w:rsidRPr="00E07B1B" w:rsidTr="001967D2">
        <w:trPr>
          <w:cantSplit/>
        </w:trPr>
        <w:tc>
          <w:tcPr>
            <w:tcW w:w="2518"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1967D2">
            <w:pPr>
              <w:pStyle w:val="TableText"/>
            </w:pPr>
            <w:r w:rsidRPr="00E07B1B">
              <w:t>Southern</w:t>
            </w:r>
          </w:p>
        </w:tc>
        <w:tc>
          <w:tcPr>
            <w:tcW w:w="1169"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8.1</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3.7</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2.9</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7.8</w:t>
            </w:r>
          </w:p>
        </w:tc>
        <w:tc>
          <w:tcPr>
            <w:tcW w:w="1170"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1967D2">
            <w:pPr>
              <w:pStyle w:val="TableText"/>
              <w:tabs>
                <w:tab w:val="decimal" w:pos="527"/>
              </w:tabs>
            </w:pPr>
            <w:r w:rsidRPr="00E07B1B">
              <w:t>1.9</w:t>
            </w:r>
          </w:p>
        </w:tc>
        <w:tc>
          <w:tcPr>
            <w:tcW w:w="992"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967D2">
            <w:pPr>
              <w:pStyle w:val="TableText"/>
              <w:jc w:val="center"/>
            </w:pPr>
            <w:r w:rsidRPr="00E07B1B">
              <w:t>3.9</w:t>
            </w:r>
          </w:p>
        </w:tc>
      </w:tr>
      <w:tr w:rsidR="0025490C" w:rsidRPr="00E07B1B" w:rsidTr="001967D2">
        <w:trPr>
          <w:cantSplit/>
        </w:trPr>
        <w:tc>
          <w:tcPr>
            <w:tcW w:w="2518" w:type="dxa"/>
            <w:tcBorders>
              <w:top w:val="nil"/>
              <w:left w:val="nil"/>
              <w:bottom w:val="nil"/>
              <w:right w:val="single" w:sz="4" w:space="0" w:color="A6A6A6" w:themeColor="background1" w:themeShade="A6"/>
            </w:tcBorders>
          </w:tcPr>
          <w:p w:rsidR="0025490C" w:rsidRPr="00E07B1B" w:rsidRDefault="0025490C" w:rsidP="001967D2">
            <w:pPr>
              <w:pStyle w:val="TableText"/>
            </w:pPr>
            <w:r w:rsidRPr="00E07B1B">
              <w:t>Bay of Plenty</w:t>
            </w:r>
          </w:p>
        </w:tc>
        <w:tc>
          <w:tcPr>
            <w:tcW w:w="1169" w:type="dxa"/>
            <w:tcBorders>
              <w:top w:val="nil"/>
              <w:left w:val="single" w:sz="4" w:space="0" w:color="A6A6A6" w:themeColor="background1" w:themeShade="A6"/>
              <w:bottom w:val="nil"/>
              <w:right w:val="nil"/>
            </w:tcBorders>
          </w:tcPr>
          <w:p w:rsidR="0025490C" w:rsidRPr="00E07B1B" w:rsidRDefault="0025490C" w:rsidP="001967D2">
            <w:pPr>
              <w:pStyle w:val="TableText"/>
              <w:tabs>
                <w:tab w:val="decimal" w:pos="527"/>
              </w:tabs>
            </w:pPr>
            <w:r w:rsidRPr="00E07B1B">
              <w:t>15.3</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2.9</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3.0</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4.8</w:t>
            </w:r>
          </w:p>
        </w:tc>
        <w:tc>
          <w:tcPr>
            <w:tcW w:w="1170" w:type="dxa"/>
            <w:tcBorders>
              <w:top w:val="nil"/>
              <w:left w:val="nil"/>
              <w:bottom w:val="nil"/>
              <w:right w:val="single" w:sz="4" w:space="0" w:color="A6A6A6" w:themeColor="background1" w:themeShade="A6"/>
            </w:tcBorders>
          </w:tcPr>
          <w:p w:rsidR="0025490C" w:rsidRPr="00E07B1B" w:rsidRDefault="0025490C" w:rsidP="001967D2">
            <w:pPr>
              <w:pStyle w:val="TableText"/>
              <w:tabs>
                <w:tab w:val="decimal" w:pos="527"/>
              </w:tabs>
            </w:pPr>
            <w:r w:rsidRPr="00E07B1B">
              <w:t>3.1</w:t>
            </w:r>
          </w:p>
        </w:tc>
        <w:tc>
          <w:tcPr>
            <w:tcW w:w="992" w:type="dxa"/>
            <w:tcBorders>
              <w:top w:val="nil"/>
              <w:left w:val="single" w:sz="4" w:space="0" w:color="A6A6A6" w:themeColor="background1" w:themeShade="A6"/>
              <w:bottom w:val="nil"/>
              <w:right w:val="nil"/>
            </w:tcBorders>
          </w:tcPr>
          <w:p w:rsidR="0025490C" w:rsidRPr="00E07B1B" w:rsidRDefault="0025490C" w:rsidP="001967D2">
            <w:pPr>
              <w:pStyle w:val="TableText"/>
              <w:jc w:val="center"/>
            </w:pPr>
            <w:r w:rsidRPr="00E07B1B">
              <w:t>3.7</w:t>
            </w:r>
          </w:p>
        </w:tc>
      </w:tr>
      <w:tr w:rsidR="0025490C" w:rsidRPr="00E07B1B" w:rsidTr="001967D2">
        <w:trPr>
          <w:cantSplit/>
        </w:trPr>
        <w:tc>
          <w:tcPr>
            <w:tcW w:w="2518"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1967D2">
            <w:pPr>
              <w:pStyle w:val="TableText"/>
            </w:pPr>
            <w:r w:rsidRPr="00E07B1B">
              <w:t>South Canterbury</w:t>
            </w:r>
          </w:p>
        </w:tc>
        <w:tc>
          <w:tcPr>
            <w:tcW w:w="1169"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6.5</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3.6</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3.0</w:t>
            </w:r>
          </w:p>
        </w:tc>
        <w:tc>
          <w:tcPr>
            <w:tcW w:w="1169" w:type="dxa"/>
            <w:tcBorders>
              <w:top w:val="nil"/>
              <w:left w:val="nil"/>
              <w:bottom w:val="nil"/>
              <w:right w:val="nil"/>
            </w:tcBorders>
            <w:shd w:val="clear" w:color="auto" w:fill="F2F2F2" w:themeFill="background1" w:themeFillShade="F2"/>
          </w:tcPr>
          <w:p w:rsidR="0025490C" w:rsidRPr="00E07B1B" w:rsidRDefault="001967D2" w:rsidP="001967D2">
            <w:pPr>
              <w:pStyle w:val="TableText"/>
              <w:tabs>
                <w:tab w:val="decimal" w:pos="527"/>
              </w:tabs>
            </w:pPr>
            <w:r>
              <w:t>–</w:t>
            </w:r>
          </w:p>
        </w:tc>
        <w:tc>
          <w:tcPr>
            <w:tcW w:w="1170"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1967D2">
            <w:pPr>
              <w:pStyle w:val="TableText"/>
              <w:tabs>
                <w:tab w:val="decimal" w:pos="527"/>
              </w:tabs>
            </w:pPr>
            <w:r w:rsidRPr="00E07B1B">
              <w:t>17.0</w:t>
            </w:r>
          </w:p>
        </w:tc>
        <w:tc>
          <w:tcPr>
            <w:tcW w:w="992"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967D2">
            <w:pPr>
              <w:pStyle w:val="TableText"/>
              <w:jc w:val="center"/>
            </w:pPr>
            <w:r w:rsidRPr="00E07B1B">
              <w:t>3.7</w:t>
            </w:r>
          </w:p>
        </w:tc>
      </w:tr>
      <w:tr w:rsidR="0025490C" w:rsidRPr="00E07B1B" w:rsidTr="001967D2">
        <w:trPr>
          <w:cantSplit/>
        </w:trPr>
        <w:tc>
          <w:tcPr>
            <w:tcW w:w="2518" w:type="dxa"/>
            <w:tcBorders>
              <w:top w:val="nil"/>
              <w:left w:val="nil"/>
              <w:bottom w:val="nil"/>
              <w:right w:val="single" w:sz="4" w:space="0" w:color="A6A6A6" w:themeColor="background1" w:themeShade="A6"/>
            </w:tcBorders>
          </w:tcPr>
          <w:p w:rsidR="0025490C" w:rsidRPr="00E07B1B" w:rsidRDefault="0025490C" w:rsidP="001967D2">
            <w:pPr>
              <w:pStyle w:val="TableText"/>
            </w:pPr>
            <w:r w:rsidRPr="00E07B1B">
              <w:t>Northland</w:t>
            </w:r>
          </w:p>
        </w:tc>
        <w:tc>
          <w:tcPr>
            <w:tcW w:w="1169" w:type="dxa"/>
            <w:tcBorders>
              <w:top w:val="nil"/>
              <w:left w:val="single" w:sz="4" w:space="0" w:color="A6A6A6" w:themeColor="background1" w:themeShade="A6"/>
              <w:bottom w:val="nil"/>
              <w:right w:val="nil"/>
            </w:tcBorders>
          </w:tcPr>
          <w:p w:rsidR="0025490C" w:rsidRPr="00E07B1B" w:rsidRDefault="0025490C" w:rsidP="001967D2">
            <w:pPr>
              <w:pStyle w:val="TableText"/>
              <w:tabs>
                <w:tab w:val="decimal" w:pos="527"/>
              </w:tabs>
            </w:pPr>
            <w:r w:rsidRPr="00E07B1B">
              <w:t>11.4</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3.3</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3.3</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5.6</w:t>
            </w:r>
          </w:p>
        </w:tc>
        <w:tc>
          <w:tcPr>
            <w:tcW w:w="1170" w:type="dxa"/>
            <w:tcBorders>
              <w:top w:val="nil"/>
              <w:left w:val="nil"/>
              <w:bottom w:val="nil"/>
              <w:right w:val="single" w:sz="4" w:space="0" w:color="A6A6A6" w:themeColor="background1" w:themeShade="A6"/>
            </w:tcBorders>
          </w:tcPr>
          <w:p w:rsidR="0025490C" w:rsidRPr="00E07B1B" w:rsidRDefault="0025490C" w:rsidP="001967D2">
            <w:pPr>
              <w:pStyle w:val="TableText"/>
              <w:tabs>
                <w:tab w:val="decimal" w:pos="527"/>
              </w:tabs>
            </w:pPr>
            <w:r w:rsidRPr="00E07B1B">
              <w:t>10</w:t>
            </w:r>
          </w:p>
        </w:tc>
        <w:tc>
          <w:tcPr>
            <w:tcW w:w="992" w:type="dxa"/>
            <w:tcBorders>
              <w:top w:val="nil"/>
              <w:left w:val="single" w:sz="4" w:space="0" w:color="A6A6A6" w:themeColor="background1" w:themeShade="A6"/>
              <w:bottom w:val="nil"/>
              <w:right w:val="nil"/>
            </w:tcBorders>
          </w:tcPr>
          <w:p w:rsidR="0025490C" w:rsidRPr="00E07B1B" w:rsidRDefault="0025490C" w:rsidP="001967D2">
            <w:pPr>
              <w:pStyle w:val="TableText"/>
              <w:jc w:val="center"/>
            </w:pPr>
            <w:r w:rsidRPr="00E07B1B">
              <w:t>3.6</w:t>
            </w:r>
          </w:p>
        </w:tc>
      </w:tr>
      <w:tr w:rsidR="0025490C" w:rsidRPr="00E07B1B" w:rsidTr="001967D2">
        <w:trPr>
          <w:cantSplit/>
        </w:trPr>
        <w:tc>
          <w:tcPr>
            <w:tcW w:w="2518"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1967D2">
            <w:pPr>
              <w:pStyle w:val="TableText"/>
            </w:pPr>
            <w:r w:rsidRPr="00E07B1B">
              <w:t>West Coast</w:t>
            </w:r>
          </w:p>
        </w:tc>
        <w:tc>
          <w:tcPr>
            <w:tcW w:w="1169"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23.1</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2.5</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3.3</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14.3</w:t>
            </w:r>
          </w:p>
        </w:tc>
        <w:tc>
          <w:tcPr>
            <w:tcW w:w="1170"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1967D2" w:rsidP="001967D2">
            <w:pPr>
              <w:pStyle w:val="TableText"/>
              <w:tabs>
                <w:tab w:val="decimal" w:pos="527"/>
              </w:tabs>
            </w:pPr>
            <w:r>
              <w:t>–</w:t>
            </w:r>
          </w:p>
        </w:tc>
        <w:tc>
          <w:tcPr>
            <w:tcW w:w="992"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967D2">
            <w:pPr>
              <w:pStyle w:val="TableText"/>
              <w:jc w:val="center"/>
            </w:pPr>
            <w:r w:rsidRPr="00E07B1B">
              <w:t>3.5</w:t>
            </w:r>
          </w:p>
        </w:tc>
      </w:tr>
      <w:tr w:rsidR="0025490C" w:rsidRPr="00E07B1B" w:rsidTr="001967D2">
        <w:trPr>
          <w:cantSplit/>
        </w:trPr>
        <w:tc>
          <w:tcPr>
            <w:tcW w:w="2518" w:type="dxa"/>
            <w:tcBorders>
              <w:top w:val="nil"/>
              <w:left w:val="nil"/>
              <w:bottom w:val="nil"/>
              <w:right w:val="single" w:sz="4" w:space="0" w:color="A6A6A6" w:themeColor="background1" w:themeShade="A6"/>
            </w:tcBorders>
          </w:tcPr>
          <w:p w:rsidR="0025490C" w:rsidRPr="00E07B1B" w:rsidRDefault="0025490C" w:rsidP="001967D2">
            <w:pPr>
              <w:pStyle w:val="TableText"/>
            </w:pPr>
            <w:r w:rsidRPr="00E07B1B">
              <w:t>Hutt Valley</w:t>
            </w:r>
          </w:p>
        </w:tc>
        <w:tc>
          <w:tcPr>
            <w:tcW w:w="1169" w:type="dxa"/>
            <w:tcBorders>
              <w:top w:val="nil"/>
              <w:left w:val="single" w:sz="4" w:space="0" w:color="A6A6A6" w:themeColor="background1" w:themeShade="A6"/>
              <w:bottom w:val="nil"/>
              <w:right w:val="nil"/>
            </w:tcBorders>
          </w:tcPr>
          <w:p w:rsidR="0025490C" w:rsidRPr="00E07B1B" w:rsidRDefault="0025490C" w:rsidP="001967D2">
            <w:pPr>
              <w:pStyle w:val="TableText"/>
              <w:tabs>
                <w:tab w:val="decimal" w:pos="527"/>
              </w:tabs>
            </w:pPr>
            <w:r w:rsidRPr="00E07B1B">
              <w:t>4.9</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2.6</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2.3</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3.6</w:t>
            </w:r>
          </w:p>
        </w:tc>
        <w:tc>
          <w:tcPr>
            <w:tcW w:w="1170" w:type="dxa"/>
            <w:tcBorders>
              <w:top w:val="nil"/>
              <w:left w:val="nil"/>
              <w:bottom w:val="nil"/>
              <w:right w:val="single" w:sz="4" w:space="0" w:color="A6A6A6" w:themeColor="background1" w:themeShade="A6"/>
            </w:tcBorders>
          </w:tcPr>
          <w:p w:rsidR="0025490C" w:rsidRPr="00E07B1B" w:rsidRDefault="0025490C" w:rsidP="001967D2">
            <w:pPr>
              <w:pStyle w:val="TableText"/>
              <w:tabs>
                <w:tab w:val="decimal" w:pos="527"/>
              </w:tabs>
            </w:pPr>
            <w:r w:rsidRPr="00E07B1B">
              <w:t>8.2</w:t>
            </w:r>
          </w:p>
        </w:tc>
        <w:tc>
          <w:tcPr>
            <w:tcW w:w="992" w:type="dxa"/>
            <w:tcBorders>
              <w:top w:val="nil"/>
              <w:left w:val="single" w:sz="4" w:space="0" w:color="A6A6A6" w:themeColor="background1" w:themeShade="A6"/>
              <w:bottom w:val="nil"/>
              <w:right w:val="nil"/>
            </w:tcBorders>
          </w:tcPr>
          <w:p w:rsidR="0025490C" w:rsidRPr="00E07B1B" w:rsidRDefault="0025490C" w:rsidP="001967D2">
            <w:pPr>
              <w:pStyle w:val="TableText"/>
              <w:jc w:val="center"/>
            </w:pPr>
            <w:r w:rsidRPr="00E07B1B">
              <w:t>3.4</w:t>
            </w:r>
          </w:p>
        </w:tc>
      </w:tr>
      <w:tr w:rsidR="0025490C" w:rsidRPr="00E07B1B" w:rsidTr="001967D2">
        <w:trPr>
          <w:cantSplit/>
        </w:trPr>
        <w:tc>
          <w:tcPr>
            <w:tcW w:w="2518"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1967D2">
            <w:pPr>
              <w:pStyle w:val="TableText"/>
            </w:pPr>
            <w:r w:rsidRPr="00E07B1B">
              <w:t>Nelson</w:t>
            </w:r>
            <w:r>
              <w:t xml:space="preserve"> </w:t>
            </w:r>
            <w:r w:rsidRPr="00E07B1B">
              <w:t>Marlborough</w:t>
            </w:r>
          </w:p>
        </w:tc>
        <w:tc>
          <w:tcPr>
            <w:tcW w:w="1169"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6.2</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3.0</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3.6</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5.0</w:t>
            </w:r>
          </w:p>
        </w:tc>
        <w:tc>
          <w:tcPr>
            <w:tcW w:w="1170"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1967D2">
            <w:pPr>
              <w:pStyle w:val="TableText"/>
              <w:tabs>
                <w:tab w:val="decimal" w:pos="527"/>
              </w:tabs>
            </w:pPr>
            <w:r w:rsidRPr="00E07B1B">
              <w:t>9.1</w:t>
            </w:r>
          </w:p>
        </w:tc>
        <w:tc>
          <w:tcPr>
            <w:tcW w:w="992"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967D2">
            <w:pPr>
              <w:pStyle w:val="TableText"/>
              <w:jc w:val="center"/>
            </w:pPr>
            <w:r w:rsidRPr="00E07B1B">
              <w:t>3.4</w:t>
            </w:r>
          </w:p>
        </w:tc>
      </w:tr>
      <w:tr w:rsidR="0025490C" w:rsidRPr="00E07B1B" w:rsidTr="001967D2">
        <w:trPr>
          <w:cantSplit/>
        </w:trPr>
        <w:tc>
          <w:tcPr>
            <w:tcW w:w="2518" w:type="dxa"/>
            <w:tcBorders>
              <w:top w:val="nil"/>
              <w:left w:val="nil"/>
              <w:bottom w:val="nil"/>
              <w:right w:val="single" w:sz="4" w:space="0" w:color="A6A6A6" w:themeColor="background1" w:themeShade="A6"/>
            </w:tcBorders>
          </w:tcPr>
          <w:p w:rsidR="0025490C" w:rsidRPr="00E07B1B" w:rsidRDefault="0025490C" w:rsidP="001967D2">
            <w:pPr>
              <w:pStyle w:val="TableText"/>
            </w:pPr>
            <w:r w:rsidRPr="00E07B1B">
              <w:t>Lakes</w:t>
            </w:r>
          </w:p>
        </w:tc>
        <w:tc>
          <w:tcPr>
            <w:tcW w:w="1169" w:type="dxa"/>
            <w:tcBorders>
              <w:top w:val="nil"/>
              <w:left w:val="single" w:sz="4" w:space="0" w:color="A6A6A6" w:themeColor="background1" w:themeShade="A6"/>
              <w:bottom w:val="nil"/>
              <w:right w:val="nil"/>
            </w:tcBorders>
          </w:tcPr>
          <w:p w:rsidR="0025490C" w:rsidRPr="00E07B1B" w:rsidRDefault="0025490C" w:rsidP="001967D2">
            <w:pPr>
              <w:pStyle w:val="TableText"/>
              <w:tabs>
                <w:tab w:val="decimal" w:pos="527"/>
              </w:tabs>
            </w:pPr>
            <w:r w:rsidRPr="00E07B1B">
              <w:t>6.3</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3.8</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2.5</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7.3</w:t>
            </w:r>
          </w:p>
        </w:tc>
        <w:tc>
          <w:tcPr>
            <w:tcW w:w="1170" w:type="dxa"/>
            <w:tcBorders>
              <w:top w:val="nil"/>
              <w:left w:val="nil"/>
              <w:bottom w:val="nil"/>
              <w:right w:val="single" w:sz="4" w:space="0" w:color="A6A6A6" w:themeColor="background1" w:themeShade="A6"/>
            </w:tcBorders>
          </w:tcPr>
          <w:p w:rsidR="0025490C" w:rsidRPr="00E07B1B" w:rsidRDefault="001967D2" w:rsidP="001967D2">
            <w:pPr>
              <w:pStyle w:val="TableText"/>
              <w:tabs>
                <w:tab w:val="decimal" w:pos="527"/>
              </w:tabs>
            </w:pPr>
            <w:r>
              <w:t>–</w:t>
            </w:r>
          </w:p>
        </w:tc>
        <w:tc>
          <w:tcPr>
            <w:tcW w:w="992" w:type="dxa"/>
            <w:tcBorders>
              <w:top w:val="nil"/>
              <w:left w:val="single" w:sz="4" w:space="0" w:color="A6A6A6" w:themeColor="background1" w:themeShade="A6"/>
              <w:bottom w:val="nil"/>
              <w:right w:val="nil"/>
            </w:tcBorders>
          </w:tcPr>
          <w:p w:rsidR="0025490C" w:rsidRPr="00E07B1B" w:rsidRDefault="0025490C" w:rsidP="001967D2">
            <w:pPr>
              <w:pStyle w:val="TableText"/>
              <w:jc w:val="center"/>
            </w:pPr>
            <w:r w:rsidRPr="00E07B1B">
              <w:t>3.3</w:t>
            </w:r>
          </w:p>
        </w:tc>
      </w:tr>
      <w:tr w:rsidR="0025490C" w:rsidRPr="00E07B1B" w:rsidTr="001967D2">
        <w:trPr>
          <w:cantSplit/>
        </w:trPr>
        <w:tc>
          <w:tcPr>
            <w:tcW w:w="2518"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1967D2">
            <w:pPr>
              <w:pStyle w:val="TableText"/>
            </w:pPr>
            <w:r w:rsidRPr="00E07B1B">
              <w:t>Mid Central</w:t>
            </w:r>
          </w:p>
        </w:tc>
        <w:tc>
          <w:tcPr>
            <w:tcW w:w="1169"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4.9</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3.1</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2.5</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6.9</w:t>
            </w:r>
          </w:p>
        </w:tc>
        <w:tc>
          <w:tcPr>
            <w:tcW w:w="1170"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1967D2">
            <w:pPr>
              <w:pStyle w:val="TableText"/>
              <w:tabs>
                <w:tab w:val="decimal" w:pos="527"/>
              </w:tabs>
            </w:pPr>
            <w:r w:rsidRPr="00E07B1B">
              <w:t>8.3</w:t>
            </w:r>
          </w:p>
        </w:tc>
        <w:tc>
          <w:tcPr>
            <w:tcW w:w="992"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967D2">
            <w:pPr>
              <w:pStyle w:val="TableText"/>
              <w:jc w:val="center"/>
            </w:pPr>
            <w:r w:rsidRPr="00E07B1B">
              <w:t>3.3</w:t>
            </w:r>
          </w:p>
        </w:tc>
      </w:tr>
      <w:tr w:rsidR="0025490C" w:rsidRPr="00E07B1B" w:rsidTr="001967D2">
        <w:trPr>
          <w:cantSplit/>
        </w:trPr>
        <w:tc>
          <w:tcPr>
            <w:tcW w:w="2518" w:type="dxa"/>
            <w:tcBorders>
              <w:top w:val="nil"/>
              <w:left w:val="nil"/>
              <w:bottom w:val="nil"/>
              <w:right w:val="single" w:sz="4" w:space="0" w:color="A6A6A6" w:themeColor="background1" w:themeShade="A6"/>
            </w:tcBorders>
          </w:tcPr>
          <w:p w:rsidR="0025490C" w:rsidRPr="00E07B1B" w:rsidRDefault="0025490C" w:rsidP="001967D2">
            <w:pPr>
              <w:pStyle w:val="TableText"/>
            </w:pPr>
            <w:r w:rsidRPr="00E07B1B">
              <w:t>Whanganui</w:t>
            </w:r>
          </w:p>
        </w:tc>
        <w:tc>
          <w:tcPr>
            <w:tcW w:w="1169" w:type="dxa"/>
            <w:tcBorders>
              <w:top w:val="nil"/>
              <w:left w:val="single" w:sz="4" w:space="0" w:color="A6A6A6" w:themeColor="background1" w:themeShade="A6"/>
              <w:bottom w:val="nil"/>
              <w:right w:val="nil"/>
            </w:tcBorders>
          </w:tcPr>
          <w:p w:rsidR="0025490C" w:rsidRPr="00E07B1B" w:rsidRDefault="0025490C" w:rsidP="001967D2">
            <w:pPr>
              <w:pStyle w:val="TableText"/>
              <w:tabs>
                <w:tab w:val="decimal" w:pos="527"/>
              </w:tabs>
            </w:pPr>
            <w:r w:rsidRPr="00E07B1B">
              <w:t>4.0</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3.2</w:t>
            </w:r>
          </w:p>
        </w:tc>
        <w:tc>
          <w:tcPr>
            <w:tcW w:w="1169" w:type="dxa"/>
            <w:tcBorders>
              <w:top w:val="nil"/>
              <w:left w:val="nil"/>
              <w:bottom w:val="nil"/>
              <w:right w:val="nil"/>
            </w:tcBorders>
          </w:tcPr>
          <w:p w:rsidR="0025490C" w:rsidRPr="00E07B1B" w:rsidRDefault="0025490C" w:rsidP="001967D2">
            <w:pPr>
              <w:pStyle w:val="TableText"/>
              <w:tabs>
                <w:tab w:val="decimal" w:pos="527"/>
              </w:tabs>
            </w:pPr>
            <w:r w:rsidRPr="00E07B1B">
              <w:t>2.3</w:t>
            </w:r>
          </w:p>
        </w:tc>
        <w:tc>
          <w:tcPr>
            <w:tcW w:w="1169" w:type="dxa"/>
            <w:tcBorders>
              <w:top w:val="nil"/>
              <w:left w:val="nil"/>
              <w:bottom w:val="nil"/>
              <w:right w:val="nil"/>
            </w:tcBorders>
          </w:tcPr>
          <w:p w:rsidR="0025490C" w:rsidRPr="00E07B1B" w:rsidRDefault="001967D2" w:rsidP="001967D2">
            <w:pPr>
              <w:pStyle w:val="TableText"/>
              <w:tabs>
                <w:tab w:val="decimal" w:pos="527"/>
              </w:tabs>
            </w:pPr>
            <w:r>
              <w:t>–</w:t>
            </w:r>
          </w:p>
        </w:tc>
        <w:tc>
          <w:tcPr>
            <w:tcW w:w="1170" w:type="dxa"/>
            <w:tcBorders>
              <w:top w:val="nil"/>
              <w:left w:val="nil"/>
              <w:bottom w:val="nil"/>
              <w:right w:val="single" w:sz="4" w:space="0" w:color="A6A6A6" w:themeColor="background1" w:themeShade="A6"/>
            </w:tcBorders>
          </w:tcPr>
          <w:p w:rsidR="0025490C" w:rsidRPr="00E07B1B" w:rsidRDefault="0025490C" w:rsidP="001967D2">
            <w:pPr>
              <w:pStyle w:val="TableText"/>
              <w:tabs>
                <w:tab w:val="decimal" w:pos="527"/>
              </w:tabs>
            </w:pPr>
            <w:r w:rsidRPr="00E07B1B">
              <w:t>50.0</w:t>
            </w:r>
          </w:p>
        </w:tc>
        <w:tc>
          <w:tcPr>
            <w:tcW w:w="992" w:type="dxa"/>
            <w:tcBorders>
              <w:top w:val="nil"/>
              <w:left w:val="single" w:sz="4" w:space="0" w:color="A6A6A6" w:themeColor="background1" w:themeShade="A6"/>
              <w:bottom w:val="nil"/>
              <w:right w:val="nil"/>
            </w:tcBorders>
          </w:tcPr>
          <w:p w:rsidR="0025490C" w:rsidRPr="00E07B1B" w:rsidRDefault="0025490C" w:rsidP="001967D2">
            <w:pPr>
              <w:pStyle w:val="TableText"/>
              <w:jc w:val="center"/>
            </w:pPr>
            <w:r w:rsidRPr="00E07B1B">
              <w:t>2.8</w:t>
            </w:r>
          </w:p>
        </w:tc>
      </w:tr>
      <w:tr w:rsidR="0025490C" w:rsidRPr="00E07B1B" w:rsidTr="001967D2">
        <w:trPr>
          <w:cantSplit/>
        </w:trPr>
        <w:tc>
          <w:tcPr>
            <w:tcW w:w="2518"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1967D2">
            <w:pPr>
              <w:pStyle w:val="TableText"/>
            </w:pPr>
            <w:r w:rsidRPr="00E07B1B">
              <w:t>Tairawhiti</w:t>
            </w:r>
          </w:p>
        </w:tc>
        <w:tc>
          <w:tcPr>
            <w:tcW w:w="1169"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5.6</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0.5</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1.7</w:t>
            </w:r>
          </w:p>
        </w:tc>
        <w:tc>
          <w:tcPr>
            <w:tcW w:w="1169" w:type="dxa"/>
            <w:tcBorders>
              <w:top w:val="nil"/>
              <w:left w:val="nil"/>
              <w:bottom w:val="nil"/>
              <w:right w:val="nil"/>
            </w:tcBorders>
            <w:shd w:val="clear" w:color="auto" w:fill="F2F2F2" w:themeFill="background1" w:themeFillShade="F2"/>
          </w:tcPr>
          <w:p w:rsidR="0025490C" w:rsidRPr="00E07B1B" w:rsidRDefault="0025490C" w:rsidP="001967D2">
            <w:pPr>
              <w:pStyle w:val="TableText"/>
              <w:tabs>
                <w:tab w:val="decimal" w:pos="527"/>
              </w:tabs>
            </w:pPr>
            <w:r w:rsidRPr="00E07B1B">
              <w:t>37.5</w:t>
            </w:r>
          </w:p>
        </w:tc>
        <w:tc>
          <w:tcPr>
            <w:tcW w:w="1170" w:type="dxa"/>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1967D2" w:rsidP="001967D2">
            <w:pPr>
              <w:pStyle w:val="TableText"/>
              <w:tabs>
                <w:tab w:val="decimal" w:pos="527"/>
              </w:tabs>
            </w:pPr>
            <w:r>
              <w:t>–</w:t>
            </w:r>
          </w:p>
        </w:tc>
        <w:tc>
          <w:tcPr>
            <w:tcW w:w="992" w:type="dxa"/>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967D2">
            <w:pPr>
              <w:pStyle w:val="TableText"/>
              <w:jc w:val="center"/>
            </w:pPr>
            <w:r w:rsidRPr="00E07B1B">
              <w:t>2.2</w:t>
            </w:r>
          </w:p>
        </w:tc>
      </w:tr>
      <w:tr w:rsidR="0025490C" w:rsidRPr="00E07B1B" w:rsidTr="001967D2">
        <w:trPr>
          <w:cantSplit/>
        </w:trPr>
        <w:tc>
          <w:tcPr>
            <w:tcW w:w="2518" w:type="dxa"/>
            <w:tcBorders>
              <w:top w:val="nil"/>
              <w:left w:val="nil"/>
              <w:bottom w:val="single" w:sz="4" w:space="0" w:color="A6A6A6" w:themeColor="background1" w:themeShade="A6"/>
              <w:right w:val="single" w:sz="4" w:space="0" w:color="A6A6A6" w:themeColor="background1" w:themeShade="A6"/>
            </w:tcBorders>
          </w:tcPr>
          <w:p w:rsidR="0025490C" w:rsidRPr="00E07B1B" w:rsidRDefault="0025490C" w:rsidP="001967D2">
            <w:pPr>
              <w:pStyle w:val="TableText"/>
            </w:pPr>
            <w:r w:rsidRPr="00E07B1B">
              <w:t>Wairarapa</w:t>
            </w:r>
          </w:p>
        </w:tc>
        <w:tc>
          <w:tcPr>
            <w:tcW w:w="1169" w:type="dxa"/>
            <w:tcBorders>
              <w:top w:val="nil"/>
              <w:left w:val="single" w:sz="4" w:space="0" w:color="A6A6A6" w:themeColor="background1" w:themeShade="A6"/>
              <w:bottom w:val="single" w:sz="4" w:space="0" w:color="A6A6A6" w:themeColor="background1" w:themeShade="A6"/>
              <w:right w:val="nil"/>
            </w:tcBorders>
          </w:tcPr>
          <w:p w:rsidR="0025490C" w:rsidRPr="00E07B1B" w:rsidRDefault="001967D2" w:rsidP="001967D2">
            <w:pPr>
              <w:pStyle w:val="TableText"/>
              <w:tabs>
                <w:tab w:val="decimal" w:pos="527"/>
              </w:tabs>
            </w:pPr>
            <w:r>
              <w:t>–</w:t>
            </w:r>
          </w:p>
        </w:tc>
        <w:tc>
          <w:tcPr>
            <w:tcW w:w="1169" w:type="dxa"/>
            <w:tcBorders>
              <w:top w:val="nil"/>
              <w:left w:val="nil"/>
              <w:bottom w:val="single" w:sz="4" w:space="0" w:color="A6A6A6" w:themeColor="background1" w:themeShade="A6"/>
              <w:right w:val="nil"/>
            </w:tcBorders>
          </w:tcPr>
          <w:p w:rsidR="0025490C" w:rsidRPr="00E07B1B" w:rsidRDefault="0025490C" w:rsidP="001967D2">
            <w:pPr>
              <w:pStyle w:val="TableText"/>
              <w:tabs>
                <w:tab w:val="decimal" w:pos="527"/>
              </w:tabs>
            </w:pPr>
            <w:r w:rsidRPr="00E07B1B">
              <w:t>1.6</w:t>
            </w:r>
          </w:p>
        </w:tc>
        <w:tc>
          <w:tcPr>
            <w:tcW w:w="1169" w:type="dxa"/>
            <w:tcBorders>
              <w:top w:val="nil"/>
              <w:left w:val="nil"/>
              <w:bottom w:val="single" w:sz="4" w:space="0" w:color="A6A6A6" w:themeColor="background1" w:themeShade="A6"/>
              <w:right w:val="nil"/>
            </w:tcBorders>
          </w:tcPr>
          <w:p w:rsidR="0025490C" w:rsidRPr="00E07B1B" w:rsidRDefault="0025490C" w:rsidP="001967D2">
            <w:pPr>
              <w:pStyle w:val="TableText"/>
              <w:tabs>
                <w:tab w:val="decimal" w:pos="527"/>
              </w:tabs>
            </w:pPr>
            <w:r w:rsidRPr="00E07B1B">
              <w:t>1.2</w:t>
            </w:r>
          </w:p>
        </w:tc>
        <w:tc>
          <w:tcPr>
            <w:tcW w:w="1169" w:type="dxa"/>
            <w:tcBorders>
              <w:top w:val="nil"/>
              <w:left w:val="nil"/>
              <w:bottom w:val="single" w:sz="4" w:space="0" w:color="A6A6A6" w:themeColor="background1" w:themeShade="A6"/>
              <w:right w:val="nil"/>
            </w:tcBorders>
          </w:tcPr>
          <w:p w:rsidR="0025490C" w:rsidRPr="00E07B1B" w:rsidRDefault="001967D2" w:rsidP="001967D2">
            <w:pPr>
              <w:pStyle w:val="TableText"/>
              <w:tabs>
                <w:tab w:val="decimal" w:pos="527"/>
              </w:tabs>
            </w:pPr>
            <w:r>
              <w:t>–</w:t>
            </w:r>
          </w:p>
        </w:tc>
        <w:tc>
          <w:tcPr>
            <w:tcW w:w="1170" w:type="dxa"/>
            <w:tcBorders>
              <w:top w:val="nil"/>
              <w:left w:val="nil"/>
              <w:bottom w:val="single" w:sz="4" w:space="0" w:color="A6A6A6" w:themeColor="background1" w:themeShade="A6"/>
              <w:right w:val="single" w:sz="4" w:space="0" w:color="A6A6A6" w:themeColor="background1" w:themeShade="A6"/>
            </w:tcBorders>
          </w:tcPr>
          <w:p w:rsidR="0025490C" w:rsidRPr="00E07B1B" w:rsidRDefault="001967D2" w:rsidP="001967D2">
            <w:pPr>
              <w:pStyle w:val="TableText"/>
              <w:tabs>
                <w:tab w:val="decimal" w:pos="527"/>
              </w:tabs>
            </w:pPr>
            <w:r>
              <w:t>–</w:t>
            </w:r>
          </w:p>
        </w:tc>
        <w:tc>
          <w:tcPr>
            <w:tcW w:w="992" w:type="dxa"/>
            <w:tcBorders>
              <w:top w:val="nil"/>
              <w:left w:val="single" w:sz="4" w:space="0" w:color="A6A6A6" w:themeColor="background1" w:themeShade="A6"/>
              <w:bottom w:val="single" w:sz="4" w:space="0" w:color="A6A6A6" w:themeColor="background1" w:themeShade="A6"/>
              <w:right w:val="nil"/>
            </w:tcBorders>
          </w:tcPr>
          <w:p w:rsidR="0025490C" w:rsidRPr="00E07B1B" w:rsidRDefault="0025490C" w:rsidP="001967D2">
            <w:pPr>
              <w:pStyle w:val="TableText"/>
              <w:jc w:val="center"/>
            </w:pPr>
            <w:r w:rsidRPr="00E07B1B">
              <w:t>1.4</w:t>
            </w:r>
          </w:p>
        </w:tc>
      </w:tr>
      <w:tr w:rsidR="0025490C" w:rsidRPr="001967D2" w:rsidTr="001967D2">
        <w:trPr>
          <w:cantSplit/>
        </w:trPr>
        <w:tc>
          <w:tcPr>
            <w:tcW w:w="2518"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tcPr>
          <w:p w:rsidR="0025490C" w:rsidRPr="001967D2" w:rsidRDefault="0025490C" w:rsidP="001967D2">
            <w:pPr>
              <w:pStyle w:val="TableText"/>
              <w:rPr>
                <w:b/>
              </w:rPr>
            </w:pPr>
            <w:r w:rsidRPr="001967D2">
              <w:rPr>
                <w:b/>
              </w:rPr>
              <w:t>Median</w:t>
            </w:r>
          </w:p>
        </w:tc>
        <w:tc>
          <w:tcPr>
            <w:tcW w:w="1169"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tcPr>
          <w:p w:rsidR="0025490C" w:rsidRPr="001967D2" w:rsidRDefault="0025490C" w:rsidP="001967D2">
            <w:pPr>
              <w:pStyle w:val="TableText"/>
              <w:tabs>
                <w:tab w:val="decimal" w:pos="527"/>
              </w:tabs>
              <w:rPr>
                <w:b/>
              </w:rPr>
            </w:pPr>
            <w:r w:rsidRPr="001967D2">
              <w:rPr>
                <w:b/>
              </w:rPr>
              <w:t>8.1</w:t>
            </w:r>
          </w:p>
        </w:tc>
        <w:tc>
          <w:tcPr>
            <w:tcW w:w="1169" w:type="dxa"/>
            <w:tcBorders>
              <w:top w:val="single" w:sz="4" w:space="0" w:color="A6A6A6" w:themeColor="background1" w:themeShade="A6"/>
              <w:left w:val="nil"/>
              <w:bottom w:val="nil"/>
              <w:right w:val="nil"/>
            </w:tcBorders>
            <w:shd w:val="clear" w:color="auto" w:fill="F2F2F2" w:themeFill="background1" w:themeFillShade="F2"/>
          </w:tcPr>
          <w:p w:rsidR="0025490C" w:rsidRPr="001967D2" w:rsidRDefault="0025490C" w:rsidP="001967D2">
            <w:pPr>
              <w:pStyle w:val="TableText"/>
              <w:tabs>
                <w:tab w:val="decimal" w:pos="527"/>
              </w:tabs>
              <w:rPr>
                <w:b/>
              </w:rPr>
            </w:pPr>
            <w:r w:rsidRPr="001967D2">
              <w:rPr>
                <w:b/>
              </w:rPr>
              <w:t>3.3</w:t>
            </w:r>
          </w:p>
        </w:tc>
        <w:tc>
          <w:tcPr>
            <w:tcW w:w="1169" w:type="dxa"/>
            <w:tcBorders>
              <w:top w:val="single" w:sz="4" w:space="0" w:color="A6A6A6" w:themeColor="background1" w:themeShade="A6"/>
              <w:left w:val="nil"/>
              <w:bottom w:val="nil"/>
              <w:right w:val="nil"/>
            </w:tcBorders>
            <w:shd w:val="clear" w:color="auto" w:fill="F2F2F2" w:themeFill="background1" w:themeFillShade="F2"/>
          </w:tcPr>
          <w:p w:rsidR="0025490C" w:rsidRPr="001967D2" w:rsidRDefault="0025490C" w:rsidP="001967D2">
            <w:pPr>
              <w:pStyle w:val="TableText"/>
              <w:tabs>
                <w:tab w:val="decimal" w:pos="527"/>
              </w:tabs>
              <w:rPr>
                <w:b/>
              </w:rPr>
            </w:pPr>
            <w:r w:rsidRPr="001967D2">
              <w:rPr>
                <w:b/>
              </w:rPr>
              <w:t>3.3</w:t>
            </w:r>
          </w:p>
        </w:tc>
        <w:tc>
          <w:tcPr>
            <w:tcW w:w="1169" w:type="dxa"/>
            <w:tcBorders>
              <w:top w:val="single" w:sz="4" w:space="0" w:color="A6A6A6" w:themeColor="background1" w:themeShade="A6"/>
              <w:left w:val="nil"/>
              <w:bottom w:val="nil"/>
              <w:right w:val="nil"/>
            </w:tcBorders>
            <w:shd w:val="clear" w:color="auto" w:fill="F2F2F2" w:themeFill="background1" w:themeFillShade="F2"/>
          </w:tcPr>
          <w:p w:rsidR="0025490C" w:rsidRPr="001967D2" w:rsidRDefault="0025490C" w:rsidP="001967D2">
            <w:pPr>
              <w:pStyle w:val="TableText"/>
              <w:tabs>
                <w:tab w:val="decimal" w:pos="527"/>
              </w:tabs>
              <w:rPr>
                <w:b/>
              </w:rPr>
            </w:pPr>
            <w:r w:rsidRPr="001967D2">
              <w:rPr>
                <w:b/>
              </w:rPr>
              <w:t>7.2</w:t>
            </w:r>
          </w:p>
        </w:tc>
        <w:tc>
          <w:tcPr>
            <w:tcW w:w="1170"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tcPr>
          <w:p w:rsidR="0025490C" w:rsidRPr="001967D2" w:rsidRDefault="0025490C" w:rsidP="001967D2">
            <w:pPr>
              <w:pStyle w:val="TableText"/>
              <w:tabs>
                <w:tab w:val="decimal" w:pos="527"/>
              </w:tabs>
              <w:rPr>
                <w:b/>
              </w:rPr>
            </w:pPr>
            <w:r w:rsidRPr="001967D2">
              <w:rPr>
                <w:b/>
              </w:rPr>
              <w:t>7.5</w:t>
            </w:r>
          </w:p>
        </w:tc>
        <w:tc>
          <w:tcPr>
            <w:tcW w:w="992"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tcPr>
          <w:p w:rsidR="0025490C" w:rsidRPr="001967D2" w:rsidRDefault="0025490C" w:rsidP="001967D2">
            <w:pPr>
              <w:pStyle w:val="TableText"/>
              <w:jc w:val="center"/>
              <w:rPr>
                <w:b/>
              </w:rPr>
            </w:pPr>
            <w:r w:rsidRPr="001967D2">
              <w:rPr>
                <w:b/>
              </w:rPr>
              <w:t>3.7</w:t>
            </w:r>
          </w:p>
        </w:tc>
      </w:tr>
      <w:tr w:rsidR="0025490C" w:rsidRPr="001967D2" w:rsidTr="001967D2">
        <w:trPr>
          <w:cantSplit/>
        </w:trPr>
        <w:tc>
          <w:tcPr>
            <w:tcW w:w="2518" w:type="dxa"/>
            <w:tcBorders>
              <w:top w:val="nil"/>
              <w:left w:val="nil"/>
              <w:bottom w:val="single" w:sz="4" w:space="0" w:color="auto"/>
              <w:right w:val="single" w:sz="4" w:space="0" w:color="A6A6A6" w:themeColor="background1" w:themeShade="A6"/>
            </w:tcBorders>
          </w:tcPr>
          <w:p w:rsidR="0025490C" w:rsidRPr="001967D2" w:rsidRDefault="0025490C" w:rsidP="001967D2">
            <w:pPr>
              <w:pStyle w:val="TableText"/>
              <w:rPr>
                <w:b/>
              </w:rPr>
            </w:pPr>
            <w:r w:rsidRPr="001967D2">
              <w:rPr>
                <w:b/>
              </w:rPr>
              <w:t>Range</w:t>
            </w:r>
          </w:p>
        </w:tc>
        <w:tc>
          <w:tcPr>
            <w:tcW w:w="1169" w:type="dxa"/>
            <w:tcBorders>
              <w:top w:val="nil"/>
              <w:left w:val="single" w:sz="4" w:space="0" w:color="A6A6A6" w:themeColor="background1" w:themeShade="A6"/>
              <w:bottom w:val="single" w:sz="4" w:space="0" w:color="auto"/>
              <w:right w:val="nil"/>
            </w:tcBorders>
          </w:tcPr>
          <w:p w:rsidR="0025490C" w:rsidRPr="001967D2" w:rsidRDefault="0025490C" w:rsidP="001967D2">
            <w:pPr>
              <w:pStyle w:val="TableText"/>
              <w:jc w:val="center"/>
              <w:rPr>
                <w:b/>
                <w:highlight w:val="yellow"/>
              </w:rPr>
            </w:pPr>
            <w:r w:rsidRPr="001967D2">
              <w:rPr>
                <w:b/>
              </w:rPr>
              <w:t>0–23.1</w:t>
            </w:r>
          </w:p>
        </w:tc>
        <w:tc>
          <w:tcPr>
            <w:tcW w:w="1169" w:type="dxa"/>
            <w:tcBorders>
              <w:top w:val="nil"/>
              <w:left w:val="nil"/>
              <w:bottom w:val="single" w:sz="4" w:space="0" w:color="auto"/>
              <w:right w:val="nil"/>
            </w:tcBorders>
          </w:tcPr>
          <w:p w:rsidR="0025490C" w:rsidRPr="001967D2" w:rsidRDefault="0025490C" w:rsidP="001967D2">
            <w:pPr>
              <w:pStyle w:val="TableText"/>
              <w:jc w:val="center"/>
              <w:rPr>
                <w:b/>
                <w:highlight w:val="yellow"/>
              </w:rPr>
            </w:pPr>
            <w:r w:rsidRPr="001967D2">
              <w:rPr>
                <w:b/>
              </w:rPr>
              <w:t>0.5–4.7</w:t>
            </w:r>
          </w:p>
        </w:tc>
        <w:tc>
          <w:tcPr>
            <w:tcW w:w="1169" w:type="dxa"/>
            <w:tcBorders>
              <w:top w:val="nil"/>
              <w:left w:val="nil"/>
              <w:bottom w:val="single" w:sz="4" w:space="0" w:color="auto"/>
              <w:right w:val="nil"/>
            </w:tcBorders>
          </w:tcPr>
          <w:p w:rsidR="0025490C" w:rsidRPr="001967D2" w:rsidRDefault="0025490C" w:rsidP="001967D2">
            <w:pPr>
              <w:pStyle w:val="TableText"/>
              <w:jc w:val="center"/>
              <w:rPr>
                <w:b/>
                <w:highlight w:val="yellow"/>
              </w:rPr>
            </w:pPr>
            <w:r w:rsidRPr="001967D2">
              <w:rPr>
                <w:b/>
              </w:rPr>
              <w:t>1.2–5.0</w:t>
            </w:r>
          </w:p>
        </w:tc>
        <w:tc>
          <w:tcPr>
            <w:tcW w:w="1169" w:type="dxa"/>
            <w:tcBorders>
              <w:top w:val="nil"/>
              <w:left w:val="nil"/>
              <w:bottom w:val="single" w:sz="4" w:space="0" w:color="auto"/>
              <w:right w:val="nil"/>
            </w:tcBorders>
          </w:tcPr>
          <w:p w:rsidR="0025490C" w:rsidRPr="001967D2" w:rsidRDefault="0025490C" w:rsidP="001967D2">
            <w:pPr>
              <w:pStyle w:val="TableText"/>
              <w:jc w:val="center"/>
              <w:rPr>
                <w:b/>
                <w:highlight w:val="yellow"/>
              </w:rPr>
            </w:pPr>
            <w:r w:rsidRPr="001967D2">
              <w:rPr>
                <w:b/>
              </w:rPr>
              <w:t>0–37.5</w:t>
            </w:r>
          </w:p>
        </w:tc>
        <w:tc>
          <w:tcPr>
            <w:tcW w:w="1170" w:type="dxa"/>
            <w:tcBorders>
              <w:top w:val="nil"/>
              <w:left w:val="nil"/>
              <w:bottom w:val="single" w:sz="4" w:space="0" w:color="auto"/>
              <w:right w:val="single" w:sz="4" w:space="0" w:color="A6A6A6" w:themeColor="background1" w:themeShade="A6"/>
            </w:tcBorders>
          </w:tcPr>
          <w:p w:rsidR="0025490C" w:rsidRPr="001967D2" w:rsidRDefault="0025490C" w:rsidP="001967D2">
            <w:pPr>
              <w:pStyle w:val="TableText"/>
              <w:jc w:val="center"/>
              <w:rPr>
                <w:b/>
              </w:rPr>
            </w:pPr>
            <w:r w:rsidRPr="001967D2">
              <w:rPr>
                <w:b/>
              </w:rPr>
              <w:t>0–50</w:t>
            </w:r>
          </w:p>
        </w:tc>
        <w:tc>
          <w:tcPr>
            <w:tcW w:w="992" w:type="dxa"/>
            <w:tcBorders>
              <w:top w:val="nil"/>
              <w:left w:val="single" w:sz="4" w:space="0" w:color="A6A6A6" w:themeColor="background1" w:themeShade="A6"/>
              <w:bottom w:val="single" w:sz="4" w:space="0" w:color="auto"/>
              <w:right w:val="nil"/>
            </w:tcBorders>
          </w:tcPr>
          <w:p w:rsidR="0025490C" w:rsidRPr="001967D2" w:rsidRDefault="0025490C" w:rsidP="001967D2">
            <w:pPr>
              <w:pStyle w:val="TableText"/>
              <w:jc w:val="center"/>
              <w:rPr>
                <w:b/>
              </w:rPr>
            </w:pPr>
            <w:r w:rsidRPr="001967D2">
              <w:rPr>
                <w:b/>
              </w:rPr>
              <w:t>1.4–8.2</w:t>
            </w:r>
          </w:p>
        </w:tc>
      </w:tr>
    </w:tbl>
    <w:p w:rsidR="0068074A" w:rsidRDefault="0025490C" w:rsidP="001967D2">
      <w:pPr>
        <w:pStyle w:val="Note"/>
      </w:pPr>
      <w:r w:rsidRPr="00B539E0">
        <w:t>Note</w:t>
      </w:r>
      <w:r w:rsidRPr="007B4235">
        <w:t xml:space="preserve">: </w:t>
      </w:r>
      <w:r w:rsidRPr="00E07B1B">
        <w:t xml:space="preserve">MELAA </w:t>
      </w:r>
      <w:r>
        <w:t xml:space="preserve">= </w:t>
      </w:r>
      <w:r w:rsidRPr="00E07B1B">
        <w:t>Middle Eastern, Latin American and African</w:t>
      </w:r>
      <w:r w:rsidR="001967D2">
        <w:t>.</w:t>
      </w:r>
    </w:p>
    <w:p w:rsidR="0068074A" w:rsidRDefault="0025490C" w:rsidP="001967D2">
      <w:pPr>
        <w:pStyle w:val="Note"/>
        <w:ind w:left="0" w:firstLine="0"/>
      </w:pPr>
      <w:r w:rsidRPr="00E07B1B">
        <w:t>Data refer to a single woman who is only counted once although she may have given birth to more than one infant in the year.</w:t>
      </w:r>
    </w:p>
    <w:p w:rsidR="0025490C" w:rsidRDefault="0025490C" w:rsidP="001967D2">
      <w:pPr>
        <w:pStyle w:val="Source"/>
        <w:rPr>
          <w:lang w:eastAsia="en-NZ"/>
        </w:rPr>
      </w:pPr>
      <w:r w:rsidRPr="00012061">
        <w:rPr>
          <w:lang w:eastAsia="en-NZ"/>
        </w:rPr>
        <w:t>Source: National Maternity Collection, Ministry of Health, 2012</w:t>
      </w:r>
    </w:p>
    <w:p w:rsidR="001967D2" w:rsidRPr="001967D2" w:rsidRDefault="001967D2" w:rsidP="001967D2">
      <w:pPr>
        <w:rPr>
          <w:lang w:eastAsia="en-NZ"/>
        </w:rPr>
      </w:pPr>
    </w:p>
    <w:p w:rsidR="00F26156" w:rsidRDefault="00F26156" w:rsidP="00F26156">
      <w:pPr>
        <w:pStyle w:val="Table"/>
        <w:sectPr w:rsidR="00F26156" w:rsidSect="00415623">
          <w:headerReference w:type="default" r:id="rId52"/>
          <w:footerReference w:type="even" r:id="rId53"/>
          <w:footerReference w:type="default" r:id="rId54"/>
          <w:pgSz w:w="11907" w:h="16834" w:code="9"/>
          <w:pgMar w:top="851" w:right="1134" w:bottom="1418" w:left="1134" w:header="284" w:footer="567" w:gutter="284"/>
          <w:pgNumType w:start="1"/>
          <w:cols w:space="720"/>
        </w:sectPr>
      </w:pPr>
      <w:bookmarkStart w:id="414" w:name="_Toc363717759"/>
    </w:p>
    <w:p w:rsidR="0025490C" w:rsidRPr="00E07B1B" w:rsidRDefault="0025490C" w:rsidP="00F26156">
      <w:pPr>
        <w:pStyle w:val="Table"/>
      </w:pPr>
      <w:bookmarkStart w:id="415" w:name="_Toc403635883"/>
      <w:r w:rsidRPr="00E07B1B">
        <w:t>Table 2</w:t>
      </w:r>
      <w:r w:rsidR="00F26156">
        <w:t>:</w:t>
      </w:r>
      <w:r w:rsidRPr="00E07B1B">
        <w:t xml:space="preserve"> Summary of appraisals of national and international guidelines using the AGREE</w:t>
      </w:r>
      <w:r w:rsidR="00F26156">
        <w:t> </w:t>
      </w:r>
      <w:r w:rsidRPr="00E07B1B">
        <w:t>II tool</w:t>
      </w:r>
      <w:bookmarkEnd w:id="414"/>
      <w:bookmarkEnd w:id="415"/>
    </w:p>
    <w:tbl>
      <w:tblPr>
        <w:tblW w:w="14601"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2268"/>
        <w:gridCol w:w="1843"/>
        <w:gridCol w:w="1843"/>
        <w:gridCol w:w="2268"/>
        <w:gridCol w:w="6379"/>
      </w:tblGrid>
      <w:tr w:rsidR="00F26156" w:rsidRPr="00F26156" w:rsidTr="00F26156">
        <w:trPr>
          <w:cantSplit/>
          <w:tblHeader/>
        </w:trPr>
        <w:tc>
          <w:tcPr>
            <w:tcW w:w="2268" w:type="dxa"/>
            <w:tcBorders>
              <w:top w:val="single" w:sz="4" w:space="0" w:color="auto"/>
              <w:bottom w:val="single" w:sz="4" w:space="0" w:color="auto"/>
            </w:tcBorders>
            <w:shd w:val="clear" w:color="auto" w:fill="auto"/>
          </w:tcPr>
          <w:p w:rsidR="0025490C" w:rsidRPr="00F26156" w:rsidRDefault="0025490C" w:rsidP="00F26156">
            <w:pPr>
              <w:pStyle w:val="TableText"/>
              <w:ind w:right="142"/>
              <w:rPr>
                <w:b/>
              </w:rPr>
            </w:pPr>
            <w:r w:rsidRPr="00F26156">
              <w:rPr>
                <w:b/>
              </w:rPr>
              <w:t>Guideline title</w:t>
            </w:r>
          </w:p>
        </w:tc>
        <w:tc>
          <w:tcPr>
            <w:tcW w:w="1843" w:type="dxa"/>
            <w:tcBorders>
              <w:top w:val="single" w:sz="4" w:space="0" w:color="auto"/>
              <w:bottom w:val="single" w:sz="4" w:space="0" w:color="auto"/>
            </w:tcBorders>
            <w:shd w:val="clear" w:color="auto" w:fill="auto"/>
          </w:tcPr>
          <w:p w:rsidR="0025490C" w:rsidRPr="00F26156" w:rsidRDefault="0025490C" w:rsidP="00F26156">
            <w:pPr>
              <w:pStyle w:val="TableText"/>
              <w:ind w:right="142"/>
              <w:jc w:val="center"/>
              <w:rPr>
                <w:b/>
              </w:rPr>
            </w:pPr>
            <w:r w:rsidRPr="00F26156">
              <w:rPr>
                <w:b/>
              </w:rPr>
              <w:t>Main topic area covered</w:t>
            </w:r>
          </w:p>
        </w:tc>
        <w:tc>
          <w:tcPr>
            <w:tcW w:w="1843" w:type="dxa"/>
            <w:tcBorders>
              <w:top w:val="single" w:sz="4" w:space="0" w:color="auto"/>
              <w:bottom w:val="single" w:sz="4" w:space="0" w:color="auto"/>
            </w:tcBorders>
            <w:shd w:val="clear" w:color="auto" w:fill="auto"/>
          </w:tcPr>
          <w:p w:rsidR="0025490C" w:rsidRPr="00F26156" w:rsidRDefault="0025490C" w:rsidP="00F26156">
            <w:pPr>
              <w:pStyle w:val="TableText"/>
              <w:ind w:right="142"/>
              <w:jc w:val="center"/>
              <w:rPr>
                <w:b/>
              </w:rPr>
            </w:pPr>
            <w:r w:rsidRPr="00F26156">
              <w:rPr>
                <w:b/>
              </w:rPr>
              <w:t>Country, date of publication</w:t>
            </w:r>
          </w:p>
        </w:tc>
        <w:tc>
          <w:tcPr>
            <w:tcW w:w="2268" w:type="dxa"/>
            <w:tcBorders>
              <w:top w:val="single" w:sz="4" w:space="0" w:color="auto"/>
              <w:bottom w:val="single" w:sz="4" w:space="0" w:color="auto"/>
            </w:tcBorders>
            <w:shd w:val="clear" w:color="auto" w:fill="auto"/>
          </w:tcPr>
          <w:p w:rsidR="0025490C" w:rsidRPr="00F26156" w:rsidRDefault="0025490C" w:rsidP="00F26156">
            <w:pPr>
              <w:pStyle w:val="TableText"/>
              <w:ind w:right="142"/>
              <w:jc w:val="center"/>
              <w:rPr>
                <w:b/>
              </w:rPr>
            </w:pPr>
            <w:r w:rsidRPr="00F26156">
              <w:rPr>
                <w:b/>
              </w:rPr>
              <w:t>Guideline appraisal outcome</w:t>
            </w:r>
          </w:p>
        </w:tc>
        <w:tc>
          <w:tcPr>
            <w:tcW w:w="6379" w:type="dxa"/>
            <w:tcBorders>
              <w:top w:val="single" w:sz="4" w:space="0" w:color="auto"/>
              <w:bottom w:val="single" w:sz="4" w:space="0" w:color="auto"/>
            </w:tcBorders>
            <w:shd w:val="clear" w:color="auto" w:fill="auto"/>
          </w:tcPr>
          <w:p w:rsidR="0025490C" w:rsidRPr="00F26156" w:rsidRDefault="0025490C" w:rsidP="00F26156">
            <w:pPr>
              <w:pStyle w:val="TableText"/>
              <w:jc w:val="center"/>
              <w:rPr>
                <w:b/>
              </w:rPr>
            </w:pPr>
            <w:r w:rsidRPr="00F26156">
              <w:rPr>
                <w:b/>
              </w:rPr>
              <w:t>Guideline appraisal summary</w:t>
            </w:r>
          </w:p>
        </w:tc>
      </w:tr>
      <w:tr w:rsidR="00F26156" w:rsidRPr="00E07B1B" w:rsidTr="00F26156">
        <w:trPr>
          <w:cantSplit/>
        </w:trPr>
        <w:tc>
          <w:tcPr>
            <w:tcW w:w="2268" w:type="dxa"/>
            <w:tcBorders>
              <w:top w:val="single" w:sz="4" w:space="0" w:color="auto"/>
              <w:bottom w:val="nil"/>
            </w:tcBorders>
            <w:shd w:val="clear" w:color="auto" w:fill="F2F2F2" w:themeFill="background1" w:themeFillShade="F2"/>
          </w:tcPr>
          <w:p w:rsidR="0025490C" w:rsidRPr="00E07B1B" w:rsidRDefault="0025490C" w:rsidP="00F26156">
            <w:pPr>
              <w:pStyle w:val="TableText"/>
              <w:ind w:right="142"/>
            </w:pPr>
            <w:r w:rsidRPr="00E07B1B">
              <w:t>Standards of Medical Care in Diabetes (Amer</w:t>
            </w:r>
            <w:r w:rsidR="00F26156">
              <w:t>ican Diabetes Association 2013)</w:t>
            </w:r>
          </w:p>
        </w:tc>
        <w:tc>
          <w:tcPr>
            <w:tcW w:w="1843" w:type="dxa"/>
            <w:tcBorders>
              <w:top w:val="single" w:sz="4" w:space="0" w:color="auto"/>
              <w:bottom w:val="nil"/>
            </w:tcBorders>
            <w:shd w:val="clear" w:color="auto" w:fill="F2F2F2" w:themeFill="background1" w:themeFillShade="F2"/>
          </w:tcPr>
          <w:p w:rsidR="0025490C" w:rsidRPr="00E07B1B" w:rsidRDefault="0025490C" w:rsidP="00F26156">
            <w:pPr>
              <w:pStyle w:val="TableText"/>
              <w:ind w:right="142"/>
            </w:pPr>
            <w:r w:rsidRPr="00E07B1B">
              <w:t xml:space="preserve">Type 1 and type 2 diabetes, and </w:t>
            </w:r>
            <w:r>
              <w:t>g</w:t>
            </w:r>
            <w:r w:rsidRPr="00E07B1B">
              <w:t>estational diabetes mellitus</w:t>
            </w:r>
          </w:p>
        </w:tc>
        <w:tc>
          <w:tcPr>
            <w:tcW w:w="1843" w:type="dxa"/>
            <w:tcBorders>
              <w:top w:val="single" w:sz="4" w:space="0" w:color="auto"/>
              <w:bottom w:val="nil"/>
            </w:tcBorders>
            <w:shd w:val="clear" w:color="auto" w:fill="F2F2F2" w:themeFill="background1" w:themeFillShade="F2"/>
          </w:tcPr>
          <w:p w:rsidR="0025490C" w:rsidRPr="00E07B1B" w:rsidRDefault="0025490C" w:rsidP="00F26156">
            <w:pPr>
              <w:pStyle w:val="TableText"/>
              <w:ind w:right="142"/>
              <w:jc w:val="center"/>
            </w:pPr>
            <w:r w:rsidRPr="00E07B1B">
              <w:t>United States 2013</w:t>
            </w:r>
          </w:p>
        </w:tc>
        <w:tc>
          <w:tcPr>
            <w:tcW w:w="2268" w:type="dxa"/>
            <w:tcBorders>
              <w:top w:val="single" w:sz="4" w:space="0" w:color="auto"/>
              <w:bottom w:val="nil"/>
            </w:tcBorders>
            <w:shd w:val="clear" w:color="auto" w:fill="F2F2F2" w:themeFill="background1" w:themeFillShade="F2"/>
          </w:tcPr>
          <w:p w:rsidR="0025490C" w:rsidRPr="00E07B1B" w:rsidRDefault="0025490C" w:rsidP="00F26156">
            <w:pPr>
              <w:pStyle w:val="TableText"/>
              <w:ind w:right="142"/>
            </w:pPr>
            <w:r w:rsidRPr="00E07B1B">
              <w:t>Recommended with provisos or alterations</w:t>
            </w:r>
          </w:p>
        </w:tc>
        <w:tc>
          <w:tcPr>
            <w:tcW w:w="6379" w:type="dxa"/>
            <w:tcBorders>
              <w:top w:val="single" w:sz="4" w:space="0" w:color="auto"/>
              <w:bottom w:val="nil"/>
            </w:tcBorders>
            <w:shd w:val="clear" w:color="auto" w:fill="F2F2F2" w:themeFill="background1" w:themeFillShade="F2"/>
          </w:tcPr>
          <w:p w:rsidR="0025490C" w:rsidRPr="00E07B1B" w:rsidRDefault="0025490C" w:rsidP="00F26156">
            <w:pPr>
              <w:pStyle w:val="TableText"/>
            </w:pPr>
            <w:r w:rsidRPr="00E07B1B">
              <w:t xml:space="preserve">This guideline provides advice on the components of diabetes care, general treatment goals, and tools to evaluate quality of care. It covers a wide range of clinical scenarios and provides monitoring/audit criteria. The guideline has some methodological weaknesses. There is a lack of clarity around the criteria for selecting the evidence and a limited discussion </w:t>
            </w:r>
            <w:r>
              <w:t>on</w:t>
            </w:r>
            <w:r w:rsidRPr="00E07B1B">
              <w:t xml:space="preserve"> the strengths and limitations of the evidence. The guideline includes some discussion </w:t>
            </w:r>
            <w:r>
              <w:t>on</w:t>
            </w:r>
            <w:r w:rsidRPr="00E07B1B">
              <w:t xml:space="preserve"> cost</w:t>
            </w:r>
            <w:r>
              <w:t>-</w:t>
            </w:r>
            <w:r w:rsidRPr="00E07B1B">
              <w:t>effectiveness. People with diabetes do not appear to have been involved or consulted during guideline development.</w:t>
            </w:r>
          </w:p>
        </w:tc>
      </w:tr>
      <w:tr w:rsidR="00F26156" w:rsidRPr="00E07B1B" w:rsidTr="00F26156">
        <w:trPr>
          <w:cantSplit/>
        </w:trPr>
        <w:tc>
          <w:tcPr>
            <w:tcW w:w="2268" w:type="dxa"/>
            <w:tcBorders>
              <w:top w:val="nil"/>
              <w:bottom w:val="nil"/>
            </w:tcBorders>
            <w:shd w:val="clear" w:color="auto" w:fill="auto"/>
          </w:tcPr>
          <w:p w:rsidR="0025490C" w:rsidRPr="00E07B1B" w:rsidRDefault="0025490C" w:rsidP="00F26156">
            <w:pPr>
              <w:pStyle w:val="TableText"/>
              <w:ind w:right="142"/>
            </w:pPr>
            <w:r w:rsidRPr="00E07B1B">
              <w:t xml:space="preserve">Diabetes in </w:t>
            </w:r>
            <w:r>
              <w:t>P</w:t>
            </w:r>
            <w:r w:rsidRPr="00E07B1B">
              <w:t>regnancy</w:t>
            </w:r>
          </w:p>
        </w:tc>
        <w:tc>
          <w:tcPr>
            <w:tcW w:w="1843" w:type="dxa"/>
            <w:tcBorders>
              <w:top w:val="nil"/>
              <w:bottom w:val="nil"/>
            </w:tcBorders>
            <w:shd w:val="clear" w:color="auto" w:fill="auto"/>
          </w:tcPr>
          <w:p w:rsidR="0025490C" w:rsidRPr="00E07B1B" w:rsidRDefault="0025490C" w:rsidP="00F26156">
            <w:pPr>
              <w:pStyle w:val="TableText"/>
              <w:ind w:right="142"/>
            </w:pPr>
            <w:r w:rsidRPr="00E07B1B">
              <w:t>Diabetes in pregnancy</w:t>
            </w:r>
          </w:p>
        </w:tc>
        <w:tc>
          <w:tcPr>
            <w:tcW w:w="1843" w:type="dxa"/>
            <w:tcBorders>
              <w:top w:val="nil"/>
              <w:bottom w:val="nil"/>
            </w:tcBorders>
            <w:shd w:val="clear" w:color="auto" w:fill="auto"/>
          </w:tcPr>
          <w:p w:rsidR="0025490C" w:rsidRPr="00E07B1B" w:rsidRDefault="0025490C" w:rsidP="00F26156">
            <w:pPr>
              <w:pStyle w:val="TableText"/>
              <w:ind w:right="142"/>
              <w:jc w:val="center"/>
            </w:pPr>
            <w:r w:rsidRPr="00E07B1B">
              <w:t>New Zealand 2012</w:t>
            </w:r>
          </w:p>
        </w:tc>
        <w:tc>
          <w:tcPr>
            <w:tcW w:w="2268" w:type="dxa"/>
            <w:tcBorders>
              <w:top w:val="nil"/>
              <w:bottom w:val="nil"/>
            </w:tcBorders>
            <w:shd w:val="clear" w:color="auto" w:fill="auto"/>
          </w:tcPr>
          <w:p w:rsidR="0025490C" w:rsidRPr="00E07B1B" w:rsidRDefault="0025490C" w:rsidP="00F26156">
            <w:pPr>
              <w:pStyle w:val="TableText"/>
              <w:ind w:right="142"/>
            </w:pPr>
            <w:r w:rsidRPr="00E07B1B">
              <w:t>Not recommended</w:t>
            </w:r>
          </w:p>
        </w:tc>
        <w:tc>
          <w:tcPr>
            <w:tcW w:w="6379" w:type="dxa"/>
            <w:tcBorders>
              <w:top w:val="nil"/>
              <w:bottom w:val="nil"/>
            </w:tcBorders>
            <w:shd w:val="clear" w:color="auto" w:fill="auto"/>
          </w:tcPr>
          <w:p w:rsidR="0025490C" w:rsidRPr="00E07B1B" w:rsidRDefault="0025490C" w:rsidP="00F26156">
            <w:pPr>
              <w:pStyle w:val="TableText"/>
            </w:pPr>
            <w:r w:rsidRPr="00E07B1B">
              <w:t>This guideline provides advice on the detection and management of diabetes in pregnancy. The guideline has some serious methodological weaknesses.</w:t>
            </w:r>
            <w:r>
              <w:t xml:space="preserve"> </w:t>
            </w:r>
            <w:r w:rsidRPr="00E07B1B">
              <w:t>Although the report cites relevant clinical studies</w:t>
            </w:r>
            <w:r>
              <w:t>,</w:t>
            </w:r>
            <w:r w:rsidRPr="00E07B1B">
              <w:t xml:space="preserve"> the recommendations were not formed on the basis of a systematic search of the literature, introducing a risk of selection bias. The guideline provides useful advice on general treatment goals and detailed clinical guidelines for managing diabetes and glucose intolerance in pregnancy. There are checklists and an algorithm that may be useful for clinicians. The resource implications of the recommendations are not discussed.</w:t>
            </w:r>
          </w:p>
        </w:tc>
      </w:tr>
      <w:tr w:rsidR="00F26156" w:rsidRPr="00E07B1B" w:rsidTr="00F26156">
        <w:trPr>
          <w:cantSplit/>
        </w:trPr>
        <w:tc>
          <w:tcPr>
            <w:tcW w:w="2268"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 xml:space="preserve">Preventing </w:t>
            </w:r>
            <w:r>
              <w:t>T</w:t>
            </w:r>
            <w:r w:rsidRPr="00E07B1B">
              <w:t xml:space="preserve">ype 2 </w:t>
            </w:r>
            <w:r>
              <w:t>D</w:t>
            </w:r>
            <w:r w:rsidRPr="00E07B1B">
              <w:t xml:space="preserve">iabetes: </w:t>
            </w:r>
            <w:r>
              <w:t>R</w:t>
            </w:r>
            <w:r w:rsidRPr="00E07B1B">
              <w:t>isk identification and interventions for individuals at high risk (</w:t>
            </w:r>
            <w:r>
              <w:t>NICE</w:t>
            </w:r>
            <w:r w:rsidRPr="00E07B1B">
              <w:t xml:space="preserve"> 2012)</w:t>
            </w:r>
          </w:p>
        </w:tc>
        <w:tc>
          <w:tcPr>
            <w:tcW w:w="1843"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Prevention of type 2 diabetes mellitus</w:t>
            </w:r>
          </w:p>
        </w:tc>
        <w:tc>
          <w:tcPr>
            <w:tcW w:w="1843" w:type="dxa"/>
            <w:tcBorders>
              <w:top w:val="nil"/>
              <w:bottom w:val="nil"/>
            </w:tcBorders>
            <w:shd w:val="clear" w:color="auto" w:fill="F2F2F2" w:themeFill="background1" w:themeFillShade="F2"/>
          </w:tcPr>
          <w:p w:rsidR="0025490C" w:rsidRPr="00E07B1B" w:rsidRDefault="0025490C" w:rsidP="00F26156">
            <w:pPr>
              <w:pStyle w:val="TableText"/>
              <w:ind w:right="142"/>
              <w:jc w:val="center"/>
            </w:pPr>
            <w:r w:rsidRPr="00E07B1B">
              <w:t>United Kingdom 2012</w:t>
            </w:r>
          </w:p>
        </w:tc>
        <w:tc>
          <w:tcPr>
            <w:tcW w:w="2268"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Recommended</w:t>
            </w:r>
          </w:p>
        </w:tc>
        <w:tc>
          <w:tcPr>
            <w:tcW w:w="6379" w:type="dxa"/>
            <w:tcBorders>
              <w:top w:val="nil"/>
              <w:bottom w:val="nil"/>
            </w:tcBorders>
            <w:shd w:val="clear" w:color="auto" w:fill="F2F2F2" w:themeFill="background1" w:themeFillShade="F2"/>
          </w:tcPr>
          <w:p w:rsidR="0025490C" w:rsidRPr="00E07B1B" w:rsidRDefault="0025490C" w:rsidP="00F26156">
            <w:pPr>
              <w:pStyle w:val="TableText"/>
            </w:pPr>
            <w:r w:rsidRPr="00E07B1B">
              <w:t>This report provides high</w:t>
            </w:r>
            <w:r>
              <w:t>-</w:t>
            </w:r>
            <w:r w:rsidRPr="00E07B1B">
              <w:t>quality guidance focusing on identifying people at high risk of type 2 diabetes. The methods included quantitative and qualitative methods; evidence review, economic modelling, considering the testimony of experts and commissioned reports, considering stakeholder comments and fieldwork. The report provides recommendations on the provision of effective, cost</w:t>
            </w:r>
            <w:r>
              <w:t>-</w:t>
            </w:r>
            <w:r w:rsidRPr="00E07B1B">
              <w:t>effective and appropriate interventions for people at high risk. The method of development was rigorous; the evidence was gathered systematic</w:t>
            </w:r>
            <w:r>
              <w:t>ally</w:t>
            </w:r>
            <w:r w:rsidRPr="00E07B1B">
              <w:t xml:space="preserve"> using a variety of sources. The guideline development group incorporated a number of relevant areas of expertise. </w:t>
            </w:r>
            <w:r>
              <w:t xml:space="preserve">A </w:t>
            </w:r>
            <w:r w:rsidRPr="00E07B1B">
              <w:t xml:space="preserve">number of tools to aid implementation </w:t>
            </w:r>
            <w:r>
              <w:t xml:space="preserve">are </w:t>
            </w:r>
            <w:r w:rsidRPr="00E07B1B">
              <w:t>available on the website.</w:t>
            </w:r>
          </w:p>
        </w:tc>
      </w:tr>
      <w:tr w:rsidR="00F26156" w:rsidRPr="00E07B1B" w:rsidTr="00F26156">
        <w:trPr>
          <w:cantSplit/>
        </w:trPr>
        <w:tc>
          <w:tcPr>
            <w:tcW w:w="2268" w:type="dxa"/>
            <w:tcBorders>
              <w:top w:val="nil"/>
              <w:bottom w:val="nil"/>
            </w:tcBorders>
            <w:shd w:val="clear" w:color="auto" w:fill="auto"/>
          </w:tcPr>
          <w:p w:rsidR="0025490C" w:rsidRPr="00E07B1B" w:rsidRDefault="0025490C" w:rsidP="00F26156">
            <w:pPr>
              <w:pStyle w:val="TableText"/>
              <w:ind w:right="142"/>
            </w:pPr>
            <w:r w:rsidRPr="00E07B1B">
              <w:t xml:space="preserve">Screening and </w:t>
            </w:r>
            <w:r>
              <w:t>D</w:t>
            </w:r>
            <w:r w:rsidRPr="00E07B1B">
              <w:t xml:space="preserve">iagnosing </w:t>
            </w:r>
            <w:r>
              <w:t>G</w:t>
            </w:r>
            <w:r w:rsidRPr="00E07B1B">
              <w:t xml:space="preserve">estational </w:t>
            </w:r>
            <w:r>
              <w:t>D</w:t>
            </w:r>
            <w:r w:rsidRPr="00E07B1B">
              <w:t xml:space="preserve">iabetes </w:t>
            </w:r>
            <w:r>
              <w:t>M</w:t>
            </w:r>
            <w:r w:rsidRPr="00E07B1B">
              <w:t>ellitus</w:t>
            </w:r>
            <w:r>
              <w:t xml:space="preserve"> (Hartling</w:t>
            </w:r>
            <w:r w:rsidR="00F26156">
              <w:t> </w:t>
            </w:r>
            <w:r>
              <w:t>2012)</w:t>
            </w:r>
          </w:p>
        </w:tc>
        <w:tc>
          <w:tcPr>
            <w:tcW w:w="1843" w:type="dxa"/>
            <w:tcBorders>
              <w:top w:val="nil"/>
              <w:bottom w:val="nil"/>
            </w:tcBorders>
            <w:shd w:val="clear" w:color="auto" w:fill="auto"/>
          </w:tcPr>
          <w:p w:rsidR="0025490C" w:rsidRPr="00E07B1B" w:rsidRDefault="0025490C" w:rsidP="00F26156">
            <w:pPr>
              <w:pStyle w:val="TableText"/>
              <w:ind w:right="142"/>
            </w:pPr>
            <w:r w:rsidRPr="00E07B1B">
              <w:t>Gestational diabetes mellitus</w:t>
            </w:r>
          </w:p>
        </w:tc>
        <w:tc>
          <w:tcPr>
            <w:tcW w:w="1843" w:type="dxa"/>
            <w:tcBorders>
              <w:top w:val="nil"/>
              <w:bottom w:val="nil"/>
            </w:tcBorders>
            <w:shd w:val="clear" w:color="auto" w:fill="auto"/>
          </w:tcPr>
          <w:p w:rsidR="0025490C" w:rsidRPr="00E07B1B" w:rsidRDefault="0025490C" w:rsidP="00F26156">
            <w:pPr>
              <w:pStyle w:val="TableText"/>
              <w:ind w:right="142"/>
              <w:jc w:val="center"/>
            </w:pPr>
            <w:r w:rsidRPr="00E07B1B">
              <w:t>United States 2012</w:t>
            </w:r>
          </w:p>
        </w:tc>
        <w:tc>
          <w:tcPr>
            <w:tcW w:w="2268" w:type="dxa"/>
            <w:tcBorders>
              <w:top w:val="nil"/>
              <w:bottom w:val="nil"/>
            </w:tcBorders>
            <w:shd w:val="clear" w:color="auto" w:fill="auto"/>
          </w:tcPr>
          <w:p w:rsidR="0025490C" w:rsidRPr="00E07B1B" w:rsidRDefault="0025490C" w:rsidP="00F26156">
            <w:pPr>
              <w:pStyle w:val="TableText"/>
              <w:ind w:right="142"/>
            </w:pPr>
            <w:r w:rsidRPr="00E07B1B">
              <w:t>Recommended with provisos or alterations</w:t>
            </w:r>
          </w:p>
        </w:tc>
        <w:tc>
          <w:tcPr>
            <w:tcW w:w="6379" w:type="dxa"/>
            <w:tcBorders>
              <w:top w:val="nil"/>
              <w:bottom w:val="nil"/>
            </w:tcBorders>
            <w:shd w:val="clear" w:color="auto" w:fill="auto"/>
          </w:tcPr>
          <w:p w:rsidR="0025490C" w:rsidRPr="00F26156" w:rsidRDefault="0025490C" w:rsidP="00F26156">
            <w:pPr>
              <w:pStyle w:val="TableText"/>
              <w:rPr>
                <w:spacing w:val="-2"/>
              </w:rPr>
            </w:pPr>
            <w:r w:rsidRPr="00F26156">
              <w:rPr>
                <w:spacing w:val="-2"/>
              </w:rPr>
              <w:t>Overall this is a high-quality summary of the evidence. It provides advice on screening for and treatment of gestational diabetes. The method of development was rigorous; the criteria for selecting evidence are well described; and the link between the evidence and the conclusions is explicitly described. As this review is intended for use in producing guidelines, it contains no recommendations or implementation tools for use in practice. The technical advisory panel included people with relevant clinical and methodological expertise. Women with hyperglycaemia in pregnancy were not involved in developing the report. The guideline is primarily aimed at public health officials. The report extracted cost-related data but did not search for cost-effectiveness studies or conduct cost-effectiveness analysis.</w:t>
            </w:r>
          </w:p>
        </w:tc>
      </w:tr>
      <w:tr w:rsidR="00F26156" w:rsidRPr="00E07B1B" w:rsidTr="00F26156">
        <w:trPr>
          <w:cantSplit/>
        </w:trPr>
        <w:tc>
          <w:tcPr>
            <w:tcW w:w="2268" w:type="dxa"/>
            <w:tcBorders>
              <w:top w:val="nil"/>
              <w:bottom w:val="nil"/>
            </w:tcBorders>
            <w:shd w:val="clear" w:color="auto" w:fill="F2F2F2" w:themeFill="background1" w:themeFillShade="F2"/>
          </w:tcPr>
          <w:p w:rsidR="0025490C" w:rsidRPr="00E07B1B" w:rsidRDefault="0025490C" w:rsidP="00F26156">
            <w:pPr>
              <w:pStyle w:val="TableText"/>
              <w:ind w:right="142"/>
              <w:rPr>
                <w:bCs/>
              </w:rPr>
            </w:pPr>
            <w:r w:rsidRPr="00E07B1B">
              <w:rPr>
                <w:bCs/>
              </w:rPr>
              <w:t xml:space="preserve">Wisconsin </w:t>
            </w:r>
            <w:r>
              <w:rPr>
                <w:bCs/>
              </w:rPr>
              <w:t>D</w:t>
            </w:r>
            <w:r w:rsidRPr="00E07B1B">
              <w:rPr>
                <w:bCs/>
              </w:rPr>
              <w:t xml:space="preserve">iabetes </w:t>
            </w:r>
            <w:r>
              <w:rPr>
                <w:bCs/>
              </w:rPr>
              <w:t>M</w:t>
            </w:r>
            <w:r w:rsidRPr="00E07B1B">
              <w:rPr>
                <w:bCs/>
              </w:rPr>
              <w:t xml:space="preserve">ellitus </w:t>
            </w:r>
            <w:r>
              <w:rPr>
                <w:bCs/>
              </w:rPr>
              <w:t>E</w:t>
            </w:r>
            <w:r w:rsidRPr="00E07B1B">
              <w:rPr>
                <w:bCs/>
              </w:rPr>
              <w:t xml:space="preserve">ssential </w:t>
            </w:r>
            <w:r>
              <w:rPr>
                <w:bCs/>
              </w:rPr>
              <w:t>C</w:t>
            </w:r>
            <w:r w:rsidRPr="00E07B1B">
              <w:rPr>
                <w:bCs/>
              </w:rPr>
              <w:t xml:space="preserve">are </w:t>
            </w:r>
            <w:r>
              <w:rPr>
                <w:bCs/>
              </w:rPr>
              <w:t>G</w:t>
            </w:r>
            <w:r w:rsidRPr="00E07B1B">
              <w:rPr>
                <w:bCs/>
              </w:rPr>
              <w:t>uidelines (</w:t>
            </w:r>
            <w:r w:rsidRPr="00E07B1B">
              <w:t>Wisconsin Department of Health Services 2012)</w:t>
            </w:r>
          </w:p>
        </w:tc>
        <w:tc>
          <w:tcPr>
            <w:tcW w:w="1843"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Diabetes mellitus</w:t>
            </w:r>
          </w:p>
        </w:tc>
        <w:tc>
          <w:tcPr>
            <w:tcW w:w="1843" w:type="dxa"/>
            <w:tcBorders>
              <w:top w:val="nil"/>
              <w:bottom w:val="nil"/>
            </w:tcBorders>
            <w:shd w:val="clear" w:color="auto" w:fill="F2F2F2" w:themeFill="background1" w:themeFillShade="F2"/>
          </w:tcPr>
          <w:p w:rsidR="0025490C" w:rsidRPr="00E07B1B" w:rsidRDefault="0025490C" w:rsidP="00F26156">
            <w:pPr>
              <w:pStyle w:val="TableText"/>
              <w:ind w:right="142"/>
              <w:jc w:val="center"/>
            </w:pPr>
            <w:r w:rsidRPr="00E07B1B">
              <w:t>United States 2012</w:t>
            </w:r>
          </w:p>
        </w:tc>
        <w:tc>
          <w:tcPr>
            <w:tcW w:w="2268"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Not recommended</w:t>
            </w:r>
          </w:p>
        </w:tc>
        <w:tc>
          <w:tcPr>
            <w:tcW w:w="6379" w:type="dxa"/>
            <w:tcBorders>
              <w:top w:val="nil"/>
              <w:bottom w:val="nil"/>
            </w:tcBorders>
            <w:shd w:val="clear" w:color="auto" w:fill="F2F2F2" w:themeFill="background1" w:themeFillShade="F2"/>
          </w:tcPr>
          <w:p w:rsidR="0025490C" w:rsidRPr="00E07B1B" w:rsidRDefault="0025490C" w:rsidP="00F26156">
            <w:pPr>
              <w:pStyle w:val="TableText"/>
            </w:pPr>
            <w:r w:rsidRPr="00E07B1B">
              <w:t>Overall, this guideline has some serious limitations. It covers a wide range of issues concerned with the diagnosis and treatment of diabetes mellitus.</w:t>
            </w:r>
            <w:r>
              <w:t xml:space="preserve"> </w:t>
            </w:r>
            <w:r w:rsidRPr="00E07B1B">
              <w:t>There is a lack of clarity around the quality of the evidence, or the strength of the evidence on which the recommendations are based.</w:t>
            </w:r>
            <w:r>
              <w:t xml:space="preserve"> </w:t>
            </w:r>
            <w:r w:rsidRPr="00E07B1B">
              <w:t xml:space="preserve">There is no description of how the </w:t>
            </w:r>
            <w:r>
              <w:t>guideline development group</w:t>
            </w:r>
            <w:r w:rsidRPr="00E07B1B">
              <w:t xml:space="preserve"> used the evidence to form recommendations. There is also a lack of clarity around the criteria for selecting the evidence and the search strategies are not described, introducing a strong possibility of selection bias. The guideline provides a lot of tools for use in practice but they do not appear to have been derived from the evidence or the main recommendations.</w:t>
            </w:r>
          </w:p>
        </w:tc>
      </w:tr>
      <w:tr w:rsidR="00F26156" w:rsidRPr="00E07B1B" w:rsidTr="00F26156">
        <w:trPr>
          <w:cantSplit/>
        </w:trPr>
        <w:tc>
          <w:tcPr>
            <w:tcW w:w="2268" w:type="dxa"/>
            <w:tcBorders>
              <w:top w:val="nil"/>
              <w:bottom w:val="nil"/>
            </w:tcBorders>
            <w:shd w:val="clear" w:color="auto" w:fill="auto"/>
          </w:tcPr>
          <w:p w:rsidR="0025490C" w:rsidRPr="00E07B1B" w:rsidRDefault="0025490C" w:rsidP="00F26156">
            <w:pPr>
              <w:pStyle w:val="TableText"/>
              <w:ind w:right="142"/>
            </w:pPr>
            <w:r w:rsidRPr="00E07B1B">
              <w:rPr>
                <w:bCs/>
              </w:rPr>
              <w:t>Australasian Diabetes In Pregnancy Society (ADIPS) Consensus Guidelines for the Testing and Diagnosis of Gestational Diabetes Mellitus in Australia (Nankervis</w:t>
            </w:r>
            <w:r w:rsidR="00F26156">
              <w:rPr>
                <w:bCs/>
              </w:rPr>
              <w:t> </w:t>
            </w:r>
            <w:r w:rsidRPr="00E07B1B">
              <w:rPr>
                <w:bCs/>
              </w:rPr>
              <w:t>2013)</w:t>
            </w:r>
          </w:p>
        </w:tc>
        <w:tc>
          <w:tcPr>
            <w:tcW w:w="1843" w:type="dxa"/>
            <w:tcBorders>
              <w:top w:val="nil"/>
              <w:bottom w:val="nil"/>
            </w:tcBorders>
            <w:shd w:val="clear" w:color="auto" w:fill="auto"/>
          </w:tcPr>
          <w:p w:rsidR="0025490C" w:rsidRPr="00E07B1B" w:rsidRDefault="0025490C" w:rsidP="00F26156">
            <w:pPr>
              <w:pStyle w:val="TableText"/>
              <w:ind w:right="142"/>
            </w:pPr>
            <w:r w:rsidRPr="00E07B1B">
              <w:t>Gestational diabetes mellitus</w:t>
            </w:r>
          </w:p>
        </w:tc>
        <w:tc>
          <w:tcPr>
            <w:tcW w:w="1843" w:type="dxa"/>
            <w:tcBorders>
              <w:top w:val="nil"/>
              <w:bottom w:val="nil"/>
            </w:tcBorders>
            <w:shd w:val="clear" w:color="auto" w:fill="auto"/>
          </w:tcPr>
          <w:p w:rsidR="0025490C" w:rsidRPr="00E07B1B" w:rsidRDefault="0025490C" w:rsidP="00F26156">
            <w:pPr>
              <w:pStyle w:val="TableText"/>
              <w:ind w:right="142"/>
              <w:jc w:val="center"/>
            </w:pPr>
            <w:r w:rsidRPr="00E07B1B">
              <w:t>Australia 2012</w:t>
            </w:r>
          </w:p>
        </w:tc>
        <w:tc>
          <w:tcPr>
            <w:tcW w:w="2268" w:type="dxa"/>
            <w:tcBorders>
              <w:top w:val="nil"/>
              <w:bottom w:val="nil"/>
            </w:tcBorders>
            <w:shd w:val="clear" w:color="auto" w:fill="auto"/>
          </w:tcPr>
          <w:p w:rsidR="0025490C" w:rsidRPr="00E07B1B" w:rsidRDefault="0025490C" w:rsidP="00F26156">
            <w:pPr>
              <w:pStyle w:val="TableText"/>
              <w:ind w:right="142"/>
            </w:pPr>
            <w:r w:rsidRPr="00E07B1B">
              <w:t>Not recommended</w:t>
            </w:r>
          </w:p>
        </w:tc>
        <w:tc>
          <w:tcPr>
            <w:tcW w:w="6379" w:type="dxa"/>
            <w:tcBorders>
              <w:top w:val="nil"/>
              <w:bottom w:val="nil"/>
            </w:tcBorders>
            <w:shd w:val="clear" w:color="auto" w:fill="auto"/>
          </w:tcPr>
          <w:p w:rsidR="0025490C" w:rsidRPr="00E07B1B" w:rsidRDefault="0025490C" w:rsidP="00F26156">
            <w:pPr>
              <w:pStyle w:val="TableText"/>
            </w:pPr>
            <w:r w:rsidRPr="00E07B1B">
              <w:t>This guideline provides advice on the testing and diagnosis of gestational diabetes. There are also recommendations on suggested treatment targets and postpartum management.</w:t>
            </w:r>
            <w:r>
              <w:t xml:space="preserve"> </w:t>
            </w:r>
            <w:r w:rsidRPr="00E07B1B">
              <w:t>The guideline has some serious methodological weaknesses. Although the report cites relevant clinical studies</w:t>
            </w:r>
            <w:r>
              <w:t>,</w:t>
            </w:r>
            <w:r w:rsidRPr="00E07B1B">
              <w:t xml:space="preserve"> the recommendations were not formed on the basis of a systematic search of the literature, introducing a risk of selection bias. The included studies were not formally appraised for quality. The guideline recommends lowering the diagnostic threshold but does not examine the potential resource implications or discuss the balance between the risks and benefits. Women with diabetes were not involved or consulted during guideline development.</w:t>
            </w:r>
          </w:p>
        </w:tc>
      </w:tr>
      <w:tr w:rsidR="00F26156" w:rsidRPr="00E07B1B" w:rsidTr="00F26156">
        <w:trPr>
          <w:cantSplit/>
        </w:trPr>
        <w:tc>
          <w:tcPr>
            <w:tcW w:w="2268" w:type="dxa"/>
            <w:tcBorders>
              <w:top w:val="nil"/>
              <w:bottom w:val="nil"/>
            </w:tcBorders>
            <w:shd w:val="clear" w:color="auto" w:fill="F2F2F2" w:themeFill="background1" w:themeFillShade="F2"/>
          </w:tcPr>
          <w:p w:rsidR="0025490C" w:rsidRPr="00E07B1B" w:rsidRDefault="0025490C" w:rsidP="00F26156">
            <w:pPr>
              <w:pStyle w:val="TableText"/>
              <w:ind w:right="142"/>
              <w:rPr>
                <w:bCs/>
              </w:rPr>
            </w:pPr>
            <w:r w:rsidRPr="00E07B1B">
              <w:rPr>
                <w:bCs/>
              </w:rPr>
              <w:t xml:space="preserve">WHO </w:t>
            </w:r>
            <w:r>
              <w:rPr>
                <w:bCs/>
              </w:rPr>
              <w:t>R</w:t>
            </w:r>
            <w:r w:rsidRPr="00E07B1B">
              <w:rPr>
                <w:bCs/>
              </w:rPr>
              <w:t xml:space="preserve">ecommendations for </w:t>
            </w:r>
            <w:r>
              <w:rPr>
                <w:bCs/>
              </w:rPr>
              <w:t>I</w:t>
            </w:r>
            <w:r w:rsidRPr="00E07B1B">
              <w:rPr>
                <w:bCs/>
              </w:rPr>
              <w:t xml:space="preserve">nduction </w:t>
            </w:r>
            <w:r>
              <w:rPr>
                <w:bCs/>
              </w:rPr>
              <w:t>of</w:t>
            </w:r>
            <w:r w:rsidRPr="00E07B1B">
              <w:rPr>
                <w:bCs/>
              </w:rPr>
              <w:t xml:space="preserve"> </w:t>
            </w:r>
            <w:r>
              <w:rPr>
                <w:bCs/>
              </w:rPr>
              <w:t>L</w:t>
            </w:r>
            <w:r w:rsidRPr="00E07B1B">
              <w:rPr>
                <w:bCs/>
              </w:rPr>
              <w:t>abour (WHO 2011</w:t>
            </w:r>
            <w:r>
              <w:rPr>
                <w:bCs/>
              </w:rPr>
              <w:t>b</w:t>
            </w:r>
            <w:r w:rsidRPr="00E07B1B">
              <w:rPr>
                <w:bCs/>
              </w:rPr>
              <w:t>)</w:t>
            </w:r>
          </w:p>
        </w:tc>
        <w:tc>
          <w:tcPr>
            <w:tcW w:w="1843" w:type="dxa"/>
            <w:tcBorders>
              <w:top w:val="nil"/>
              <w:bottom w:val="nil"/>
            </w:tcBorders>
            <w:shd w:val="clear" w:color="auto" w:fill="F2F2F2" w:themeFill="background1" w:themeFillShade="F2"/>
          </w:tcPr>
          <w:p w:rsidR="0025490C" w:rsidRPr="00E07B1B" w:rsidRDefault="00F26156" w:rsidP="00F26156">
            <w:pPr>
              <w:pStyle w:val="TableText"/>
              <w:ind w:right="142"/>
            </w:pPr>
            <w:r>
              <w:t>Induction of labour</w:t>
            </w:r>
          </w:p>
        </w:tc>
        <w:tc>
          <w:tcPr>
            <w:tcW w:w="1843" w:type="dxa"/>
            <w:tcBorders>
              <w:top w:val="nil"/>
              <w:bottom w:val="nil"/>
            </w:tcBorders>
            <w:shd w:val="clear" w:color="auto" w:fill="F2F2F2" w:themeFill="background1" w:themeFillShade="F2"/>
          </w:tcPr>
          <w:p w:rsidR="0025490C" w:rsidRPr="00E07B1B" w:rsidRDefault="0025490C" w:rsidP="00F26156">
            <w:pPr>
              <w:pStyle w:val="TableText"/>
              <w:ind w:right="142"/>
              <w:jc w:val="center"/>
            </w:pPr>
            <w:r w:rsidRPr="00E07B1B">
              <w:t>World Health Organization 2011</w:t>
            </w:r>
          </w:p>
        </w:tc>
        <w:tc>
          <w:tcPr>
            <w:tcW w:w="2268"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Recommended</w:t>
            </w:r>
          </w:p>
        </w:tc>
        <w:tc>
          <w:tcPr>
            <w:tcW w:w="6379" w:type="dxa"/>
            <w:tcBorders>
              <w:top w:val="nil"/>
              <w:bottom w:val="nil"/>
            </w:tcBorders>
            <w:shd w:val="clear" w:color="auto" w:fill="F2F2F2" w:themeFill="background1" w:themeFillShade="F2"/>
          </w:tcPr>
          <w:p w:rsidR="0025490C" w:rsidRPr="00E07B1B" w:rsidRDefault="0025490C" w:rsidP="00F26156">
            <w:pPr>
              <w:pStyle w:val="TableText"/>
            </w:pPr>
            <w:r w:rsidRPr="00E07B1B">
              <w:t>Overall this is a high</w:t>
            </w:r>
            <w:r>
              <w:t>-</w:t>
            </w:r>
            <w:r w:rsidRPr="00E07B1B">
              <w:t>quality guideline providing advice on the induction of labour. The method of development was rigorous; Cochrane systematic reviews formed the basis of the evidence and updates were undertaken as required. There is good discussion of the strengths and limitations of the evidence supporting the recommendations. The recommendations are clear and concise. Suggestions for monitoring and evaluating guideline implementation are made. Service users were involved in reviewing the guideline and the guideline development team comprised a range of health professionals and practitioners.</w:t>
            </w:r>
            <w:r>
              <w:t xml:space="preserve"> </w:t>
            </w:r>
            <w:r w:rsidRPr="00E07B1B">
              <w:t xml:space="preserve">Although there </w:t>
            </w:r>
            <w:r>
              <w:t>is</w:t>
            </w:r>
            <w:r w:rsidRPr="00E07B1B">
              <w:t xml:space="preserve"> no discussion of the influence of the funding body, it is unlikely to have had an impact on the guideline. The resource implications </w:t>
            </w:r>
            <w:r>
              <w:t>are</w:t>
            </w:r>
            <w:r w:rsidRPr="00E07B1B">
              <w:t xml:space="preserve"> briefly discussed but there </w:t>
            </w:r>
            <w:r>
              <w:t>is</w:t>
            </w:r>
            <w:r w:rsidRPr="00E07B1B">
              <w:t xml:space="preserve"> no economic analysis.</w:t>
            </w:r>
          </w:p>
        </w:tc>
      </w:tr>
      <w:tr w:rsidR="00F26156" w:rsidRPr="00E07B1B" w:rsidTr="00F26156">
        <w:trPr>
          <w:cantSplit/>
        </w:trPr>
        <w:tc>
          <w:tcPr>
            <w:tcW w:w="2268" w:type="dxa"/>
            <w:tcBorders>
              <w:top w:val="nil"/>
              <w:bottom w:val="nil"/>
            </w:tcBorders>
            <w:shd w:val="clear" w:color="auto" w:fill="auto"/>
          </w:tcPr>
          <w:p w:rsidR="0025490C" w:rsidRPr="00E07B1B" w:rsidRDefault="0025490C" w:rsidP="00F26156">
            <w:pPr>
              <w:pStyle w:val="TableText"/>
              <w:ind w:right="142"/>
              <w:rPr>
                <w:bCs/>
              </w:rPr>
            </w:pPr>
            <w:r w:rsidRPr="00E07B1B">
              <w:rPr>
                <w:bCs/>
              </w:rPr>
              <w:t>Screening for Hyperglycaemia in Pregnancy: A rapid update for the National Screening Committee (Waugh</w:t>
            </w:r>
            <w:r w:rsidR="00F26156">
              <w:rPr>
                <w:bCs/>
              </w:rPr>
              <w:t> </w:t>
            </w:r>
            <w:r w:rsidRPr="00E07B1B">
              <w:rPr>
                <w:bCs/>
              </w:rPr>
              <w:t>2010)</w:t>
            </w:r>
          </w:p>
        </w:tc>
        <w:tc>
          <w:tcPr>
            <w:tcW w:w="1843" w:type="dxa"/>
            <w:tcBorders>
              <w:top w:val="nil"/>
              <w:bottom w:val="nil"/>
            </w:tcBorders>
            <w:shd w:val="clear" w:color="auto" w:fill="auto"/>
          </w:tcPr>
          <w:p w:rsidR="0025490C" w:rsidRPr="00E07B1B" w:rsidRDefault="0025490C" w:rsidP="00F26156">
            <w:pPr>
              <w:pStyle w:val="TableText"/>
              <w:ind w:right="142"/>
            </w:pPr>
            <w:r w:rsidRPr="00E07B1B">
              <w:t>Hyperglycaemia in pregnancy</w:t>
            </w:r>
          </w:p>
        </w:tc>
        <w:tc>
          <w:tcPr>
            <w:tcW w:w="1843" w:type="dxa"/>
            <w:tcBorders>
              <w:top w:val="nil"/>
              <w:bottom w:val="nil"/>
            </w:tcBorders>
            <w:shd w:val="clear" w:color="auto" w:fill="auto"/>
          </w:tcPr>
          <w:p w:rsidR="0025490C" w:rsidRPr="00E07B1B" w:rsidRDefault="0025490C" w:rsidP="00F26156">
            <w:pPr>
              <w:pStyle w:val="TableText"/>
              <w:ind w:right="142"/>
              <w:jc w:val="center"/>
            </w:pPr>
            <w:r w:rsidRPr="00E07B1B">
              <w:t>United Kingdom 2010</w:t>
            </w:r>
          </w:p>
        </w:tc>
        <w:tc>
          <w:tcPr>
            <w:tcW w:w="2268" w:type="dxa"/>
            <w:tcBorders>
              <w:top w:val="nil"/>
              <w:bottom w:val="nil"/>
            </w:tcBorders>
            <w:shd w:val="clear" w:color="auto" w:fill="auto"/>
          </w:tcPr>
          <w:p w:rsidR="0025490C" w:rsidRPr="00E07B1B" w:rsidRDefault="0025490C" w:rsidP="00F26156">
            <w:pPr>
              <w:pStyle w:val="TableText"/>
              <w:ind w:right="142"/>
            </w:pPr>
            <w:r w:rsidRPr="00E07B1B">
              <w:t>Recommended with provisos or alterations</w:t>
            </w:r>
          </w:p>
        </w:tc>
        <w:tc>
          <w:tcPr>
            <w:tcW w:w="6379" w:type="dxa"/>
            <w:tcBorders>
              <w:top w:val="nil"/>
              <w:bottom w:val="nil"/>
            </w:tcBorders>
            <w:shd w:val="clear" w:color="auto" w:fill="auto"/>
          </w:tcPr>
          <w:p w:rsidR="0025490C" w:rsidRPr="00E07B1B" w:rsidRDefault="0025490C" w:rsidP="00F26156">
            <w:pPr>
              <w:pStyle w:val="TableText"/>
            </w:pPr>
            <w:r w:rsidRPr="00E07B1B">
              <w:t>Overall this is a high</w:t>
            </w:r>
            <w:r>
              <w:t>-</w:t>
            </w:r>
            <w:r w:rsidRPr="00E07B1B">
              <w:t>quality, well-conducted systematic review. This review will inform the update of the NICE guideline.</w:t>
            </w:r>
            <w:r>
              <w:t xml:space="preserve"> It</w:t>
            </w:r>
            <w:r w:rsidRPr="00E07B1B">
              <w:t xml:space="preserve"> analyses multiple treatments for hyperglycaemia in pregnancy and examines selected screening studies.</w:t>
            </w:r>
            <w:r>
              <w:t xml:space="preserve"> </w:t>
            </w:r>
            <w:r w:rsidRPr="00E07B1B">
              <w:t>The issue of cost</w:t>
            </w:r>
            <w:r>
              <w:t>-</w:t>
            </w:r>
            <w:r w:rsidRPr="00E07B1B">
              <w:t>effectiveness has been fully considered and the report provides clear guidance on future economic modelling. The method of development was rigorous; systematic methods were used to search for the evidence and the strengths and limitations of the body of evidence are clearly described. As this is not a guideline</w:t>
            </w:r>
            <w:r>
              <w:t>,</w:t>
            </w:r>
            <w:r w:rsidRPr="00E07B1B">
              <w:t xml:space="preserve"> it does not include recommendat</w:t>
            </w:r>
            <w:r w:rsidR="00F26156">
              <w:t>ions or implementation details.</w:t>
            </w:r>
          </w:p>
        </w:tc>
      </w:tr>
      <w:tr w:rsidR="00F26156" w:rsidRPr="00E07B1B" w:rsidTr="00F26156">
        <w:trPr>
          <w:cantSplit/>
        </w:trPr>
        <w:tc>
          <w:tcPr>
            <w:tcW w:w="2268" w:type="dxa"/>
            <w:tcBorders>
              <w:top w:val="nil"/>
              <w:bottom w:val="nil"/>
            </w:tcBorders>
            <w:shd w:val="clear" w:color="auto" w:fill="F2F2F2" w:themeFill="background1" w:themeFillShade="F2"/>
          </w:tcPr>
          <w:p w:rsidR="0025490C" w:rsidRPr="00E07B1B" w:rsidRDefault="0025490C" w:rsidP="00F26156">
            <w:pPr>
              <w:pStyle w:val="TableText"/>
              <w:ind w:right="142"/>
              <w:rPr>
                <w:bCs/>
              </w:rPr>
            </w:pPr>
            <w:r w:rsidRPr="00E07B1B">
              <w:rPr>
                <w:bCs/>
              </w:rPr>
              <w:t xml:space="preserve">Obesity in </w:t>
            </w:r>
            <w:r>
              <w:rPr>
                <w:bCs/>
              </w:rPr>
              <w:t>P</w:t>
            </w:r>
            <w:r w:rsidRPr="00E07B1B">
              <w:rPr>
                <w:bCs/>
              </w:rPr>
              <w:t>regnancy</w:t>
            </w:r>
          </w:p>
        </w:tc>
        <w:tc>
          <w:tcPr>
            <w:tcW w:w="1843"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Obesity in pregnancy</w:t>
            </w:r>
          </w:p>
        </w:tc>
        <w:tc>
          <w:tcPr>
            <w:tcW w:w="1843" w:type="dxa"/>
            <w:tcBorders>
              <w:top w:val="nil"/>
              <w:bottom w:val="nil"/>
            </w:tcBorders>
            <w:shd w:val="clear" w:color="auto" w:fill="F2F2F2" w:themeFill="background1" w:themeFillShade="F2"/>
          </w:tcPr>
          <w:p w:rsidR="0025490C" w:rsidRPr="00E07B1B" w:rsidRDefault="0025490C" w:rsidP="00F26156">
            <w:pPr>
              <w:pStyle w:val="TableText"/>
              <w:ind w:right="142"/>
              <w:jc w:val="center"/>
            </w:pPr>
            <w:r w:rsidRPr="00E07B1B">
              <w:t>Canada 2010</w:t>
            </w:r>
          </w:p>
        </w:tc>
        <w:tc>
          <w:tcPr>
            <w:tcW w:w="2268"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Not recommended</w:t>
            </w:r>
          </w:p>
        </w:tc>
        <w:tc>
          <w:tcPr>
            <w:tcW w:w="6379" w:type="dxa"/>
            <w:tcBorders>
              <w:top w:val="nil"/>
              <w:bottom w:val="nil"/>
            </w:tcBorders>
            <w:shd w:val="clear" w:color="auto" w:fill="F2F2F2" w:themeFill="background1" w:themeFillShade="F2"/>
          </w:tcPr>
          <w:p w:rsidR="0025490C" w:rsidRPr="00E07B1B" w:rsidRDefault="0025490C" w:rsidP="00F26156">
            <w:pPr>
              <w:pStyle w:val="TableText"/>
            </w:pPr>
            <w:r w:rsidRPr="00E07B1B">
              <w:t>This guideline provides advice on the counselling and management of obese pregnant women.</w:t>
            </w:r>
            <w:r>
              <w:t xml:space="preserve"> </w:t>
            </w:r>
            <w:r w:rsidRPr="00E07B1B">
              <w:t>The guideline has some methodological weaknesses.</w:t>
            </w:r>
            <w:r>
              <w:t xml:space="preserve"> </w:t>
            </w:r>
            <w:r w:rsidRPr="00E07B1B">
              <w:t>The link between the recommendations and the supporting evidence is sometimes unclear. There is a lack of clarity around the quality of the included studies and the method used to form recommendations is not described. The resource implications of the recommendations are not fully examined and women with obesity were not involved in the development of the guideline. The guideline was based on a good literature search and the involvement of the relevant health professional expertise.</w:t>
            </w:r>
          </w:p>
        </w:tc>
      </w:tr>
      <w:tr w:rsidR="00F26156" w:rsidRPr="00E07B1B" w:rsidTr="00F26156">
        <w:trPr>
          <w:cantSplit/>
        </w:trPr>
        <w:tc>
          <w:tcPr>
            <w:tcW w:w="2268" w:type="dxa"/>
            <w:tcBorders>
              <w:top w:val="nil"/>
              <w:bottom w:val="nil"/>
            </w:tcBorders>
            <w:shd w:val="clear" w:color="auto" w:fill="auto"/>
          </w:tcPr>
          <w:p w:rsidR="0025490C" w:rsidRPr="00E07B1B" w:rsidRDefault="0025490C" w:rsidP="00F26156">
            <w:pPr>
              <w:pStyle w:val="TableText"/>
              <w:ind w:right="142"/>
              <w:rPr>
                <w:bCs/>
              </w:rPr>
            </w:pPr>
            <w:r w:rsidRPr="00E07B1B">
              <w:rPr>
                <w:bCs/>
              </w:rPr>
              <w:t>A European Evidence-</w:t>
            </w:r>
            <w:r>
              <w:rPr>
                <w:bCs/>
              </w:rPr>
              <w:t>b</w:t>
            </w:r>
            <w:r w:rsidRPr="00E07B1B">
              <w:rPr>
                <w:bCs/>
              </w:rPr>
              <w:t>ased Guideline for the Prevention of Type</w:t>
            </w:r>
            <w:r w:rsidR="00F26156">
              <w:rPr>
                <w:bCs/>
              </w:rPr>
              <w:t> </w:t>
            </w:r>
            <w:r w:rsidRPr="00E07B1B">
              <w:rPr>
                <w:bCs/>
              </w:rPr>
              <w:t>2 Diabetes (Paulweber</w:t>
            </w:r>
            <w:r w:rsidR="00F26156">
              <w:rPr>
                <w:bCs/>
              </w:rPr>
              <w:t> </w:t>
            </w:r>
            <w:r w:rsidRPr="00E07B1B">
              <w:rPr>
                <w:bCs/>
              </w:rPr>
              <w:t>2010)</w:t>
            </w:r>
          </w:p>
        </w:tc>
        <w:tc>
          <w:tcPr>
            <w:tcW w:w="1843" w:type="dxa"/>
            <w:tcBorders>
              <w:top w:val="nil"/>
              <w:bottom w:val="nil"/>
            </w:tcBorders>
            <w:shd w:val="clear" w:color="auto" w:fill="auto"/>
          </w:tcPr>
          <w:p w:rsidR="0025490C" w:rsidRPr="00E07B1B" w:rsidRDefault="00F26156" w:rsidP="00F26156">
            <w:pPr>
              <w:pStyle w:val="TableText"/>
              <w:ind w:right="142"/>
            </w:pPr>
            <w:r>
              <w:t>Type 2 diabetes</w:t>
            </w:r>
          </w:p>
        </w:tc>
        <w:tc>
          <w:tcPr>
            <w:tcW w:w="1843" w:type="dxa"/>
            <w:tcBorders>
              <w:top w:val="nil"/>
              <w:bottom w:val="nil"/>
            </w:tcBorders>
            <w:shd w:val="clear" w:color="auto" w:fill="auto"/>
          </w:tcPr>
          <w:p w:rsidR="0025490C" w:rsidRPr="00E07B1B" w:rsidRDefault="0025490C" w:rsidP="00F26156">
            <w:pPr>
              <w:pStyle w:val="TableText"/>
              <w:ind w:right="142"/>
              <w:jc w:val="center"/>
            </w:pPr>
            <w:r w:rsidRPr="00E07B1B">
              <w:t>Europe 2010</w:t>
            </w:r>
          </w:p>
        </w:tc>
        <w:tc>
          <w:tcPr>
            <w:tcW w:w="2268" w:type="dxa"/>
            <w:tcBorders>
              <w:top w:val="nil"/>
              <w:bottom w:val="nil"/>
            </w:tcBorders>
            <w:shd w:val="clear" w:color="auto" w:fill="auto"/>
          </w:tcPr>
          <w:p w:rsidR="0025490C" w:rsidRPr="00E07B1B" w:rsidRDefault="0025490C" w:rsidP="00F26156">
            <w:pPr>
              <w:pStyle w:val="TableText"/>
              <w:ind w:right="142"/>
            </w:pPr>
            <w:r w:rsidRPr="00E07B1B">
              <w:t>Recommended with provisos or alterations</w:t>
            </w:r>
          </w:p>
        </w:tc>
        <w:tc>
          <w:tcPr>
            <w:tcW w:w="6379" w:type="dxa"/>
            <w:tcBorders>
              <w:top w:val="nil"/>
              <w:bottom w:val="nil"/>
            </w:tcBorders>
            <w:shd w:val="clear" w:color="auto" w:fill="auto"/>
          </w:tcPr>
          <w:p w:rsidR="0025490C" w:rsidRPr="00E07B1B" w:rsidRDefault="0025490C" w:rsidP="00F26156">
            <w:pPr>
              <w:pStyle w:val="TableText"/>
            </w:pPr>
            <w:r w:rsidRPr="00E07B1B">
              <w:t>Overall this is a good</w:t>
            </w:r>
            <w:r>
              <w:t>-</w:t>
            </w:r>
            <w:r w:rsidRPr="00E07B1B">
              <w:t xml:space="preserve">quality guideline providing advice about public health strategies to prevent type 2 diabetes and its comorbidities. The guideline provides recommendations to prevent type 2 diabetes in numerous populations, including </w:t>
            </w:r>
            <w:r>
              <w:t>those at</w:t>
            </w:r>
            <w:r w:rsidRPr="00E07B1B">
              <w:t xml:space="preserve"> high risk. The guideline development group included a wide range of stakeholders. The recommendations are clearly linked to the evidence. The guideline is supported by a published toolkit for the prevention of type 2 diabetes.</w:t>
            </w:r>
            <w:r>
              <w:t xml:space="preserve"> </w:t>
            </w:r>
            <w:r w:rsidRPr="00E07B1B">
              <w:t>The methodology is mostly well reported and appears to have been rigorous. There is a lack of clarity around the specific clinical questions and the method of addressing any potential conflicts of interest.</w:t>
            </w:r>
          </w:p>
        </w:tc>
      </w:tr>
      <w:tr w:rsidR="00F26156" w:rsidRPr="00E07B1B" w:rsidTr="00F26156">
        <w:trPr>
          <w:cantSplit/>
        </w:trPr>
        <w:tc>
          <w:tcPr>
            <w:tcW w:w="2268" w:type="dxa"/>
            <w:tcBorders>
              <w:top w:val="nil"/>
              <w:bottom w:val="nil"/>
            </w:tcBorders>
            <w:shd w:val="clear" w:color="auto" w:fill="F2F2F2" w:themeFill="background1" w:themeFillShade="F2"/>
          </w:tcPr>
          <w:p w:rsidR="0025490C" w:rsidRPr="00E07B1B" w:rsidRDefault="0025490C" w:rsidP="00F26156">
            <w:pPr>
              <w:pStyle w:val="TableText"/>
              <w:ind w:right="142"/>
              <w:rPr>
                <w:bCs/>
              </w:rPr>
            </w:pPr>
            <w:r w:rsidRPr="00E07B1B">
              <w:rPr>
                <w:bCs/>
              </w:rPr>
              <w:t>International Association of Diabetes and Pregnancy Study Groups Recommendations on the Diagnosis and Classification of Hyperglycemia in Pregnancy (IADPSG</w:t>
            </w:r>
            <w:r w:rsidR="00F26156">
              <w:rPr>
                <w:bCs/>
              </w:rPr>
              <w:t> </w:t>
            </w:r>
            <w:r w:rsidRPr="00E07B1B">
              <w:rPr>
                <w:bCs/>
              </w:rPr>
              <w:t>2010)</w:t>
            </w:r>
          </w:p>
        </w:tc>
        <w:tc>
          <w:tcPr>
            <w:tcW w:w="1843"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Hyperglycaemia in pregnancy</w:t>
            </w:r>
          </w:p>
        </w:tc>
        <w:tc>
          <w:tcPr>
            <w:tcW w:w="1843" w:type="dxa"/>
            <w:tcBorders>
              <w:top w:val="nil"/>
              <w:bottom w:val="nil"/>
            </w:tcBorders>
            <w:shd w:val="clear" w:color="auto" w:fill="F2F2F2" w:themeFill="background1" w:themeFillShade="F2"/>
          </w:tcPr>
          <w:p w:rsidR="0025490C" w:rsidRPr="00E07B1B" w:rsidRDefault="0025490C" w:rsidP="00F26156">
            <w:pPr>
              <w:pStyle w:val="TableText"/>
              <w:ind w:right="142"/>
              <w:jc w:val="center"/>
            </w:pPr>
            <w:r w:rsidRPr="00E07B1B">
              <w:t>United States 2010</w:t>
            </w:r>
          </w:p>
        </w:tc>
        <w:tc>
          <w:tcPr>
            <w:tcW w:w="2268"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Not recommended</w:t>
            </w:r>
          </w:p>
        </w:tc>
        <w:tc>
          <w:tcPr>
            <w:tcW w:w="6379" w:type="dxa"/>
            <w:tcBorders>
              <w:top w:val="nil"/>
              <w:bottom w:val="nil"/>
            </w:tcBorders>
            <w:shd w:val="clear" w:color="auto" w:fill="F2F2F2" w:themeFill="background1" w:themeFillShade="F2"/>
          </w:tcPr>
          <w:p w:rsidR="0025490C" w:rsidRPr="00E07B1B" w:rsidRDefault="0025490C" w:rsidP="00F26156">
            <w:pPr>
              <w:pStyle w:val="TableText"/>
            </w:pPr>
            <w:r w:rsidRPr="00E07B1B">
              <w:t>Overall this guideline does not meet the best standards for guideline development. It provides advice on the diagnosis and classification of hyperglycaemia in pregnancy.</w:t>
            </w:r>
            <w:r>
              <w:t xml:space="preserve"> </w:t>
            </w:r>
            <w:r w:rsidRPr="00E07B1B">
              <w:t>The clinical question at the centre of the guideline (diagnostic accuracy and screening) is not clearly defined and the literature on the topic was not systematically searched. The guideline presents two tables summarising the recommendations, which could be a useful implementation tool. Women with diabetes were not involved in developing the guideline and the resource implications of the recommendations have not been fully considered.</w:t>
            </w:r>
          </w:p>
        </w:tc>
      </w:tr>
      <w:tr w:rsidR="00F26156" w:rsidRPr="00E07B1B" w:rsidTr="00F26156">
        <w:trPr>
          <w:cantSplit/>
        </w:trPr>
        <w:tc>
          <w:tcPr>
            <w:tcW w:w="2268" w:type="dxa"/>
            <w:tcBorders>
              <w:top w:val="nil"/>
              <w:bottom w:val="nil"/>
            </w:tcBorders>
            <w:shd w:val="clear" w:color="auto" w:fill="auto"/>
          </w:tcPr>
          <w:p w:rsidR="0025490C" w:rsidRPr="00E07B1B" w:rsidRDefault="0025490C" w:rsidP="00F26156">
            <w:pPr>
              <w:pStyle w:val="TableText"/>
              <w:ind w:right="142"/>
              <w:rPr>
                <w:bCs/>
              </w:rPr>
            </w:pPr>
            <w:r w:rsidRPr="00E07B1B">
              <w:rPr>
                <w:bCs/>
              </w:rPr>
              <w:t xml:space="preserve">Guidelines for the </w:t>
            </w:r>
            <w:r>
              <w:rPr>
                <w:bCs/>
              </w:rPr>
              <w:t>M</w:t>
            </w:r>
            <w:r w:rsidRPr="00E07B1B">
              <w:rPr>
                <w:bCs/>
              </w:rPr>
              <w:t xml:space="preserve">anagement of </w:t>
            </w:r>
            <w:r>
              <w:rPr>
                <w:bCs/>
              </w:rPr>
              <w:t>P</w:t>
            </w:r>
            <w:r w:rsidRPr="00E07B1B">
              <w:rPr>
                <w:bCs/>
              </w:rPr>
              <w:t xml:space="preserve">re-gestational and </w:t>
            </w:r>
            <w:r>
              <w:rPr>
                <w:bCs/>
              </w:rPr>
              <w:t>G</w:t>
            </w:r>
            <w:r w:rsidRPr="00E07B1B">
              <w:rPr>
                <w:bCs/>
              </w:rPr>
              <w:t xml:space="preserve">estational </w:t>
            </w:r>
            <w:r>
              <w:rPr>
                <w:bCs/>
              </w:rPr>
              <w:t>D</w:t>
            </w:r>
            <w:r w:rsidRPr="00E07B1B">
              <w:rPr>
                <w:bCs/>
              </w:rPr>
              <w:t xml:space="preserve">iabetes </w:t>
            </w:r>
            <w:r>
              <w:rPr>
                <w:bCs/>
              </w:rPr>
              <w:t>M</w:t>
            </w:r>
            <w:r w:rsidRPr="00E07B1B">
              <w:rPr>
                <w:bCs/>
              </w:rPr>
              <w:t xml:space="preserve">ellitus from </w:t>
            </w:r>
            <w:r>
              <w:rPr>
                <w:bCs/>
              </w:rPr>
              <w:t>P</w:t>
            </w:r>
            <w:r w:rsidRPr="00E07B1B">
              <w:rPr>
                <w:bCs/>
              </w:rPr>
              <w:t xml:space="preserve">re-conception to the </w:t>
            </w:r>
            <w:r>
              <w:rPr>
                <w:bCs/>
              </w:rPr>
              <w:t>P</w:t>
            </w:r>
            <w:r w:rsidRPr="00E07B1B">
              <w:rPr>
                <w:bCs/>
              </w:rPr>
              <w:t xml:space="preserve">ostnatal </w:t>
            </w:r>
            <w:r>
              <w:rPr>
                <w:bCs/>
              </w:rPr>
              <w:t>P</w:t>
            </w:r>
            <w:r w:rsidRPr="00E07B1B">
              <w:rPr>
                <w:bCs/>
              </w:rPr>
              <w:t>eriod (Health Service Executive 2010)</w:t>
            </w:r>
          </w:p>
        </w:tc>
        <w:tc>
          <w:tcPr>
            <w:tcW w:w="1843" w:type="dxa"/>
            <w:tcBorders>
              <w:top w:val="nil"/>
              <w:bottom w:val="nil"/>
            </w:tcBorders>
            <w:shd w:val="clear" w:color="auto" w:fill="auto"/>
          </w:tcPr>
          <w:p w:rsidR="0025490C" w:rsidRPr="00E07B1B" w:rsidRDefault="0025490C" w:rsidP="00F26156">
            <w:pPr>
              <w:pStyle w:val="TableText"/>
              <w:ind w:right="142"/>
            </w:pPr>
            <w:r w:rsidRPr="00E07B1B">
              <w:t xml:space="preserve">Type 1 and </w:t>
            </w:r>
            <w:r>
              <w:t>t</w:t>
            </w:r>
            <w:r w:rsidRPr="00E07B1B">
              <w:t>ype 2 diabetes and gestational diabetes mellitus</w:t>
            </w:r>
          </w:p>
        </w:tc>
        <w:tc>
          <w:tcPr>
            <w:tcW w:w="1843" w:type="dxa"/>
            <w:tcBorders>
              <w:top w:val="nil"/>
              <w:bottom w:val="nil"/>
            </w:tcBorders>
            <w:shd w:val="clear" w:color="auto" w:fill="auto"/>
          </w:tcPr>
          <w:p w:rsidR="0025490C" w:rsidRPr="00E07B1B" w:rsidRDefault="0025490C" w:rsidP="00F26156">
            <w:pPr>
              <w:pStyle w:val="TableText"/>
              <w:ind w:right="142"/>
              <w:jc w:val="center"/>
            </w:pPr>
            <w:r w:rsidRPr="00E07B1B">
              <w:t>Ireland 2010</w:t>
            </w:r>
          </w:p>
        </w:tc>
        <w:tc>
          <w:tcPr>
            <w:tcW w:w="2268" w:type="dxa"/>
            <w:tcBorders>
              <w:top w:val="nil"/>
              <w:bottom w:val="nil"/>
            </w:tcBorders>
            <w:shd w:val="clear" w:color="auto" w:fill="auto"/>
          </w:tcPr>
          <w:p w:rsidR="0025490C" w:rsidRPr="00E07B1B" w:rsidRDefault="0025490C" w:rsidP="00F26156">
            <w:pPr>
              <w:pStyle w:val="TableText"/>
              <w:ind w:right="142"/>
            </w:pPr>
            <w:r w:rsidRPr="00E07B1B">
              <w:t>Not recommended</w:t>
            </w:r>
          </w:p>
        </w:tc>
        <w:tc>
          <w:tcPr>
            <w:tcW w:w="6379" w:type="dxa"/>
            <w:tcBorders>
              <w:top w:val="nil"/>
              <w:bottom w:val="nil"/>
            </w:tcBorders>
            <w:shd w:val="clear" w:color="auto" w:fill="auto"/>
          </w:tcPr>
          <w:p w:rsidR="0025490C" w:rsidRPr="00E07B1B" w:rsidRDefault="0025490C" w:rsidP="00F26156">
            <w:pPr>
              <w:pStyle w:val="TableText"/>
            </w:pPr>
            <w:r w:rsidRPr="00E07B1B">
              <w:t>Overall this guideline does not meet the best standards for guideline development. It provides advice on the care of women with diabetes (type 1 and type 2) and gestational diabetes. There is a lack of clarity on the criteria for selecting the evidence.</w:t>
            </w:r>
            <w:r>
              <w:t xml:space="preserve"> </w:t>
            </w:r>
            <w:r w:rsidRPr="00E07B1B">
              <w:t>Although the recommendations are clearly graded related to the strength of the evidence, the link between the evidence and the recommendations is unclear</w:t>
            </w:r>
            <w:r>
              <w:t xml:space="preserve"> and not discussed at all</w:t>
            </w:r>
            <w:r w:rsidRPr="00E07B1B">
              <w:t>. Women with diabetes were not involved in developing the guideline. The resource implications of the recommendations do not appear to have been considered.</w:t>
            </w:r>
          </w:p>
        </w:tc>
      </w:tr>
      <w:tr w:rsidR="00F26156" w:rsidRPr="00E07B1B" w:rsidTr="00F26156">
        <w:trPr>
          <w:cantSplit/>
        </w:trPr>
        <w:tc>
          <w:tcPr>
            <w:tcW w:w="2268" w:type="dxa"/>
            <w:tcBorders>
              <w:top w:val="nil"/>
              <w:bottom w:val="nil"/>
            </w:tcBorders>
            <w:shd w:val="clear" w:color="auto" w:fill="F2F2F2" w:themeFill="background1" w:themeFillShade="F2"/>
          </w:tcPr>
          <w:p w:rsidR="0025490C" w:rsidRPr="00E07B1B" w:rsidRDefault="0025490C" w:rsidP="00F26156">
            <w:pPr>
              <w:pStyle w:val="TableText"/>
              <w:ind w:right="142"/>
              <w:rPr>
                <w:bCs/>
              </w:rPr>
            </w:pPr>
            <w:r w:rsidRPr="00E07B1B">
              <w:rPr>
                <w:bCs/>
              </w:rPr>
              <w:t>Dysglycemias in Pregnancy: From diagnosis to treatment. Brazilian consensus statement (Negrato</w:t>
            </w:r>
            <w:r w:rsidR="00F26156">
              <w:rPr>
                <w:bCs/>
              </w:rPr>
              <w:t> </w:t>
            </w:r>
            <w:r w:rsidRPr="00E07B1B">
              <w:rPr>
                <w:bCs/>
              </w:rPr>
              <w:t>2010)</w:t>
            </w:r>
          </w:p>
        </w:tc>
        <w:tc>
          <w:tcPr>
            <w:tcW w:w="1843"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Hyperglycaemia in pregnancy</w:t>
            </w:r>
          </w:p>
        </w:tc>
        <w:tc>
          <w:tcPr>
            <w:tcW w:w="1843" w:type="dxa"/>
            <w:tcBorders>
              <w:top w:val="nil"/>
              <w:bottom w:val="nil"/>
            </w:tcBorders>
            <w:shd w:val="clear" w:color="auto" w:fill="F2F2F2" w:themeFill="background1" w:themeFillShade="F2"/>
          </w:tcPr>
          <w:p w:rsidR="0025490C" w:rsidRPr="00E07B1B" w:rsidRDefault="0025490C" w:rsidP="00F26156">
            <w:pPr>
              <w:pStyle w:val="TableText"/>
              <w:ind w:right="142"/>
              <w:jc w:val="center"/>
            </w:pPr>
            <w:r w:rsidRPr="00E07B1B">
              <w:t>Brazil 2010</w:t>
            </w:r>
          </w:p>
        </w:tc>
        <w:tc>
          <w:tcPr>
            <w:tcW w:w="2268"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Recommended with provisos or alterations</w:t>
            </w:r>
          </w:p>
        </w:tc>
        <w:tc>
          <w:tcPr>
            <w:tcW w:w="6379" w:type="dxa"/>
            <w:tcBorders>
              <w:top w:val="nil"/>
              <w:bottom w:val="nil"/>
            </w:tcBorders>
            <w:shd w:val="clear" w:color="auto" w:fill="F2F2F2" w:themeFill="background1" w:themeFillShade="F2"/>
          </w:tcPr>
          <w:p w:rsidR="0025490C" w:rsidRPr="00E07B1B" w:rsidRDefault="0025490C" w:rsidP="00F26156">
            <w:pPr>
              <w:pStyle w:val="TableText"/>
            </w:pPr>
            <w:r w:rsidRPr="00E07B1B">
              <w:t>This guideline aims to standardise diagnosis and clinical management of pregnant women with any degree of dysglycaemia. It appears that the evidence has been considered carefully but the reporting of the methodology is weak in some areas</w:t>
            </w:r>
            <w:r>
              <w:t>,</w:t>
            </w:r>
            <w:r w:rsidRPr="00E07B1B">
              <w:t xml:space="preserve"> making it difficult to understand the link between the evidence and the recommendations. There is a lack of clarity on the criteria for selecting the evidence and the quality appraisal process is not described.</w:t>
            </w:r>
            <w:r>
              <w:t xml:space="preserve"> </w:t>
            </w:r>
            <w:r w:rsidRPr="00E07B1B">
              <w:t>The algorithm and tables summarising the evidence may enhance effective implementation in clinical practice. Women with diabetes were not involved in developing the guideline and the resource implications of the recommendations have not been fully considered.</w:t>
            </w:r>
          </w:p>
        </w:tc>
      </w:tr>
      <w:tr w:rsidR="00F26156" w:rsidRPr="00E07B1B" w:rsidTr="00F26156">
        <w:trPr>
          <w:cantSplit/>
        </w:trPr>
        <w:tc>
          <w:tcPr>
            <w:tcW w:w="2268" w:type="dxa"/>
            <w:tcBorders>
              <w:top w:val="nil"/>
              <w:bottom w:val="nil"/>
            </w:tcBorders>
            <w:shd w:val="clear" w:color="auto" w:fill="auto"/>
          </w:tcPr>
          <w:p w:rsidR="0025490C" w:rsidRPr="00E07B1B" w:rsidRDefault="0025490C" w:rsidP="00F26156">
            <w:pPr>
              <w:pStyle w:val="TableText"/>
              <w:ind w:right="142"/>
              <w:rPr>
                <w:bCs/>
              </w:rPr>
            </w:pPr>
            <w:r w:rsidRPr="00E07B1B">
              <w:rPr>
                <w:bCs/>
              </w:rPr>
              <w:t>Management of Diabetes</w:t>
            </w:r>
            <w:r w:rsidR="00F26156">
              <w:rPr>
                <w:bCs/>
              </w:rPr>
              <w:br/>
            </w:r>
            <w:r>
              <w:rPr>
                <w:bCs/>
              </w:rPr>
              <w:t>(SIGN 2010)</w:t>
            </w:r>
          </w:p>
        </w:tc>
        <w:tc>
          <w:tcPr>
            <w:tcW w:w="1843" w:type="dxa"/>
            <w:tcBorders>
              <w:top w:val="nil"/>
              <w:bottom w:val="nil"/>
            </w:tcBorders>
            <w:shd w:val="clear" w:color="auto" w:fill="auto"/>
          </w:tcPr>
          <w:p w:rsidR="0025490C" w:rsidRPr="00E07B1B" w:rsidRDefault="0025490C" w:rsidP="00F26156">
            <w:pPr>
              <w:pStyle w:val="TableText"/>
              <w:ind w:right="142"/>
            </w:pPr>
            <w:r w:rsidRPr="00E07B1B">
              <w:t xml:space="preserve">Type 1 and type 2 diabetes, and </w:t>
            </w:r>
            <w:r>
              <w:t>g</w:t>
            </w:r>
            <w:r w:rsidRPr="00E07B1B">
              <w:t>estational diabetes mellitus</w:t>
            </w:r>
          </w:p>
        </w:tc>
        <w:tc>
          <w:tcPr>
            <w:tcW w:w="1843" w:type="dxa"/>
            <w:tcBorders>
              <w:top w:val="nil"/>
              <w:bottom w:val="nil"/>
            </w:tcBorders>
            <w:shd w:val="clear" w:color="auto" w:fill="auto"/>
          </w:tcPr>
          <w:p w:rsidR="0025490C" w:rsidRPr="00E07B1B" w:rsidRDefault="0025490C" w:rsidP="00F26156">
            <w:pPr>
              <w:pStyle w:val="TableText"/>
              <w:ind w:right="142"/>
              <w:jc w:val="center"/>
            </w:pPr>
            <w:r w:rsidRPr="00E07B1B">
              <w:t>United Kingdom 2010</w:t>
            </w:r>
          </w:p>
        </w:tc>
        <w:tc>
          <w:tcPr>
            <w:tcW w:w="2268" w:type="dxa"/>
            <w:tcBorders>
              <w:top w:val="nil"/>
              <w:bottom w:val="nil"/>
            </w:tcBorders>
            <w:shd w:val="clear" w:color="auto" w:fill="auto"/>
          </w:tcPr>
          <w:p w:rsidR="0025490C" w:rsidRPr="00E07B1B" w:rsidRDefault="0025490C" w:rsidP="00F26156">
            <w:pPr>
              <w:pStyle w:val="TableText"/>
              <w:ind w:right="142"/>
            </w:pPr>
            <w:r w:rsidRPr="00E07B1B">
              <w:t>Recommended</w:t>
            </w:r>
          </w:p>
        </w:tc>
        <w:tc>
          <w:tcPr>
            <w:tcW w:w="6379" w:type="dxa"/>
            <w:tcBorders>
              <w:top w:val="nil"/>
              <w:bottom w:val="nil"/>
            </w:tcBorders>
            <w:shd w:val="clear" w:color="auto" w:fill="auto"/>
          </w:tcPr>
          <w:p w:rsidR="0025490C" w:rsidRPr="00E07B1B" w:rsidRDefault="0025490C" w:rsidP="00F26156">
            <w:pPr>
              <w:pStyle w:val="TableText"/>
            </w:pPr>
            <w:r w:rsidRPr="00E07B1B">
              <w:t>Overall this is a high</w:t>
            </w:r>
            <w:r>
              <w:t>-</w:t>
            </w:r>
            <w:r w:rsidRPr="00E07B1B">
              <w:t>quality guideline providing advice for health</w:t>
            </w:r>
            <w:r>
              <w:t xml:space="preserve"> </w:t>
            </w:r>
            <w:r w:rsidRPr="00E07B1B">
              <w:t>care professionals involved in the care of people with diabetes. Consumers were involved in the development of the guideline</w:t>
            </w:r>
            <w:r>
              <w:t>,</w:t>
            </w:r>
            <w:r w:rsidRPr="00E07B1B">
              <w:t xml:space="preserve"> and the guideline development team comprised a range of health professionals and practitioners. The recommendations are clearly linked to the evidence. Helpful tools for implementation are provided. The process for forming the recommendations is not well described. Although there </w:t>
            </w:r>
            <w:r>
              <w:t>is</w:t>
            </w:r>
            <w:r w:rsidRPr="00E07B1B">
              <w:t xml:space="preserve"> no discussion of the influence of the funding body, it is unlikely to have had an impact on the guideline. The resource implications </w:t>
            </w:r>
            <w:r>
              <w:t>are</w:t>
            </w:r>
            <w:r w:rsidRPr="00E07B1B">
              <w:t xml:space="preserve"> briefly discussed but there </w:t>
            </w:r>
            <w:r>
              <w:t>is</w:t>
            </w:r>
            <w:r w:rsidRPr="00E07B1B">
              <w:t xml:space="preserve"> no economic analysis.</w:t>
            </w:r>
          </w:p>
        </w:tc>
      </w:tr>
      <w:tr w:rsidR="00F26156" w:rsidRPr="00E07B1B" w:rsidTr="00F26156">
        <w:trPr>
          <w:cantSplit/>
        </w:trPr>
        <w:tc>
          <w:tcPr>
            <w:tcW w:w="2268" w:type="dxa"/>
            <w:tcBorders>
              <w:top w:val="nil"/>
              <w:bottom w:val="nil"/>
            </w:tcBorders>
            <w:shd w:val="clear" w:color="auto" w:fill="F2F2F2" w:themeFill="background1" w:themeFillShade="F2"/>
          </w:tcPr>
          <w:p w:rsidR="0025490C" w:rsidRPr="00E07B1B" w:rsidRDefault="00F26156" w:rsidP="00F26156">
            <w:pPr>
              <w:pStyle w:val="TableText"/>
              <w:ind w:right="142"/>
              <w:rPr>
                <w:bCs/>
              </w:rPr>
            </w:pPr>
            <w:r>
              <w:rPr>
                <w:bCs/>
              </w:rPr>
              <w:t>Pregnancy and Diabetes</w:t>
            </w:r>
          </w:p>
        </w:tc>
        <w:tc>
          <w:tcPr>
            <w:tcW w:w="1843"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Diabetes in pregnancy</w:t>
            </w:r>
          </w:p>
        </w:tc>
        <w:tc>
          <w:tcPr>
            <w:tcW w:w="1843" w:type="dxa"/>
            <w:tcBorders>
              <w:top w:val="nil"/>
              <w:bottom w:val="nil"/>
            </w:tcBorders>
            <w:shd w:val="clear" w:color="auto" w:fill="F2F2F2" w:themeFill="background1" w:themeFillShade="F2"/>
          </w:tcPr>
          <w:p w:rsidR="0025490C" w:rsidRPr="00E07B1B" w:rsidRDefault="0025490C" w:rsidP="00F26156">
            <w:pPr>
              <w:pStyle w:val="TableText"/>
              <w:ind w:right="142"/>
              <w:jc w:val="center"/>
            </w:pPr>
            <w:r w:rsidRPr="00E07B1B">
              <w:t>Belgium 2009</w:t>
            </w:r>
          </w:p>
        </w:tc>
        <w:tc>
          <w:tcPr>
            <w:tcW w:w="2268"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Not recommended</w:t>
            </w:r>
          </w:p>
        </w:tc>
        <w:tc>
          <w:tcPr>
            <w:tcW w:w="6379" w:type="dxa"/>
            <w:tcBorders>
              <w:top w:val="nil"/>
              <w:bottom w:val="nil"/>
            </w:tcBorders>
            <w:shd w:val="clear" w:color="auto" w:fill="F2F2F2" w:themeFill="background1" w:themeFillShade="F2"/>
          </w:tcPr>
          <w:p w:rsidR="0025490C" w:rsidRPr="00E07B1B" w:rsidRDefault="0025490C" w:rsidP="00F26156">
            <w:pPr>
              <w:pStyle w:val="TableText"/>
            </w:pPr>
            <w:r w:rsidRPr="00E07B1B">
              <w:t xml:space="preserve">This guideline provides broad advice on identifying women with hyperglycaemia in pregnancy and providing care for women with known diabetes during pregnancy. The guideline has some serious methodological weaknesses. There is a lack of clarity around the criteria for selecting the evidence and the search strategies are not provided, introducing a strong possibility of selection bias. The target users </w:t>
            </w:r>
            <w:r>
              <w:t>and</w:t>
            </w:r>
            <w:r w:rsidRPr="00E07B1B">
              <w:t xml:space="preserve"> the setting for the guideline are not well defined. The resource implications of the recommendations are not fully examined. Women with hyperglycaemia/diabetes were not involved in the development of the guideline.</w:t>
            </w:r>
          </w:p>
        </w:tc>
      </w:tr>
      <w:tr w:rsidR="00F26156" w:rsidRPr="00E07B1B" w:rsidTr="00F26156">
        <w:trPr>
          <w:cantSplit/>
        </w:trPr>
        <w:tc>
          <w:tcPr>
            <w:tcW w:w="2268" w:type="dxa"/>
            <w:tcBorders>
              <w:top w:val="nil"/>
              <w:bottom w:val="nil"/>
            </w:tcBorders>
            <w:shd w:val="clear" w:color="auto" w:fill="auto"/>
          </w:tcPr>
          <w:p w:rsidR="0025490C" w:rsidRPr="00E07B1B" w:rsidRDefault="0025490C" w:rsidP="00F26156">
            <w:pPr>
              <w:pStyle w:val="TableText"/>
              <w:ind w:right="142"/>
              <w:rPr>
                <w:bCs/>
              </w:rPr>
            </w:pPr>
            <w:r w:rsidRPr="00E07B1B">
              <w:rPr>
                <w:bCs/>
              </w:rPr>
              <w:t>Therapeutic Management, Delivery, and Postpartum Risk Assessment and Screening in Gestational Diabetes (Nicholson 2008)</w:t>
            </w:r>
          </w:p>
        </w:tc>
        <w:tc>
          <w:tcPr>
            <w:tcW w:w="1843" w:type="dxa"/>
            <w:tcBorders>
              <w:top w:val="nil"/>
              <w:bottom w:val="nil"/>
            </w:tcBorders>
            <w:shd w:val="clear" w:color="auto" w:fill="auto"/>
          </w:tcPr>
          <w:p w:rsidR="0025490C" w:rsidRPr="00E07B1B" w:rsidRDefault="0025490C" w:rsidP="00F26156">
            <w:pPr>
              <w:pStyle w:val="TableText"/>
              <w:ind w:right="142"/>
            </w:pPr>
            <w:r w:rsidRPr="00E07B1B">
              <w:t>Gestational diabetes mellitus</w:t>
            </w:r>
          </w:p>
        </w:tc>
        <w:tc>
          <w:tcPr>
            <w:tcW w:w="1843" w:type="dxa"/>
            <w:tcBorders>
              <w:top w:val="nil"/>
              <w:bottom w:val="nil"/>
            </w:tcBorders>
            <w:shd w:val="clear" w:color="auto" w:fill="auto"/>
          </w:tcPr>
          <w:p w:rsidR="0025490C" w:rsidRPr="00E07B1B" w:rsidRDefault="0025490C" w:rsidP="00F26156">
            <w:pPr>
              <w:pStyle w:val="TableText"/>
              <w:ind w:right="142"/>
              <w:jc w:val="center"/>
            </w:pPr>
            <w:r w:rsidRPr="00E07B1B">
              <w:t>United States 2008</w:t>
            </w:r>
          </w:p>
        </w:tc>
        <w:tc>
          <w:tcPr>
            <w:tcW w:w="2268" w:type="dxa"/>
            <w:tcBorders>
              <w:top w:val="nil"/>
              <w:bottom w:val="nil"/>
            </w:tcBorders>
            <w:shd w:val="clear" w:color="auto" w:fill="auto"/>
          </w:tcPr>
          <w:p w:rsidR="0025490C" w:rsidRPr="00E07B1B" w:rsidRDefault="0025490C" w:rsidP="00F26156">
            <w:pPr>
              <w:pStyle w:val="TableText"/>
              <w:ind w:right="142"/>
            </w:pPr>
            <w:r w:rsidRPr="00E07B1B">
              <w:t>Recommended with provisos or alterations</w:t>
            </w:r>
          </w:p>
        </w:tc>
        <w:tc>
          <w:tcPr>
            <w:tcW w:w="6379" w:type="dxa"/>
            <w:tcBorders>
              <w:top w:val="nil"/>
              <w:bottom w:val="nil"/>
            </w:tcBorders>
            <w:shd w:val="clear" w:color="auto" w:fill="auto"/>
          </w:tcPr>
          <w:p w:rsidR="0025490C" w:rsidRPr="00E07B1B" w:rsidRDefault="0025490C" w:rsidP="00F26156">
            <w:pPr>
              <w:pStyle w:val="TableText"/>
            </w:pPr>
            <w:r w:rsidRPr="00E07B1B">
              <w:t>Overall this is a high</w:t>
            </w:r>
            <w:r>
              <w:t>-</w:t>
            </w:r>
            <w:r w:rsidRPr="00E07B1B">
              <w:t>quality summary of the evidence primarily aimed at public health officials. It provides advice on glucose management, labour management, postpartum risk assessment, and screening of women with gestational diabetes. The method of development was rigorous; criteria for selecting evidence are well described</w:t>
            </w:r>
            <w:r>
              <w:t>;</w:t>
            </w:r>
            <w:r w:rsidRPr="00E07B1B">
              <w:t xml:space="preserve"> and the link between the evidence and the conclusions </w:t>
            </w:r>
            <w:r>
              <w:t>is</w:t>
            </w:r>
            <w:r w:rsidRPr="00E07B1B">
              <w:t xml:space="preserve"> explicit. Due to insufficient evidence</w:t>
            </w:r>
            <w:r>
              <w:t>,</w:t>
            </w:r>
            <w:r w:rsidRPr="00E07B1B">
              <w:t xml:space="preserve"> the guideline team was unable to provide clear recommendations. The </w:t>
            </w:r>
            <w:r>
              <w:t>g</w:t>
            </w:r>
            <w:r w:rsidRPr="00E07B1B">
              <w:t xml:space="preserve">uideline </w:t>
            </w:r>
            <w:r>
              <w:t>d</w:t>
            </w:r>
            <w:r w:rsidRPr="00E07B1B">
              <w:t xml:space="preserve">evelopment </w:t>
            </w:r>
            <w:r>
              <w:t>g</w:t>
            </w:r>
            <w:r w:rsidRPr="00E07B1B">
              <w:t>roup includes the relevant clinical and methodological expertise. The views and preferences of the target population have not been incorporated.</w:t>
            </w:r>
          </w:p>
        </w:tc>
      </w:tr>
      <w:tr w:rsidR="00F26156" w:rsidRPr="00E07B1B" w:rsidTr="00F26156">
        <w:trPr>
          <w:cantSplit/>
        </w:trPr>
        <w:tc>
          <w:tcPr>
            <w:tcW w:w="2268" w:type="dxa"/>
            <w:tcBorders>
              <w:top w:val="nil"/>
              <w:bottom w:val="nil"/>
            </w:tcBorders>
            <w:shd w:val="clear" w:color="auto" w:fill="F2F2F2" w:themeFill="background1" w:themeFillShade="F2"/>
          </w:tcPr>
          <w:p w:rsidR="0025490C" w:rsidRPr="00E07B1B" w:rsidRDefault="0025490C" w:rsidP="00F26156">
            <w:pPr>
              <w:pStyle w:val="TableText"/>
              <w:ind w:right="142"/>
              <w:rPr>
                <w:bCs/>
              </w:rPr>
            </w:pPr>
            <w:r w:rsidRPr="00E07B1B">
              <w:rPr>
                <w:bCs/>
              </w:rPr>
              <w:t>Clinical Practice Guidelines for the Prevention and Management of Diabetes in Canada (Cana</w:t>
            </w:r>
            <w:r w:rsidR="00F26156">
              <w:rPr>
                <w:bCs/>
              </w:rPr>
              <w:t>dian Diabetes Association 2008)</w:t>
            </w:r>
          </w:p>
        </w:tc>
        <w:tc>
          <w:tcPr>
            <w:tcW w:w="1843"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 xml:space="preserve">Type 1 </w:t>
            </w:r>
            <w:r>
              <w:t>and t</w:t>
            </w:r>
            <w:r w:rsidRPr="00E07B1B">
              <w:t>ype 2 diabetes, diabetes in special groups (including diabetes in pregnancy)</w:t>
            </w:r>
          </w:p>
        </w:tc>
        <w:tc>
          <w:tcPr>
            <w:tcW w:w="1843" w:type="dxa"/>
            <w:tcBorders>
              <w:top w:val="nil"/>
              <w:bottom w:val="nil"/>
            </w:tcBorders>
            <w:shd w:val="clear" w:color="auto" w:fill="F2F2F2" w:themeFill="background1" w:themeFillShade="F2"/>
          </w:tcPr>
          <w:p w:rsidR="0025490C" w:rsidRPr="00E07B1B" w:rsidRDefault="0025490C" w:rsidP="00F26156">
            <w:pPr>
              <w:pStyle w:val="TableText"/>
              <w:ind w:right="142"/>
              <w:jc w:val="center"/>
            </w:pPr>
            <w:r w:rsidRPr="00E07B1B">
              <w:t>Canada 2008</w:t>
            </w:r>
          </w:p>
        </w:tc>
        <w:tc>
          <w:tcPr>
            <w:tcW w:w="2268" w:type="dxa"/>
            <w:tcBorders>
              <w:top w:val="nil"/>
              <w:bottom w:val="nil"/>
            </w:tcBorders>
            <w:shd w:val="clear" w:color="auto" w:fill="F2F2F2" w:themeFill="background1" w:themeFillShade="F2"/>
          </w:tcPr>
          <w:p w:rsidR="0025490C" w:rsidRPr="00E07B1B" w:rsidRDefault="0025490C" w:rsidP="00F26156">
            <w:pPr>
              <w:pStyle w:val="TableText"/>
              <w:ind w:right="142"/>
            </w:pPr>
            <w:r>
              <w:t>Recommended</w:t>
            </w:r>
          </w:p>
        </w:tc>
        <w:tc>
          <w:tcPr>
            <w:tcW w:w="6379" w:type="dxa"/>
            <w:tcBorders>
              <w:top w:val="nil"/>
              <w:bottom w:val="nil"/>
            </w:tcBorders>
            <w:shd w:val="clear" w:color="auto" w:fill="F2F2F2" w:themeFill="background1" w:themeFillShade="F2"/>
          </w:tcPr>
          <w:p w:rsidR="0025490C" w:rsidRPr="00E07B1B" w:rsidRDefault="0025490C" w:rsidP="00F26156">
            <w:pPr>
              <w:pStyle w:val="TableText"/>
            </w:pPr>
            <w:r w:rsidRPr="00E07B1B">
              <w:t xml:space="preserve">Overall this is a methodologically sound guideline providing advice on the management of diabetes. The method of development was well described and appears to have been rigorous. The data to support some of the recommendations could have been presented in table format to provide a clearer link between the recommendations and the supporting evidence. The </w:t>
            </w:r>
            <w:r>
              <w:t>g</w:t>
            </w:r>
            <w:r w:rsidRPr="00E07B1B">
              <w:t xml:space="preserve">uideline </w:t>
            </w:r>
            <w:r>
              <w:t>d</w:t>
            </w:r>
            <w:r w:rsidRPr="00E07B1B">
              <w:t xml:space="preserve">evelopment </w:t>
            </w:r>
            <w:r>
              <w:t>g</w:t>
            </w:r>
            <w:r w:rsidRPr="00E07B1B">
              <w:t>roup includes the relevant clinical and methodological expertise</w:t>
            </w:r>
            <w:r>
              <w:t>;</w:t>
            </w:r>
            <w:r w:rsidRPr="00E07B1B">
              <w:t xml:space="preserve"> however, the views and preferences of the target population have not been incorporated. The resource implications of applying the recommendations are not discussed.</w:t>
            </w:r>
            <w:r>
              <w:t xml:space="preserve"> </w:t>
            </w:r>
            <w:r w:rsidRPr="00E07B1B">
              <w:t>A number of useful tools are provided to aid implementation, including algorithms and checklists within the guideline. There are also online educational tools for people with diabetes and health professionals. Conflicts of interests have been reported and addressed appropriately.</w:t>
            </w:r>
          </w:p>
        </w:tc>
      </w:tr>
      <w:tr w:rsidR="00F26156" w:rsidRPr="00E07B1B" w:rsidTr="00F26156">
        <w:trPr>
          <w:cantSplit/>
        </w:trPr>
        <w:tc>
          <w:tcPr>
            <w:tcW w:w="2268" w:type="dxa"/>
            <w:tcBorders>
              <w:top w:val="nil"/>
              <w:bottom w:val="nil"/>
            </w:tcBorders>
            <w:shd w:val="clear" w:color="auto" w:fill="auto"/>
          </w:tcPr>
          <w:p w:rsidR="0025490C" w:rsidRPr="00E07B1B" w:rsidRDefault="0025490C" w:rsidP="00F26156">
            <w:pPr>
              <w:pStyle w:val="TableText"/>
              <w:ind w:right="142"/>
            </w:pPr>
            <w:r w:rsidRPr="00E07B1B">
              <w:t>Diabetes in Pregnancy:</w:t>
            </w:r>
            <w:r w:rsidRPr="00E07B1B">
              <w:rPr>
                <w:lang w:eastAsia="ja-JP"/>
              </w:rPr>
              <w:t xml:space="preserve"> </w:t>
            </w:r>
            <w:r w:rsidRPr="00E07B1B">
              <w:t>Management of diabetes and its complications from preconception to the postnatal period (</w:t>
            </w:r>
            <w:r>
              <w:t>NICE</w:t>
            </w:r>
            <w:r w:rsidRPr="00E07B1B">
              <w:t xml:space="preserve"> 2008)</w:t>
            </w:r>
          </w:p>
        </w:tc>
        <w:tc>
          <w:tcPr>
            <w:tcW w:w="1843" w:type="dxa"/>
            <w:tcBorders>
              <w:top w:val="nil"/>
              <w:bottom w:val="nil"/>
            </w:tcBorders>
            <w:shd w:val="clear" w:color="auto" w:fill="auto"/>
          </w:tcPr>
          <w:p w:rsidR="0025490C" w:rsidRPr="00E07B1B" w:rsidRDefault="0025490C" w:rsidP="00F26156">
            <w:pPr>
              <w:pStyle w:val="TableText"/>
              <w:ind w:right="142"/>
            </w:pPr>
            <w:r w:rsidRPr="00E07B1B">
              <w:t xml:space="preserve">Diabetes in </w:t>
            </w:r>
            <w:r>
              <w:t>p</w:t>
            </w:r>
            <w:r w:rsidRPr="00E07B1B">
              <w:t>regnancy</w:t>
            </w:r>
          </w:p>
        </w:tc>
        <w:tc>
          <w:tcPr>
            <w:tcW w:w="1843" w:type="dxa"/>
            <w:tcBorders>
              <w:top w:val="nil"/>
              <w:bottom w:val="nil"/>
            </w:tcBorders>
            <w:shd w:val="clear" w:color="auto" w:fill="auto"/>
          </w:tcPr>
          <w:p w:rsidR="0025490C" w:rsidRPr="00E07B1B" w:rsidRDefault="0025490C" w:rsidP="00F26156">
            <w:pPr>
              <w:pStyle w:val="TableText"/>
              <w:ind w:right="142"/>
              <w:jc w:val="center"/>
            </w:pPr>
            <w:r w:rsidRPr="00E07B1B">
              <w:t>United Kingdom 2008</w:t>
            </w:r>
          </w:p>
        </w:tc>
        <w:tc>
          <w:tcPr>
            <w:tcW w:w="2268" w:type="dxa"/>
            <w:tcBorders>
              <w:top w:val="nil"/>
              <w:bottom w:val="nil"/>
            </w:tcBorders>
            <w:shd w:val="clear" w:color="auto" w:fill="auto"/>
          </w:tcPr>
          <w:p w:rsidR="0025490C" w:rsidRPr="00E07B1B" w:rsidRDefault="0025490C" w:rsidP="00F26156">
            <w:pPr>
              <w:pStyle w:val="TableText"/>
              <w:ind w:right="142"/>
            </w:pPr>
            <w:r w:rsidRPr="00E07B1B">
              <w:t>Recommended</w:t>
            </w:r>
          </w:p>
        </w:tc>
        <w:tc>
          <w:tcPr>
            <w:tcW w:w="6379" w:type="dxa"/>
            <w:tcBorders>
              <w:top w:val="nil"/>
              <w:bottom w:val="nil"/>
            </w:tcBorders>
            <w:shd w:val="clear" w:color="auto" w:fill="auto"/>
          </w:tcPr>
          <w:p w:rsidR="0025490C" w:rsidRPr="00E07B1B" w:rsidRDefault="0025490C" w:rsidP="00F26156">
            <w:pPr>
              <w:pStyle w:val="TableText"/>
            </w:pPr>
            <w:r w:rsidRPr="00E07B1B">
              <w:t>Overall this is a high</w:t>
            </w:r>
            <w:r>
              <w:t>-</w:t>
            </w:r>
            <w:r w:rsidRPr="00E07B1B">
              <w:t>quality guideline providing advice on the management of diabetes and its complications in pregnancy, from preconception to the postnatal period.</w:t>
            </w:r>
            <w:r>
              <w:t xml:space="preserve"> </w:t>
            </w:r>
            <w:r w:rsidRPr="00E07B1B">
              <w:t xml:space="preserve">The method of development was rigorous; the recommendations are clear and linked to the evidence. Service users were involved in the development of the guideline and the guideline development team comprised a range of health professionals and practitioners. </w:t>
            </w:r>
            <w:r>
              <w:t>A</w:t>
            </w:r>
            <w:r w:rsidRPr="00E07B1B">
              <w:t xml:space="preserve"> number of tools to aid implementation </w:t>
            </w:r>
            <w:r>
              <w:t xml:space="preserve">are </w:t>
            </w:r>
            <w:r w:rsidRPr="00E07B1B">
              <w:t>available on the website.</w:t>
            </w:r>
            <w:r>
              <w:t xml:space="preserve"> </w:t>
            </w:r>
            <w:r w:rsidRPr="00E07B1B">
              <w:t xml:space="preserve">Although there </w:t>
            </w:r>
            <w:r>
              <w:t>is</w:t>
            </w:r>
            <w:r w:rsidRPr="00E07B1B">
              <w:t xml:space="preserve"> no discussion of the influence of the funding body, it is unlikely to have had an impact on the guideline.</w:t>
            </w:r>
          </w:p>
        </w:tc>
      </w:tr>
      <w:tr w:rsidR="00F26156" w:rsidRPr="00E07B1B" w:rsidTr="00F26156">
        <w:trPr>
          <w:cantSplit/>
        </w:trPr>
        <w:tc>
          <w:tcPr>
            <w:tcW w:w="2268"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 xml:space="preserve">American </w:t>
            </w:r>
            <w:r>
              <w:t>A</w:t>
            </w:r>
            <w:r w:rsidRPr="00E07B1B">
              <w:t xml:space="preserve">ssociation of </w:t>
            </w:r>
            <w:r>
              <w:t>C</w:t>
            </w:r>
            <w:r w:rsidRPr="00E07B1B">
              <w:t xml:space="preserve">linical </w:t>
            </w:r>
            <w:r>
              <w:t>E</w:t>
            </w:r>
            <w:r w:rsidRPr="00E07B1B">
              <w:t xml:space="preserve">ndocrinologists </w:t>
            </w:r>
            <w:r>
              <w:t>M</w:t>
            </w:r>
            <w:r w:rsidRPr="00E07B1B">
              <w:t xml:space="preserve">edical </w:t>
            </w:r>
            <w:r>
              <w:t>G</w:t>
            </w:r>
            <w:r w:rsidRPr="00E07B1B">
              <w:t xml:space="preserve">uidelines for </w:t>
            </w:r>
            <w:r>
              <w:t>C</w:t>
            </w:r>
            <w:r w:rsidRPr="00E07B1B">
              <w:t xml:space="preserve">linical </w:t>
            </w:r>
            <w:r>
              <w:t>P</w:t>
            </w:r>
            <w:r w:rsidRPr="00E07B1B">
              <w:t xml:space="preserve">ractice for the </w:t>
            </w:r>
            <w:r>
              <w:t>M</w:t>
            </w:r>
            <w:r w:rsidRPr="00E07B1B">
              <w:t xml:space="preserve">anagement of </w:t>
            </w:r>
            <w:r>
              <w:t>D</w:t>
            </w:r>
            <w:r w:rsidRPr="00E07B1B">
              <w:t xml:space="preserve">iabetes </w:t>
            </w:r>
            <w:r>
              <w:t>M</w:t>
            </w:r>
            <w:r w:rsidRPr="00E07B1B">
              <w:t>ellitus (Blonde 2007)</w:t>
            </w:r>
          </w:p>
        </w:tc>
        <w:tc>
          <w:tcPr>
            <w:tcW w:w="1843"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 xml:space="preserve">Type 1 and type 2 diabetes, and </w:t>
            </w:r>
            <w:r>
              <w:t>g</w:t>
            </w:r>
            <w:r w:rsidRPr="00E07B1B">
              <w:t>estational diabetes mellitus</w:t>
            </w:r>
          </w:p>
        </w:tc>
        <w:tc>
          <w:tcPr>
            <w:tcW w:w="1843" w:type="dxa"/>
            <w:tcBorders>
              <w:top w:val="nil"/>
              <w:bottom w:val="nil"/>
            </w:tcBorders>
            <w:shd w:val="clear" w:color="auto" w:fill="F2F2F2" w:themeFill="background1" w:themeFillShade="F2"/>
          </w:tcPr>
          <w:p w:rsidR="0025490C" w:rsidRPr="00E07B1B" w:rsidRDefault="0025490C" w:rsidP="00F26156">
            <w:pPr>
              <w:pStyle w:val="TableText"/>
              <w:ind w:right="142"/>
              <w:jc w:val="center"/>
            </w:pPr>
            <w:r w:rsidRPr="00E07B1B">
              <w:t>United States 2007</w:t>
            </w:r>
          </w:p>
        </w:tc>
        <w:tc>
          <w:tcPr>
            <w:tcW w:w="2268" w:type="dxa"/>
            <w:tcBorders>
              <w:top w:val="nil"/>
              <w:bottom w:val="nil"/>
            </w:tcBorders>
            <w:shd w:val="clear" w:color="auto" w:fill="F2F2F2" w:themeFill="background1" w:themeFillShade="F2"/>
          </w:tcPr>
          <w:p w:rsidR="0025490C" w:rsidRPr="00E07B1B" w:rsidRDefault="0025490C" w:rsidP="00F26156">
            <w:pPr>
              <w:pStyle w:val="TableText"/>
              <w:ind w:right="142"/>
            </w:pPr>
            <w:r w:rsidRPr="00E07B1B">
              <w:t>Recommended with provisos or alterations</w:t>
            </w:r>
          </w:p>
        </w:tc>
        <w:tc>
          <w:tcPr>
            <w:tcW w:w="6379" w:type="dxa"/>
            <w:tcBorders>
              <w:top w:val="nil"/>
              <w:bottom w:val="nil"/>
            </w:tcBorders>
            <w:shd w:val="clear" w:color="auto" w:fill="F2F2F2" w:themeFill="background1" w:themeFillShade="F2"/>
          </w:tcPr>
          <w:p w:rsidR="0025490C" w:rsidRPr="00E07B1B" w:rsidRDefault="0025490C" w:rsidP="00F26156">
            <w:pPr>
              <w:pStyle w:val="TableText"/>
            </w:pPr>
            <w:r w:rsidRPr="00E07B1B">
              <w:t xml:space="preserve">Overall this is a methodologically sound guideline providing advice on the prevention, diagnosis, screening and management of diabetes. The method of development </w:t>
            </w:r>
            <w:r>
              <w:t>is</w:t>
            </w:r>
            <w:r w:rsidRPr="00E07B1B">
              <w:t xml:space="preserve"> well described and there is a clear link between the evidence and the recommendations. The specific objective of the guideline and the health questions </w:t>
            </w:r>
            <w:r>
              <w:t>is</w:t>
            </w:r>
            <w:r w:rsidRPr="00E07B1B">
              <w:t xml:space="preserve"> not clearly defined and there is a lack of clarity around the criteria for selecting the evidence. The </w:t>
            </w:r>
            <w:r>
              <w:t>g</w:t>
            </w:r>
            <w:r w:rsidRPr="00E07B1B">
              <w:t xml:space="preserve">uideline </w:t>
            </w:r>
            <w:r>
              <w:t>d</w:t>
            </w:r>
            <w:r w:rsidRPr="00E07B1B">
              <w:t xml:space="preserve">evelopment </w:t>
            </w:r>
            <w:r>
              <w:t>g</w:t>
            </w:r>
            <w:r w:rsidRPr="00E07B1B">
              <w:t>roup includes the relevant clinical and methodological expertise</w:t>
            </w:r>
            <w:r>
              <w:t>;</w:t>
            </w:r>
            <w:r w:rsidRPr="00E07B1B">
              <w:t xml:space="preserve"> however, the views and preferences of the target population have not been incorporated.</w:t>
            </w:r>
            <w:r>
              <w:t xml:space="preserve"> </w:t>
            </w:r>
            <w:r w:rsidRPr="00E07B1B">
              <w:t xml:space="preserve">Conflicts of interests </w:t>
            </w:r>
            <w:r>
              <w:t>are</w:t>
            </w:r>
            <w:r w:rsidRPr="00E07B1B">
              <w:t xml:space="preserve"> reported, although the procedure for dealing with the</w:t>
            </w:r>
            <w:r>
              <w:t>m</w:t>
            </w:r>
            <w:r w:rsidRPr="00E07B1B">
              <w:t xml:space="preserve"> during the recommendation phase is not detailed.</w:t>
            </w:r>
          </w:p>
        </w:tc>
      </w:tr>
      <w:tr w:rsidR="00F26156" w:rsidRPr="00E07B1B" w:rsidTr="00F26156">
        <w:trPr>
          <w:cantSplit/>
        </w:trPr>
        <w:tc>
          <w:tcPr>
            <w:tcW w:w="2268" w:type="dxa"/>
            <w:tcBorders>
              <w:top w:val="nil"/>
            </w:tcBorders>
            <w:shd w:val="clear" w:color="auto" w:fill="auto"/>
          </w:tcPr>
          <w:p w:rsidR="0025490C" w:rsidRPr="00E07B1B" w:rsidRDefault="0025490C" w:rsidP="00F26156">
            <w:pPr>
              <w:pStyle w:val="TableText"/>
              <w:ind w:right="142"/>
            </w:pPr>
            <w:r w:rsidRPr="00E07B1B">
              <w:t xml:space="preserve">Managing </w:t>
            </w:r>
            <w:r>
              <w:t>D</w:t>
            </w:r>
            <w:r w:rsidRPr="00E07B1B">
              <w:t xml:space="preserve">iabetes in </w:t>
            </w:r>
            <w:r>
              <w:t>P</w:t>
            </w:r>
            <w:r w:rsidRPr="00E07B1B">
              <w:t xml:space="preserve">rimary </w:t>
            </w:r>
            <w:r>
              <w:t>C</w:t>
            </w:r>
            <w:r w:rsidRPr="00E07B1B">
              <w:t>are in the Caribbean (Caribbean Health Research Council 2006)</w:t>
            </w:r>
          </w:p>
        </w:tc>
        <w:tc>
          <w:tcPr>
            <w:tcW w:w="1843" w:type="dxa"/>
            <w:tcBorders>
              <w:top w:val="nil"/>
            </w:tcBorders>
            <w:shd w:val="clear" w:color="auto" w:fill="auto"/>
          </w:tcPr>
          <w:p w:rsidR="0025490C" w:rsidRPr="00E07B1B" w:rsidRDefault="0025490C" w:rsidP="00F26156">
            <w:pPr>
              <w:pStyle w:val="TableText"/>
              <w:ind w:right="142"/>
            </w:pPr>
            <w:r w:rsidRPr="00E07B1B">
              <w:t xml:space="preserve">Type 2 </w:t>
            </w:r>
            <w:r>
              <w:t>d</w:t>
            </w:r>
            <w:r w:rsidR="00F26156">
              <w:t>iabetes</w:t>
            </w:r>
          </w:p>
        </w:tc>
        <w:tc>
          <w:tcPr>
            <w:tcW w:w="1843" w:type="dxa"/>
            <w:tcBorders>
              <w:top w:val="nil"/>
            </w:tcBorders>
            <w:shd w:val="clear" w:color="auto" w:fill="auto"/>
          </w:tcPr>
          <w:p w:rsidR="0025490C" w:rsidRPr="00E07B1B" w:rsidRDefault="0025490C" w:rsidP="00F26156">
            <w:pPr>
              <w:pStyle w:val="TableText"/>
              <w:ind w:right="142"/>
              <w:jc w:val="center"/>
            </w:pPr>
            <w:r w:rsidRPr="00E07B1B">
              <w:t>Caribbean 2006</w:t>
            </w:r>
          </w:p>
        </w:tc>
        <w:tc>
          <w:tcPr>
            <w:tcW w:w="2268" w:type="dxa"/>
            <w:tcBorders>
              <w:top w:val="nil"/>
            </w:tcBorders>
            <w:shd w:val="clear" w:color="auto" w:fill="auto"/>
          </w:tcPr>
          <w:p w:rsidR="0025490C" w:rsidRPr="00E07B1B" w:rsidRDefault="0025490C" w:rsidP="00F26156">
            <w:pPr>
              <w:pStyle w:val="TableText"/>
              <w:ind w:right="142"/>
            </w:pPr>
            <w:r w:rsidRPr="00E07B1B">
              <w:t>Not recommended</w:t>
            </w:r>
          </w:p>
        </w:tc>
        <w:tc>
          <w:tcPr>
            <w:tcW w:w="6379" w:type="dxa"/>
            <w:tcBorders>
              <w:top w:val="nil"/>
            </w:tcBorders>
            <w:shd w:val="clear" w:color="auto" w:fill="auto"/>
          </w:tcPr>
          <w:p w:rsidR="0025490C" w:rsidRPr="00E07B1B" w:rsidRDefault="0025490C" w:rsidP="00F26156">
            <w:pPr>
              <w:pStyle w:val="TableText"/>
            </w:pPr>
            <w:r w:rsidRPr="00E07B1B">
              <w:t>This guideline provides evidence-based advice on the management of diabetes in primary care with a focus on type 2 diabetes.</w:t>
            </w:r>
            <w:r>
              <w:t xml:space="preserve"> </w:t>
            </w:r>
            <w:r w:rsidRPr="00E07B1B">
              <w:t>The guideline has some serious methodological weaknesses.</w:t>
            </w:r>
            <w:r>
              <w:t xml:space="preserve"> </w:t>
            </w:r>
            <w:r w:rsidRPr="00E07B1B">
              <w:t>There is a lack of clarity around the criteria for selecting the evidence and the search strategies are not provided, introducing a strong possibility of selection bias.</w:t>
            </w:r>
            <w:r>
              <w:t xml:space="preserve"> </w:t>
            </w:r>
            <w:r w:rsidRPr="00E07B1B">
              <w:t>The resource implications of the recommendations are not fully examined. People with diabetes were not involved in the development of the guideline.</w:t>
            </w:r>
          </w:p>
        </w:tc>
      </w:tr>
    </w:tbl>
    <w:p w:rsidR="0025490C" w:rsidRPr="00E07B1B" w:rsidRDefault="0025490C" w:rsidP="0025490C"/>
    <w:p w:rsidR="00F26156" w:rsidRDefault="00F26156" w:rsidP="00C04C3B">
      <w:pPr>
        <w:pStyle w:val="Heading2"/>
        <w:spacing w:after="240"/>
        <w:ind w:left="0" w:firstLine="0"/>
        <w:sectPr w:rsidR="00F26156" w:rsidSect="00F26156">
          <w:footerReference w:type="even" r:id="rId55"/>
          <w:footerReference w:type="default" r:id="rId56"/>
          <w:pgSz w:w="16834" w:h="11907" w:orient="landscape" w:code="9"/>
          <w:pgMar w:top="1134" w:right="1134" w:bottom="1134" w:left="1134" w:header="284" w:footer="567" w:gutter="0"/>
          <w:cols w:space="720"/>
          <w:docGrid w:linePitch="299"/>
        </w:sectPr>
      </w:pPr>
      <w:bookmarkStart w:id="416" w:name="_Appendix_F_Summary"/>
      <w:bookmarkStart w:id="417" w:name="_Toc363717758"/>
      <w:bookmarkStart w:id="418" w:name="_Toc363717760"/>
      <w:bookmarkStart w:id="419" w:name="_Toc402873637"/>
      <w:bookmarkStart w:id="420" w:name="_Toc403469698"/>
      <w:bookmarkEnd w:id="416"/>
    </w:p>
    <w:p w:rsidR="0025490C" w:rsidRDefault="0025490C" w:rsidP="00C04C3B">
      <w:pPr>
        <w:pStyle w:val="Heading2"/>
        <w:spacing w:after="240"/>
        <w:ind w:left="0" w:firstLine="0"/>
      </w:pPr>
      <w:r w:rsidRPr="00E07B1B">
        <w:t>Appendix F</w:t>
      </w:r>
      <w:r>
        <w:t>:</w:t>
      </w:r>
      <w:r w:rsidRPr="00E07B1B">
        <w:t xml:space="preserve"> </w:t>
      </w:r>
      <w:bookmarkEnd w:id="417"/>
      <w:bookmarkEnd w:id="418"/>
      <w:r w:rsidRPr="00E07B1B">
        <w:t>Principles of woman-centred care</w:t>
      </w:r>
      <w:bookmarkEnd w:id="419"/>
      <w:bookmarkEnd w:id="420"/>
    </w:p>
    <w:p w:rsidR="0025490C" w:rsidRPr="00E07B1B" w:rsidRDefault="0025490C" w:rsidP="00B01366">
      <w:pPr>
        <w:pStyle w:val="Heading3"/>
      </w:pPr>
      <w:r w:rsidRPr="00E07B1B">
        <w:t>Understanding the woman</w:t>
      </w:r>
      <w:r w:rsidR="0068074A">
        <w:t>’</w:t>
      </w:r>
      <w:r w:rsidRPr="00E07B1B">
        <w:t>s context</w:t>
      </w:r>
    </w:p>
    <w:p w:rsidR="0025490C" w:rsidRPr="00E07B1B" w:rsidRDefault="0025490C" w:rsidP="00B01366">
      <w:pPr>
        <w:pStyle w:val="Bullet"/>
      </w:pPr>
      <w:r w:rsidRPr="00E07B1B">
        <w:t>Every woman has a right to antenatal care that takes into account her individual social and emotional situation.</w:t>
      </w:r>
    </w:p>
    <w:p w:rsidR="0025490C" w:rsidRPr="00E07B1B" w:rsidRDefault="0025490C" w:rsidP="00B01366">
      <w:pPr>
        <w:pStyle w:val="Bullet"/>
      </w:pPr>
      <w:r w:rsidRPr="00E07B1B">
        <w:t>The experience of pregnancy differs for each woman (for example</w:t>
      </w:r>
      <w:r>
        <w:t>,</w:t>
      </w:r>
      <w:r w:rsidRPr="00E07B1B">
        <w:t xml:space="preserve"> the stability of woman</w:t>
      </w:r>
      <w:r w:rsidR="0068074A">
        <w:t>’</w:t>
      </w:r>
      <w:r w:rsidRPr="00E07B1B">
        <w:t>s relationships and social environment).</w:t>
      </w:r>
    </w:p>
    <w:p w:rsidR="0025490C" w:rsidRPr="00E07B1B" w:rsidRDefault="0025490C" w:rsidP="00B01366">
      <w:pPr>
        <w:pStyle w:val="Bullet"/>
      </w:pPr>
      <w:r w:rsidRPr="00E07B1B">
        <w:t>Referral to other services should also be considered, in partnership with the woman, if necessary.</w:t>
      </w:r>
    </w:p>
    <w:p w:rsidR="0025490C" w:rsidRDefault="0025490C" w:rsidP="00B01366"/>
    <w:p w:rsidR="0025490C" w:rsidRPr="00E07B1B" w:rsidRDefault="0025490C" w:rsidP="00B01366">
      <w:pPr>
        <w:pStyle w:val="Heading3"/>
      </w:pPr>
      <w:r w:rsidRPr="00E07B1B">
        <w:t>Cultural safety in antenatal care</w:t>
      </w:r>
    </w:p>
    <w:p w:rsidR="0025490C" w:rsidRPr="00E07B1B" w:rsidRDefault="0025490C" w:rsidP="00B01366">
      <w:pPr>
        <w:pStyle w:val="Bullet"/>
      </w:pPr>
      <w:r w:rsidRPr="00E07B1B">
        <w:t>Optimis</w:t>
      </w:r>
      <w:r>
        <w:t>e</w:t>
      </w:r>
      <w:r w:rsidRPr="00E07B1B">
        <w:t xml:space="preserve"> communication (for example</w:t>
      </w:r>
      <w:r>
        <w:t>, by using</w:t>
      </w:r>
      <w:r w:rsidRPr="00E07B1B">
        <w:t xml:space="preserve"> interpreters).</w:t>
      </w:r>
    </w:p>
    <w:p w:rsidR="0025490C" w:rsidRPr="00E07B1B" w:rsidRDefault="0025490C" w:rsidP="00B01366">
      <w:pPr>
        <w:pStyle w:val="Bullet"/>
      </w:pPr>
      <w:r w:rsidRPr="00E07B1B">
        <w:t>Build sound relationships.</w:t>
      </w:r>
    </w:p>
    <w:p w:rsidR="0025490C" w:rsidRPr="00E07B1B" w:rsidRDefault="0025490C" w:rsidP="00B01366">
      <w:pPr>
        <w:pStyle w:val="Bullet"/>
      </w:pPr>
      <w:r w:rsidRPr="00E07B1B">
        <w:t>Acknowledg</w:t>
      </w:r>
      <w:r>
        <w:t>e</w:t>
      </w:r>
      <w:r w:rsidRPr="00E07B1B">
        <w:t xml:space="preserve"> women</w:t>
      </w:r>
      <w:r w:rsidR="0068074A">
        <w:t>’</w:t>
      </w:r>
      <w:r w:rsidRPr="00E07B1B">
        <w:t>s cultural preferences.</w:t>
      </w:r>
    </w:p>
    <w:p w:rsidR="0025490C" w:rsidRPr="00E07B1B" w:rsidRDefault="0025490C" w:rsidP="00B01366">
      <w:pPr>
        <w:pStyle w:val="Bullet"/>
      </w:pPr>
      <w:r w:rsidRPr="00E07B1B">
        <w:t>Reflect</w:t>
      </w:r>
      <w:r>
        <w:t xml:space="preserve"> on</w:t>
      </w:r>
      <w:r w:rsidRPr="00E07B1B">
        <w:t xml:space="preserve"> and analys</w:t>
      </w:r>
      <w:r>
        <w:t>e</w:t>
      </w:r>
      <w:r w:rsidRPr="00E07B1B">
        <w:t xml:space="preserve"> how power relationships and history ha</w:t>
      </w:r>
      <w:r>
        <w:t>ve</w:t>
      </w:r>
      <w:r w:rsidRPr="00E07B1B">
        <w:t xml:space="preserve"> affected the health of individuals.</w:t>
      </w:r>
    </w:p>
    <w:p w:rsidR="0025490C" w:rsidRDefault="0025490C" w:rsidP="00B01366"/>
    <w:p w:rsidR="0025490C" w:rsidRPr="00E07B1B" w:rsidRDefault="0025490C" w:rsidP="00B01366">
      <w:pPr>
        <w:pStyle w:val="Heading3"/>
        <w:ind w:left="0" w:firstLine="0"/>
      </w:pPr>
      <w:r w:rsidRPr="00E07B1B">
        <w:t>Providing</w:t>
      </w:r>
      <w:r w:rsidRPr="00B01366">
        <w:t xml:space="preserve"> in</w:t>
      </w:r>
      <w:r w:rsidRPr="00E07B1B">
        <w:t>formation and support so that woman can make decisions</w:t>
      </w:r>
    </w:p>
    <w:p w:rsidR="0025490C" w:rsidRPr="00E07B1B" w:rsidRDefault="0025490C" w:rsidP="00B01366">
      <w:pPr>
        <w:pStyle w:val="Bullet"/>
      </w:pPr>
      <w:r w:rsidRPr="00E07B1B">
        <w:t>In health interactions</w:t>
      </w:r>
      <w:r>
        <w:t>,</w:t>
      </w:r>
      <w:r w:rsidRPr="00E07B1B">
        <w:t xml:space="preserve"> women have the protection of the Code of Rights.</w:t>
      </w:r>
    </w:p>
    <w:p w:rsidR="0025490C" w:rsidRPr="00E07B1B" w:rsidRDefault="0025490C" w:rsidP="00B01366">
      <w:pPr>
        <w:pStyle w:val="Bullet"/>
      </w:pPr>
      <w:r w:rsidRPr="00E07B1B">
        <w:t>Health professionals and women need to communicate and collaborate in a team approach.</w:t>
      </w:r>
    </w:p>
    <w:p w:rsidR="0025490C" w:rsidRPr="00E07B1B" w:rsidRDefault="0025490C" w:rsidP="00B01366">
      <w:pPr>
        <w:pStyle w:val="Bullet"/>
      </w:pPr>
      <w:r w:rsidRPr="00E07B1B">
        <w:t>The woman</w:t>
      </w:r>
      <w:r w:rsidR="0068074A">
        <w:t>’</w:t>
      </w:r>
      <w:r w:rsidRPr="00E07B1B">
        <w:t>s input (and</w:t>
      </w:r>
      <w:r>
        <w:t xml:space="preserve"> the input of</w:t>
      </w:r>
      <w:r w:rsidRPr="00E07B1B">
        <w:t xml:space="preserve"> her family, if she chooses) is an important part of the process.</w:t>
      </w:r>
    </w:p>
    <w:p w:rsidR="0025490C" w:rsidRPr="00E07B1B" w:rsidRDefault="0025490C" w:rsidP="00B01366">
      <w:pPr>
        <w:pStyle w:val="Bullet"/>
      </w:pPr>
      <w:r w:rsidRPr="00E07B1B">
        <w:t>Women have the right to decline care/advice if they choose, or withdraw consent at any time and have their choice respected. The level of care provided should not alter.</w:t>
      </w:r>
    </w:p>
    <w:p w:rsidR="0025490C" w:rsidRPr="00E07B1B" w:rsidRDefault="0025490C" w:rsidP="00B01366">
      <w:pPr>
        <w:pStyle w:val="Bullet"/>
      </w:pPr>
      <w:r w:rsidRPr="00E07B1B">
        <w:t>Documenting decisions and discussions is important.</w:t>
      </w:r>
    </w:p>
    <w:p w:rsidR="0025490C" w:rsidRPr="00E07B1B" w:rsidRDefault="0025490C" w:rsidP="00B01366">
      <w:pPr>
        <w:pStyle w:val="Bullet"/>
      </w:pPr>
      <w:r w:rsidRPr="00E07B1B">
        <w:t>Shared and reciprocal information is recommended.</w:t>
      </w:r>
    </w:p>
    <w:p w:rsidR="0025490C" w:rsidRDefault="0025490C" w:rsidP="00B01366"/>
    <w:p w:rsidR="0025490C" w:rsidRPr="00E07B1B" w:rsidRDefault="0025490C" w:rsidP="00B01366">
      <w:pPr>
        <w:pStyle w:val="Heading3"/>
      </w:pPr>
      <w:r w:rsidRPr="00E07B1B">
        <w:t>Involving the woman</w:t>
      </w:r>
      <w:r w:rsidR="0068074A">
        <w:t>’</w:t>
      </w:r>
      <w:r w:rsidRPr="00E07B1B">
        <w:t>s family</w:t>
      </w:r>
    </w:p>
    <w:p w:rsidR="0025490C" w:rsidRPr="00E07B1B" w:rsidRDefault="0025490C" w:rsidP="00B01366">
      <w:pPr>
        <w:pStyle w:val="Bullet"/>
      </w:pPr>
      <w:r w:rsidRPr="00E07B1B">
        <w:t>Woman-centred care encompasses the needs of the baby, the woman</w:t>
      </w:r>
      <w:r w:rsidR="0068074A">
        <w:t>’</w:t>
      </w:r>
      <w:r w:rsidRPr="00E07B1B">
        <w:t xml:space="preserve">s family, significant others and </w:t>
      </w:r>
      <w:r>
        <w:t xml:space="preserve">the </w:t>
      </w:r>
      <w:r w:rsidRPr="00E07B1B">
        <w:t>community, as identified and negotiated by the woman herself.</w:t>
      </w:r>
    </w:p>
    <w:p w:rsidR="0025490C" w:rsidRPr="00E07B1B" w:rsidRDefault="0025490C" w:rsidP="00B01366">
      <w:pPr>
        <w:pStyle w:val="Bullet"/>
      </w:pPr>
      <w:r w:rsidRPr="00E07B1B">
        <w:t>Each woman should be asked about who she would like to be involved in her care.</w:t>
      </w:r>
    </w:p>
    <w:p w:rsidR="0025490C" w:rsidRPr="00E07B1B" w:rsidRDefault="0025490C" w:rsidP="00B01366">
      <w:pPr>
        <w:pStyle w:val="Bullet"/>
      </w:pPr>
      <w:r w:rsidRPr="00E07B1B">
        <w:t>Involving fathers/partners in antenatal care enables them to participate in decision</w:t>
      </w:r>
      <w:r>
        <w:t>-</w:t>
      </w:r>
      <w:r w:rsidRPr="00E07B1B">
        <w:t>making and be informed about the care pathway and environmental factors that may influence the health of the baby during pregnancy (for example</w:t>
      </w:r>
      <w:r>
        <w:t>,</w:t>
      </w:r>
      <w:r w:rsidRPr="00E07B1B">
        <w:t xml:space="preserve"> exposure to passive smoking or domestic violence).</w:t>
      </w:r>
    </w:p>
    <w:p w:rsidR="0025490C" w:rsidRPr="00E07B1B" w:rsidRDefault="0025490C" w:rsidP="00B01366">
      <w:pPr>
        <w:pStyle w:val="Bullet"/>
      </w:pPr>
      <w:r w:rsidRPr="00E07B1B">
        <w:t>Involving fathers/partners in antenatal care may also enable early intervention (for example</w:t>
      </w:r>
      <w:r>
        <w:t>,</w:t>
      </w:r>
      <w:r w:rsidRPr="00E07B1B">
        <w:t xml:space="preserve"> family support) for families requiring additional assistance.</w:t>
      </w:r>
    </w:p>
    <w:p w:rsidR="0025490C" w:rsidRDefault="0025490C" w:rsidP="00B01366">
      <w:pPr>
        <w:rPr>
          <w:rFonts w:eastAsia="MS Mincho"/>
        </w:rPr>
      </w:pPr>
    </w:p>
    <w:p w:rsidR="0025490C" w:rsidRDefault="0025490C" w:rsidP="00B01366">
      <w:pPr>
        <w:pStyle w:val="Source"/>
        <w:rPr>
          <w:rFonts w:eastAsia="MS Mincho"/>
        </w:rPr>
      </w:pPr>
      <w:r>
        <w:rPr>
          <w:rFonts w:eastAsia="MS Mincho"/>
        </w:rPr>
        <w:t xml:space="preserve">Source: </w:t>
      </w:r>
      <w:r w:rsidRPr="00E07B1B">
        <w:rPr>
          <w:rFonts w:eastAsia="MS Mincho"/>
        </w:rPr>
        <w:t xml:space="preserve">Adapted from </w:t>
      </w:r>
      <w:r w:rsidRPr="00E07B1B">
        <w:rPr>
          <w:rFonts w:eastAsia="MS Mincho"/>
          <w:noProof/>
        </w:rPr>
        <w:t>Australian Health Ministers</w:t>
      </w:r>
      <w:r w:rsidR="0068074A">
        <w:rPr>
          <w:rFonts w:eastAsia="MS Mincho"/>
          <w:noProof/>
        </w:rPr>
        <w:t>’</w:t>
      </w:r>
      <w:r w:rsidRPr="00E07B1B">
        <w:rPr>
          <w:rFonts w:eastAsia="MS Mincho"/>
          <w:noProof/>
        </w:rPr>
        <w:t xml:space="preserve"> Advisory Council </w:t>
      </w:r>
      <w:r>
        <w:rPr>
          <w:rFonts w:eastAsia="MS Mincho"/>
          <w:noProof/>
        </w:rPr>
        <w:t>(</w:t>
      </w:r>
      <w:r w:rsidRPr="00E07B1B">
        <w:rPr>
          <w:rFonts w:eastAsia="MS Mincho"/>
          <w:noProof/>
        </w:rPr>
        <w:t>2012</w:t>
      </w:r>
      <w:r w:rsidRPr="00E07B1B">
        <w:rPr>
          <w:rFonts w:eastAsia="MS Mincho"/>
        </w:rPr>
        <w:t>)</w:t>
      </w:r>
      <w:r>
        <w:rPr>
          <w:rFonts w:eastAsia="MS Mincho"/>
        </w:rPr>
        <w:t>,</w:t>
      </w:r>
      <w:r w:rsidRPr="009D0541">
        <w:rPr>
          <w:rFonts w:eastAsia="MS Mincho"/>
        </w:rPr>
        <w:t xml:space="preserve"> </w:t>
      </w:r>
      <w:r w:rsidRPr="00E07B1B">
        <w:rPr>
          <w:rFonts w:eastAsia="MS Mincho"/>
        </w:rPr>
        <w:t>p</w:t>
      </w:r>
      <w:r>
        <w:rPr>
          <w:rFonts w:eastAsia="MS Mincho"/>
        </w:rPr>
        <w:t>p</w:t>
      </w:r>
      <w:r w:rsidRPr="00E07B1B">
        <w:rPr>
          <w:rFonts w:eastAsia="MS Mincho"/>
        </w:rPr>
        <w:t xml:space="preserve"> 2</w:t>
      </w:r>
      <w:r>
        <w:rPr>
          <w:rFonts w:eastAsia="MS Mincho"/>
        </w:rPr>
        <w:t>–</w:t>
      </w:r>
      <w:r w:rsidRPr="00E07B1B">
        <w:rPr>
          <w:rFonts w:eastAsia="MS Mincho"/>
        </w:rPr>
        <w:t>7</w:t>
      </w:r>
      <w:r w:rsidR="00B01366">
        <w:rPr>
          <w:rFonts w:eastAsia="MS Mincho"/>
        </w:rPr>
        <w:t>.</w:t>
      </w:r>
    </w:p>
    <w:p w:rsidR="0025490C" w:rsidRPr="00E07B1B" w:rsidRDefault="0025490C" w:rsidP="00C04C3B">
      <w:pPr>
        <w:pStyle w:val="Heading2"/>
        <w:spacing w:before="0" w:after="240"/>
        <w:ind w:left="0" w:firstLine="0"/>
      </w:pPr>
      <w:r w:rsidRPr="00E07B1B">
        <w:br w:type="page"/>
      </w:r>
      <w:bookmarkStart w:id="421" w:name="_Toc363717761"/>
      <w:bookmarkStart w:id="422" w:name="_Toc402873638"/>
      <w:bookmarkStart w:id="423" w:name="_Toc403469699"/>
      <w:r w:rsidRPr="00E07B1B">
        <w:t>Appendix G</w:t>
      </w:r>
      <w:r>
        <w:t>: Supporting evidence for</w:t>
      </w:r>
      <w:r w:rsidRPr="00E07B1B">
        <w:t xml:space="preserve"> Chapter</w:t>
      </w:r>
      <w:bookmarkEnd w:id="421"/>
      <w:r w:rsidR="00C04C3B">
        <w:t> </w:t>
      </w:r>
      <w:r w:rsidRPr="00E07B1B">
        <w:t>2</w:t>
      </w:r>
      <w:bookmarkEnd w:id="422"/>
      <w:bookmarkEnd w:id="423"/>
    </w:p>
    <w:p w:rsidR="0025490C" w:rsidRPr="00E07B1B" w:rsidRDefault="0025490C" w:rsidP="00B01366">
      <w:pPr>
        <w:pStyle w:val="Heading3"/>
      </w:pPr>
      <w:bookmarkStart w:id="424" w:name="_Toc363717762"/>
      <w:r w:rsidRPr="00E07B1B">
        <w:t>Summary of evidence for risk factors</w:t>
      </w:r>
      <w:bookmarkEnd w:id="424"/>
    </w:p>
    <w:p w:rsidR="0025490C" w:rsidRDefault="0025490C" w:rsidP="00B01366">
      <w:r w:rsidRPr="00E07B1B">
        <w:t>There was variation in the diagnostic tests used between the studies and in the variables used in adjusted models.</w:t>
      </w:r>
    </w:p>
    <w:p w:rsidR="0025490C" w:rsidRPr="00E07B1B" w:rsidRDefault="0025490C" w:rsidP="00B01366"/>
    <w:p w:rsidR="0025490C" w:rsidRPr="00E07B1B" w:rsidRDefault="0025490C" w:rsidP="00B01366">
      <w:pPr>
        <w:pStyle w:val="Heading4"/>
      </w:pPr>
      <w:r w:rsidRPr="00E07B1B">
        <w:t xml:space="preserve">Maternal </w:t>
      </w:r>
      <w:r>
        <w:t>a</w:t>
      </w:r>
      <w:r w:rsidRPr="00E07B1B">
        <w:t>ge</w:t>
      </w:r>
    </w:p>
    <w:p w:rsidR="0025490C" w:rsidRDefault="0025490C" w:rsidP="00B01366">
      <w:r w:rsidRPr="00E07B1B">
        <w:t xml:space="preserve">Studies reported the risk of developing gestational diabetes increased with increasing maternal age (Gonzalez-Clemente </w:t>
      </w:r>
      <w:r w:rsidR="00D562F2">
        <w:t>et al</w:t>
      </w:r>
      <w:r w:rsidRPr="00E07B1B">
        <w:t xml:space="preserve"> 2007; Iqbal </w:t>
      </w:r>
      <w:r w:rsidR="00D562F2">
        <w:t>et al</w:t>
      </w:r>
      <w:r w:rsidRPr="00E07B1B">
        <w:t xml:space="preserve"> 2007;</w:t>
      </w:r>
      <w:r>
        <w:t xml:space="preserve"> </w:t>
      </w:r>
      <w:r w:rsidRPr="00E07B1B">
        <w:t>Ogonowski and Miazgowski 2010;</w:t>
      </w:r>
      <w:r w:rsidRPr="00F04002">
        <w:t xml:space="preserve"> </w:t>
      </w:r>
      <w:r w:rsidRPr="00E07B1B">
        <w:t>Hoseini</w:t>
      </w:r>
      <w:r>
        <w:t xml:space="preserve"> </w:t>
      </w:r>
      <w:r w:rsidR="00D562F2">
        <w:t>et al</w:t>
      </w:r>
      <w:r w:rsidRPr="00E07B1B">
        <w:t xml:space="preserve"> 20</w:t>
      </w:r>
      <w:r>
        <w:t>1</w:t>
      </w:r>
      <w:r w:rsidRPr="00E07B1B">
        <w:t xml:space="preserve">1; Ismail </w:t>
      </w:r>
      <w:r w:rsidR="00D562F2">
        <w:t>et al</w:t>
      </w:r>
      <w:r w:rsidRPr="00E07B1B">
        <w:t xml:space="preserve"> 2011; Kun</w:t>
      </w:r>
      <w:r>
        <w:t xml:space="preserve"> </w:t>
      </w:r>
      <w:r w:rsidR="00D562F2">
        <w:t>et al</w:t>
      </w:r>
      <w:r w:rsidRPr="00E07B1B">
        <w:t xml:space="preserve"> 2011;</w:t>
      </w:r>
      <w:r w:rsidRPr="00E07B1B" w:rsidDel="00F04002">
        <w:t xml:space="preserve"> </w:t>
      </w:r>
      <w:r w:rsidRPr="00E07B1B">
        <w:t xml:space="preserve">Nanda </w:t>
      </w:r>
      <w:r w:rsidR="00D562F2">
        <w:t>et al</w:t>
      </w:r>
      <w:r w:rsidRPr="00E07B1B">
        <w:t xml:space="preserve"> 2011; Far</w:t>
      </w:r>
      <w:r>
        <w:t xml:space="preserve"> </w:t>
      </w:r>
      <w:r w:rsidR="00D562F2">
        <w:t>et al</w:t>
      </w:r>
      <w:r w:rsidRPr="00E07B1B">
        <w:t xml:space="preserve"> 2012;</w:t>
      </w:r>
      <w:r w:rsidRPr="00F04002">
        <w:t xml:space="preserve"> </w:t>
      </w:r>
      <w:r w:rsidRPr="00E07B1B">
        <w:t xml:space="preserve">Ramos-Levi </w:t>
      </w:r>
      <w:r w:rsidR="00D562F2">
        <w:t>et al</w:t>
      </w:r>
      <w:r w:rsidRPr="00E07B1B">
        <w:t xml:space="preserve"> 2012).</w:t>
      </w:r>
    </w:p>
    <w:p w:rsidR="0025490C" w:rsidRPr="00E07B1B" w:rsidRDefault="0025490C" w:rsidP="00B01366"/>
    <w:p w:rsidR="0025490C" w:rsidRDefault="0025490C" w:rsidP="00B01366">
      <w:r w:rsidRPr="00E07B1B">
        <w:t>Two studies reported an increased risk of developing gestational diabetes in women age</w:t>
      </w:r>
      <w:r>
        <w:t>d</w:t>
      </w:r>
      <w:r w:rsidRPr="00E07B1B">
        <w:t xml:space="preserve"> 25</w:t>
      </w:r>
      <w:r w:rsidR="00B01366">
        <w:t> </w:t>
      </w:r>
      <w:r w:rsidRPr="00E07B1B">
        <w:t>years or older at the time of conception (adj OR 1.34, 95%CI 1.04</w:t>
      </w:r>
      <w:r>
        <w:t>–</w:t>
      </w:r>
      <w:r w:rsidRPr="00E07B1B">
        <w:t xml:space="preserve">1.73, </w:t>
      </w:r>
      <w:r w:rsidRPr="0075376C">
        <w:rPr>
          <w:i/>
        </w:rPr>
        <w:t>p</w:t>
      </w:r>
      <w:r>
        <w:t xml:space="preserve"> </w:t>
      </w:r>
      <w:r w:rsidRPr="00E07B1B">
        <w:t>=</w:t>
      </w:r>
      <w:r>
        <w:t xml:space="preserve"> </w:t>
      </w:r>
      <w:r w:rsidRPr="00E07B1B">
        <w:t xml:space="preserve">0.02) (Cypryk </w:t>
      </w:r>
      <w:r w:rsidR="00D562F2">
        <w:t>et al</w:t>
      </w:r>
      <w:r w:rsidRPr="00E07B1B">
        <w:t xml:space="preserve"> 2008; Lagerros </w:t>
      </w:r>
      <w:r w:rsidR="00D562F2">
        <w:t>et al</w:t>
      </w:r>
      <w:r w:rsidRPr="00E07B1B">
        <w:t xml:space="preserve"> 2012) and one of the studies reported a 50% increased risk for women age</w:t>
      </w:r>
      <w:r>
        <w:t>d</w:t>
      </w:r>
      <w:r w:rsidRPr="00E07B1B">
        <w:t xml:space="preserve"> 25</w:t>
      </w:r>
      <w:r>
        <w:t>–</w:t>
      </w:r>
      <w:r w:rsidRPr="00E07B1B">
        <w:t xml:space="preserve">29 years compared </w:t>
      </w:r>
      <w:r>
        <w:t>with</w:t>
      </w:r>
      <w:r w:rsidRPr="00E07B1B">
        <w:t xml:space="preserve"> those age</w:t>
      </w:r>
      <w:r>
        <w:t>d</w:t>
      </w:r>
      <w:r w:rsidRPr="00E07B1B">
        <w:t xml:space="preserve"> 20</w:t>
      </w:r>
      <w:r>
        <w:t>–</w:t>
      </w:r>
      <w:r w:rsidRPr="00E07B1B">
        <w:t>24 years (adj OR 1.5, 95%CI 1.3</w:t>
      </w:r>
      <w:r>
        <w:t>–</w:t>
      </w:r>
      <w:r w:rsidRPr="00E07B1B">
        <w:t xml:space="preserve">1.7) (Lagerros </w:t>
      </w:r>
      <w:r w:rsidR="00D562F2">
        <w:t>et al</w:t>
      </w:r>
      <w:r w:rsidRPr="00E07B1B">
        <w:t xml:space="preserve"> 2012).</w:t>
      </w:r>
    </w:p>
    <w:p w:rsidR="0025490C" w:rsidRPr="00E07B1B" w:rsidRDefault="0025490C" w:rsidP="00B01366"/>
    <w:p w:rsidR="0025490C" w:rsidRPr="00E07B1B" w:rsidRDefault="0025490C" w:rsidP="00B01366">
      <w:r w:rsidRPr="00E07B1B">
        <w:t>Two studies reported increased risk for women age</w:t>
      </w:r>
      <w:r>
        <w:t>d</w:t>
      </w:r>
      <w:r w:rsidRPr="00E07B1B">
        <w:t xml:space="preserve"> 30 years or older (Yang </w:t>
      </w:r>
      <w:r w:rsidR="00D562F2">
        <w:t>et al</w:t>
      </w:r>
      <w:r w:rsidRPr="00E07B1B">
        <w:t xml:space="preserve"> 2009; Makgoba</w:t>
      </w:r>
      <w:r>
        <w:t xml:space="preserve"> </w:t>
      </w:r>
      <w:r w:rsidR="00D562F2">
        <w:t>et al</w:t>
      </w:r>
      <w:r w:rsidRPr="00E07B1B">
        <w:t xml:space="preserve"> 2012). One study reported an increased risk for women age</w:t>
      </w:r>
      <w:r>
        <w:t>d</w:t>
      </w:r>
      <w:r w:rsidRPr="00E07B1B">
        <w:t xml:space="preserve"> 30</w:t>
      </w:r>
      <w:r>
        <w:t>–</w:t>
      </w:r>
      <w:r w:rsidRPr="00E07B1B">
        <w:t xml:space="preserve">33 years compared </w:t>
      </w:r>
      <w:r>
        <w:t>with</w:t>
      </w:r>
      <w:r w:rsidRPr="00E07B1B">
        <w:t xml:space="preserve"> those age</w:t>
      </w:r>
      <w:r>
        <w:t>d</w:t>
      </w:r>
      <w:r w:rsidRPr="00E07B1B">
        <w:t xml:space="preserve"> 20</w:t>
      </w:r>
      <w:r>
        <w:t>–</w:t>
      </w:r>
      <w:r w:rsidRPr="00E07B1B">
        <w:t xml:space="preserve">24 years (Lagerros </w:t>
      </w:r>
      <w:r w:rsidR="00D562F2">
        <w:t>et al</w:t>
      </w:r>
      <w:r w:rsidRPr="00E07B1B">
        <w:t xml:space="preserve"> 2012); </w:t>
      </w:r>
      <w:r>
        <w:t>five</w:t>
      </w:r>
      <w:r w:rsidRPr="00E07B1B">
        <w:t xml:space="preserve"> studies reported increased risk for women age</w:t>
      </w:r>
      <w:r>
        <w:t>d</w:t>
      </w:r>
      <w:r w:rsidRPr="00E07B1B">
        <w:t xml:space="preserve"> 35 years and over (Hossein-Nezhad </w:t>
      </w:r>
      <w:r w:rsidR="00D562F2">
        <w:t>et al</w:t>
      </w:r>
      <w:r w:rsidRPr="00E07B1B">
        <w:t xml:space="preserve"> 2007; Aljohani </w:t>
      </w:r>
      <w:r w:rsidR="00D562F2">
        <w:t>et al</w:t>
      </w:r>
      <w:r w:rsidRPr="00E07B1B">
        <w:t xml:space="preserve"> 2008</w:t>
      </w:r>
      <w:r>
        <w:t xml:space="preserve">; </w:t>
      </w:r>
      <w:r w:rsidRPr="00E07B1B">
        <w:t>Al</w:t>
      </w:r>
      <w:r w:rsidR="00B01366">
        <w:noBreakHyphen/>
      </w:r>
      <w:r w:rsidRPr="00E07B1B">
        <w:t xml:space="preserve">Kuwari and Al-Kubaisi 2011; Schneider </w:t>
      </w:r>
      <w:r w:rsidR="00D562F2">
        <w:t>et al</w:t>
      </w:r>
      <w:r w:rsidRPr="00E07B1B">
        <w:t xml:space="preserve"> 2011;</w:t>
      </w:r>
      <w:r>
        <w:t xml:space="preserve"> </w:t>
      </w:r>
      <w:r w:rsidRPr="00E07B1B">
        <w:t xml:space="preserve">Teede </w:t>
      </w:r>
      <w:r w:rsidR="00D562F2">
        <w:t>et al</w:t>
      </w:r>
      <w:r w:rsidRPr="00E07B1B">
        <w:t xml:space="preserve"> 2011). The risk appears to increase with maternal age such that the risk </w:t>
      </w:r>
      <w:r>
        <w:t>for</w:t>
      </w:r>
      <w:r w:rsidRPr="00E07B1B">
        <w:t xml:space="preserve"> women age</w:t>
      </w:r>
      <w:r>
        <w:t>d</w:t>
      </w:r>
      <w:r w:rsidRPr="00E07B1B">
        <w:t xml:space="preserve"> 40 years or older was </w:t>
      </w:r>
      <w:r>
        <w:t>seven times</w:t>
      </w:r>
      <w:r w:rsidRPr="00E07B1B">
        <w:t xml:space="preserve"> greater than that </w:t>
      </w:r>
      <w:r>
        <w:t>for</w:t>
      </w:r>
      <w:r w:rsidRPr="00E07B1B">
        <w:t xml:space="preserve"> women </w:t>
      </w:r>
      <w:r>
        <w:t>younger</w:t>
      </w:r>
      <w:r w:rsidRPr="00E07B1B">
        <w:t xml:space="preserve"> than 25 years (adj OR 7.0, 95%CI 2.9</w:t>
      </w:r>
      <w:r>
        <w:t>–</w:t>
      </w:r>
      <w:r w:rsidRPr="00E07B1B">
        <w:t xml:space="preserve">17.2, </w:t>
      </w:r>
      <w:r w:rsidRPr="0075376C">
        <w:rPr>
          <w:i/>
        </w:rPr>
        <w:t>p</w:t>
      </w:r>
      <w:r>
        <w:t xml:space="preserve"> </w:t>
      </w:r>
      <w:r w:rsidRPr="00E07B1B">
        <w:t>&lt;</w:t>
      </w:r>
      <w:r>
        <w:t xml:space="preserve"> </w:t>
      </w:r>
      <w:r w:rsidRPr="00E07B1B">
        <w:t xml:space="preserve">0.0001) (Teede </w:t>
      </w:r>
      <w:r w:rsidR="00D562F2">
        <w:t>et al</w:t>
      </w:r>
      <w:r w:rsidRPr="00E07B1B">
        <w:t xml:space="preserve"> 2011). Compared </w:t>
      </w:r>
      <w:r>
        <w:t>with</w:t>
      </w:r>
      <w:r w:rsidRPr="00E07B1B">
        <w:t xml:space="preserve"> women with normal glycaemic control in pregnancy</w:t>
      </w:r>
      <w:r>
        <w:t>,</w:t>
      </w:r>
      <w:r w:rsidRPr="00E07B1B">
        <w:t xml:space="preserve"> women aged 40 years or over also had a </w:t>
      </w:r>
      <w:r>
        <w:t>seven-</w:t>
      </w:r>
      <w:r w:rsidRPr="00E07B1B">
        <w:t>fold increased risk of developing gestational diabetes (OR</w:t>
      </w:r>
      <w:r w:rsidR="00B01366">
        <w:t> </w:t>
      </w:r>
      <w:r w:rsidRPr="00E07B1B">
        <w:t xml:space="preserve">7.0, 95%CI 2.9 </w:t>
      </w:r>
      <w:r>
        <w:t>–</w:t>
      </w:r>
      <w:r w:rsidRPr="00E07B1B">
        <w:t xml:space="preserve">17.2, </w:t>
      </w:r>
      <w:r w:rsidRPr="0075376C">
        <w:rPr>
          <w:i/>
        </w:rPr>
        <w:t>p</w:t>
      </w:r>
      <w:r>
        <w:t xml:space="preserve"> </w:t>
      </w:r>
      <w:r w:rsidRPr="00E07B1B">
        <w:t>&lt;</w:t>
      </w:r>
      <w:r>
        <w:t xml:space="preserve"> </w:t>
      </w:r>
      <w:r w:rsidRPr="00E07B1B">
        <w:t xml:space="preserve">0.001) (Teh </w:t>
      </w:r>
      <w:r w:rsidR="00D562F2">
        <w:t>et al</w:t>
      </w:r>
      <w:r w:rsidRPr="00E07B1B">
        <w:t xml:space="preserve"> 2011). A </w:t>
      </w:r>
      <w:r>
        <w:t>four</w:t>
      </w:r>
      <w:r w:rsidRPr="00E07B1B">
        <w:t>-fold increased risk was reported for white European women age</w:t>
      </w:r>
      <w:r>
        <w:t>d</w:t>
      </w:r>
      <w:r w:rsidRPr="00E07B1B">
        <w:t xml:space="preserve"> over 40 years compared with </w:t>
      </w:r>
      <w:r>
        <w:t xml:space="preserve">those aged </w:t>
      </w:r>
      <w:r w:rsidRPr="00E07B1B">
        <w:t>20</w:t>
      </w:r>
      <w:r>
        <w:t>–</w:t>
      </w:r>
      <w:r w:rsidRPr="00E07B1B">
        <w:t>24 year</w:t>
      </w:r>
      <w:r>
        <w:t>s</w:t>
      </w:r>
      <w:r w:rsidRPr="00E07B1B">
        <w:t xml:space="preserve"> (OR</w:t>
      </w:r>
      <w:r w:rsidR="00B01366">
        <w:t> </w:t>
      </w:r>
      <w:r w:rsidRPr="00E07B1B">
        <w:t>4.08, 95%CI</w:t>
      </w:r>
      <w:r>
        <w:t xml:space="preserve"> </w:t>
      </w:r>
      <w:r w:rsidRPr="00E07B1B">
        <w:t>2.61</w:t>
      </w:r>
      <w:r>
        <w:t>–</w:t>
      </w:r>
      <w:r w:rsidRPr="00E07B1B">
        <w:t xml:space="preserve">6.38, </w:t>
      </w:r>
      <w:r w:rsidRPr="0075376C">
        <w:rPr>
          <w:i/>
        </w:rPr>
        <w:t>p</w:t>
      </w:r>
      <w:r>
        <w:t xml:space="preserve"> </w:t>
      </w:r>
      <w:r w:rsidRPr="00E07B1B">
        <w:t>&lt;</w:t>
      </w:r>
      <w:r>
        <w:t xml:space="preserve"> </w:t>
      </w:r>
      <w:r w:rsidRPr="00E07B1B">
        <w:t>0.001) (Makgoba</w:t>
      </w:r>
      <w:r>
        <w:t xml:space="preserve"> </w:t>
      </w:r>
      <w:r w:rsidR="00D562F2">
        <w:t>et al</w:t>
      </w:r>
      <w:r w:rsidRPr="00E07B1B">
        <w:t xml:space="preserve"> 2012).</w:t>
      </w:r>
    </w:p>
    <w:p w:rsidR="0025490C" w:rsidRDefault="0025490C" w:rsidP="00B01366"/>
    <w:p w:rsidR="0025490C" w:rsidRDefault="0025490C" w:rsidP="00B01366">
      <w:r w:rsidRPr="00E07B1B">
        <w:t>There is an increased risk for Black African, Black Caribbean and South Asian women at a younger age</w:t>
      </w:r>
      <w:r>
        <w:t>,</w:t>
      </w:r>
      <w:r w:rsidRPr="00E07B1B">
        <w:t xml:space="preserve"> compared </w:t>
      </w:r>
      <w:r>
        <w:t>with</w:t>
      </w:r>
      <w:r w:rsidRPr="00E07B1B">
        <w:t xml:space="preserve"> white European women (Makgoba</w:t>
      </w:r>
      <w:r>
        <w:t xml:space="preserve"> </w:t>
      </w:r>
      <w:r w:rsidR="00D562F2">
        <w:t>et al</w:t>
      </w:r>
      <w:r w:rsidRPr="00E07B1B">
        <w:t xml:space="preserve"> 2012).</w:t>
      </w:r>
    </w:p>
    <w:p w:rsidR="0025490C" w:rsidRPr="00E07B1B" w:rsidRDefault="0025490C" w:rsidP="00B01366"/>
    <w:p w:rsidR="0025490C" w:rsidRPr="00E07B1B" w:rsidRDefault="0025490C" w:rsidP="00B01366">
      <w:pPr>
        <w:pStyle w:val="Heading4"/>
      </w:pPr>
      <w:r w:rsidRPr="00E07B1B">
        <w:t>Ethnicity</w:t>
      </w:r>
    </w:p>
    <w:p w:rsidR="0068074A" w:rsidRDefault="0025490C" w:rsidP="00B01366">
      <w:r w:rsidRPr="00E07B1B">
        <w:t>Two systematic reviews and 15 observational studies were identified.</w:t>
      </w:r>
    </w:p>
    <w:p w:rsidR="0025490C" w:rsidRDefault="0025490C" w:rsidP="00B01366"/>
    <w:p w:rsidR="0025490C" w:rsidRPr="00E07B1B" w:rsidRDefault="0025490C" w:rsidP="00B01366">
      <w:r w:rsidRPr="00E07B1B">
        <w:t xml:space="preserve">A systematic review of 49 observational studies identified indigenous women as being at an increased risk of developing gestational diabetes compared </w:t>
      </w:r>
      <w:r>
        <w:t>with</w:t>
      </w:r>
      <w:r w:rsidRPr="00E07B1B">
        <w:t xml:space="preserve"> other women in the same country (Chamberlain </w:t>
      </w:r>
      <w:r w:rsidR="00D562F2">
        <w:t>et al</w:t>
      </w:r>
      <w:r w:rsidRPr="00E07B1B">
        <w:t xml:space="preserve"> 2013).</w:t>
      </w:r>
    </w:p>
    <w:p w:rsidR="0025490C" w:rsidRDefault="0025490C" w:rsidP="00B01366"/>
    <w:p w:rsidR="0025490C" w:rsidRPr="00E07B1B" w:rsidRDefault="0025490C" w:rsidP="00B01366">
      <w:r w:rsidRPr="00E07B1B">
        <w:t xml:space="preserve">Another systematic review of 24 observational studies (approximately 126,298 women) investigated migration and the development of gestational diabetes (Gagnon </w:t>
      </w:r>
      <w:r w:rsidR="00D562F2">
        <w:t>et al</w:t>
      </w:r>
      <w:r w:rsidRPr="00E07B1B">
        <w:t xml:space="preserve"> 2011). </w:t>
      </w:r>
      <w:r>
        <w:t>The following f</w:t>
      </w:r>
      <w:r w:rsidRPr="00E07B1B">
        <w:t>our migrant subgroups showed greater risk of gestational diabetes compared with receiving countries</w:t>
      </w:r>
      <w:r>
        <w:t>:</w:t>
      </w:r>
    </w:p>
    <w:p w:rsidR="0025490C" w:rsidRPr="00E07B1B" w:rsidRDefault="0025490C" w:rsidP="00B01366">
      <w:pPr>
        <w:pStyle w:val="Bullet"/>
        <w:keepNext/>
      </w:pPr>
      <w:r w:rsidRPr="00E07B1B">
        <w:t>Caribbean (RR 3.03, 95%CI 2.26</w:t>
      </w:r>
      <w:r>
        <w:t>–</w:t>
      </w:r>
      <w:r w:rsidRPr="00E07B1B">
        <w:t xml:space="preserve">4.05; </w:t>
      </w:r>
      <w:r>
        <w:t>two</w:t>
      </w:r>
      <w:r w:rsidRPr="00E07B1B">
        <w:t xml:space="preserve"> studies)</w:t>
      </w:r>
    </w:p>
    <w:p w:rsidR="0025490C" w:rsidRPr="00E07B1B" w:rsidRDefault="0025490C" w:rsidP="00B01366">
      <w:pPr>
        <w:pStyle w:val="Bullet"/>
        <w:keepNext/>
      </w:pPr>
      <w:r>
        <w:t>u</w:t>
      </w:r>
      <w:r w:rsidRPr="00E07B1B">
        <w:t>nspecified African (probably North African) (RR 2.46, 95%CI 2.12</w:t>
      </w:r>
      <w:r>
        <w:t>–</w:t>
      </w:r>
      <w:r w:rsidRPr="00E07B1B">
        <w:t xml:space="preserve">2.85; </w:t>
      </w:r>
      <w:r>
        <w:t>four</w:t>
      </w:r>
      <w:r w:rsidRPr="00E07B1B">
        <w:t xml:space="preserve"> studies)</w:t>
      </w:r>
    </w:p>
    <w:p w:rsidR="0025490C" w:rsidRPr="00E07B1B" w:rsidRDefault="0025490C" w:rsidP="00B01366">
      <w:pPr>
        <w:pStyle w:val="Bullet"/>
      </w:pPr>
      <w:r w:rsidRPr="00E07B1B">
        <w:t>European (RR 1.50, 95%CI 1.35</w:t>
      </w:r>
      <w:r>
        <w:t>–</w:t>
      </w:r>
      <w:r w:rsidRPr="00E07B1B">
        <w:t xml:space="preserve">1.67; </w:t>
      </w:r>
      <w:r>
        <w:t>three</w:t>
      </w:r>
      <w:r w:rsidRPr="00E07B1B">
        <w:t xml:space="preserve"> studies)</w:t>
      </w:r>
    </w:p>
    <w:p w:rsidR="0025490C" w:rsidRPr="00E07B1B" w:rsidRDefault="0025490C" w:rsidP="00B01366">
      <w:pPr>
        <w:pStyle w:val="Bullet"/>
      </w:pPr>
      <w:r>
        <w:t>n</w:t>
      </w:r>
      <w:r w:rsidRPr="00E07B1B">
        <w:t>orthern European (RR 1.21, 95%CI 1.03</w:t>
      </w:r>
      <w:r>
        <w:t>–</w:t>
      </w:r>
      <w:r w:rsidRPr="00E07B1B">
        <w:t xml:space="preserve">1.42; </w:t>
      </w:r>
      <w:r>
        <w:t>two</w:t>
      </w:r>
      <w:r w:rsidRPr="00E07B1B">
        <w:t xml:space="preserve"> studies)</w:t>
      </w:r>
      <w:r>
        <w:t>.</w:t>
      </w:r>
    </w:p>
    <w:p w:rsidR="0025490C" w:rsidRDefault="0025490C" w:rsidP="00B01366"/>
    <w:p w:rsidR="0068074A" w:rsidRDefault="0025490C" w:rsidP="00B01366">
      <w:r w:rsidRPr="00E07B1B">
        <w:t>Due to heterogeneity</w:t>
      </w:r>
      <w:r>
        <w:t>,</w:t>
      </w:r>
      <w:r w:rsidRPr="00E07B1B">
        <w:t xml:space="preserve"> other data could not be pooled.</w:t>
      </w:r>
    </w:p>
    <w:p w:rsidR="0025490C" w:rsidRPr="00E07B1B" w:rsidRDefault="0025490C" w:rsidP="00B01366"/>
    <w:p w:rsidR="0025490C" w:rsidRPr="00E07B1B" w:rsidRDefault="0025490C" w:rsidP="00B01366">
      <w:r w:rsidRPr="00E07B1B">
        <w:t xml:space="preserve">Three studies found an overall increased risk associated with being a migrant compared with being a national (born in the country) (Savitz </w:t>
      </w:r>
      <w:r w:rsidR="00D562F2">
        <w:t>et al</w:t>
      </w:r>
      <w:r w:rsidRPr="00E07B1B">
        <w:t xml:space="preserve"> 2008;</w:t>
      </w:r>
      <w:r>
        <w:t xml:space="preserve"> </w:t>
      </w:r>
      <w:r w:rsidRPr="00E07B1B">
        <w:t>Hedderson</w:t>
      </w:r>
      <w:r>
        <w:t xml:space="preserve"> </w:t>
      </w:r>
      <w:r w:rsidR="00D562F2">
        <w:t>et al</w:t>
      </w:r>
      <w:r w:rsidRPr="00E07B1B">
        <w:t xml:space="preserve"> 2010</w:t>
      </w:r>
      <w:r>
        <w:t>b;</w:t>
      </w:r>
      <w:r w:rsidRPr="0055323F">
        <w:t xml:space="preserve"> </w:t>
      </w:r>
      <w:r w:rsidRPr="00E07B1B">
        <w:t xml:space="preserve">Schneider </w:t>
      </w:r>
      <w:r w:rsidR="00D562F2">
        <w:t>et al</w:t>
      </w:r>
      <w:r>
        <w:t xml:space="preserve"> </w:t>
      </w:r>
      <w:r w:rsidRPr="00E07B1B">
        <w:t>2011</w:t>
      </w:r>
      <w:r>
        <w:t>)</w:t>
      </w:r>
      <w:r w:rsidRPr="00E07B1B">
        <w:t xml:space="preserve"> and one study reported</w:t>
      </w:r>
      <w:r>
        <w:t xml:space="preserve"> that</w:t>
      </w:r>
      <w:r w:rsidRPr="00E07B1B">
        <w:t xml:space="preserve"> being a national increased the risk of developing gestational diabetes (Al-Kuwari and Al-Kuba</w:t>
      </w:r>
      <w:r>
        <w:t>i</w:t>
      </w:r>
      <w:r w:rsidRPr="00E07B1B">
        <w:t>si 2011).</w:t>
      </w:r>
    </w:p>
    <w:p w:rsidR="0025490C" w:rsidRDefault="0025490C" w:rsidP="00B01366"/>
    <w:p w:rsidR="0025490C" w:rsidRDefault="0025490C" w:rsidP="00B01366">
      <w:r w:rsidRPr="00E07B1B">
        <w:t xml:space="preserve">Seven observational studies identified women from Asia and India as being at high risk of developing gestational diabetes (Savitz </w:t>
      </w:r>
      <w:r w:rsidR="00D562F2">
        <w:t>et al</w:t>
      </w:r>
      <w:r w:rsidRPr="00E07B1B">
        <w:t xml:space="preserve"> 2008; Hedderson</w:t>
      </w:r>
      <w:r>
        <w:t xml:space="preserve"> </w:t>
      </w:r>
      <w:r w:rsidR="00D562F2">
        <w:t>et al</w:t>
      </w:r>
      <w:r w:rsidRPr="00E07B1B">
        <w:t xml:space="preserve"> 2010a; Ismail </w:t>
      </w:r>
      <w:r w:rsidR="00D562F2">
        <w:t>et al</w:t>
      </w:r>
      <w:r w:rsidRPr="00E07B1B">
        <w:t xml:space="preserve"> 2011</w:t>
      </w:r>
      <w:r>
        <w:t>;</w:t>
      </w:r>
      <w:r w:rsidRPr="0055323F">
        <w:t xml:space="preserve"> </w:t>
      </w:r>
      <w:r w:rsidRPr="00E07B1B">
        <w:t xml:space="preserve">Nanda </w:t>
      </w:r>
      <w:r w:rsidR="00D562F2">
        <w:t>et al</w:t>
      </w:r>
      <w:r w:rsidRPr="00E07B1B">
        <w:t xml:space="preserve"> 2011; Teede </w:t>
      </w:r>
      <w:r w:rsidR="00D562F2">
        <w:t>et al</w:t>
      </w:r>
      <w:r w:rsidRPr="00E07B1B">
        <w:t xml:space="preserve"> 2011;</w:t>
      </w:r>
      <w:r w:rsidRPr="0055323F">
        <w:t xml:space="preserve"> </w:t>
      </w:r>
      <w:r w:rsidRPr="00E07B1B">
        <w:t xml:space="preserve">Teh </w:t>
      </w:r>
      <w:r w:rsidR="00D562F2">
        <w:t>et al</w:t>
      </w:r>
      <w:r w:rsidRPr="00E07B1B">
        <w:t xml:space="preserve"> 2011; Makgoba</w:t>
      </w:r>
      <w:r>
        <w:t xml:space="preserve"> </w:t>
      </w:r>
      <w:r w:rsidR="00D562F2">
        <w:t>et al</w:t>
      </w:r>
      <w:r w:rsidRPr="00E07B1B">
        <w:t xml:space="preserve"> 2012). Five studies identified Chinese women as being at high risk (Yang </w:t>
      </w:r>
      <w:r w:rsidR="00D562F2">
        <w:t>et al</w:t>
      </w:r>
      <w:r w:rsidRPr="00E07B1B">
        <w:t xml:space="preserve"> 2009; Hedderson</w:t>
      </w:r>
      <w:r>
        <w:t xml:space="preserve"> </w:t>
      </w:r>
      <w:r w:rsidR="00D562F2">
        <w:t>et al</w:t>
      </w:r>
      <w:r>
        <w:t xml:space="preserve"> </w:t>
      </w:r>
      <w:r w:rsidRPr="00E07B1B">
        <w:t>2010</w:t>
      </w:r>
      <w:r>
        <w:t>b</w:t>
      </w:r>
      <w:r w:rsidRPr="00E07B1B">
        <w:t xml:space="preserve">; Ismail </w:t>
      </w:r>
      <w:r w:rsidR="00D562F2">
        <w:t>et al</w:t>
      </w:r>
      <w:r w:rsidRPr="00E07B1B">
        <w:t xml:space="preserve"> 2011;</w:t>
      </w:r>
      <w:r>
        <w:t xml:space="preserve"> </w:t>
      </w:r>
      <w:r w:rsidRPr="00E07B1B">
        <w:t xml:space="preserve">Teede </w:t>
      </w:r>
      <w:r w:rsidR="00D562F2">
        <w:t>et al</w:t>
      </w:r>
      <w:r w:rsidRPr="00E07B1B">
        <w:t xml:space="preserve"> 2011; Teh </w:t>
      </w:r>
      <w:r w:rsidR="00D562F2">
        <w:t>et al</w:t>
      </w:r>
      <w:r w:rsidRPr="00E07B1B">
        <w:t xml:space="preserve"> 2011; Winnard </w:t>
      </w:r>
      <w:r>
        <w:t>and Anderson</w:t>
      </w:r>
      <w:r w:rsidRPr="00E07B1B">
        <w:t xml:space="preserve"> 2013). Variation in ethnicity</w:t>
      </w:r>
      <w:r>
        <w:t>-</w:t>
      </w:r>
      <w:r w:rsidRPr="00E07B1B">
        <w:t xml:space="preserve">associated risk was also reported within the same geographical region (Savitz </w:t>
      </w:r>
      <w:r w:rsidR="00D562F2">
        <w:t>et al</w:t>
      </w:r>
      <w:r w:rsidRPr="00E07B1B">
        <w:t xml:space="preserve"> 2008; Yang </w:t>
      </w:r>
      <w:r w:rsidR="00D562F2">
        <w:t>et al</w:t>
      </w:r>
      <w:r w:rsidRPr="00E07B1B">
        <w:t xml:space="preserve"> 2009). This</w:t>
      </w:r>
      <w:r>
        <w:t xml:space="preserve"> variation</w:t>
      </w:r>
      <w:r w:rsidRPr="00E07B1B">
        <w:t xml:space="preserve"> further increases the difficulty in inter</w:t>
      </w:r>
      <w:r>
        <w:t>preting the evidence.</w:t>
      </w:r>
    </w:p>
    <w:p w:rsidR="0025490C" w:rsidRPr="00E07B1B" w:rsidRDefault="0025490C" w:rsidP="00B01366"/>
    <w:p w:rsidR="0025490C" w:rsidRDefault="0025490C" w:rsidP="00B01366">
      <w:r w:rsidRPr="00E07B1B">
        <w:t>Women of Asian or Filipina backgrounds had a higher risk of gestational diabetes at lower body mass index levels (22</w:t>
      </w:r>
      <w:r>
        <w:t>–</w:t>
      </w:r>
      <w:r w:rsidRPr="00E07B1B">
        <w:t>24.9</w:t>
      </w:r>
      <w:r>
        <w:t xml:space="preserve"> </w:t>
      </w:r>
      <w:r w:rsidRPr="00E07B1B">
        <w:t>kg/m</w:t>
      </w:r>
      <w:r w:rsidRPr="00E07B1B">
        <w:rPr>
          <w:vertAlign w:val="superscript"/>
        </w:rPr>
        <w:t>2</w:t>
      </w:r>
      <w:r w:rsidRPr="00E07B1B">
        <w:t>). The higher prevalence in other ethnicities was also detected at different body mass index value</w:t>
      </w:r>
      <w:r>
        <w:t>s</w:t>
      </w:r>
      <w:r w:rsidRPr="00E07B1B">
        <w:t>: Hispanic (28</w:t>
      </w:r>
      <w:r>
        <w:t>–</w:t>
      </w:r>
      <w:r w:rsidRPr="00E07B1B">
        <w:t>30</w:t>
      </w:r>
      <w:r>
        <w:t xml:space="preserve"> </w:t>
      </w:r>
      <w:r w:rsidRPr="00E07B1B">
        <w:t>kg/m</w:t>
      </w:r>
      <w:r w:rsidRPr="00E07B1B">
        <w:rPr>
          <w:vertAlign w:val="superscript"/>
        </w:rPr>
        <w:t>2</w:t>
      </w:r>
      <w:r w:rsidRPr="00E07B1B">
        <w:t xml:space="preserve">), non-Hispanic </w:t>
      </w:r>
      <w:r>
        <w:t>W</w:t>
      </w:r>
      <w:r w:rsidRPr="00E07B1B">
        <w:t>hite</w:t>
      </w:r>
      <w:r w:rsidR="00B01366">
        <w:br/>
      </w:r>
      <w:r w:rsidRPr="00E07B1B">
        <w:t>(34</w:t>
      </w:r>
      <w:r>
        <w:t>–</w:t>
      </w:r>
      <w:r w:rsidRPr="00E07B1B">
        <w:t>36 kg/m</w:t>
      </w:r>
      <w:r w:rsidRPr="00E07B1B">
        <w:rPr>
          <w:vertAlign w:val="superscript"/>
        </w:rPr>
        <w:t>2</w:t>
      </w:r>
      <w:r w:rsidRPr="00E07B1B">
        <w:t>) and African American (≥ 37 kg/m</w:t>
      </w:r>
      <w:r w:rsidRPr="00E07B1B">
        <w:rPr>
          <w:vertAlign w:val="superscript"/>
        </w:rPr>
        <w:t>2</w:t>
      </w:r>
      <w:r w:rsidRPr="00E07B1B">
        <w:t>). The estimated population</w:t>
      </w:r>
      <w:r>
        <w:t>-</w:t>
      </w:r>
      <w:r w:rsidRPr="00E07B1B">
        <w:t>attributable risks suggested that 65% of cases of gestational diabetes in African American women and 23% in Asian women could be prevented if women were of normal body mass index (&lt; 25 kg/m</w:t>
      </w:r>
      <w:r w:rsidRPr="00E07B1B">
        <w:rPr>
          <w:vertAlign w:val="superscript"/>
        </w:rPr>
        <w:t>2</w:t>
      </w:r>
      <w:r w:rsidRPr="00E07B1B">
        <w:t xml:space="preserve">) (Hedderson </w:t>
      </w:r>
      <w:r w:rsidR="00D562F2">
        <w:t>et al</w:t>
      </w:r>
      <w:r w:rsidRPr="00E07B1B">
        <w:t xml:space="preserve"> 2012).</w:t>
      </w:r>
    </w:p>
    <w:p w:rsidR="0025490C" w:rsidRPr="00E07B1B" w:rsidRDefault="0025490C" w:rsidP="00B01366"/>
    <w:p w:rsidR="0025490C" w:rsidRDefault="0025490C" w:rsidP="00B01366">
      <w:r w:rsidRPr="00E07B1B">
        <w:t>The risk of gestational diabetes being diagnosed in the third pregnancy for women who had already had two gestational diabetes pregnancies was OR 35.0 (95%CI 14.8</w:t>
      </w:r>
      <w:r>
        <w:t>–</w:t>
      </w:r>
      <w:r w:rsidRPr="00E07B1B">
        <w:t>83.1) for non-Hispanic White, OR 158.4 (95%CI 22.8</w:t>
      </w:r>
      <w:r>
        <w:t>–</w:t>
      </w:r>
      <w:r w:rsidRPr="00E07B1B">
        <w:t>897) for non-Hispanic Black, OR 17.3 (95%CI 9.9</w:t>
      </w:r>
      <w:r>
        <w:t>–</w:t>
      </w:r>
      <w:r w:rsidRPr="00E07B1B">
        <w:t>30.1) for Hispanic and OR 36.1 (95%CI 14.7</w:t>
      </w:r>
      <w:r>
        <w:t>–</w:t>
      </w:r>
      <w:r w:rsidRPr="00E07B1B">
        <w:t>89) for Asian/Pacific Islander. Hispanics and Asian/Pacific Islanders had a much higher recurren</w:t>
      </w:r>
      <w:r>
        <w:t>t</w:t>
      </w:r>
      <w:r w:rsidRPr="00E07B1B">
        <w:t xml:space="preserve"> risk of gestational diabetes compared with White women (Getahun</w:t>
      </w:r>
      <w:r>
        <w:t xml:space="preserve"> </w:t>
      </w:r>
      <w:r w:rsidR="00D562F2">
        <w:t>et al</w:t>
      </w:r>
      <w:r w:rsidRPr="00E07B1B">
        <w:t xml:space="preserve"> 2010).</w:t>
      </w:r>
    </w:p>
    <w:p w:rsidR="0025490C" w:rsidRPr="00E07B1B" w:rsidRDefault="0025490C" w:rsidP="00B01366"/>
    <w:p w:rsidR="0025490C" w:rsidRDefault="0025490C" w:rsidP="00B01366">
      <w:r w:rsidRPr="00E07B1B">
        <w:t>A number of inter-relationships were identified between race, body mass index and maternal age such that</w:t>
      </w:r>
      <w:r>
        <w:t>, for</w:t>
      </w:r>
      <w:r w:rsidRPr="00E07B1B">
        <w:t xml:space="preserve"> a non-white pregnant woman aged 25</w:t>
      </w:r>
      <w:r>
        <w:t>–</w:t>
      </w:r>
      <w:r w:rsidRPr="00E07B1B">
        <w:t xml:space="preserve">29 years </w:t>
      </w:r>
      <w:r>
        <w:t>, the</w:t>
      </w:r>
      <w:r w:rsidRPr="00E07B1B">
        <w:t xml:space="preserve"> risk of developing gestational diabetes </w:t>
      </w:r>
      <w:r>
        <w:t>is similar to</w:t>
      </w:r>
      <w:r w:rsidRPr="00E07B1B">
        <w:t xml:space="preserve"> </w:t>
      </w:r>
      <w:r>
        <w:t xml:space="preserve">that of </w:t>
      </w:r>
      <w:r w:rsidRPr="00E07B1B">
        <w:t>a White European woman of 40 years</w:t>
      </w:r>
      <w:r>
        <w:t>, and</w:t>
      </w:r>
      <w:r w:rsidRPr="00E07B1B">
        <w:t xml:space="preserve"> about three to four </w:t>
      </w:r>
      <w:r>
        <w:t>times</w:t>
      </w:r>
      <w:r w:rsidRPr="00E07B1B">
        <w:t xml:space="preserve"> greater than </w:t>
      </w:r>
      <w:r>
        <w:t xml:space="preserve">that of </w:t>
      </w:r>
      <w:r w:rsidRPr="00E07B1B">
        <w:t>a White European age</w:t>
      </w:r>
      <w:r>
        <w:t>d</w:t>
      </w:r>
      <w:r w:rsidRPr="00E07B1B">
        <w:t xml:space="preserve"> 20</w:t>
      </w:r>
      <w:r>
        <w:t>–</w:t>
      </w:r>
      <w:r w:rsidRPr="00E07B1B">
        <w:t>24 years. The odds for developing gestational diabetes were also significantly higher in other racial groups but at a younger age (older than 25 years if they were Black African or Black Caribbean and older than 20 years if they were South Asian) (Mak</w:t>
      </w:r>
      <w:r>
        <w:t xml:space="preserve">goba </w:t>
      </w:r>
      <w:r w:rsidR="00D562F2">
        <w:t>et al</w:t>
      </w:r>
      <w:r>
        <w:t xml:space="preserve"> 2012).</w:t>
      </w:r>
    </w:p>
    <w:p w:rsidR="0025490C" w:rsidRPr="00E07B1B" w:rsidRDefault="0025490C" w:rsidP="00B01366"/>
    <w:p w:rsidR="0025490C" w:rsidRPr="00E07B1B" w:rsidRDefault="0025490C" w:rsidP="00B01366">
      <w:pPr>
        <w:pStyle w:val="Heading4"/>
      </w:pPr>
      <w:r w:rsidRPr="00E07B1B">
        <w:t>Family history of diabetes</w:t>
      </w:r>
    </w:p>
    <w:p w:rsidR="0025490C" w:rsidRDefault="0025490C" w:rsidP="00B01366">
      <w:r w:rsidRPr="00E07B1B">
        <w:t>Ten out of thirteen observational studies reported risk estimates that ranged from 1.7</w:t>
      </w:r>
      <w:r>
        <w:t>–</w:t>
      </w:r>
      <w:r w:rsidRPr="00E07B1B">
        <w:t>6.27. All of the studies reported an increased risk of developing gestational diabetes associated with having a positive family history of diabetes.</w:t>
      </w:r>
    </w:p>
    <w:p w:rsidR="0025490C" w:rsidRPr="00E07B1B" w:rsidRDefault="0025490C" w:rsidP="00B01366"/>
    <w:p w:rsidR="0025490C" w:rsidRPr="00E07B1B" w:rsidRDefault="0025490C" w:rsidP="00B01366">
      <w:pPr>
        <w:pStyle w:val="Heading4"/>
      </w:pPr>
      <w:r w:rsidRPr="00E07B1B">
        <w:t>Previous history of gestational diabetes</w:t>
      </w:r>
    </w:p>
    <w:p w:rsidR="0025490C" w:rsidRDefault="0025490C" w:rsidP="00B01366">
      <w:r w:rsidRPr="00E07B1B">
        <w:t>Ten observational studies identified a positive association between previous gestational diabetes and recurrence of gestational diabetes in the index pregnancy.</w:t>
      </w:r>
    </w:p>
    <w:p w:rsidR="0025490C" w:rsidRPr="00E07B1B" w:rsidRDefault="0025490C" w:rsidP="00B01366"/>
    <w:p w:rsidR="0068074A" w:rsidRDefault="0025490C" w:rsidP="00B01366">
      <w:pPr>
        <w:pStyle w:val="Heading4"/>
      </w:pPr>
      <w:r w:rsidRPr="00E07B1B">
        <w:t>Maternal weight or body mass index</w:t>
      </w:r>
    </w:p>
    <w:p w:rsidR="0025490C" w:rsidRPr="00E07B1B" w:rsidRDefault="0025490C" w:rsidP="00B01366">
      <w:r w:rsidRPr="00E07B1B">
        <w:t>One systematic review, a secondary analysis of a randomised trial and 29 observational studies were identified. Three distinct time frames were identified</w:t>
      </w:r>
      <w:r>
        <w:t>.</w:t>
      </w:r>
    </w:p>
    <w:p w:rsidR="0025490C" w:rsidRPr="00E07B1B" w:rsidRDefault="0025490C" w:rsidP="00B01366">
      <w:pPr>
        <w:spacing w:before="90"/>
        <w:ind w:left="567" w:hanging="567"/>
      </w:pPr>
      <w:r w:rsidRPr="00E07B1B">
        <w:t>1</w:t>
      </w:r>
      <w:r>
        <w:t>.</w:t>
      </w:r>
      <w:r>
        <w:tab/>
      </w:r>
      <w:r w:rsidRPr="00E07B1B">
        <w:t>Pre-pregnancy weight was reported in 20 studies.</w:t>
      </w:r>
    </w:p>
    <w:p w:rsidR="0025490C" w:rsidRPr="00E07B1B" w:rsidRDefault="0025490C" w:rsidP="00B01366">
      <w:pPr>
        <w:spacing w:before="90"/>
        <w:ind w:left="567" w:hanging="567"/>
      </w:pPr>
      <w:r w:rsidRPr="00E07B1B">
        <w:t>2</w:t>
      </w:r>
      <w:r>
        <w:t>.</w:t>
      </w:r>
      <w:r>
        <w:tab/>
      </w:r>
      <w:r w:rsidRPr="00E07B1B">
        <w:t xml:space="preserve">Early gestational weight gain was reported in </w:t>
      </w:r>
      <w:r w:rsidR="00B01366">
        <w:t>four</w:t>
      </w:r>
      <w:r w:rsidRPr="00E07B1B">
        <w:t xml:space="preserve"> studies</w:t>
      </w:r>
      <w:r>
        <w:t>.</w:t>
      </w:r>
    </w:p>
    <w:p w:rsidR="0025490C" w:rsidRPr="00E07B1B" w:rsidRDefault="0025490C" w:rsidP="00B01366">
      <w:pPr>
        <w:spacing w:before="90"/>
        <w:ind w:left="567" w:hanging="567"/>
      </w:pPr>
      <w:r w:rsidRPr="00E07B1B">
        <w:t>3</w:t>
      </w:r>
      <w:r>
        <w:t>.</w:t>
      </w:r>
      <w:r>
        <w:tab/>
      </w:r>
      <w:r w:rsidRPr="00E07B1B">
        <w:t>Body mass index during pregnancy or at point of screening was reported in 11 studies</w:t>
      </w:r>
      <w:r>
        <w:t>.</w:t>
      </w:r>
    </w:p>
    <w:p w:rsidR="0025490C" w:rsidRPr="00E07B1B" w:rsidRDefault="0025490C" w:rsidP="00B01366"/>
    <w:p w:rsidR="0025490C" w:rsidRPr="00E07B1B" w:rsidRDefault="0025490C" w:rsidP="00B01366">
      <w:pPr>
        <w:pStyle w:val="Heading4"/>
      </w:pPr>
      <w:r w:rsidRPr="00E07B1B">
        <w:t>Pre-pregnancy body mass index</w:t>
      </w:r>
    </w:p>
    <w:p w:rsidR="0068074A" w:rsidRDefault="0025490C" w:rsidP="00B01366">
      <w:r w:rsidRPr="00E07B1B">
        <w:t>A number of different thresholds for pre-pregnancy body mass index were associated with increased risk of developing gestational diabetes. The</w:t>
      </w:r>
      <w:r>
        <w:t xml:space="preserve"> range of</w:t>
      </w:r>
      <w:r w:rsidRPr="00E07B1B">
        <w:t xml:space="preserve"> levels </w:t>
      </w:r>
      <w:r>
        <w:t xml:space="preserve">was as follows: </w:t>
      </w:r>
      <w:r w:rsidRPr="00E07B1B">
        <w:t>≥ 24 kg/m</w:t>
      </w:r>
      <w:r w:rsidRPr="00E07B1B">
        <w:rPr>
          <w:vertAlign w:val="superscript"/>
        </w:rPr>
        <w:t>2</w:t>
      </w:r>
      <w:r w:rsidRPr="00E07B1B">
        <w:t xml:space="preserve"> (Yang </w:t>
      </w:r>
      <w:r w:rsidR="00D562F2">
        <w:t>et al</w:t>
      </w:r>
      <w:r w:rsidRPr="00E07B1B">
        <w:t xml:space="preserve"> 2009), ≥ 25 kg/m</w:t>
      </w:r>
      <w:r w:rsidRPr="00E07B1B">
        <w:rPr>
          <w:vertAlign w:val="superscript"/>
        </w:rPr>
        <w:t>2</w:t>
      </w:r>
      <w:r w:rsidRPr="00B01366">
        <w:t xml:space="preserve"> </w:t>
      </w:r>
      <w:r w:rsidRPr="00E07B1B">
        <w:t xml:space="preserve">(Cypryk </w:t>
      </w:r>
      <w:r w:rsidR="00D562F2">
        <w:t>et al</w:t>
      </w:r>
      <w:r w:rsidRPr="00E07B1B">
        <w:t xml:space="preserve"> 2008; Makgoba</w:t>
      </w:r>
      <w:r>
        <w:t xml:space="preserve"> </w:t>
      </w:r>
      <w:r w:rsidR="00D562F2">
        <w:t>et al</w:t>
      </w:r>
      <w:r w:rsidRPr="00E07B1B">
        <w:t xml:space="preserve"> 2012)</w:t>
      </w:r>
      <w:r>
        <w:t>,</w:t>
      </w:r>
      <w:r w:rsidRPr="00E07B1B">
        <w:t xml:space="preserve"> 25</w:t>
      </w:r>
      <w:r>
        <w:t>–</w:t>
      </w:r>
      <w:r w:rsidRPr="00E07B1B">
        <w:t>29 kg/m</w:t>
      </w:r>
      <w:r w:rsidRPr="00E07B1B">
        <w:rPr>
          <w:vertAlign w:val="superscript"/>
        </w:rPr>
        <w:t xml:space="preserve">2 </w:t>
      </w:r>
      <w:r w:rsidRPr="00E07B1B">
        <w:t xml:space="preserve">(Bhat </w:t>
      </w:r>
      <w:r w:rsidR="00D562F2">
        <w:t>et al</w:t>
      </w:r>
      <w:r w:rsidRPr="00E07B1B">
        <w:t xml:space="preserve"> 2010</w:t>
      </w:r>
      <w:r>
        <w:t xml:space="preserve">; </w:t>
      </w:r>
      <w:r w:rsidRPr="00E07B1B">
        <w:t>Kun</w:t>
      </w:r>
      <w:r>
        <w:t xml:space="preserve"> </w:t>
      </w:r>
      <w:r w:rsidR="00D562F2">
        <w:t>et al</w:t>
      </w:r>
      <w:r w:rsidRPr="00E07B1B">
        <w:t xml:space="preserve"> 2011), &gt; 30 kg/m</w:t>
      </w:r>
      <w:r w:rsidRPr="00E07B1B">
        <w:rPr>
          <w:vertAlign w:val="superscript"/>
        </w:rPr>
        <w:t>2</w:t>
      </w:r>
      <w:r w:rsidRPr="00B01366">
        <w:t xml:space="preserve"> </w:t>
      </w:r>
      <w:r w:rsidRPr="00E07B1B">
        <w:t xml:space="preserve">(Radesky </w:t>
      </w:r>
      <w:r w:rsidR="00D562F2">
        <w:t>et al</w:t>
      </w:r>
      <w:r w:rsidRPr="00E07B1B">
        <w:t xml:space="preserve"> 2008), ≥ 35 kg/m</w:t>
      </w:r>
      <w:r w:rsidRPr="00E07B1B">
        <w:rPr>
          <w:vertAlign w:val="superscript"/>
        </w:rPr>
        <w:t>2</w:t>
      </w:r>
      <w:r w:rsidRPr="00B01366">
        <w:t xml:space="preserve"> </w:t>
      </w:r>
      <w:r w:rsidRPr="00E07B1B">
        <w:t xml:space="preserve">(Torloni </w:t>
      </w:r>
      <w:r w:rsidR="00D562F2">
        <w:t>et al</w:t>
      </w:r>
      <w:r w:rsidRPr="00E07B1B">
        <w:t xml:space="preserve"> 2009</w:t>
      </w:r>
      <w:r>
        <w:t xml:space="preserve">; </w:t>
      </w:r>
      <w:r w:rsidRPr="00E07B1B">
        <w:t xml:space="preserve">Schneider </w:t>
      </w:r>
      <w:r w:rsidR="00D562F2">
        <w:t>et al</w:t>
      </w:r>
      <w:r w:rsidRPr="00E07B1B">
        <w:t xml:space="preserve"> 2011; Teede </w:t>
      </w:r>
      <w:r w:rsidR="00D562F2">
        <w:t>et al</w:t>
      </w:r>
      <w:r w:rsidRPr="00E07B1B">
        <w:t xml:space="preserve"> 2011; Singh </w:t>
      </w:r>
      <w:r w:rsidR="00D562F2">
        <w:t>et al</w:t>
      </w:r>
      <w:r w:rsidRPr="00E07B1B">
        <w:t xml:space="preserve"> 2012) and &gt; 40 kg/m</w:t>
      </w:r>
      <w:r w:rsidRPr="00E07B1B">
        <w:rPr>
          <w:vertAlign w:val="superscript"/>
        </w:rPr>
        <w:t>2</w:t>
      </w:r>
      <w:r w:rsidRPr="00B01366">
        <w:t xml:space="preserve"> </w:t>
      </w:r>
      <w:r w:rsidRPr="00E07B1B">
        <w:t xml:space="preserve">(Singh </w:t>
      </w:r>
      <w:r w:rsidR="00D562F2">
        <w:t>et al</w:t>
      </w:r>
      <w:r w:rsidRPr="00E07B1B">
        <w:t xml:space="preserve"> 2012).</w:t>
      </w:r>
    </w:p>
    <w:p w:rsidR="0025490C" w:rsidRDefault="0025490C" w:rsidP="00B01366"/>
    <w:p w:rsidR="0025490C" w:rsidRPr="00E07B1B" w:rsidRDefault="0025490C" w:rsidP="00B01366">
      <w:r w:rsidRPr="00E07B1B">
        <w:t>In a systematic review (17 observational studies, including 395,338 women), maternal pre-pregnancy body mass index was directly associated with the risk of developing gestational diabetes</w:t>
      </w:r>
      <w:r>
        <w:t>,</w:t>
      </w:r>
      <w:r w:rsidRPr="00E07B1B">
        <w:t xml:space="preserve"> and the risk increased with increasing body mass index. </w:t>
      </w:r>
      <w:r>
        <w:t>The risk of gestational diabetes was twice as high for w</w:t>
      </w:r>
      <w:r w:rsidRPr="00E07B1B">
        <w:t>omen with a body mass index of 25</w:t>
      </w:r>
      <w:r>
        <w:t>–</w:t>
      </w:r>
      <w:r w:rsidRPr="00E07B1B">
        <w:t>29 kg/m</w:t>
      </w:r>
      <w:r w:rsidRPr="00E07B1B">
        <w:rPr>
          <w:vertAlign w:val="superscript"/>
        </w:rPr>
        <w:t>2</w:t>
      </w:r>
      <w:r w:rsidRPr="00E07B1B">
        <w:t xml:space="preserve"> compared with women with a normal body mass index (Torloni </w:t>
      </w:r>
      <w:r w:rsidR="00D562F2">
        <w:t>et al</w:t>
      </w:r>
      <w:r w:rsidRPr="00E07B1B">
        <w:t xml:space="preserve"> 2009). For severely obese women</w:t>
      </w:r>
      <w:r>
        <w:t>,</w:t>
      </w:r>
      <w:r w:rsidRPr="00E07B1B">
        <w:t xml:space="preserve"> the risk was more than five times </w:t>
      </w:r>
      <w:r>
        <w:t xml:space="preserve">higher </w:t>
      </w:r>
      <w:r w:rsidRPr="00E07B1B">
        <w:t xml:space="preserve">compared with women with a normal body mass index (Torloni </w:t>
      </w:r>
      <w:r w:rsidR="00D562F2">
        <w:t>et al</w:t>
      </w:r>
      <w:r w:rsidRPr="00E07B1B">
        <w:t xml:space="preserve"> 2009). An increased risk with increasing body mass index was reported in two observational studies and a systematic review (Gonzalez-Clemente </w:t>
      </w:r>
      <w:r w:rsidR="00D562F2">
        <w:t>et al</w:t>
      </w:r>
      <w:r w:rsidRPr="00E07B1B">
        <w:t xml:space="preserve"> 2007</w:t>
      </w:r>
      <w:r>
        <w:t xml:space="preserve">; </w:t>
      </w:r>
      <w:r w:rsidRPr="00E07B1B">
        <w:t xml:space="preserve">Torloni </w:t>
      </w:r>
      <w:r w:rsidR="00D562F2">
        <w:t>et al</w:t>
      </w:r>
      <w:r w:rsidRPr="00E07B1B">
        <w:t xml:space="preserve"> 2009; Nanda </w:t>
      </w:r>
      <w:r w:rsidR="00D562F2">
        <w:t>et al</w:t>
      </w:r>
      <w:r w:rsidRPr="00E07B1B">
        <w:t xml:space="preserve"> 2011). A modest reduction in pre-pregnancy body mass index can have the potential to reduce the risk of gestational diabetes (Torloni </w:t>
      </w:r>
      <w:r w:rsidR="00D562F2">
        <w:t>et al</w:t>
      </w:r>
      <w:r w:rsidRPr="00E07B1B">
        <w:t xml:space="preserve"> 2009).</w:t>
      </w:r>
    </w:p>
    <w:p w:rsidR="0025490C" w:rsidRDefault="0025490C" w:rsidP="00B01366"/>
    <w:p w:rsidR="0025490C" w:rsidRPr="00E07B1B" w:rsidRDefault="0025490C" w:rsidP="00B01366">
      <w:r w:rsidRPr="00E07B1B">
        <w:t>In a large cohort study including 323,083 women</w:t>
      </w:r>
      <w:r>
        <w:t>,</w:t>
      </w:r>
      <w:r w:rsidRPr="00E07B1B">
        <w:t xml:space="preserve"> the risk of gestational diabetes increased significantly with increasing body mass index (Lagerros </w:t>
      </w:r>
      <w:r w:rsidR="00D562F2">
        <w:t>et al</w:t>
      </w:r>
      <w:r w:rsidRPr="00E07B1B">
        <w:t xml:space="preserve"> 2012). The risk of gestational diabetes for women who were classified as obese was further amplified if they themselves had been born small for gestational age or large for gestational age compared </w:t>
      </w:r>
      <w:r>
        <w:t>with</w:t>
      </w:r>
      <w:r w:rsidRPr="00E07B1B">
        <w:t xml:space="preserve"> normal weight women (when compared with appropriate for gestational age</w:t>
      </w:r>
      <w:r>
        <w:t>:</w:t>
      </w:r>
      <w:r w:rsidRPr="00E07B1B">
        <w:t xml:space="preserve"> small for gestational age adj OR 2.3, 95%CI 1.8</w:t>
      </w:r>
      <w:r>
        <w:t>–</w:t>
      </w:r>
      <w:r w:rsidRPr="00E07B1B">
        <w:t>2.9; large for gestational age adj OR 1.8, 95%CI 1.3</w:t>
      </w:r>
      <w:r>
        <w:t>–</w:t>
      </w:r>
      <w:r w:rsidRPr="00E07B1B">
        <w:t xml:space="preserve">2.4). Compared </w:t>
      </w:r>
      <w:r>
        <w:t>with</w:t>
      </w:r>
      <w:r w:rsidRPr="00E07B1B">
        <w:t xml:space="preserve"> women who were born appropriate birthweight for gestational age and had normal adult early-pregnancy body mass index; women who were classified as obese had increased risk of developing gestational diabetes</w:t>
      </w:r>
      <w:r w:rsidRPr="00971242">
        <w:t xml:space="preserve"> </w:t>
      </w:r>
      <w:r>
        <w:t>if they were</w:t>
      </w:r>
      <w:r w:rsidRPr="00E07B1B">
        <w:t xml:space="preserve"> small for gestational age (adj OR 28.7, 95%CI</w:t>
      </w:r>
      <w:r w:rsidR="00B01366">
        <w:br/>
      </w:r>
      <w:r w:rsidRPr="00E07B1B">
        <w:t>17</w:t>
      </w:r>
      <w:r>
        <w:t>–</w:t>
      </w:r>
      <w:r w:rsidRPr="00E07B1B">
        <w:t>48.6)</w:t>
      </w:r>
      <w:r>
        <w:t>;</w:t>
      </w:r>
      <w:r w:rsidRPr="00E07B1B">
        <w:t xml:space="preserve"> if they had been large for gestational age the risk was adj OR 20.3 (95%CI 11.8</w:t>
      </w:r>
      <w:r>
        <w:t>–</w:t>
      </w:r>
      <w:r w:rsidRPr="00E07B1B">
        <w:t>34.7)</w:t>
      </w:r>
      <w:r>
        <w:t>;</w:t>
      </w:r>
      <w:r w:rsidRPr="00E07B1B">
        <w:t xml:space="preserve"> and if they had been born appropriate for gestational age</w:t>
      </w:r>
      <w:r>
        <w:t>,</w:t>
      </w:r>
      <w:r w:rsidRPr="00E07B1B">
        <w:t xml:space="preserve"> the</w:t>
      </w:r>
      <w:r>
        <w:t>ir</w:t>
      </w:r>
      <w:r w:rsidRPr="00E07B1B">
        <w:t xml:space="preserve"> risk of gestational diabetes </w:t>
      </w:r>
      <w:r>
        <w:t xml:space="preserve">was still 10 times higher </w:t>
      </w:r>
      <w:r w:rsidRPr="00E07B1B">
        <w:t>(adj OR 10.4, 95%CI 8.4</w:t>
      </w:r>
      <w:r>
        <w:t>–</w:t>
      </w:r>
      <w:r w:rsidRPr="00E07B1B">
        <w:t xml:space="preserve">13.0) (Lagerros </w:t>
      </w:r>
      <w:r w:rsidR="00D562F2">
        <w:t>et al</w:t>
      </w:r>
      <w:r w:rsidRPr="00E07B1B">
        <w:t xml:space="preserve"> 2012).</w:t>
      </w:r>
    </w:p>
    <w:p w:rsidR="0025490C" w:rsidRDefault="0025490C" w:rsidP="00B01366"/>
    <w:p w:rsidR="0068074A" w:rsidRDefault="0025490C" w:rsidP="00B01366">
      <w:r w:rsidRPr="00E07B1B">
        <w:t xml:space="preserve">Lean or underweight women appear to have the </w:t>
      </w:r>
      <w:r>
        <w:t>lowest</w:t>
      </w:r>
      <w:r w:rsidRPr="00E07B1B">
        <w:t xml:space="preserve"> risk, or decreased risk, of developing gestational diabetes. The probability of developing gestational diabetes increased with increasing body mass index. With normal weight women as the reference group, underweight women (13</w:t>
      </w:r>
      <w:r>
        <w:t>–</w:t>
      </w:r>
      <w:r w:rsidRPr="00E07B1B">
        <w:t>18.4kg/m</w:t>
      </w:r>
      <w:r w:rsidRPr="00E07B1B">
        <w:rPr>
          <w:vertAlign w:val="superscript"/>
        </w:rPr>
        <w:t>2</w:t>
      </w:r>
      <w:r w:rsidRPr="00E07B1B">
        <w:t>) had a reduced risk of developing gestational diabetes (adj RR 0.38, 95%CI 0.16</w:t>
      </w:r>
      <w:r>
        <w:t>–</w:t>
      </w:r>
      <w:r w:rsidRPr="00E07B1B">
        <w:t>0.89). Women who were classified as overweight (25</w:t>
      </w:r>
      <w:r>
        <w:t>–</w:t>
      </w:r>
      <w:r w:rsidRPr="00E07B1B">
        <w:t>29.9 kg/m</w:t>
      </w:r>
      <w:r w:rsidRPr="00E07B1B">
        <w:rPr>
          <w:vertAlign w:val="superscript"/>
        </w:rPr>
        <w:t>2</w:t>
      </w:r>
      <w:r w:rsidRPr="00E07B1B">
        <w:t xml:space="preserve">) had a </w:t>
      </w:r>
      <w:r>
        <w:t>two-</w:t>
      </w:r>
      <w:r w:rsidRPr="00E07B1B">
        <w:t>fold increased risk of developing gestational diabetes (adj RR 2.17, 95%CI 1.58</w:t>
      </w:r>
      <w:r>
        <w:t>–</w:t>
      </w:r>
      <w:r w:rsidRPr="00E07B1B">
        <w:t>2.97). The risk continued to rise for women classified as obese (30</w:t>
      </w:r>
      <w:r>
        <w:t>–</w:t>
      </w:r>
      <w:r w:rsidRPr="00E07B1B">
        <w:t>34.9</w:t>
      </w:r>
      <w:r>
        <w:t xml:space="preserve"> </w:t>
      </w:r>
      <w:r w:rsidRPr="00E07B1B">
        <w:t>kg/m</w:t>
      </w:r>
      <w:r w:rsidRPr="00E07B1B">
        <w:rPr>
          <w:vertAlign w:val="superscript"/>
        </w:rPr>
        <w:t>2</w:t>
      </w:r>
      <w:r w:rsidRPr="00E07B1B">
        <w:t>) adj RR 2.51 (95%CI 1.76</w:t>
      </w:r>
      <w:r>
        <w:t>–</w:t>
      </w:r>
      <w:r w:rsidRPr="00E07B1B">
        <w:t>2.97), and extremely obese (35</w:t>
      </w:r>
      <w:r>
        <w:t>–</w:t>
      </w:r>
      <w:r w:rsidRPr="00E07B1B">
        <w:t>64.9kg/m</w:t>
      </w:r>
      <w:r w:rsidRPr="00E07B1B">
        <w:rPr>
          <w:vertAlign w:val="superscript"/>
        </w:rPr>
        <w:t>2</w:t>
      </w:r>
      <w:r w:rsidRPr="00E07B1B">
        <w:t xml:space="preserve">) who were reported to have a </w:t>
      </w:r>
      <w:r>
        <w:t>five-</w:t>
      </w:r>
      <w:r w:rsidRPr="00E07B1B">
        <w:t>fold increased risk of developing gestational diabetes (adj RR 5.03, 95%CI 3.64</w:t>
      </w:r>
      <w:r>
        <w:t>–</w:t>
      </w:r>
      <w:r w:rsidRPr="00E07B1B">
        <w:t xml:space="preserve">6.95) (Kim </w:t>
      </w:r>
      <w:r w:rsidR="00D562F2">
        <w:t>et al</w:t>
      </w:r>
      <w:r w:rsidRPr="00E07B1B">
        <w:t xml:space="preserve"> 2010). In another observational study there were significant relationships between pre-pregnancy body mass index and gestational diabetes in all body mass index categories except underweight women. Body mass index was the strongest predictor for requiring insulin therapy. The risk of gestational diabetes increased by 11.6% for each change in body mass index unit and was more pronounced in women who were treated with insulin compared with those treated with diet (19% and 8% respectively). The greatest risk occurred when there was a shift from normal weight to overweight and from overweight to obese categories (Ogonowski and Miazgowski 2009).</w:t>
      </w:r>
    </w:p>
    <w:p w:rsidR="0025490C" w:rsidRDefault="0025490C" w:rsidP="00B01366"/>
    <w:p w:rsidR="0025490C" w:rsidRPr="00E07B1B" w:rsidRDefault="0025490C" w:rsidP="00B01366">
      <w:r w:rsidRPr="00E07B1B">
        <w:t xml:space="preserve">The risk of developing gestational diabetes was increased for women who were obese at </w:t>
      </w:r>
      <w:r>
        <w:t xml:space="preserve">the </w:t>
      </w:r>
      <w:r w:rsidRPr="00E07B1B">
        <w:t xml:space="preserve">age </w:t>
      </w:r>
      <w:r>
        <w:t xml:space="preserve">of </w:t>
      </w:r>
      <w:r w:rsidRPr="00E07B1B">
        <w:t>18 years compared with women of normal weight at that age (RR 4.53, 95%CI 1.25</w:t>
      </w:r>
      <w:r>
        <w:t>–</w:t>
      </w:r>
      <w:r w:rsidRPr="00E07B1B">
        <w:t>16.43). Adjusted analysis found a lower risk for women who were lean and a higher risk among obese women compared with normal weight women (RR 3.25, 95%CI 1.85</w:t>
      </w:r>
      <w:r>
        <w:t>–</w:t>
      </w:r>
      <w:r w:rsidRPr="00E07B1B">
        <w:t>5.71). There was no association for overweight women (RR 0.74, 95%CI 0.23</w:t>
      </w:r>
      <w:r>
        <w:t>–</w:t>
      </w:r>
      <w:r w:rsidRPr="00E07B1B">
        <w:t xml:space="preserve"> 2.40). For women who gained 10 kg or more during adulthood, the risk of developing gestational diabetes was increased </w:t>
      </w:r>
      <w:r>
        <w:t>three</w:t>
      </w:r>
      <w:r w:rsidRPr="00E07B1B">
        <w:t>-fold compared with women who had a weight change of 2.5 kg or less (RR 3.43, 95%CI 1.60</w:t>
      </w:r>
      <w:r>
        <w:t>–</w:t>
      </w:r>
      <w:r w:rsidRPr="00E07B1B">
        <w:t>7.37). In an adjusted analysis</w:t>
      </w:r>
      <w:r>
        <w:t>,</w:t>
      </w:r>
      <w:r w:rsidRPr="00E07B1B">
        <w:t xml:space="preserve"> a 5</w:t>
      </w:r>
      <w:r>
        <w:t xml:space="preserve"> </w:t>
      </w:r>
      <w:r w:rsidRPr="00E07B1B">
        <w:t xml:space="preserve">kg gain in weight between </w:t>
      </w:r>
      <w:r>
        <w:t xml:space="preserve">the </w:t>
      </w:r>
      <w:r w:rsidRPr="00E07B1B">
        <w:t xml:space="preserve">age </w:t>
      </w:r>
      <w:r>
        <w:t xml:space="preserve">of </w:t>
      </w:r>
      <w:r w:rsidRPr="00E07B1B">
        <w:t>18 and pregnancy increased the risk of developing gestational diabetes by 20%. Where women had evidence of weight cycling (losing and then gaining weight), the adjusted relative risk was RR 1.46 (95%CI 0.87</w:t>
      </w:r>
      <w:r>
        <w:t>–</w:t>
      </w:r>
      <w:r w:rsidRPr="00E07B1B">
        <w:t>2.43). Risk increased with repeated episodes of weight cycling, so that</w:t>
      </w:r>
      <w:r>
        <w:t>,</w:t>
      </w:r>
      <w:r w:rsidRPr="00E07B1B">
        <w:t xml:space="preserve"> for </w:t>
      </w:r>
      <w:r>
        <w:t>three</w:t>
      </w:r>
      <w:r w:rsidRPr="00E07B1B">
        <w:t xml:space="preserve"> or more cycles of weight change</w:t>
      </w:r>
      <w:r>
        <w:t>,</w:t>
      </w:r>
      <w:r w:rsidRPr="00E07B1B">
        <w:t xml:space="preserve"> the RR was 2.04 (95%CI 0.83</w:t>
      </w:r>
      <w:r>
        <w:t>–</w:t>
      </w:r>
      <w:r w:rsidRPr="00E07B1B">
        <w:t xml:space="preserve">5.02) (Rudra </w:t>
      </w:r>
      <w:r w:rsidR="00D562F2">
        <w:t>et al</w:t>
      </w:r>
      <w:r w:rsidRPr="00E07B1B">
        <w:t xml:space="preserve"> 2007).</w:t>
      </w:r>
    </w:p>
    <w:p w:rsidR="0025490C" w:rsidRDefault="0025490C" w:rsidP="00B01366"/>
    <w:p w:rsidR="0025490C" w:rsidRDefault="0025490C" w:rsidP="00B01366">
      <w:r w:rsidRPr="00E07B1B">
        <w:t>Compared with women with stable weight, women who gained weight at a rate of 1.1</w:t>
      </w:r>
      <w:r>
        <w:t>–</w:t>
      </w:r>
      <w:r w:rsidRPr="00E07B1B">
        <w:t>2.2 kg per year had a small increased risk of gestational diabetes (adj OR 1.63, 95%CI 0.95</w:t>
      </w:r>
      <w:r>
        <w:t>–</w:t>
      </w:r>
      <w:r w:rsidRPr="00E07B1B">
        <w:t>2.81) and women who gained weight at 2.3</w:t>
      </w:r>
      <w:r>
        <w:t>–</w:t>
      </w:r>
      <w:r w:rsidRPr="00E07B1B">
        <w:t>10 kg per year had a 2.5-fold risk of developing gestational diabetes (adj OR 2.61, 95%CI 1.50</w:t>
      </w:r>
      <w:r>
        <w:t>–</w:t>
      </w:r>
      <w:r w:rsidRPr="00E07B1B">
        <w:t>4.57). The association was stronger among women who were not overweight (body mass index &lt; 25 kg/m</w:t>
      </w:r>
      <w:r w:rsidRPr="00E07B1B">
        <w:rPr>
          <w:vertAlign w:val="superscript"/>
        </w:rPr>
        <w:t>2</w:t>
      </w:r>
      <w:r w:rsidRPr="00E07B1B">
        <w:t>) at baseline (adj OR 2.81, 95%CI 1.33</w:t>
      </w:r>
      <w:r>
        <w:t>–</w:t>
      </w:r>
      <w:r w:rsidRPr="00E07B1B">
        <w:t>5.93). Women who were overweight or obese at baseline had an increased risk of developing gestational diabetes (adj OR 2.14, 95%CI 1.41</w:t>
      </w:r>
      <w:r>
        <w:t>–</w:t>
      </w:r>
      <w:r w:rsidRPr="00E07B1B">
        <w:t>3.25 and adj OR 1.93, 95%CI 1.20</w:t>
      </w:r>
      <w:r>
        <w:t>–</w:t>
      </w:r>
      <w:r w:rsidRPr="00E07B1B">
        <w:t xml:space="preserve">3.10 respectively) (Hedderson </w:t>
      </w:r>
      <w:r w:rsidR="00D562F2">
        <w:t>et al</w:t>
      </w:r>
      <w:r w:rsidRPr="00E07B1B">
        <w:t xml:space="preserve"> 2008).</w:t>
      </w:r>
    </w:p>
    <w:p w:rsidR="0025490C" w:rsidRPr="00E07B1B" w:rsidRDefault="0025490C" w:rsidP="00B01366"/>
    <w:p w:rsidR="0025490C" w:rsidRDefault="0025490C" w:rsidP="00B01366">
      <w:r w:rsidRPr="00E07B1B">
        <w:t>Increased percentage body fat was identified as a significant risk factor (OR 1.07, 95%CI</w:t>
      </w:r>
      <w:r w:rsidR="00B01366">
        <w:br/>
      </w:r>
      <w:r w:rsidRPr="00E07B1B">
        <w:t>1.03</w:t>
      </w:r>
      <w:r>
        <w:t>–</w:t>
      </w:r>
      <w:r w:rsidRPr="00E07B1B">
        <w:t xml:space="preserve">1.13) (Iqbal </w:t>
      </w:r>
      <w:r w:rsidR="00D562F2">
        <w:t>et al</w:t>
      </w:r>
      <w:r w:rsidRPr="00E07B1B">
        <w:t xml:space="preserve"> 2007).</w:t>
      </w:r>
    </w:p>
    <w:p w:rsidR="0025490C" w:rsidRPr="00E07B1B" w:rsidRDefault="0025490C" w:rsidP="00B01366"/>
    <w:p w:rsidR="0025490C" w:rsidRPr="00E07B1B" w:rsidRDefault="0025490C" w:rsidP="00B01366">
      <w:pPr>
        <w:pStyle w:val="Heading4"/>
      </w:pPr>
      <w:bookmarkStart w:id="425" w:name="_Toc363717763"/>
      <w:r w:rsidRPr="00E07B1B">
        <w:t>Early gestational weight gain</w:t>
      </w:r>
      <w:bookmarkEnd w:id="425"/>
    </w:p>
    <w:p w:rsidR="0025490C" w:rsidRDefault="0025490C" w:rsidP="00B01366">
      <w:r w:rsidRPr="00E07B1B">
        <w:t xml:space="preserve">Four studies agreed that there was an increased risk of developing gestational diabetes or impaired glucose tolerance with early increased gestational weight gain (Herring </w:t>
      </w:r>
      <w:r w:rsidR="00D562F2">
        <w:t>et al</w:t>
      </w:r>
      <w:r w:rsidRPr="00E07B1B">
        <w:t xml:space="preserve"> 2009; Hedderson</w:t>
      </w:r>
      <w:r>
        <w:t xml:space="preserve"> </w:t>
      </w:r>
      <w:r w:rsidR="00D562F2">
        <w:t>et al</w:t>
      </w:r>
      <w:r w:rsidRPr="00E07B1B">
        <w:t xml:space="preserve"> 2010</w:t>
      </w:r>
      <w:r>
        <w:t xml:space="preserve">b; </w:t>
      </w:r>
      <w:r w:rsidRPr="00E07B1B">
        <w:t xml:space="preserve">Carreno </w:t>
      </w:r>
      <w:r w:rsidR="00D562F2">
        <w:t>et al</w:t>
      </w:r>
      <w:r w:rsidRPr="00E07B1B">
        <w:t xml:space="preserve"> 2012; </w:t>
      </w:r>
      <w:r>
        <w:t xml:space="preserve">Gibson </w:t>
      </w:r>
      <w:r w:rsidR="00D562F2">
        <w:t>et al</w:t>
      </w:r>
      <w:r>
        <w:t xml:space="preserve"> 2012).</w:t>
      </w:r>
    </w:p>
    <w:p w:rsidR="0025490C" w:rsidRPr="00E07B1B" w:rsidRDefault="0025490C" w:rsidP="00B01366"/>
    <w:p w:rsidR="0025490C" w:rsidRDefault="0025490C" w:rsidP="00B01366">
      <w:r w:rsidRPr="00E07B1B">
        <w:t>A secondary analysis of a randomised trial reported that the odds of developing gestational diabetes were 43% higher in the group of women with excessive early gestational weight gain</w:t>
      </w:r>
      <w:r>
        <w:t>;</w:t>
      </w:r>
      <w:r w:rsidRPr="00E07B1B">
        <w:t xml:space="preserve"> particular</w:t>
      </w:r>
      <w:r>
        <w:t>ly at risk were</w:t>
      </w:r>
      <w:r w:rsidRPr="00E07B1B">
        <w:t xml:space="preserve"> women with normal pre-pregnancy body mass index (adj OR 1.4, 95%CI 1.1</w:t>
      </w:r>
      <w:r>
        <w:t>–</w:t>
      </w:r>
      <w:r w:rsidRPr="00E07B1B">
        <w:t>1.9). There was no effect observed for overweight or obese women with excessive early gestational we</w:t>
      </w:r>
      <w:r>
        <w:t xml:space="preserve">ight gain (Carreno </w:t>
      </w:r>
      <w:r w:rsidR="00D562F2">
        <w:t>et al</w:t>
      </w:r>
      <w:r>
        <w:t xml:space="preserve"> 2012).</w:t>
      </w:r>
    </w:p>
    <w:p w:rsidR="0025490C" w:rsidRPr="00E07B1B" w:rsidRDefault="0025490C" w:rsidP="00B01366"/>
    <w:p w:rsidR="0025490C" w:rsidRPr="00E07B1B" w:rsidRDefault="0025490C" w:rsidP="00B01366">
      <w:r w:rsidRPr="00E07B1B">
        <w:t>Rapid increase in weight in early pregnancy, in particular the first trimester</w:t>
      </w:r>
      <w:r>
        <w:t>,</w:t>
      </w:r>
      <w:r w:rsidRPr="00E07B1B">
        <w:t xml:space="preserve"> resulted in an increased risk of gestational diabetes. Non-white women in the highest tertile for rate of weight gain had a 2.5-fold increased risk of developing gestational diabetes (OR 2.66, 95%CI</w:t>
      </w:r>
      <w:r w:rsidR="00B01366">
        <w:br/>
      </w:r>
      <w:r w:rsidRPr="00E07B1B">
        <w:t>1.45</w:t>
      </w:r>
      <w:r>
        <w:t>–</w:t>
      </w:r>
      <w:r w:rsidRPr="00E07B1B">
        <w:t>4.90) (Hedderson</w:t>
      </w:r>
      <w:r>
        <w:t xml:space="preserve"> </w:t>
      </w:r>
      <w:r w:rsidR="00D562F2">
        <w:t>et al</w:t>
      </w:r>
      <w:r w:rsidRPr="00E07B1B">
        <w:t xml:space="preserve"> 2010</w:t>
      </w:r>
      <w:r>
        <w:t>b</w:t>
      </w:r>
      <w:r w:rsidRPr="00E07B1B">
        <w:t>).</w:t>
      </w:r>
    </w:p>
    <w:p w:rsidR="0025490C" w:rsidRPr="00E07B1B" w:rsidRDefault="0025490C" w:rsidP="00B01366">
      <w:bookmarkStart w:id="426" w:name="_Toc363717764"/>
    </w:p>
    <w:p w:rsidR="0068074A" w:rsidRDefault="0025490C" w:rsidP="00B01366">
      <w:pPr>
        <w:pStyle w:val="Heading4"/>
      </w:pPr>
      <w:r w:rsidRPr="00E07B1B">
        <w:t>Body mass index/weight during pregnancy</w:t>
      </w:r>
      <w:bookmarkEnd w:id="426"/>
    </w:p>
    <w:p w:rsidR="0068074A" w:rsidRDefault="0025490C" w:rsidP="00B01366">
      <w:r w:rsidRPr="00E07B1B">
        <w:t xml:space="preserve">Eight studies reported that there was an increased risk of developing gestational diabetes with increased body mass index or increased weight gain during pregnancy (Hossein-Nezhad </w:t>
      </w:r>
      <w:r w:rsidR="00D562F2">
        <w:t>et al</w:t>
      </w:r>
      <w:r w:rsidRPr="00E07B1B">
        <w:t xml:space="preserve"> 2007; Hedderson</w:t>
      </w:r>
      <w:r>
        <w:t xml:space="preserve"> </w:t>
      </w:r>
      <w:r w:rsidR="00D562F2">
        <w:t>et al</w:t>
      </w:r>
      <w:r w:rsidRPr="00E07B1B">
        <w:t xml:space="preserve"> 2010</w:t>
      </w:r>
      <w:r>
        <w:t>b,</w:t>
      </w:r>
      <w:r w:rsidRPr="00E07B1B">
        <w:t xml:space="preserve"> 2012; Ogonowski </w:t>
      </w:r>
      <w:r w:rsidR="00D562F2">
        <w:t>et al</w:t>
      </w:r>
      <w:r w:rsidRPr="00E07B1B">
        <w:t xml:space="preserve"> 20</w:t>
      </w:r>
      <w:r>
        <w:t>09</w:t>
      </w:r>
      <w:r w:rsidRPr="000B7000">
        <w:t xml:space="preserve"> </w:t>
      </w:r>
      <w:r w:rsidRPr="00E07B1B">
        <w:t xml:space="preserve">Ismail </w:t>
      </w:r>
      <w:r w:rsidR="00D562F2">
        <w:t>et al</w:t>
      </w:r>
      <w:r w:rsidRPr="00E07B1B">
        <w:t xml:space="preserve"> 2011;</w:t>
      </w:r>
      <w:r w:rsidRPr="000B7000">
        <w:t xml:space="preserve"> </w:t>
      </w:r>
      <w:r w:rsidRPr="00E07B1B">
        <w:t>Nanda</w:t>
      </w:r>
      <w:r>
        <w:t xml:space="preserve"> </w:t>
      </w:r>
      <w:r w:rsidR="00D562F2">
        <w:t>et al</w:t>
      </w:r>
      <w:r>
        <w:t xml:space="preserve"> 2011</w:t>
      </w:r>
      <w:r w:rsidRPr="00E07B1B">
        <w:t xml:space="preserve">; Teh </w:t>
      </w:r>
      <w:r w:rsidR="00D562F2">
        <w:t>et al</w:t>
      </w:r>
      <w:r w:rsidRPr="00E07B1B">
        <w:t xml:space="preserve"> 2011; Far </w:t>
      </w:r>
      <w:r w:rsidR="00D562F2">
        <w:t>et al</w:t>
      </w:r>
      <w:r w:rsidRPr="00E07B1B">
        <w:t xml:space="preserve"> 2012).</w:t>
      </w:r>
    </w:p>
    <w:p w:rsidR="0025490C" w:rsidRPr="00E07B1B" w:rsidRDefault="0025490C" w:rsidP="00B01366"/>
    <w:p w:rsidR="0025490C" w:rsidRDefault="0025490C" w:rsidP="00B01366">
      <w:r w:rsidRPr="00E07B1B">
        <w:t>Prevalence of gestational diabetes in Asian and Filipina women was higher at a lower body mass index category (22</w:t>
      </w:r>
      <w:r>
        <w:t>–</w:t>
      </w:r>
      <w:r w:rsidRPr="00E07B1B">
        <w:t>24.9 kg/m</w:t>
      </w:r>
      <w:r w:rsidRPr="00E07B1B">
        <w:rPr>
          <w:vertAlign w:val="superscript"/>
        </w:rPr>
        <w:t>2</w:t>
      </w:r>
      <w:r w:rsidRPr="00E07B1B">
        <w:t xml:space="preserve">) whereas for Hispanic, non-Hispanic </w:t>
      </w:r>
      <w:r>
        <w:t>W</w:t>
      </w:r>
      <w:r w:rsidRPr="00E07B1B">
        <w:t>hite and African American women the higher prevalence occurred with body mass index categories of 28</w:t>
      </w:r>
      <w:r>
        <w:t>–</w:t>
      </w:r>
      <w:r w:rsidRPr="00E07B1B">
        <w:t>30, 34</w:t>
      </w:r>
      <w:r>
        <w:t>–</w:t>
      </w:r>
      <w:r w:rsidRPr="00E07B1B">
        <w:t>36, and ≥ 37 kg/m</w:t>
      </w:r>
      <w:r w:rsidRPr="00E07B1B">
        <w:rPr>
          <w:vertAlign w:val="superscript"/>
        </w:rPr>
        <w:t>2</w:t>
      </w:r>
      <w:r w:rsidRPr="00E07B1B">
        <w:t xml:space="preserve"> respectively. The estimated population attributable risks suggested that 65% of cases of gestational diabetes in African American women and 23% in Asian women could be prevented if women were of normal body mass index (&lt; 25 kg/m</w:t>
      </w:r>
      <w:r w:rsidRPr="00E07B1B">
        <w:rPr>
          <w:vertAlign w:val="superscript"/>
        </w:rPr>
        <w:t>2</w:t>
      </w:r>
      <w:r w:rsidRPr="00E07B1B">
        <w:t xml:space="preserve">) </w:t>
      </w:r>
      <w:r>
        <w:t>(</w:t>
      </w:r>
      <w:r w:rsidRPr="00E07B1B">
        <w:t>Hedderson</w:t>
      </w:r>
      <w:r>
        <w:t xml:space="preserve"> </w:t>
      </w:r>
      <w:r w:rsidR="00D562F2">
        <w:t>et al</w:t>
      </w:r>
      <w:r w:rsidRPr="00E07B1B">
        <w:t xml:space="preserve"> 2012</w:t>
      </w:r>
      <w:r>
        <w:t>)</w:t>
      </w:r>
      <w:r w:rsidRPr="00E07B1B">
        <w:t>.</w:t>
      </w:r>
    </w:p>
    <w:p w:rsidR="0025490C" w:rsidRPr="00E07B1B" w:rsidRDefault="0025490C" w:rsidP="00B01366"/>
    <w:p w:rsidR="0025490C" w:rsidRDefault="0025490C" w:rsidP="00B01366">
      <w:r w:rsidRPr="00E07B1B">
        <w:t>In an adjusted analysis</w:t>
      </w:r>
      <w:r>
        <w:t>,</w:t>
      </w:r>
      <w:r w:rsidRPr="00E07B1B">
        <w:t xml:space="preserve"> the risk of developing gestational diabetes increased with increasing rates of weight gain. Using the third tertile as a referent (less than 0.27 kg per week)</w:t>
      </w:r>
      <w:r>
        <w:t>,</w:t>
      </w:r>
      <w:r w:rsidRPr="00E07B1B">
        <w:t xml:space="preserve"> rate gain</w:t>
      </w:r>
      <w:r>
        <w:t>s</w:t>
      </w:r>
      <w:r w:rsidRPr="00E07B1B">
        <w:t xml:space="preserve"> of 0.27</w:t>
      </w:r>
      <w:r>
        <w:t>–</w:t>
      </w:r>
      <w:r w:rsidRPr="00E07B1B">
        <w:t>0.4 kg per week (OR 1.43, 95%CI 0.96</w:t>
      </w:r>
      <w:r>
        <w:t>–</w:t>
      </w:r>
      <w:r w:rsidRPr="00E07B1B">
        <w:t xml:space="preserve"> 2.14) and 0.41 kg per week or more (OR 1.74, 95%CI 1.16</w:t>
      </w:r>
      <w:r>
        <w:t>–</w:t>
      </w:r>
      <w:r w:rsidRPr="00E07B1B">
        <w:t>2.60) were associated with increased risks of gestational diabetes. The association was stronger in overweight or obese and non-white women. Non-white women in the highest tertile for rate of weight gain had a 2.5</w:t>
      </w:r>
      <w:r>
        <w:t>-</w:t>
      </w:r>
      <w:r w:rsidRPr="00E07B1B">
        <w:t>fold increased risk of developing gestational diabetes (OR 2.66, 95%CI 1.45</w:t>
      </w:r>
      <w:r>
        <w:t>–</w:t>
      </w:r>
      <w:r w:rsidRPr="00E07B1B">
        <w:t xml:space="preserve">4.90) compared with the risk for non-Hispanic </w:t>
      </w:r>
      <w:r>
        <w:t>W</w:t>
      </w:r>
      <w:r w:rsidRPr="00E07B1B">
        <w:t>hite women of OR 1.56 (95%CI 0.90</w:t>
      </w:r>
      <w:r>
        <w:t>–</w:t>
      </w:r>
      <w:r w:rsidRPr="00E07B1B">
        <w:t>2.68) (Hedderson</w:t>
      </w:r>
      <w:r>
        <w:t xml:space="preserve"> </w:t>
      </w:r>
      <w:r w:rsidR="00D562F2">
        <w:t>et al</w:t>
      </w:r>
      <w:r w:rsidRPr="00E07B1B">
        <w:t xml:space="preserve"> 2010</w:t>
      </w:r>
      <w:r>
        <w:t>b</w:t>
      </w:r>
      <w:r w:rsidRPr="00E07B1B">
        <w:t>).</w:t>
      </w:r>
    </w:p>
    <w:p w:rsidR="0025490C" w:rsidRPr="00E07B1B" w:rsidRDefault="0025490C" w:rsidP="00B01366"/>
    <w:p w:rsidR="0025490C" w:rsidRPr="00E07B1B" w:rsidRDefault="0025490C" w:rsidP="00B01366">
      <w:pPr>
        <w:pStyle w:val="Heading4"/>
      </w:pPr>
      <w:bookmarkStart w:id="427" w:name="_Toc363717765"/>
      <w:r w:rsidRPr="00E07B1B">
        <w:t>Previous history of macrosomic or large for gestational age infant</w:t>
      </w:r>
      <w:bookmarkEnd w:id="427"/>
    </w:p>
    <w:p w:rsidR="0025490C" w:rsidRDefault="0025490C" w:rsidP="00B01366">
      <w:r w:rsidRPr="00E07B1B">
        <w:t xml:space="preserve">A history of previous macrosomia/large for gestational age infants or current macrosomia was identified as a risk factor for developing gestational diabetes in six studies (Cypryk </w:t>
      </w:r>
      <w:r w:rsidR="00D562F2">
        <w:t>et al</w:t>
      </w:r>
      <w:r w:rsidRPr="00E07B1B">
        <w:t xml:space="preserve"> 2008</w:t>
      </w:r>
      <w:r>
        <w:t xml:space="preserve">; </w:t>
      </w:r>
      <w:r w:rsidRPr="00E07B1B">
        <w:t xml:space="preserve">Bhat </w:t>
      </w:r>
      <w:r w:rsidR="00D562F2">
        <w:t>et al</w:t>
      </w:r>
      <w:r w:rsidRPr="00E07B1B">
        <w:t xml:space="preserve"> 2010)</w:t>
      </w:r>
      <w:r>
        <w:t>. The</w:t>
      </w:r>
      <w:r w:rsidRPr="00E07B1B">
        <w:t xml:space="preserve"> risk of developing gestational diabetes rang</w:t>
      </w:r>
      <w:r>
        <w:t>ed</w:t>
      </w:r>
      <w:r w:rsidRPr="00E07B1B">
        <w:t xml:space="preserve"> from 2.72</w:t>
      </w:r>
      <w:r>
        <w:t>–</w:t>
      </w:r>
      <w:r w:rsidRPr="00E07B1B">
        <w:t>4.39 times higher for women with a macrosomic infant.</w:t>
      </w:r>
    </w:p>
    <w:p w:rsidR="0025490C" w:rsidRPr="00E07B1B" w:rsidRDefault="0025490C" w:rsidP="00B01366"/>
    <w:p w:rsidR="0025490C" w:rsidRPr="00E07B1B" w:rsidRDefault="0025490C" w:rsidP="00B01366">
      <w:pPr>
        <w:pStyle w:val="Heading4"/>
      </w:pPr>
      <w:bookmarkStart w:id="428" w:name="_Toc363717766"/>
      <w:r w:rsidRPr="00E07B1B">
        <w:t>Parity</w:t>
      </w:r>
      <w:bookmarkEnd w:id="428"/>
    </w:p>
    <w:p w:rsidR="0068074A" w:rsidRDefault="0025490C" w:rsidP="00B01366">
      <w:r w:rsidRPr="00E07B1B">
        <w:t>Nine studies reported on parity as a risk factor in the development of gestational diabetes. Seven studies reported the effect estimate which ranged from 0.6</w:t>
      </w:r>
      <w:r>
        <w:t>–</w:t>
      </w:r>
      <w:r w:rsidRPr="00E07B1B">
        <w:t>2.7.</w:t>
      </w:r>
    </w:p>
    <w:p w:rsidR="0025490C" w:rsidRPr="00E07B1B" w:rsidRDefault="0025490C" w:rsidP="00B01366"/>
    <w:p w:rsidR="0025490C" w:rsidRDefault="0025490C" w:rsidP="00B01366">
      <w:r w:rsidRPr="00E07B1B">
        <w:t xml:space="preserve">Nulliparous women were at increased risk of developing gestational diabetes (Hossein-Nezhad </w:t>
      </w:r>
      <w:r w:rsidR="00D562F2">
        <w:t>et al</w:t>
      </w:r>
      <w:r w:rsidRPr="00E07B1B">
        <w:t xml:space="preserve"> 2007;</w:t>
      </w:r>
      <w:r>
        <w:t xml:space="preserve"> </w:t>
      </w:r>
      <w:r w:rsidRPr="00E07B1B">
        <w:t xml:space="preserve">Cypryk </w:t>
      </w:r>
      <w:r w:rsidR="00D562F2">
        <w:t>et al</w:t>
      </w:r>
      <w:r w:rsidRPr="00E07B1B">
        <w:t xml:space="preserve"> 2008; Al-Kuwari and Al-Kuba</w:t>
      </w:r>
      <w:r>
        <w:t>i</w:t>
      </w:r>
      <w:r w:rsidRPr="00E07B1B">
        <w:t>si 2011; Hoseini</w:t>
      </w:r>
      <w:r>
        <w:t xml:space="preserve"> </w:t>
      </w:r>
      <w:r w:rsidR="00D562F2">
        <w:t>et al</w:t>
      </w:r>
      <w:r w:rsidRPr="00E07B1B">
        <w:t xml:space="preserve"> 2011; Kun</w:t>
      </w:r>
      <w:r>
        <w:t xml:space="preserve"> </w:t>
      </w:r>
      <w:r w:rsidR="00D562F2">
        <w:t>et al</w:t>
      </w:r>
      <w:r w:rsidRPr="00E07B1B">
        <w:t xml:space="preserve"> 2011; Nanda </w:t>
      </w:r>
      <w:r w:rsidR="00D562F2">
        <w:t>et al</w:t>
      </w:r>
      <w:r w:rsidRPr="00E07B1B">
        <w:t xml:space="preserve"> 2011; Schneider </w:t>
      </w:r>
      <w:r w:rsidR="00D562F2">
        <w:t>et al</w:t>
      </w:r>
      <w:r w:rsidRPr="00E07B1B">
        <w:t xml:space="preserve"> 2011; Lagerros </w:t>
      </w:r>
      <w:r w:rsidR="00D562F2">
        <w:t>et al</w:t>
      </w:r>
      <w:r w:rsidRPr="00E07B1B">
        <w:t xml:space="preserve"> 2012; Singh </w:t>
      </w:r>
      <w:r w:rsidR="00D562F2">
        <w:t>et al</w:t>
      </w:r>
      <w:r w:rsidRPr="00E07B1B">
        <w:t xml:space="preserve"> 2012), but this was most likely due to probable undiagnosed</w:t>
      </w:r>
      <w:r>
        <w:t xml:space="preserve"> </w:t>
      </w:r>
      <w:r w:rsidRPr="00E07B1B">
        <w:t xml:space="preserve">diabetes (Singh </w:t>
      </w:r>
      <w:r w:rsidR="00D562F2">
        <w:t>et al</w:t>
      </w:r>
      <w:r w:rsidRPr="00E07B1B">
        <w:t xml:space="preserve"> 2012). T</w:t>
      </w:r>
      <w:r>
        <w:t xml:space="preserve">en </w:t>
      </w:r>
      <w:r w:rsidRPr="00E07B1B">
        <w:t xml:space="preserve">studies did not identify parity as a risk factor (Lagerros </w:t>
      </w:r>
      <w:r w:rsidR="00D562F2">
        <w:t>et al</w:t>
      </w:r>
      <w:r w:rsidRPr="00E07B1B">
        <w:t xml:space="preserve"> 2012:</w:t>
      </w:r>
      <w:r>
        <w:t xml:space="preserve"> </w:t>
      </w:r>
      <w:r w:rsidRPr="00E07B1B">
        <w:t xml:space="preserve">Hossein-Nezhad </w:t>
      </w:r>
      <w:r w:rsidR="00D562F2">
        <w:t>et al</w:t>
      </w:r>
      <w:r w:rsidRPr="00E07B1B">
        <w:t xml:space="preserve"> 2007;</w:t>
      </w:r>
      <w:r w:rsidRPr="003222FD">
        <w:t xml:space="preserve"> </w:t>
      </w:r>
      <w:r w:rsidRPr="00E07B1B">
        <w:t xml:space="preserve">Cypryk </w:t>
      </w:r>
      <w:r w:rsidR="00D562F2">
        <w:t>et al</w:t>
      </w:r>
      <w:r w:rsidRPr="00E07B1B">
        <w:t xml:space="preserve"> 2008; Al</w:t>
      </w:r>
      <w:r w:rsidR="00B01366">
        <w:noBreakHyphen/>
      </w:r>
      <w:r w:rsidRPr="00E07B1B">
        <w:t>Kuwari and Al-Kaba</w:t>
      </w:r>
      <w:r>
        <w:t>i</w:t>
      </w:r>
      <w:r w:rsidRPr="00E07B1B">
        <w:t>si 2011;</w:t>
      </w:r>
      <w:r w:rsidRPr="003222FD">
        <w:t xml:space="preserve"> </w:t>
      </w:r>
      <w:r w:rsidRPr="00E07B1B">
        <w:t xml:space="preserve">Hoseini </w:t>
      </w:r>
      <w:r w:rsidR="00D562F2">
        <w:t>et al</w:t>
      </w:r>
      <w:r w:rsidRPr="00E07B1B">
        <w:t xml:space="preserve"> 2011; Kun</w:t>
      </w:r>
      <w:r>
        <w:t xml:space="preserve"> </w:t>
      </w:r>
      <w:r w:rsidR="00D562F2">
        <w:t>et al</w:t>
      </w:r>
      <w:r w:rsidRPr="00E07B1B">
        <w:t xml:space="preserve"> 2011; Nanda </w:t>
      </w:r>
      <w:r w:rsidR="00D562F2">
        <w:t>et al</w:t>
      </w:r>
      <w:r w:rsidRPr="00E07B1B">
        <w:t xml:space="preserve"> 2011;</w:t>
      </w:r>
      <w:r>
        <w:t xml:space="preserve"> </w:t>
      </w:r>
      <w:r w:rsidRPr="00E07B1B">
        <w:t xml:space="preserve">Schneider </w:t>
      </w:r>
      <w:r w:rsidR="00D562F2">
        <w:t>et al</w:t>
      </w:r>
      <w:r>
        <w:t xml:space="preserve"> </w:t>
      </w:r>
      <w:r w:rsidRPr="00E07B1B">
        <w:t xml:space="preserve">2011; Lagerros </w:t>
      </w:r>
      <w:r w:rsidR="00D562F2">
        <w:t>et al</w:t>
      </w:r>
      <w:r w:rsidRPr="00E07B1B">
        <w:t xml:space="preserve"> 2012; Singh </w:t>
      </w:r>
      <w:r w:rsidR="00D562F2">
        <w:t>et al</w:t>
      </w:r>
      <w:r w:rsidRPr="00E07B1B">
        <w:t xml:space="preserve"> 2012).</w:t>
      </w:r>
    </w:p>
    <w:p w:rsidR="0025490C" w:rsidRPr="00E07B1B" w:rsidRDefault="0025490C" w:rsidP="00B01366"/>
    <w:p w:rsidR="0025490C" w:rsidRPr="00E07B1B" w:rsidRDefault="0025490C" w:rsidP="00B01366">
      <w:pPr>
        <w:pStyle w:val="Heading4"/>
      </w:pPr>
      <w:bookmarkStart w:id="429" w:name="_Toc363717767"/>
      <w:r w:rsidRPr="00E07B1B">
        <w:t>Dietary risk factors</w:t>
      </w:r>
      <w:bookmarkEnd w:id="429"/>
    </w:p>
    <w:p w:rsidR="0068074A" w:rsidRDefault="0025490C" w:rsidP="00B01366">
      <w:r w:rsidRPr="00E07B1B">
        <w:t xml:space="preserve">Ten observational studies were identified. Increased consumption of red meat or processed meat was associated with an increased risk of developing gestational diabetes (Qiu </w:t>
      </w:r>
      <w:r w:rsidR="00D562F2">
        <w:t>et al</w:t>
      </w:r>
      <w:r w:rsidRPr="00E07B1B">
        <w:t xml:space="preserve"> 2011</w:t>
      </w:r>
      <w:r>
        <w:t>a</w:t>
      </w:r>
      <w:r w:rsidRPr="00E07B1B">
        <w:t xml:space="preserve">; Bowers </w:t>
      </w:r>
      <w:r w:rsidR="00D562F2">
        <w:t>et al</w:t>
      </w:r>
      <w:r w:rsidRPr="00E07B1B">
        <w:t xml:space="preserve"> 2012; Ramos-Levi </w:t>
      </w:r>
      <w:r w:rsidR="00D562F2">
        <w:t>et al</w:t>
      </w:r>
      <w:r w:rsidRPr="00E07B1B">
        <w:t xml:space="preserve"> 2012). Compared </w:t>
      </w:r>
      <w:r>
        <w:t>with</w:t>
      </w:r>
      <w:r w:rsidRPr="00E07B1B">
        <w:t xml:space="preserve"> women with the lowest decile of heme iron intake (primarily obtained through red meat), women in the highest decile intake were </w:t>
      </w:r>
      <w:r>
        <w:t>three</w:t>
      </w:r>
      <w:r w:rsidRPr="00E07B1B">
        <w:t xml:space="preserve"> times more likely to develop gestational diabetes</w:t>
      </w:r>
      <w:r>
        <w:t xml:space="preserve"> </w:t>
      </w:r>
      <w:r w:rsidRPr="00E07B1B">
        <w:t>(adj RR 3.31, 95%CI 1.02</w:t>
      </w:r>
      <w:r>
        <w:t>–</w:t>
      </w:r>
      <w:r w:rsidRPr="00E07B1B">
        <w:t xml:space="preserve">10.72) (Qiu </w:t>
      </w:r>
      <w:r w:rsidR="00D562F2">
        <w:t>et al</w:t>
      </w:r>
      <w:r w:rsidRPr="00E07B1B">
        <w:t xml:space="preserve"> 2011</w:t>
      </w:r>
      <w:r>
        <w:t>a</w:t>
      </w:r>
      <w:r w:rsidRPr="00E07B1B">
        <w:t>). A 1 mg per day increase in heme iron was associated with a minimum of 51% increased risk of developing gestational diabetes (RR 1.51, 95%CI 0.99</w:t>
      </w:r>
      <w:r>
        <w:t>–</w:t>
      </w:r>
      <w:r w:rsidRPr="00E07B1B">
        <w:t xml:space="preserve">2.36) (Qiu </w:t>
      </w:r>
      <w:r w:rsidR="00D562F2">
        <w:t>et al</w:t>
      </w:r>
      <w:r w:rsidRPr="00E07B1B">
        <w:t xml:space="preserve"> 2011</w:t>
      </w:r>
      <w:r>
        <w:t>a</w:t>
      </w:r>
      <w:r w:rsidRPr="00E07B1B">
        <w:t>). With every 0.5 mg/day of increase in intake in heme iron</w:t>
      </w:r>
      <w:r>
        <w:t>,</w:t>
      </w:r>
      <w:r w:rsidRPr="00E07B1B">
        <w:t xml:space="preserve"> the adj RR was 1.22 (95%CI 1.1</w:t>
      </w:r>
      <w:r>
        <w:t>–</w:t>
      </w:r>
      <w:r w:rsidRPr="00E07B1B">
        <w:t xml:space="preserve">1.36) (Bowers </w:t>
      </w:r>
      <w:r w:rsidR="00D562F2">
        <w:t>et al</w:t>
      </w:r>
      <w:r w:rsidRPr="00E07B1B">
        <w:t xml:space="preserve"> 2011).</w:t>
      </w:r>
      <w:r w:rsidRPr="00E07B1B">
        <w:rPr>
          <w:sz w:val="16"/>
          <w:szCs w:val="16"/>
        </w:rPr>
        <w:t xml:space="preserve"> </w:t>
      </w:r>
      <w:r w:rsidRPr="00E07B1B">
        <w:t>Consumption o</w:t>
      </w:r>
      <w:r>
        <w:t>f</w:t>
      </w:r>
      <w:r w:rsidRPr="00E07B1B">
        <w:t xml:space="preserve"> red and/or processed meat more than </w:t>
      </w:r>
      <w:r>
        <w:t>six</w:t>
      </w:r>
      <w:r w:rsidRPr="00E07B1B">
        <w:t xml:space="preserve"> times per week increased the risk of developing gestational diabetes but no risk estimates were provided (Ramos-Levi </w:t>
      </w:r>
      <w:r w:rsidR="00D562F2">
        <w:t>et al</w:t>
      </w:r>
      <w:r w:rsidRPr="00E07B1B">
        <w:t xml:space="preserve"> 2012). No significant relationships were identified between total dietary, non-heme, or supplemental iron intake and risk of gestational diabetes (Bowers </w:t>
      </w:r>
      <w:r w:rsidR="00D562F2">
        <w:t>et al</w:t>
      </w:r>
      <w:r w:rsidRPr="00E07B1B">
        <w:t xml:space="preserve"> 2011). Increased iron status was significantly higher in women with gestational diabetes compared with controls.</w:t>
      </w:r>
    </w:p>
    <w:p w:rsidR="0025490C" w:rsidRPr="00E07B1B" w:rsidRDefault="0025490C" w:rsidP="00B01366"/>
    <w:p w:rsidR="0068074A" w:rsidRDefault="0025490C" w:rsidP="00B01366">
      <w:r w:rsidRPr="00E07B1B">
        <w:t>Monounsaturated fatty acid is a component of animal fat and red meat is a major source of animal fat. When dietary carbohydrates were substituted with mono-unsaturated fatty acid (per each 5% of total calories)</w:t>
      </w:r>
      <w:r>
        <w:t>,</w:t>
      </w:r>
      <w:r w:rsidRPr="00E07B1B">
        <w:t xml:space="preserve"> risk of gestational diabetes was increased by 29% (RR 1.29, 95%CI 1.09</w:t>
      </w:r>
      <w:r>
        <w:t>–</w:t>
      </w:r>
      <w:r w:rsidRPr="00E07B1B">
        <w:t xml:space="preserve">1.51, </w:t>
      </w:r>
      <w:r w:rsidRPr="00DF5138">
        <w:rPr>
          <w:i/>
        </w:rPr>
        <w:t>p</w:t>
      </w:r>
      <w:r>
        <w:t xml:space="preserve"> </w:t>
      </w:r>
      <w:r w:rsidRPr="00E07B1B">
        <w:t>=</w:t>
      </w:r>
      <w:r>
        <w:t xml:space="preserve"> </w:t>
      </w:r>
      <w:r w:rsidRPr="00E07B1B">
        <w:t xml:space="preserve">0.003) (Bowers </w:t>
      </w:r>
      <w:r w:rsidR="00D562F2">
        <w:t>et al</w:t>
      </w:r>
      <w:r w:rsidRPr="00E07B1B">
        <w:t xml:space="preserve"> 2012). Replacing 5% of energy from carbohydrates with animal fat increased the risk of GDM by 13% (RR 1.13, 95%CI 1.08</w:t>
      </w:r>
      <w:r>
        <w:t>–</w:t>
      </w:r>
      <w:r w:rsidRPr="00E07B1B">
        <w:t xml:space="preserve">1.18, </w:t>
      </w:r>
      <w:r w:rsidRPr="00DF5138">
        <w:rPr>
          <w:i/>
        </w:rPr>
        <w:t>p</w:t>
      </w:r>
      <w:r>
        <w:t xml:space="preserve"> </w:t>
      </w:r>
      <w:r w:rsidRPr="00E07B1B">
        <w:t>=</w:t>
      </w:r>
      <w:r>
        <w:t xml:space="preserve"> </w:t>
      </w:r>
      <w:r w:rsidRPr="00E07B1B">
        <w:t>0.001). Conversely the substitution of vegetable fat for animal fat suggested a decrease in the risk of gestational diabetes.</w:t>
      </w:r>
      <w:r>
        <w:t xml:space="preserve"> </w:t>
      </w:r>
      <w:r w:rsidRPr="00E07B1B">
        <w:t>(RR 0.93, 95%CI 0.88</w:t>
      </w:r>
      <w:r>
        <w:t>–</w:t>
      </w:r>
      <w:r w:rsidRPr="00E07B1B">
        <w:t xml:space="preserve">0.98, </w:t>
      </w:r>
      <w:r w:rsidRPr="00DF5138">
        <w:rPr>
          <w:i/>
        </w:rPr>
        <w:t>p</w:t>
      </w:r>
      <w:r>
        <w:t xml:space="preserve"> </w:t>
      </w:r>
      <w:r w:rsidRPr="00E07B1B">
        <w:t>=</w:t>
      </w:r>
      <w:r>
        <w:t xml:space="preserve"> </w:t>
      </w:r>
      <w:r w:rsidRPr="00E07B1B">
        <w:t>0.01).</w:t>
      </w:r>
      <w:r w:rsidRPr="00E07B1B">
        <w:rPr>
          <w:sz w:val="16"/>
          <w:szCs w:val="16"/>
        </w:rPr>
        <w:t xml:space="preserve"> </w:t>
      </w:r>
      <w:r w:rsidRPr="00E07B1B">
        <w:t>The increased risk of developing gestational diabetes in women in the highest quintile of animal fat intake was about 90% (adj RR 1.88, 95%CI 1.36</w:t>
      </w:r>
      <w:r>
        <w:t>–</w:t>
      </w:r>
      <w:r w:rsidRPr="00E07B1B">
        <w:t xml:space="preserve">2.60, </w:t>
      </w:r>
      <w:r w:rsidRPr="00DF5138">
        <w:rPr>
          <w:i/>
        </w:rPr>
        <w:t>p</w:t>
      </w:r>
      <w:r>
        <w:t xml:space="preserve"> </w:t>
      </w:r>
      <w:r w:rsidRPr="00E07B1B">
        <w:t>=</w:t>
      </w:r>
      <w:r>
        <w:t xml:space="preserve"> </w:t>
      </w:r>
      <w:r w:rsidRPr="00E07B1B">
        <w:t xml:space="preserve">0.05) (Bowers </w:t>
      </w:r>
      <w:r w:rsidR="00D562F2">
        <w:t>et al</w:t>
      </w:r>
      <w:r w:rsidRPr="00E07B1B">
        <w:t xml:space="preserve"> 2012).</w:t>
      </w:r>
    </w:p>
    <w:p w:rsidR="0025490C" w:rsidRPr="00E07B1B" w:rsidRDefault="0025490C" w:rsidP="00B01366"/>
    <w:p w:rsidR="0025490C" w:rsidRPr="00E07B1B" w:rsidRDefault="0025490C" w:rsidP="00B01366">
      <w:r w:rsidRPr="00E07B1B">
        <w:t>Other dietary risk factors included increased consumption of sugary drinks (</w:t>
      </w:r>
      <w:r>
        <w:t>more than four to five</w:t>
      </w:r>
      <w:r w:rsidRPr="00E07B1B">
        <w:t xml:space="preserve"> servings per week) (Chen </w:t>
      </w:r>
      <w:r w:rsidR="00D562F2">
        <w:t>et al</w:t>
      </w:r>
      <w:r w:rsidRPr="00E07B1B">
        <w:t xml:space="preserve"> 2009</w:t>
      </w:r>
      <w:r>
        <w:t xml:space="preserve">; </w:t>
      </w:r>
      <w:r w:rsidRPr="00E07B1B">
        <w:t xml:space="preserve">Ramos-Levi </w:t>
      </w:r>
      <w:r w:rsidR="00D562F2">
        <w:t>et al</w:t>
      </w:r>
      <w:r w:rsidRPr="00E07B1B">
        <w:t xml:space="preserve"> 2012), high coffee intake (</w:t>
      </w:r>
      <w:r>
        <w:t>two to three</w:t>
      </w:r>
      <w:r w:rsidRPr="00E07B1B">
        <w:t xml:space="preserve"> times per day) and high intake of biscuits and pastries (</w:t>
      </w:r>
      <w:r>
        <w:t>more than four</w:t>
      </w:r>
      <w:r w:rsidRPr="00E07B1B">
        <w:t xml:space="preserve"> times per week) (Ramos-Levi </w:t>
      </w:r>
      <w:r w:rsidR="00D562F2">
        <w:t>et al</w:t>
      </w:r>
      <w:r w:rsidRPr="00E07B1B">
        <w:t xml:space="preserve"> 2012)</w:t>
      </w:r>
      <w:r>
        <w:t>;</w:t>
      </w:r>
      <w:r w:rsidRPr="00E07B1B">
        <w:t xml:space="preserve"> increased egg consumption </w:t>
      </w:r>
      <w:r>
        <w:t>(seven or more eggs</w:t>
      </w:r>
      <w:r w:rsidRPr="00E07B1B">
        <w:t xml:space="preserve"> </w:t>
      </w:r>
      <w:r>
        <w:t xml:space="preserve">per </w:t>
      </w:r>
      <w:r w:rsidRPr="00E07B1B">
        <w:t>week</w:t>
      </w:r>
      <w:r>
        <w:t>)</w:t>
      </w:r>
      <w:r w:rsidRPr="00E07B1B">
        <w:t xml:space="preserve"> was associated with an increased risk (OR 2.65, 95%CI 1.48</w:t>
      </w:r>
      <w:r>
        <w:t>–</w:t>
      </w:r>
      <w:r w:rsidRPr="00E07B1B">
        <w:t xml:space="preserve">4.72) (Qiu </w:t>
      </w:r>
      <w:r w:rsidR="00D562F2">
        <w:t>et al</w:t>
      </w:r>
      <w:r w:rsidRPr="00E07B1B">
        <w:t xml:space="preserve"> 2011</w:t>
      </w:r>
      <w:r>
        <w:t>b</w:t>
      </w:r>
      <w:r w:rsidRPr="00E07B1B">
        <w:t>). The relative risk of developing gestational diabetes for women with high cholesterol intake (≥</w:t>
      </w:r>
      <w:r>
        <w:t xml:space="preserve"> </w:t>
      </w:r>
      <w:r w:rsidRPr="00E07B1B">
        <w:t>294</w:t>
      </w:r>
      <w:r>
        <w:t xml:space="preserve"> </w:t>
      </w:r>
      <w:r w:rsidRPr="00E07B1B">
        <w:t>mg per day) versus low cholesterol intake (&lt;</w:t>
      </w:r>
      <w:r>
        <w:t xml:space="preserve"> </w:t>
      </w:r>
      <w:r w:rsidRPr="00E07B1B">
        <w:t>151</w:t>
      </w:r>
      <w:r>
        <w:t xml:space="preserve"> </w:t>
      </w:r>
      <w:r w:rsidRPr="00E07B1B">
        <w:t>mg per day) was 2.35 (95%CI 1.35</w:t>
      </w:r>
      <w:r>
        <w:t>–</w:t>
      </w:r>
      <w:r w:rsidRPr="00E07B1B">
        <w:t xml:space="preserve">4.09) (Qiu </w:t>
      </w:r>
      <w:r w:rsidR="00D562F2">
        <w:t>et al</w:t>
      </w:r>
      <w:r w:rsidRPr="00E07B1B">
        <w:t xml:space="preserve"> 2011</w:t>
      </w:r>
      <w:r>
        <w:t>c</w:t>
      </w:r>
      <w:r w:rsidRPr="00E07B1B">
        <w:t>).</w:t>
      </w:r>
    </w:p>
    <w:p w:rsidR="0025490C" w:rsidRDefault="0025490C" w:rsidP="00B01366"/>
    <w:p w:rsidR="0025490C" w:rsidRDefault="0025490C" w:rsidP="00B01366">
      <w:r w:rsidRPr="00E07B1B">
        <w:t>Intake of n-3 fatty acids was associated with increased risk of gestational diabetes but not impaired glucose tolerance (OR 1.11, 95%CI 1.02</w:t>
      </w:r>
      <w:r>
        <w:t>–</w:t>
      </w:r>
      <w:r w:rsidRPr="00E07B1B">
        <w:t>1.22, per 300 mg/day). The increased risk associated with n-3 fatty acid intake was limited to the group of women with pre-pregnancy body mass index &lt; 25 kg/m</w:t>
      </w:r>
      <w:r w:rsidRPr="00E07B1B">
        <w:rPr>
          <w:vertAlign w:val="superscript"/>
        </w:rPr>
        <w:t>2</w:t>
      </w:r>
      <w:r w:rsidRPr="00E07B1B">
        <w:t xml:space="preserve"> (adj OR 1.19, 95%CI 1.06</w:t>
      </w:r>
      <w:r>
        <w:t>–</w:t>
      </w:r>
      <w:r w:rsidRPr="00E07B1B">
        <w:t>1.35) per 300 g per day compared with women with a body mass index of ≥ 25 kg/m</w:t>
      </w:r>
      <w:r w:rsidRPr="00E07B1B">
        <w:rPr>
          <w:vertAlign w:val="superscript"/>
        </w:rPr>
        <w:t>2</w:t>
      </w:r>
      <w:r w:rsidRPr="00E07B1B">
        <w:t xml:space="preserve"> (adj OR 1.03, 95%CI 0.83</w:t>
      </w:r>
      <w:r>
        <w:t>–</w:t>
      </w:r>
      <w:r w:rsidRPr="00E07B1B">
        <w:t xml:space="preserve">1.27) (Radesky </w:t>
      </w:r>
      <w:r w:rsidR="00D562F2">
        <w:t>et al</w:t>
      </w:r>
      <w:r w:rsidRPr="00E07B1B">
        <w:t xml:space="preserve"> 2008).</w:t>
      </w:r>
    </w:p>
    <w:p w:rsidR="0025490C" w:rsidRPr="00E07B1B" w:rsidRDefault="0025490C" w:rsidP="00B01366"/>
    <w:p w:rsidR="0025490C" w:rsidRDefault="0025490C" w:rsidP="00B01366">
      <w:r w:rsidRPr="00E07B1B">
        <w:t xml:space="preserve">Increased intake of polyunsaturated fats and n-6 fatty acids </w:t>
      </w:r>
      <w:r>
        <w:t>was</w:t>
      </w:r>
      <w:r w:rsidRPr="00E07B1B">
        <w:t xml:space="preserve"> also associated with an increased risk of developing gestational diabetes in women with a pre-pregnancy body mass index &lt; 25 kg/m</w:t>
      </w:r>
      <w:r w:rsidRPr="00E07B1B">
        <w:rPr>
          <w:vertAlign w:val="superscript"/>
        </w:rPr>
        <w:t>2</w:t>
      </w:r>
      <w:r>
        <w:t xml:space="preserve"> (Radesky </w:t>
      </w:r>
      <w:r w:rsidR="00D562F2">
        <w:t>et al</w:t>
      </w:r>
      <w:r>
        <w:t xml:space="preserve"> 2008).</w:t>
      </w:r>
    </w:p>
    <w:p w:rsidR="0025490C" w:rsidRPr="00E07B1B" w:rsidRDefault="0025490C" w:rsidP="00B01366"/>
    <w:p w:rsidR="0025490C" w:rsidRDefault="0025490C" w:rsidP="00B01366">
      <w:r w:rsidRPr="00E07B1B">
        <w:t>Increased intake of saturated and trans fat and decreased intake of fruit and fibre ha</w:t>
      </w:r>
      <w:r>
        <w:t>ve</w:t>
      </w:r>
      <w:r w:rsidRPr="00E07B1B">
        <w:t xml:space="preserve"> been identified as a risk factor (Ley </w:t>
      </w:r>
      <w:r w:rsidR="00D562F2">
        <w:t>et al</w:t>
      </w:r>
      <w:r w:rsidRPr="00E07B1B">
        <w:t xml:space="preserve"> 2011). </w:t>
      </w:r>
      <w:r>
        <w:t>D</w:t>
      </w:r>
      <w:r w:rsidRPr="00E07B1B">
        <w:t>evelopment of gestational diabetes</w:t>
      </w:r>
      <w:r>
        <w:t xml:space="preserve"> was associated with</w:t>
      </w:r>
      <w:r w:rsidRPr="00E07B1B">
        <w:t xml:space="preserve"> lower carbohydrate intake</w:t>
      </w:r>
      <w:r w:rsidRPr="00E07B1B">
        <w:rPr>
          <w:sz w:val="16"/>
          <w:szCs w:val="16"/>
        </w:rPr>
        <w:t xml:space="preserve"> </w:t>
      </w:r>
      <w:r w:rsidRPr="00E07B1B">
        <w:t xml:space="preserve">and higher total fat intake distributions as a percentage of energy (Ley </w:t>
      </w:r>
      <w:r w:rsidR="00D562F2">
        <w:t>et al</w:t>
      </w:r>
      <w:r w:rsidRPr="00E07B1B">
        <w:t xml:space="preserve"> 2011).</w:t>
      </w:r>
    </w:p>
    <w:p w:rsidR="0025490C" w:rsidRPr="00E07B1B" w:rsidRDefault="0025490C" w:rsidP="00B01366"/>
    <w:p w:rsidR="0025490C" w:rsidRDefault="0025490C" w:rsidP="00B01366">
      <w:r w:rsidRPr="00E07B1B">
        <w:t>Each 50 mg per 1000 kcal increase in cholesterol intake was associated with an increase of 88% in the diagnosis of gestational diabetes (adj OR 1.88, 95%CI 1.09</w:t>
      </w:r>
      <w:r>
        <w:t>–</w:t>
      </w:r>
      <w:r w:rsidRPr="00E07B1B">
        <w:t xml:space="preserve">3.23) but there was no relationship between the presence of gestational diabetes and the intake of saturated, monounsaturated, polyunsaturated or trans unsaturated fat (Gonzalez-Clemente </w:t>
      </w:r>
      <w:r w:rsidR="00D562F2">
        <w:t>et al</w:t>
      </w:r>
      <w:r w:rsidRPr="00E07B1B">
        <w:t xml:space="preserve"> 2007).</w:t>
      </w:r>
    </w:p>
    <w:p w:rsidR="0025490C" w:rsidRPr="00E07B1B" w:rsidRDefault="0025490C" w:rsidP="00B01366"/>
    <w:p w:rsidR="0025490C" w:rsidRPr="00E07B1B" w:rsidRDefault="0025490C" w:rsidP="00B01366">
      <w:pPr>
        <w:pStyle w:val="Heading4"/>
      </w:pPr>
      <w:bookmarkStart w:id="430" w:name="_Toc363717768"/>
      <w:r w:rsidRPr="00E07B1B">
        <w:t>Vitamin D levels</w:t>
      </w:r>
      <w:bookmarkEnd w:id="430"/>
    </w:p>
    <w:p w:rsidR="0025490C" w:rsidRDefault="0025490C" w:rsidP="00B01366">
      <w:pPr>
        <w:keepLines/>
      </w:pPr>
      <w:r w:rsidRPr="00E07B1B">
        <w:t xml:space="preserve">One systematic review included </w:t>
      </w:r>
      <w:r>
        <w:t>seven</w:t>
      </w:r>
      <w:r w:rsidRPr="00E07B1B">
        <w:t xml:space="preserve"> observational studies of 2146 women</w:t>
      </w:r>
      <w:r>
        <w:t>,</w:t>
      </w:r>
      <w:r w:rsidRPr="00E07B1B">
        <w:t xml:space="preserve"> of whom 433 had gestational diabetes. Women with gestational diabetes had significantly lower vitamin D levels than women with normal glucose levels during pregnancy (MD </w:t>
      </w:r>
      <w:r w:rsidRPr="00DF5138">
        <w:rPr>
          <w:vertAlign w:val="superscript"/>
        </w:rPr>
        <w:t>–</w:t>
      </w:r>
      <w:r w:rsidRPr="00E07B1B">
        <w:t>5.33</w:t>
      </w:r>
      <w:r>
        <w:t xml:space="preserve"> </w:t>
      </w:r>
      <w:r w:rsidRPr="00E07B1B">
        <w:t xml:space="preserve">nmol/L, 95%CI </w:t>
      </w:r>
      <w:r w:rsidRPr="00DF5138">
        <w:rPr>
          <w:vertAlign w:val="superscript"/>
        </w:rPr>
        <w:t>–</w:t>
      </w:r>
      <w:r w:rsidRPr="00E07B1B">
        <w:t>9.7 to</w:t>
      </w:r>
      <w:r w:rsidR="00B01366">
        <w:br/>
      </w:r>
      <w:r w:rsidRPr="00DF5138">
        <w:rPr>
          <w:vertAlign w:val="superscript"/>
        </w:rPr>
        <w:t>–</w:t>
      </w:r>
      <w:r w:rsidRPr="00E07B1B">
        <w:t xml:space="preserve">0.9, </w:t>
      </w:r>
      <w:r w:rsidRPr="00DF5138">
        <w:rPr>
          <w:i/>
        </w:rPr>
        <w:t>p</w:t>
      </w:r>
      <w:r>
        <w:t xml:space="preserve"> </w:t>
      </w:r>
      <w:r w:rsidRPr="00E07B1B">
        <w:t>=</w:t>
      </w:r>
      <w:r>
        <w:t xml:space="preserve"> </w:t>
      </w:r>
      <w:r w:rsidRPr="00E07B1B">
        <w:t>0.02, I</w:t>
      </w:r>
      <w:r w:rsidRPr="00E07B1B">
        <w:rPr>
          <w:vertAlign w:val="superscript"/>
        </w:rPr>
        <w:t>2</w:t>
      </w:r>
      <w:r w:rsidRPr="00B01366">
        <w:t xml:space="preserve"> </w:t>
      </w:r>
      <w:r w:rsidRPr="00E07B1B">
        <w:t>=</w:t>
      </w:r>
      <w:r>
        <w:t xml:space="preserve"> </w:t>
      </w:r>
      <w:r w:rsidRPr="00E07B1B">
        <w:t>69%). Caution is required in interpreting results due to significant heterogeneity. After adjustment for studies that reported on maternal age and obesity</w:t>
      </w:r>
      <w:r>
        <w:t>,</w:t>
      </w:r>
      <w:r w:rsidRPr="00E07B1B">
        <w:t xml:space="preserve"> the association remained significant (combined OR 1.57, 95%CI 1.11</w:t>
      </w:r>
      <w:r>
        <w:t>–</w:t>
      </w:r>
      <w:r w:rsidRPr="00E07B1B">
        <w:t>2.22, I</w:t>
      </w:r>
      <w:r w:rsidRPr="00E07B1B">
        <w:rPr>
          <w:vertAlign w:val="superscript"/>
        </w:rPr>
        <w:t>2</w:t>
      </w:r>
      <w:r>
        <w:rPr>
          <w:vertAlign w:val="superscript"/>
        </w:rPr>
        <w:t xml:space="preserve"> </w:t>
      </w:r>
      <w:r w:rsidRPr="00E07B1B">
        <w:t>=</w:t>
      </w:r>
      <w:r>
        <w:t xml:space="preserve"> </w:t>
      </w:r>
      <w:r w:rsidRPr="00E07B1B">
        <w:t xml:space="preserve">17%) (Poel </w:t>
      </w:r>
      <w:r w:rsidR="00D562F2">
        <w:t>et al</w:t>
      </w:r>
      <w:r w:rsidRPr="00E07B1B">
        <w:t xml:space="preserve"> 2012).</w:t>
      </w:r>
    </w:p>
    <w:p w:rsidR="0025490C" w:rsidRPr="00E07B1B" w:rsidRDefault="0025490C" w:rsidP="00B01366"/>
    <w:p w:rsidR="0025490C" w:rsidRDefault="0025490C" w:rsidP="00B01366">
      <w:r w:rsidRPr="00E07B1B">
        <w:t xml:space="preserve">Three additional observational studies were identified (Lau </w:t>
      </w:r>
      <w:r w:rsidR="00D562F2">
        <w:t>et al</w:t>
      </w:r>
      <w:r w:rsidRPr="00E07B1B">
        <w:t xml:space="preserve"> 2011; Burris </w:t>
      </w:r>
      <w:r w:rsidR="00D562F2">
        <w:t>et al</w:t>
      </w:r>
      <w:r w:rsidRPr="00E07B1B">
        <w:t xml:space="preserve"> 201</w:t>
      </w:r>
      <w:r>
        <w:t>2</w:t>
      </w:r>
      <w:r w:rsidRPr="00E07B1B">
        <w:t xml:space="preserve">; Parlea </w:t>
      </w:r>
      <w:r w:rsidR="00D562F2">
        <w:t>et al</w:t>
      </w:r>
      <w:r w:rsidRPr="00E07B1B">
        <w:t xml:space="preserve"> 2012). A significant association was found between vitamin D &lt;</w:t>
      </w:r>
      <w:r>
        <w:t> </w:t>
      </w:r>
      <w:r w:rsidRPr="00E07B1B">
        <w:t>73.5 nmol/L and risk of gestational diabetes (adj OR 2.21, 95%CI 1.19</w:t>
      </w:r>
      <w:r>
        <w:t>–</w:t>
      </w:r>
      <w:r w:rsidRPr="00E07B1B">
        <w:t xml:space="preserve">4.13, </w:t>
      </w:r>
      <w:r w:rsidRPr="00DF5138">
        <w:rPr>
          <w:i/>
        </w:rPr>
        <w:t>p</w:t>
      </w:r>
      <w:r>
        <w:rPr>
          <w:i/>
        </w:rPr>
        <w:t> </w:t>
      </w:r>
      <w:r w:rsidRPr="00E07B1B">
        <w:t>=</w:t>
      </w:r>
      <w:r>
        <w:t> </w:t>
      </w:r>
      <w:r w:rsidRPr="00E07B1B">
        <w:t xml:space="preserve">0.001) (Lau </w:t>
      </w:r>
      <w:r w:rsidR="00D562F2">
        <w:t>et al</w:t>
      </w:r>
      <w:r w:rsidRPr="00E07B1B">
        <w:t xml:space="preserve"> 2011). HbA1c levels were significantly lower </w:t>
      </w:r>
      <w:r>
        <w:t xml:space="preserve">at </w:t>
      </w:r>
      <w:r w:rsidRPr="00DF5138">
        <w:rPr>
          <w:vertAlign w:val="superscript"/>
        </w:rPr>
        <w:t>–</w:t>
      </w:r>
      <w:r w:rsidRPr="00E07B1B">
        <w:t xml:space="preserve">0.41% (95%CI </w:t>
      </w:r>
      <w:r w:rsidRPr="00DF5138">
        <w:rPr>
          <w:vertAlign w:val="superscript"/>
        </w:rPr>
        <w:noBreakHyphen/>
      </w:r>
      <w:r w:rsidRPr="00E07B1B">
        <w:t xml:space="preserve">0.16% to </w:t>
      </w:r>
      <w:r w:rsidRPr="00DF5138">
        <w:rPr>
          <w:vertAlign w:val="superscript"/>
        </w:rPr>
        <w:t>–</w:t>
      </w:r>
      <w:r w:rsidRPr="00E07B1B">
        <w:t>0.66%</w:t>
      </w:r>
      <w:r>
        <w:t>,</w:t>
      </w:r>
      <w:r w:rsidRPr="00E07B1B">
        <w:t xml:space="preserve"> </w:t>
      </w:r>
      <w:r w:rsidRPr="00DF5138">
        <w:rPr>
          <w:i/>
        </w:rPr>
        <w:t>p</w:t>
      </w:r>
      <w:r>
        <w:t xml:space="preserve"> </w:t>
      </w:r>
      <w:r w:rsidRPr="00E07B1B">
        <w:t>=</w:t>
      </w:r>
      <w:r>
        <w:t xml:space="preserve"> </w:t>
      </w:r>
      <w:r w:rsidRPr="00E07B1B">
        <w:t>0.001) in women who had 25(OH)D levels</w:t>
      </w:r>
      <w:r>
        <w:t xml:space="preserve"> </w:t>
      </w:r>
      <w:r w:rsidRPr="00E07B1B">
        <w:t>≤ 50 nmol/L compared with women with levels of &gt;</w:t>
      </w:r>
      <w:r>
        <w:t xml:space="preserve"> </w:t>
      </w:r>
      <w:r w:rsidRPr="00E07B1B">
        <w:t>50</w:t>
      </w:r>
      <w:r>
        <w:t xml:space="preserve"> </w:t>
      </w:r>
      <w:r w:rsidRPr="00E07B1B">
        <w:t>nmol/L. These women also had lower blood glucose readings at fasting (</w:t>
      </w:r>
      <w:r w:rsidRPr="00DF5138">
        <w:rPr>
          <w:vertAlign w:val="superscript"/>
        </w:rPr>
        <w:t>–</w:t>
      </w:r>
      <w:r w:rsidRPr="00E07B1B">
        <w:t xml:space="preserve">0.4mmol/L (95%CI </w:t>
      </w:r>
      <w:r w:rsidRPr="00DF5138">
        <w:rPr>
          <w:vertAlign w:val="superscript"/>
        </w:rPr>
        <w:t>–</w:t>
      </w:r>
      <w:r w:rsidRPr="00E07B1B">
        <w:t xml:space="preserve">0.1 to </w:t>
      </w:r>
      <w:r w:rsidRPr="00DF5138">
        <w:rPr>
          <w:vertAlign w:val="superscript"/>
        </w:rPr>
        <w:t>–</w:t>
      </w:r>
      <w:r w:rsidRPr="00E07B1B">
        <w:t>0.7</w:t>
      </w:r>
      <w:r>
        <w:t>,</w:t>
      </w:r>
      <w:r w:rsidRPr="00E07B1B">
        <w:t xml:space="preserve"> </w:t>
      </w:r>
      <w:r w:rsidRPr="00DF5138">
        <w:rPr>
          <w:i/>
        </w:rPr>
        <w:t>p</w:t>
      </w:r>
      <w:r>
        <w:t xml:space="preserve"> </w:t>
      </w:r>
      <w:r w:rsidRPr="00E07B1B">
        <w:t>=</w:t>
      </w:r>
      <w:r>
        <w:t xml:space="preserve"> </w:t>
      </w:r>
      <w:r w:rsidRPr="00E07B1B">
        <w:t xml:space="preserve">0.02) and </w:t>
      </w:r>
      <w:r>
        <w:t>one</w:t>
      </w:r>
      <w:r w:rsidRPr="00E07B1B">
        <w:t xml:space="preserve"> hour (</w:t>
      </w:r>
      <w:r w:rsidRPr="00DF5138">
        <w:rPr>
          <w:vertAlign w:val="superscript"/>
        </w:rPr>
        <w:t>–</w:t>
      </w:r>
      <w:r w:rsidRPr="00E07B1B">
        <w:t xml:space="preserve">2.4mmol/L 95%CI </w:t>
      </w:r>
      <w:r w:rsidRPr="00DF5138">
        <w:rPr>
          <w:vertAlign w:val="superscript"/>
        </w:rPr>
        <w:t>–</w:t>
      </w:r>
      <w:r w:rsidRPr="00E07B1B">
        <w:t xml:space="preserve">0.60 to </w:t>
      </w:r>
      <w:r w:rsidRPr="00DF5138">
        <w:rPr>
          <w:vertAlign w:val="superscript"/>
        </w:rPr>
        <w:t>–</w:t>
      </w:r>
      <w:r w:rsidRPr="00E07B1B">
        <w:t>4.3</w:t>
      </w:r>
      <w:r>
        <w:t>,</w:t>
      </w:r>
      <w:r w:rsidRPr="00E07B1B">
        <w:t xml:space="preserve"> </w:t>
      </w:r>
      <w:r w:rsidRPr="00DF5138">
        <w:rPr>
          <w:i/>
        </w:rPr>
        <w:t>p</w:t>
      </w:r>
      <w:r>
        <w:t xml:space="preserve"> </w:t>
      </w:r>
      <w:r w:rsidRPr="00E07B1B">
        <w:t>=</w:t>
      </w:r>
      <w:r>
        <w:t xml:space="preserve"> </w:t>
      </w:r>
      <w:r w:rsidRPr="00E07B1B">
        <w:t>0.013)</w:t>
      </w:r>
      <w:r>
        <w:t xml:space="preserve"> </w:t>
      </w:r>
      <w:r w:rsidRPr="00E07B1B">
        <w:t xml:space="preserve">oral glucose tolerance test </w:t>
      </w:r>
      <w:r>
        <w:t>(</w:t>
      </w:r>
      <w:r w:rsidRPr="00E07B1B">
        <w:t>Lau</w:t>
      </w:r>
      <w:r>
        <w:t xml:space="preserve"> </w:t>
      </w:r>
      <w:r w:rsidR="00D562F2">
        <w:t>et al</w:t>
      </w:r>
      <w:r w:rsidRPr="00E07B1B">
        <w:t xml:space="preserve"> 2011</w:t>
      </w:r>
      <w:r>
        <w:t>)</w:t>
      </w:r>
      <w:r w:rsidRPr="00E07B1B">
        <w:t>.</w:t>
      </w:r>
      <w:r>
        <w:t xml:space="preserve"> </w:t>
      </w:r>
      <w:r w:rsidRPr="00E07B1B">
        <w:t>Significantly increased odds of gestational diabetes in women with severe vitamin D deficiency (serum 25 hydroxyvitamin D 25(OH)D &lt;</w:t>
      </w:r>
      <w:r>
        <w:t xml:space="preserve"> </w:t>
      </w:r>
      <w:r w:rsidRPr="00E07B1B">
        <w:t>25nmol/L) compared with women with normal glucose tolerance adj OR 3.1 (95%CI 1.3</w:t>
      </w:r>
      <w:r>
        <w:t>–</w:t>
      </w:r>
      <w:r w:rsidRPr="00E07B1B">
        <w:t xml:space="preserve">7.4) were also reported (Burris </w:t>
      </w:r>
      <w:r w:rsidR="00D562F2">
        <w:t>et al</w:t>
      </w:r>
      <w:r w:rsidRPr="00E07B1B">
        <w:t xml:space="preserve"> 2012).</w:t>
      </w:r>
    </w:p>
    <w:p w:rsidR="0025490C" w:rsidRPr="00E07B1B" w:rsidRDefault="0025490C" w:rsidP="00B01366"/>
    <w:p w:rsidR="0025490C" w:rsidRDefault="0025490C" w:rsidP="00B01366">
      <w:r w:rsidRPr="00E07B1B">
        <w:t xml:space="preserve">These studies call for screening of vitamin D levels in early pregnancy </w:t>
      </w:r>
      <w:r>
        <w:t>(</w:t>
      </w:r>
      <w:r w:rsidRPr="00E07B1B">
        <w:t>16</w:t>
      </w:r>
      <w:r>
        <w:t>–</w:t>
      </w:r>
      <w:r w:rsidRPr="00E07B1B">
        <w:t>18 weeks</w:t>
      </w:r>
      <w:r>
        <w:t>)</w:t>
      </w:r>
      <w:r w:rsidRPr="00E07B1B">
        <w:t xml:space="preserve"> and to potentially use supplementation or lifestyle advice to increase vitamin D levels. The studies are</w:t>
      </w:r>
      <w:r>
        <w:t>,</w:t>
      </w:r>
      <w:r w:rsidRPr="00E07B1B">
        <w:t xml:space="preserve"> however</w:t>
      </w:r>
      <w:r>
        <w:t>, based on</w:t>
      </w:r>
      <w:r w:rsidRPr="00E07B1B">
        <w:t xml:space="preserve"> small sample sizes and may </w:t>
      </w:r>
      <w:r>
        <w:t>lack the power</w:t>
      </w:r>
      <w:r w:rsidRPr="00E07B1B">
        <w:t xml:space="preserve"> to detect true differences.</w:t>
      </w:r>
    </w:p>
    <w:p w:rsidR="0025490C" w:rsidRPr="00E07B1B" w:rsidRDefault="0025490C" w:rsidP="00B01366"/>
    <w:p w:rsidR="0025490C" w:rsidRPr="00E07B1B" w:rsidRDefault="0025490C" w:rsidP="00B01366">
      <w:pPr>
        <w:pStyle w:val="Heading4"/>
      </w:pPr>
      <w:bookmarkStart w:id="431" w:name="_Toc363717769"/>
      <w:r w:rsidRPr="00E07B1B">
        <w:t>Maternal history of subfertility</w:t>
      </w:r>
      <w:bookmarkEnd w:id="431"/>
    </w:p>
    <w:p w:rsidR="0025490C" w:rsidRDefault="0025490C" w:rsidP="00B01366">
      <w:r w:rsidRPr="00E07B1B">
        <w:t xml:space="preserve">Maternal history of subfertility was reported as a risk factor for developing gestational diabetes in one systematic review (Toulis </w:t>
      </w:r>
      <w:r w:rsidR="00D562F2">
        <w:t>et al</w:t>
      </w:r>
      <w:r w:rsidRPr="00E07B1B">
        <w:t xml:space="preserve"> 2009) and </w:t>
      </w:r>
      <w:r>
        <w:t>two</w:t>
      </w:r>
      <w:r w:rsidRPr="00E07B1B">
        <w:t xml:space="preserve"> observational studies (Bhat </w:t>
      </w:r>
      <w:r w:rsidR="00D562F2">
        <w:t>et al</w:t>
      </w:r>
      <w:r w:rsidRPr="00E07B1B">
        <w:t xml:space="preserve"> 2010; Reyes-Munoz </w:t>
      </w:r>
      <w:r w:rsidR="00D562F2">
        <w:t>et al</w:t>
      </w:r>
      <w:r w:rsidRPr="00E07B1B">
        <w:t xml:space="preserve"> 2012</w:t>
      </w:r>
      <w:r>
        <w:t>b</w:t>
      </w:r>
      <w:r w:rsidRPr="00E07B1B">
        <w:t>). Criteria used to diagnose gestational diabetes varied between studies.</w:t>
      </w:r>
    </w:p>
    <w:p w:rsidR="0025490C" w:rsidRPr="00E07B1B" w:rsidRDefault="0025490C" w:rsidP="00B01366"/>
    <w:p w:rsidR="0025490C" w:rsidRDefault="0025490C" w:rsidP="00B01366">
      <w:r w:rsidRPr="00E07B1B">
        <w:t xml:space="preserve">A </w:t>
      </w:r>
      <w:r>
        <w:t>three</w:t>
      </w:r>
      <w:r w:rsidRPr="00E07B1B">
        <w:t xml:space="preserve">-fold increased risk of developing gestational diabetes in women with a history of subfertility was reported in both observational studies (Bhat </w:t>
      </w:r>
      <w:r w:rsidR="00D562F2">
        <w:t>et al</w:t>
      </w:r>
      <w:r w:rsidRPr="00E07B1B">
        <w:t xml:space="preserve"> 2010</w:t>
      </w:r>
      <w:r>
        <w:t xml:space="preserve">; </w:t>
      </w:r>
      <w:r w:rsidRPr="00DF5138">
        <w:t xml:space="preserve">Reyes-Munoz </w:t>
      </w:r>
      <w:r w:rsidR="00D562F2">
        <w:t>et al</w:t>
      </w:r>
      <w:r w:rsidRPr="00DF5138">
        <w:t xml:space="preserve"> 2012b). The systematic review and one of the observational studies identified increased risk of developing gestational diabetes in women with subfertility associated with polycystic ovary syndrome (Toulis </w:t>
      </w:r>
      <w:r w:rsidR="00D562F2">
        <w:t>et al</w:t>
      </w:r>
      <w:r w:rsidRPr="00DF5138">
        <w:t xml:space="preserve"> 2009; Reyes-Munoz </w:t>
      </w:r>
      <w:r w:rsidR="00D562F2">
        <w:t>et al</w:t>
      </w:r>
      <w:r w:rsidRPr="00DF5138">
        <w:t xml:space="preserve"> 2012b). The systematic review also reported a three-fold increased risk of developing gestational diabetes (OR 2.89, 95%CI 1.68–4.98, </w:t>
      </w:r>
      <w:r w:rsidRPr="00DF5138">
        <w:rPr>
          <w:i/>
        </w:rPr>
        <w:t>p</w:t>
      </w:r>
      <w:r w:rsidR="00B01366">
        <w:rPr>
          <w:i/>
        </w:rPr>
        <w:t> </w:t>
      </w:r>
      <w:r w:rsidRPr="00DF5138">
        <w:t>=</w:t>
      </w:r>
      <w:r w:rsidR="00B01366">
        <w:t> </w:t>
      </w:r>
      <w:r w:rsidRPr="00DF5138">
        <w:t>0.0001) in 15</w:t>
      </w:r>
      <w:r w:rsidRPr="00E07B1B">
        <w:t xml:space="preserve"> observational studies (Toulis </w:t>
      </w:r>
      <w:r w:rsidR="00D562F2">
        <w:t>et al</w:t>
      </w:r>
      <w:r w:rsidRPr="00E07B1B">
        <w:t xml:space="preserve"> 2009). The effect was only apparent in the cohort studies</w:t>
      </w:r>
      <w:r>
        <w:t>,</w:t>
      </w:r>
      <w:r w:rsidRPr="00E07B1B">
        <w:t xml:space="preserve"> not in case control studies. Due to high levels of heterogeneity</w:t>
      </w:r>
      <w:r>
        <w:t>,</w:t>
      </w:r>
      <w:r w:rsidRPr="00E07B1B">
        <w:t xml:space="preserve"> caution was suggested in interpreting any association between polycystic ovary syndrome related subfertility and developing gestational diabetes (Toulis </w:t>
      </w:r>
      <w:r w:rsidR="00D562F2">
        <w:t>et al</w:t>
      </w:r>
      <w:r w:rsidRPr="00E07B1B">
        <w:t xml:space="preserve"> 2009).</w:t>
      </w:r>
    </w:p>
    <w:p w:rsidR="0025490C" w:rsidRPr="00E07B1B" w:rsidRDefault="0025490C" w:rsidP="00B01366"/>
    <w:p w:rsidR="0025490C" w:rsidRPr="00E07B1B" w:rsidRDefault="0025490C" w:rsidP="00B01366">
      <w:pPr>
        <w:pStyle w:val="Heading4"/>
      </w:pPr>
      <w:bookmarkStart w:id="432" w:name="_Toc363717771"/>
      <w:r w:rsidRPr="00E07B1B">
        <w:t>Maternal height</w:t>
      </w:r>
      <w:bookmarkEnd w:id="432"/>
    </w:p>
    <w:p w:rsidR="0068074A" w:rsidRDefault="0025490C" w:rsidP="00B01366">
      <w:r w:rsidRPr="00E07B1B">
        <w:t xml:space="preserve">Four studies reported an increased risk for women of short stature (Rudra </w:t>
      </w:r>
      <w:r w:rsidR="00D562F2">
        <w:t>et al</w:t>
      </w:r>
      <w:r w:rsidRPr="00E07B1B">
        <w:t xml:space="preserve"> 2007</w:t>
      </w:r>
      <w:r>
        <w:t xml:space="preserve">; </w:t>
      </w:r>
      <w:r w:rsidRPr="00E07B1B">
        <w:t xml:space="preserve">Yang </w:t>
      </w:r>
      <w:r w:rsidR="00D562F2">
        <w:t>et al</w:t>
      </w:r>
      <w:r w:rsidRPr="00E07B1B">
        <w:t xml:space="preserve"> 2009;</w:t>
      </w:r>
      <w:r>
        <w:t xml:space="preserve"> </w:t>
      </w:r>
      <w:r w:rsidRPr="00E07B1B">
        <w:t xml:space="preserve">Ogonowski </w:t>
      </w:r>
      <w:r w:rsidR="00D562F2">
        <w:t>et al</w:t>
      </w:r>
      <w:r w:rsidRPr="00E07B1B">
        <w:t xml:space="preserve"> 2010; Lagerros </w:t>
      </w:r>
      <w:r w:rsidR="00D562F2">
        <w:t>et al</w:t>
      </w:r>
      <w:r w:rsidRPr="00E07B1B">
        <w:t xml:space="preserve"> 2012).</w:t>
      </w:r>
    </w:p>
    <w:p w:rsidR="0025490C" w:rsidRPr="00E07B1B" w:rsidRDefault="0025490C" w:rsidP="00B01366">
      <w:bookmarkStart w:id="433" w:name="_Toc363717772"/>
    </w:p>
    <w:p w:rsidR="0025490C" w:rsidRPr="00E07B1B" w:rsidRDefault="0025490C" w:rsidP="00B01366">
      <w:pPr>
        <w:pStyle w:val="Heading4"/>
      </w:pPr>
      <w:r w:rsidRPr="00E07B1B">
        <w:t>Socioeconomic status</w:t>
      </w:r>
      <w:bookmarkEnd w:id="433"/>
    </w:p>
    <w:p w:rsidR="0025490C" w:rsidRPr="00E07B1B" w:rsidRDefault="0025490C" w:rsidP="00B01366">
      <w:pPr>
        <w:keepLines/>
      </w:pPr>
      <w:r w:rsidRPr="00E07B1B">
        <w:t>Women with a low income were identified with a 16% increased risk of developing gestational diabetes (adj OR 1.16; 95%CI 1.05</w:t>
      </w:r>
      <w:r>
        <w:t>–</w:t>
      </w:r>
      <w:r w:rsidRPr="00E07B1B">
        <w:t>1.3</w:t>
      </w:r>
      <w:r>
        <w:t>,</w:t>
      </w:r>
      <w:r w:rsidRPr="00E07B1B">
        <w:t xml:space="preserve"> </w:t>
      </w:r>
      <w:r w:rsidRPr="00DF5138">
        <w:rPr>
          <w:i/>
        </w:rPr>
        <w:t>p</w:t>
      </w:r>
      <w:r>
        <w:t xml:space="preserve"> </w:t>
      </w:r>
      <w:r w:rsidRPr="00E07B1B">
        <w:t>=</w:t>
      </w:r>
      <w:r>
        <w:t xml:space="preserve"> </w:t>
      </w:r>
      <w:r w:rsidRPr="00E07B1B">
        <w:t xml:space="preserve">0.004), and women who were classified as housewives were at increased risk of developing gestational diabetes compared </w:t>
      </w:r>
      <w:r>
        <w:t>with</w:t>
      </w:r>
      <w:r w:rsidRPr="00E07B1B">
        <w:t xml:space="preserve"> skilled workers (adj OR 1.21, 95%CI 1.14</w:t>
      </w:r>
      <w:r>
        <w:t>–</w:t>
      </w:r>
      <w:r w:rsidRPr="00E07B1B">
        <w:t xml:space="preserve">1.29) (Schneider </w:t>
      </w:r>
      <w:r w:rsidR="00D562F2">
        <w:t>et al</w:t>
      </w:r>
      <w:r w:rsidRPr="00E07B1B">
        <w:t xml:space="preserve"> 2011). In a Canadian study of First Nation indigenous people, there was an increased risk of developing gestational diabetes for women living in rural areas compared with </w:t>
      </w:r>
      <w:r>
        <w:t xml:space="preserve">those in </w:t>
      </w:r>
      <w:r w:rsidRPr="00E07B1B">
        <w:t>urban areas (adj OR 0.78; 95%CI</w:t>
      </w:r>
      <w:r w:rsidR="00B01366">
        <w:br/>
      </w:r>
      <w:r w:rsidRPr="00E07B1B">
        <w:t>0.74</w:t>
      </w:r>
      <w:r>
        <w:t>–</w:t>
      </w:r>
      <w:r w:rsidRPr="00E07B1B">
        <w:t xml:space="preserve">0.82, </w:t>
      </w:r>
      <w:r w:rsidRPr="00DF5138">
        <w:rPr>
          <w:i/>
        </w:rPr>
        <w:t>p</w:t>
      </w:r>
      <w:r>
        <w:t xml:space="preserve"> </w:t>
      </w:r>
      <w:r w:rsidRPr="00E07B1B">
        <w:t xml:space="preserve">&lt; 0.01) and this difference was </w:t>
      </w:r>
      <w:r>
        <w:t>particularly apparent</w:t>
      </w:r>
      <w:r w:rsidRPr="00E07B1B">
        <w:t xml:space="preserve"> in</w:t>
      </w:r>
      <w:r>
        <w:t xml:space="preserve"> </w:t>
      </w:r>
      <w:r w:rsidRPr="00E07B1B">
        <w:t xml:space="preserve">those living on First Nation reserves (Aljohani </w:t>
      </w:r>
      <w:r w:rsidR="00D562F2">
        <w:t>et al</w:t>
      </w:r>
      <w:r w:rsidRPr="00E07B1B">
        <w:t xml:space="preserve"> 2008).</w:t>
      </w:r>
    </w:p>
    <w:p w:rsidR="0025490C" w:rsidRPr="00E07B1B" w:rsidRDefault="0025490C" w:rsidP="00B01366"/>
    <w:p w:rsidR="0068074A" w:rsidRDefault="0025490C" w:rsidP="00B01366">
      <w:pPr>
        <w:pStyle w:val="Heading4"/>
      </w:pPr>
      <w:bookmarkStart w:id="434" w:name="_Toc363717773"/>
      <w:r w:rsidRPr="00E07B1B">
        <w:t>Physical inactivity</w:t>
      </w:r>
      <w:bookmarkEnd w:id="434"/>
    </w:p>
    <w:p w:rsidR="0025490C" w:rsidRDefault="0025490C" w:rsidP="00B01366">
      <w:r w:rsidRPr="00E07B1B">
        <w:t xml:space="preserve">Participation in sports </w:t>
      </w:r>
      <w:r>
        <w:t>for less than two</w:t>
      </w:r>
      <w:r w:rsidRPr="00E07B1B">
        <w:t xml:space="preserve"> days per week increased the risk of developing gestational diabetes. No risk estimates were provided (Ramos-Levi </w:t>
      </w:r>
      <w:r w:rsidR="00D562F2">
        <w:t>et al</w:t>
      </w:r>
      <w:r w:rsidRPr="00E07B1B">
        <w:t xml:space="preserve"> 2012). Women who were classified as </w:t>
      </w:r>
      <w:r w:rsidR="0068074A">
        <w:t>‘</w:t>
      </w:r>
      <w:r w:rsidRPr="00E07B1B">
        <w:t>inactive</w:t>
      </w:r>
      <w:r w:rsidR="0068074A">
        <w:t>’</w:t>
      </w:r>
      <w:r w:rsidRPr="00E07B1B">
        <w:t xml:space="preserve"> before or during early pregnancy had OR 7.9 (95%CI 3.7</w:t>
      </w:r>
      <w:r>
        <w:t>–</w:t>
      </w:r>
      <w:r w:rsidRPr="00E07B1B">
        <w:t xml:space="preserve">16.56) and OR 1.3 (95%CI 1.2 </w:t>
      </w:r>
      <w:r>
        <w:t>–</w:t>
      </w:r>
      <w:r w:rsidRPr="00E07B1B">
        <w:t xml:space="preserve">1.4) respectively for developing gestational diabetes compared with those classified as </w:t>
      </w:r>
      <w:r w:rsidR="0068074A">
        <w:t>‘</w:t>
      </w:r>
      <w:r w:rsidRPr="00E07B1B">
        <w:t>minimally active</w:t>
      </w:r>
      <w:r w:rsidR="0068074A">
        <w:t>’</w:t>
      </w:r>
      <w:r w:rsidRPr="00E07B1B">
        <w:t xml:space="preserve"> or </w:t>
      </w:r>
      <w:r w:rsidR="0068074A">
        <w:t>‘</w:t>
      </w:r>
      <w:r w:rsidRPr="00E07B1B">
        <w:t>active</w:t>
      </w:r>
      <w:r w:rsidR="0068074A">
        <w:t>’</w:t>
      </w:r>
      <w:r w:rsidRPr="00E07B1B">
        <w:t xml:space="preserve"> women. There was a negative correlation between pre-pregnancy BMI and physical activity before pregnancy. Pregnancy resulted in a decrease in physical activity regardless of diagnosis (</w:t>
      </w:r>
      <w:r w:rsidRPr="00DF5138">
        <w:rPr>
          <w:i/>
        </w:rPr>
        <w:t>p</w:t>
      </w:r>
      <w:r>
        <w:t xml:space="preserve"> </w:t>
      </w:r>
      <w:r w:rsidRPr="00E07B1B">
        <w:t>&lt;</w:t>
      </w:r>
      <w:r>
        <w:t xml:space="preserve"> </w:t>
      </w:r>
      <w:r w:rsidRPr="00E07B1B">
        <w:t xml:space="preserve">0.001) (Harizopoulou </w:t>
      </w:r>
      <w:r w:rsidR="00D562F2">
        <w:t>et al</w:t>
      </w:r>
      <w:r w:rsidRPr="00E07B1B">
        <w:t xml:space="preserve"> 2010).</w:t>
      </w:r>
    </w:p>
    <w:p w:rsidR="0025490C" w:rsidRPr="00E07B1B" w:rsidRDefault="0025490C" w:rsidP="00B01366"/>
    <w:p w:rsidR="0025490C" w:rsidRPr="00E07B1B" w:rsidRDefault="0025490C" w:rsidP="00B01366">
      <w:pPr>
        <w:pStyle w:val="Heading4"/>
      </w:pPr>
      <w:bookmarkStart w:id="435" w:name="_Toc363717774"/>
      <w:r w:rsidRPr="00E07B1B">
        <w:t>Obstetric history</w:t>
      </w:r>
      <w:bookmarkEnd w:id="435"/>
    </w:p>
    <w:p w:rsidR="0025490C" w:rsidRDefault="0025490C" w:rsidP="00B01366">
      <w:r w:rsidRPr="00E07B1B">
        <w:t>Women with a history of spontaneous abortion had an increased risk of developing gestational diabetes adj OR 1.46 (95%CI 1.12</w:t>
      </w:r>
      <w:r>
        <w:t>–</w:t>
      </w:r>
      <w:r w:rsidRPr="00E07B1B">
        <w:t xml:space="preserve">1.91, </w:t>
      </w:r>
      <w:r w:rsidRPr="00DF5138">
        <w:rPr>
          <w:i/>
        </w:rPr>
        <w:t>p</w:t>
      </w:r>
      <w:r>
        <w:t xml:space="preserve"> </w:t>
      </w:r>
      <w:r w:rsidRPr="00E07B1B">
        <w:t>=</w:t>
      </w:r>
      <w:r>
        <w:t xml:space="preserve"> </w:t>
      </w:r>
      <w:r w:rsidRPr="00E07B1B">
        <w:t xml:space="preserve">0.03) (Yang </w:t>
      </w:r>
      <w:r w:rsidR="00D562F2">
        <w:t>et al</w:t>
      </w:r>
      <w:r w:rsidRPr="00E07B1B">
        <w:t xml:space="preserve"> 2009)</w:t>
      </w:r>
      <w:r>
        <w:t>.</w:t>
      </w:r>
      <w:r w:rsidRPr="00E07B1B">
        <w:t xml:space="preserve"> Compared with women with a normal screening test, women with </w:t>
      </w:r>
      <w:r>
        <w:t>gestational diabetes</w:t>
      </w:r>
      <w:r w:rsidRPr="00E07B1B">
        <w:t xml:space="preserve"> were more likely to have had an abortion (not specified) (adj OR 3.12, 95%CI 1.98</w:t>
      </w:r>
      <w:r>
        <w:t>–</w:t>
      </w:r>
      <w:r w:rsidRPr="00E07B1B">
        <w:t xml:space="preserve">4.91, </w:t>
      </w:r>
      <w:r w:rsidRPr="00DF5138">
        <w:rPr>
          <w:i/>
        </w:rPr>
        <w:t>p</w:t>
      </w:r>
      <w:r>
        <w:t xml:space="preserve"> </w:t>
      </w:r>
      <w:r w:rsidRPr="00E07B1B">
        <w:t>&lt;</w:t>
      </w:r>
      <w:r>
        <w:t xml:space="preserve"> </w:t>
      </w:r>
      <w:r w:rsidRPr="00E07B1B">
        <w:t>0.0001)</w:t>
      </w:r>
      <w:r>
        <w:t xml:space="preserve"> </w:t>
      </w:r>
      <w:r w:rsidRPr="00E07B1B">
        <w:t xml:space="preserve">(Hossein-Nezhad </w:t>
      </w:r>
      <w:r w:rsidR="00D562F2">
        <w:t>et al</w:t>
      </w:r>
      <w:r w:rsidRPr="00E07B1B">
        <w:t xml:space="preserve"> 2007). In an Iranian study previous pregnancy loss was not identified as a risk factor for gestational diabetes (Hoseini</w:t>
      </w:r>
      <w:r>
        <w:t xml:space="preserve"> </w:t>
      </w:r>
      <w:r w:rsidR="00D562F2">
        <w:t>et al</w:t>
      </w:r>
      <w:r w:rsidRPr="00E07B1B">
        <w:t xml:space="preserve"> 2011).</w:t>
      </w:r>
    </w:p>
    <w:p w:rsidR="0025490C" w:rsidRPr="00E07B1B" w:rsidRDefault="0025490C" w:rsidP="00B01366"/>
    <w:p w:rsidR="0025490C" w:rsidRPr="00E07B1B" w:rsidRDefault="0025490C" w:rsidP="00B01366">
      <w:pPr>
        <w:pStyle w:val="Heading4"/>
      </w:pPr>
      <w:bookmarkStart w:id="436" w:name="_Toc363717775"/>
      <w:r w:rsidRPr="00E07B1B">
        <w:t>Genetic variants</w:t>
      </w:r>
      <w:bookmarkEnd w:id="436"/>
    </w:p>
    <w:p w:rsidR="0025490C" w:rsidRDefault="0025490C" w:rsidP="00B01366">
      <w:r w:rsidRPr="00E07B1B">
        <w:t xml:space="preserve">A systematic review of 22 studies (10,336 cases and 17,445 controls) identified </w:t>
      </w:r>
      <w:r>
        <w:t>eight</w:t>
      </w:r>
      <w:r w:rsidRPr="00E07B1B">
        <w:t xml:space="preserve"> polymorphisms strongly associated with developing gestational diabetes. The relative contribution of these genetic variants and their relevance in the development of gestational diabetes </w:t>
      </w:r>
      <w:r>
        <w:t>are</w:t>
      </w:r>
      <w:r w:rsidRPr="00E07B1B">
        <w:t xml:space="preserve"> yet to be established (Mao </w:t>
      </w:r>
      <w:r w:rsidR="00D562F2">
        <w:t>et al</w:t>
      </w:r>
      <w:r w:rsidRPr="00E07B1B">
        <w:t xml:space="preserve"> 2012).</w:t>
      </w:r>
    </w:p>
    <w:p w:rsidR="0025490C" w:rsidRPr="00E07B1B" w:rsidRDefault="0025490C" w:rsidP="00B01366"/>
    <w:p w:rsidR="0025490C" w:rsidRPr="00E07B1B" w:rsidRDefault="0025490C" w:rsidP="00B01366">
      <w:pPr>
        <w:pStyle w:val="Heading4"/>
      </w:pPr>
      <w:bookmarkStart w:id="437" w:name="_Toc363717776"/>
      <w:r w:rsidRPr="00E07B1B">
        <w:t>Maternal comorbidity</w:t>
      </w:r>
      <w:bookmarkEnd w:id="437"/>
    </w:p>
    <w:p w:rsidR="0025490C" w:rsidRDefault="0025490C" w:rsidP="00B01366">
      <w:r w:rsidRPr="00E07B1B">
        <w:t>Maternal comorbidity including hypothyroidism (Hoseini</w:t>
      </w:r>
      <w:r>
        <w:t xml:space="preserve"> </w:t>
      </w:r>
      <w:r w:rsidR="00D562F2">
        <w:t>et al</w:t>
      </w:r>
      <w:r w:rsidRPr="00E07B1B">
        <w:t xml:space="preserve"> 2011)</w:t>
      </w:r>
      <w:r>
        <w:t>,</w:t>
      </w:r>
      <w:r w:rsidRPr="00E07B1B">
        <w:t xml:space="preserve"> chronic hypertension (Hoseini</w:t>
      </w:r>
      <w:r>
        <w:t xml:space="preserve"> </w:t>
      </w:r>
      <w:r w:rsidR="00D562F2">
        <w:t>et al</w:t>
      </w:r>
      <w:r w:rsidRPr="00E07B1B">
        <w:t xml:space="preserve"> 2011; Singh </w:t>
      </w:r>
      <w:r w:rsidR="00D562F2">
        <w:t>et al</w:t>
      </w:r>
      <w:r w:rsidRPr="00E07B1B">
        <w:t xml:space="preserve"> 2012)</w:t>
      </w:r>
      <w:r>
        <w:t xml:space="preserve"> and</w:t>
      </w:r>
      <w:r w:rsidRPr="00E07B1B">
        <w:t xml:space="preserve"> candida infection (Yang </w:t>
      </w:r>
      <w:r w:rsidR="00D562F2">
        <w:t>et al</w:t>
      </w:r>
      <w:r w:rsidRPr="00E07B1B">
        <w:t xml:space="preserve"> 2009</w:t>
      </w:r>
      <w:r>
        <w:t xml:space="preserve">; </w:t>
      </w:r>
      <w:r w:rsidRPr="00E07B1B">
        <w:t xml:space="preserve">Bhat </w:t>
      </w:r>
      <w:r w:rsidR="00D562F2">
        <w:t>et al</w:t>
      </w:r>
      <w:r w:rsidRPr="00E07B1B">
        <w:t xml:space="preserve"> 2010) were associated with increased risk of developing gestational diabetes.</w:t>
      </w:r>
    </w:p>
    <w:p w:rsidR="00B01366" w:rsidRPr="00E07B1B" w:rsidRDefault="00B01366" w:rsidP="00B01366"/>
    <w:p w:rsidR="0025490C" w:rsidRPr="00E07B1B" w:rsidRDefault="0025490C" w:rsidP="00B01366">
      <w:pPr>
        <w:pStyle w:val="Table"/>
      </w:pPr>
      <w:bookmarkStart w:id="438" w:name="_Toc363717777"/>
      <w:bookmarkStart w:id="439" w:name="_Toc403635884"/>
      <w:r w:rsidRPr="00E07B1B">
        <w:t>Table 3</w:t>
      </w:r>
      <w:r w:rsidR="00B01366">
        <w:t>:</w:t>
      </w:r>
      <w:r w:rsidRPr="00E07B1B">
        <w:t xml:space="preserve"> Risk factors for previously undiagnosed type 2 diabetes</w:t>
      </w:r>
      <w:bookmarkEnd w:id="438"/>
      <w:bookmarkEnd w:id="439"/>
    </w:p>
    <w:tbl>
      <w:tblPr>
        <w:tblW w:w="0" w:type="auto"/>
        <w:tblInd w:w="57" w:type="dxa"/>
        <w:tblLayout w:type="fixed"/>
        <w:tblCellMar>
          <w:left w:w="57" w:type="dxa"/>
          <w:right w:w="57" w:type="dxa"/>
        </w:tblCellMar>
        <w:tblLook w:val="00A0" w:firstRow="1" w:lastRow="0" w:firstColumn="1" w:lastColumn="0" w:noHBand="0" w:noVBand="0"/>
      </w:tblPr>
      <w:tblGrid>
        <w:gridCol w:w="1985"/>
        <w:gridCol w:w="7371"/>
      </w:tblGrid>
      <w:tr w:rsidR="0025490C" w:rsidRPr="00B01366" w:rsidTr="007E6190">
        <w:trPr>
          <w:cantSplit/>
          <w:tblHeader/>
        </w:trPr>
        <w:tc>
          <w:tcPr>
            <w:tcW w:w="1985" w:type="dxa"/>
            <w:tcBorders>
              <w:top w:val="single" w:sz="4" w:space="0" w:color="auto"/>
              <w:bottom w:val="single" w:sz="4" w:space="0" w:color="auto"/>
            </w:tcBorders>
            <w:shd w:val="clear" w:color="auto" w:fill="auto"/>
          </w:tcPr>
          <w:p w:rsidR="0025490C" w:rsidRPr="00B01366" w:rsidRDefault="0025490C" w:rsidP="00B01366">
            <w:pPr>
              <w:pStyle w:val="TableText"/>
              <w:keepNext/>
              <w:ind w:right="142"/>
              <w:rPr>
                <w:b/>
              </w:rPr>
            </w:pPr>
            <w:r w:rsidRPr="00B01366">
              <w:rPr>
                <w:b/>
              </w:rPr>
              <w:t>Reference</w:t>
            </w:r>
          </w:p>
        </w:tc>
        <w:tc>
          <w:tcPr>
            <w:tcW w:w="7371" w:type="dxa"/>
            <w:tcBorders>
              <w:top w:val="single" w:sz="4" w:space="0" w:color="auto"/>
              <w:bottom w:val="single" w:sz="4" w:space="0" w:color="auto"/>
            </w:tcBorders>
            <w:shd w:val="clear" w:color="auto" w:fill="auto"/>
          </w:tcPr>
          <w:p w:rsidR="0025490C" w:rsidRPr="00B01366" w:rsidRDefault="00B01366" w:rsidP="00B01366">
            <w:pPr>
              <w:pStyle w:val="TableText"/>
              <w:keepNext/>
              <w:rPr>
                <w:b/>
              </w:rPr>
            </w:pPr>
            <w:r>
              <w:rPr>
                <w:b/>
              </w:rPr>
              <w:t>Risk factors</w:t>
            </w:r>
          </w:p>
        </w:tc>
      </w:tr>
      <w:tr w:rsidR="0025490C" w:rsidRPr="00E07B1B" w:rsidTr="007E6190">
        <w:trPr>
          <w:cantSplit/>
        </w:trPr>
        <w:tc>
          <w:tcPr>
            <w:tcW w:w="1985" w:type="dxa"/>
            <w:tcBorders>
              <w:top w:val="single" w:sz="4" w:space="0" w:color="auto"/>
            </w:tcBorders>
            <w:shd w:val="clear" w:color="auto" w:fill="F2F2F2" w:themeFill="background1" w:themeFillShade="F2"/>
          </w:tcPr>
          <w:p w:rsidR="0025490C" w:rsidRPr="00E07B1B" w:rsidRDefault="0025490C" w:rsidP="00B01366">
            <w:pPr>
              <w:pStyle w:val="TableText"/>
              <w:ind w:right="142"/>
            </w:pPr>
            <w:r w:rsidRPr="00E07B1B">
              <w:t>American Diabetes Association (2012)</w:t>
            </w:r>
          </w:p>
        </w:tc>
        <w:tc>
          <w:tcPr>
            <w:tcW w:w="7371" w:type="dxa"/>
            <w:tcBorders>
              <w:top w:val="single" w:sz="4" w:space="0" w:color="auto"/>
            </w:tcBorders>
            <w:shd w:val="clear" w:color="auto" w:fill="F2F2F2" w:themeFill="background1" w:themeFillShade="F2"/>
          </w:tcPr>
          <w:p w:rsidR="0025490C" w:rsidRPr="00E07B1B" w:rsidRDefault="0025490C" w:rsidP="006B3F78">
            <w:pPr>
              <w:pStyle w:val="TableText"/>
              <w:spacing w:after="30"/>
            </w:pPr>
            <w:r w:rsidRPr="00E07B1B">
              <w:t>Body mass index ≥ 25 kg/m</w:t>
            </w:r>
            <w:r w:rsidRPr="00E07B1B">
              <w:rPr>
                <w:vertAlign w:val="superscript"/>
              </w:rPr>
              <w:t>2</w:t>
            </w:r>
            <w:r w:rsidRPr="00E07B1B">
              <w:t xml:space="preserve"> and having one or more additional risk factors present. Those risk factors are</w:t>
            </w:r>
            <w:r>
              <w:t>:</w:t>
            </w:r>
          </w:p>
          <w:p w:rsidR="0025490C" w:rsidRPr="00E07B1B" w:rsidRDefault="0025490C" w:rsidP="006B3F78">
            <w:pPr>
              <w:pStyle w:val="TableBullet"/>
              <w:spacing w:after="30"/>
              <w:ind w:left="284"/>
            </w:pPr>
            <w:r>
              <w:t>p</w:t>
            </w:r>
            <w:r w:rsidRPr="00E07B1B">
              <w:t>hysical inactivity</w:t>
            </w:r>
          </w:p>
          <w:p w:rsidR="0025490C" w:rsidRPr="00E07B1B" w:rsidRDefault="0025490C" w:rsidP="006B3F78">
            <w:pPr>
              <w:pStyle w:val="TableBullet"/>
              <w:spacing w:after="30"/>
              <w:ind w:left="284"/>
            </w:pPr>
            <w:r>
              <w:t>f</w:t>
            </w:r>
            <w:r w:rsidRPr="00E07B1B">
              <w:t>irst</w:t>
            </w:r>
            <w:r>
              <w:t>-</w:t>
            </w:r>
            <w:r w:rsidRPr="00E07B1B">
              <w:t>degree relative with diabetes</w:t>
            </w:r>
          </w:p>
          <w:p w:rsidR="0025490C" w:rsidRPr="00E07B1B" w:rsidRDefault="0025490C" w:rsidP="006B3F78">
            <w:pPr>
              <w:pStyle w:val="TableBullet"/>
              <w:spacing w:after="30"/>
              <w:ind w:left="284"/>
            </w:pPr>
            <w:r>
              <w:t>h</w:t>
            </w:r>
            <w:r w:rsidRPr="00E07B1B">
              <w:t>igh-risk race/ethnicity (eg</w:t>
            </w:r>
            <w:r>
              <w:t>,</w:t>
            </w:r>
            <w:r w:rsidRPr="00E07B1B">
              <w:t xml:space="preserve"> African American, Latino, native American, Asian American, Pacific Islander)</w:t>
            </w:r>
          </w:p>
          <w:p w:rsidR="0025490C" w:rsidRPr="00E07B1B" w:rsidRDefault="0025490C" w:rsidP="006B3F78">
            <w:pPr>
              <w:pStyle w:val="TableBullet"/>
              <w:spacing w:after="30"/>
              <w:ind w:left="284"/>
            </w:pPr>
            <w:r>
              <w:t>w</w:t>
            </w:r>
            <w:r w:rsidRPr="00E07B1B">
              <w:t xml:space="preserve">omen who delivered a baby weighing 4000 g or who were diagnosed with </w:t>
            </w:r>
            <w:r>
              <w:t>gestational diabetes</w:t>
            </w:r>
          </w:p>
          <w:p w:rsidR="0025490C" w:rsidRPr="00E07B1B" w:rsidRDefault="0025490C" w:rsidP="006B3F78">
            <w:pPr>
              <w:pStyle w:val="TableBullet"/>
              <w:spacing w:after="30"/>
              <w:ind w:left="284"/>
            </w:pPr>
            <w:r>
              <w:t>h</w:t>
            </w:r>
            <w:r w:rsidRPr="00E07B1B">
              <w:t>ypertension (blood pressure</w:t>
            </w:r>
            <w:r>
              <w:t xml:space="preserve"> </w:t>
            </w:r>
            <w:r w:rsidRPr="00E07B1B">
              <w:t>≥ 140/90 mmHg</w:t>
            </w:r>
            <w:r>
              <w:t>)</w:t>
            </w:r>
            <w:r w:rsidRPr="00E07B1B">
              <w:t xml:space="preserve"> or on therapy for hypertension</w:t>
            </w:r>
          </w:p>
          <w:p w:rsidR="0025490C" w:rsidRPr="00E07B1B" w:rsidRDefault="0025490C" w:rsidP="006B3F78">
            <w:pPr>
              <w:pStyle w:val="TableBullet"/>
              <w:spacing w:after="30"/>
              <w:ind w:left="284"/>
            </w:pPr>
            <w:r>
              <w:t>h</w:t>
            </w:r>
            <w:r w:rsidRPr="00E07B1B">
              <w:t>igh density lipoprotein cholesterol level &lt;35 mg/dL (0.9 mmol/L) and/or a triglyceride level</w:t>
            </w:r>
            <w:r w:rsidR="0068074A">
              <w:t xml:space="preserve"> </w:t>
            </w:r>
            <w:r w:rsidRPr="00E07B1B">
              <w:t>&gt;</w:t>
            </w:r>
            <w:r>
              <w:t xml:space="preserve"> </w:t>
            </w:r>
            <w:r w:rsidRPr="00E07B1B">
              <w:t>250 mg/dL (2.82 mmol/L)</w:t>
            </w:r>
          </w:p>
          <w:p w:rsidR="0025490C" w:rsidRPr="00E07B1B" w:rsidRDefault="0025490C" w:rsidP="006B3F78">
            <w:pPr>
              <w:pStyle w:val="TableBullet"/>
              <w:spacing w:after="30"/>
              <w:ind w:left="284"/>
            </w:pPr>
            <w:r>
              <w:t>w</w:t>
            </w:r>
            <w:r w:rsidRPr="00E07B1B">
              <w:t>omen with polycystic ovary syndrome</w:t>
            </w:r>
          </w:p>
          <w:p w:rsidR="0025490C" w:rsidRPr="00E07B1B" w:rsidRDefault="0025490C" w:rsidP="006B3F78">
            <w:pPr>
              <w:pStyle w:val="TableBullet"/>
              <w:spacing w:after="30"/>
              <w:ind w:left="284"/>
            </w:pPr>
            <w:r w:rsidRPr="00E07B1B">
              <w:t xml:space="preserve">HbA1c ≥5.7%, </w:t>
            </w:r>
            <w:r>
              <w:t>i</w:t>
            </w:r>
            <w:r w:rsidRPr="00E07B1B">
              <w:t xml:space="preserve">mpaired glucose tolerance, or </w:t>
            </w:r>
            <w:r>
              <w:t>i</w:t>
            </w:r>
            <w:r w:rsidRPr="00E07B1B">
              <w:t>mpaired fasting glucose on previous testing</w:t>
            </w:r>
          </w:p>
          <w:p w:rsidR="0025490C" w:rsidRPr="00E07B1B" w:rsidRDefault="0025490C" w:rsidP="006B3F78">
            <w:pPr>
              <w:pStyle w:val="TableBullet"/>
              <w:spacing w:after="30"/>
              <w:ind w:left="284"/>
            </w:pPr>
            <w:r>
              <w:t>o</w:t>
            </w:r>
            <w:r w:rsidRPr="00E07B1B">
              <w:t>ther clinical conditions associated with insulin resistance (eg</w:t>
            </w:r>
            <w:r>
              <w:t>,</w:t>
            </w:r>
            <w:r w:rsidRPr="00E07B1B">
              <w:t xml:space="preserve"> severe obesity, acanthosis nigricans)</w:t>
            </w:r>
          </w:p>
          <w:p w:rsidR="0025490C" w:rsidRPr="00E07B1B" w:rsidRDefault="0025490C" w:rsidP="007E6190">
            <w:pPr>
              <w:pStyle w:val="TableBullet"/>
              <w:ind w:left="284"/>
            </w:pPr>
            <w:r>
              <w:t>h</w:t>
            </w:r>
            <w:r w:rsidRPr="00E07B1B">
              <w:t>istory of cardiovascular disease</w:t>
            </w:r>
            <w:r>
              <w:t>.</w:t>
            </w:r>
          </w:p>
        </w:tc>
      </w:tr>
      <w:tr w:rsidR="0025490C" w:rsidRPr="00E07B1B" w:rsidTr="007E6190">
        <w:trPr>
          <w:cantSplit/>
        </w:trPr>
        <w:tc>
          <w:tcPr>
            <w:tcW w:w="1985" w:type="dxa"/>
            <w:shd w:val="clear" w:color="auto" w:fill="auto"/>
          </w:tcPr>
          <w:p w:rsidR="0025490C" w:rsidRPr="00E07B1B" w:rsidRDefault="0025490C" w:rsidP="00E12339">
            <w:pPr>
              <w:pStyle w:val="TableText"/>
              <w:ind w:right="142"/>
            </w:pPr>
            <w:r w:rsidRPr="00E07B1B">
              <w:t>Canadian Task Force on Preventative Health Care (2012)</w:t>
            </w:r>
          </w:p>
        </w:tc>
        <w:tc>
          <w:tcPr>
            <w:tcW w:w="7371" w:type="dxa"/>
            <w:shd w:val="clear" w:color="auto" w:fill="auto"/>
          </w:tcPr>
          <w:p w:rsidR="0025490C" w:rsidRPr="00E07B1B" w:rsidRDefault="0025490C" w:rsidP="006B3F78">
            <w:pPr>
              <w:pStyle w:val="TableBullet"/>
              <w:spacing w:before="60" w:after="30"/>
              <w:ind w:left="284"/>
            </w:pPr>
            <w:r w:rsidRPr="00E07B1B">
              <w:t>Age &gt; 45 years</w:t>
            </w:r>
          </w:p>
          <w:p w:rsidR="0025490C" w:rsidRPr="00E07B1B" w:rsidRDefault="0025490C" w:rsidP="006B3F78">
            <w:pPr>
              <w:pStyle w:val="TableBullet"/>
              <w:spacing w:after="30"/>
              <w:ind w:left="284"/>
            </w:pPr>
            <w:r w:rsidRPr="00E07B1B">
              <w:t>Body mass index &gt; 25 kg/m</w:t>
            </w:r>
            <w:r w:rsidRPr="00DF5138">
              <w:rPr>
                <w:vertAlign w:val="superscript"/>
              </w:rPr>
              <w:t>2</w:t>
            </w:r>
          </w:p>
          <w:p w:rsidR="0025490C" w:rsidRPr="00E07B1B" w:rsidRDefault="0025490C" w:rsidP="006B3F78">
            <w:pPr>
              <w:pStyle w:val="TableBullet"/>
              <w:spacing w:after="30"/>
              <w:ind w:left="284"/>
            </w:pPr>
            <w:r w:rsidRPr="00E07B1B">
              <w:t>Waist circumference &gt; 80 cm</w:t>
            </w:r>
          </w:p>
          <w:p w:rsidR="0025490C" w:rsidRPr="00E07B1B" w:rsidRDefault="0025490C" w:rsidP="006B3F78">
            <w:pPr>
              <w:pStyle w:val="TableBullet"/>
              <w:spacing w:after="30"/>
              <w:ind w:left="284"/>
            </w:pPr>
            <w:r w:rsidRPr="00E07B1B">
              <w:t>Physical inactivity &lt; 30 minutes/day</w:t>
            </w:r>
          </w:p>
          <w:p w:rsidR="0025490C" w:rsidRPr="00E07B1B" w:rsidRDefault="0025490C" w:rsidP="006B3F78">
            <w:pPr>
              <w:pStyle w:val="TableBullet"/>
              <w:spacing w:after="30"/>
              <w:ind w:left="284"/>
            </w:pPr>
            <w:r w:rsidRPr="00E07B1B">
              <w:t>No daily consumption of fruits, vegetables or berries</w:t>
            </w:r>
          </w:p>
          <w:p w:rsidR="0025490C" w:rsidRPr="00E07B1B" w:rsidRDefault="0025490C" w:rsidP="006B3F78">
            <w:pPr>
              <w:pStyle w:val="TableBullet"/>
              <w:spacing w:after="30"/>
              <w:ind w:left="284"/>
            </w:pPr>
            <w:r w:rsidRPr="00E07B1B">
              <w:t>Any history of hyperglycaemia</w:t>
            </w:r>
          </w:p>
          <w:p w:rsidR="0025490C" w:rsidRPr="00E07B1B" w:rsidRDefault="0025490C" w:rsidP="006B3F78">
            <w:pPr>
              <w:pStyle w:val="TableBullet"/>
              <w:spacing w:after="30"/>
              <w:ind w:left="284"/>
            </w:pPr>
            <w:r w:rsidRPr="00E07B1B">
              <w:t>Family history (</w:t>
            </w:r>
            <w:r>
              <w:t>first-</w:t>
            </w:r>
            <w:r w:rsidRPr="00E07B1B">
              <w:t xml:space="preserve"> or </w:t>
            </w:r>
            <w:r>
              <w:t>second-</w:t>
            </w:r>
            <w:r w:rsidRPr="00E07B1B">
              <w:t>degree relative) of type 1 or 2 diabetes</w:t>
            </w:r>
          </w:p>
          <w:p w:rsidR="0025490C" w:rsidRPr="00E07B1B" w:rsidRDefault="0025490C" w:rsidP="007E6190">
            <w:pPr>
              <w:pStyle w:val="TableBullet"/>
              <w:ind w:left="284"/>
            </w:pPr>
            <w:r w:rsidRPr="00E07B1B">
              <w:t>History of hypertension requiring medication</w:t>
            </w:r>
          </w:p>
        </w:tc>
      </w:tr>
      <w:tr w:rsidR="0025490C" w:rsidRPr="00E07B1B" w:rsidTr="007E6190">
        <w:trPr>
          <w:cantSplit/>
        </w:trPr>
        <w:tc>
          <w:tcPr>
            <w:tcW w:w="1985" w:type="dxa"/>
            <w:shd w:val="clear" w:color="auto" w:fill="F2F2F2" w:themeFill="background1" w:themeFillShade="F2"/>
          </w:tcPr>
          <w:p w:rsidR="0025490C" w:rsidRPr="00E07B1B" w:rsidRDefault="0025490C" w:rsidP="007E6190">
            <w:pPr>
              <w:pStyle w:val="TableText"/>
              <w:ind w:right="142"/>
            </w:pPr>
            <w:r w:rsidRPr="00E07B1B">
              <w:t xml:space="preserve">National Institute </w:t>
            </w:r>
            <w:r>
              <w:t>for</w:t>
            </w:r>
            <w:r w:rsidRPr="00E07B1B">
              <w:t xml:space="preserve"> Health and </w:t>
            </w:r>
            <w:r>
              <w:t>Care</w:t>
            </w:r>
            <w:r w:rsidRPr="00E07B1B">
              <w:t xml:space="preserve"> Excellence (</w:t>
            </w:r>
            <w:r>
              <w:t xml:space="preserve">NICE </w:t>
            </w:r>
            <w:r w:rsidRPr="00E07B1B">
              <w:t>2012)</w:t>
            </w:r>
          </w:p>
        </w:tc>
        <w:tc>
          <w:tcPr>
            <w:tcW w:w="7371" w:type="dxa"/>
            <w:shd w:val="clear" w:color="auto" w:fill="F2F2F2" w:themeFill="background1" w:themeFillShade="F2"/>
          </w:tcPr>
          <w:p w:rsidR="0025490C" w:rsidRPr="00E07B1B" w:rsidRDefault="0025490C" w:rsidP="006B3F78">
            <w:pPr>
              <w:pStyle w:val="TableBullet"/>
              <w:spacing w:before="60" w:after="30"/>
              <w:ind w:left="284"/>
            </w:pPr>
            <w:r w:rsidRPr="00E07B1B">
              <w:t>Age ≥ 40 years</w:t>
            </w:r>
          </w:p>
          <w:p w:rsidR="0025490C" w:rsidRPr="00E07B1B" w:rsidRDefault="0025490C" w:rsidP="006B3F78">
            <w:pPr>
              <w:pStyle w:val="TableBullet"/>
              <w:spacing w:after="30"/>
              <w:ind w:left="284"/>
            </w:pPr>
            <w:r w:rsidRPr="00E07B1B">
              <w:t>Age 25</w:t>
            </w:r>
            <w:r>
              <w:t>–</w:t>
            </w:r>
            <w:r w:rsidRPr="00E07B1B">
              <w:t xml:space="preserve">39 years if South Asian, Chinese, African Caribbean, </w:t>
            </w:r>
            <w:r>
              <w:t>B</w:t>
            </w:r>
            <w:r w:rsidRPr="00E07B1B">
              <w:t xml:space="preserve">lack African </w:t>
            </w:r>
            <w:r>
              <w:t>or an</w:t>
            </w:r>
            <w:r w:rsidRPr="00E07B1B">
              <w:t>other high</w:t>
            </w:r>
            <w:r>
              <w:t>-</w:t>
            </w:r>
            <w:r w:rsidRPr="00E07B1B">
              <w:t xml:space="preserve">risk black </w:t>
            </w:r>
            <w:r>
              <w:t>or</w:t>
            </w:r>
            <w:r w:rsidRPr="00E07B1B">
              <w:t xml:space="preserve"> minority group</w:t>
            </w:r>
          </w:p>
          <w:p w:rsidR="0025490C" w:rsidRPr="00E07B1B" w:rsidRDefault="0025490C" w:rsidP="007E6190">
            <w:pPr>
              <w:pStyle w:val="TableBullet"/>
              <w:ind w:left="284"/>
            </w:pPr>
            <w:r w:rsidRPr="00E07B1B">
              <w:t>People with conditions that increase the risk of type 2 diabetes (cardiovascular disease, hypertension, obesity, polycystic ovary syndrome, history of gestational diabetes, and people with mental health problems)</w:t>
            </w:r>
          </w:p>
        </w:tc>
      </w:tr>
      <w:tr w:rsidR="0025490C" w:rsidRPr="00E07B1B" w:rsidTr="00366DD0">
        <w:trPr>
          <w:cantSplit/>
        </w:trPr>
        <w:tc>
          <w:tcPr>
            <w:tcW w:w="1985" w:type="dxa"/>
            <w:shd w:val="clear" w:color="auto" w:fill="auto"/>
          </w:tcPr>
          <w:p w:rsidR="0025490C" w:rsidRPr="00E07B1B" w:rsidRDefault="0025490C" w:rsidP="00E12339">
            <w:pPr>
              <w:pStyle w:val="TableText"/>
              <w:ind w:right="142"/>
            </w:pPr>
            <w:r w:rsidRPr="00E07B1B">
              <w:t>Wis</w:t>
            </w:r>
            <w:r>
              <w:t>c</w:t>
            </w:r>
            <w:r w:rsidRPr="00E07B1B">
              <w:t>onsin Diabetes Mellitus Essential Care Guidelines (</w:t>
            </w:r>
            <w:r>
              <w:t>Wisconsin Department of Health Services</w:t>
            </w:r>
            <w:r w:rsidRPr="00E07B1B">
              <w:t xml:space="preserve"> 2012)</w:t>
            </w:r>
          </w:p>
        </w:tc>
        <w:tc>
          <w:tcPr>
            <w:tcW w:w="7371" w:type="dxa"/>
            <w:shd w:val="clear" w:color="auto" w:fill="auto"/>
          </w:tcPr>
          <w:p w:rsidR="0025490C" w:rsidRPr="00E07B1B" w:rsidRDefault="0025490C" w:rsidP="006B3F78">
            <w:pPr>
              <w:pStyle w:val="TableBullet"/>
              <w:spacing w:before="60" w:after="30"/>
              <w:ind w:left="284"/>
            </w:pPr>
            <w:r w:rsidRPr="00E07B1B">
              <w:t>Body mass index</w:t>
            </w:r>
            <w:r>
              <w:t xml:space="preserve"> </w:t>
            </w:r>
            <w:r w:rsidRPr="00E07B1B">
              <w:t>≥ 25 kg/m</w:t>
            </w:r>
            <w:r w:rsidRPr="00E07B1B">
              <w:rPr>
                <w:vertAlign w:val="superscript"/>
              </w:rPr>
              <w:t>2</w:t>
            </w:r>
          </w:p>
          <w:p w:rsidR="0025490C" w:rsidRPr="00E07B1B" w:rsidRDefault="0025490C" w:rsidP="006B3F78">
            <w:pPr>
              <w:pStyle w:val="TableBullet"/>
              <w:spacing w:after="30"/>
              <w:ind w:left="284"/>
            </w:pPr>
            <w:r w:rsidRPr="00E07B1B">
              <w:t xml:space="preserve">A1C ≥ 5.7%, </w:t>
            </w:r>
            <w:r>
              <w:t>i</w:t>
            </w:r>
            <w:r w:rsidRPr="00E07B1B">
              <w:t>mpaired glucose tolerance or impaired fasting glucose or prediabetes</w:t>
            </w:r>
          </w:p>
          <w:p w:rsidR="0025490C" w:rsidRPr="00E07B1B" w:rsidRDefault="0025490C" w:rsidP="006B3F78">
            <w:pPr>
              <w:pStyle w:val="TableBullet"/>
              <w:spacing w:after="30"/>
              <w:ind w:left="284"/>
            </w:pPr>
            <w:r w:rsidRPr="00E07B1B">
              <w:t xml:space="preserve">Race/ethnicity (Hispanic/Latino, African American, Native American, Asian American or Pacific Islander) </w:t>
            </w:r>
            <w:r>
              <w:t>(American College of Obstetricians and Gynecologists</w:t>
            </w:r>
            <w:r w:rsidRPr="00E07B1B">
              <w:t xml:space="preserve"> 2001</w:t>
            </w:r>
            <w:r>
              <w:t>)</w:t>
            </w:r>
          </w:p>
          <w:p w:rsidR="0025490C" w:rsidRPr="00E07B1B" w:rsidRDefault="0025490C" w:rsidP="006B3F78">
            <w:pPr>
              <w:pStyle w:val="TableBullet"/>
              <w:spacing w:after="30"/>
              <w:ind w:left="284"/>
            </w:pPr>
            <w:r w:rsidRPr="00E07B1B">
              <w:t>Family history (first-degree relative with diabetes)</w:t>
            </w:r>
          </w:p>
          <w:p w:rsidR="0025490C" w:rsidRPr="00E07B1B" w:rsidRDefault="0025490C" w:rsidP="006B3F78">
            <w:pPr>
              <w:pStyle w:val="TableBullet"/>
              <w:spacing w:after="30"/>
              <w:ind w:left="284"/>
            </w:pPr>
            <w:r w:rsidRPr="00E07B1B">
              <w:t>History of gestational diabetes, baby weighing more than 4000 g at birth, unexplained stillbirth, or malformed infant</w:t>
            </w:r>
          </w:p>
          <w:p w:rsidR="0025490C" w:rsidRPr="00E07B1B" w:rsidRDefault="0025490C" w:rsidP="006B3F78">
            <w:pPr>
              <w:pStyle w:val="TableBullet"/>
              <w:spacing w:after="30"/>
              <w:ind w:left="284"/>
            </w:pPr>
            <w:r w:rsidRPr="00E07B1B">
              <w:t>Markers of insulin resistance (acanthosis nigricans and/or waist circumference &gt; 35 inches (&gt;</w:t>
            </w:r>
            <w:r>
              <w:t xml:space="preserve"> </w:t>
            </w:r>
            <w:r w:rsidRPr="00E07B1B">
              <w:t>31 inches for Asian women)</w:t>
            </w:r>
          </w:p>
          <w:p w:rsidR="0068074A" w:rsidRDefault="0025490C" w:rsidP="006B3F78">
            <w:pPr>
              <w:pStyle w:val="TableBullet"/>
              <w:spacing w:after="30"/>
              <w:ind w:left="284"/>
            </w:pPr>
            <w:r w:rsidRPr="00E07B1B">
              <w:t xml:space="preserve">Women with </w:t>
            </w:r>
            <w:r>
              <w:t>p</w:t>
            </w:r>
            <w:r w:rsidRPr="00E07B1B">
              <w:t xml:space="preserve">olycystic </w:t>
            </w:r>
            <w:r>
              <w:t>o</w:t>
            </w:r>
            <w:r w:rsidRPr="00E07B1B">
              <w:t xml:space="preserve">vary </w:t>
            </w:r>
            <w:r>
              <w:t>s</w:t>
            </w:r>
            <w:r w:rsidRPr="00E07B1B">
              <w:t>yndrome</w:t>
            </w:r>
          </w:p>
          <w:p w:rsidR="0025490C" w:rsidRPr="00E07B1B" w:rsidRDefault="0025490C" w:rsidP="006B3F78">
            <w:pPr>
              <w:pStyle w:val="TableBullet"/>
              <w:spacing w:after="30"/>
              <w:ind w:left="284"/>
            </w:pPr>
            <w:r w:rsidRPr="00E07B1B">
              <w:t xml:space="preserve">Medications </w:t>
            </w:r>
            <w:r>
              <w:t>that</w:t>
            </w:r>
            <w:r w:rsidRPr="00E07B1B">
              <w:t xml:space="preserve"> affect normoglycaemia</w:t>
            </w:r>
          </w:p>
          <w:p w:rsidR="0025490C" w:rsidRPr="00E07B1B" w:rsidRDefault="0025490C" w:rsidP="006B3F78">
            <w:pPr>
              <w:pStyle w:val="TableBullet"/>
              <w:spacing w:after="30"/>
              <w:ind w:left="284"/>
            </w:pPr>
            <w:r w:rsidRPr="00E07B1B">
              <w:t>Physical inactivity</w:t>
            </w:r>
          </w:p>
          <w:p w:rsidR="0025490C" w:rsidRPr="00E07B1B" w:rsidRDefault="0025490C" w:rsidP="006B3F78">
            <w:pPr>
              <w:pStyle w:val="TableBullet"/>
              <w:spacing w:after="30"/>
              <w:ind w:left="284"/>
            </w:pPr>
            <w:r w:rsidRPr="00E07B1B">
              <w:t>History of hypertension (&gt; 140/90 mmHg) or on therapy for hypertension</w:t>
            </w:r>
          </w:p>
          <w:p w:rsidR="0025490C" w:rsidRPr="00E07B1B" w:rsidRDefault="0025490C" w:rsidP="006B3F78">
            <w:pPr>
              <w:pStyle w:val="TableBullet"/>
              <w:spacing w:after="30"/>
              <w:ind w:left="284"/>
            </w:pPr>
            <w:r w:rsidRPr="00E07B1B">
              <w:t>History of cardiovascular disease</w:t>
            </w:r>
          </w:p>
          <w:p w:rsidR="0025490C" w:rsidRPr="00E07B1B" w:rsidRDefault="0025490C" w:rsidP="007E6190">
            <w:pPr>
              <w:pStyle w:val="TableBullet"/>
              <w:ind w:left="284"/>
            </w:pPr>
            <w:r w:rsidRPr="00E07B1B">
              <w:t xml:space="preserve">History of dyslipidaemia: </w:t>
            </w:r>
            <w:r>
              <w:t>h</w:t>
            </w:r>
            <w:r w:rsidRPr="00E07B1B">
              <w:t>igh density lipoprotein &lt; 35 mg/dL and/or triglycerides ≥ 250 mg/dL</w:t>
            </w:r>
          </w:p>
        </w:tc>
      </w:tr>
      <w:tr w:rsidR="0025490C" w:rsidRPr="00E07B1B" w:rsidTr="00366DD0">
        <w:trPr>
          <w:cantSplit/>
        </w:trPr>
        <w:tc>
          <w:tcPr>
            <w:tcW w:w="1985" w:type="dxa"/>
            <w:shd w:val="clear" w:color="auto" w:fill="F2F2F2" w:themeFill="background1" w:themeFillShade="F2"/>
          </w:tcPr>
          <w:p w:rsidR="0025490C" w:rsidRPr="00E07B1B" w:rsidRDefault="0025490C" w:rsidP="00366DD0">
            <w:pPr>
              <w:pStyle w:val="TableText"/>
            </w:pPr>
            <w:r w:rsidRPr="00E07B1B">
              <w:t>New Zealand Society for the Study of Diabetes (2011)*</w:t>
            </w:r>
          </w:p>
        </w:tc>
        <w:tc>
          <w:tcPr>
            <w:tcW w:w="7371" w:type="dxa"/>
            <w:shd w:val="clear" w:color="auto" w:fill="F2F2F2" w:themeFill="background1" w:themeFillShade="F2"/>
          </w:tcPr>
          <w:p w:rsidR="0025490C" w:rsidRPr="00E07B1B" w:rsidRDefault="0025490C" w:rsidP="00366DD0">
            <w:pPr>
              <w:pStyle w:val="TableText"/>
              <w:spacing w:after="30"/>
            </w:pPr>
            <w:r w:rsidRPr="00E07B1B">
              <w:t>Adults &gt; 25 years of age with</w:t>
            </w:r>
            <w:r>
              <w:t xml:space="preserve"> </w:t>
            </w:r>
            <w:r w:rsidRPr="00E07B1B">
              <w:t>the following risk factors:</w:t>
            </w:r>
          </w:p>
          <w:p w:rsidR="0025490C" w:rsidRPr="00E07B1B" w:rsidRDefault="0025490C" w:rsidP="00366DD0">
            <w:pPr>
              <w:pStyle w:val="TableBullet"/>
              <w:spacing w:after="30"/>
              <w:ind w:left="284"/>
              <w:rPr>
                <w:rFonts w:eastAsia="MS Mincho"/>
                <w:lang w:eastAsia="en-NZ"/>
              </w:rPr>
            </w:pPr>
            <w:r>
              <w:rPr>
                <w:rFonts w:eastAsia="MS Mincho"/>
                <w:lang w:eastAsia="en-NZ"/>
              </w:rPr>
              <w:t>i</w:t>
            </w:r>
            <w:r w:rsidRPr="00E07B1B">
              <w:rPr>
                <w:rFonts w:eastAsia="MS Mincho"/>
                <w:lang w:eastAsia="en-NZ"/>
              </w:rPr>
              <w:t>schaemic heart disease (angina or myocardial infarction), cerebrovascular disease or peripheral vascular disease</w:t>
            </w:r>
          </w:p>
          <w:p w:rsidR="0025490C" w:rsidRPr="00E07B1B" w:rsidRDefault="0025490C" w:rsidP="00366DD0">
            <w:pPr>
              <w:pStyle w:val="TableBullet"/>
              <w:spacing w:after="30"/>
              <w:ind w:left="284"/>
              <w:rPr>
                <w:rFonts w:eastAsia="MS Mincho"/>
                <w:lang w:eastAsia="en-NZ"/>
              </w:rPr>
            </w:pPr>
            <w:r>
              <w:rPr>
                <w:rFonts w:eastAsia="MS Mincho"/>
                <w:lang w:eastAsia="en-NZ"/>
              </w:rPr>
              <w:t>o</w:t>
            </w:r>
            <w:r w:rsidRPr="00E07B1B">
              <w:rPr>
                <w:rFonts w:eastAsia="MS Mincho"/>
                <w:lang w:eastAsia="en-NZ"/>
              </w:rPr>
              <w:t>n long</w:t>
            </w:r>
            <w:r>
              <w:rPr>
                <w:rFonts w:eastAsia="MS Mincho"/>
                <w:lang w:eastAsia="en-NZ"/>
              </w:rPr>
              <w:t>-</w:t>
            </w:r>
            <w:r w:rsidRPr="00E07B1B">
              <w:rPr>
                <w:rFonts w:eastAsia="MS Mincho"/>
                <w:lang w:eastAsia="en-NZ"/>
              </w:rPr>
              <w:t>term steroid or anti-psychotic treatment</w:t>
            </w:r>
          </w:p>
          <w:p w:rsidR="0025490C" w:rsidRPr="00E07B1B" w:rsidRDefault="0025490C" w:rsidP="00366DD0">
            <w:pPr>
              <w:pStyle w:val="TableBullet"/>
              <w:spacing w:after="30"/>
              <w:ind w:left="284"/>
              <w:rPr>
                <w:rFonts w:eastAsia="MS Mincho"/>
                <w:lang w:eastAsia="en-NZ"/>
              </w:rPr>
            </w:pPr>
            <w:r w:rsidRPr="00E07B1B">
              <w:rPr>
                <w:rFonts w:eastAsia="MS Mincho"/>
                <w:lang w:eastAsia="en-NZ"/>
              </w:rPr>
              <w:t>obese (body mass index ≥</w:t>
            </w:r>
            <w:r>
              <w:rPr>
                <w:rFonts w:eastAsia="MS Mincho"/>
                <w:lang w:eastAsia="en-NZ"/>
              </w:rPr>
              <w:t xml:space="preserve"> </w:t>
            </w:r>
            <w:r w:rsidRPr="00E07B1B">
              <w:rPr>
                <w:rFonts w:eastAsia="MS Mincho"/>
                <w:lang w:eastAsia="en-NZ"/>
              </w:rPr>
              <w:t>30</w:t>
            </w:r>
            <w:r>
              <w:rPr>
                <w:rFonts w:eastAsia="MS Mincho"/>
                <w:lang w:eastAsia="en-NZ"/>
              </w:rPr>
              <w:t xml:space="preserve"> </w:t>
            </w:r>
            <w:r w:rsidRPr="00E07B1B">
              <w:rPr>
                <w:rFonts w:eastAsia="MS Mincho"/>
                <w:lang w:eastAsia="en-NZ"/>
              </w:rPr>
              <w:t>kg/m</w:t>
            </w:r>
            <w:r w:rsidRPr="00DF5138">
              <w:rPr>
                <w:rFonts w:eastAsia="MS Mincho"/>
                <w:vertAlign w:val="superscript"/>
                <w:lang w:eastAsia="en-NZ"/>
              </w:rPr>
              <w:t>2</w:t>
            </w:r>
            <w:r>
              <w:rPr>
                <w:rFonts w:eastAsia="MS Mincho"/>
                <w:lang w:eastAsia="en-NZ"/>
              </w:rPr>
              <w:t>;</w:t>
            </w:r>
            <w:r w:rsidRPr="00E07B1B">
              <w:rPr>
                <w:rFonts w:eastAsia="MS Mincho"/>
                <w:lang w:eastAsia="en-NZ"/>
              </w:rPr>
              <w:t xml:space="preserve"> or ≥</w:t>
            </w:r>
            <w:r>
              <w:rPr>
                <w:rFonts w:eastAsia="MS Mincho"/>
                <w:lang w:eastAsia="en-NZ"/>
              </w:rPr>
              <w:t xml:space="preserve"> </w:t>
            </w:r>
            <w:r w:rsidRPr="00E07B1B">
              <w:rPr>
                <w:rFonts w:eastAsia="MS Mincho"/>
                <w:lang w:eastAsia="en-NZ"/>
              </w:rPr>
              <w:t>27kg/m</w:t>
            </w:r>
            <w:r w:rsidRPr="00DF5138">
              <w:rPr>
                <w:rFonts w:eastAsia="MS Mincho"/>
                <w:vertAlign w:val="superscript"/>
                <w:lang w:eastAsia="en-NZ"/>
              </w:rPr>
              <w:t>2</w:t>
            </w:r>
            <w:r w:rsidRPr="00E07B1B">
              <w:rPr>
                <w:rFonts w:eastAsia="MS Mincho"/>
                <w:lang w:eastAsia="en-NZ"/>
              </w:rPr>
              <w:t xml:space="preserve"> for Indo-Asian peoples</w:t>
            </w:r>
            <w:r>
              <w:rPr>
                <w:rFonts w:eastAsia="MS Mincho"/>
                <w:lang w:eastAsia="en-NZ"/>
              </w:rPr>
              <w:t>)</w:t>
            </w:r>
          </w:p>
          <w:p w:rsidR="0025490C" w:rsidRPr="00E07B1B" w:rsidRDefault="0025490C" w:rsidP="00366DD0">
            <w:pPr>
              <w:pStyle w:val="TableBullet"/>
              <w:spacing w:after="30"/>
              <w:ind w:left="284"/>
              <w:rPr>
                <w:rFonts w:eastAsia="MS Mincho"/>
                <w:lang w:eastAsia="en-NZ"/>
              </w:rPr>
            </w:pPr>
            <w:r w:rsidRPr="00E07B1B">
              <w:rPr>
                <w:rFonts w:eastAsia="MS Mincho"/>
                <w:lang w:eastAsia="en-NZ"/>
              </w:rPr>
              <w:t>a family history of early age of onset type 2 diabetes in more than one first</w:t>
            </w:r>
            <w:r>
              <w:rPr>
                <w:rFonts w:eastAsia="MS Mincho"/>
                <w:lang w:eastAsia="en-NZ"/>
              </w:rPr>
              <w:t>-</w:t>
            </w:r>
            <w:r w:rsidRPr="00E07B1B">
              <w:rPr>
                <w:rFonts w:eastAsia="MS Mincho"/>
                <w:lang w:eastAsia="en-NZ"/>
              </w:rPr>
              <w:t>degree relative</w:t>
            </w:r>
          </w:p>
          <w:p w:rsidR="0025490C" w:rsidRPr="00E07B1B" w:rsidRDefault="0025490C" w:rsidP="00366DD0">
            <w:pPr>
              <w:pStyle w:val="TableBullet"/>
              <w:ind w:left="284"/>
              <w:rPr>
                <w:rFonts w:eastAsia="MS Mincho"/>
                <w:lang w:eastAsia="en-NZ"/>
              </w:rPr>
            </w:pPr>
            <w:r w:rsidRPr="00E07B1B">
              <w:rPr>
                <w:rFonts w:eastAsia="MS Mincho"/>
                <w:lang w:eastAsia="en-NZ"/>
              </w:rPr>
              <w:t>a past personal history of gestational diabetes mellitus</w:t>
            </w:r>
            <w:r>
              <w:rPr>
                <w:rFonts w:eastAsia="MS Mincho"/>
                <w:lang w:eastAsia="en-NZ"/>
              </w:rPr>
              <w:t>.</w:t>
            </w:r>
          </w:p>
          <w:p w:rsidR="0025490C" w:rsidRPr="00E07B1B" w:rsidRDefault="0025490C" w:rsidP="00366DD0">
            <w:pPr>
              <w:pStyle w:val="TableText"/>
              <w:spacing w:after="30"/>
            </w:pPr>
            <w:r w:rsidRPr="00E07B1B">
              <w:t>Young adults who are obese should be screened if :</w:t>
            </w:r>
          </w:p>
          <w:p w:rsidR="0025490C" w:rsidRPr="00E07B1B" w:rsidRDefault="0025490C" w:rsidP="00366DD0">
            <w:pPr>
              <w:pStyle w:val="TableBullet"/>
              <w:spacing w:after="30"/>
              <w:ind w:left="284"/>
              <w:rPr>
                <w:rFonts w:eastAsia="MS Mincho"/>
                <w:lang w:eastAsia="en-NZ"/>
              </w:rPr>
            </w:pPr>
            <w:r>
              <w:rPr>
                <w:rFonts w:eastAsia="MS Mincho"/>
                <w:lang w:eastAsia="en-NZ"/>
              </w:rPr>
              <w:t>t</w:t>
            </w:r>
            <w:r w:rsidRPr="00E07B1B">
              <w:rPr>
                <w:rFonts w:eastAsia="MS Mincho"/>
                <w:lang w:eastAsia="en-NZ"/>
              </w:rPr>
              <w:t>here is a family history of early onset type 2 diabetes</w:t>
            </w:r>
            <w:r>
              <w:rPr>
                <w:rFonts w:eastAsia="MS Mincho"/>
                <w:lang w:eastAsia="en-NZ"/>
              </w:rPr>
              <w:t xml:space="preserve"> </w:t>
            </w:r>
            <w:r w:rsidRPr="00E07B1B">
              <w:rPr>
                <w:rFonts w:eastAsia="MS Mincho"/>
                <w:lang w:eastAsia="en-NZ"/>
              </w:rPr>
              <w:t>or</w:t>
            </w:r>
          </w:p>
          <w:p w:rsidR="0025490C" w:rsidRPr="00E07B1B" w:rsidRDefault="0025490C" w:rsidP="00366DD0">
            <w:pPr>
              <w:pStyle w:val="TableBullet"/>
              <w:ind w:left="284"/>
              <w:rPr>
                <w:rFonts w:eastAsia="MS Mincho"/>
                <w:lang w:eastAsia="en-NZ"/>
              </w:rPr>
            </w:pPr>
            <w:r>
              <w:rPr>
                <w:rFonts w:eastAsia="MS Mincho"/>
                <w:lang w:eastAsia="en-NZ"/>
              </w:rPr>
              <w:t>t</w:t>
            </w:r>
            <w:r w:rsidRPr="00E07B1B">
              <w:rPr>
                <w:rFonts w:eastAsia="MS Mincho"/>
                <w:lang w:eastAsia="en-NZ"/>
              </w:rPr>
              <w:t xml:space="preserve">hey are </w:t>
            </w:r>
            <w:r>
              <w:rPr>
                <w:rFonts w:eastAsia="MS Mincho"/>
                <w:lang w:eastAsia="en-NZ"/>
              </w:rPr>
              <w:t xml:space="preserve">of </w:t>
            </w:r>
            <w:r w:rsidRPr="00E07B1B">
              <w:rPr>
                <w:rFonts w:eastAsia="MS Mincho"/>
                <w:lang w:eastAsia="en-NZ"/>
              </w:rPr>
              <w:t>Māori, Pacific or Indo-Asian ethnicity</w:t>
            </w:r>
            <w:r>
              <w:rPr>
                <w:rFonts w:eastAsia="MS Mincho"/>
                <w:lang w:eastAsia="en-NZ"/>
              </w:rPr>
              <w:t>.</w:t>
            </w:r>
          </w:p>
        </w:tc>
      </w:tr>
      <w:tr w:rsidR="0025490C" w:rsidRPr="00E07B1B" w:rsidTr="00366DD0">
        <w:trPr>
          <w:cantSplit/>
        </w:trPr>
        <w:tc>
          <w:tcPr>
            <w:tcW w:w="1985" w:type="dxa"/>
            <w:shd w:val="clear" w:color="auto" w:fill="auto"/>
          </w:tcPr>
          <w:p w:rsidR="0025490C" w:rsidRPr="00E07B1B" w:rsidRDefault="0025490C" w:rsidP="00366DD0">
            <w:pPr>
              <w:pStyle w:val="TableText"/>
            </w:pPr>
            <w:r w:rsidRPr="00E07B1B">
              <w:t>Scottish Intercollegiate Guidelines Network (</w:t>
            </w:r>
            <w:r>
              <w:t xml:space="preserve">SIGN </w:t>
            </w:r>
            <w:r w:rsidRPr="00E07B1B">
              <w:t>2010)</w:t>
            </w:r>
          </w:p>
        </w:tc>
        <w:tc>
          <w:tcPr>
            <w:tcW w:w="7371" w:type="dxa"/>
            <w:shd w:val="clear" w:color="auto" w:fill="auto"/>
          </w:tcPr>
          <w:p w:rsidR="0025490C" w:rsidRPr="00E07B1B" w:rsidRDefault="0025490C" w:rsidP="00366DD0">
            <w:pPr>
              <w:pStyle w:val="TableBullet"/>
              <w:spacing w:before="60" w:after="30"/>
              <w:ind w:left="284"/>
            </w:pPr>
            <w:r w:rsidRPr="00E07B1B">
              <w:t>Persistent glycosuria</w:t>
            </w:r>
          </w:p>
          <w:p w:rsidR="0025490C" w:rsidRPr="00E07B1B" w:rsidRDefault="0025490C" w:rsidP="00366DD0">
            <w:pPr>
              <w:pStyle w:val="TableBullet"/>
              <w:ind w:left="284"/>
            </w:pPr>
            <w:r w:rsidRPr="00E07B1B">
              <w:t>Random glucose levels &gt;</w:t>
            </w:r>
            <w:r>
              <w:t xml:space="preserve"> </w:t>
            </w:r>
            <w:r w:rsidRPr="00E07B1B">
              <w:t>5.5</w:t>
            </w:r>
            <w:r>
              <w:t xml:space="preserve"> </w:t>
            </w:r>
            <w:r w:rsidRPr="00E07B1B">
              <w:t>mmol/L 2 hours after food or &gt;</w:t>
            </w:r>
            <w:r>
              <w:t xml:space="preserve"> </w:t>
            </w:r>
            <w:r w:rsidRPr="00E07B1B">
              <w:t>7.0</w:t>
            </w:r>
            <w:r>
              <w:t xml:space="preserve"> </w:t>
            </w:r>
            <w:r w:rsidRPr="00E07B1B">
              <w:t>mmol/L within 2 hours of food</w:t>
            </w:r>
          </w:p>
        </w:tc>
      </w:tr>
      <w:tr w:rsidR="0025490C" w:rsidRPr="00E07B1B" w:rsidTr="002D1288">
        <w:trPr>
          <w:cantSplit/>
        </w:trPr>
        <w:tc>
          <w:tcPr>
            <w:tcW w:w="1985" w:type="dxa"/>
            <w:shd w:val="clear" w:color="auto" w:fill="F2F2F2" w:themeFill="background1" w:themeFillShade="F2"/>
          </w:tcPr>
          <w:p w:rsidR="0025490C" w:rsidRPr="00E07B1B" w:rsidRDefault="0025490C" w:rsidP="00366DD0">
            <w:pPr>
              <w:pStyle w:val="TableText"/>
            </w:pPr>
            <w:r w:rsidRPr="00E07B1B">
              <w:t xml:space="preserve">European Guideline on Prevention of Type 2 Diabetes </w:t>
            </w:r>
            <w:r>
              <w:t>(</w:t>
            </w:r>
            <w:r w:rsidRPr="00E07B1B">
              <w:t>Paulweber 2010</w:t>
            </w:r>
            <w:r>
              <w:t>)</w:t>
            </w:r>
          </w:p>
        </w:tc>
        <w:tc>
          <w:tcPr>
            <w:tcW w:w="7371" w:type="dxa"/>
            <w:shd w:val="clear" w:color="auto" w:fill="F2F2F2" w:themeFill="background1" w:themeFillShade="F2"/>
          </w:tcPr>
          <w:p w:rsidR="0025490C" w:rsidRPr="00E07B1B" w:rsidRDefault="00090C44" w:rsidP="00090C44">
            <w:pPr>
              <w:pStyle w:val="TableText"/>
              <w:ind w:left="567" w:hanging="567"/>
              <w:rPr>
                <w:rFonts w:eastAsia="MS Mincho"/>
                <w:lang w:eastAsia="en-NZ"/>
              </w:rPr>
            </w:pPr>
            <w:r>
              <w:rPr>
                <w:rFonts w:eastAsia="MS Mincho"/>
                <w:lang w:eastAsia="en-NZ"/>
              </w:rPr>
              <w:t>a)</w:t>
            </w:r>
            <w:r>
              <w:rPr>
                <w:rFonts w:eastAsia="MS Mincho"/>
                <w:lang w:eastAsia="en-NZ"/>
              </w:rPr>
              <w:tab/>
            </w:r>
            <w:r w:rsidR="0025490C" w:rsidRPr="00E07B1B">
              <w:rPr>
                <w:rFonts w:eastAsia="MS Mincho"/>
                <w:lang w:eastAsia="en-NZ"/>
              </w:rPr>
              <w:t xml:space="preserve">White people aged over 40 years or people from Black, Asian and minority ethnic groups aged over 25 years with </w:t>
            </w:r>
            <w:r w:rsidR="0025490C">
              <w:rPr>
                <w:rFonts w:eastAsia="MS Mincho"/>
                <w:lang w:eastAsia="en-NZ"/>
              </w:rPr>
              <w:t>one</w:t>
            </w:r>
            <w:r w:rsidR="0025490C" w:rsidRPr="00E07B1B">
              <w:rPr>
                <w:rFonts w:eastAsia="MS Mincho"/>
                <w:lang w:eastAsia="en-NZ"/>
              </w:rPr>
              <w:t xml:space="preserve"> or more of the following risk factors:</w:t>
            </w:r>
          </w:p>
          <w:p w:rsidR="0025490C" w:rsidRPr="00E07B1B" w:rsidRDefault="0025490C" w:rsidP="00090C44">
            <w:pPr>
              <w:pStyle w:val="TableBullet"/>
              <w:rPr>
                <w:rFonts w:eastAsia="MS Mincho"/>
                <w:lang w:eastAsia="en-NZ"/>
              </w:rPr>
            </w:pPr>
            <w:r w:rsidRPr="00E07B1B">
              <w:rPr>
                <w:rFonts w:eastAsia="MS Mincho"/>
                <w:lang w:eastAsia="en-NZ"/>
              </w:rPr>
              <w:t>a first</w:t>
            </w:r>
            <w:r>
              <w:rPr>
                <w:rFonts w:eastAsia="MS Mincho"/>
                <w:lang w:eastAsia="en-NZ"/>
              </w:rPr>
              <w:t>-</w:t>
            </w:r>
            <w:r w:rsidRPr="00E07B1B">
              <w:rPr>
                <w:rFonts w:eastAsia="MS Mincho"/>
                <w:lang w:eastAsia="en-NZ"/>
              </w:rPr>
              <w:t>degree family history of diabetes</w:t>
            </w:r>
          </w:p>
          <w:p w:rsidR="0025490C" w:rsidRPr="00E07B1B" w:rsidRDefault="0025490C" w:rsidP="00090C44">
            <w:pPr>
              <w:pStyle w:val="TableBullet"/>
              <w:rPr>
                <w:rFonts w:eastAsia="MS Mincho"/>
                <w:lang w:eastAsia="en-NZ"/>
              </w:rPr>
            </w:pPr>
            <w:r w:rsidRPr="00E07B1B">
              <w:rPr>
                <w:rFonts w:eastAsia="MS Mincho"/>
                <w:lang w:eastAsia="en-NZ"/>
              </w:rPr>
              <w:t>body mass index over 25 kg/m</w:t>
            </w:r>
            <w:r w:rsidRPr="00DF5138">
              <w:rPr>
                <w:rFonts w:eastAsia="MS Mincho"/>
                <w:vertAlign w:val="superscript"/>
                <w:lang w:eastAsia="en-NZ"/>
              </w:rPr>
              <w:t>2</w:t>
            </w:r>
          </w:p>
          <w:p w:rsidR="0025490C" w:rsidRPr="00E07B1B" w:rsidRDefault="0025490C" w:rsidP="00090C44">
            <w:pPr>
              <w:pStyle w:val="TableBullet"/>
              <w:rPr>
                <w:rFonts w:eastAsia="MS Mincho"/>
                <w:lang w:eastAsia="en-NZ"/>
              </w:rPr>
            </w:pPr>
            <w:r w:rsidRPr="00E07B1B">
              <w:rPr>
                <w:rFonts w:eastAsia="MS Mincho"/>
                <w:lang w:eastAsia="en-NZ"/>
              </w:rPr>
              <w:t>waist measurement of ≥ 94 cm for White and Black men</w:t>
            </w:r>
            <w:r>
              <w:rPr>
                <w:rFonts w:eastAsia="MS Mincho"/>
                <w:lang w:eastAsia="en-NZ"/>
              </w:rPr>
              <w:t>,</w:t>
            </w:r>
            <w:r w:rsidRPr="00E07B1B">
              <w:rPr>
                <w:rFonts w:eastAsia="MS Mincho"/>
                <w:lang w:eastAsia="en-NZ"/>
              </w:rPr>
              <w:t xml:space="preserve"> ≥ 80 cm for White, Black and Asian women and ≥ 90 cm for Asian men</w:t>
            </w:r>
          </w:p>
          <w:p w:rsidR="0025490C" w:rsidRPr="00E07B1B" w:rsidRDefault="0025490C" w:rsidP="00090C44">
            <w:pPr>
              <w:pStyle w:val="TableBullet"/>
              <w:rPr>
                <w:rFonts w:eastAsia="MS Mincho"/>
                <w:lang w:eastAsia="en-NZ"/>
              </w:rPr>
            </w:pPr>
            <w:r w:rsidRPr="00E07B1B">
              <w:rPr>
                <w:rFonts w:eastAsia="MS Mincho"/>
                <w:lang w:eastAsia="en-NZ"/>
              </w:rPr>
              <w:t>systolic blood pressure ≥ 140 mmHg or diastolic blood pressure ≥</w:t>
            </w:r>
            <w:r w:rsidR="00090C44">
              <w:rPr>
                <w:rFonts w:eastAsia="MS Mincho"/>
                <w:lang w:eastAsia="en-NZ"/>
              </w:rPr>
              <w:t> </w:t>
            </w:r>
            <w:r w:rsidRPr="00E07B1B">
              <w:rPr>
                <w:rFonts w:eastAsia="MS Mincho"/>
                <w:lang w:eastAsia="en-NZ"/>
              </w:rPr>
              <w:t>90</w:t>
            </w:r>
            <w:r w:rsidR="00090C44">
              <w:rPr>
                <w:rFonts w:eastAsia="MS Mincho"/>
                <w:lang w:eastAsia="en-NZ"/>
              </w:rPr>
              <w:t> </w:t>
            </w:r>
            <w:r w:rsidRPr="00E07B1B">
              <w:rPr>
                <w:rFonts w:eastAsia="MS Mincho"/>
                <w:lang w:eastAsia="en-NZ"/>
              </w:rPr>
              <w:t>mmHg or treated hypertension</w:t>
            </w:r>
          </w:p>
          <w:p w:rsidR="0025490C" w:rsidRPr="00E07B1B" w:rsidRDefault="0025490C" w:rsidP="00090C44">
            <w:pPr>
              <w:pStyle w:val="TableBullet"/>
              <w:rPr>
                <w:rFonts w:eastAsia="MS Mincho"/>
                <w:lang w:eastAsia="en-NZ"/>
              </w:rPr>
            </w:pPr>
            <w:r w:rsidRPr="00E07B1B">
              <w:rPr>
                <w:rFonts w:eastAsia="MS Mincho"/>
                <w:lang w:eastAsia="en-NZ"/>
              </w:rPr>
              <w:t>high density lipoprotein cholesterol ≤ 0.35 g</w:t>
            </w:r>
            <w:r>
              <w:rPr>
                <w:rFonts w:eastAsia="MS Mincho"/>
                <w:lang w:eastAsia="en-NZ"/>
              </w:rPr>
              <w:t>/L</w:t>
            </w:r>
            <w:r w:rsidRPr="00E07B1B">
              <w:rPr>
                <w:rFonts w:eastAsia="MS Mincho"/>
                <w:lang w:eastAsia="en-NZ"/>
              </w:rPr>
              <w:t xml:space="preserve"> (0.9 mM) or triglycerides ≥</w:t>
            </w:r>
            <w:r w:rsidR="00090C44">
              <w:rPr>
                <w:rFonts w:eastAsia="MS Mincho"/>
                <w:lang w:eastAsia="en-NZ"/>
              </w:rPr>
              <w:t> </w:t>
            </w:r>
            <w:r w:rsidRPr="00E07B1B">
              <w:rPr>
                <w:rFonts w:eastAsia="MS Mincho"/>
                <w:lang w:eastAsia="en-NZ"/>
              </w:rPr>
              <w:t>2</w:t>
            </w:r>
            <w:r w:rsidR="00090C44">
              <w:rPr>
                <w:rFonts w:eastAsia="MS Mincho"/>
                <w:lang w:eastAsia="en-NZ"/>
              </w:rPr>
              <w:t> </w:t>
            </w:r>
            <w:r w:rsidRPr="00E07B1B">
              <w:rPr>
                <w:rFonts w:eastAsia="MS Mincho"/>
                <w:lang w:eastAsia="en-NZ"/>
              </w:rPr>
              <w:t>g</w:t>
            </w:r>
            <w:r>
              <w:rPr>
                <w:rFonts w:eastAsia="MS Mincho"/>
                <w:lang w:eastAsia="en-NZ"/>
              </w:rPr>
              <w:t>/L</w:t>
            </w:r>
            <w:r w:rsidRPr="00E07B1B">
              <w:rPr>
                <w:rFonts w:eastAsia="MS Mincho"/>
                <w:lang w:eastAsia="en-NZ"/>
              </w:rPr>
              <w:t xml:space="preserve"> (2.2 mM) or treated dyslipidemia</w:t>
            </w:r>
          </w:p>
          <w:p w:rsidR="0025490C" w:rsidRPr="00E07B1B" w:rsidRDefault="00090C44" w:rsidP="00090C44">
            <w:pPr>
              <w:pStyle w:val="TableText"/>
              <w:ind w:left="567" w:hanging="567"/>
            </w:pPr>
            <w:r>
              <w:t>b)</w:t>
            </w:r>
            <w:r>
              <w:tab/>
            </w:r>
            <w:r w:rsidR="0025490C" w:rsidRPr="00E07B1B">
              <w:t>Women with a history of gestational diabetes or with a child weighing &gt;</w:t>
            </w:r>
            <w:r>
              <w:t> </w:t>
            </w:r>
            <w:r w:rsidR="0025490C" w:rsidRPr="00E07B1B">
              <w:t>4</w:t>
            </w:r>
            <w:r>
              <w:t> </w:t>
            </w:r>
            <w:r w:rsidR="0025490C" w:rsidRPr="00E07B1B">
              <w:t>kg at birth</w:t>
            </w:r>
          </w:p>
          <w:p w:rsidR="0025490C" w:rsidRPr="00E07B1B" w:rsidRDefault="00090C44" w:rsidP="00090C44">
            <w:pPr>
              <w:pStyle w:val="TableText"/>
              <w:ind w:left="567" w:hanging="567"/>
            </w:pPr>
            <w:r>
              <w:t>c)</w:t>
            </w:r>
            <w:r>
              <w:tab/>
            </w:r>
            <w:r w:rsidR="0025490C" w:rsidRPr="00E07B1B">
              <w:t>People with history of temporarily induced diabetes, eg</w:t>
            </w:r>
            <w:r w:rsidR="0025490C">
              <w:t>,</w:t>
            </w:r>
            <w:r w:rsidR="0025490C" w:rsidRPr="00E07B1B">
              <w:t xml:space="preserve"> steroids</w:t>
            </w:r>
          </w:p>
          <w:p w:rsidR="0025490C" w:rsidRPr="00E07B1B" w:rsidRDefault="00090C44" w:rsidP="00090C44">
            <w:pPr>
              <w:pStyle w:val="TableText"/>
              <w:ind w:left="567" w:hanging="567"/>
            </w:pPr>
            <w:r>
              <w:t>d)</w:t>
            </w:r>
            <w:r>
              <w:tab/>
            </w:r>
            <w:r w:rsidR="0025490C" w:rsidRPr="00E07B1B">
              <w:t>People who have ischaemic heart disease, cerebrovascular disease, peripheral vascular disease</w:t>
            </w:r>
          </w:p>
          <w:p w:rsidR="0025490C" w:rsidRPr="00E07B1B" w:rsidRDefault="00090C44" w:rsidP="00090C44">
            <w:pPr>
              <w:pStyle w:val="TableText"/>
              <w:ind w:left="567" w:hanging="567"/>
            </w:pPr>
            <w:r>
              <w:t>e)</w:t>
            </w:r>
            <w:r>
              <w:tab/>
              <w:t>W</w:t>
            </w:r>
            <w:r w:rsidR="0025490C" w:rsidRPr="00E07B1B">
              <w:t>omen with polycystic ovary syndrome who have a body mass index ≥</w:t>
            </w:r>
            <w:r>
              <w:t> </w:t>
            </w:r>
            <w:r w:rsidR="0025490C" w:rsidRPr="00E07B1B">
              <w:t>30</w:t>
            </w:r>
            <w:r>
              <w:t> </w:t>
            </w:r>
            <w:r w:rsidR="0025490C" w:rsidRPr="00E07B1B">
              <w:t>kg/m²</w:t>
            </w:r>
          </w:p>
          <w:p w:rsidR="0025490C" w:rsidRPr="00E07B1B" w:rsidRDefault="00090C44" w:rsidP="00090C44">
            <w:pPr>
              <w:pStyle w:val="TableText"/>
              <w:ind w:left="567" w:hanging="567"/>
            </w:pPr>
            <w:r>
              <w:t>f)</w:t>
            </w:r>
            <w:r>
              <w:tab/>
            </w:r>
            <w:r w:rsidR="0025490C" w:rsidRPr="00E07B1B">
              <w:t>People who have severe mental health problems and/or</w:t>
            </w:r>
            <w:r w:rsidR="0025490C">
              <w:t xml:space="preserve"> who are</w:t>
            </w:r>
            <w:r w:rsidR="0025490C" w:rsidRPr="00E07B1B">
              <w:t xml:space="preserve"> receiving long</w:t>
            </w:r>
            <w:r w:rsidR="0025490C">
              <w:t>-</w:t>
            </w:r>
            <w:r w:rsidR="0025490C" w:rsidRPr="00E07B1B">
              <w:t>term anti-psychotic drugs</w:t>
            </w:r>
          </w:p>
          <w:p w:rsidR="0025490C" w:rsidRPr="00E07B1B" w:rsidRDefault="00090C44" w:rsidP="00090C44">
            <w:pPr>
              <w:pStyle w:val="TableText"/>
              <w:ind w:left="567" w:hanging="567"/>
            </w:pPr>
            <w:r>
              <w:t>g)</w:t>
            </w:r>
            <w:r>
              <w:tab/>
            </w:r>
            <w:r w:rsidR="0025490C" w:rsidRPr="00E07B1B">
              <w:t>People with a history of impaired glucose tolerance or impaired fasting glucose</w:t>
            </w:r>
          </w:p>
        </w:tc>
      </w:tr>
      <w:tr w:rsidR="0025490C" w:rsidRPr="00E07B1B" w:rsidTr="002D1288">
        <w:trPr>
          <w:cantSplit/>
        </w:trPr>
        <w:tc>
          <w:tcPr>
            <w:tcW w:w="1985" w:type="dxa"/>
            <w:shd w:val="clear" w:color="auto" w:fill="auto"/>
          </w:tcPr>
          <w:p w:rsidR="0025490C" w:rsidRPr="00E07B1B" w:rsidRDefault="0025490C" w:rsidP="002D1288">
            <w:pPr>
              <w:pStyle w:val="TableText"/>
            </w:pPr>
            <w:r w:rsidRPr="00E07B1B">
              <w:t>Canadian Diabetes Association (2008)</w:t>
            </w:r>
          </w:p>
        </w:tc>
        <w:tc>
          <w:tcPr>
            <w:tcW w:w="7371" w:type="dxa"/>
            <w:shd w:val="clear" w:color="auto" w:fill="auto"/>
          </w:tcPr>
          <w:p w:rsidR="0025490C" w:rsidRPr="00E07B1B" w:rsidRDefault="0025490C" w:rsidP="002D1288">
            <w:pPr>
              <w:pStyle w:val="TableBullet"/>
              <w:spacing w:before="60" w:after="30"/>
              <w:ind w:left="284"/>
            </w:pPr>
            <w:r w:rsidRPr="00E07B1B">
              <w:t>Age ≥</w:t>
            </w:r>
            <w:r>
              <w:t xml:space="preserve"> </w:t>
            </w:r>
            <w:r w:rsidRPr="00E07B1B">
              <w:t>40 years</w:t>
            </w:r>
          </w:p>
          <w:p w:rsidR="0025490C" w:rsidRPr="00E07B1B" w:rsidRDefault="0025490C" w:rsidP="002D1288">
            <w:pPr>
              <w:pStyle w:val="TableBullet"/>
              <w:spacing w:after="30"/>
              <w:ind w:left="284"/>
            </w:pPr>
            <w:r>
              <w:t>First-</w:t>
            </w:r>
            <w:r w:rsidRPr="00E07B1B">
              <w:t>degree relative with type 2 diabetes</w:t>
            </w:r>
          </w:p>
          <w:p w:rsidR="0025490C" w:rsidRPr="00E07B1B" w:rsidRDefault="0025490C" w:rsidP="002D1288">
            <w:pPr>
              <w:pStyle w:val="TableBullet"/>
              <w:spacing w:after="30"/>
              <w:ind w:left="284"/>
            </w:pPr>
            <w:r w:rsidRPr="00E07B1B">
              <w:t>Member of high</w:t>
            </w:r>
            <w:r>
              <w:t>-</w:t>
            </w:r>
            <w:r w:rsidRPr="00E07B1B">
              <w:t>risk population (Aboriginal, Hispanic, South Asian, Asian, or African descent)</w:t>
            </w:r>
          </w:p>
          <w:p w:rsidR="0025490C" w:rsidRPr="00E07B1B" w:rsidRDefault="0025490C" w:rsidP="002D1288">
            <w:pPr>
              <w:pStyle w:val="TableBullet"/>
              <w:spacing w:after="30"/>
              <w:ind w:left="284"/>
            </w:pPr>
            <w:r w:rsidRPr="00E07B1B">
              <w:t>History of impaired fasting glucose or impaired glucose tolerance</w:t>
            </w:r>
          </w:p>
          <w:p w:rsidR="0025490C" w:rsidRPr="00E07B1B" w:rsidRDefault="0025490C" w:rsidP="002D1288">
            <w:pPr>
              <w:pStyle w:val="TableBullet"/>
              <w:spacing w:after="30"/>
              <w:ind w:left="284"/>
            </w:pPr>
            <w:r w:rsidRPr="00E07B1B">
              <w:t>Presence of complications associated with diabetes</w:t>
            </w:r>
          </w:p>
          <w:p w:rsidR="0025490C" w:rsidRPr="00E07B1B" w:rsidRDefault="0025490C" w:rsidP="002D1288">
            <w:pPr>
              <w:pStyle w:val="TableBullet"/>
              <w:spacing w:after="30"/>
              <w:ind w:left="284"/>
            </w:pPr>
            <w:r w:rsidRPr="00E07B1B">
              <w:t>Vascular disease (coronary, cerebrovascular or peripheral)</w:t>
            </w:r>
          </w:p>
          <w:p w:rsidR="0025490C" w:rsidRPr="00E07B1B" w:rsidRDefault="0025490C" w:rsidP="002D1288">
            <w:pPr>
              <w:pStyle w:val="TableBullet"/>
              <w:spacing w:after="30"/>
              <w:ind w:left="284"/>
            </w:pPr>
            <w:r w:rsidRPr="00E07B1B">
              <w:t>History of gestational diabetes</w:t>
            </w:r>
          </w:p>
          <w:p w:rsidR="0025490C" w:rsidRPr="00E07B1B" w:rsidRDefault="0025490C" w:rsidP="002D1288">
            <w:pPr>
              <w:pStyle w:val="TableBullet"/>
              <w:spacing w:after="30"/>
              <w:ind w:left="284"/>
            </w:pPr>
            <w:r w:rsidRPr="00E07B1B">
              <w:t>History of delivery of a macrosomic infant</w:t>
            </w:r>
          </w:p>
          <w:p w:rsidR="0025490C" w:rsidRPr="00E07B1B" w:rsidRDefault="0025490C" w:rsidP="002D1288">
            <w:pPr>
              <w:pStyle w:val="TableBullet"/>
              <w:spacing w:after="30"/>
              <w:ind w:left="284"/>
            </w:pPr>
            <w:r w:rsidRPr="00E07B1B">
              <w:t>Hypertension</w:t>
            </w:r>
          </w:p>
          <w:p w:rsidR="0025490C" w:rsidRPr="00E07B1B" w:rsidRDefault="0025490C" w:rsidP="002D1288">
            <w:pPr>
              <w:pStyle w:val="TableBullet"/>
              <w:spacing w:after="30"/>
              <w:ind w:left="284"/>
            </w:pPr>
            <w:r w:rsidRPr="00E07B1B">
              <w:t>Dyslipidaemia</w:t>
            </w:r>
          </w:p>
          <w:p w:rsidR="0025490C" w:rsidRPr="00E07B1B" w:rsidRDefault="0025490C" w:rsidP="002D1288">
            <w:pPr>
              <w:pStyle w:val="TableBullet"/>
              <w:spacing w:after="30"/>
              <w:ind w:left="284"/>
            </w:pPr>
            <w:r w:rsidRPr="00E07B1B">
              <w:t>Overweight</w:t>
            </w:r>
          </w:p>
          <w:p w:rsidR="0025490C" w:rsidRPr="00E07B1B" w:rsidRDefault="0025490C" w:rsidP="002D1288">
            <w:pPr>
              <w:pStyle w:val="TableBullet"/>
              <w:spacing w:after="30"/>
              <w:ind w:left="284"/>
            </w:pPr>
            <w:r w:rsidRPr="00E07B1B">
              <w:t>Abdominal obesity</w:t>
            </w:r>
          </w:p>
          <w:p w:rsidR="0068074A" w:rsidRDefault="0025490C" w:rsidP="002D1288">
            <w:pPr>
              <w:pStyle w:val="TableBullet"/>
              <w:spacing w:after="30"/>
              <w:ind w:left="284"/>
            </w:pPr>
            <w:r w:rsidRPr="00E07B1B">
              <w:t xml:space="preserve">Polycystic </w:t>
            </w:r>
            <w:r>
              <w:t>o</w:t>
            </w:r>
            <w:r w:rsidRPr="00E07B1B">
              <w:t xml:space="preserve">vary </w:t>
            </w:r>
            <w:r>
              <w:t>s</w:t>
            </w:r>
            <w:r w:rsidRPr="00E07B1B">
              <w:t>yndrome</w:t>
            </w:r>
          </w:p>
          <w:p w:rsidR="0025490C" w:rsidRPr="00E07B1B" w:rsidRDefault="0025490C" w:rsidP="002D1288">
            <w:pPr>
              <w:pStyle w:val="TableBullet"/>
              <w:spacing w:after="30"/>
              <w:ind w:left="284"/>
            </w:pPr>
            <w:r w:rsidRPr="00E07B1B">
              <w:t>Acanthosis nigricans</w:t>
            </w:r>
          </w:p>
          <w:p w:rsidR="0025490C" w:rsidRPr="00E07B1B" w:rsidRDefault="0025490C" w:rsidP="002D1288">
            <w:pPr>
              <w:pStyle w:val="TableBullet"/>
              <w:spacing w:after="30"/>
              <w:ind w:left="284"/>
            </w:pPr>
            <w:r w:rsidRPr="00E07B1B">
              <w:t>Schizophrenia</w:t>
            </w:r>
          </w:p>
          <w:p w:rsidR="0025490C" w:rsidRPr="00E07B1B" w:rsidRDefault="0025490C" w:rsidP="002D1288">
            <w:pPr>
              <w:pStyle w:val="TableBullet"/>
              <w:ind w:left="284"/>
            </w:pPr>
            <w:r w:rsidRPr="00E07B1B">
              <w:t>Other factors associated with some infections, therapeutic drug use, or genetic syndromes</w:t>
            </w:r>
          </w:p>
        </w:tc>
      </w:tr>
      <w:tr w:rsidR="0025490C" w:rsidRPr="00E07B1B" w:rsidTr="002D1288">
        <w:trPr>
          <w:cantSplit/>
        </w:trPr>
        <w:tc>
          <w:tcPr>
            <w:tcW w:w="1985" w:type="dxa"/>
            <w:shd w:val="clear" w:color="auto" w:fill="F2F2F2" w:themeFill="background1" w:themeFillShade="F2"/>
          </w:tcPr>
          <w:p w:rsidR="0025490C" w:rsidRPr="00E07B1B" w:rsidRDefault="0025490C" w:rsidP="002D1288">
            <w:pPr>
              <w:pStyle w:val="TableText"/>
            </w:pPr>
            <w:r w:rsidRPr="00E07B1B">
              <w:t>US Preventive Services Task Force (Norris 2008)</w:t>
            </w:r>
          </w:p>
        </w:tc>
        <w:tc>
          <w:tcPr>
            <w:tcW w:w="7371" w:type="dxa"/>
            <w:shd w:val="clear" w:color="auto" w:fill="F2F2F2" w:themeFill="background1" w:themeFillShade="F2"/>
          </w:tcPr>
          <w:p w:rsidR="0025490C" w:rsidRPr="00E07B1B" w:rsidRDefault="0025490C" w:rsidP="002D1288">
            <w:pPr>
              <w:pStyle w:val="TableText"/>
              <w:rPr>
                <w:b/>
              </w:rPr>
            </w:pPr>
            <w:r w:rsidRPr="00E07B1B">
              <w:t>Sustained blood pressure &gt;</w:t>
            </w:r>
            <w:r>
              <w:t xml:space="preserve"> </w:t>
            </w:r>
            <w:r w:rsidRPr="00E07B1B">
              <w:t>135/80</w:t>
            </w:r>
            <w:r>
              <w:t xml:space="preserve"> </w:t>
            </w:r>
            <w:r w:rsidRPr="00E07B1B">
              <w:t>mmHg</w:t>
            </w:r>
          </w:p>
        </w:tc>
      </w:tr>
      <w:tr w:rsidR="0025490C" w:rsidRPr="00E07B1B" w:rsidTr="002D1288">
        <w:trPr>
          <w:cantSplit/>
        </w:trPr>
        <w:tc>
          <w:tcPr>
            <w:tcW w:w="1985" w:type="dxa"/>
            <w:shd w:val="clear" w:color="auto" w:fill="auto"/>
          </w:tcPr>
          <w:p w:rsidR="0025490C" w:rsidRPr="00E07B1B" w:rsidRDefault="0025490C" w:rsidP="002D1288">
            <w:pPr>
              <w:pStyle w:val="TableText"/>
            </w:pPr>
            <w:r w:rsidRPr="00E07B1B">
              <w:t>Gestational Diabetes Mellitus Technical Working Party (2007)</w:t>
            </w:r>
          </w:p>
        </w:tc>
        <w:tc>
          <w:tcPr>
            <w:tcW w:w="7371" w:type="dxa"/>
            <w:shd w:val="clear" w:color="auto" w:fill="auto"/>
          </w:tcPr>
          <w:p w:rsidR="0025490C" w:rsidRPr="00E07B1B" w:rsidRDefault="0025490C" w:rsidP="002D1288">
            <w:pPr>
              <w:pStyle w:val="TableBullet"/>
              <w:spacing w:before="60" w:after="30"/>
              <w:ind w:left="284"/>
            </w:pPr>
            <w:r w:rsidRPr="00E07B1B">
              <w:t>History of gestational diabetes or previous diagnosis of impaired fasting glucose</w:t>
            </w:r>
            <w:r>
              <w:t xml:space="preserve"> </w:t>
            </w:r>
            <w:r w:rsidRPr="00E07B1B">
              <w:t>or impaired glucose tolerance</w:t>
            </w:r>
            <w:r>
              <w:t xml:space="preserve"> </w:t>
            </w:r>
            <w:r w:rsidRPr="00E07B1B">
              <w:t>prior to pregnancy</w:t>
            </w:r>
          </w:p>
          <w:p w:rsidR="0068074A" w:rsidRDefault="0025490C" w:rsidP="002D1288">
            <w:pPr>
              <w:pStyle w:val="TableBullet"/>
              <w:spacing w:after="30"/>
              <w:ind w:left="284"/>
            </w:pPr>
            <w:r w:rsidRPr="00E07B1B">
              <w:t>Glycosuria</w:t>
            </w:r>
          </w:p>
          <w:p w:rsidR="0068074A" w:rsidRDefault="0025490C" w:rsidP="002D1288">
            <w:pPr>
              <w:pStyle w:val="TableBullet"/>
              <w:spacing w:after="30"/>
              <w:ind w:left="284"/>
            </w:pPr>
            <w:r w:rsidRPr="00E07B1B">
              <w:t>Polycystic ovary syndrome</w:t>
            </w:r>
          </w:p>
          <w:p w:rsidR="0068074A" w:rsidRDefault="0025490C" w:rsidP="002D1288">
            <w:pPr>
              <w:pStyle w:val="TableBullet"/>
              <w:spacing w:after="30"/>
              <w:ind w:left="284"/>
            </w:pPr>
            <w:r w:rsidRPr="00E07B1B">
              <w:t>Morbid obesity (ethnic specific body mass index: European ≥ 35 kg/m</w:t>
            </w:r>
            <w:r w:rsidRPr="00E07B1B">
              <w:rPr>
                <w:vertAlign w:val="superscript"/>
              </w:rPr>
              <w:t>2</w:t>
            </w:r>
            <w:r w:rsidRPr="00E07B1B">
              <w:t>, Polynesian</w:t>
            </w:r>
            <w:r>
              <w:t xml:space="preserve"> </w:t>
            </w:r>
            <w:r w:rsidRPr="00E07B1B">
              <w:t>≥</w:t>
            </w:r>
            <w:r>
              <w:t xml:space="preserve"> </w:t>
            </w:r>
            <w:r w:rsidRPr="00E07B1B">
              <w:t>37</w:t>
            </w:r>
            <w:r>
              <w:t xml:space="preserve"> </w:t>
            </w:r>
            <w:r w:rsidRPr="00E07B1B">
              <w:t>kg/m</w:t>
            </w:r>
            <w:r w:rsidRPr="00E07B1B">
              <w:rPr>
                <w:vertAlign w:val="superscript"/>
              </w:rPr>
              <w:t>2</w:t>
            </w:r>
            <w:r w:rsidRPr="00E07B1B">
              <w:t>, Indian and Asian ≥ 32 kg/m</w:t>
            </w:r>
            <w:r w:rsidRPr="00E07B1B">
              <w:rPr>
                <w:vertAlign w:val="superscript"/>
              </w:rPr>
              <w:t>2</w:t>
            </w:r>
            <w:r w:rsidRPr="00E07B1B">
              <w:t>)</w:t>
            </w:r>
          </w:p>
          <w:p w:rsidR="0068074A" w:rsidRDefault="0025490C" w:rsidP="002D1288">
            <w:pPr>
              <w:pStyle w:val="TableBullet"/>
              <w:spacing w:after="30"/>
              <w:ind w:left="284"/>
            </w:pPr>
            <w:r w:rsidRPr="00E07B1B">
              <w:t>Two first</w:t>
            </w:r>
            <w:r>
              <w:t>-</w:t>
            </w:r>
            <w:r w:rsidRPr="00E07B1B">
              <w:t>degree relatives with diabetes</w:t>
            </w:r>
          </w:p>
          <w:p w:rsidR="0068074A" w:rsidRDefault="0025490C" w:rsidP="002D1288">
            <w:pPr>
              <w:pStyle w:val="TableBullet"/>
              <w:spacing w:after="30"/>
              <w:ind w:left="284"/>
            </w:pPr>
            <w:r w:rsidRPr="00E07B1B">
              <w:t>Previous unexplained stillbirth</w:t>
            </w:r>
          </w:p>
          <w:p w:rsidR="0068074A" w:rsidRDefault="0025490C" w:rsidP="002D1288">
            <w:pPr>
              <w:pStyle w:val="TableBullet"/>
              <w:spacing w:after="30"/>
              <w:ind w:left="284"/>
            </w:pPr>
            <w:r w:rsidRPr="00E07B1B">
              <w:t>Previous shoulder dystocia</w:t>
            </w:r>
          </w:p>
          <w:p w:rsidR="0025490C" w:rsidRPr="00E07B1B" w:rsidRDefault="0025490C" w:rsidP="002D1288">
            <w:pPr>
              <w:pStyle w:val="TableBullet"/>
              <w:ind w:left="284"/>
            </w:pPr>
            <w:r w:rsidRPr="00E07B1B">
              <w:t>Previous macrosomic baby (≥ 97</w:t>
            </w:r>
            <w:r w:rsidRPr="00DF5138">
              <w:t>th</w:t>
            </w:r>
            <w:r w:rsidRPr="00E07B1B">
              <w:t xml:space="preserve"> percentile based on customised birthweight chart. If there is no access to customised charts then ≥ 4700 g for Polynesian, ≥</w:t>
            </w:r>
            <w:r w:rsidR="002D1288">
              <w:t> </w:t>
            </w:r>
            <w:r w:rsidRPr="00E07B1B">
              <w:t>4400 g for European,</w:t>
            </w:r>
            <w:r w:rsidR="0068074A">
              <w:t xml:space="preserve"> </w:t>
            </w:r>
            <w:r w:rsidRPr="00E07B1B">
              <w:t>≥</w:t>
            </w:r>
            <w:r>
              <w:t xml:space="preserve"> </w:t>
            </w:r>
            <w:r w:rsidRPr="00E07B1B">
              <w:t>4000 g for Asians</w:t>
            </w:r>
            <w:r>
              <w:t>,</w:t>
            </w:r>
            <w:r w:rsidR="002D1288">
              <w:t xml:space="preserve"> including South Asians)</w:t>
            </w:r>
          </w:p>
        </w:tc>
      </w:tr>
      <w:tr w:rsidR="0025490C" w:rsidRPr="00E07B1B" w:rsidTr="00FC3B96">
        <w:trPr>
          <w:cantSplit/>
        </w:trPr>
        <w:tc>
          <w:tcPr>
            <w:tcW w:w="1985" w:type="dxa"/>
            <w:shd w:val="clear" w:color="auto" w:fill="F2F2F2" w:themeFill="background1" w:themeFillShade="F2"/>
          </w:tcPr>
          <w:p w:rsidR="0025490C" w:rsidRPr="00E07B1B" w:rsidRDefault="0025490C" w:rsidP="002D1288">
            <w:pPr>
              <w:pStyle w:val="TableText"/>
            </w:pPr>
            <w:r w:rsidRPr="00E07B1B">
              <w:t>American Association of Clinical Endocrinologists (Blonde 2007)</w:t>
            </w:r>
          </w:p>
        </w:tc>
        <w:tc>
          <w:tcPr>
            <w:tcW w:w="7371" w:type="dxa"/>
            <w:shd w:val="clear" w:color="auto" w:fill="F2F2F2" w:themeFill="background1" w:themeFillShade="F2"/>
          </w:tcPr>
          <w:p w:rsidR="0025490C" w:rsidRPr="00E07B1B" w:rsidRDefault="0025490C" w:rsidP="002D1288">
            <w:pPr>
              <w:pStyle w:val="TableBullet"/>
              <w:spacing w:before="60" w:after="30"/>
              <w:ind w:left="284"/>
              <w:rPr>
                <w:lang w:eastAsia="en-US"/>
              </w:rPr>
            </w:pPr>
            <w:r w:rsidRPr="00E07B1B">
              <w:rPr>
                <w:lang w:eastAsia="en-US"/>
              </w:rPr>
              <w:t>Family history</w:t>
            </w:r>
          </w:p>
          <w:p w:rsidR="0025490C" w:rsidRPr="00E07B1B" w:rsidRDefault="0025490C" w:rsidP="002D1288">
            <w:pPr>
              <w:pStyle w:val="TableBullet"/>
              <w:spacing w:after="30"/>
              <w:ind w:left="284"/>
              <w:rPr>
                <w:lang w:eastAsia="en-US"/>
              </w:rPr>
            </w:pPr>
            <w:r w:rsidRPr="00E07B1B">
              <w:rPr>
                <w:lang w:eastAsia="en-US"/>
              </w:rPr>
              <w:t>Cardiovascular disease</w:t>
            </w:r>
          </w:p>
          <w:p w:rsidR="0025490C" w:rsidRPr="00E07B1B" w:rsidRDefault="0025490C" w:rsidP="002D1288">
            <w:pPr>
              <w:pStyle w:val="TableBullet"/>
              <w:spacing w:after="30"/>
              <w:ind w:left="284"/>
              <w:rPr>
                <w:lang w:eastAsia="en-US"/>
              </w:rPr>
            </w:pPr>
            <w:r w:rsidRPr="00E07B1B">
              <w:rPr>
                <w:lang w:eastAsia="en-US"/>
              </w:rPr>
              <w:t>Overweight/obesity</w:t>
            </w:r>
          </w:p>
          <w:p w:rsidR="0025490C" w:rsidRPr="00E07B1B" w:rsidRDefault="0025490C" w:rsidP="002D1288">
            <w:pPr>
              <w:pStyle w:val="TableBullet"/>
              <w:spacing w:after="30"/>
              <w:ind w:left="284"/>
              <w:rPr>
                <w:lang w:eastAsia="en-US"/>
              </w:rPr>
            </w:pPr>
            <w:r w:rsidRPr="00E07B1B">
              <w:rPr>
                <w:lang w:eastAsia="en-US"/>
              </w:rPr>
              <w:t>Sedentary lifestyle</w:t>
            </w:r>
          </w:p>
          <w:p w:rsidR="0025490C" w:rsidRPr="00E07B1B" w:rsidRDefault="0025490C" w:rsidP="002D1288">
            <w:pPr>
              <w:pStyle w:val="TableBullet"/>
              <w:spacing w:after="30"/>
              <w:ind w:left="284"/>
              <w:rPr>
                <w:lang w:eastAsia="en-US"/>
              </w:rPr>
            </w:pPr>
            <w:r w:rsidRPr="00E07B1B">
              <w:rPr>
                <w:lang w:eastAsia="en-US"/>
              </w:rPr>
              <w:t>Latino/Hispanic, non-Hispanic Black, Asian American, Native American, Pacific Islander</w:t>
            </w:r>
          </w:p>
          <w:p w:rsidR="0025490C" w:rsidRPr="00E07B1B" w:rsidRDefault="0025490C" w:rsidP="002D1288">
            <w:pPr>
              <w:pStyle w:val="TableBullet"/>
              <w:spacing w:after="30"/>
              <w:ind w:left="284"/>
              <w:rPr>
                <w:lang w:eastAsia="en-US"/>
              </w:rPr>
            </w:pPr>
            <w:r w:rsidRPr="00E07B1B">
              <w:rPr>
                <w:lang w:eastAsia="en-US"/>
              </w:rPr>
              <w:t>Previously identified impaired glucose tolerance or impaired fasting glucose</w:t>
            </w:r>
          </w:p>
          <w:p w:rsidR="0025490C" w:rsidRPr="00E07B1B" w:rsidRDefault="0025490C" w:rsidP="002D1288">
            <w:pPr>
              <w:pStyle w:val="TableBullet"/>
              <w:spacing w:after="30"/>
              <w:ind w:left="284"/>
              <w:rPr>
                <w:lang w:eastAsia="en-US"/>
              </w:rPr>
            </w:pPr>
            <w:r w:rsidRPr="00E07B1B">
              <w:rPr>
                <w:lang w:eastAsia="en-US"/>
              </w:rPr>
              <w:t>Hypertension</w:t>
            </w:r>
          </w:p>
          <w:p w:rsidR="0025490C" w:rsidRPr="00E07B1B" w:rsidRDefault="0025490C" w:rsidP="002D1288">
            <w:pPr>
              <w:pStyle w:val="TableBullet"/>
              <w:spacing w:after="30"/>
              <w:ind w:left="284"/>
              <w:rPr>
                <w:lang w:eastAsia="en-US"/>
              </w:rPr>
            </w:pPr>
            <w:r w:rsidRPr="00E07B1B">
              <w:rPr>
                <w:lang w:eastAsia="en-US"/>
              </w:rPr>
              <w:t>Increased levels of triglycerides</w:t>
            </w:r>
            <w:r>
              <w:rPr>
                <w:lang w:eastAsia="en-US"/>
              </w:rPr>
              <w:t xml:space="preserve"> or</w:t>
            </w:r>
            <w:r w:rsidRPr="00E07B1B">
              <w:rPr>
                <w:lang w:eastAsia="en-US"/>
              </w:rPr>
              <w:t xml:space="preserve"> low concentration of high density lipoprotein cholesterol, or both</w:t>
            </w:r>
          </w:p>
          <w:p w:rsidR="0025490C" w:rsidRPr="00E07B1B" w:rsidRDefault="0025490C" w:rsidP="002D1288">
            <w:pPr>
              <w:pStyle w:val="TableBullet"/>
              <w:spacing w:after="30"/>
              <w:ind w:left="284"/>
              <w:rPr>
                <w:lang w:eastAsia="en-US"/>
              </w:rPr>
            </w:pPr>
            <w:r w:rsidRPr="00E07B1B">
              <w:rPr>
                <w:lang w:eastAsia="en-US"/>
              </w:rPr>
              <w:t>History of gestational diabetes</w:t>
            </w:r>
          </w:p>
          <w:p w:rsidR="0025490C" w:rsidRPr="00E07B1B" w:rsidRDefault="0025490C" w:rsidP="002D1288">
            <w:pPr>
              <w:pStyle w:val="TableBullet"/>
              <w:spacing w:after="30"/>
              <w:ind w:left="284"/>
              <w:rPr>
                <w:lang w:eastAsia="en-US"/>
              </w:rPr>
            </w:pPr>
            <w:r>
              <w:rPr>
                <w:lang w:eastAsia="en-US"/>
              </w:rPr>
              <w:t xml:space="preserve">History of an infant weighing </w:t>
            </w:r>
            <w:r w:rsidRPr="00E07B1B">
              <w:rPr>
                <w:lang w:eastAsia="en-US"/>
              </w:rPr>
              <w:t>4000 g</w:t>
            </w:r>
          </w:p>
          <w:p w:rsidR="0025490C" w:rsidRPr="00E07B1B" w:rsidRDefault="0025490C" w:rsidP="002D1288">
            <w:pPr>
              <w:pStyle w:val="TableBullet"/>
              <w:spacing w:after="30"/>
              <w:ind w:left="284"/>
              <w:rPr>
                <w:lang w:eastAsia="en-US"/>
              </w:rPr>
            </w:pPr>
            <w:r w:rsidRPr="00E07B1B">
              <w:rPr>
                <w:lang w:eastAsia="en-US"/>
              </w:rPr>
              <w:t>Polycystic ovary syndrome</w:t>
            </w:r>
          </w:p>
          <w:p w:rsidR="0025490C" w:rsidRPr="00E07B1B" w:rsidRDefault="0025490C" w:rsidP="002D1288">
            <w:pPr>
              <w:pStyle w:val="TableBullet"/>
              <w:ind w:left="284"/>
              <w:rPr>
                <w:lang w:eastAsia="en-US"/>
              </w:rPr>
            </w:pPr>
            <w:r w:rsidRPr="00E07B1B">
              <w:rPr>
                <w:lang w:eastAsia="en-US"/>
              </w:rPr>
              <w:t>Psychiatric illness</w:t>
            </w:r>
          </w:p>
        </w:tc>
      </w:tr>
      <w:tr w:rsidR="0025490C" w:rsidRPr="00E07B1B" w:rsidTr="00FC3B96">
        <w:trPr>
          <w:cantSplit/>
        </w:trPr>
        <w:tc>
          <w:tcPr>
            <w:tcW w:w="1985" w:type="dxa"/>
            <w:tcBorders>
              <w:bottom w:val="single" w:sz="4" w:space="0" w:color="auto"/>
            </w:tcBorders>
            <w:shd w:val="clear" w:color="auto" w:fill="auto"/>
          </w:tcPr>
          <w:p w:rsidR="0025490C" w:rsidRPr="00E07B1B" w:rsidRDefault="0025490C" w:rsidP="002D1288">
            <w:pPr>
              <w:pStyle w:val="TableText"/>
            </w:pPr>
            <w:r w:rsidRPr="00E07B1B">
              <w:t>Caribbean Health Research Council (2006)</w:t>
            </w:r>
          </w:p>
        </w:tc>
        <w:tc>
          <w:tcPr>
            <w:tcW w:w="7371" w:type="dxa"/>
            <w:tcBorders>
              <w:bottom w:val="single" w:sz="4" w:space="0" w:color="auto"/>
            </w:tcBorders>
            <w:shd w:val="clear" w:color="auto" w:fill="auto"/>
          </w:tcPr>
          <w:p w:rsidR="0068074A" w:rsidRDefault="0025490C" w:rsidP="00FC3B96">
            <w:pPr>
              <w:pStyle w:val="TableBullet"/>
              <w:spacing w:before="60" w:after="30"/>
              <w:ind w:left="284"/>
            </w:pPr>
            <w:r w:rsidRPr="00E07B1B">
              <w:t>Overweight (</w:t>
            </w:r>
            <w:r>
              <w:t>b</w:t>
            </w:r>
            <w:r w:rsidRPr="00E07B1B">
              <w:t xml:space="preserve">ody </w:t>
            </w:r>
            <w:r>
              <w:t>m</w:t>
            </w:r>
            <w:r w:rsidRPr="00E07B1B">
              <w:t xml:space="preserve">ass </w:t>
            </w:r>
            <w:r>
              <w:t>i</w:t>
            </w:r>
            <w:r w:rsidRPr="00E07B1B">
              <w:t>ndex ≥ 25 kg/m</w:t>
            </w:r>
            <w:r w:rsidRPr="00DF5138">
              <w:rPr>
                <w:vertAlign w:val="superscript"/>
              </w:rPr>
              <w:t>2</w:t>
            </w:r>
            <w:r w:rsidRPr="00E07B1B">
              <w:t>)</w:t>
            </w:r>
          </w:p>
          <w:p w:rsidR="0068074A" w:rsidRDefault="0025490C" w:rsidP="00FC3B96">
            <w:pPr>
              <w:pStyle w:val="TableBullet"/>
              <w:spacing w:after="30"/>
              <w:ind w:left="284"/>
            </w:pPr>
            <w:r w:rsidRPr="00E07B1B">
              <w:t>Age 45 years and older</w:t>
            </w:r>
          </w:p>
          <w:p w:rsidR="0068074A" w:rsidRDefault="0025490C" w:rsidP="00FC3B96">
            <w:pPr>
              <w:pStyle w:val="TableBullet"/>
              <w:spacing w:after="30"/>
              <w:ind w:left="284"/>
            </w:pPr>
            <w:r w:rsidRPr="00E07B1B">
              <w:t>Physical inactivity</w:t>
            </w:r>
          </w:p>
          <w:p w:rsidR="0068074A" w:rsidRDefault="0025490C" w:rsidP="00FC3B96">
            <w:pPr>
              <w:pStyle w:val="TableBullet"/>
              <w:spacing w:after="30"/>
              <w:ind w:left="284"/>
            </w:pPr>
            <w:r w:rsidRPr="00E07B1B">
              <w:t>Diabetes in a first-degree relative</w:t>
            </w:r>
          </w:p>
          <w:p w:rsidR="0025490C" w:rsidRDefault="0025490C" w:rsidP="00FC3B96">
            <w:pPr>
              <w:pStyle w:val="TableBullet"/>
              <w:spacing w:after="30"/>
              <w:ind w:left="284"/>
            </w:pPr>
            <w:r w:rsidRPr="001D465F">
              <w:t>Prior gestational diabetes or history of delivering a baby &gt; 4 kg</w:t>
            </w:r>
          </w:p>
          <w:p w:rsidR="0068074A" w:rsidRDefault="0025490C" w:rsidP="00FC3B96">
            <w:pPr>
              <w:pStyle w:val="TableBullet"/>
              <w:spacing w:after="30"/>
              <w:ind w:left="284"/>
            </w:pPr>
            <w:r w:rsidRPr="001D465F">
              <w:t>Polycystic ovary syndrome</w:t>
            </w:r>
          </w:p>
          <w:p w:rsidR="0025490C" w:rsidRPr="00E07B1B" w:rsidRDefault="0025490C" w:rsidP="00FC3B96">
            <w:pPr>
              <w:pStyle w:val="TableBullet"/>
              <w:spacing w:after="30"/>
              <w:ind w:left="284"/>
            </w:pPr>
            <w:r w:rsidRPr="00E07B1B">
              <w:t xml:space="preserve">History of </w:t>
            </w:r>
            <w:r>
              <w:t>i</w:t>
            </w:r>
            <w:r w:rsidRPr="00E07B1B">
              <w:t xml:space="preserve">mpaired </w:t>
            </w:r>
            <w:r>
              <w:t>g</w:t>
            </w:r>
            <w:r w:rsidRPr="00E07B1B">
              <w:t xml:space="preserve">lucose </w:t>
            </w:r>
            <w:r>
              <w:t>t</w:t>
            </w:r>
            <w:r w:rsidRPr="00E07B1B">
              <w:t xml:space="preserve">olerance or </w:t>
            </w:r>
            <w:r>
              <w:t>i</w:t>
            </w:r>
            <w:r w:rsidRPr="00E07B1B">
              <w:t xml:space="preserve">mpaired </w:t>
            </w:r>
            <w:r>
              <w:t>f</w:t>
            </w:r>
            <w:r w:rsidRPr="00E07B1B">
              <w:t xml:space="preserve">asting </w:t>
            </w:r>
            <w:r>
              <w:t>g</w:t>
            </w:r>
            <w:r w:rsidRPr="00E07B1B">
              <w:t>lucose</w:t>
            </w:r>
          </w:p>
          <w:p w:rsidR="0068074A" w:rsidRDefault="0025490C" w:rsidP="00FC3B96">
            <w:pPr>
              <w:pStyle w:val="TableBullet"/>
              <w:spacing w:after="30"/>
              <w:ind w:left="284"/>
            </w:pPr>
            <w:r w:rsidRPr="00E07B1B">
              <w:t>High density lipoprotein cholesterol level ≤ 35 mg/dL (≤ 0.90 mmol/L) and/or triglyceride level ≥250 mg/dL (≥</w:t>
            </w:r>
            <w:r>
              <w:t xml:space="preserve"> </w:t>
            </w:r>
            <w:r w:rsidRPr="00E07B1B">
              <w:t>2.82 mmol/L)</w:t>
            </w:r>
          </w:p>
          <w:p w:rsidR="0068074A" w:rsidRDefault="0025490C" w:rsidP="00FC3B96">
            <w:pPr>
              <w:pStyle w:val="TableBullet"/>
              <w:spacing w:after="30"/>
              <w:ind w:left="284"/>
            </w:pPr>
            <w:r w:rsidRPr="00E07B1B">
              <w:t>Race/ethnicity (eg</w:t>
            </w:r>
            <w:r>
              <w:t>,</w:t>
            </w:r>
            <w:r w:rsidRPr="00E07B1B">
              <w:t xml:space="preserve"> </w:t>
            </w:r>
            <w:r>
              <w:t xml:space="preserve">people </w:t>
            </w:r>
            <w:r w:rsidRPr="00E07B1B">
              <w:t>of Asian and African descent)</w:t>
            </w:r>
          </w:p>
          <w:p w:rsidR="0068074A" w:rsidRDefault="0025490C" w:rsidP="00FC3B96">
            <w:pPr>
              <w:pStyle w:val="TableBullet"/>
              <w:spacing w:after="30"/>
              <w:ind w:left="284"/>
            </w:pPr>
            <w:r w:rsidRPr="00E07B1B">
              <w:t>Presence of coronary artery disease and/or hypertension (blood pressure ≥140/90 mm Hg)</w:t>
            </w:r>
          </w:p>
          <w:p w:rsidR="0025490C" w:rsidRPr="00E07B1B" w:rsidRDefault="0025490C" w:rsidP="00FC3B96">
            <w:pPr>
              <w:pStyle w:val="TableBullet"/>
              <w:ind w:left="284"/>
            </w:pPr>
            <w:r w:rsidRPr="00E07B1B">
              <w:t>Presence of other vascular complications</w:t>
            </w:r>
          </w:p>
        </w:tc>
      </w:tr>
    </w:tbl>
    <w:p w:rsidR="0025490C" w:rsidRPr="00E07B1B" w:rsidRDefault="0025490C" w:rsidP="002D1288">
      <w:pPr>
        <w:pStyle w:val="Note"/>
        <w:ind w:left="0" w:firstLine="0"/>
      </w:pPr>
      <w:r>
        <w:t xml:space="preserve">Note: </w:t>
      </w:r>
      <w:r w:rsidRPr="00E07B1B">
        <w:t xml:space="preserve">* The </w:t>
      </w:r>
      <w:r>
        <w:t>New Zealand Society for the Study of Diabetes</w:t>
      </w:r>
      <w:r w:rsidRPr="00E07B1B">
        <w:t xml:space="preserve"> </w:t>
      </w:r>
      <w:r>
        <w:t>p</w:t>
      </w:r>
      <w:r w:rsidRPr="00E07B1B">
        <w:t xml:space="preserve">osition </w:t>
      </w:r>
      <w:r>
        <w:t>s</w:t>
      </w:r>
      <w:r w:rsidRPr="00E07B1B">
        <w:t xml:space="preserve">tatement on the diagnosis of and screening for </w:t>
      </w:r>
      <w:r>
        <w:t>t</w:t>
      </w:r>
      <w:r w:rsidRPr="00E07B1B">
        <w:t>ype 2 diabetes (updated September 2011) (</w:t>
      </w:r>
      <w:hyperlink r:id="rId57" w:history="1">
        <w:r w:rsidRPr="00152FAD">
          <w:rPr>
            <w:rStyle w:val="Hyperlink"/>
          </w:rPr>
          <w:t>www.nzssd.org.nz/statements.html</w:t>
        </w:r>
      </w:hyperlink>
      <w:r w:rsidRPr="00152FAD">
        <w:rPr>
          <w:rStyle w:val="Hyperlink"/>
        </w:rPr>
        <w:t>)</w:t>
      </w:r>
      <w:r>
        <w:t>.</w:t>
      </w:r>
    </w:p>
    <w:p w:rsidR="0025490C" w:rsidRPr="00E07B1B" w:rsidRDefault="0025490C" w:rsidP="002D1288"/>
    <w:p w:rsidR="00152FAD" w:rsidRDefault="00152FAD" w:rsidP="00152FAD">
      <w:pPr>
        <w:pStyle w:val="Table"/>
        <w:sectPr w:rsidR="00152FAD" w:rsidSect="00F26156">
          <w:footerReference w:type="default" r:id="rId58"/>
          <w:pgSz w:w="11907" w:h="16834" w:code="9"/>
          <w:pgMar w:top="851" w:right="1134" w:bottom="1418" w:left="1134" w:header="284" w:footer="567" w:gutter="284"/>
          <w:cols w:space="720"/>
        </w:sectPr>
      </w:pPr>
      <w:bookmarkStart w:id="440" w:name="_Toc363717778"/>
    </w:p>
    <w:p w:rsidR="0025490C" w:rsidRPr="00E07B1B" w:rsidRDefault="0025490C" w:rsidP="00152FAD">
      <w:pPr>
        <w:pStyle w:val="Table"/>
      </w:pPr>
      <w:bookmarkStart w:id="441" w:name="_Toc403635885"/>
      <w:r w:rsidRPr="00E07B1B">
        <w:t>Table 4</w:t>
      </w:r>
      <w:r w:rsidR="00152FAD">
        <w:t>:</w:t>
      </w:r>
      <w:r>
        <w:t xml:space="preserve"> </w:t>
      </w:r>
      <w:r w:rsidRPr="00E07B1B">
        <w:t>Risk factors for gestational diabetes identified in clinical guidelines/position statements</w:t>
      </w:r>
      <w:bookmarkEnd w:id="440"/>
      <w:bookmarkEnd w:id="441"/>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461"/>
        <w:gridCol w:w="1461"/>
        <w:gridCol w:w="1461"/>
        <w:gridCol w:w="1460"/>
        <w:gridCol w:w="1460"/>
        <w:gridCol w:w="1440"/>
        <w:gridCol w:w="1440"/>
        <w:gridCol w:w="1440"/>
        <w:gridCol w:w="1559"/>
        <w:gridCol w:w="1419"/>
      </w:tblGrid>
      <w:tr w:rsidR="000F0C53" w:rsidRPr="000F0C53" w:rsidTr="001B423A">
        <w:trPr>
          <w:cantSplit/>
          <w:tblHeader/>
        </w:trPr>
        <w:tc>
          <w:tcPr>
            <w:tcW w:w="500" w:type="pct"/>
            <w:tcBorders>
              <w:top w:val="single" w:sz="4" w:space="0" w:color="auto"/>
              <w:bottom w:val="single" w:sz="4" w:space="0" w:color="auto"/>
            </w:tcBorders>
            <w:shd w:val="clear" w:color="auto" w:fill="auto"/>
          </w:tcPr>
          <w:p w:rsidR="0025490C" w:rsidRPr="001B423A" w:rsidRDefault="0025490C" w:rsidP="001B423A">
            <w:pPr>
              <w:pStyle w:val="TableText"/>
              <w:rPr>
                <w:b/>
                <w:sz w:val="16"/>
                <w:szCs w:val="16"/>
              </w:rPr>
            </w:pPr>
            <w:r w:rsidRPr="001B423A">
              <w:rPr>
                <w:b/>
                <w:sz w:val="16"/>
                <w:szCs w:val="16"/>
              </w:rPr>
              <w:t>Agency for Healthcare Research and Quality</w:t>
            </w:r>
            <w:r w:rsidRPr="001B423A">
              <w:rPr>
                <w:sz w:val="16"/>
                <w:szCs w:val="16"/>
              </w:rPr>
              <w:t xml:space="preserve"> (Hartling</w:t>
            </w:r>
            <w:r w:rsidR="001B423A" w:rsidRPr="001B423A">
              <w:rPr>
                <w:sz w:val="16"/>
                <w:szCs w:val="16"/>
              </w:rPr>
              <w:t> </w:t>
            </w:r>
            <w:r w:rsidRPr="001B423A">
              <w:rPr>
                <w:sz w:val="16"/>
                <w:szCs w:val="16"/>
              </w:rPr>
              <w:t>2012)</w:t>
            </w:r>
          </w:p>
        </w:tc>
        <w:tc>
          <w:tcPr>
            <w:tcW w:w="500" w:type="pct"/>
            <w:tcBorders>
              <w:top w:val="single" w:sz="4" w:space="0" w:color="auto"/>
              <w:bottom w:val="single" w:sz="4" w:space="0" w:color="auto"/>
            </w:tcBorders>
            <w:shd w:val="clear" w:color="auto" w:fill="auto"/>
          </w:tcPr>
          <w:p w:rsidR="0025490C" w:rsidRPr="001B423A" w:rsidRDefault="0025490C" w:rsidP="001B423A">
            <w:pPr>
              <w:pStyle w:val="TableText"/>
              <w:jc w:val="center"/>
              <w:rPr>
                <w:b/>
                <w:sz w:val="16"/>
                <w:szCs w:val="16"/>
              </w:rPr>
            </w:pPr>
            <w:r w:rsidRPr="001B423A">
              <w:rPr>
                <w:b/>
                <w:sz w:val="16"/>
                <w:szCs w:val="16"/>
              </w:rPr>
              <w:t>Wisconsin Diabetes Mellitus Essential Care Guidelines</w:t>
            </w:r>
            <w:r w:rsidRPr="001B423A">
              <w:rPr>
                <w:sz w:val="16"/>
                <w:szCs w:val="16"/>
              </w:rPr>
              <w:t xml:space="preserve"> (Wisconsin Department of Health Services 2012)</w:t>
            </w:r>
          </w:p>
        </w:tc>
        <w:tc>
          <w:tcPr>
            <w:tcW w:w="500" w:type="pct"/>
            <w:tcBorders>
              <w:top w:val="single" w:sz="4" w:space="0" w:color="auto"/>
              <w:bottom w:val="single" w:sz="4" w:space="0" w:color="auto"/>
            </w:tcBorders>
            <w:shd w:val="clear" w:color="auto" w:fill="auto"/>
          </w:tcPr>
          <w:p w:rsidR="0025490C" w:rsidRPr="001B423A" w:rsidRDefault="0025490C" w:rsidP="001B423A">
            <w:pPr>
              <w:pStyle w:val="TableText"/>
              <w:jc w:val="center"/>
              <w:rPr>
                <w:b/>
                <w:sz w:val="16"/>
                <w:szCs w:val="16"/>
              </w:rPr>
            </w:pPr>
            <w:r w:rsidRPr="001B423A">
              <w:rPr>
                <w:b/>
                <w:sz w:val="16"/>
                <w:szCs w:val="16"/>
              </w:rPr>
              <w:t>Health Service Executive, Ireland</w:t>
            </w:r>
            <w:r w:rsidRPr="001B423A">
              <w:rPr>
                <w:sz w:val="16"/>
                <w:szCs w:val="16"/>
              </w:rPr>
              <w:t xml:space="preserve"> (2010)</w:t>
            </w:r>
          </w:p>
        </w:tc>
        <w:tc>
          <w:tcPr>
            <w:tcW w:w="500" w:type="pct"/>
            <w:tcBorders>
              <w:top w:val="single" w:sz="4" w:space="0" w:color="auto"/>
              <w:bottom w:val="single" w:sz="4" w:space="0" w:color="auto"/>
            </w:tcBorders>
            <w:shd w:val="clear" w:color="auto" w:fill="auto"/>
          </w:tcPr>
          <w:p w:rsidR="0025490C" w:rsidRPr="001B423A" w:rsidRDefault="0025490C" w:rsidP="001B423A">
            <w:pPr>
              <w:pStyle w:val="TableText"/>
              <w:jc w:val="center"/>
              <w:rPr>
                <w:b/>
                <w:sz w:val="16"/>
                <w:szCs w:val="16"/>
              </w:rPr>
            </w:pPr>
            <w:r w:rsidRPr="001B423A">
              <w:rPr>
                <w:b/>
                <w:sz w:val="16"/>
                <w:szCs w:val="16"/>
              </w:rPr>
              <w:t>Brazilian Diabetes Society and the Brazilian Federation of Gynecology and Obstetrics Societies</w:t>
            </w:r>
            <w:r w:rsidRPr="001B423A">
              <w:rPr>
                <w:sz w:val="16"/>
                <w:szCs w:val="16"/>
              </w:rPr>
              <w:t xml:space="preserve"> (Negrato 2010)</w:t>
            </w:r>
          </w:p>
        </w:tc>
        <w:tc>
          <w:tcPr>
            <w:tcW w:w="500" w:type="pct"/>
            <w:tcBorders>
              <w:top w:val="single" w:sz="4" w:space="0" w:color="auto"/>
              <w:bottom w:val="single" w:sz="4" w:space="0" w:color="auto"/>
            </w:tcBorders>
            <w:shd w:val="clear" w:color="auto" w:fill="auto"/>
          </w:tcPr>
          <w:p w:rsidR="0025490C" w:rsidRPr="001B423A" w:rsidRDefault="0025490C" w:rsidP="001B423A">
            <w:pPr>
              <w:pStyle w:val="TableText"/>
              <w:jc w:val="center"/>
              <w:rPr>
                <w:b/>
                <w:sz w:val="16"/>
                <w:szCs w:val="16"/>
              </w:rPr>
            </w:pPr>
            <w:r w:rsidRPr="001B423A">
              <w:rPr>
                <w:b/>
                <w:sz w:val="16"/>
                <w:szCs w:val="16"/>
              </w:rPr>
              <w:t>Scottish Intercollegiate Guidelines Network</w:t>
            </w:r>
            <w:r w:rsidRPr="001B423A">
              <w:rPr>
                <w:sz w:val="16"/>
                <w:szCs w:val="16"/>
              </w:rPr>
              <w:t xml:space="preserve"> (SIGN</w:t>
            </w:r>
            <w:r w:rsidR="001B423A">
              <w:rPr>
                <w:sz w:val="16"/>
                <w:szCs w:val="16"/>
              </w:rPr>
              <w:t> </w:t>
            </w:r>
            <w:r w:rsidRPr="001B423A">
              <w:rPr>
                <w:sz w:val="16"/>
                <w:szCs w:val="16"/>
              </w:rPr>
              <w:t>2010)</w:t>
            </w:r>
          </w:p>
        </w:tc>
        <w:tc>
          <w:tcPr>
            <w:tcW w:w="493" w:type="pct"/>
            <w:tcBorders>
              <w:top w:val="single" w:sz="4" w:space="0" w:color="auto"/>
              <w:bottom w:val="single" w:sz="4" w:space="0" w:color="auto"/>
            </w:tcBorders>
            <w:shd w:val="clear" w:color="auto" w:fill="auto"/>
          </w:tcPr>
          <w:p w:rsidR="0025490C" w:rsidRPr="001B423A" w:rsidRDefault="0025490C" w:rsidP="001B423A">
            <w:pPr>
              <w:pStyle w:val="TableText"/>
              <w:jc w:val="center"/>
              <w:rPr>
                <w:b/>
                <w:sz w:val="16"/>
                <w:szCs w:val="16"/>
              </w:rPr>
            </w:pPr>
            <w:r w:rsidRPr="001B423A">
              <w:rPr>
                <w:b/>
                <w:sz w:val="16"/>
                <w:szCs w:val="16"/>
              </w:rPr>
              <w:t>Canadian Diabetes Association</w:t>
            </w:r>
            <w:r w:rsidRPr="001B423A">
              <w:rPr>
                <w:sz w:val="16"/>
                <w:szCs w:val="16"/>
              </w:rPr>
              <w:t xml:space="preserve"> (2008)</w:t>
            </w:r>
          </w:p>
        </w:tc>
        <w:tc>
          <w:tcPr>
            <w:tcW w:w="493" w:type="pct"/>
            <w:tcBorders>
              <w:top w:val="single" w:sz="4" w:space="0" w:color="auto"/>
              <w:bottom w:val="single" w:sz="4" w:space="0" w:color="auto"/>
            </w:tcBorders>
            <w:shd w:val="clear" w:color="auto" w:fill="auto"/>
          </w:tcPr>
          <w:p w:rsidR="0025490C" w:rsidRPr="001B423A" w:rsidRDefault="0025490C" w:rsidP="001B423A">
            <w:pPr>
              <w:pStyle w:val="TableText"/>
              <w:jc w:val="center"/>
              <w:rPr>
                <w:b/>
                <w:sz w:val="16"/>
                <w:szCs w:val="16"/>
              </w:rPr>
            </w:pPr>
            <w:r w:rsidRPr="001B423A">
              <w:rPr>
                <w:b/>
                <w:sz w:val="16"/>
                <w:szCs w:val="16"/>
              </w:rPr>
              <w:t>National Institute for Health and Care Excellence</w:t>
            </w:r>
            <w:r w:rsidRPr="001B423A">
              <w:rPr>
                <w:sz w:val="16"/>
                <w:szCs w:val="16"/>
              </w:rPr>
              <w:t xml:space="preserve"> (NICE 2008)</w:t>
            </w:r>
          </w:p>
        </w:tc>
        <w:tc>
          <w:tcPr>
            <w:tcW w:w="493" w:type="pct"/>
            <w:tcBorders>
              <w:top w:val="single" w:sz="4" w:space="0" w:color="auto"/>
              <w:bottom w:val="single" w:sz="4" w:space="0" w:color="auto"/>
            </w:tcBorders>
            <w:shd w:val="clear" w:color="auto" w:fill="auto"/>
          </w:tcPr>
          <w:p w:rsidR="0025490C" w:rsidRPr="001B423A" w:rsidRDefault="0025490C" w:rsidP="001B423A">
            <w:pPr>
              <w:pStyle w:val="TableText"/>
              <w:jc w:val="center"/>
              <w:rPr>
                <w:b/>
                <w:sz w:val="16"/>
                <w:szCs w:val="16"/>
              </w:rPr>
            </w:pPr>
            <w:r w:rsidRPr="001B423A">
              <w:rPr>
                <w:b/>
                <w:sz w:val="16"/>
                <w:szCs w:val="16"/>
              </w:rPr>
              <w:t>Caribbean Health Research Council</w:t>
            </w:r>
            <w:r w:rsidRPr="001B423A">
              <w:rPr>
                <w:sz w:val="16"/>
                <w:szCs w:val="16"/>
              </w:rPr>
              <w:t xml:space="preserve"> (2006)</w:t>
            </w:r>
          </w:p>
        </w:tc>
        <w:tc>
          <w:tcPr>
            <w:tcW w:w="534" w:type="pct"/>
            <w:tcBorders>
              <w:top w:val="single" w:sz="4" w:space="0" w:color="auto"/>
              <w:bottom w:val="single" w:sz="4" w:space="0" w:color="auto"/>
            </w:tcBorders>
            <w:shd w:val="clear" w:color="auto" w:fill="auto"/>
          </w:tcPr>
          <w:p w:rsidR="0025490C" w:rsidRPr="001B423A" w:rsidRDefault="0025490C" w:rsidP="001B423A">
            <w:pPr>
              <w:pStyle w:val="TableText"/>
              <w:jc w:val="center"/>
              <w:rPr>
                <w:b/>
                <w:sz w:val="16"/>
                <w:szCs w:val="16"/>
              </w:rPr>
            </w:pPr>
            <w:r w:rsidRPr="001B423A">
              <w:rPr>
                <w:b/>
                <w:sz w:val="16"/>
                <w:szCs w:val="16"/>
              </w:rPr>
              <w:t>American Association of Clinical Endocrinologists</w:t>
            </w:r>
            <w:r w:rsidRPr="001B423A">
              <w:rPr>
                <w:sz w:val="16"/>
                <w:szCs w:val="16"/>
              </w:rPr>
              <w:t xml:space="preserve"> (Blonde 2007)</w:t>
            </w:r>
          </w:p>
        </w:tc>
        <w:tc>
          <w:tcPr>
            <w:tcW w:w="486" w:type="pct"/>
            <w:tcBorders>
              <w:top w:val="single" w:sz="4" w:space="0" w:color="auto"/>
              <w:bottom w:val="single" w:sz="4" w:space="0" w:color="auto"/>
            </w:tcBorders>
            <w:shd w:val="clear" w:color="auto" w:fill="auto"/>
          </w:tcPr>
          <w:p w:rsidR="0025490C" w:rsidRPr="001B423A" w:rsidRDefault="0025490C" w:rsidP="001B423A">
            <w:pPr>
              <w:pStyle w:val="TableText"/>
              <w:jc w:val="center"/>
              <w:rPr>
                <w:b/>
                <w:sz w:val="16"/>
                <w:szCs w:val="16"/>
              </w:rPr>
            </w:pPr>
            <w:r w:rsidRPr="001B423A">
              <w:rPr>
                <w:b/>
                <w:sz w:val="16"/>
                <w:szCs w:val="16"/>
              </w:rPr>
              <w:t>Australasian Diabetes in Pregnancy Society</w:t>
            </w:r>
            <w:r w:rsidRPr="001B423A">
              <w:rPr>
                <w:sz w:val="16"/>
                <w:szCs w:val="16"/>
              </w:rPr>
              <w:t xml:space="preserve"> (Nankervis 2013)</w:t>
            </w:r>
          </w:p>
        </w:tc>
      </w:tr>
      <w:tr w:rsidR="001B423A" w:rsidRPr="00E07B1B" w:rsidTr="001B423A">
        <w:trPr>
          <w:cantSplit/>
        </w:trPr>
        <w:tc>
          <w:tcPr>
            <w:tcW w:w="500" w:type="pct"/>
            <w:tcBorders>
              <w:top w:val="single" w:sz="4" w:space="0" w:color="auto"/>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Previous GDM</w:t>
            </w:r>
          </w:p>
        </w:tc>
        <w:tc>
          <w:tcPr>
            <w:tcW w:w="500" w:type="pct"/>
            <w:tcBorders>
              <w:top w:val="single" w:sz="4" w:space="0" w:color="auto"/>
              <w:bottom w:val="nil"/>
            </w:tcBorders>
            <w:shd w:val="clear" w:color="auto" w:fill="F2F2F2" w:themeFill="background1" w:themeFillShade="F2"/>
          </w:tcPr>
          <w:p w:rsidR="0025490C" w:rsidRPr="001B423A" w:rsidRDefault="001B423A" w:rsidP="001B423A">
            <w:pPr>
              <w:pStyle w:val="TableText"/>
              <w:jc w:val="center"/>
              <w:rPr>
                <w:sz w:val="16"/>
                <w:szCs w:val="16"/>
              </w:rPr>
            </w:pPr>
            <w:r w:rsidRPr="001B423A">
              <w:rPr>
                <w:sz w:val="16"/>
                <w:szCs w:val="16"/>
              </w:rPr>
              <w:t>–</w:t>
            </w:r>
          </w:p>
        </w:tc>
        <w:tc>
          <w:tcPr>
            <w:tcW w:w="500" w:type="pct"/>
            <w:tcBorders>
              <w:top w:val="single" w:sz="4" w:space="0" w:color="auto"/>
              <w:bottom w:val="nil"/>
            </w:tcBorders>
            <w:shd w:val="clear" w:color="auto" w:fill="F2F2F2" w:themeFill="background1" w:themeFillShade="F2"/>
          </w:tcPr>
          <w:p w:rsidR="0025490C" w:rsidRPr="001B423A" w:rsidRDefault="001B423A" w:rsidP="001B423A">
            <w:pPr>
              <w:pStyle w:val="TableText"/>
              <w:jc w:val="center"/>
              <w:rPr>
                <w:sz w:val="16"/>
                <w:szCs w:val="16"/>
              </w:rPr>
            </w:pPr>
            <w:r w:rsidRPr="001B423A">
              <w:rPr>
                <w:sz w:val="16"/>
                <w:szCs w:val="16"/>
              </w:rPr>
              <w:t>–</w:t>
            </w:r>
          </w:p>
        </w:tc>
        <w:tc>
          <w:tcPr>
            <w:tcW w:w="500" w:type="pct"/>
            <w:tcBorders>
              <w:top w:val="single" w:sz="4" w:space="0" w:color="auto"/>
              <w:bottom w:val="nil"/>
            </w:tcBorders>
            <w:shd w:val="clear" w:color="auto" w:fill="F2F2F2" w:themeFill="background1" w:themeFillShade="F2"/>
          </w:tcPr>
          <w:p w:rsidR="0025490C" w:rsidRPr="001B423A" w:rsidRDefault="001B423A" w:rsidP="001B423A">
            <w:pPr>
              <w:pStyle w:val="TableText"/>
              <w:jc w:val="center"/>
              <w:rPr>
                <w:sz w:val="16"/>
                <w:szCs w:val="16"/>
              </w:rPr>
            </w:pPr>
            <w:r w:rsidRPr="001B423A">
              <w:rPr>
                <w:sz w:val="16"/>
                <w:szCs w:val="16"/>
              </w:rPr>
              <w:t>–</w:t>
            </w:r>
          </w:p>
        </w:tc>
        <w:tc>
          <w:tcPr>
            <w:tcW w:w="500" w:type="pct"/>
            <w:tcBorders>
              <w:top w:val="single" w:sz="4" w:space="0" w:color="auto"/>
              <w:bottom w:val="nil"/>
            </w:tcBorders>
            <w:shd w:val="clear" w:color="auto" w:fill="F2F2F2" w:themeFill="background1" w:themeFillShade="F2"/>
          </w:tcPr>
          <w:p w:rsidR="0025490C" w:rsidRPr="001B423A" w:rsidRDefault="0025490C" w:rsidP="001B423A">
            <w:pPr>
              <w:pStyle w:val="TableText"/>
              <w:rPr>
                <w:sz w:val="16"/>
                <w:szCs w:val="16"/>
              </w:rPr>
            </w:pPr>
            <w:r w:rsidRPr="001B423A">
              <w:rPr>
                <w:sz w:val="16"/>
                <w:szCs w:val="16"/>
              </w:rPr>
              <w:t>Previous GDM</w:t>
            </w:r>
          </w:p>
        </w:tc>
        <w:tc>
          <w:tcPr>
            <w:tcW w:w="493" w:type="pct"/>
            <w:tcBorders>
              <w:top w:val="single" w:sz="4" w:space="0" w:color="auto"/>
              <w:bottom w:val="nil"/>
            </w:tcBorders>
            <w:shd w:val="clear" w:color="auto" w:fill="F2F2F2" w:themeFill="background1" w:themeFillShade="F2"/>
          </w:tcPr>
          <w:p w:rsidR="0025490C" w:rsidRPr="001B423A" w:rsidRDefault="0025490C" w:rsidP="001B423A">
            <w:pPr>
              <w:pStyle w:val="TableText"/>
              <w:rPr>
                <w:sz w:val="16"/>
                <w:szCs w:val="16"/>
              </w:rPr>
            </w:pPr>
            <w:r w:rsidRPr="001B423A">
              <w:rPr>
                <w:sz w:val="16"/>
                <w:szCs w:val="16"/>
              </w:rPr>
              <w:t>Previous GDM</w:t>
            </w:r>
          </w:p>
        </w:tc>
        <w:tc>
          <w:tcPr>
            <w:tcW w:w="493" w:type="pct"/>
            <w:tcBorders>
              <w:top w:val="single" w:sz="4" w:space="0" w:color="auto"/>
              <w:bottom w:val="nil"/>
            </w:tcBorders>
            <w:shd w:val="clear" w:color="auto" w:fill="F2F2F2" w:themeFill="background1" w:themeFillShade="F2"/>
          </w:tcPr>
          <w:p w:rsidR="0025490C" w:rsidRPr="001B423A" w:rsidRDefault="0025490C" w:rsidP="001B423A">
            <w:pPr>
              <w:pStyle w:val="TableText"/>
              <w:rPr>
                <w:sz w:val="16"/>
                <w:szCs w:val="16"/>
              </w:rPr>
            </w:pPr>
            <w:r w:rsidRPr="001B423A">
              <w:rPr>
                <w:sz w:val="16"/>
                <w:szCs w:val="16"/>
              </w:rPr>
              <w:t>Previous GDM</w:t>
            </w:r>
          </w:p>
        </w:tc>
        <w:tc>
          <w:tcPr>
            <w:tcW w:w="493" w:type="pct"/>
            <w:tcBorders>
              <w:top w:val="single" w:sz="4" w:space="0" w:color="auto"/>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Previous history of abnormal glucose metabolism</w:t>
            </w:r>
          </w:p>
        </w:tc>
        <w:tc>
          <w:tcPr>
            <w:tcW w:w="534" w:type="pct"/>
            <w:tcBorders>
              <w:top w:val="single" w:sz="4" w:space="0" w:color="auto"/>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History of abnormal glucose metabolism</w:t>
            </w:r>
          </w:p>
        </w:tc>
        <w:tc>
          <w:tcPr>
            <w:tcW w:w="486" w:type="pct"/>
            <w:tcBorders>
              <w:top w:val="single" w:sz="4" w:space="0" w:color="auto"/>
              <w:bottom w:val="nil"/>
            </w:tcBorders>
            <w:shd w:val="clear" w:color="auto" w:fill="F2F2F2" w:themeFill="background1" w:themeFillShade="F2"/>
          </w:tcPr>
          <w:p w:rsidR="0025490C" w:rsidRPr="001B423A" w:rsidRDefault="0025490C" w:rsidP="001B423A">
            <w:pPr>
              <w:pStyle w:val="TableText"/>
              <w:rPr>
                <w:sz w:val="16"/>
                <w:szCs w:val="16"/>
              </w:rPr>
            </w:pPr>
            <w:r w:rsidRPr="001B423A">
              <w:rPr>
                <w:sz w:val="16"/>
                <w:szCs w:val="16"/>
              </w:rPr>
              <w:t>Previous GDM</w:t>
            </w:r>
          </w:p>
        </w:tc>
      </w:tr>
      <w:tr w:rsidR="001B423A" w:rsidRPr="00E07B1B" w:rsidTr="001B423A">
        <w:trPr>
          <w:cantSplit/>
        </w:trPr>
        <w:tc>
          <w:tcPr>
            <w:tcW w:w="500"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Delivery of a previous macrosomic infant</w:t>
            </w:r>
          </w:p>
        </w:tc>
        <w:tc>
          <w:tcPr>
            <w:tcW w:w="500"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Previous macrosomic infant</w:t>
            </w:r>
          </w:p>
        </w:tc>
        <w:tc>
          <w:tcPr>
            <w:tcW w:w="500" w:type="pct"/>
            <w:tcBorders>
              <w:top w:val="nil"/>
              <w:bottom w:val="nil"/>
            </w:tcBorders>
            <w:shd w:val="clear" w:color="auto" w:fill="auto"/>
          </w:tcPr>
          <w:p w:rsidR="0025490C" w:rsidRPr="001B423A" w:rsidRDefault="0025490C" w:rsidP="001B423A">
            <w:pPr>
              <w:pStyle w:val="TableText"/>
              <w:rPr>
                <w:sz w:val="16"/>
                <w:szCs w:val="16"/>
              </w:rPr>
            </w:pPr>
            <w:r w:rsidRPr="001B423A">
              <w:rPr>
                <w:sz w:val="16"/>
                <w:szCs w:val="16"/>
              </w:rPr>
              <w:t>Previous macrosomic baby (&gt;</w:t>
            </w:r>
            <w:r w:rsidR="001B423A">
              <w:rPr>
                <w:sz w:val="16"/>
                <w:szCs w:val="16"/>
              </w:rPr>
              <w:t> </w:t>
            </w:r>
            <w:r w:rsidRPr="001B423A">
              <w:rPr>
                <w:sz w:val="16"/>
                <w:szCs w:val="16"/>
              </w:rPr>
              <w:t>4.5</w:t>
            </w:r>
            <w:r w:rsidR="001B423A">
              <w:rPr>
                <w:sz w:val="16"/>
                <w:szCs w:val="16"/>
              </w:rPr>
              <w:t> </w:t>
            </w:r>
            <w:r w:rsidRPr="001B423A">
              <w:rPr>
                <w:sz w:val="16"/>
                <w:szCs w:val="16"/>
              </w:rPr>
              <w:t>kg)</w:t>
            </w:r>
          </w:p>
        </w:tc>
        <w:tc>
          <w:tcPr>
            <w:tcW w:w="500"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Macrosomic or large for gestational age infant</w:t>
            </w:r>
          </w:p>
        </w:tc>
        <w:tc>
          <w:tcPr>
            <w:tcW w:w="500" w:type="pct"/>
            <w:tcBorders>
              <w:top w:val="nil"/>
              <w:bottom w:val="nil"/>
            </w:tcBorders>
            <w:shd w:val="clear" w:color="auto" w:fill="auto"/>
          </w:tcPr>
          <w:p w:rsidR="0025490C" w:rsidRPr="001B423A" w:rsidRDefault="0025490C" w:rsidP="001B423A">
            <w:pPr>
              <w:pStyle w:val="TableText"/>
              <w:rPr>
                <w:sz w:val="16"/>
                <w:szCs w:val="16"/>
              </w:rPr>
            </w:pPr>
            <w:r w:rsidRPr="001B423A">
              <w:rPr>
                <w:sz w:val="16"/>
                <w:szCs w:val="16"/>
              </w:rPr>
              <w:t>Previous macrosomic baby (&gt;</w:t>
            </w:r>
            <w:r w:rsidR="001B423A">
              <w:rPr>
                <w:sz w:val="16"/>
                <w:szCs w:val="16"/>
              </w:rPr>
              <w:t> </w:t>
            </w:r>
            <w:r w:rsidRPr="001B423A">
              <w:rPr>
                <w:sz w:val="16"/>
                <w:szCs w:val="16"/>
              </w:rPr>
              <w:t>4.5 kg)</w:t>
            </w:r>
          </w:p>
        </w:tc>
        <w:tc>
          <w:tcPr>
            <w:tcW w:w="493"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Delivery of a previous macrosomic infant</w:t>
            </w:r>
          </w:p>
        </w:tc>
        <w:tc>
          <w:tcPr>
            <w:tcW w:w="493" w:type="pct"/>
            <w:tcBorders>
              <w:top w:val="nil"/>
              <w:bottom w:val="nil"/>
            </w:tcBorders>
            <w:shd w:val="clear" w:color="auto" w:fill="auto"/>
          </w:tcPr>
          <w:p w:rsidR="0025490C" w:rsidRPr="001B423A" w:rsidRDefault="0025490C" w:rsidP="001B423A">
            <w:pPr>
              <w:pStyle w:val="TableText"/>
              <w:rPr>
                <w:sz w:val="16"/>
                <w:szCs w:val="16"/>
              </w:rPr>
            </w:pPr>
            <w:r w:rsidRPr="001B423A">
              <w:rPr>
                <w:sz w:val="16"/>
                <w:szCs w:val="16"/>
              </w:rPr>
              <w:t>Previous macrosomic baby (&gt;</w:t>
            </w:r>
            <w:r w:rsidR="001B423A">
              <w:rPr>
                <w:sz w:val="16"/>
                <w:szCs w:val="16"/>
              </w:rPr>
              <w:t> </w:t>
            </w:r>
            <w:r w:rsidRPr="001B423A">
              <w:rPr>
                <w:sz w:val="16"/>
                <w:szCs w:val="16"/>
              </w:rPr>
              <w:t>4.5 kg)</w:t>
            </w:r>
          </w:p>
        </w:tc>
        <w:tc>
          <w:tcPr>
            <w:tcW w:w="493"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Previous macrosomic baby (&gt;</w:t>
            </w:r>
            <w:r w:rsidR="001B423A">
              <w:rPr>
                <w:sz w:val="16"/>
                <w:szCs w:val="16"/>
              </w:rPr>
              <w:t> </w:t>
            </w:r>
            <w:r w:rsidRPr="001B423A">
              <w:rPr>
                <w:sz w:val="16"/>
                <w:szCs w:val="16"/>
              </w:rPr>
              <w:t>4</w:t>
            </w:r>
            <w:r w:rsidR="001B423A">
              <w:rPr>
                <w:sz w:val="16"/>
                <w:szCs w:val="16"/>
              </w:rPr>
              <w:t> </w:t>
            </w:r>
            <w:r w:rsidRPr="001B423A">
              <w:rPr>
                <w:sz w:val="16"/>
                <w:szCs w:val="16"/>
              </w:rPr>
              <w:t>kg)</w:t>
            </w:r>
          </w:p>
        </w:tc>
        <w:tc>
          <w:tcPr>
            <w:tcW w:w="534" w:type="pct"/>
            <w:tcBorders>
              <w:top w:val="nil"/>
              <w:bottom w:val="nil"/>
            </w:tcBorders>
            <w:shd w:val="clear" w:color="auto" w:fill="auto"/>
          </w:tcPr>
          <w:p w:rsidR="0025490C" w:rsidRPr="001B423A" w:rsidRDefault="0025490C" w:rsidP="001B423A">
            <w:pPr>
              <w:pStyle w:val="TableText"/>
              <w:rPr>
                <w:sz w:val="16"/>
                <w:szCs w:val="16"/>
              </w:rPr>
            </w:pPr>
            <w:r w:rsidRPr="001B423A">
              <w:rPr>
                <w:sz w:val="16"/>
                <w:szCs w:val="16"/>
              </w:rPr>
              <w:t>History of a delivered infant &gt;</w:t>
            </w:r>
            <w:r w:rsidR="001B423A">
              <w:rPr>
                <w:sz w:val="16"/>
                <w:szCs w:val="16"/>
              </w:rPr>
              <w:t> </w:t>
            </w:r>
            <w:r w:rsidRPr="001B423A">
              <w:rPr>
                <w:sz w:val="16"/>
                <w:szCs w:val="16"/>
              </w:rPr>
              <w:t>4</w:t>
            </w:r>
            <w:r w:rsidR="001B423A">
              <w:rPr>
                <w:sz w:val="16"/>
                <w:szCs w:val="16"/>
              </w:rPr>
              <w:t> </w:t>
            </w:r>
            <w:r w:rsidRPr="001B423A">
              <w:rPr>
                <w:sz w:val="16"/>
                <w:szCs w:val="16"/>
              </w:rPr>
              <w:t>kg</w:t>
            </w:r>
          </w:p>
        </w:tc>
        <w:tc>
          <w:tcPr>
            <w:tcW w:w="486" w:type="pct"/>
            <w:tcBorders>
              <w:top w:val="nil"/>
              <w:bottom w:val="nil"/>
            </w:tcBorders>
            <w:shd w:val="clear" w:color="auto" w:fill="auto"/>
          </w:tcPr>
          <w:p w:rsidR="0025490C" w:rsidRPr="001B423A" w:rsidRDefault="0025490C" w:rsidP="001B423A">
            <w:pPr>
              <w:pStyle w:val="TableText"/>
              <w:rPr>
                <w:sz w:val="16"/>
                <w:szCs w:val="16"/>
              </w:rPr>
            </w:pPr>
            <w:r w:rsidRPr="001B423A">
              <w:rPr>
                <w:sz w:val="16"/>
                <w:szCs w:val="16"/>
              </w:rPr>
              <w:t>Previous macrosomic baby (&gt;</w:t>
            </w:r>
            <w:r w:rsidR="001B423A">
              <w:rPr>
                <w:sz w:val="16"/>
                <w:szCs w:val="16"/>
              </w:rPr>
              <w:t> </w:t>
            </w:r>
            <w:r w:rsidRPr="001B423A">
              <w:rPr>
                <w:sz w:val="16"/>
                <w:szCs w:val="16"/>
              </w:rPr>
              <w:t>4.5</w:t>
            </w:r>
            <w:r w:rsidR="001B423A">
              <w:rPr>
                <w:sz w:val="16"/>
                <w:szCs w:val="16"/>
              </w:rPr>
              <w:t> </w:t>
            </w:r>
            <w:r w:rsidRPr="001B423A">
              <w:rPr>
                <w:sz w:val="16"/>
                <w:szCs w:val="16"/>
              </w:rPr>
              <w:t>kg)</w:t>
            </w:r>
          </w:p>
        </w:tc>
      </w:tr>
      <w:tr w:rsidR="001B423A" w:rsidRPr="00E07B1B" w:rsidTr="001B423A">
        <w:trPr>
          <w:cantSplit/>
        </w:trPr>
        <w:tc>
          <w:tcPr>
            <w:tcW w:w="500" w:type="pct"/>
            <w:tcBorders>
              <w:top w:val="nil"/>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Member of an ethnic group at increased risk for development of type 2 diabetes mellitus (ie, Hispanic, African, Native American, South or East Asian, or Pacific Islands ancestry)</w:t>
            </w:r>
          </w:p>
        </w:tc>
        <w:tc>
          <w:tcPr>
            <w:tcW w:w="500" w:type="pct"/>
            <w:tcBorders>
              <w:top w:val="nil"/>
              <w:bottom w:val="nil"/>
            </w:tcBorders>
            <w:shd w:val="clear" w:color="auto" w:fill="F2F2F2" w:themeFill="background1" w:themeFillShade="F2"/>
          </w:tcPr>
          <w:p w:rsidR="0025490C" w:rsidRPr="001B423A" w:rsidRDefault="0025490C" w:rsidP="000F0C53">
            <w:pPr>
              <w:pStyle w:val="TableText"/>
              <w:rPr>
                <w:rFonts w:eastAsia="MyriadPro-Light"/>
                <w:sz w:val="16"/>
                <w:szCs w:val="16"/>
              </w:rPr>
            </w:pPr>
            <w:r w:rsidRPr="001B423A">
              <w:rPr>
                <w:rFonts w:eastAsia="MyriadPro-Light"/>
                <w:sz w:val="16"/>
                <w:szCs w:val="16"/>
              </w:rPr>
              <w:t>Ethnicity in high-risk population (American Indian, African American, Hispanic/Latino, Asian American)</w:t>
            </w:r>
          </w:p>
        </w:tc>
        <w:tc>
          <w:tcPr>
            <w:tcW w:w="500" w:type="pct"/>
            <w:tcBorders>
              <w:top w:val="nil"/>
              <w:bottom w:val="nil"/>
            </w:tcBorders>
            <w:shd w:val="clear" w:color="auto" w:fill="F2F2F2" w:themeFill="background1" w:themeFillShade="F2"/>
          </w:tcPr>
          <w:p w:rsidR="0025490C" w:rsidRPr="001B423A" w:rsidRDefault="0025490C" w:rsidP="000F0C53">
            <w:pPr>
              <w:pStyle w:val="TableText"/>
              <w:rPr>
                <w:rFonts w:eastAsia="MyriadPro-Light"/>
                <w:sz w:val="16"/>
                <w:szCs w:val="16"/>
              </w:rPr>
            </w:pPr>
            <w:r w:rsidRPr="001B423A">
              <w:rPr>
                <w:rFonts w:eastAsia="MyriadPro-Light"/>
                <w:sz w:val="16"/>
                <w:szCs w:val="16"/>
              </w:rPr>
              <w:t>Ethnicity associated with a high prevalence of diabetes: India, Pakistan, Bangladesh, Black Caribbean, Saudi Arabia, United Arab Emirates, Iraq, Jordan, Syria, Oman, Qatar, Kuwait, Lebanon, Egypt</w:t>
            </w:r>
          </w:p>
        </w:tc>
        <w:tc>
          <w:tcPr>
            <w:tcW w:w="500" w:type="pct"/>
            <w:tcBorders>
              <w:top w:val="nil"/>
              <w:bottom w:val="nil"/>
            </w:tcBorders>
            <w:shd w:val="clear" w:color="auto" w:fill="F2F2F2" w:themeFill="background1" w:themeFillShade="F2"/>
          </w:tcPr>
          <w:p w:rsidR="0025490C" w:rsidRPr="001B423A" w:rsidRDefault="001B423A" w:rsidP="001B423A">
            <w:pPr>
              <w:pStyle w:val="TableText"/>
              <w:jc w:val="center"/>
              <w:rPr>
                <w:sz w:val="16"/>
                <w:szCs w:val="16"/>
              </w:rPr>
            </w:pPr>
            <w:r>
              <w:rPr>
                <w:sz w:val="16"/>
                <w:szCs w:val="16"/>
              </w:rPr>
              <w:t>–</w:t>
            </w:r>
          </w:p>
        </w:tc>
        <w:tc>
          <w:tcPr>
            <w:tcW w:w="500" w:type="pct"/>
            <w:tcBorders>
              <w:top w:val="nil"/>
              <w:bottom w:val="nil"/>
            </w:tcBorders>
            <w:shd w:val="clear" w:color="auto" w:fill="F2F2F2" w:themeFill="background1" w:themeFillShade="F2"/>
          </w:tcPr>
          <w:p w:rsidR="0025490C" w:rsidRPr="003616DD" w:rsidRDefault="0025490C" w:rsidP="000F0C53">
            <w:pPr>
              <w:pStyle w:val="TableText"/>
              <w:rPr>
                <w:sz w:val="16"/>
                <w:szCs w:val="16"/>
              </w:rPr>
            </w:pPr>
            <w:r w:rsidRPr="003616DD">
              <w:rPr>
                <w:sz w:val="16"/>
                <w:szCs w:val="16"/>
              </w:rPr>
              <w:t>Family origin with a high prevalence of diabetes: South Asian (specifically women whose country of family origin is India, Pakistan or Bangladesh); Black Caribbean; Middle Eastern (specifically women whose country of family origin is Saudi Arabia, United Arab Emirates, Iraq, Jordan, Syria, Oman, Qatar, Kuwait, Lebanon or Egypt)</w:t>
            </w:r>
          </w:p>
        </w:tc>
        <w:tc>
          <w:tcPr>
            <w:tcW w:w="493" w:type="pct"/>
            <w:tcBorders>
              <w:top w:val="nil"/>
              <w:bottom w:val="nil"/>
            </w:tcBorders>
            <w:shd w:val="clear" w:color="auto" w:fill="F2F2F2" w:themeFill="background1" w:themeFillShade="F2"/>
          </w:tcPr>
          <w:p w:rsidR="0025490C" w:rsidRPr="001B423A" w:rsidRDefault="0025490C" w:rsidP="001B423A">
            <w:pPr>
              <w:pStyle w:val="TableText"/>
              <w:rPr>
                <w:sz w:val="16"/>
                <w:szCs w:val="16"/>
              </w:rPr>
            </w:pPr>
            <w:r w:rsidRPr="001B423A">
              <w:rPr>
                <w:sz w:val="16"/>
                <w:szCs w:val="16"/>
              </w:rPr>
              <w:t>Member of a high-risk population (Aboriginal, Hispanic, South Asian, Asian African)</w:t>
            </w:r>
          </w:p>
        </w:tc>
        <w:tc>
          <w:tcPr>
            <w:tcW w:w="493" w:type="pct"/>
            <w:tcBorders>
              <w:top w:val="nil"/>
              <w:bottom w:val="nil"/>
            </w:tcBorders>
            <w:shd w:val="clear" w:color="auto" w:fill="F2F2F2" w:themeFill="background1" w:themeFillShade="F2"/>
          </w:tcPr>
          <w:p w:rsidR="0025490C" w:rsidRPr="001B423A" w:rsidRDefault="0025490C" w:rsidP="001B423A">
            <w:pPr>
              <w:pStyle w:val="TableText"/>
              <w:rPr>
                <w:sz w:val="16"/>
                <w:szCs w:val="16"/>
              </w:rPr>
            </w:pPr>
            <w:r w:rsidRPr="001B423A">
              <w:rPr>
                <w:sz w:val="16"/>
                <w:szCs w:val="16"/>
              </w:rPr>
              <w:t>Minority ethnic background – South Asian (specifically India, Pakistan, Bangladesh), Black Caribbean and Middle Eastern women</w:t>
            </w:r>
          </w:p>
        </w:tc>
        <w:tc>
          <w:tcPr>
            <w:tcW w:w="493" w:type="pct"/>
            <w:tcBorders>
              <w:top w:val="nil"/>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Ethnicity associated with high prevalence of GDM</w:t>
            </w:r>
          </w:p>
        </w:tc>
        <w:tc>
          <w:tcPr>
            <w:tcW w:w="534" w:type="pct"/>
            <w:tcBorders>
              <w:top w:val="nil"/>
              <w:bottom w:val="nil"/>
            </w:tcBorders>
            <w:shd w:val="clear" w:color="auto" w:fill="F2F2F2" w:themeFill="background1" w:themeFillShade="F2"/>
          </w:tcPr>
          <w:p w:rsidR="0025490C" w:rsidRPr="001B423A" w:rsidRDefault="0025490C" w:rsidP="001B423A">
            <w:pPr>
              <w:pStyle w:val="TableText"/>
            </w:pPr>
            <w:r w:rsidRPr="001B423A">
              <w:rPr>
                <w:sz w:val="16"/>
              </w:rPr>
              <w:t>Latino/Hispanic, non-Hispanic Black, Asian American, Native American, Pacific Islander</w:t>
            </w:r>
          </w:p>
        </w:tc>
        <w:tc>
          <w:tcPr>
            <w:tcW w:w="486" w:type="pct"/>
            <w:tcBorders>
              <w:top w:val="nil"/>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Ethnicity: Asian (including Indian), Aboriginal, Māori, Pacific Islander, Middle Eastern, non-white African</w:t>
            </w:r>
          </w:p>
        </w:tc>
      </w:tr>
      <w:tr w:rsidR="001B423A" w:rsidRPr="00E07B1B" w:rsidTr="001B423A">
        <w:trPr>
          <w:cantSplit/>
        </w:trPr>
        <w:tc>
          <w:tcPr>
            <w:tcW w:w="500" w:type="pct"/>
            <w:tcBorders>
              <w:top w:val="nil"/>
              <w:bottom w:val="nil"/>
            </w:tcBorders>
            <w:shd w:val="clear" w:color="auto" w:fill="auto"/>
          </w:tcPr>
          <w:p w:rsidR="0025490C" w:rsidRPr="001B423A" w:rsidRDefault="0025490C" w:rsidP="001B423A">
            <w:pPr>
              <w:pStyle w:val="TableText"/>
              <w:keepNext/>
              <w:rPr>
                <w:sz w:val="16"/>
                <w:szCs w:val="16"/>
              </w:rPr>
            </w:pPr>
            <w:r w:rsidRPr="001B423A">
              <w:rPr>
                <w:sz w:val="16"/>
                <w:szCs w:val="16"/>
              </w:rPr>
              <w:t>Higher BMI</w:t>
            </w:r>
          </w:p>
        </w:tc>
        <w:tc>
          <w:tcPr>
            <w:tcW w:w="500" w:type="pct"/>
            <w:tcBorders>
              <w:top w:val="nil"/>
              <w:bottom w:val="nil"/>
            </w:tcBorders>
            <w:shd w:val="clear" w:color="auto" w:fill="auto"/>
          </w:tcPr>
          <w:p w:rsidR="0025490C" w:rsidRPr="001B423A" w:rsidRDefault="0025490C" w:rsidP="001B423A">
            <w:pPr>
              <w:pStyle w:val="TableText"/>
              <w:keepNext/>
              <w:rPr>
                <w:sz w:val="16"/>
                <w:szCs w:val="16"/>
              </w:rPr>
            </w:pPr>
            <w:r w:rsidRPr="001B423A">
              <w:rPr>
                <w:sz w:val="16"/>
                <w:szCs w:val="16"/>
              </w:rPr>
              <w:t>Overweight/</w:t>
            </w:r>
            <w:r w:rsidR="001B423A">
              <w:rPr>
                <w:sz w:val="16"/>
                <w:szCs w:val="16"/>
              </w:rPr>
              <w:t xml:space="preserve"> </w:t>
            </w:r>
            <w:r w:rsidRPr="001B423A">
              <w:rPr>
                <w:sz w:val="16"/>
                <w:szCs w:val="16"/>
              </w:rPr>
              <w:t>obesity</w:t>
            </w:r>
          </w:p>
        </w:tc>
        <w:tc>
          <w:tcPr>
            <w:tcW w:w="500" w:type="pct"/>
            <w:tcBorders>
              <w:top w:val="nil"/>
              <w:bottom w:val="nil"/>
            </w:tcBorders>
            <w:shd w:val="clear" w:color="auto" w:fill="auto"/>
          </w:tcPr>
          <w:p w:rsidR="0025490C" w:rsidRPr="001B423A" w:rsidRDefault="0025490C" w:rsidP="001B423A">
            <w:pPr>
              <w:pStyle w:val="TableText"/>
              <w:keepNext/>
              <w:rPr>
                <w:sz w:val="16"/>
                <w:szCs w:val="16"/>
              </w:rPr>
            </w:pPr>
            <w:r w:rsidRPr="001B423A">
              <w:rPr>
                <w:sz w:val="16"/>
                <w:szCs w:val="16"/>
              </w:rPr>
              <w:t>BMI &gt; 30 kg/m</w:t>
            </w:r>
            <w:r w:rsidRPr="001B423A">
              <w:rPr>
                <w:sz w:val="16"/>
                <w:szCs w:val="16"/>
                <w:vertAlign w:val="superscript"/>
              </w:rPr>
              <w:t>2</w:t>
            </w:r>
          </w:p>
        </w:tc>
        <w:tc>
          <w:tcPr>
            <w:tcW w:w="500" w:type="pct"/>
            <w:tcBorders>
              <w:top w:val="nil"/>
              <w:bottom w:val="nil"/>
            </w:tcBorders>
            <w:shd w:val="clear" w:color="auto" w:fill="auto"/>
          </w:tcPr>
          <w:p w:rsidR="0025490C" w:rsidRPr="001B423A" w:rsidRDefault="0025490C" w:rsidP="001B423A">
            <w:pPr>
              <w:pStyle w:val="TableText"/>
              <w:keepNext/>
              <w:rPr>
                <w:sz w:val="16"/>
                <w:szCs w:val="16"/>
              </w:rPr>
            </w:pPr>
            <w:r w:rsidRPr="001B423A">
              <w:rPr>
                <w:sz w:val="16"/>
                <w:szCs w:val="16"/>
              </w:rPr>
              <w:t>BMI ≥ 25 kg/m</w:t>
            </w:r>
            <w:r w:rsidRPr="001B423A">
              <w:rPr>
                <w:sz w:val="16"/>
                <w:szCs w:val="16"/>
                <w:vertAlign w:val="superscript"/>
              </w:rPr>
              <w:t xml:space="preserve">2 </w:t>
            </w:r>
            <w:r w:rsidRPr="001B423A">
              <w:rPr>
                <w:sz w:val="16"/>
                <w:szCs w:val="16"/>
              </w:rPr>
              <w:t>before pregnancy or in first trimester and/or excessive weight gain in index pregnancy</w:t>
            </w:r>
          </w:p>
        </w:tc>
        <w:tc>
          <w:tcPr>
            <w:tcW w:w="500" w:type="pct"/>
            <w:tcBorders>
              <w:top w:val="nil"/>
              <w:bottom w:val="nil"/>
            </w:tcBorders>
            <w:shd w:val="clear" w:color="auto" w:fill="auto"/>
          </w:tcPr>
          <w:p w:rsidR="0025490C" w:rsidRPr="001B423A" w:rsidRDefault="0025490C" w:rsidP="001B423A">
            <w:pPr>
              <w:pStyle w:val="TableText"/>
              <w:keepNext/>
              <w:rPr>
                <w:sz w:val="16"/>
                <w:szCs w:val="16"/>
              </w:rPr>
            </w:pPr>
            <w:r w:rsidRPr="001B423A">
              <w:rPr>
                <w:sz w:val="16"/>
                <w:szCs w:val="16"/>
              </w:rPr>
              <w:t>BMI &gt; 30 kg/m</w:t>
            </w:r>
            <w:r w:rsidRPr="001B423A">
              <w:rPr>
                <w:sz w:val="16"/>
                <w:szCs w:val="16"/>
                <w:vertAlign w:val="superscript"/>
              </w:rPr>
              <w:t>2</w:t>
            </w:r>
          </w:p>
        </w:tc>
        <w:tc>
          <w:tcPr>
            <w:tcW w:w="493" w:type="pct"/>
            <w:tcBorders>
              <w:top w:val="nil"/>
              <w:bottom w:val="nil"/>
            </w:tcBorders>
            <w:shd w:val="clear" w:color="auto" w:fill="auto"/>
          </w:tcPr>
          <w:p w:rsidR="0025490C" w:rsidRPr="001B423A" w:rsidRDefault="0025490C" w:rsidP="001B423A">
            <w:pPr>
              <w:pStyle w:val="TableText"/>
              <w:keepNext/>
              <w:rPr>
                <w:sz w:val="16"/>
                <w:szCs w:val="16"/>
              </w:rPr>
            </w:pPr>
            <w:r w:rsidRPr="001B423A">
              <w:rPr>
                <w:sz w:val="16"/>
                <w:szCs w:val="16"/>
              </w:rPr>
              <w:t>BMI ≥ 30 kg/m</w:t>
            </w:r>
            <w:r w:rsidRPr="001B423A">
              <w:rPr>
                <w:sz w:val="16"/>
                <w:szCs w:val="16"/>
                <w:vertAlign w:val="superscript"/>
              </w:rPr>
              <w:t>2</w:t>
            </w:r>
          </w:p>
        </w:tc>
        <w:tc>
          <w:tcPr>
            <w:tcW w:w="493" w:type="pct"/>
            <w:tcBorders>
              <w:top w:val="nil"/>
              <w:bottom w:val="nil"/>
            </w:tcBorders>
            <w:shd w:val="clear" w:color="auto" w:fill="auto"/>
          </w:tcPr>
          <w:p w:rsidR="0025490C" w:rsidRPr="001B423A" w:rsidRDefault="0025490C" w:rsidP="001B423A">
            <w:pPr>
              <w:pStyle w:val="TableText"/>
              <w:keepNext/>
              <w:rPr>
                <w:sz w:val="16"/>
                <w:szCs w:val="16"/>
              </w:rPr>
            </w:pPr>
            <w:r w:rsidRPr="001B423A">
              <w:rPr>
                <w:sz w:val="16"/>
                <w:szCs w:val="16"/>
              </w:rPr>
              <w:t>BMI &gt; 30 kg/m</w:t>
            </w:r>
            <w:r w:rsidRPr="001B423A">
              <w:rPr>
                <w:sz w:val="16"/>
                <w:szCs w:val="16"/>
                <w:vertAlign w:val="superscript"/>
              </w:rPr>
              <w:t>2</w:t>
            </w:r>
          </w:p>
        </w:tc>
        <w:tc>
          <w:tcPr>
            <w:tcW w:w="493" w:type="pct"/>
            <w:tcBorders>
              <w:top w:val="nil"/>
              <w:bottom w:val="nil"/>
            </w:tcBorders>
            <w:shd w:val="clear" w:color="auto" w:fill="auto"/>
          </w:tcPr>
          <w:p w:rsidR="0025490C" w:rsidRPr="001B423A" w:rsidRDefault="0025490C" w:rsidP="001B423A">
            <w:pPr>
              <w:pStyle w:val="TableText"/>
              <w:keepNext/>
              <w:rPr>
                <w:sz w:val="16"/>
                <w:szCs w:val="16"/>
              </w:rPr>
            </w:pPr>
            <w:r w:rsidRPr="001B423A">
              <w:rPr>
                <w:sz w:val="16"/>
                <w:szCs w:val="16"/>
              </w:rPr>
              <w:t>Overweight</w:t>
            </w:r>
          </w:p>
        </w:tc>
        <w:tc>
          <w:tcPr>
            <w:tcW w:w="534" w:type="pct"/>
            <w:tcBorders>
              <w:top w:val="nil"/>
              <w:bottom w:val="nil"/>
            </w:tcBorders>
            <w:shd w:val="clear" w:color="auto" w:fill="auto"/>
          </w:tcPr>
          <w:p w:rsidR="0025490C" w:rsidRPr="001B423A" w:rsidRDefault="0025490C" w:rsidP="001B423A">
            <w:pPr>
              <w:pStyle w:val="TableText"/>
              <w:keepNext/>
              <w:rPr>
                <w:sz w:val="16"/>
                <w:szCs w:val="16"/>
              </w:rPr>
            </w:pPr>
            <w:r w:rsidRPr="001B423A">
              <w:rPr>
                <w:sz w:val="16"/>
                <w:szCs w:val="16"/>
              </w:rPr>
              <w:t>Overweight/obesity</w:t>
            </w:r>
          </w:p>
        </w:tc>
        <w:tc>
          <w:tcPr>
            <w:tcW w:w="486" w:type="pct"/>
            <w:tcBorders>
              <w:top w:val="nil"/>
              <w:bottom w:val="nil"/>
            </w:tcBorders>
            <w:shd w:val="clear" w:color="auto" w:fill="auto"/>
          </w:tcPr>
          <w:p w:rsidR="0025490C" w:rsidRPr="001B423A" w:rsidRDefault="0025490C" w:rsidP="001B423A">
            <w:pPr>
              <w:pStyle w:val="TableText"/>
              <w:keepNext/>
              <w:rPr>
                <w:sz w:val="16"/>
                <w:szCs w:val="16"/>
              </w:rPr>
            </w:pPr>
            <w:r w:rsidRPr="001B423A">
              <w:rPr>
                <w:sz w:val="16"/>
                <w:szCs w:val="16"/>
              </w:rPr>
              <w:t>Obesity, especially if BMI ≥ 35 kg/m</w:t>
            </w:r>
            <w:r w:rsidRPr="001B423A">
              <w:rPr>
                <w:sz w:val="16"/>
                <w:szCs w:val="16"/>
                <w:vertAlign w:val="superscript"/>
              </w:rPr>
              <w:t>2</w:t>
            </w:r>
          </w:p>
        </w:tc>
      </w:tr>
      <w:tr w:rsidR="001B423A" w:rsidRPr="00E07B1B" w:rsidTr="001B423A">
        <w:trPr>
          <w:cantSplit/>
        </w:trPr>
        <w:tc>
          <w:tcPr>
            <w:tcW w:w="500" w:type="pct"/>
            <w:tcBorders>
              <w:top w:val="nil"/>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Greater maternal age</w:t>
            </w:r>
          </w:p>
        </w:tc>
        <w:tc>
          <w:tcPr>
            <w:tcW w:w="500" w:type="pct"/>
            <w:tcBorders>
              <w:top w:val="nil"/>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Advanced age</w:t>
            </w:r>
          </w:p>
        </w:tc>
        <w:tc>
          <w:tcPr>
            <w:tcW w:w="500" w:type="pct"/>
            <w:tcBorders>
              <w:top w:val="nil"/>
              <w:bottom w:val="nil"/>
            </w:tcBorders>
            <w:shd w:val="clear" w:color="auto" w:fill="F2F2F2" w:themeFill="background1" w:themeFillShade="F2"/>
          </w:tcPr>
          <w:p w:rsidR="0025490C" w:rsidRPr="001B423A" w:rsidRDefault="0025490C" w:rsidP="001B423A">
            <w:pPr>
              <w:pStyle w:val="TableText"/>
              <w:rPr>
                <w:sz w:val="16"/>
                <w:szCs w:val="16"/>
              </w:rPr>
            </w:pPr>
            <w:r w:rsidRPr="001B423A">
              <w:rPr>
                <w:sz w:val="16"/>
                <w:szCs w:val="16"/>
              </w:rPr>
              <w:t>Maternal age ≥</w:t>
            </w:r>
            <w:r w:rsidR="001B423A">
              <w:rPr>
                <w:sz w:val="16"/>
                <w:szCs w:val="16"/>
              </w:rPr>
              <w:t> </w:t>
            </w:r>
            <w:r w:rsidRPr="001B423A">
              <w:rPr>
                <w:sz w:val="16"/>
                <w:szCs w:val="16"/>
              </w:rPr>
              <w:t>40</w:t>
            </w:r>
            <w:r w:rsidR="001B423A">
              <w:rPr>
                <w:sz w:val="16"/>
                <w:szCs w:val="16"/>
              </w:rPr>
              <w:t> </w:t>
            </w:r>
            <w:r w:rsidRPr="001B423A">
              <w:rPr>
                <w:sz w:val="16"/>
                <w:szCs w:val="16"/>
              </w:rPr>
              <w:t>years</w:t>
            </w:r>
          </w:p>
        </w:tc>
        <w:tc>
          <w:tcPr>
            <w:tcW w:w="500" w:type="pct"/>
            <w:tcBorders>
              <w:top w:val="nil"/>
              <w:bottom w:val="nil"/>
            </w:tcBorders>
            <w:shd w:val="clear" w:color="auto" w:fill="F2F2F2" w:themeFill="background1" w:themeFillShade="F2"/>
          </w:tcPr>
          <w:p w:rsidR="0025490C" w:rsidRPr="001B423A" w:rsidRDefault="0025490C" w:rsidP="001B423A">
            <w:pPr>
              <w:pStyle w:val="TableText"/>
              <w:rPr>
                <w:sz w:val="16"/>
                <w:szCs w:val="16"/>
              </w:rPr>
            </w:pPr>
            <w:r w:rsidRPr="001B423A">
              <w:rPr>
                <w:sz w:val="16"/>
                <w:szCs w:val="16"/>
              </w:rPr>
              <w:t>Advanced maternal age ≥</w:t>
            </w:r>
            <w:r w:rsidR="001B423A">
              <w:rPr>
                <w:sz w:val="16"/>
                <w:szCs w:val="16"/>
              </w:rPr>
              <w:t> </w:t>
            </w:r>
            <w:r w:rsidRPr="001B423A">
              <w:rPr>
                <w:sz w:val="16"/>
                <w:szCs w:val="16"/>
              </w:rPr>
              <w:t>35</w:t>
            </w:r>
            <w:r w:rsidR="001B423A">
              <w:rPr>
                <w:sz w:val="16"/>
                <w:szCs w:val="16"/>
              </w:rPr>
              <w:t> </w:t>
            </w:r>
            <w:r w:rsidRPr="001B423A">
              <w:rPr>
                <w:sz w:val="16"/>
                <w:szCs w:val="16"/>
              </w:rPr>
              <w:t>years</w:t>
            </w:r>
          </w:p>
        </w:tc>
        <w:tc>
          <w:tcPr>
            <w:tcW w:w="500" w:type="pct"/>
            <w:tcBorders>
              <w:top w:val="nil"/>
              <w:bottom w:val="nil"/>
            </w:tcBorders>
            <w:shd w:val="clear" w:color="auto" w:fill="F2F2F2" w:themeFill="background1" w:themeFillShade="F2"/>
          </w:tcPr>
          <w:p w:rsidR="0025490C" w:rsidRPr="001B423A" w:rsidRDefault="001B423A" w:rsidP="001B423A">
            <w:pPr>
              <w:pStyle w:val="TableText"/>
              <w:jc w:val="center"/>
              <w:rPr>
                <w:sz w:val="16"/>
                <w:szCs w:val="16"/>
              </w:rPr>
            </w:pPr>
            <w:r>
              <w:rPr>
                <w:sz w:val="16"/>
                <w:szCs w:val="16"/>
              </w:rPr>
              <w:t>–</w:t>
            </w:r>
          </w:p>
        </w:tc>
        <w:tc>
          <w:tcPr>
            <w:tcW w:w="493" w:type="pct"/>
            <w:tcBorders>
              <w:top w:val="nil"/>
              <w:bottom w:val="nil"/>
            </w:tcBorders>
            <w:shd w:val="clear" w:color="auto" w:fill="F2F2F2" w:themeFill="background1" w:themeFillShade="F2"/>
          </w:tcPr>
          <w:p w:rsidR="0025490C" w:rsidRPr="001B423A" w:rsidRDefault="0025490C" w:rsidP="001B423A">
            <w:pPr>
              <w:pStyle w:val="TableText"/>
              <w:rPr>
                <w:sz w:val="16"/>
                <w:szCs w:val="16"/>
              </w:rPr>
            </w:pPr>
            <w:r w:rsidRPr="001B423A">
              <w:rPr>
                <w:sz w:val="16"/>
                <w:szCs w:val="16"/>
              </w:rPr>
              <w:t>Age ≥ 35 years</w:t>
            </w:r>
          </w:p>
        </w:tc>
        <w:tc>
          <w:tcPr>
            <w:tcW w:w="493" w:type="pct"/>
            <w:tcBorders>
              <w:top w:val="nil"/>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Advanced maternal age</w:t>
            </w:r>
          </w:p>
        </w:tc>
        <w:tc>
          <w:tcPr>
            <w:tcW w:w="493" w:type="pct"/>
            <w:tcBorders>
              <w:top w:val="nil"/>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Age &gt; 25 years</w:t>
            </w:r>
          </w:p>
        </w:tc>
        <w:tc>
          <w:tcPr>
            <w:tcW w:w="534" w:type="pct"/>
            <w:tcBorders>
              <w:top w:val="nil"/>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Age &gt; 25 years</w:t>
            </w:r>
          </w:p>
        </w:tc>
        <w:tc>
          <w:tcPr>
            <w:tcW w:w="486" w:type="pct"/>
            <w:tcBorders>
              <w:top w:val="nil"/>
              <w:bottom w:val="nil"/>
            </w:tcBorders>
            <w:shd w:val="clear" w:color="auto" w:fill="F2F2F2" w:themeFill="background1" w:themeFillShade="F2"/>
          </w:tcPr>
          <w:p w:rsidR="0025490C" w:rsidRPr="001B423A" w:rsidRDefault="0025490C" w:rsidP="001B423A">
            <w:pPr>
              <w:pStyle w:val="TableText"/>
              <w:rPr>
                <w:sz w:val="16"/>
                <w:szCs w:val="16"/>
              </w:rPr>
            </w:pPr>
            <w:r w:rsidRPr="001B423A">
              <w:rPr>
                <w:sz w:val="16"/>
                <w:szCs w:val="16"/>
              </w:rPr>
              <w:t>Maternal age ≥</w:t>
            </w:r>
            <w:r w:rsidR="001B423A">
              <w:rPr>
                <w:sz w:val="16"/>
                <w:szCs w:val="16"/>
              </w:rPr>
              <w:t> </w:t>
            </w:r>
            <w:r w:rsidRPr="001B423A">
              <w:rPr>
                <w:sz w:val="16"/>
                <w:szCs w:val="16"/>
              </w:rPr>
              <w:t>40</w:t>
            </w:r>
            <w:r w:rsidR="001B423A">
              <w:rPr>
                <w:sz w:val="16"/>
                <w:szCs w:val="16"/>
              </w:rPr>
              <w:t> </w:t>
            </w:r>
            <w:r w:rsidRPr="001B423A">
              <w:rPr>
                <w:sz w:val="16"/>
                <w:szCs w:val="16"/>
              </w:rPr>
              <w:t>years</w:t>
            </w:r>
          </w:p>
        </w:tc>
      </w:tr>
      <w:tr w:rsidR="001B423A" w:rsidRPr="00E07B1B" w:rsidTr="001B423A">
        <w:trPr>
          <w:cantSplit/>
        </w:trPr>
        <w:tc>
          <w:tcPr>
            <w:tcW w:w="500"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Polycystic ovary syndrome</w:t>
            </w:r>
          </w:p>
        </w:tc>
        <w:tc>
          <w:tcPr>
            <w:tcW w:w="500" w:type="pct"/>
            <w:tcBorders>
              <w:top w:val="nil"/>
              <w:bottom w:val="nil"/>
            </w:tcBorders>
            <w:shd w:val="clear" w:color="auto" w:fill="auto"/>
          </w:tcPr>
          <w:p w:rsidR="0025490C" w:rsidRPr="001B423A" w:rsidRDefault="001B423A" w:rsidP="001B423A">
            <w:pPr>
              <w:pStyle w:val="TableText"/>
              <w:jc w:val="center"/>
              <w:rPr>
                <w:sz w:val="16"/>
                <w:szCs w:val="16"/>
              </w:rPr>
            </w:pPr>
            <w:r>
              <w:rPr>
                <w:sz w:val="16"/>
                <w:szCs w:val="16"/>
              </w:rPr>
              <w:t>–</w:t>
            </w:r>
          </w:p>
        </w:tc>
        <w:tc>
          <w:tcPr>
            <w:tcW w:w="500"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 xml:space="preserve">Polycystic ovary syndrome </w:t>
            </w:r>
          </w:p>
        </w:tc>
        <w:tc>
          <w:tcPr>
            <w:tcW w:w="500"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Polycystic ovary syndrome</w:t>
            </w:r>
          </w:p>
        </w:tc>
        <w:tc>
          <w:tcPr>
            <w:tcW w:w="500" w:type="pct"/>
            <w:tcBorders>
              <w:top w:val="nil"/>
              <w:bottom w:val="nil"/>
            </w:tcBorders>
            <w:shd w:val="clear" w:color="auto" w:fill="auto"/>
          </w:tcPr>
          <w:p w:rsidR="0025490C" w:rsidRPr="001B423A" w:rsidRDefault="001B423A" w:rsidP="001B423A">
            <w:pPr>
              <w:pStyle w:val="TableText"/>
              <w:jc w:val="center"/>
              <w:rPr>
                <w:sz w:val="16"/>
                <w:szCs w:val="16"/>
              </w:rPr>
            </w:pPr>
            <w:r>
              <w:rPr>
                <w:sz w:val="16"/>
                <w:szCs w:val="16"/>
              </w:rPr>
              <w:t>–</w:t>
            </w:r>
          </w:p>
        </w:tc>
        <w:tc>
          <w:tcPr>
            <w:tcW w:w="493"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 xml:space="preserve">Polycystic ovary syndrome </w:t>
            </w:r>
          </w:p>
        </w:tc>
        <w:tc>
          <w:tcPr>
            <w:tcW w:w="493" w:type="pct"/>
            <w:tcBorders>
              <w:top w:val="nil"/>
              <w:bottom w:val="nil"/>
            </w:tcBorders>
            <w:shd w:val="clear" w:color="auto" w:fill="auto"/>
          </w:tcPr>
          <w:p w:rsidR="0025490C" w:rsidRPr="001B423A" w:rsidRDefault="001B423A" w:rsidP="001B423A">
            <w:pPr>
              <w:pStyle w:val="TableText"/>
              <w:jc w:val="center"/>
              <w:rPr>
                <w:sz w:val="16"/>
                <w:szCs w:val="16"/>
              </w:rPr>
            </w:pPr>
            <w:r>
              <w:rPr>
                <w:sz w:val="16"/>
                <w:szCs w:val="16"/>
              </w:rPr>
              <w:t>–</w:t>
            </w:r>
          </w:p>
        </w:tc>
        <w:tc>
          <w:tcPr>
            <w:tcW w:w="493" w:type="pct"/>
            <w:tcBorders>
              <w:top w:val="nil"/>
              <w:bottom w:val="nil"/>
            </w:tcBorders>
            <w:shd w:val="clear" w:color="auto" w:fill="auto"/>
          </w:tcPr>
          <w:p w:rsidR="0025490C" w:rsidRPr="001B423A" w:rsidRDefault="001B423A" w:rsidP="001B423A">
            <w:pPr>
              <w:pStyle w:val="TableText"/>
              <w:jc w:val="center"/>
              <w:rPr>
                <w:sz w:val="16"/>
                <w:szCs w:val="16"/>
              </w:rPr>
            </w:pPr>
            <w:r>
              <w:rPr>
                <w:sz w:val="16"/>
                <w:szCs w:val="16"/>
              </w:rPr>
              <w:t>–</w:t>
            </w:r>
          </w:p>
        </w:tc>
        <w:tc>
          <w:tcPr>
            <w:tcW w:w="534"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Polycystic ovary syndrome</w:t>
            </w:r>
          </w:p>
        </w:tc>
        <w:tc>
          <w:tcPr>
            <w:tcW w:w="486" w:type="pct"/>
            <w:tcBorders>
              <w:top w:val="nil"/>
              <w:bottom w:val="nil"/>
            </w:tcBorders>
            <w:shd w:val="clear" w:color="auto" w:fill="auto"/>
          </w:tcPr>
          <w:p w:rsidR="0025490C" w:rsidRPr="001B423A" w:rsidRDefault="001B423A" w:rsidP="000F0C53">
            <w:pPr>
              <w:pStyle w:val="TableText"/>
              <w:rPr>
                <w:sz w:val="16"/>
                <w:szCs w:val="16"/>
              </w:rPr>
            </w:pPr>
            <w:r>
              <w:rPr>
                <w:sz w:val="16"/>
                <w:szCs w:val="16"/>
              </w:rPr>
              <w:t>Polycystic ovary syndrome</w:t>
            </w:r>
          </w:p>
        </w:tc>
      </w:tr>
      <w:tr w:rsidR="001B423A" w:rsidRPr="00E07B1B" w:rsidTr="001B423A">
        <w:trPr>
          <w:cantSplit/>
        </w:trPr>
        <w:tc>
          <w:tcPr>
            <w:tcW w:w="500" w:type="pct"/>
            <w:tcBorders>
              <w:top w:val="nil"/>
              <w:bottom w:val="nil"/>
            </w:tcBorders>
            <w:shd w:val="clear" w:color="auto" w:fill="F2F2F2" w:themeFill="background1" w:themeFillShade="F2"/>
          </w:tcPr>
          <w:p w:rsidR="0025490C" w:rsidRPr="001B423A" w:rsidRDefault="001B423A" w:rsidP="001B423A">
            <w:pPr>
              <w:pStyle w:val="TableText"/>
              <w:jc w:val="center"/>
              <w:rPr>
                <w:sz w:val="16"/>
                <w:szCs w:val="16"/>
              </w:rPr>
            </w:pPr>
            <w:r>
              <w:rPr>
                <w:sz w:val="16"/>
                <w:szCs w:val="16"/>
              </w:rPr>
              <w:t>–</w:t>
            </w:r>
          </w:p>
        </w:tc>
        <w:tc>
          <w:tcPr>
            <w:tcW w:w="500" w:type="pct"/>
            <w:tcBorders>
              <w:top w:val="nil"/>
              <w:bottom w:val="nil"/>
            </w:tcBorders>
            <w:shd w:val="clear" w:color="auto" w:fill="F2F2F2" w:themeFill="background1" w:themeFillShade="F2"/>
          </w:tcPr>
          <w:p w:rsidR="0025490C" w:rsidRPr="001B423A" w:rsidRDefault="001B423A" w:rsidP="001B423A">
            <w:pPr>
              <w:pStyle w:val="TableText"/>
              <w:jc w:val="center"/>
              <w:rPr>
                <w:sz w:val="16"/>
                <w:szCs w:val="16"/>
              </w:rPr>
            </w:pPr>
            <w:r>
              <w:rPr>
                <w:sz w:val="16"/>
                <w:szCs w:val="16"/>
              </w:rPr>
              <w:t>–</w:t>
            </w:r>
          </w:p>
        </w:tc>
        <w:tc>
          <w:tcPr>
            <w:tcW w:w="500" w:type="pct"/>
            <w:tcBorders>
              <w:top w:val="nil"/>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Long-term steroid use</w:t>
            </w:r>
          </w:p>
        </w:tc>
        <w:tc>
          <w:tcPr>
            <w:tcW w:w="500" w:type="pct"/>
            <w:tcBorders>
              <w:top w:val="nil"/>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Use of thiazidic diuretics, corticosteroids or high dose of thyroid hormone</w:t>
            </w:r>
          </w:p>
        </w:tc>
        <w:tc>
          <w:tcPr>
            <w:tcW w:w="500" w:type="pct"/>
            <w:tcBorders>
              <w:top w:val="nil"/>
              <w:bottom w:val="nil"/>
            </w:tcBorders>
            <w:shd w:val="clear" w:color="auto" w:fill="F2F2F2" w:themeFill="background1" w:themeFillShade="F2"/>
          </w:tcPr>
          <w:p w:rsidR="0025490C" w:rsidRPr="001B423A" w:rsidRDefault="001B423A" w:rsidP="001B423A">
            <w:pPr>
              <w:pStyle w:val="TableText"/>
              <w:jc w:val="center"/>
              <w:rPr>
                <w:sz w:val="16"/>
                <w:szCs w:val="16"/>
              </w:rPr>
            </w:pPr>
            <w:r>
              <w:rPr>
                <w:sz w:val="16"/>
                <w:szCs w:val="16"/>
              </w:rPr>
              <w:t>–</w:t>
            </w:r>
          </w:p>
        </w:tc>
        <w:tc>
          <w:tcPr>
            <w:tcW w:w="493" w:type="pct"/>
            <w:tcBorders>
              <w:top w:val="nil"/>
              <w:bottom w:val="nil"/>
            </w:tcBorders>
            <w:shd w:val="clear" w:color="auto" w:fill="F2F2F2" w:themeFill="background1" w:themeFillShade="F2"/>
          </w:tcPr>
          <w:p w:rsidR="0025490C" w:rsidRPr="001B423A" w:rsidRDefault="0025490C" w:rsidP="001B423A">
            <w:pPr>
              <w:pStyle w:val="TableText"/>
              <w:rPr>
                <w:sz w:val="16"/>
                <w:szCs w:val="16"/>
              </w:rPr>
            </w:pPr>
            <w:r w:rsidRPr="001B423A">
              <w:rPr>
                <w:sz w:val="16"/>
                <w:szCs w:val="16"/>
              </w:rPr>
              <w:t>Corticosteroid use</w:t>
            </w:r>
          </w:p>
        </w:tc>
        <w:tc>
          <w:tcPr>
            <w:tcW w:w="493" w:type="pct"/>
            <w:tcBorders>
              <w:top w:val="nil"/>
              <w:bottom w:val="nil"/>
            </w:tcBorders>
            <w:shd w:val="clear" w:color="auto" w:fill="F2F2F2" w:themeFill="background1" w:themeFillShade="F2"/>
          </w:tcPr>
          <w:p w:rsidR="0025490C" w:rsidRPr="001B423A" w:rsidRDefault="001B423A" w:rsidP="001B423A">
            <w:pPr>
              <w:pStyle w:val="TableText"/>
              <w:jc w:val="center"/>
              <w:rPr>
                <w:sz w:val="16"/>
                <w:szCs w:val="16"/>
              </w:rPr>
            </w:pPr>
            <w:r>
              <w:rPr>
                <w:sz w:val="16"/>
                <w:szCs w:val="16"/>
              </w:rPr>
              <w:t>–</w:t>
            </w:r>
          </w:p>
        </w:tc>
        <w:tc>
          <w:tcPr>
            <w:tcW w:w="493" w:type="pct"/>
            <w:tcBorders>
              <w:top w:val="nil"/>
              <w:bottom w:val="nil"/>
            </w:tcBorders>
            <w:shd w:val="clear" w:color="auto" w:fill="F2F2F2" w:themeFill="background1" w:themeFillShade="F2"/>
          </w:tcPr>
          <w:p w:rsidR="0025490C" w:rsidRPr="001B423A" w:rsidRDefault="001B423A" w:rsidP="001B423A">
            <w:pPr>
              <w:pStyle w:val="TableText"/>
              <w:jc w:val="center"/>
              <w:rPr>
                <w:sz w:val="16"/>
                <w:szCs w:val="16"/>
              </w:rPr>
            </w:pPr>
            <w:r>
              <w:rPr>
                <w:sz w:val="16"/>
                <w:szCs w:val="16"/>
              </w:rPr>
              <w:t>–</w:t>
            </w:r>
          </w:p>
        </w:tc>
        <w:tc>
          <w:tcPr>
            <w:tcW w:w="534" w:type="pct"/>
            <w:tcBorders>
              <w:top w:val="nil"/>
              <w:bottom w:val="nil"/>
            </w:tcBorders>
            <w:shd w:val="clear" w:color="auto" w:fill="F2F2F2" w:themeFill="background1" w:themeFillShade="F2"/>
          </w:tcPr>
          <w:p w:rsidR="0025490C" w:rsidRPr="001B423A" w:rsidRDefault="001B423A" w:rsidP="001B423A">
            <w:pPr>
              <w:pStyle w:val="TableText"/>
              <w:jc w:val="center"/>
              <w:rPr>
                <w:sz w:val="16"/>
                <w:szCs w:val="16"/>
              </w:rPr>
            </w:pPr>
            <w:r>
              <w:rPr>
                <w:sz w:val="16"/>
                <w:szCs w:val="16"/>
              </w:rPr>
              <w:t>–</w:t>
            </w:r>
          </w:p>
        </w:tc>
        <w:tc>
          <w:tcPr>
            <w:tcW w:w="486" w:type="pct"/>
            <w:tcBorders>
              <w:top w:val="nil"/>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Corticosteroid use or anti-psychotic treatment</w:t>
            </w:r>
          </w:p>
        </w:tc>
      </w:tr>
      <w:tr w:rsidR="001B423A" w:rsidRPr="00E07B1B" w:rsidTr="001B423A">
        <w:trPr>
          <w:cantSplit/>
        </w:trPr>
        <w:tc>
          <w:tcPr>
            <w:tcW w:w="500"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Type 2 diabetes in a first-degree relative</w:t>
            </w:r>
          </w:p>
        </w:tc>
        <w:tc>
          <w:tcPr>
            <w:tcW w:w="500"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Family history of diabetes</w:t>
            </w:r>
          </w:p>
        </w:tc>
        <w:tc>
          <w:tcPr>
            <w:tcW w:w="500"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Family history of diabetes in a first-degree relative</w:t>
            </w:r>
          </w:p>
        </w:tc>
        <w:tc>
          <w:tcPr>
            <w:tcW w:w="500"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Family history of diabetes in a first-degree relative</w:t>
            </w:r>
          </w:p>
        </w:tc>
        <w:tc>
          <w:tcPr>
            <w:tcW w:w="500"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Family history of diabetes in a first-degree relative</w:t>
            </w:r>
          </w:p>
        </w:tc>
        <w:tc>
          <w:tcPr>
            <w:tcW w:w="493" w:type="pct"/>
            <w:tcBorders>
              <w:top w:val="nil"/>
              <w:bottom w:val="nil"/>
            </w:tcBorders>
            <w:shd w:val="clear" w:color="auto" w:fill="auto"/>
          </w:tcPr>
          <w:p w:rsidR="0025490C" w:rsidRPr="001B423A" w:rsidRDefault="001B423A" w:rsidP="001B423A">
            <w:pPr>
              <w:pStyle w:val="TableText"/>
              <w:jc w:val="center"/>
              <w:rPr>
                <w:sz w:val="16"/>
                <w:szCs w:val="16"/>
              </w:rPr>
            </w:pPr>
            <w:r>
              <w:rPr>
                <w:sz w:val="16"/>
                <w:szCs w:val="16"/>
              </w:rPr>
              <w:t>–</w:t>
            </w:r>
          </w:p>
        </w:tc>
        <w:tc>
          <w:tcPr>
            <w:tcW w:w="493" w:type="pct"/>
            <w:tcBorders>
              <w:top w:val="nil"/>
              <w:bottom w:val="nil"/>
            </w:tcBorders>
            <w:shd w:val="clear" w:color="auto" w:fill="auto"/>
          </w:tcPr>
          <w:p w:rsidR="0025490C" w:rsidRPr="001B423A" w:rsidRDefault="0025490C" w:rsidP="001B423A">
            <w:pPr>
              <w:pStyle w:val="TableText"/>
              <w:rPr>
                <w:sz w:val="16"/>
                <w:szCs w:val="16"/>
              </w:rPr>
            </w:pPr>
            <w:r w:rsidRPr="001B423A">
              <w:rPr>
                <w:sz w:val="16"/>
                <w:szCs w:val="16"/>
              </w:rPr>
              <w:t>Family history of diabetes (first-degree relative)</w:t>
            </w:r>
          </w:p>
        </w:tc>
        <w:tc>
          <w:tcPr>
            <w:tcW w:w="493"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Family history of diabetes (first-degree relative)</w:t>
            </w:r>
          </w:p>
        </w:tc>
        <w:tc>
          <w:tcPr>
            <w:tcW w:w="534"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Family history of diabetes (first-degree relative)</w:t>
            </w:r>
          </w:p>
        </w:tc>
        <w:tc>
          <w:tcPr>
            <w:tcW w:w="486" w:type="pct"/>
            <w:tcBorders>
              <w:top w:val="nil"/>
              <w:bottom w:val="nil"/>
            </w:tcBorders>
            <w:shd w:val="clear" w:color="auto" w:fill="auto"/>
          </w:tcPr>
          <w:p w:rsidR="0025490C" w:rsidRPr="001B423A" w:rsidRDefault="0025490C" w:rsidP="000F0C53">
            <w:pPr>
              <w:pStyle w:val="TableText"/>
              <w:rPr>
                <w:sz w:val="16"/>
                <w:szCs w:val="16"/>
              </w:rPr>
            </w:pPr>
            <w:r w:rsidRPr="001B423A">
              <w:rPr>
                <w:sz w:val="16"/>
                <w:szCs w:val="16"/>
              </w:rPr>
              <w:t>Family history of diabetes (first-degree relative including a sister)</w:t>
            </w:r>
          </w:p>
        </w:tc>
      </w:tr>
      <w:tr w:rsidR="001B423A" w:rsidRPr="00E07B1B" w:rsidTr="001B423A">
        <w:trPr>
          <w:cantSplit/>
        </w:trPr>
        <w:tc>
          <w:tcPr>
            <w:tcW w:w="500" w:type="pct"/>
            <w:tcBorders>
              <w:top w:val="nil"/>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Metabolic syndrome</w:t>
            </w:r>
          </w:p>
        </w:tc>
        <w:tc>
          <w:tcPr>
            <w:tcW w:w="500" w:type="pct"/>
            <w:tcBorders>
              <w:top w:val="nil"/>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History of abnormal glucose tolerance</w:t>
            </w:r>
          </w:p>
        </w:tc>
        <w:tc>
          <w:tcPr>
            <w:tcW w:w="500" w:type="pct"/>
            <w:tcBorders>
              <w:top w:val="nil"/>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Current glycosuria</w:t>
            </w:r>
          </w:p>
        </w:tc>
        <w:tc>
          <w:tcPr>
            <w:tcW w:w="500" w:type="pct"/>
            <w:tcBorders>
              <w:top w:val="nil"/>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Polyhydramnios</w:t>
            </w:r>
          </w:p>
        </w:tc>
        <w:tc>
          <w:tcPr>
            <w:tcW w:w="500" w:type="pct"/>
            <w:tcBorders>
              <w:top w:val="nil"/>
              <w:bottom w:val="nil"/>
            </w:tcBorders>
            <w:shd w:val="clear" w:color="auto" w:fill="F2F2F2" w:themeFill="background1" w:themeFillShade="F2"/>
          </w:tcPr>
          <w:p w:rsidR="0025490C" w:rsidRPr="001B423A" w:rsidRDefault="001B423A" w:rsidP="001B423A">
            <w:pPr>
              <w:pStyle w:val="TableText"/>
              <w:jc w:val="center"/>
              <w:rPr>
                <w:sz w:val="16"/>
                <w:szCs w:val="16"/>
              </w:rPr>
            </w:pPr>
            <w:r>
              <w:rPr>
                <w:sz w:val="16"/>
                <w:szCs w:val="16"/>
              </w:rPr>
              <w:t>–</w:t>
            </w:r>
          </w:p>
        </w:tc>
        <w:tc>
          <w:tcPr>
            <w:tcW w:w="493" w:type="pct"/>
            <w:tcBorders>
              <w:top w:val="nil"/>
              <w:bottom w:val="nil"/>
            </w:tcBorders>
            <w:shd w:val="clear" w:color="auto" w:fill="F2F2F2" w:themeFill="background1" w:themeFillShade="F2"/>
          </w:tcPr>
          <w:p w:rsidR="0025490C" w:rsidRPr="001B423A" w:rsidRDefault="0025490C" w:rsidP="001B423A">
            <w:pPr>
              <w:pStyle w:val="TableText"/>
              <w:rPr>
                <w:sz w:val="16"/>
                <w:szCs w:val="16"/>
              </w:rPr>
            </w:pPr>
            <w:r w:rsidRPr="001B423A">
              <w:rPr>
                <w:sz w:val="16"/>
                <w:szCs w:val="16"/>
              </w:rPr>
              <w:t>Acanthosis nigrans</w:t>
            </w:r>
          </w:p>
        </w:tc>
        <w:tc>
          <w:tcPr>
            <w:tcW w:w="493" w:type="pct"/>
            <w:tcBorders>
              <w:top w:val="nil"/>
              <w:bottom w:val="nil"/>
            </w:tcBorders>
            <w:shd w:val="clear" w:color="auto" w:fill="F2F2F2" w:themeFill="background1" w:themeFillShade="F2"/>
          </w:tcPr>
          <w:p w:rsidR="0025490C" w:rsidRPr="001B423A" w:rsidRDefault="0025490C" w:rsidP="001B423A">
            <w:pPr>
              <w:pStyle w:val="TableText"/>
              <w:rPr>
                <w:sz w:val="16"/>
                <w:szCs w:val="16"/>
              </w:rPr>
            </w:pPr>
            <w:r w:rsidRPr="001B423A">
              <w:rPr>
                <w:sz w:val="16"/>
                <w:szCs w:val="16"/>
              </w:rPr>
              <w:t>Current smoker</w:t>
            </w:r>
          </w:p>
        </w:tc>
        <w:tc>
          <w:tcPr>
            <w:tcW w:w="493" w:type="pct"/>
            <w:tcBorders>
              <w:top w:val="nil"/>
              <w:bottom w:val="nil"/>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Glycosuria</w:t>
            </w:r>
          </w:p>
        </w:tc>
        <w:tc>
          <w:tcPr>
            <w:tcW w:w="534" w:type="pct"/>
            <w:tcBorders>
              <w:top w:val="nil"/>
              <w:bottom w:val="nil"/>
            </w:tcBorders>
            <w:shd w:val="clear" w:color="auto" w:fill="F2F2F2" w:themeFill="background1" w:themeFillShade="F2"/>
          </w:tcPr>
          <w:p w:rsidR="0025490C" w:rsidRPr="001B423A" w:rsidRDefault="0025490C" w:rsidP="001B423A">
            <w:pPr>
              <w:pStyle w:val="TableText"/>
              <w:rPr>
                <w:sz w:val="16"/>
                <w:szCs w:val="16"/>
              </w:rPr>
            </w:pPr>
            <w:r w:rsidRPr="001B423A">
              <w:rPr>
                <w:sz w:val="16"/>
                <w:szCs w:val="16"/>
              </w:rPr>
              <w:t>Fasting plasma glucose &gt; 85 mg/dL or 2-hour postprandial glucose concentration &gt;</w:t>
            </w:r>
            <w:r w:rsidR="001B423A">
              <w:rPr>
                <w:sz w:val="16"/>
                <w:szCs w:val="16"/>
              </w:rPr>
              <w:t> </w:t>
            </w:r>
            <w:r w:rsidRPr="001B423A">
              <w:rPr>
                <w:sz w:val="16"/>
                <w:szCs w:val="16"/>
              </w:rPr>
              <w:t>140</w:t>
            </w:r>
            <w:r w:rsidR="001B423A">
              <w:rPr>
                <w:sz w:val="16"/>
                <w:szCs w:val="16"/>
              </w:rPr>
              <w:t> </w:t>
            </w:r>
            <w:r w:rsidRPr="001B423A">
              <w:rPr>
                <w:sz w:val="16"/>
                <w:szCs w:val="16"/>
              </w:rPr>
              <w:t>mg/dL</w:t>
            </w:r>
          </w:p>
        </w:tc>
        <w:tc>
          <w:tcPr>
            <w:tcW w:w="486" w:type="pct"/>
            <w:tcBorders>
              <w:top w:val="nil"/>
              <w:bottom w:val="nil"/>
            </w:tcBorders>
            <w:shd w:val="clear" w:color="auto" w:fill="F2F2F2" w:themeFill="background1" w:themeFillShade="F2"/>
          </w:tcPr>
          <w:p w:rsidR="0025490C" w:rsidRPr="001B423A" w:rsidRDefault="001B423A" w:rsidP="001B423A">
            <w:pPr>
              <w:pStyle w:val="TableText"/>
              <w:jc w:val="center"/>
              <w:rPr>
                <w:sz w:val="16"/>
                <w:szCs w:val="16"/>
              </w:rPr>
            </w:pPr>
            <w:r>
              <w:rPr>
                <w:sz w:val="16"/>
                <w:szCs w:val="16"/>
              </w:rPr>
              <w:t>–</w:t>
            </w:r>
          </w:p>
        </w:tc>
      </w:tr>
      <w:tr w:rsidR="001B423A" w:rsidRPr="00E07B1B" w:rsidTr="001B423A">
        <w:trPr>
          <w:cantSplit/>
        </w:trPr>
        <w:tc>
          <w:tcPr>
            <w:tcW w:w="500" w:type="pct"/>
            <w:tcBorders>
              <w:top w:val="nil"/>
              <w:bottom w:val="nil"/>
            </w:tcBorders>
            <w:shd w:val="clear" w:color="auto" w:fill="auto"/>
          </w:tcPr>
          <w:p w:rsidR="0025490C" w:rsidRPr="001B423A" w:rsidRDefault="0025490C" w:rsidP="001B423A">
            <w:pPr>
              <w:pStyle w:val="TableText"/>
              <w:keepNext/>
              <w:rPr>
                <w:sz w:val="16"/>
                <w:szCs w:val="16"/>
              </w:rPr>
            </w:pPr>
            <w:r w:rsidRPr="001B423A">
              <w:rPr>
                <w:sz w:val="16"/>
                <w:szCs w:val="16"/>
              </w:rPr>
              <w:t>Polyhydramnios</w:t>
            </w:r>
          </w:p>
        </w:tc>
        <w:tc>
          <w:tcPr>
            <w:tcW w:w="500" w:type="pct"/>
            <w:tcBorders>
              <w:top w:val="nil"/>
              <w:bottom w:val="nil"/>
            </w:tcBorders>
            <w:shd w:val="clear" w:color="auto" w:fill="auto"/>
          </w:tcPr>
          <w:p w:rsidR="0025490C" w:rsidRPr="001B423A" w:rsidRDefault="0025490C" w:rsidP="001B423A">
            <w:pPr>
              <w:pStyle w:val="TableText"/>
              <w:keepNext/>
              <w:rPr>
                <w:rFonts w:eastAsia="MyriadPro-Light"/>
                <w:sz w:val="16"/>
                <w:szCs w:val="16"/>
              </w:rPr>
            </w:pPr>
            <w:r w:rsidRPr="001B423A">
              <w:rPr>
                <w:sz w:val="16"/>
                <w:szCs w:val="16"/>
              </w:rPr>
              <w:t>Previous poor obstetric outcome</w:t>
            </w:r>
          </w:p>
        </w:tc>
        <w:tc>
          <w:tcPr>
            <w:tcW w:w="500" w:type="pct"/>
            <w:tcBorders>
              <w:top w:val="nil"/>
              <w:bottom w:val="nil"/>
            </w:tcBorders>
            <w:shd w:val="clear" w:color="auto" w:fill="auto"/>
          </w:tcPr>
          <w:p w:rsidR="0025490C" w:rsidRPr="001B423A" w:rsidRDefault="0025490C" w:rsidP="001B423A">
            <w:pPr>
              <w:pStyle w:val="TableText"/>
              <w:keepNext/>
              <w:rPr>
                <w:sz w:val="16"/>
                <w:szCs w:val="16"/>
              </w:rPr>
            </w:pPr>
            <w:r w:rsidRPr="001B423A">
              <w:rPr>
                <w:rFonts w:eastAsia="MyriadPro-Light"/>
                <w:sz w:val="16"/>
                <w:szCs w:val="16"/>
              </w:rPr>
              <w:t>Polyhydramnios and/or macrosomia in existing pregnancy</w:t>
            </w:r>
          </w:p>
        </w:tc>
        <w:tc>
          <w:tcPr>
            <w:tcW w:w="500" w:type="pct"/>
            <w:tcBorders>
              <w:top w:val="nil"/>
              <w:bottom w:val="nil"/>
            </w:tcBorders>
            <w:shd w:val="clear" w:color="auto" w:fill="auto"/>
          </w:tcPr>
          <w:p w:rsidR="0025490C" w:rsidRPr="001B423A" w:rsidRDefault="0025490C" w:rsidP="001B423A">
            <w:pPr>
              <w:pStyle w:val="TableText"/>
              <w:keepNext/>
              <w:rPr>
                <w:sz w:val="16"/>
                <w:szCs w:val="16"/>
              </w:rPr>
            </w:pPr>
            <w:r w:rsidRPr="001B423A">
              <w:rPr>
                <w:sz w:val="16"/>
                <w:szCs w:val="16"/>
              </w:rPr>
              <w:t>Previous poor obstetric history</w:t>
            </w:r>
          </w:p>
        </w:tc>
        <w:tc>
          <w:tcPr>
            <w:tcW w:w="500" w:type="pct"/>
            <w:tcBorders>
              <w:top w:val="nil"/>
              <w:bottom w:val="nil"/>
            </w:tcBorders>
            <w:shd w:val="clear" w:color="auto" w:fill="auto"/>
          </w:tcPr>
          <w:p w:rsidR="0025490C" w:rsidRPr="001B423A" w:rsidRDefault="001B423A" w:rsidP="001B423A">
            <w:pPr>
              <w:pStyle w:val="TableText"/>
              <w:keepNext/>
              <w:jc w:val="center"/>
              <w:rPr>
                <w:sz w:val="16"/>
                <w:szCs w:val="16"/>
              </w:rPr>
            </w:pPr>
            <w:r>
              <w:rPr>
                <w:sz w:val="16"/>
                <w:szCs w:val="16"/>
              </w:rPr>
              <w:t>–</w:t>
            </w:r>
          </w:p>
        </w:tc>
        <w:tc>
          <w:tcPr>
            <w:tcW w:w="493" w:type="pct"/>
            <w:tcBorders>
              <w:top w:val="nil"/>
              <w:bottom w:val="nil"/>
            </w:tcBorders>
            <w:shd w:val="clear" w:color="auto" w:fill="auto"/>
          </w:tcPr>
          <w:p w:rsidR="0025490C" w:rsidRPr="001B423A" w:rsidRDefault="001B423A" w:rsidP="001B423A">
            <w:pPr>
              <w:pStyle w:val="TableText"/>
              <w:keepNext/>
              <w:jc w:val="center"/>
              <w:rPr>
                <w:sz w:val="16"/>
                <w:szCs w:val="16"/>
              </w:rPr>
            </w:pPr>
            <w:r>
              <w:rPr>
                <w:sz w:val="16"/>
                <w:szCs w:val="16"/>
              </w:rPr>
              <w:t>–</w:t>
            </w:r>
          </w:p>
        </w:tc>
        <w:tc>
          <w:tcPr>
            <w:tcW w:w="493" w:type="pct"/>
            <w:tcBorders>
              <w:top w:val="nil"/>
              <w:bottom w:val="nil"/>
            </w:tcBorders>
            <w:shd w:val="clear" w:color="auto" w:fill="auto"/>
          </w:tcPr>
          <w:p w:rsidR="0025490C" w:rsidRPr="001B423A" w:rsidRDefault="0025490C" w:rsidP="001B423A">
            <w:pPr>
              <w:pStyle w:val="TableText"/>
              <w:keepNext/>
              <w:rPr>
                <w:sz w:val="16"/>
                <w:szCs w:val="16"/>
              </w:rPr>
            </w:pPr>
            <w:r w:rsidRPr="001B423A">
              <w:rPr>
                <w:sz w:val="16"/>
                <w:szCs w:val="16"/>
              </w:rPr>
              <w:t>Increased maternal weight gain in early adulthood</w:t>
            </w:r>
          </w:p>
        </w:tc>
        <w:tc>
          <w:tcPr>
            <w:tcW w:w="493" w:type="pct"/>
            <w:tcBorders>
              <w:top w:val="nil"/>
              <w:bottom w:val="nil"/>
            </w:tcBorders>
            <w:shd w:val="clear" w:color="auto" w:fill="auto"/>
          </w:tcPr>
          <w:p w:rsidR="0025490C" w:rsidRPr="001B423A" w:rsidRDefault="0025490C" w:rsidP="001B423A">
            <w:pPr>
              <w:pStyle w:val="TableText"/>
              <w:keepNext/>
              <w:rPr>
                <w:sz w:val="16"/>
                <w:szCs w:val="16"/>
              </w:rPr>
            </w:pPr>
            <w:r w:rsidRPr="001B423A">
              <w:rPr>
                <w:sz w:val="16"/>
                <w:szCs w:val="16"/>
              </w:rPr>
              <w:t>Previous poor obstetric history</w:t>
            </w:r>
          </w:p>
        </w:tc>
        <w:tc>
          <w:tcPr>
            <w:tcW w:w="534" w:type="pct"/>
            <w:tcBorders>
              <w:top w:val="nil"/>
              <w:bottom w:val="nil"/>
            </w:tcBorders>
            <w:shd w:val="clear" w:color="auto" w:fill="auto"/>
          </w:tcPr>
          <w:p w:rsidR="0025490C" w:rsidRPr="001B423A" w:rsidRDefault="0025490C" w:rsidP="001B423A">
            <w:pPr>
              <w:pStyle w:val="TableText"/>
              <w:keepNext/>
              <w:rPr>
                <w:sz w:val="16"/>
                <w:szCs w:val="16"/>
              </w:rPr>
            </w:pPr>
            <w:r w:rsidRPr="001B423A">
              <w:rPr>
                <w:sz w:val="16"/>
                <w:szCs w:val="16"/>
              </w:rPr>
              <w:t>Previous poor obstetric history</w:t>
            </w:r>
          </w:p>
        </w:tc>
        <w:tc>
          <w:tcPr>
            <w:tcW w:w="486" w:type="pct"/>
            <w:tcBorders>
              <w:top w:val="nil"/>
              <w:bottom w:val="nil"/>
            </w:tcBorders>
            <w:shd w:val="clear" w:color="auto" w:fill="auto"/>
          </w:tcPr>
          <w:p w:rsidR="0025490C" w:rsidRPr="001B423A" w:rsidRDefault="001B423A" w:rsidP="001B423A">
            <w:pPr>
              <w:pStyle w:val="TableText"/>
              <w:keepNext/>
              <w:jc w:val="center"/>
              <w:rPr>
                <w:sz w:val="16"/>
                <w:szCs w:val="16"/>
              </w:rPr>
            </w:pPr>
            <w:r>
              <w:rPr>
                <w:sz w:val="16"/>
                <w:szCs w:val="16"/>
              </w:rPr>
              <w:t>–</w:t>
            </w:r>
          </w:p>
        </w:tc>
      </w:tr>
      <w:tr w:rsidR="001B423A" w:rsidRPr="00E07B1B" w:rsidTr="001B423A">
        <w:trPr>
          <w:cantSplit/>
        </w:trPr>
        <w:tc>
          <w:tcPr>
            <w:tcW w:w="500" w:type="pct"/>
            <w:tcBorders>
              <w:top w:val="nil"/>
              <w:bottom w:val="single" w:sz="4" w:space="0" w:color="auto"/>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History of unexplained stillbirth</w:t>
            </w:r>
          </w:p>
        </w:tc>
        <w:tc>
          <w:tcPr>
            <w:tcW w:w="500" w:type="pct"/>
            <w:tcBorders>
              <w:top w:val="nil"/>
              <w:bottom w:val="single" w:sz="4" w:space="0" w:color="auto"/>
            </w:tcBorders>
            <w:shd w:val="clear" w:color="auto" w:fill="F2F2F2" w:themeFill="background1" w:themeFillShade="F2"/>
          </w:tcPr>
          <w:p w:rsidR="0025490C" w:rsidRPr="001B423A" w:rsidRDefault="0025490C" w:rsidP="000F0C53">
            <w:pPr>
              <w:pStyle w:val="TableText"/>
              <w:rPr>
                <w:sz w:val="16"/>
                <w:szCs w:val="16"/>
              </w:rPr>
            </w:pPr>
          </w:p>
        </w:tc>
        <w:tc>
          <w:tcPr>
            <w:tcW w:w="500" w:type="pct"/>
            <w:tcBorders>
              <w:top w:val="nil"/>
              <w:bottom w:val="single" w:sz="4" w:space="0" w:color="auto"/>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Previous unexplained perinatal death</w:t>
            </w:r>
          </w:p>
        </w:tc>
        <w:tc>
          <w:tcPr>
            <w:tcW w:w="500" w:type="pct"/>
            <w:tcBorders>
              <w:top w:val="nil"/>
              <w:bottom w:val="single" w:sz="4" w:space="0" w:color="auto"/>
            </w:tcBorders>
            <w:shd w:val="clear" w:color="auto" w:fill="F2F2F2" w:themeFill="background1" w:themeFillShade="F2"/>
          </w:tcPr>
          <w:p w:rsidR="0025490C" w:rsidRPr="001B423A" w:rsidRDefault="0025490C" w:rsidP="000F0C53">
            <w:pPr>
              <w:pStyle w:val="TableText"/>
              <w:rPr>
                <w:sz w:val="16"/>
                <w:szCs w:val="16"/>
              </w:rPr>
            </w:pPr>
            <w:r w:rsidRPr="001B423A">
              <w:rPr>
                <w:sz w:val="16"/>
                <w:szCs w:val="16"/>
              </w:rPr>
              <w:t>Hypertension/pre-eclampsia in index pregnancy</w:t>
            </w:r>
          </w:p>
        </w:tc>
        <w:tc>
          <w:tcPr>
            <w:tcW w:w="500" w:type="pct"/>
            <w:tcBorders>
              <w:top w:val="nil"/>
              <w:bottom w:val="single" w:sz="4" w:space="0" w:color="auto"/>
            </w:tcBorders>
            <w:shd w:val="clear" w:color="auto" w:fill="F2F2F2" w:themeFill="background1" w:themeFillShade="F2"/>
          </w:tcPr>
          <w:p w:rsidR="0025490C" w:rsidRPr="001B423A" w:rsidRDefault="001B423A" w:rsidP="001B423A">
            <w:pPr>
              <w:pStyle w:val="TableText"/>
              <w:jc w:val="center"/>
              <w:rPr>
                <w:sz w:val="16"/>
                <w:szCs w:val="16"/>
              </w:rPr>
            </w:pPr>
            <w:r>
              <w:rPr>
                <w:sz w:val="16"/>
                <w:szCs w:val="16"/>
              </w:rPr>
              <w:t>–</w:t>
            </w:r>
          </w:p>
        </w:tc>
        <w:tc>
          <w:tcPr>
            <w:tcW w:w="493" w:type="pct"/>
            <w:tcBorders>
              <w:top w:val="nil"/>
              <w:bottom w:val="single" w:sz="4" w:space="0" w:color="auto"/>
            </w:tcBorders>
            <w:shd w:val="clear" w:color="auto" w:fill="F2F2F2" w:themeFill="background1" w:themeFillShade="F2"/>
          </w:tcPr>
          <w:p w:rsidR="0025490C" w:rsidRPr="001B423A" w:rsidRDefault="001B423A" w:rsidP="001B423A">
            <w:pPr>
              <w:pStyle w:val="TableText"/>
              <w:jc w:val="center"/>
              <w:rPr>
                <w:sz w:val="16"/>
                <w:szCs w:val="16"/>
              </w:rPr>
            </w:pPr>
            <w:r>
              <w:rPr>
                <w:sz w:val="16"/>
                <w:szCs w:val="16"/>
              </w:rPr>
              <w:t>–</w:t>
            </w:r>
          </w:p>
        </w:tc>
        <w:tc>
          <w:tcPr>
            <w:tcW w:w="493" w:type="pct"/>
            <w:tcBorders>
              <w:top w:val="nil"/>
              <w:bottom w:val="single" w:sz="4" w:space="0" w:color="auto"/>
            </w:tcBorders>
            <w:shd w:val="clear" w:color="auto" w:fill="F2F2F2" w:themeFill="background1" w:themeFillShade="F2"/>
          </w:tcPr>
          <w:p w:rsidR="0025490C" w:rsidRPr="001B423A" w:rsidRDefault="001B423A" w:rsidP="001B423A">
            <w:pPr>
              <w:pStyle w:val="TableText"/>
              <w:jc w:val="center"/>
              <w:rPr>
                <w:sz w:val="16"/>
                <w:szCs w:val="16"/>
              </w:rPr>
            </w:pPr>
            <w:r>
              <w:rPr>
                <w:sz w:val="16"/>
                <w:szCs w:val="16"/>
              </w:rPr>
              <w:t>–</w:t>
            </w:r>
          </w:p>
        </w:tc>
        <w:tc>
          <w:tcPr>
            <w:tcW w:w="493" w:type="pct"/>
            <w:tcBorders>
              <w:top w:val="nil"/>
              <w:bottom w:val="single" w:sz="4" w:space="0" w:color="auto"/>
            </w:tcBorders>
            <w:shd w:val="clear" w:color="auto" w:fill="F2F2F2" w:themeFill="background1" w:themeFillShade="F2"/>
          </w:tcPr>
          <w:p w:rsidR="0025490C" w:rsidRPr="001B423A" w:rsidRDefault="001B423A" w:rsidP="001B423A">
            <w:pPr>
              <w:pStyle w:val="TableText"/>
              <w:jc w:val="center"/>
              <w:rPr>
                <w:sz w:val="16"/>
                <w:szCs w:val="16"/>
              </w:rPr>
            </w:pPr>
            <w:r>
              <w:rPr>
                <w:sz w:val="16"/>
                <w:szCs w:val="16"/>
              </w:rPr>
              <w:t>–</w:t>
            </w:r>
          </w:p>
        </w:tc>
        <w:tc>
          <w:tcPr>
            <w:tcW w:w="534" w:type="pct"/>
            <w:tcBorders>
              <w:top w:val="nil"/>
              <w:bottom w:val="single" w:sz="4" w:space="0" w:color="auto"/>
            </w:tcBorders>
            <w:shd w:val="clear" w:color="auto" w:fill="F2F2F2" w:themeFill="background1" w:themeFillShade="F2"/>
          </w:tcPr>
          <w:p w:rsidR="0025490C" w:rsidRPr="001B423A" w:rsidRDefault="001B423A" w:rsidP="001B423A">
            <w:pPr>
              <w:pStyle w:val="TableText"/>
              <w:jc w:val="center"/>
              <w:rPr>
                <w:sz w:val="16"/>
                <w:szCs w:val="16"/>
              </w:rPr>
            </w:pPr>
            <w:r>
              <w:rPr>
                <w:sz w:val="16"/>
                <w:szCs w:val="16"/>
              </w:rPr>
              <w:t>–</w:t>
            </w:r>
          </w:p>
        </w:tc>
        <w:tc>
          <w:tcPr>
            <w:tcW w:w="486" w:type="pct"/>
            <w:tcBorders>
              <w:top w:val="nil"/>
              <w:bottom w:val="single" w:sz="4" w:space="0" w:color="auto"/>
            </w:tcBorders>
            <w:shd w:val="clear" w:color="auto" w:fill="F2F2F2" w:themeFill="background1" w:themeFillShade="F2"/>
          </w:tcPr>
          <w:p w:rsidR="0025490C" w:rsidRPr="001B423A" w:rsidRDefault="001B423A" w:rsidP="001B423A">
            <w:pPr>
              <w:pStyle w:val="TableText"/>
              <w:jc w:val="center"/>
              <w:rPr>
                <w:sz w:val="16"/>
                <w:szCs w:val="16"/>
              </w:rPr>
            </w:pPr>
            <w:r>
              <w:rPr>
                <w:sz w:val="16"/>
                <w:szCs w:val="16"/>
              </w:rPr>
              <w:t>–</w:t>
            </w:r>
          </w:p>
        </w:tc>
      </w:tr>
    </w:tbl>
    <w:p w:rsidR="0025490C" w:rsidRPr="003616DD" w:rsidRDefault="0025490C" w:rsidP="00152FAD">
      <w:pPr>
        <w:pStyle w:val="Note"/>
        <w:rPr>
          <w:sz w:val="16"/>
          <w:szCs w:val="16"/>
        </w:rPr>
      </w:pPr>
      <w:r w:rsidRPr="003616DD">
        <w:rPr>
          <w:sz w:val="16"/>
          <w:szCs w:val="16"/>
        </w:rPr>
        <w:t>Note: BMI = body mass index; GDM = gestational diabetes mellitus</w:t>
      </w:r>
      <w:r w:rsidR="00152FAD" w:rsidRPr="003616DD">
        <w:rPr>
          <w:sz w:val="16"/>
          <w:szCs w:val="16"/>
        </w:rPr>
        <w:t>.</w:t>
      </w:r>
    </w:p>
    <w:p w:rsidR="00152FAD" w:rsidRPr="00152FAD" w:rsidRDefault="00152FAD" w:rsidP="00152FAD"/>
    <w:p w:rsidR="003616DD" w:rsidRDefault="003616DD">
      <w:pPr>
        <w:spacing w:line="240" w:lineRule="auto"/>
        <w:rPr>
          <w:b/>
          <w:sz w:val="20"/>
        </w:rPr>
      </w:pPr>
      <w:bookmarkStart w:id="442" w:name="_Toc358366899"/>
      <w:bookmarkStart w:id="443" w:name="_Toc363717779"/>
      <w:r>
        <w:br w:type="page"/>
      </w:r>
    </w:p>
    <w:p w:rsidR="0025490C" w:rsidRPr="00E07B1B" w:rsidRDefault="0025490C" w:rsidP="003616DD">
      <w:pPr>
        <w:pStyle w:val="Table"/>
        <w:spacing w:before="0"/>
      </w:pPr>
      <w:bookmarkStart w:id="444" w:name="_Toc403635886"/>
      <w:r w:rsidRPr="00E07B1B">
        <w:t>Table 5</w:t>
      </w:r>
      <w:r w:rsidR="00152FAD">
        <w:t>:</w:t>
      </w:r>
      <w:r w:rsidRPr="00E07B1B">
        <w:t xml:space="preserve"> Studies reporting on maternal age as a risk factor for developing hyperglycaemia in pregnancy</w:t>
      </w:r>
      <w:bookmarkEnd w:id="442"/>
      <w:bookmarkEnd w:id="443"/>
      <w:bookmarkEnd w:id="444"/>
    </w:p>
    <w:tbl>
      <w:tblPr>
        <w:tblW w:w="4993" w:type="pct"/>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724"/>
        <w:gridCol w:w="1612"/>
        <w:gridCol w:w="1630"/>
        <w:gridCol w:w="4729"/>
        <w:gridCol w:w="3668"/>
        <w:gridCol w:w="1296"/>
      </w:tblGrid>
      <w:tr w:rsidR="0025490C" w:rsidRPr="003616DD" w:rsidTr="00FF31D1">
        <w:trPr>
          <w:cantSplit/>
          <w:tblHeader/>
        </w:trPr>
        <w:tc>
          <w:tcPr>
            <w:tcW w:w="588" w:type="pct"/>
            <w:tcBorders>
              <w:top w:val="single" w:sz="4" w:space="0" w:color="auto"/>
              <w:bottom w:val="single" w:sz="4" w:space="0" w:color="auto"/>
            </w:tcBorders>
            <w:shd w:val="clear" w:color="auto" w:fill="auto"/>
          </w:tcPr>
          <w:p w:rsidR="0025490C" w:rsidRPr="003616DD" w:rsidRDefault="0025490C" w:rsidP="003616DD">
            <w:pPr>
              <w:pStyle w:val="TableText"/>
              <w:rPr>
                <w:b/>
              </w:rPr>
            </w:pPr>
            <w:r w:rsidRPr="003616DD">
              <w:rPr>
                <w:b/>
              </w:rPr>
              <w:t>Study</w:t>
            </w:r>
          </w:p>
        </w:tc>
        <w:tc>
          <w:tcPr>
            <w:tcW w:w="550" w:type="pct"/>
            <w:tcBorders>
              <w:top w:val="single" w:sz="4" w:space="0" w:color="auto"/>
              <w:bottom w:val="single" w:sz="4" w:space="0" w:color="auto"/>
            </w:tcBorders>
            <w:shd w:val="clear" w:color="auto" w:fill="auto"/>
          </w:tcPr>
          <w:p w:rsidR="0025490C" w:rsidRPr="003616DD" w:rsidRDefault="0025490C" w:rsidP="00FF31D1">
            <w:pPr>
              <w:pStyle w:val="TableText"/>
              <w:rPr>
                <w:b/>
              </w:rPr>
            </w:pPr>
            <w:r w:rsidRPr="003616DD">
              <w:rPr>
                <w:b/>
              </w:rPr>
              <w:t>Country and sample size</w:t>
            </w:r>
          </w:p>
        </w:tc>
        <w:tc>
          <w:tcPr>
            <w:tcW w:w="556" w:type="pct"/>
            <w:tcBorders>
              <w:top w:val="single" w:sz="4" w:space="0" w:color="auto"/>
              <w:bottom w:val="single" w:sz="4" w:space="0" w:color="auto"/>
            </w:tcBorders>
            <w:shd w:val="clear" w:color="auto" w:fill="auto"/>
          </w:tcPr>
          <w:p w:rsidR="0025490C" w:rsidRPr="003616DD" w:rsidRDefault="0025490C" w:rsidP="00FF31D1">
            <w:pPr>
              <w:pStyle w:val="TableText"/>
              <w:rPr>
                <w:b/>
              </w:rPr>
            </w:pPr>
            <w:r w:rsidRPr="003616DD">
              <w:rPr>
                <w:b/>
              </w:rPr>
              <w:t>Study type</w:t>
            </w:r>
          </w:p>
        </w:tc>
        <w:tc>
          <w:tcPr>
            <w:tcW w:w="1613" w:type="pct"/>
            <w:tcBorders>
              <w:top w:val="single" w:sz="4" w:space="0" w:color="auto"/>
              <w:bottom w:val="single" w:sz="4" w:space="0" w:color="auto"/>
            </w:tcBorders>
            <w:shd w:val="clear" w:color="auto" w:fill="auto"/>
          </w:tcPr>
          <w:p w:rsidR="0025490C" w:rsidRPr="003616DD" w:rsidRDefault="0025490C" w:rsidP="00FF31D1">
            <w:pPr>
              <w:pStyle w:val="TableText"/>
              <w:ind w:right="142"/>
              <w:rPr>
                <w:b/>
              </w:rPr>
            </w:pPr>
            <w:r w:rsidRPr="003616DD">
              <w:rPr>
                <w:b/>
              </w:rPr>
              <w:t>Screening/diagnostic criteria</w:t>
            </w:r>
          </w:p>
        </w:tc>
        <w:tc>
          <w:tcPr>
            <w:tcW w:w="1251" w:type="pct"/>
            <w:tcBorders>
              <w:top w:val="single" w:sz="4" w:space="0" w:color="auto"/>
              <w:bottom w:val="single" w:sz="4" w:space="0" w:color="auto"/>
            </w:tcBorders>
            <w:shd w:val="clear" w:color="auto" w:fill="auto"/>
          </w:tcPr>
          <w:p w:rsidR="0025490C" w:rsidRPr="003616DD" w:rsidRDefault="0025490C" w:rsidP="00FF31D1">
            <w:pPr>
              <w:pStyle w:val="TableText"/>
              <w:rPr>
                <w:b/>
              </w:rPr>
            </w:pPr>
            <w:r w:rsidRPr="003616DD">
              <w:rPr>
                <w:b/>
              </w:rPr>
              <w:t>Main results</w:t>
            </w:r>
          </w:p>
        </w:tc>
        <w:tc>
          <w:tcPr>
            <w:tcW w:w="442" w:type="pct"/>
            <w:tcBorders>
              <w:top w:val="single" w:sz="4" w:space="0" w:color="auto"/>
              <w:bottom w:val="single" w:sz="4" w:space="0" w:color="auto"/>
            </w:tcBorders>
            <w:shd w:val="clear" w:color="auto" w:fill="auto"/>
          </w:tcPr>
          <w:p w:rsidR="0025490C" w:rsidRPr="003616DD" w:rsidRDefault="0025490C" w:rsidP="003616DD">
            <w:pPr>
              <w:pStyle w:val="TableText"/>
              <w:jc w:val="center"/>
              <w:rPr>
                <w:b/>
              </w:rPr>
            </w:pPr>
            <w:r w:rsidRPr="003616DD">
              <w:rPr>
                <w:b/>
              </w:rPr>
              <w:t>Quality of evidence</w:t>
            </w:r>
          </w:p>
        </w:tc>
      </w:tr>
      <w:tr w:rsidR="003616DD" w:rsidRPr="00E07B1B" w:rsidTr="00FF31D1">
        <w:trPr>
          <w:cantSplit/>
        </w:trPr>
        <w:tc>
          <w:tcPr>
            <w:tcW w:w="588" w:type="pct"/>
            <w:tcBorders>
              <w:top w:val="single" w:sz="4" w:space="0" w:color="auto"/>
              <w:bottom w:val="nil"/>
            </w:tcBorders>
            <w:shd w:val="clear" w:color="auto" w:fill="F2F2F2" w:themeFill="background1" w:themeFillShade="F2"/>
          </w:tcPr>
          <w:p w:rsidR="0025490C" w:rsidRPr="00E07B1B" w:rsidRDefault="0025490C" w:rsidP="003616DD">
            <w:pPr>
              <w:pStyle w:val="TableText"/>
            </w:pPr>
            <w:r w:rsidRPr="00E07B1B">
              <w:t>Lagerros (2012)</w:t>
            </w:r>
          </w:p>
        </w:tc>
        <w:tc>
          <w:tcPr>
            <w:tcW w:w="550" w:type="pct"/>
            <w:tcBorders>
              <w:top w:val="single" w:sz="4" w:space="0" w:color="auto"/>
              <w:bottom w:val="nil"/>
            </w:tcBorders>
            <w:shd w:val="clear" w:color="auto" w:fill="F2F2F2" w:themeFill="background1" w:themeFillShade="F2"/>
          </w:tcPr>
          <w:p w:rsidR="0025490C" w:rsidRPr="00E07B1B" w:rsidRDefault="0025490C" w:rsidP="003616DD">
            <w:pPr>
              <w:pStyle w:val="TableText"/>
            </w:pPr>
            <w:r w:rsidRPr="00E07B1B">
              <w:t>Sweden</w:t>
            </w:r>
            <w:r w:rsidR="003616DD">
              <w:br/>
            </w:r>
            <w:r w:rsidRPr="00E07B1B">
              <w:t>332,083</w:t>
            </w:r>
          </w:p>
        </w:tc>
        <w:tc>
          <w:tcPr>
            <w:tcW w:w="556" w:type="pct"/>
            <w:tcBorders>
              <w:top w:val="single" w:sz="4" w:space="0" w:color="auto"/>
              <w:bottom w:val="nil"/>
            </w:tcBorders>
            <w:shd w:val="clear" w:color="auto" w:fill="F2F2F2" w:themeFill="background1" w:themeFillShade="F2"/>
          </w:tcPr>
          <w:p w:rsidR="0025490C" w:rsidRPr="00E07B1B" w:rsidRDefault="0025490C" w:rsidP="003616DD">
            <w:pPr>
              <w:pStyle w:val="TableText"/>
            </w:pPr>
            <w:r w:rsidRPr="00E07B1B">
              <w:t>Cohort</w:t>
            </w:r>
          </w:p>
        </w:tc>
        <w:tc>
          <w:tcPr>
            <w:tcW w:w="1613" w:type="pct"/>
            <w:tcBorders>
              <w:top w:val="single" w:sz="4" w:space="0" w:color="auto"/>
              <w:bottom w:val="nil"/>
            </w:tcBorders>
            <w:shd w:val="clear" w:color="auto" w:fill="F2F2F2" w:themeFill="background1" w:themeFillShade="F2"/>
          </w:tcPr>
          <w:p w:rsidR="0025490C" w:rsidRDefault="0025490C" w:rsidP="00FF31D1">
            <w:pPr>
              <w:pStyle w:val="TableText"/>
              <w:ind w:right="142"/>
            </w:pPr>
            <w:r w:rsidRPr="00E07B1B">
              <w:t>No details on screening</w:t>
            </w:r>
          </w:p>
          <w:p w:rsidR="0025490C" w:rsidRDefault="0025490C" w:rsidP="00FF31D1">
            <w:pPr>
              <w:pStyle w:val="TableText"/>
              <w:ind w:right="142"/>
            </w:pPr>
            <w:r w:rsidRPr="00E07B1B">
              <w:t>75</w:t>
            </w:r>
            <w:r>
              <w:t xml:space="preserve"> </w:t>
            </w:r>
            <w:r w:rsidRPr="00E07B1B">
              <w:t>g OGTT</w:t>
            </w:r>
          </w:p>
          <w:p w:rsidR="0025490C" w:rsidRPr="00E07B1B" w:rsidRDefault="0025490C" w:rsidP="00FF31D1">
            <w:pPr>
              <w:pStyle w:val="TableText"/>
              <w:ind w:right="142"/>
            </w:pPr>
            <w:r w:rsidRPr="00E07B1B">
              <w:t>Fasting plasma ≥7.0 mmol/L, and</w:t>
            </w:r>
            <w:r>
              <w:t>/</w:t>
            </w:r>
            <w:r w:rsidRPr="00E07B1B">
              <w:t>or</w:t>
            </w:r>
            <w:r>
              <w:t xml:space="preserve"> </w:t>
            </w:r>
            <w:r w:rsidRPr="00E07B1B">
              <w:t>2</w:t>
            </w:r>
            <w:r>
              <w:t>-</w:t>
            </w:r>
            <w:r w:rsidRPr="00E07B1B">
              <w:t>hour plasma ≥</w:t>
            </w:r>
            <w:r>
              <w:t xml:space="preserve"> </w:t>
            </w:r>
            <w:r w:rsidRPr="00E07B1B">
              <w:t>10.0</w:t>
            </w:r>
            <w:r>
              <w:t xml:space="preserve"> </w:t>
            </w:r>
            <w:r w:rsidRPr="00E07B1B">
              <w:t>mmol/L,</w:t>
            </w:r>
            <w:r>
              <w:t xml:space="preserve"> </w:t>
            </w:r>
            <w:r w:rsidRPr="00E07B1B">
              <w:t>or manifest diabetes only diagnosed as fasting plasma ≥</w:t>
            </w:r>
            <w:r>
              <w:t xml:space="preserve"> </w:t>
            </w:r>
            <w:r w:rsidRPr="00E07B1B">
              <w:t>7.0 mmol/L and/or 2</w:t>
            </w:r>
            <w:r>
              <w:t>-</w:t>
            </w:r>
            <w:r w:rsidRPr="00E07B1B">
              <w:t>hour plasma ≥</w:t>
            </w:r>
            <w:r>
              <w:t xml:space="preserve"> </w:t>
            </w:r>
            <w:r w:rsidRPr="00E07B1B">
              <w:t>12.2 mmol/L.</w:t>
            </w:r>
          </w:p>
        </w:tc>
        <w:tc>
          <w:tcPr>
            <w:tcW w:w="1251" w:type="pct"/>
            <w:tcBorders>
              <w:top w:val="single" w:sz="4" w:space="0" w:color="auto"/>
              <w:bottom w:val="nil"/>
            </w:tcBorders>
            <w:shd w:val="clear" w:color="auto" w:fill="F2F2F2" w:themeFill="background1" w:themeFillShade="F2"/>
          </w:tcPr>
          <w:p w:rsidR="0025490C" w:rsidRPr="00E07B1B" w:rsidRDefault="0025490C" w:rsidP="003616DD">
            <w:pPr>
              <w:pStyle w:val="TableText"/>
            </w:pPr>
            <w:r w:rsidRPr="00E07B1B">
              <w:t>25</w:t>
            </w:r>
            <w:r>
              <w:t>–</w:t>
            </w:r>
            <w:r w:rsidRPr="00E07B1B">
              <w:t>29 years compared with 20</w:t>
            </w:r>
            <w:r>
              <w:t>–</w:t>
            </w:r>
            <w:r w:rsidRPr="00E07B1B">
              <w:t>24 years</w:t>
            </w:r>
            <w:r>
              <w:t>:</w:t>
            </w:r>
            <w:r w:rsidRPr="00E07B1B">
              <w:t xml:space="preserve"> adj OR 1.5 </w:t>
            </w:r>
            <w:r>
              <w:t>(</w:t>
            </w:r>
            <w:r w:rsidRPr="00E07B1B">
              <w:t>95%CI 1.3</w:t>
            </w:r>
            <w:r>
              <w:t>–</w:t>
            </w:r>
            <w:r w:rsidRPr="00E07B1B">
              <w:t>1.7)</w:t>
            </w:r>
          </w:p>
          <w:p w:rsidR="0025490C" w:rsidRPr="00E07B1B" w:rsidRDefault="0025490C" w:rsidP="003616DD">
            <w:pPr>
              <w:pStyle w:val="TableText"/>
            </w:pPr>
            <w:r w:rsidRPr="00E07B1B">
              <w:t>30</w:t>
            </w:r>
            <w:r>
              <w:t>–</w:t>
            </w:r>
            <w:r w:rsidRPr="00E07B1B">
              <w:t>33 years compared with 20</w:t>
            </w:r>
            <w:r>
              <w:t>–</w:t>
            </w:r>
            <w:r w:rsidRPr="00E07B1B">
              <w:t>24 years (adj OR 1.8, 95%CI 1.5</w:t>
            </w:r>
            <w:r>
              <w:t>–</w:t>
            </w:r>
            <w:r w:rsidRPr="00E07B1B">
              <w:t>2.2)</w:t>
            </w:r>
          </w:p>
        </w:tc>
        <w:tc>
          <w:tcPr>
            <w:tcW w:w="442" w:type="pct"/>
            <w:tcBorders>
              <w:top w:val="single" w:sz="4" w:space="0" w:color="auto"/>
              <w:bottom w:val="nil"/>
            </w:tcBorders>
            <w:shd w:val="clear" w:color="auto" w:fill="F2F2F2" w:themeFill="background1" w:themeFillShade="F2"/>
          </w:tcPr>
          <w:p w:rsidR="0025490C" w:rsidRPr="00E07B1B" w:rsidRDefault="0025490C" w:rsidP="003616DD">
            <w:pPr>
              <w:pStyle w:val="TableText"/>
              <w:jc w:val="center"/>
            </w:pPr>
            <w:r w:rsidRPr="00E07B1B">
              <w:t>HIGH</w:t>
            </w:r>
          </w:p>
        </w:tc>
      </w:tr>
      <w:tr w:rsidR="0025490C" w:rsidRPr="00E07B1B" w:rsidTr="00FF31D1">
        <w:trPr>
          <w:cantSplit/>
        </w:trPr>
        <w:tc>
          <w:tcPr>
            <w:tcW w:w="588" w:type="pct"/>
            <w:tcBorders>
              <w:top w:val="nil"/>
              <w:bottom w:val="nil"/>
            </w:tcBorders>
            <w:shd w:val="clear" w:color="auto" w:fill="auto"/>
          </w:tcPr>
          <w:p w:rsidR="0025490C" w:rsidRPr="00E07B1B" w:rsidRDefault="0025490C" w:rsidP="003616DD">
            <w:pPr>
              <w:pStyle w:val="TableText"/>
            </w:pPr>
            <w:r w:rsidRPr="00E07B1B">
              <w:t>Teede</w:t>
            </w:r>
            <w:r>
              <w:t xml:space="preserve"> </w:t>
            </w:r>
            <w:r w:rsidRPr="00E07B1B">
              <w:t>(2011)</w:t>
            </w:r>
          </w:p>
        </w:tc>
        <w:tc>
          <w:tcPr>
            <w:tcW w:w="550" w:type="pct"/>
            <w:tcBorders>
              <w:top w:val="nil"/>
              <w:bottom w:val="nil"/>
            </w:tcBorders>
            <w:shd w:val="clear" w:color="auto" w:fill="auto"/>
          </w:tcPr>
          <w:p w:rsidR="0025490C" w:rsidRPr="00E07B1B" w:rsidRDefault="0025490C" w:rsidP="003616DD">
            <w:pPr>
              <w:pStyle w:val="TableText"/>
            </w:pPr>
            <w:r w:rsidRPr="00E07B1B">
              <w:t>Australia</w:t>
            </w:r>
            <w:r w:rsidR="003616DD">
              <w:br/>
            </w:r>
            <w:r w:rsidRPr="00E07B1B">
              <w:t>4276</w:t>
            </w:r>
          </w:p>
        </w:tc>
        <w:tc>
          <w:tcPr>
            <w:tcW w:w="556" w:type="pct"/>
            <w:tcBorders>
              <w:top w:val="nil"/>
              <w:bottom w:val="nil"/>
            </w:tcBorders>
            <w:shd w:val="clear" w:color="auto" w:fill="auto"/>
          </w:tcPr>
          <w:p w:rsidR="0025490C" w:rsidRPr="00E07B1B" w:rsidRDefault="0025490C" w:rsidP="003616DD">
            <w:pPr>
              <w:pStyle w:val="TableText"/>
            </w:pPr>
            <w:r w:rsidRPr="00E07B1B">
              <w:t>Retrospective cohort</w:t>
            </w:r>
          </w:p>
        </w:tc>
        <w:tc>
          <w:tcPr>
            <w:tcW w:w="1613" w:type="pct"/>
            <w:tcBorders>
              <w:top w:val="nil"/>
              <w:bottom w:val="nil"/>
            </w:tcBorders>
            <w:shd w:val="clear" w:color="auto" w:fill="auto"/>
          </w:tcPr>
          <w:p w:rsidR="0025490C" w:rsidRDefault="0025490C" w:rsidP="00FF31D1">
            <w:pPr>
              <w:pStyle w:val="TableText"/>
              <w:ind w:right="142"/>
            </w:pPr>
            <w:r w:rsidRPr="00E07B1B">
              <w:t>50</w:t>
            </w:r>
            <w:r>
              <w:t xml:space="preserve"> </w:t>
            </w:r>
            <w:r w:rsidRPr="00E07B1B">
              <w:t>g</w:t>
            </w:r>
            <w:r>
              <w:t>,</w:t>
            </w:r>
            <w:r w:rsidRPr="00E07B1B">
              <w:t xml:space="preserve"> 1</w:t>
            </w:r>
            <w:r>
              <w:t>-</w:t>
            </w:r>
            <w:r w:rsidRPr="00E07B1B">
              <w:t>hour OGCT</w:t>
            </w:r>
          </w:p>
          <w:p w:rsidR="0025490C" w:rsidRPr="00E07B1B" w:rsidRDefault="0025490C" w:rsidP="00FF31D1">
            <w:pPr>
              <w:pStyle w:val="TableText"/>
              <w:spacing w:after="30"/>
              <w:ind w:right="142"/>
            </w:pPr>
            <w:r w:rsidRPr="00E07B1B">
              <w:t>If positive</w:t>
            </w:r>
            <w:r>
              <w:t>,</w:t>
            </w:r>
            <w:r w:rsidRPr="00E07B1B">
              <w:t xml:space="preserve"> followed by a 75</w:t>
            </w:r>
            <w:r>
              <w:t xml:space="preserve"> </w:t>
            </w:r>
            <w:r w:rsidRPr="00E07B1B">
              <w:t>g</w:t>
            </w:r>
            <w:r>
              <w:t xml:space="preserve">, </w:t>
            </w:r>
            <w:r w:rsidRPr="00E07B1B">
              <w:t>2</w:t>
            </w:r>
            <w:r>
              <w:t>-</w:t>
            </w:r>
            <w:r w:rsidRPr="00E07B1B">
              <w:t>hour OGTT:</w:t>
            </w:r>
          </w:p>
          <w:p w:rsidR="0025490C" w:rsidRPr="00E07B1B" w:rsidRDefault="0025490C" w:rsidP="00FF31D1">
            <w:pPr>
              <w:pStyle w:val="TableBullet"/>
              <w:spacing w:after="30"/>
              <w:ind w:left="284" w:right="142"/>
            </w:pPr>
            <w:r>
              <w:t>f</w:t>
            </w:r>
            <w:r w:rsidRPr="00E07B1B">
              <w:t>asting ≥ 5.5 mmol/L</w:t>
            </w:r>
          </w:p>
          <w:p w:rsidR="0025490C" w:rsidRPr="00E07B1B" w:rsidRDefault="0025490C" w:rsidP="00FF31D1">
            <w:pPr>
              <w:pStyle w:val="TableBullet"/>
              <w:ind w:left="284" w:right="142"/>
            </w:pPr>
            <w:r w:rsidRPr="00E07B1B">
              <w:t>2</w:t>
            </w:r>
            <w:r>
              <w:t>-</w:t>
            </w:r>
            <w:r w:rsidRPr="00E07B1B">
              <w:t>hour ≥</w:t>
            </w:r>
            <w:r>
              <w:t xml:space="preserve"> </w:t>
            </w:r>
            <w:r w:rsidRPr="00E07B1B">
              <w:t>8 mmol/L</w:t>
            </w:r>
            <w:r>
              <w:t>.</w:t>
            </w:r>
          </w:p>
        </w:tc>
        <w:tc>
          <w:tcPr>
            <w:tcW w:w="1251" w:type="pct"/>
            <w:tcBorders>
              <w:top w:val="nil"/>
              <w:bottom w:val="nil"/>
            </w:tcBorders>
            <w:shd w:val="clear" w:color="auto" w:fill="auto"/>
          </w:tcPr>
          <w:p w:rsidR="0025490C" w:rsidRPr="00E07B1B" w:rsidRDefault="0025490C" w:rsidP="003616DD">
            <w:pPr>
              <w:pStyle w:val="TableText"/>
            </w:pPr>
            <w:r w:rsidRPr="00E07B1B">
              <w:t>35</w:t>
            </w:r>
            <w:r>
              <w:t>–</w:t>
            </w:r>
            <w:r w:rsidRPr="00E07B1B">
              <w:t>39 years compared with &lt;</w:t>
            </w:r>
            <w:r>
              <w:t xml:space="preserve"> </w:t>
            </w:r>
            <w:r w:rsidRPr="00E07B1B">
              <w:t>25 years</w:t>
            </w:r>
            <w:r>
              <w:t>:</w:t>
            </w:r>
            <w:r w:rsidRPr="00E07B1B">
              <w:t xml:space="preserve"> adj OR 5.4 (95%CI 2.4</w:t>
            </w:r>
            <w:r>
              <w:t>–</w:t>
            </w:r>
            <w:r w:rsidRPr="00E07B1B">
              <w:t>12.2)</w:t>
            </w:r>
          </w:p>
          <w:p w:rsidR="0025490C" w:rsidRPr="00E07B1B" w:rsidRDefault="0025490C" w:rsidP="003616DD">
            <w:pPr>
              <w:pStyle w:val="TableText"/>
            </w:pPr>
            <w:r w:rsidRPr="00E07B1B">
              <w:t>≥</w:t>
            </w:r>
            <w:r>
              <w:t xml:space="preserve"> </w:t>
            </w:r>
            <w:r w:rsidRPr="00E07B1B">
              <w:t>40 years compared with &lt;</w:t>
            </w:r>
            <w:r>
              <w:t xml:space="preserve"> </w:t>
            </w:r>
            <w:r w:rsidRPr="00E07B1B">
              <w:t>25 years</w:t>
            </w:r>
            <w:r>
              <w:t>:</w:t>
            </w:r>
            <w:r w:rsidRPr="00E07B1B">
              <w:t xml:space="preserve"> adj OR 7.0 (95%CI 2.9</w:t>
            </w:r>
            <w:r>
              <w:t>–</w:t>
            </w:r>
            <w:r w:rsidRPr="00E07B1B">
              <w:t>17.2</w:t>
            </w:r>
            <w:r>
              <w:t>,</w:t>
            </w:r>
            <w:r w:rsidRPr="00E07B1B">
              <w:t xml:space="preserve"> </w:t>
            </w:r>
            <w:r w:rsidRPr="0081275C">
              <w:rPr>
                <w:i/>
              </w:rPr>
              <w:t>p</w:t>
            </w:r>
            <w:r>
              <w:t xml:space="preserve"> </w:t>
            </w:r>
            <w:r w:rsidRPr="00E07B1B">
              <w:t>&lt;</w:t>
            </w:r>
            <w:r>
              <w:t xml:space="preserve"> </w:t>
            </w:r>
            <w:r w:rsidRPr="00E07B1B">
              <w:t>0.0001)</w:t>
            </w:r>
          </w:p>
        </w:tc>
        <w:tc>
          <w:tcPr>
            <w:tcW w:w="442" w:type="pct"/>
            <w:tcBorders>
              <w:top w:val="nil"/>
              <w:bottom w:val="nil"/>
            </w:tcBorders>
            <w:shd w:val="clear" w:color="auto" w:fill="auto"/>
          </w:tcPr>
          <w:p w:rsidR="0025490C" w:rsidRPr="00E07B1B" w:rsidRDefault="0025490C" w:rsidP="003616DD">
            <w:pPr>
              <w:pStyle w:val="TableText"/>
              <w:jc w:val="center"/>
            </w:pPr>
            <w:r w:rsidRPr="00E07B1B">
              <w:t>HIGH</w:t>
            </w:r>
          </w:p>
        </w:tc>
      </w:tr>
      <w:tr w:rsidR="0025490C" w:rsidRPr="00E07B1B" w:rsidTr="00FF31D1">
        <w:trPr>
          <w:cantSplit/>
        </w:trPr>
        <w:tc>
          <w:tcPr>
            <w:tcW w:w="588" w:type="pct"/>
            <w:tcBorders>
              <w:top w:val="nil"/>
              <w:bottom w:val="nil"/>
            </w:tcBorders>
            <w:shd w:val="clear" w:color="auto" w:fill="F2F2F2" w:themeFill="background1" w:themeFillShade="F2"/>
          </w:tcPr>
          <w:p w:rsidR="0025490C" w:rsidRPr="00E07B1B" w:rsidRDefault="0025490C" w:rsidP="003616DD">
            <w:pPr>
              <w:pStyle w:val="TableText"/>
            </w:pPr>
            <w:r w:rsidRPr="00E07B1B">
              <w:t>Aljohani (2008)</w:t>
            </w:r>
          </w:p>
        </w:tc>
        <w:tc>
          <w:tcPr>
            <w:tcW w:w="550" w:type="pct"/>
            <w:tcBorders>
              <w:top w:val="nil"/>
              <w:bottom w:val="nil"/>
            </w:tcBorders>
            <w:shd w:val="clear" w:color="auto" w:fill="F2F2F2" w:themeFill="background1" w:themeFillShade="F2"/>
          </w:tcPr>
          <w:p w:rsidR="0025490C" w:rsidRPr="00E07B1B" w:rsidRDefault="0025490C" w:rsidP="003616DD">
            <w:pPr>
              <w:pStyle w:val="TableText"/>
            </w:pPr>
            <w:r w:rsidRPr="00E07B1B">
              <w:t>Canada</w:t>
            </w:r>
            <w:r w:rsidR="003616DD">
              <w:br/>
            </w:r>
            <w:r w:rsidRPr="00E07B1B">
              <w:t>165,969</w:t>
            </w:r>
          </w:p>
        </w:tc>
        <w:tc>
          <w:tcPr>
            <w:tcW w:w="556" w:type="pct"/>
            <w:tcBorders>
              <w:top w:val="nil"/>
              <w:bottom w:val="nil"/>
            </w:tcBorders>
            <w:shd w:val="clear" w:color="auto" w:fill="F2F2F2" w:themeFill="background1" w:themeFillShade="F2"/>
          </w:tcPr>
          <w:p w:rsidR="0025490C" w:rsidRPr="00E07B1B" w:rsidRDefault="0025490C" w:rsidP="003616DD">
            <w:pPr>
              <w:pStyle w:val="TableText"/>
            </w:pPr>
            <w:r w:rsidRPr="00E07B1B">
              <w:t>Retrospective cohort</w:t>
            </w:r>
          </w:p>
        </w:tc>
        <w:tc>
          <w:tcPr>
            <w:tcW w:w="1613" w:type="pct"/>
            <w:tcBorders>
              <w:top w:val="nil"/>
              <w:bottom w:val="nil"/>
            </w:tcBorders>
            <w:shd w:val="clear" w:color="auto" w:fill="F2F2F2" w:themeFill="background1" w:themeFillShade="F2"/>
          </w:tcPr>
          <w:p w:rsidR="0025490C" w:rsidRDefault="0025490C" w:rsidP="00FF31D1">
            <w:pPr>
              <w:pStyle w:val="TableText"/>
              <w:ind w:right="142"/>
            </w:pPr>
            <w:r w:rsidRPr="003616DD">
              <w:rPr>
                <w:b/>
              </w:rPr>
              <w:t>From 1992</w:t>
            </w:r>
            <w:r w:rsidRPr="00E07B1B">
              <w:t xml:space="preserve"> 50</w:t>
            </w:r>
            <w:r>
              <w:t xml:space="preserve"> </w:t>
            </w:r>
            <w:r w:rsidRPr="00E07B1B">
              <w:t>g OGCT</w:t>
            </w:r>
          </w:p>
          <w:p w:rsidR="0068074A" w:rsidRDefault="0025490C" w:rsidP="00FF31D1">
            <w:pPr>
              <w:pStyle w:val="TableText"/>
              <w:spacing w:after="30"/>
              <w:ind w:right="142"/>
            </w:pPr>
            <w:r w:rsidRPr="00E07B1B">
              <w:t>If ≥</w:t>
            </w:r>
            <w:r>
              <w:t xml:space="preserve"> </w:t>
            </w:r>
            <w:r w:rsidRPr="00E07B1B">
              <w:t>7.8 mmol/L then 100</w:t>
            </w:r>
            <w:r>
              <w:t xml:space="preserve"> </w:t>
            </w:r>
            <w:r w:rsidRPr="00E07B1B">
              <w:t>g, 3</w:t>
            </w:r>
            <w:r>
              <w:noBreakHyphen/>
            </w:r>
            <w:r w:rsidRPr="00E07B1B">
              <w:t xml:space="preserve">hour OGTT with </w:t>
            </w:r>
            <w:r>
              <w:t>two</w:t>
            </w:r>
            <w:r w:rsidRPr="00E07B1B">
              <w:t xml:space="preserve"> or more abnormal results </w:t>
            </w:r>
            <w:r>
              <w:t xml:space="preserve">required </w:t>
            </w:r>
            <w:r w:rsidRPr="00E07B1B">
              <w:t>from</w:t>
            </w:r>
            <w:r>
              <w:t>:</w:t>
            </w:r>
          </w:p>
          <w:p w:rsidR="0025490C" w:rsidRPr="00E07B1B" w:rsidRDefault="0025490C" w:rsidP="00FF31D1">
            <w:pPr>
              <w:pStyle w:val="TableBullet"/>
              <w:spacing w:after="30"/>
              <w:ind w:left="284" w:right="142"/>
            </w:pPr>
            <w:r>
              <w:t>f</w:t>
            </w:r>
            <w:r w:rsidRPr="00E07B1B">
              <w:t>asting ≥ 5.8 mmol/L</w:t>
            </w:r>
          </w:p>
          <w:p w:rsidR="0025490C" w:rsidRPr="00E07B1B" w:rsidRDefault="0025490C" w:rsidP="00FF31D1">
            <w:pPr>
              <w:pStyle w:val="TableBullet"/>
              <w:spacing w:after="30"/>
              <w:ind w:left="284" w:right="142"/>
            </w:pPr>
            <w:r w:rsidRPr="00E07B1B">
              <w:t>1</w:t>
            </w:r>
            <w:r>
              <w:t>-hour</w:t>
            </w:r>
            <w:r w:rsidRPr="00E07B1B">
              <w:t xml:space="preserve"> ≥</w:t>
            </w:r>
            <w:r>
              <w:t xml:space="preserve"> </w:t>
            </w:r>
            <w:r w:rsidRPr="00E07B1B">
              <w:t>10.6 mmol/L</w:t>
            </w:r>
          </w:p>
          <w:p w:rsidR="0025490C" w:rsidRPr="00E07B1B" w:rsidRDefault="0025490C" w:rsidP="00FF31D1">
            <w:pPr>
              <w:pStyle w:val="TableBullet"/>
              <w:spacing w:after="30"/>
              <w:ind w:left="284" w:right="142"/>
            </w:pPr>
            <w:r w:rsidRPr="00E07B1B">
              <w:t>2</w:t>
            </w:r>
            <w:r>
              <w:t>-hour</w:t>
            </w:r>
            <w:r w:rsidRPr="00E07B1B">
              <w:t xml:space="preserve"> ≥</w:t>
            </w:r>
            <w:r>
              <w:t xml:space="preserve"> </w:t>
            </w:r>
            <w:r w:rsidRPr="00E07B1B">
              <w:t>9.2 mmol/L</w:t>
            </w:r>
          </w:p>
          <w:p w:rsidR="0025490C" w:rsidRDefault="0025490C" w:rsidP="00FF31D1">
            <w:pPr>
              <w:pStyle w:val="TableBullet"/>
              <w:ind w:left="284" w:right="142"/>
            </w:pPr>
            <w:r w:rsidRPr="00E07B1B">
              <w:t>3</w:t>
            </w:r>
            <w:r>
              <w:t>-hour</w:t>
            </w:r>
            <w:r w:rsidRPr="00E07B1B">
              <w:t xml:space="preserve"> ≥</w:t>
            </w:r>
            <w:r>
              <w:t xml:space="preserve"> </w:t>
            </w:r>
            <w:r w:rsidRPr="00E07B1B">
              <w:t>8.1 mmol/L.</w:t>
            </w:r>
          </w:p>
          <w:p w:rsidR="0025490C" w:rsidRPr="00E07B1B" w:rsidRDefault="0025490C" w:rsidP="00FF31D1">
            <w:pPr>
              <w:pStyle w:val="TableText"/>
              <w:ind w:right="142"/>
            </w:pPr>
            <w:r w:rsidRPr="00893B07">
              <w:rPr>
                <w:b/>
              </w:rPr>
              <w:t>From 1998</w:t>
            </w:r>
            <w:r w:rsidRPr="00E07B1B">
              <w:t xml:space="preserve"> 50</w:t>
            </w:r>
            <w:r>
              <w:t xml:space="preserve"> </w:t>
            </w:r>
            <w:r w:rsidRPr="00E07B1B">
              <w:t>g OGCT</w:t>
            </w:r>
          </w:p>
          <w:p w:rsidR="0025490C" w:rsidRPr="00E07B1B" w:rsidRDefault="0025490C" w:rsidP="00FF31D1">
            <w:pPr>
              <w:pStyle w:val="TableText"/>
              <w:spacing w:after="30"/>
              <w:ind w:right="142"/>
            </w:pPr>
            <w:r w:rsidRPr="00E07B1B">
              <w:t>If ≥</w:t>
            </w:r>
            <w:r w:rsidR="00893B07">
              <w:t xml:space="preserve"> </w:t>
            </w:r>
            <w:r w:rsidRPr="00E07B1B">
              <w:t>7.8 but &lt; 10.2 mmol/L</w:t>
            </w:r>
            <w:r>
              <w:t>,</w:t>
            </w:r>
            <w:r w:rsidRPr="00E07B1B">
              <w:t xml:space="preserve"> then a 75</w:t>
            </w:r>
            <w:r w:rsidR="00893B07">
              <w:t> </w:t>
            </w:r>
            <w:r w:rsidRPr="00E07B1B">
              <w:t>g</w:t>
            </w:r>
            <w:r>
              <w:t>,</w:t>
            </w:r>
            <w:r w:rsidRPr="00E07B1B">
              <w:t xml:space="preserve"> 2</w:t>
            </w:r>
            <w:r>
              <w:t>-</w:t>
            </w:r>
            <w:r w:rsidRPr="00E07B1B">
              <w:t xml:space="preserve">hour OGTT with </w:t>
            </w:r>
            <w:r>
              <w:t>two</w:t>
            </w:r>
            <w:r w:rsidRPr="00E07B1B">
              <w:t xml:space="preserve"> or more abnormal results </w:t>
            </w:r>
            <w:r>
              <w:t>required from:</w:t>
            </w:r>
          </w:p>
          <w:p w:rsidR="0025490C" w:rsidRPr="00E07B1B" w:rsidRDefault="0025490C" w:rsidP="00FF31D1">
            <w:pPr>
              <w:pStyle w:val="TableBullet"/>
              <w:spacing w:after="30"/>
              <w:ind w:left="284" w:right="142"/>
            </w:pPr>
            <w:r>
              <w:t>f</w:t>
            </w:r>
            <w:r w:rsidRPr="00E07B1B">
              <w:t>asting ≥</w:t>
            </w:r>
            <w:r>
              <w:t xml:space="preserve"> </w:t>
            </w:r>
            <w:r w:rsidRPr="00E07B1B">
              <w:t>5.3 mmol/L</w:t>
            </w:r>
          </w:p>
          <w:p w:rsidR="0025490C" w:rsidRPr="00E07B1B" w:rsidRDefault="0025490C" w:rsidP="00FF31D1">
            <w:pPr>
              <w:pStyle w:val="TableBullet"/>
              <w:spacing w:after="30"/>
              <w:ind w:left="284" w:right="142"/>
            </w:pPr>
            <w:r w:rsidRPr="00E07B1B">
              <w:t>1</w:t>
            </w:r>
            <w:r>
              <w:t>-</w:t>
            </w:r>
            <w:r w:rsidRPr="00E07B1B">
              <w:t>hour ≥</w:t>
            </w:r>
            <w:r>
              <w:t xml:space="preserve"> </w:t>
            </w:r>
            <w:r w:rsidRPr="00E07B1B">
              <w:t>10.6 mmol/L</w:t>
            </w:r>
          </w:p>
          <w:p w:rsidR="0025490C" w:rsidRPr="00E07B1B" w:rsidRDefault="0025490C" w:rsidP="00FF31D1">
            <w:pPr>
              <w:pStyle w:val="TableBullet"/>
              <w:ind w:left="284" w:right="142"/>
            </w:pPr>
            <w:r w:rsidRPr="00E07B1B">
              <w:t>2</w:t>
            </w:r>
            <w:r>
              <w:t>-</w:t>
            </w:r>
            <w:r w:rsidRPr="00E07B1B">
              <w:t>hour ≥</w:t>
            </w:r>
            <w:r>
              <w:t xml:space="preserve"> </w:t>
            </w:r>
            <w:r w:rsidRPr="00E07B1B">
              <w:t>8.9 mmol/L.</w:t>
            </w:r>
          </w:p>
        </w:tc>
        <w:tc>
          <w:tcPr>
            <w:tcW w:w="1251" w:type="pct"/>
            <w:tcBorders>
              <w:top w:val="nil"/>
              <w:bottom w:val="nil"/>
            </w:tcBorders>
            <w:shd w:val="clear" w:color="auto" w:fill="F2F2F2" w:themeFill="background1" w:themeFillShade="F2"/>
          </w:tcPr>
          <w:p w:rsidR="0025490C" w:rsidRPr="00E07B1B" w:rsidRDefault="0025490C" w:rsidP="003616DD">
            <w:pPr>
              <w:pStyle w:val="TableText"/>
            </w:pPr>
            <w:r w:rsidRPr="00E07B1B">
              <w:t>≥</w:t>
            </w:r>
            <w:r>
              <w:t xml:space="preserve"> </w:t>
            </w:r>
            <w:r w:rsidRPr="00E07B1B">
              <w:t>35 years compared with &lt; 35 years</w:t>
            </w:r>
            <w:r>
              <w:t>:</w:t>
            </w:r>
            <w:r w:rsidRPr="00E07B1B">
              <w:t xml:space="preserve"> adj OR 2.38 (95%CI 2.24</w:t>
            </w:r>
            <w:r>
              <w:t>–</w:t>
            </w:r>
            <w:r w:rsidRPr="00E07B1B">
              <w:t>2.54). Effect similar for both First Na</w:t>
            </w:r>
            <w:r w:rsidR="00893B07">
              <w:t>tion and non-First Nation women</w:t>
            </w:r>
          </w:p>
        </w:tc>
        <w:tc>
          <w:tcPr>
            <w:tcW w:w="442" w:type="pct"/>
            <w:tcBorders>
              <w:top w:val="nil"/>
              <w:bottom w:val="nil"/>
            </w:tcBorders>
            <w:shd w:val="clear" w:color="auto" w:fill="F2F2F2" w:themeFill="background1" w:themeFillShade="F2"/>
          </w:tcPr>
          <w:p w:rsidR="0025490C" w:rsidRPr="00E07B1B" w:rsidRDefault="0025490C" w:rsidP="003616DD">
            <w:pPr>
              <w:pStyle w:val="TableText"/>
              <w:jc w:val="center"/>
            </w:pPr>
            <w:r w:rsidRPr="00E07B1B">
              <w:t>HIGH</w:t>
            </w:r>
          </w:p>
        </w:tc>
      </w:tr>
      <w:tr w:rsidR="0025490C" w:rsidRPr="00E07B1B" w:rsidTr="00FF31D1">
        <w:trPr>
          <w:cantSplit/>
        </w:trPr>
        <w:tc>
          <w:tcPr>
            <w:tcW w:w="588" w:type="pct"/>
            <w:tcBorders>
              <w:top w:val="nil"/>
              <w:bottom w:val="nil"/>
            </w:tcBorders>
            <w:shd w:val="clear" w:color="auto" w:fill="auto"/>
          </w:tcPr>
          <w:p w:rsidR="0025490C" w:rsidRPr="00E07B1B" w:rsidRDefault="0025490C" w:rsidP="003616DD">
            <w:pPr>
              <w:pStyle w:val="TableText"/>
            </w:pPr>
            <w:r w:rsidRPr="00E07B1B">
              <w:t>Far</w:t>
            </w:r>
            <w:r>
              <w:t xml:space="preserve"> </w:t>
            </w:r>
            <w:r w:rsidRPr="00E07B1B">
              <w:t>(2012)</w:t>
            </w:r>
          </w:p>
        </w:tc>
        <w:tc>
          <w:tcPr>
            <w:tcW w:w="550" w:type="pct"/>
            <w:tcBorders>
              <w:top w:val="nil"/>
              <w:bottom w:val="nil"/>
            </w:tcBorders>
            <w:shd w:val="clear" w:color="auto" w:fill="auto"/>
          </w:tcPr>
          <w:p w:rsidR="0025490C" w:rsidRPr="00E07B1B" w:rsidRDefault="0025490C" w:rsidP="00FF31D1">
            <w:pPr>
              <w:pStyle w:val="TableText"/>
            </w:pPr>
            <w:r w:rsidRPr="00E07B1B">
              <w:t>Iran</w:t>
            </w:r>
            <w:r w:rsidR="00FF31D1">
              <w:br/>
            </w:r>
            <w:r w:rsidRPr="00E07B1B">
              <w:t>711</w:t>
            </w:r>
          </w:p>
        </w:tc>
        <w:tc>
          <w:tcPr>
            <w:tcW w:w="556" w:type="pct"/>
            <w:tcBorders>
              <w:top w:val="nil"/>
              <w:bottom w:val="nil"/>
            </w:tcBorders>
            <w:shd w:val="clear" w:color="auto" w:fill="auto"/>
          </w:tcPr>
          <w:p w:rsidR="0025490C" w:rsidRPr="00E07B1B" w:rsidRDefault="0025490C" w:rsidP="003616DD">
            <w:pPr>
              <w:pStyle w:val="TableText"/>
            </w:pPr>
            <w:r w:rsidRPr="00E07B1B">
              <w:t>Cohort</w:t>
            </w:r>
          </w:p>
        </w:tc>
        <w:tc>
          <w:tcPr>
            <w:tcW w:w="1613" w:type="pct"/>
            <w:tcBorders>
              <w:top w:val="nil"/>
              <w:bottom w:val="nil"/>
            </w:tcBorders>
            <w:shd w:val="clear" w:color="auto" w:fill="auto"/>
          </w:tcPr>
          <w:p w:rsidR="0025490C" w:rsidRDefault="0025490C" w:rsidP="00FF31D1">
            <w:pPr>
              <w:pStyle w:val="TableText"/>
              <w:ind w:right="142"/>
            </w:pPr>
            <w:r w:rsidRPr="00E07B1B">
              <w:t>50</w:t>
            </w:r>
            <w:r>
              <w:t xml:space="preserve"> </w:t>
            </w:r>
            <w:r w:rsidRPr="00E07B1B">
              <w:t>g</w:t>
            </w:r>
            <w:r>
              <w:t>,</w:t>
            </w:r>
            <w:r w:rsidRPr="00E07B1B">
              <w:t xml:space="preserve"> 1</w:t>
            </w:r>
            <w:r>
              <w:t>-</w:t>
            </w:r>
            <w:r w:rsidRPr="00E07B1B">
              <w:t>hour OGCT</w:t>
            </w:r>
          </w:p>
          <w:p w:rsidR="0025490C" w:rsidRPr="00E07B1B" w:rsidRDefault="0025490C" w:rsidP="00FF31D1">
            <w:pPr>
              <w:pStyle w:val="TableText"/>
              <w:ind w:right="142"/>
            </w:pPr>
            <w:r w:rsidRPr="00E07B1B">
              <w:t>If ≥</w:t>
            </w:r>
            <w:r>
              <w:t xml:space="preserve"> </w:t>
            </w:r>
            <w:r w:rsidRPr="00E07B1B">
              <w:t>140 mg</w:t>
            </w:r>
            <w:r>
              <w:t>/dL</w:t>
            </w:r>
            <w:r w:rsidRPr="00E07B1B">
              <w:t xml:space="preserve"> after 1 hour</w:t>
            </w:r>
            <w:r>
              <w:t>,</w:t>
            </w:r>
            <w:r w:rsidRPr="00E07B1B">
              <w:t xml:space="preserve"> then a 3</w:t>
            </w:r>
            <w:r>
              <w:t>-</w:t>
            </w:r>
            <w:r w:rsidRPr="00E07B1B">
              <w:t>hour</w:t>
            </w:r>
            <w:r>
              <w:t>,</w:t>
            </w:r>
            <w:r w:rsidRPr="00E07B1B">
              <w:t xml:space="preserve"> 100</w:t>
            </w:r>
            <w:r w:rsidR="00FF31D1">
              <w:t> </w:t>
            </w:r>
            <w:r w:rsidRPr="00E07B1B">
              <w:t>g OGTT (National Diabetes Data Group criteria).</w:t>
            </w:r>
          </w:p>
        </w:tc>
        <w:tc>
          <w:tcPr>
            <w:tcW w:w="1251" w:type="pct"/>
            <w:tcBorders>
              <w:top w:val="nil"/>
              <w:bottom w:val="nil"/>
            </w:tcBorders>
            <w:shd w:val="clear" w:color="auto" w:fill="auto"/>
          </w:tcPr>
          <w:p w:rsidR="0025490C" w:rsidRPr="00E07B1B" w:rsidRDefault="0025490C" w:rsidP="00FF31D1">
            <w:pPr>
              <w:pStyle w:val="TableText"/>
            </w:pPr>
            <w:r w:rsidRPr="00E07B1B">
              <w:t>Increasing maternal age OR 1.14 (95%CI 1.07</w:t>
            </w:r>
            <w:r>
              <w:t>–</w:t>
            </w:r>
            <w:r w:rsidRPr="00E07B1B">
              <w:t>1.21</w:t>
            </w:r>
            <w:r>
              <w:t>,</w:t>
            </w:r>
            <w:r w:rsidRPr="00E07B1B">
              <w:t xml:space="preserve"> </w:t>
            </w:r>
            <w:r w:rsidRPr="0081275C">
              <w:rPr>
                <w:i/>
              </w:rPr>
              <w:t>p</w:t>
            </w:r>
            <w:r>
              <w:t xml:space="preserve"> </w:t>
            </w:r>
            <w:r w:rsidRPr="00E07B1B">
              <w:t>&lt;</w:t>
            </w:r>
            <w:r>
              <w:t xml:space="preserve"> </w:t>
            </w:r>
            <w:r w:rsidRPr="00E07B1B">
              <w:t>0.001)</w:t>
            </w:r>
          </w:p>
        </w:tc>
        <w:tc>
          <w:tcPr>
            <w:tcW w:w="442" w:type="pct"/>
            <w:tcBorders>
              <w:top w:val="nil"/>
              <w:bottom w:val="nil"/>
            </w:tcBorders>
            <w:shd w:val="clear" w:color="auto" w:fill="auto"/>
          </w:tcPr>
          <w:p w:rsidR="0025490C" w:rsidRPr="00E07B1B" w:rsidRDefault="0025490C" w:rsidP="003616DD">
            <w:pPr>
              <w:pStyle w:val="TableText"/>
              <w:jc w:val="center"/>
            </w:pPr>
            <w:r w:rsidRPr="00E07B1B">
              <w:t>MEDIUM</w:t>
            </w:r>
          </w:p>
        </w:tc>
      </w:tr>
      <w:tr w:rsidR="0025490C" w:rsidRPr="00E07B1B" w:rsidTr="00FF31D1">
        <w:trPr>
          <w:cantSplit/>
        </w:trPr>
        <w:tc>
          <w:tcPr>
            <w:tcW w:w="588" w:type="pct"/>
            <w:tcBorders>
              <w:top w:val="nil"/>
              <w:bottom w:val="nil"/>
            </w:tcBorders>
            <w:shd w:val="clear" w:color="auto" w:fill="F2F2F2" w:themeFill="background1" w:themeFillShade="F2"/>
          </w:tcPr>
          <w:p w:rsidR="0025490C" w:rsidRPr="00E07B1B" w:rsidRDefault="0025490C" w:rsidP="00FF31D1">
            <w:pPr>
              <w:pStyle w:val="TableText"/>
            </w:pPr>
            <w:r w:rsidRPr="00E07B1B">
              <w:t>Makgoba (2012)</w:t>
            </w:r>
          </w:p>
        </w:tc>
        <w:tc>
          <w:tcPr>
            <w:tcW w:w="550" w:type="pct"/>
            <w:tcBorders>
              <w:top w:val="nil"/>
              <w:bottom w:val="nil"/>
            </w:tcBorders>
            <w:shd w:val="clear" w:color="auto" w:fill="F2F2F2" w:themeFill="background1" w:themeFillShade="F2"/>
          </w:tcPr>
          <w:p w:rsidR="0025490C" w:rsidRPr="00E07B1B" w:rsidRDefault="0025490C" w:rsidP="00FF31D1">
            <w:pPr>
              <w:pStyle w:val="TableText"/>
            </w:pPr>
            <w:r w:rsidRPr="00E07B1B">
              <w:t>United Kingdom</w:t>
            </w:r>
            <w:r w:rsidR="00FF31D1">
              <w:br/>
            </w:r>
            <w:r w:rsidRPr="00E07B1B">
              <w:t>174,320</w:t>
            </w:r>
          </w:p>
        </w:tc>
        <w:tc>
          <w:tcPr>
            <w:tcW w:w="556" w:type="pct"/>
            <w:tcBorders>
              <w:top w:val="nil"/>
              <w:bottom w:val="nil"/>
            </w:tcBorders>
            <w:shd w:val="clear" w:color="auto" w:fill="F2F2F2" w:themeFill="background1" w:themeFillShade="F2"/>
          </w:tcPr>
          <w:p w:rsidR="0025490C" w:rsidRPr="00E07B1B" w:rsidRDefault="0025490C" w:rsidP="003616DD">
            <w:pPr>
              <w:pStyle w:val="TableText"/>
            </w:pPr>
            <w:r w:rsidRPr="00E07B1B">
              <w:t>Retrospective cohort</w:t>
            </w:r>
          </w:p>
        </w:tc>
        <w:tc>
          <w:tcPr>
            <w:tcW w:w="1613" w:type="pct"/>
            <w:tcBorders>
              <w:top w:val="nil"/>
              <w:bottom w:val="nil"/>
            </w:tcBorders>
            <w:shd w:val="clear" w:color="auto" w:fill="F2F2F2" w:themeFill="background1" w:themeFillShade="F2"/>
          </w:tcPr>
          <w:p w:rsidR="0025490C" w:rsidRPr="00E07B1B" w:rsidRDefault="0025490C" w:rsidP="00FF31D1">
            <w:pPr>
              <w:pStyle w:val="TableText"/>
              <w:ind w:right="142"/>
            </w:pPr>
            <w:r w:rsidRPr="00E07B1B">
              <w:t>Diagnosis and screening varied between the units (no details)</w:t>
            </w:r>
            <w:r>
              <w:t>.</w:t>
            </w:r>
          </w:p>
        </w:tc>
        <w:tc>
          <w:tcPr>
            <w:tcW w:w="1251" w:type="pct"/>
            <w:tcBorders>
              <w:top w:val="nil"/>
              <w:bottom w:val="nil"/>
            </w:tcBorders>
            <w:shd w:val="clear" w:color="auto" w:fill="F2F2F2" w:themeFill="background1" w:themeFillShade="F2"/>
          </w:tcPr>
          <w:p w:rsidR="0025490C" w:rsidRDefault="0025490C" w:rsidP="003616DD">
            <w:pPr>
              <w:pStyle w:val="TableText"/>
            </w:pPr>
            <w:r w:rsidRPr="00E07B1B">
              <w:t>Women with GDM were significantly older than non-GDM women (29.6</w:t>
            </w:r>
            <w:r>
              <w:t xml:space="preserve"> </w:t>
            </w:r>
            <w:r w:rsidRPr="00E07B1B">
              <w:t>±</w:t>
            </w:r>
            <w:r>
              <w:t xml:space="preserve"> </w:t>
            </w:r>
            <w:r w:rsidRPr="00E07B1B">
              <w:t>5.2 versus 26.8</w:t>
            </w:r>
            <w:r>
              <w:t xml:space="preserve"> </w:t>
            </w:r>
            <w:r w:rsidRPr="00E07B1B">
              <w:t>±</w:t>
            </w:r>
            <w:r>
              <w:t xml:space="preserve"> </w:t>
            </w:r>
            <w:r w:rsidRPr="00E07B1B">
              <w:t>5.1 years</w:t>
            </w:r>
            <w:r>
              <w:t>,</w:t>
            </w:r>
            <w:r w:rsidRPr="00E07B1B">
              <w:t xml:space="preserve"> </w:t>
            </w:r>
            <w:r w:rsidRPr="0081275C">
              <w:rPr>
                <w:i/>
              </w:rPr>
              <w:t>p</w:t>
            </w:r>
            <w:r>
              <w:t xml:space="preserve"> </w:t>
            </w:r>
            <w:r w:rsidRPr="00E07B1B">
              <w:t>&lt;</w:t>
            </w:r>
            <w:r>
              <w:t xml:space="preserve"> </w:t>
            </w:r>
            <w:r w:rsidRPr="00E07B1B">
              <w:t>0.001).</w:t>
            </w:r>
          </w:p>
          <w:p w:rsidR="0068074A" w:rsidRDefault="0025490C" w:rsidP="003616DD">
            <w:pPr>
              <w:pStyle w:val="TableText"/>
            </w:pPr>
            <w:r w:rsidRPr="00E07B1B">
              <w:t>White European women &gt; 30 years had significantly higher risk of developing GDM compared with White European women age 20</w:t>
            </w:r>
            <w:r>
              <w:t>–</w:t>
            </w:r>
            <w:r w:rsidRPr="00E07B1B">
              <w:t>24 years.</w:t>
            </w:r>
          </w:p>
          <w:p w:rsidR="0025490C" w:rsidRPr="00E07B1B" w:rsidRDefault="0025490C" w:rsidP="003616DD">
            <w:pPr>
              <w:pStyle w:val="TableText"/>
            </w:pPr>
            <w:r w:rsidRPr="00E07B1B">
              <w:t>Women &gt; 40 years OR 4.08 (95%CI 2.61</w:t>
            </w:r>
            <w:r>
              <w:t>–</w:t>
            </w:r>
            <w:r w:rsidRPr="00E07B1B">
              <w:t>6.38</w:t>
            </w:r>
            <w:r>
              <w:t>,</w:t>
            </w:r>
            <w:r w:rsidRPr="00E07B1B">
              <w:t xml:space="preserve"> </w:t>
            </w:r>
            <w:r w:rsidRPr="0081275C">
              <w:rPr>
                <w:i/>
              </w:rPr>
              <w:t>p</w:t>
            </w:r>
            <w:r>
              <w:t xml:space="preserve"> </w:t>
            </w:r>
            <w:r w:rsidRPr="00E07B1B">
              <w:t>&lt;</w:t>
            </w:r>
            <w:r>
              <w:t xml:space="preserve"> </w:t>
            </w:r>
            <w:r w:rsidRPr="00E07B1B">
              <w:t>0.001)</w:t>
            </w:r>
          </w:p>
        </w:tc>
        <w:tc>
          <w:tcPr>
            <w:tcW w:w="442" w:type="pct"/>
            <w:tcBorders>
              <w:top w:val="nil"/>
              <w:bottom w:val="nil"/>
            </w:tcBorders>
            <w:shd w:val="clear" w:color="auto" w:fill="F2F2F2" w:themeFill="background1" w:themeFillShade="F2"/>
          </w:tcPr>
          <w:p w:rsidR="0025490C" w:rsidRPr="00E07B1B" w:rsidRDefault="0025490C" w:rsidP="003616DD">
            <w:pPr>
              <w:pStyle w:val="TableText"/>
              <w:jc w:val="center"/>
            </w:pPr>
            <w:r w:rsidRPr="00E07B1B">
              <w:t>MEDIUM</w:t>
            </w:r>
          </w:p>
        </w:tc>
      </w:tr>
      <w:tr w:rsidR="0025490C" w:rsidRPr="00E07B1B" w:rsidTr="00FF31D1">
        <w:trPr>
          <w:cantSplit/>
        </w:trPr>
        <w:tc>
          <w:tcPr>
            <w:tcW w:w="588" w:type="pct"/>
            <w:tcBorders>
              <w:top w:val="nil"/>
              <w:bottom w:val="nil"/>
            </w:tcBorders>
            <w:shd w:val="clear" w:color="auto" w:fill="auto"/>
          </w:tcPr>
          <w:p w:rsidR="0025490C" w:rsidRPr="00E07B1B" w:rsidRDefault="0025490C" w:rsidP="003616DD">
            <w:pPr>
              <w:pStyle w:val="TableText"/>
            </w:pPr>
            <w:r w:rsidRPr="00E07B1B">
              <w:t>Nanda</w:t>
            </w:r>
            <w:r>
              <w:t xml:space="preserve"> </w:t>
            </w:r>
            <w:r w:rsidRPr="00E07B1B">
              <w:t>(2011)</w:t>
            </w:r>
          </w:p>
        </w:tc>
        <w:tc>
          <w:tcPr>
            <w:tcW w:w="550" w:type="pct"/>
            <w:tcBorders>
              <w:top w:val="nil"/>
              <w:bottom w:val="nil"/>
            </w:tcBorders>
            <w:shd w:val="clear" w:color="auto" w:fill="auto"/>
          </w:tcPr>
          <w:p w:rsidR="0025490C" w:rsidRPr="00E07B1B" w:rsidRDefault="0025490C" w:rsidP="00FF31D1">
            <w:pPr>
              <w:pStyle w:val="TableText"/>
            </w:pPr>
            <w:r w:rsidRPr="00E07B1B">
              <w:t>United Kingdom</w:t>
            </w:r>
            <w:r w:rsidR="00FF31D1">
              <w:br/>
            </w:r>
            <w:r w:rsidRPr="00E07B1B">
              <w:t>11,464</w:t>
            </w:r>
          </w:p>
        </w:tc>
        <w:tc>
          <w:tcPr>
            <w:tcW w:w="556" w:type="pct"/>
            <w:tcBorders>
              <w:top w:val="nil"/>
              <w:bottom w:val="nil"/>
            </w:tcBorders>
            <w:shd w:val="clear" w:color="auto" w:fill="auto"/>
          </w:tcPr>
          <w:p w:rsidR="0025490C" w:rsidRPr="00E07B1B" w:rsidRDefault="0025490C" w:rsidP="003616DD">
            <w:pPr>
              <w:pStyle w:val="TableText"/>
            </w:pPr>
            <w:r w:rsidRPr="00E07B1B">
              <w:t>Prospective cohort</w:t>
            </w:r>
          </w:p>
        </w:tc>
        <w:tc>
          <w:tcPr>
            <w:tcW w:w="1613" w:type="pct"/>
            <w:tcBorders>
              <w:top w:val="nil"/>
              <w:bottom w:val="nil"/>
            </w:tcBorders>
            <w:shd w:val="clear" w:color="auto" w:fill="auto"/>
          </w:tcPr>
          <w:p w:rsidR="0025490C" w:rsidRPr="00E07B1B" w:rsidRDefault="0025490C" w:rsidP="00FF31D1">
            <w:pPr>
              <w:pStyle w:val="TableText"/>
              <w:ind w:right="142"/>
            </w:pPr>
            <w:r w:rsidRPr="00E07B1B">
              <w:t>Random plasma glucose recorded at 24</w:t>
            </w:r>
            <w:r>
              <w:t>–</w:t>
            </w:r>
            <w:r w:rsidRPr="00E07B1B">
              <w:t>28 weeks, if</w:t>
            </w:r>
            <w:r w:rsidR="0068074A">
              <w:t xml:space="preserve"> </w:t>
            </w:r>
            <w:r w:rsidRPr="00E07B1B">
              <w:t>&gt;</w:t>
            </w:r>
            <w:r>
              <w:t xml:space="preserve"> </w:t>
            </w:r>
            <w:r w:rsidRPr="00E07B1B">
              <w:t>6.7</w:t>
            </w:r>
            <w:r>
              <w:t xml:space="preserve"> </w:t>
            </w:r>
            <w:r w:rsidRPr="00E07B1B">
              <w:t>mmol/L</w:t>
            </w:r>
            <w:r>
              <w:t>,</w:t>
            </w:r>
            <w:r w:rsidRPr="00E07B1B">
              <w:t xml:space="preserve"> then conducted a 75</w:t>
            </w:r>
            <w:r>
              <w:t xml:space="preserve"> </w:t>
            </w:r>
            <w:r w:rsidRPr="00E07B1B">
              <w:t xml:space="preserve">g OGTT within </w:t>
            </w:r>
            <w:r>
              <w:t>two</w:t>
            </w:r>
            <w:r w:rsidRPr="00E07B1B">
              <w:t xml:space="preserve"> weeks. GDM diagnosed if fasting plasma glucose ≥6mmol/L or 2</w:t>
            </w:r>
            <w:r>
              <w:t>-</w:t>
            </w:r>
            <w:r w:rsidRPr="00E07B1B">
              <w:t>hour level is ≥</w:t>
            </w:r>
            <w:r w:rsidR="00FF31D1">
              <w:t> </w:t>
            </w:r>
            <w:r w:rsidRPr="00E07B1B">
              <w:t>7.8</w:t>
            </w:r>
            <w:r w:rsidR="00FF31D1">
              <w:t> </w:t>
            </w:r>
            <w:r w:rsidRPr="00E07B1B">
              <w:t>mmol/L</w:t>
            </w:r>
            <w:r>
              <w:t>.</w:t>
            </w:r>
          </w:p>
        </w:tc>
        <w:tc>
          <w:tcPr>
            <w:tcW w:w="1251" w:type="pct"/>
            <w:tcBorders>
              <w:top w:val="nil"/>
              <w:bottom w:val="nil"/>
            </w:tcBorders>
            <w:shd w:val="clear" w:color="auto" w:fill="auto"/>
          </w:tcPr>
          <w:p w:rsidR="0025490C" w:rsidRPr="00E07B1B" w:rsidRDefault="0025490C" w:rsidP="003616DD">
            <w:pPr>
              <w:pStyle w:val="TableText"/>
            </w:pPr>
            <w:r w:rsidRPr="00E07B1B">
              <w:t>Compared with women without GDM, women with GDM were older and had an increased risk of developing GDM per year of maternal age (adj OR 1.06, 95%CI 1.03</w:t>
            </w:r>
            <w:r>
              <w:t>–</w:t>
            </w:r>
            <w:r w:rsidRPr="00E07B1B">
              <w:t xml:space="preserve">1.08, </w:t>
            </w:r>
            <w:r w:rsidRPr="0081275C">
              <w:rPr>
                <w:i/>
              </w:rPr>
              <w:t>p</w:t>
            </w:r>
            <w:r>
              <w:t xml:space="preserve"> </w:t>
            </w:r>
            <w:r w:rsidRPr="00E07B1B">
              <w:t>&lt;</w:t>
            </w:r>
            <w:r>
              <w:t xml:space="preserve"> </w:t>
            </w:r>
            <w:r w:rsidRPr="00E07B1B">
              <w:t>0.0001).</w:t>
            </w:r>
          </w:p>
        </w:tc>
        <w:tc>
          <w:tcPr>
            <w:tcW w:w="442" w:type="pct"/>
            <w:tcBorders>
              <w:top w:val="nil"/>
              <w:bottom w:val="nil"/>
            </w:tcBorders>
            <w:shd w:val="clear" w:color="auto" w:fill="auto"/>
          </w:tcPr>
          <w:p w:rsidR="0025490C" w:rsidRPr="00E07B1B" w:rsidRDefault="0025490C" w:rsidP="003616DD">
            <w:pPr>
              <w:pStyle w:val="TableText"/>
              <w:jc w:val="center"/>
            </w:pPr>
            <w:r w:rsidRPr="00E07B1B">
              <w:t>MEDIUM</w:t>
            </w:r>
          </w:p>
        </w:tc>
      </w:tr>
      <w:tr w:rsidR="0025490C" w:rsidRPr="00E07B1B" w:rsidTr="00FF31D1">
        <w:trPr>
          <w:cantSplit/>
        </w:trPr>
        <w:tc>
          <w:tcPr>
            <w:tcW w:w="588" w:type="pct"/>
            <w:tcBorders>
              <w:top w:val="nil"/>
              <w:bottom w:val="nil"/>
            </w:tcBorders>
            <w:shd w:val="clear" w:color="auto" w:fill="F2F2F2" w:themeFill="background1" w:themeFillShade="F2"/>
          </w:tcPr>
          <w:p w:rsidR="0025490C" w:rsidRPr="00E07B1B" w:rsidRDefault="0025490C" w:rsidP="003616DD">
            <w:pPr>
              <w:pStyle w:val="TableText"/>
            </w:pPr>
            <w:r w:rsidRPr="00E07B1B">
              <w:t>Schneider (2011)</w:t>
            </w:r>
          </w:p>
        </w:tc>
        <w:tc>
          <w:tcPr>
            <w:tcW w:w="550" w:type="pct"/>
            <w:tcBorders>
              <w:top w:val="nil"/>
              <w:bottom w:val="nil"/>
            </w:tcBorders>
            <w:shd w:val="clear" w:color="auto" w:fill="F2F2F2" w:themeFill="background1" w:themeFillShade="F2"/>
          </w:tcPr>
          <w:p w:rsidR="0025490C" w:rsidRPr="00E07B1B" w:rsidRDefault="0025490C" w:rsidP="00FF31D1">
            <w:pPr>
              <w:pStyle w:val="TableText"/>
            </w:pPr>
            <w:r w:rsidRPr="00E07B1B">
              <w:t>Germany</w:t>
            </w:r>
            <w:r w:rsidR="00FF31D1">
              <w:br/>
            </w:r>
            <w:r w:rsidRPr="00E07B1B">
              <w:t>647,385</w:t>
            </w:r>
          </w:p>
        </w:tc>
        <w:tc>
          <w:tcPr>
            <w:tcW w:w="556" w:type="pct"/>
            <w:tcBorders>
              <w:top w:val="nil"/>
              <w:bottom w:val="nil"/>
            </w:tcBorders>
            <w:shd w:val="clear" w:color="auto" w:fill="F2F2F2" w:themeFill="background1" w:themeFillShade="F2"/>
          </w:tcPr>
          <w:p w:rsidR="0025490C" w:rsidRPr="00E07B1B" w:rsidRDefault="0025490C" w:rsidP="003616DD">
            <w:pPr>
              <w:pStyle w:val="TableText"/>
            </w:pPr>
            <w:r w:rsidRPr="00E07B1B">
              <w:t>Cross-sectional</w:t>
            </w:r>
          </w:p>
        </w:tc>
        <w:tc>
          <w:tcPr>
            <w:tcW w:w="1613" w:type="pct"/>
            <w:tcBorders>
              <w:top w:val="nil"/>
              <w:bottom w:val="nil"/>
            </w:tcBorders>
            <w:shd w:val="clear" w:color="auto" w:fill="F2F2F2" w:themeFill="background1" w:themeFillShade="F2"/>
          </w:tcPr>
          <w:p w:rsidR="0025490C" w:rsidRPr="00E07B1B" w:rsidRDefault="0025490C" w:rsidP="00FF31D1">
            <w:pPr>
              <w:pStyle w:val="TableText"/>
              <w:ind w:right="142"/>
            </w:pPr>
            <w:r w:rsidRPr="00E07B1B">
              <w:t>No details provided</w:t>
            </w:r>
            <w:r w:rsidR="00FF31D1">
              <w:t>.</w:t>
            </w:r>
          </w:p>
        </w:tc>
        <w:tc>
          <w:tcPr>
            <w:tcW w:w="1251" w:type="pct"/>
            <w:tcBorders>
              <w:top w:val="nil"/>
              <w:bottom w:val="nil"/>
            </w:tcBorders>
            <w:shd w:val="clear" w:color="auto" w:fill="F2F2F2" w:themeFill="background1" w:themeFillShade="F2"/>
          </w:tcPr>
          <w:p w:rsidR="0025490C" w:rsidRPr="00E07B1B" w:rsidRDefault="0025490C" w:rsidP="003616DD">
            <w:pPr>
              <w:pStyle w:val="TableText"/>
            </w:pPr>
            <w:r w:rsidRPr="00E07B1B">
              <w:t>Compared with women &lt;</w:t>
            </w:r>
            <w:r>
              <w:t xml:space="preserve"> </w:t>
            </w:r>
            <w:r w:rsidRPr="00E07B1B">
              <w:t xml:space="preserve">20 years, women aged &gt; 35 years had an almost </w:t>
            </w:r>
            <w:r>
              <w:t>four-</w:t>
            </w:r>
            <w:r w:rsidRPr="00E07B1B">
              <w:t>fold increased risk (adj OR 4.69; 95%CI 3.9</w:t>
            </w:r>
            <w:r>
              <w:t>–</w:t>
            </w:r>
            <w:r w:rsidRPr="00E07B1B">
              <w:t>5.6</w:t>
            </w:r>
            <w:r>
              <w:t>,</w:t>
            </w:r>
            <w:r w:rsidRPr="00E07B1B">
              <w:t xml:space="preserve"> </w:t>
            </w:r>
            <w:r w:rsidRPr="0081275C">
              <w:rPr>
                <w:i/>
              </w:rPr>
              <w:t>p</w:t>
            </w:r>
            <w:r>
              <w:t xml:space="preserve"> </w:t>
            </w:r>
            <w:r w:rsidRPr="00E07B1B">
              <w:t>&lt;</w:t>
            </w:r>
            <w:r>
              <w:t xml:space="preserve"> </w:t>
            </w:r>
            <w:r w:rsidRPr="00E07B1B">
              <w:t>0.001).</w:t>
            </w:r>
          </w:p>
        </w:tc>
        <w:tc>
          <w:tcPr>
            <w:tcW w:w="442" w:type="pct"/>
            <w:tcBorders>
              <w:top w:val="nil"/>
              <w:bottom w:val="nil"/>
            </w:tcBorders>
            <w:shd w:val="clear" w:color="auto" w:fill="F2F2F2" w:themeFill="background1" w:themeFillShade="F2"/>
          </w:tcPr>
          <w:p w:rsidR="0025490C" w:rsidRPr="00E07B1B" w:rsidRDefault="0025490C" w:rsidP="003616DD">
            <w:pPr>
              <w:pStyle w:val="TableText"/>
              <w:jc w:val="center"/>
            </w:pPr>
            <w:r w:rsidRPr="00E07B1B">
              <w:t>MEDIUM</w:t>
            </w:r>
          </w:p>
        </w:tc>
      </w:tr>
      <w:tr w:rsidR="0025490C" w:rsidRPr="00E07B1B" w:rsidTr="00FF31D1">
        <w:trPr>
          <w:cantSplit/>
        </w:trPr>
        <w:tc>
          <w:tcPr>
            <w:tcW w:w="588" w:type="pct"/>
            <w:tcBorders>
              <w:top w:val="nil"/>
              <w:bottom w:val="nil"/>
            </w:tcBorders>
            <w:shd w:val="clear" w:color="auto" w:fill="auto"/>
          </w:tcPr>
          <w:p w:rsidR="0025490C" w:rsidRPr="00E07B1B" w:rsidRDefault="0025490C" w:rsidP="003616DD">
            <w:pPr>
              <w:pStyle w:val="TableText"/>
            </w:pPr>
            <w:r w:rsidRPr="00E07B1B">
              <w:t>Teh</w:t>
            </w:r>
            <w:r>
              <w:t xml:space="preserve"> </w:t>
            </w:r>
            <w:r w:rsidRPr="00E07B1B">
              <w:t>(2011)</w:t>
            </w:r>
          </w:p>
        </w:tc>
        <w:tc>
          <w:tcPr>
            <w:tcW w:w="550" w:type="pct"/>
            <w:tcBorders>
              <w:top w:val="nil"/>
              <w:bottom w:val="nil"/>
            </w:tcBorders>
            <w:shd w:val="clear" w:color="auto" w:fill="auto"/>
          </w:tcPr>
          <w:p w:rsidR="0025490C" w:rsidRPr="00E07B1B" w:rsidRDefault="0025490C" w:rsidP="00FF31D1">
            <w:pPr>
              <w:pStyle w:val="TableText"/>
            </w:pPr>
            <w:r w:rsidRPr="00E07B1B">
              <w:t>Australia</w:t>
            </w:r>
            <w:r w:rsidR="00FF31D1">
              <w:br/>
            </w:r>
            <w:r w:rsidRPr="00E07B1B">
              <w:t>2880</w:t>
            </w:r>
          </w:p>
        </w:tc>
        <w:tc>
          <w:tcPr>
            <w:tcW w:w="556" w:type="pct"/>
            <w:tcBorders>
              <w:top w:val="nil"/>
              <w:bottom w:val="nil"/>
            </w:tcBorders>
            <w:shd w:val="clear" w:color="auto" w:fill="auto"/>
          </w:tcPr>
          <w:p w:rsidR="0025490C" w:rsidRPr="00E07B1B" w:rsidRDefault="0025490C" w:rsidP="003616DD">
            <w:pPr>
              <w:pStyle w:val="TableText"/>
            </w:pPr>
            <w:r w:rsidRPr="00E07B1B">
              <w:t>Retrospective cohort</w:t>
            </w:r>
          </w:p>
        </w:tc>
        <w:tc>
          <w:tcPr>
            <w:tcW w:w="1613" w:type="pct"/>
            <w:tcBorders>
              <w:top w:val="nil"/>
              <w:bottom w:val="nil"/>
            </w:tcBorders>
            <w:shd w:val="clear" w:color="auto" w:fill="auto"/>
          </w:tcPr>
          <w:p w:rsidR="0025490C" w:rsidRDefault="0025490C" w:rsidP="00FF31D1">
            <w:pPr>
              <w:pStyle w:val="TableText"/>
              <w:ind w:right="142"/>
            </w:pPr>
            <w:r w:rsidRPr="00E07B1B">
              <w:t>75</w:t>
            </w:r>
            <w:r>
              <w:t xml:space="preserve"> </w:t>
            </w:r>
            <w:r w:rsidRPr="00E07B1B">
              <w:t>g OGCT</w:t>
            </w:r>
          </w:p>
          <w:p w:rsidR="0025490C" w:rsidRPr="00E07B1B" w:rsidRDefault="0025490C" w:rsidP="00FF31D1">
            <w:pPr>
              <w:pStyle w:val="TableText"/>
              <w:ind w:right="142"/>
            </w:pPr>
            <w:r w:rsidRPr="00E07B1B">
              <w:t>Positive result (1</w:t>
            </w:r>
            <w:r>
              <w:t>-hour</w:t>
            </w:r>
            <w:r w:rsidRPr="00E07B1B">
              <w:t xml:space="preserve"> venous plasma glucose ≥</w:t>
            </w:r>
            <w:r>
              <w:t> </w:t>
            </w:r>
            <w:r w:rsidRPr="00E07B1B">
              <w:t>8.0 mmol</w:t>
            </w:r>
            <w:r>
              <w:t>/L</w:t>
            </w:r>
            <w:r w:rsidRPr="00E07B1B">
              <w:t>) proceeded to a 2</w:t>
            </w:r>
            <w:r>
              <w:t>-hour,</w:t>
            </w:r>
            <w:r w:rsidRPr="00E07B1B">
              <w:t xml:space="preserve"> 75</w:t>
            </w:r>
            <w:r>
              <w:t xml:space="preserve"> </w:t>
            </w:r>
            <w:r w:rsidRPr="00E07B1B">
              <w:t>g OGTT.</w:t>
            </w:r>
            <w:r>
              <w:t xml:space="preserve"> </w:t>
            </w:r>
            <w:r w:rsidRPr="00E07B1B">
              <w:t>Fasting venous plasma glucose level ≥5.5 mmol/</w:t>
            </w:r>
            <w:r>
              <w:t>L</w:t>
            </w:r>
            <w:r w:rsidRPr="00E07B1B">
              <w:t xml:space="preserve"> or 2</w:t>
            </w:r>
            <w:r>
              <w:t>-hour</w:t>
            </w:r>
            <w:r w:rsidRPr="00E07B1B">
              <w:t xml:space="preserve"> level of ≥</w:t>
            </w:r>
            <w:r>
              <w:t xml:space="preserve"> </w:t>
            </w:r>
            <w:r w:rsidRPr="00E07B1B">
              <w:t>8.0 mmol/</w:t>
            </w:r>
            <w:r>
              <w:t>L.</w:t>
            </w:r>
          </w:p>
        </w:tc>
        <w:tc>
          <w:tcPr>
            <w:tcW w:w="1251" w:type="pct"/>
            <w:tcBorders>
              <w:top w:val="nil"/>
              <w:bottom w:val="nil"/>
            </w:tcBorders>
            <w:shd w:val="clear" w:color="auto" w:fill="auto"/>
          </w:tcPr>
          <w:p w:rsidR="0025490C" w:rsidRPr="00E07B1B" w:rsidRDefault="0025490C" w:rsidP="00FF31D1">
            <w:pPr>
              <w:pStyle w:val="TableText"/>
            </w:pPr>
            <w:r w:rsidRPr="00E07B1B">
              <w:t xml:space="preserve">Compared </w:t>
            </w:r>
            <w:r>
              <w:t>women with</w:t>
            </w:r>
            <w:r w:rsidRPr="00E07B1B">
              <w:t xml:space="preserve"> no GDM</w:t>
            </w:r>
            <w:r>
              <w:t>,</w:t>
            </w:r>
            <w:r w:rsidRPr="00E07B1B">
              <w:t xml:space="preserve"> women age</w:t>
            </w:r>
            <w:r>
              <w:t>d</w:t>
            </w:r>
            <w:r w:rsidRPr="00E07B1B">
              <w:t xml:space="preserve"> ≥40 at greater risk of GDM</w:t>
            </w:r>
            <w:r>
              <w:t>:</w:t>
            </w:r>
            <w:r w:rsidRPr="00E07B1B">
              <w:t xml:space="preserve"> OR 7.0 (95%CI 2.9</w:t>
            </w:r>
            <w:r>
              <w:t>–</w:t>
            </w:r>
            <w:r w:rsidRPr="00E07B1B">
              <w:t>17.2</w:t>
            </w:r>
            <w:r>
              <w:t>,</w:t>
            </w:r>
            <w:r w:rsidRPr="00E07B1B">
              <w:t xml:space="preserve"> </w:t>
            </w:r>
            <w:r w:rsidRPr="0081275C">
              <w:rPr>
                <w:i/>
              </w:rPr>
              <w:t>p</w:t>
            </w:r>
            <w:r w:rsidR="00FF31D1">
              <w:rPr>
                <w:i/>
              </w:rPr>
              <w:t> </w:t>
            </w:r>
            <w:r w:rsidRPr="00E07B1B">
              <w:t>&lt;</w:t>
            </w:r>
            <w:r w:rsidR="00FF31D1">
              <w:t> </w:t>
            </w:r>
            <w:r w:rsidRPr="00E07B1B">
              <w:t>0.001)</w:t>
            </w:r>
            <w:r>
              <w:t>.</w:t>
            </w:r>
          </w:p>
        </w:tc>
        <w:tc>
          <w:tcPr>
            <w:tcW w:w="442" w:type="pct"/>
            <w:tcBorders>
              <w:top w:val="nil"/>
              <w:bottom w:val="nil"/>
            </w:tcBorders>
            <w:shd w:val="clear" w:color="auto" w:fill="auto"/>
          </w:tcPr>
          <w:p w:rsidR="0025490C" w:rsidRPr="00E07B1B" w:rsidRDefault="0025490C" w:rsidP="003616DD">
            <w:pPr>
              <w:pStyle w:val="TableText"/>
              <w:jc w:val="center"/>
            </w:pPr>
            <w:r w:rsidRPr="00E07B1B">
              <w:t>MEDIUM</w:t>
            </w:r>
          </w:p>
        </w:tc>
      </w:tr>
      <w:tr w:rsidR="0025490C" w:rsidRPr="00E07B1B" w:rsidTr="00FF31D1">
        <w:trPr>
          <w:cantSplit/>
        </w:trPr>
        <w:tc>
          <w:tcPr>
            <w:tcW w:w="588" w:type="pct"/>
            <w:tcBorders>
              <w:top w:val="nil"/>
              <w:bottom w:val="nil"/>
            </w:tcBorders>
            <w:shd w:val="clear" w:color="auto" w:fill="F2F2F2" w:themeFill="background1" w:themeFillShade="F2"/>
          </w:tcPr>
          <w:p w:rsidR="0025490C" w:rsidRPr="00E07B1B" w:rsidRDefault="0025490C" w:rsidP="003616DD">
            <w:pPr>
              <w:pStyle w:val="TableText"/>
            </w:pPr>
            <w:r w:rsidRPr="00E07B1B">
              <w:t>Ogonowski (2010)</w:t>
            </w:r>
          </w:p>
        </w:tc>
        <w:tc>
          <w:tcPr>
            <w:tcW w:w="550" w:type="pct"/>
            <w:tcBorders>
              <w:top w:val="nil"/>
              <w:bottom w:val="nil"/>
            </w:tcBorders>
            <w:shd w:val="clear" w:color="auto" w:fill="F2F2F2" w:themeFill="background1" w:themeFillShade="F2"/>
          </w:tcPr>
          <w:p w:rsidR="0025490C" w:rsidRPr="00E07B1B" w:rsidRDefault="0025490C" w:rsidP="00FF31D1">
            <w:pPr>
              <w:pStyle w:val="TableText"/>
            </w:pPr>
            <w:r w:rsidRPr="00E07B1B">
              <w:t>Poland</w:t>
            </w:r>
            <w:r w:rsidR="00FF31D1">
              <w:br/>
            </w:r>
            <w:r w:rsidRPr="00E07B1B">
              <w:t>1830 cases</w:t>
            </w:r>
            <w:r>
              <w:t xml:space="preserve">, </w:t>
            </w:r>
            <w:r w:rsidRPr="00E07B1B">
              <w:t>1011</w:t>
            </w:r>
            <w:r w:rsidR="00FF31D1">
              <w:t> </w:t>
            </w:r>
            <w:r w:rsidRPr="00E07B1B">
              <w:t>controls</w:t>
            </w:r>
          </w:p>
        </w:tc>
        <w:tc>
          <w:tcPr>
            <w:tcW w:w="556" w:type="pct"/>
            <w:tcBorders>
              <w:top w:val="nil"/>
              <w:bottom w:val="nil"/>
            </w:tcBorders>
            <w:shd w:val="clear" w:color="auto" w:fill="F2F2F2" w:themeFill="background1" w:themeFillShade="F2"/>
          </w:tcPr>
          <w:p w:rsidR="0025490C" w:rsidRPr="00E07B1B" w:rsidRDefault="0025490C" w:rsidP="003616DD">
            <w:pPr>
              <w:pStyle w:val="TableText"/>
            </w:pPr>
            <w:r w:rsidRPr="00E07B1B">
              <w:t>Retrospective case control</w:t>
            </w:r>
          </w:p>
        </w:tc>
        <w:tc>
          <w:tcPr>
            <w:tcW w:w="1613" w:type="pct"/>
            <w:tcBorders>
              <w:top w:val="nil"/>
              <w:bottom w:val="nil"/>
            </w:tcBorders>
            <w:shd w:val="clear" w:color="auto" w:fill="F2F2F2" w:themeFill="background1" w:themeFillShade="F2"/>
          </w:tcPr>
          <w:p w:rsidR="0068074A" w:rsidRDefault="0025490C" w:rsidP="00FF31D1">
            <w:pPr>
              <w:pStyle w:val="TableText"/>
              <w:ind w:right="142"/>
            </w:pPr>
            <w:r w:rsidRPr="00E07B1B">
              <w:t>GCT of 50</w:t>
            </w:r>
            <w:r>
              <w:t xml:space="preserve"> </w:t>
            </w:r>
            <w:r w:rsidRPr="00E07B1B">
              <w:t>g</w:t>
            </w:r>
          </w:p>
          <w:p w:rsidR="0025490C" w:rsidRPr="00E07B1B" w:rsidRDefault="0025490C" w:rsidP="00FF31D1">
            <w:pPr>
              <w:pStyle w:val="TableText"/>
              <w:spacing w:after="30"/>
              <w:ind w:right="142"/>
            </w:pPr>
            <w:r w:rsidRPr="00E07B1B">
              <w:t>If &gt;</w:t>
            </w:r>
            <w:r>
              <w:t xml:space="preserve"> </w:t>
            </w:r>
            <w:r w:rsidRPr="00E07B1B">
              <w:t>180 mg</w:t>
            </w:r>
            <w:r>
              <w:t>/dL</w:t>
            </w:r>
            <w:r w:rsidRPr="00E07B1B">
              <w:t xml:space="preserve"> (10 mmol/L)</w:t>
            </w:r>
            <w:r>
              <w:t>,</w:t>
            </w:r>
            <w:r w:rsidRPr="00E07B1B">
              <w:t xml:space="preserve"> then diagnosed as GDM.</w:t>
            </w:r>
            <w:r>
              <w:t xml:space="preserve"> </w:t>
            </w:r>
            <w:r w:rsidRPr="00E07B1B">
              <w:t>If 140</w:t>
            </w:r>
            <w:r>
              <w:t>–</w:t>
            </w:r>
            <w:r w:rsidRPr="00E07B1B">
              <w:t>180</w:t>
            </w:r>
            <w:r>
              <w:t xml:space="preserve"> </w:t>
            </w:r>
            <w:r w:rsidRPr="00E07B1B">
              <w:t>mg</w:t>
            </w:r>
            <w:r>
              <w:t>/dL,</w:t>
            </w:r>
            <w:r w:rsidRPr="00E07B1B">
              <w:t xml:space="preserve"> then a 75</w:t>
            </w:r>
            <w:r>
              <w:t xml:space="preserve"> </w:t>
            </w:r>
            <w:r w:rsidRPr="00E07B1B">
              <w:t>g OGTT using the WHO criteria:</w:t>
            </w:r>
          </w:p>
          <w:p w:rsidR="0025490C" w:rsidRPr="00E07B1B" w:rsidRDefault="0025490C" w:rsidP="00FF31D1">
            <w:pPr>
              <w:pStyle w:val="TableBullet"/>
              <w:spacing w:after="30"/>
              <w:ind w:left="284"/>
            </w:pPr>
            <w:r>
              <w:t>f</w:t>
            </w:r>
            <w:r w:rsidRPr="00E07B1B">
              <w:t>asting ≥</w:t>
            </w:r>
            <w:r>
              <w:t xml:space="preserve"> </w:t>
            </w:r>
            <w:r w:rsidRPr="00E07B1B">
              <w:t>110 mg</w:t>
            </w:r>
            <w:r>
              <w:t>/dL</w:t>
            </w:r>
            <w:r w:rsidRPr="00E07B1B">
              <w:t xml:space="preserve"> (6.1</w:t>
            </w:r>
            <w:r>
              <w:t xml:space="preserve"> </w:t>
            </w:r>
            <w:r w:rsidRPr="00E07B1B">
              <w:t>mmol/L)</w:t>
            </w:r>
          </w:p>
          <w:p w:rsidR="0025490C" w:rsidRPr="00E07B1B" w:rsidRDefault="0025490C" w:rsidP="00FF31D1">
            <w:pPr>
              <w:pStyle w:val="TableBullet"/>
              <w:ind w:left="284"/>
            </w:pPr>
            <w:r w:rsidRPr="00E07B1B">
              <w:t>2</w:t>
            </w:r>
            <w:r>
              <w:t>-</w:t>
            </w:r>
            <w:r w:rsidRPr="00E07B1B">
              <w:t>hour ≥ 140 (7.8 mmol/L)</w:t>
            </w:r>
            <w:r>
              <w:t>.</w:t>
            </w:r>
          </w:p>
          <w:p w:rsidR="0025490C" w:rsidRPr="00E07B1B" w:rsidRDefault="0025490C" w:rsidP="00FF31D1">
            <w:pPr>
              <w:pStyle w:val="TableText"/>
              <w:spacing w:after="30"/>
              <w:ind w:right="142"/>
            </w:pPr>
            <w:r>
              <w:t>Also used</w:t>
            </w:r>
            <w:r w:rsidRPr="00E07B1B">
              <w:t xml:space="preserve"> the ADA criteria where </w:t>
            </w:r>
            <w:r>
              <w:t>two</w:t>
            </w:r>
            <w:r w:rsidRPr="00E07B1B">
              <w:t xml:space="preserve"> abnormal values are required</w:t>
            </w:r>
            <w:r>
              <w:t xml:space="preserve"> from</w:t>
            </w:r>
            <w:r w:rsidRPr="00E07B1B">
              <w:t>:</w:t>
            </w:r>
          </w:p>
          <w:p w:rsidR="0025490C" w:rsidRPr="00E07B1B" w:rsidRDefault="0025490C" w:rsidP="00FF31D1">
            <w:pPr>
              <w:pStyle w:val="TableBullet"/>
              <w:spacing w:after="30"/>
              <w:ind w:left="284"/>
            </w:pPr>
            <w:r>
              <w:t>f</w:t>
            </w:r>
            <w:r w:rsidRPr="00E07B1B">
              <w:t>asting ≥</w:t>
            </w:r>
            <w:r>
              <w:t xml:space="preserve"> </w:t>
            </w:r>
            <w:r w:rsidRPr="00E07B1B">
              <w:t>95 mg</w:t>
            </w:r>
            <w:r>
              <w:t xml:space="preserve">/dL </w:t>
            </w:r>
            <w:r w:rsidRPr="00E07B1B">
              <w:t>(5.3</w:t>
            </w:r>
            <w:r>
              <w:t xml:space="preserve"> </w:t>
            </w:r>
            <w:r w:rsidRPr="00E07B1B">
              <w:t>mmol/L)</w:t>
            </w:r>
          </w:p>
          <w:p w:rsidR="0025490C" w:rsidRPr="00E07B1B" w:rsidRDefault="0025490C" w:rsidP="00FF31D1">
            <w:pPr>
              <w:pStyle w:val="TableBullet"/>
              <w:spacing w:after="30"/>
              <w:ind w:left="284"/>
            </w:pPr>
            <w:r w:rsidRPr="00E07B1B">
              <w:t>1</w:t>
            </w:r>
            <w:r>
              <w:t>-</w:t>
            </w:r>
            <w:r w:rsidRPr="00E07B1B">
              <w:t>hour ≥</w:t>
            </w:r>
            <w:r>
              <w:t xml:space="preserve"> </w:t>
            </w:r>
            <w:r w:rsidRPr="00E07B1B">
              <w:t>180 mg</w:t>
            </w:r>
            <w:r>
              <w:t>/dL</w:t>
            </w:r>
            <w:r w:rsidRPr="00E07B1B">
              <w:t xml:space="preserve"> (10.0</w:t>
            </w:r>
            <w:r>
              <w:t xml:space="preserve"> </w:t>
            </w:r>
            <w:r w:rsidRPr="00E07B1B">
              <w:t>mmol/L</w:t>
            </w:r>
            <w:r>
              <w:t>)</w:t>
            </w:r>
          </w:p>
          <w:p w:rsidR="0025490C" w:rsidRPr="00E07B1B" w:rsidRDefault="0025490C" w:rsidP="00FF31D1">
            <w:pPr>
              <w:pStyle w:val="TableBullet"/>
              <w:ind w:left="284"/>
            </w:pPr>
            <w:r w:rsidRPr="00E07B1B">
              <w:t>2</w:t>
            </w:r>
            <w:r>
              <w:t>-</w:t>
            </w:r>
            <w:r w:rsidRPr="00E07B1B">
              <w:t>hour ≥</w:t>
            </w:r>
            <w:r>
              <w:t xml:space="preserve"> </w:t>
            </w:r>
            <w:r w:rsidRPr="00E07B1B">
              <w:t>155 mg</w:t>
            </w:r>
            <w:r>
              <w:t>/dL</w:t>
            </w:r>
            <w:r w:rsidRPr="00E07B1B">
              <w:t xml:space="preserve"> (8.6</w:t>
            </w:r>
            <w:r>
              <w:t xml:space="preserve"> </w:t>
            </w:r>
            <w:r w:rsidRPr="00E07B1B">
              <w:t>mmol/L)</w:t>
            </w:r>
            <w:r>
              <w:t>.</w:t>
            </w:r>
          </w:p>
        </w:tc>
        <w:tc>
          <w:tcPr>
            <w:tcW w:w="1251" w:type="pct"/>
            <w:tcBorders>
              <w:top w:val="nil"/>
              <w:bottom w:val="nil"/>
            </w:tcBorders>
            <w:shd w:val="clear" w:color="auto" w:fill="F2F2F2" w:themeFill="background1" w:themeFillShade="F2"/>
          </w:tcPr>
          <w:p w:rsidR="0025490C" w:rsidRPr="00E07B1B" w:rsidRDefault="0025490C" w:rsidP="003616DD">
            <w:pPr>
              <w:pStyle w:val="TableText"/>
            </w:pPr>
            <w:r w:rsidRPr="00E07B1B">
              <w:t>Women with increasing age were more likely to have GDM</w:t>
            </w:r>
            <w:r>
              <w:t>:</w:t>
            </w:r>
            <w:r w:rsidRPr="0081275C">
              <w:t xml:space="preserve"> </w:t>
            </w:r>
            <w:r w:rsidRPr="00E07B1B">
              <w:t>OR 1.09 (95%CI 1.07</w:t>
            </w:r>
            <w:r>
              <w:t>–</w:t>
            </w:r>
            <w:r w:rsidRPr="00E07B1B">
              <w:t xml:space="preserve">1.11, </w:t>
            </w:r>
            <w:r w:rsidRPr="0081275C">
              <w:rPr>
                <w:i/>
              </w:rPr>
              <w:t>p</w:t>
            </w:r>
            <w:r>
              <w:t xml:space="preserve"> </w:t>
            </w:r>
            <w:r w:rsidRPr="00E07B1B">
              <w:t>=</w:t>
            </w:r>
            <w:r>
              <w:t xml:space="preserve"> </w:t>
            </w:r>
            <w:r w:rsidR="00FF31D1">
              <w:t>0.000001)</w:t>
            </w:r>
          </w:p>
        </w:tc>
        <w:tc>
          <w:tcPr>
            <w:tcW w:w="442" w:type="pct"/>
            <w:tcBorders>
              <w:top w:val="nil"/>
              <w:bottom w:val="nil"/>
            </w:tcBorders>
            <w:shd w:val="clear" w:color="auto" w:fill="F2F2F2" w:themeFill="background1" w:themeFillShade="F2"/>
          </w:tcPr>
          <w:p w:rsidR="0025490C" w:rsidRPr="00E07B1B" w:rsidRDefault="0025490C" w:rsidP="003616DD">
            <w:pPr>
              <w:pStyle w:val="TableText"/>
              <w:jc w:val="center"/>
            </w:pPr>
            <w:r w:rsidRPr="00E07B1B">
              <w:t>MEDIUM</w:t>
            </w:r>
          </w:p>
        </w:tc>
      </w:tr>
      <w:tr w:rsidR="0025490C" w:rsidRPr="00E07B1B" w:rsidTr="00FF31D1">
        <w:trPr>
          <w:cantSplit/>
        </w:trPr>
        <w:tc>
          <w:tcPr>
            <w:tcW w:w="588" w:type="pct"/>
            <w:tcBorders>
              <w:top w:val="nil"/>
              <w:bottom w:val="nil"/>
            </w:tcBorders>
            <w:shd w:val="clear" w:color="auto" w:fill="auto"/>
          </w:tcPr>
          <w:p w:rsidR="0025490C" w:rsidRPr="00E07B1B" w:rsidRDefault="0025490C" w:rsidP="003616DD">
            <w:pPr>
              <w:pStyle w:val="TableText"/>
            </w:pPr>
            <w:r w:rsidRPr="00E07B1B">
              <w:t>Yang</w:t>
            </w:r>
            <w:r>
              <w:t xml:space="preserve"> </w:t>
            </w:r>
            <w:r w:rsidRPr="00E07B1B">
              <w:t>(2009)</w:t>
            </w:r>
          </w:p>
        </w:tc>
        <w:tc>
          <w:tcPr>
            <w:tcW w:w="550" w:type="pct"/>
            <w:tcBorders>
              <w:top w:val="nil"/>
              <w:bottom w:val="nil"/>
            </w:tcBorders>
            <w:shd w:val="clear" w:color="auto" w:fill="auto"/>
          </w:tcPr>
          <w:p w:rsidR="0025490C" w:rsidRPr="00E07B1B" w:rsidRDefault="0025490C" w:rsidP="00FF31D1">
            <w:pPr>
              <w:pStyle w:val="TableText"/>
            </w:pPr>
            <w:r w:rsidRPr="00E07B1B">
              <w:t>China</w:t>
            </w:r>
            <w:r w:rsidR="00FF31D1">
              <w:br/>
            </w:r>
            <w:r w:rsidRPr="00E07B1B">
              <w:t>16,286</w:t>
            </w:r>
          </w:p>
        </w:tc>
        <w:tc>
          <w:tcPr>
            <w:tcW w:w="556" w:type="pct"/>
            <w:tcBorders>
              <w:top w:val="nil"/>
              <w:bottom w:val="nil"/>
            </w:tcBorders>
            <w:shd w:val="clear" w:color="auto" w:fill="auto"/>
          </w:tcPr>
          <w:p w:rsidR="0025490C" w:rsidRPr="00E07B1B" w:rsidRDefault="0025490C" w:rsidP="003616DD">
            <w:pPr>
              <w:pStyle w:val="TableText"/>
            </w:pPr>
            <w:r w:rsidRPr="00E07B1B">
              <w:t>Prospective cohort</w:t>
            </w:r>
          </w:p>
        </w:tc>
        <w:tc>
          <w:tcPr>
            <w:tcW w:w="1613" w:type="pct"/>
            <w:tcBorders>
              <w:top w:val="nil"/>
              <w:bottom w:val="nil"/>
            </w:tcBorders>
            <w:shd w:val="clear" w:color="auto" w:fill="auto"/>
          </w:tcPr>
          <w:p w:rsidR="0025490C" w:rsidRDefault="0025490C" w:rsidP="00FF31D1">
            <w:pPr>
              <w:pStyle w:val="TableText"/>
              <w:ind w:right="142"/>
            </w:pPr>
            <w:r w:rsidRPr="00E07B1B">
              <w:t>50</w:t>
            </w:r>
            <w:r>
              <w:t xml:space="preserve"> </w:t>
            </w:r>
            <w:r w:rsidRPr="00E07B1B">
              <w:t xml:space="preserve">g </w:t>
            </w:r>
            <w:r w:rsidRPr="00F34B72">
              <w:t>GCT</w:t>
            </w:r>
            <w:r w:rsidRPr="00E07B1B">
              <w:t xml:space="preserve"> OGTT (&gt;11.1</w:t>
            </w:r>
            <w:r>
              <w:t xml:space="preserve"> </w:t>
            </w:r>
            <w:r w:rsidRPr="00E07B1B">
              <w:t>mmol/L diagnosed as GDM)</w:t>
            </w:r>
          </w:p>
          <w:p w:rsidR="0025490C" w:rsidRDefault="0025490C" w:rsidP="00FF31D1">
            <w:pPr>
              <w:pStyle w:val="TableText"/>
              <w:spacing w:after="30"/>
              <w:ind w:right="142"/>
            </w:pPr>
            <w:r w:rsidRPr="00E07B1B">
              <w:t>If 7.9</w:t>
            </w:r>
            <w:r>
              <w:t>–</w:t>
            </w:r>
            <w:r w:rsidRPr="00E07B1B">
              <w:t>11.0 mmol/L</w:t>
            </w:r>
            <w:r>
              <w:t>,</w:t>
            </w:r>
            <w:r w:rsidRPr="00E07B1B">
              <w:t xml:space="preserve"> then 75</w:t>
            </w:r>
            <w:r>
              <w:t xml:space="preserve"> </w:t>
            </w:r>
            <w:r w:rsidRPr="00E07B1B">
              <w:t>g, 3</w:t>
            </w:r>
            <w:r>
              <w:t>-</w:t>
            </w:r>
            <w:r w:rsidRPr="00E07B1B">
              <w:t>hour</w:t>
            </w:r>
            <w:r>
              <w:t xml:space="preserve"> </w:t>
            </w:r>
            <w:r w:rsidRPr="00E07B1B">
              <w:t xml:space="preserve">OGTT </w:t>
            </w:r>
            <w:r>
              <w:t xml:space="preserve">where two </w:t>
            </w:r>
            <w:r w:rsidRPr="00E07B1B">
              <w:t>or more abnormal values</w:t>
            </w:r>
            <w:r>
              <w:t xml:space="preserve"> are required from:</w:t>
            </w:r>
          </w:p>
          <w:p w:rsidR="0025490C" w:rsidRPr="00E07B1B" w:rsidRDefault="0025490C" w:rsidP="00FF31D1">
            <w:pPr>
              <w:pStyle w:val="TableBullet"/>
              <w:spacing w:after="30"/>
              <w:ind w:left="284"/>
            </w:pPr>
            <w:r>
              <w:t>f</w:t>
            </w:r>
            <w:r w:rsidRPr="00E07B1B">
              <w:t>asting &gt;</w:t>
            </w:r>
            <w:r>
              <w:t xml:space="preserve"> </w:t>
            </w:r>
            <w:r w:rsidRPr="00E07B1B">
              <w:t>5.3</w:t>
            </w:r>
            <w:r>
              <w:t xml:space="preserve"> </w:t>
            </w:r>
            <w:r w:rsidRPr="00E07B1B">
              <w:t>mmol</w:t>
            </w:r>
            <w:r>
              <w:t>/L</w:t>
            </w:r>
          </w:p>
          <w:p w:rsidR="0025490C" w:rsidRPr="00E07B1B" w:rsidRDefault="0025490C" w:rsidP="00FF31D1">
            <w:pPr>
              <w:pStyle w:val="TableBullet"/>
              <w:spacing w:after="30"/>
              <w:ind w:left="284"/>
            </w:pPr>
            <w:r w:rsidRPr="00E07B1B">
              <w:t>1</w:t>
            </w:r>
            <w:r>
              <w:t>-</w:t>
            </w:r>
            <w:r w:rsidRPr="00E07B1B">
              <w:t>hour &gt;</w:t>
            </w:r>
            <w:r>
              <w:t xml:space="preserve"> </w:t>
            </w:r>
            <w:r w:rsidRPr="00E07B1B">
              <w:t>10 mmol/L</w:t>
            </w:r>
          </w:p>
          <w:p w:rsidR="0025490C" w:rsidRPr="00E07B1B" w:rsidRDefault="0025490C" w:rsidP="00FF31D1">
            <w:pPr>
              <w:pStyle w:val="TableBullet"/>
              <w:ind w:left="284"/>
            </w:pPr>
            <w:r w:rsidRPr="00E07B1B">
              <w:t>2</w:t>
            </w:r>
            <w:r>
              <w:t>-</w:t>
            </w:r>
            <w:r w:rsidRPr="00E07B1B">
              <w:t>hour</w:t>
            </w:r>
            <w:r>
              <w:t xml:space="preserve"> </w:t>
            </w:r>
            <w:r w:rsidRPr="00E07B1B">
              <w:t>&gt; 8.6 mmol/L</w:t>
            </w:r>
            <w:r>
              <w:t>.</w:t>
            </w:r>
          </w:p>
        </w:tc>
        <w:tc>
          <w:tcPr>
            <w:tcW w:w="1251" w:type="pct"/>
            <w:tcBorders>
              <w:top w:val="nil"/>
              <w:bottom w:val="nil"/>
            </w:tcBorders>
            <w:shd w:val="clear" w:color="auto" w:fill="auto"/>
          </w:tcPr>
          <w:p w:rsidR="0025490C" w:rsidRPr="00E07B1B" w:rsidRDefault="0025490C" w:rsidP="00FF31D1">
            <w:pPr>
              <w:pStyle w:val="TableText"/>
            </w:pPr>
            <w:r w:rsidRPr="00E07B1B">
              <w:t>adj OR 2.18 (95%CI 1.88</w:t>
            </w:r>
            <w:r>
              <w:t>–</w:t>
            </w:r>
            <w:r w:rsidRPr="00E07B1B">
              <w:t>2.52,</w:t>
            </w:r>
            <w:r w:rsidR="0068074A">
              <w:t xml:space="preserve"> </w:t>
            </w:r>
            <w:r w:rsidRPr="0081275C">
              <w:rPr>
                <w:i/>
              </w:rPr>
              <w:t>p</w:t>
            </w:r>
            <w:r w:rsidR="00FF31D1">
              <w:rPr>
                <w:i/>
              </w:rPr>
              <w:t> </w:t>
            </w:r>
            <w:r w:rsidRPr="00E07B1B">
              <w:t>&lt;</w:t>
            </w:r>
            <w:r w:rsidR="00FF31D1">
              <w:t> </w:t>
            </w:r>
            <w:r w:rsidRPr="00E07B1B">
              <w:t>0.001)</w:t>
            </w:r>
          </w:p>
        </w:tc>
        <w:tc>
          <w:tcPr>
            <w:tcW w:w="442" w:type="pct"/>
            <w:tcBorders>
              <w:top w:val="nil"/>
              <w:bottom w:val="nil"/>
            </w:tcBorders>
            <w:shd w:val="clear" w:color="auto" w:fill="auto"/>
          </w:tcPr>
          <w:p w:rsidR="0025490C" w:rsidRPr="00E07B1B" w:rsidRDefault="0025490C" w:rsidP="003616DD">
            <w:pPr>
              <w:pStyle w:val="TableText"/>
              <w:jc w:val="center"/>
            </w:pPr>
            <w:r w:rsidRPr="00E07B1B">
              <w:t>MEDIUM</w:t>
            </w:r>
          </w:p>
        </w:tc>
      </w:tr>
      <w:tr w:rsidR="0025490C" w:rsidRPr="00E07B1B" w:rsidTr="00FF31D1">
        <w:trPr>
          <w:cantSplit/>
        </w:trPr>
        <w:tc>
          <w:tcPr>
            <w:tcW w:w="588" w:type="pct"/>
            <w:tcBorders>
              <w:top w:val="nil"/>
              <w:bottom w:val="nil"/>
            </w:tcBorders>
            <w:shd w:val="clear" w:color="auto" w:fill="F2F2F2" w:themeFill="background1" w:themeFillShade="F2"/>
          </w:tcPr>
          <w:p w:rsidR="0025490C" w:rsidRPr="00E07B1B" w:rsidRDefault="0025490C" w:rsidP="003616DD">
            <w:pPr>
              <w:pStyle w:val="TableText"/>
            </w:pPr>
            <w:r w:rsidRPr="00E07B1B">
              <w:t>Cypryk</w:t>
            </w:r>
            <w:r>
              <w:t xml:space="preserve"> </w:t>
            </w:r>
            <w:r w:rsidRPr="00E07B1B">
              <w:t>(2008)</w:t>
            </w:r>
          </w:p>
        </w:tc>
        <w:tc>
          <w:tcPr>
            <w:tcW w:w="550" w:type="pct"/>
            <w:tcBorders>
              <w:top w:val="nil"/>
              <w:bottom w:val="nil"/>
            </w:tcBorders>
            <w:shd w:val="clear" w:color="auto" w:fill="F2F2F2" w:themeFill="background1" w:themeFillShade="F2"/>
          </w:tcPr>
          <w:p w:rsidR="0025490C" w:rsidRPr="00E07B1B" w:rsidRDefault="0025490C" w:rsidP="00FF31D1">
            <w:pPr>
              <w:pStyle w:val="TableText"/>
            </w:pPr>
            <w:r w:rsidRPr="00E07B1B">
              <w:t>Poland</w:t>
            </w:r>
            <w:r w:rsidR="00FF31D1">
              <w:br/>
            </w:r>
            <w:r w:rsidRPr="00E07B1B">
              <w:t>1670</w:t>
            </w:r>
          </w:p>
        </w:tc>
        <w:tc>
          <w:tcPr>
            <w:tcW w:w="556" w:type="pct"/>
            <w:tcBorders>
              <w:top w:val="nil"/>
              <w:bottom w:val="nil"/>
            </w:tcBorders>
            <w:shd w:val="clear" w:color="auto" w:fill="F2F2F2" w:themeFill="background1" w:themeFillShade="F2"/>
          </w:tcPr>
          <w:p w:rsidR="0025490C" w:rsidRPr="00E07B1B" w:rsidRDefault="0025490C" w:rsidP="003616DD">
            <w:pPr>
              <w:pStyle w:val="TableText"/>
            </w:pPr>
            <w:r w:rsidRPr="00E07B1B">
              <w:t>Cohort</w:t>
            </w:r>
          </w:p>
        </w:tc>
        <w:tc>
          <w:tcPr>
            <w:tcW w:w="1613" w:type="pct"/>
            <w:tcBorders>
              <w:top w:val="nil"/>
              <w:bottom w:val="nil"/>
            </w:tcBorders>
            <w:shd w:val="clear" w:color="auto" w:fill="F2F2F2" w:themeFill="background1" w:themeFillShade="F2"/>
          </w:tcPr>
          <w:p w:rsidR="0025490C" w:rsidRPr="00E07B1B" w:rsidRDefault="0025490C" w:rsidP="00FF31D1">
            <w:pPr>
              <w:pStyle w:val="TableText"/>
              <w:ind w:right="142"/>
            </w:pPr>
            <w:r w:rsidRPr="00E07B1B">
              <w:t>GDM diagnosed using WHO and Polish Diabetes Association criteria (no other details)</w:t>
            </w:r>
            <w:r>
              <w:t>.</w:t>
            </w:r>
          </w:p>
        </w:tc>
        <w:tc>
          <w:tcPr>
            <w:tcW w:w="1251" w:type="pct"/>
            <w:tcBorders>
              <w:top w:val="nil"/>
              <w:bottom w:val="nil"/>
            </w:tcBorders>
            <w:shd w:val="clear" w:color="auto" w:fill="F2F2F2" w:themeFill="background1" w:themeFillShade="F2"/>
          </w:tcPr>
          <w:p w:rsidR="0025490C" w:rsidRPr="00E07B1B" w:rsidRDefault="0025490C" w:rsidP="00FF31D1">
            <w:pPr>
              <w:pStyle w:val="TableText"/>
            </w:pPr>
            <w:r>
              <w:t>A</w:t>
            </w:r>
            <w:r w:rsidRPr="00E07B1B">
              <w:t>dj OR 1.34 (95%CI 1.04</w:t>
            </w:r>
            <w:r>
              <w:t>–</w:t>
            </w:r>
            <w:r w:rsidRPr="00E07B1B">
              <w:t>1.73</w:t>
            </w:r>
            <w:r>
              <w:t>,</w:t>
            </w:r>
            <w:r w:rsidRPr="00E07B1B">
              <w:t xml:space="preserve"> </w:t>
            </w:r>
            <w:r w:rsidRPr="0081275C">
              <w:rPr>
                <w:i/>
              </w:rPr>
              <w:t>p</w:t>
            </w:r>
            <w:r w:rsidR="00FF31D1">
              <w:rPr>
                <w:i/>
              </w:rPr>
              <w:t> </w:t>
            </w:r>
            <w:r w:rsidRPr="00E07B1B">
              <w:t>=</w:t>
            </w:r>
            <w:r w:rsidR="00FF31D1">
              <w:t> </w:t>
            </w:r>
            <w:r w:rsidRPr="00E07B1B">
              <w:t>0.02) for age &gt;25 years at conception</w:t>
            </w:r>
          </w:p>
        </w:tc>
        <w:tc>
          <w:tcPr>
            <w:tcW w:w="442" w:type="pct"/>
            <w:tcBorders>
              <w:top w:val="nil"/>
              <w:bottom w:val="nil"/>
            </w:tcBorders>
            <w:shd w:val="clear" w:color="auto" w:fill="F2F2F2" w:themeFill="background1" w:themeFillShade="F2"/>
          </w:tcPr>
          <w:p w:rsidR="0025490C" w:rsidRPr="00E07B1B" w:rsidRDefault="0025490C" w:rsidP="003616DD">
            <w:pPr>
              <w:pStyle w:val="TableText"/>
              <w:jc w:val="center"/>
            </w:pPr>
            <w:r w:rsidRPr="00E07B1B">
              <w:t>MEDIUM</w:t>
            </w:r>
          </w:p>
        </w:tc>
      </w:tr>
      <w:tr w:rsidR="0025490C" w:rsidRPr="00E07B1B" w:rsidTr="00FF31D1">
        <w:trPr>
          <w:cantSplit/>
        </w:trPr>
        <w:tc>
          <w:tcPr>
            <w:tcW w:w="588" w:type="pct"/>
            <w:tcBorders>
              <w:top w:val="nil"/>
              <w:bottom w:val="nil"/>
            </w:tcBorders>
            <w:shd w:val="clear" w:color="auto" w:fill="auto"/>
          </w:tcPr>
          <w:p w:rsidR="0025490C" w:rsidRPr="00E07B1B" w:rsidRDefault="0025490C" w:rsidP="003616DD">
            <w:pPr>
              <w:pStyle w:val="TableText"/>
            </w:pPr>
            <w:r w:rsidRPr="00E07B1B">
              <w:t>Gonzalez-Clemente (2007)</w:t>
            </w:r>
          </w:p>
        </w:tc>
        <w:tc>
          <w:tcPr>
            <w:tcW w:w="550" w:type="pct"/>
            <w:tcBorders>
              <w:top w:val="nil"/>
              <w:bottom w:val="nil"/>
            </w:tcBorders>
            <w:shd w:val="clear" w:color="auto" w:fill="auto"/>
          </w:tcPr>
          <w:p w:rsidR="0025490C" w:rsidRPr="00E07B1B" w:rsidRDefault="0025490C" w:rsidP="00FF31D1">
            <w:pPr>
              <w:pStyle w:val="TableText"/>
            </w:pPr>
            <w:r w:rsidRPr="00E07B1B">
              <w:t>Spain</w:t>
            </w:r>
            <w:r w:rsidR="00FF31D1">
              <w:br/>
            </w:r>
            <w:r w:rsidRPr="00E07B1B">
              <w:t>335</w:t>
            </w:r>
          </w:p>
        </w:tc>
        <w:tc>
          <w:tcPr>
            <w:tcW w:w="556" w:type="pct"/>
            <w:tcBorders>
              <w:top w:val="nil"/>
              <w:bottom w:val="nil"/>
            </w:tcBorders>
            <w:shd w:val="clear" w:color="auto" w:fill="auto"/>
          </w:tcPr>
          <w:p w:rsidR="0025490C" w:rsidRPr="00E07B1B" w:rsidRDefault="0025490C" w:rsidP="003616DD">
            <w:pPr>
              <w:pStyle w:val="TableText"/>
            </w:pPr>
            <w:r w:rsidRPr="00E07B1B">
              <w:t>Cohort</w:t>
            </w:r>
          </w:p>
        </w:tc>
        <w:tc>
          <w:tcPr>
            <w:tcW w:w="1613" w:type="pct"/>
            <w:tcBorders>
              <w:top w:val="nil"/>
              <w:bottom w:val="nil"/>
            </w:tcBorders>
            <w:shd w:val="clear" w:color="auto" w:fill="auto"/>
          </w:tcPr>
          <w:p w:rsidR="0025490C" w:rsidRDefault="0025490C" w:rsidP="00FF31D1">
            <w:pPr>
              <w:pStyle w:val="TableText"/>
              <w:ind w:right="142"/>
            </w:pPr>
            <w:r w:rsidRPr="00E07B1B">
              <w:t>50</w:t>
            </w:r>
            <w:r>
              <w:t xml:space="preserve"> </w:t>
            </w:r>
            <w:r w:rsidRPr="00E07B1B">
              <w:t xml:space="preserve">g </w:t>
            </w:r>
            <w:r w:rsidRPr="00F34B72">
              <w:t>GCT</w:t>
            </w:r>
            <w:r w:rsidRPr="00E07B1B">
              <w:t xml:space="preserve"> (≥ 7.8 mmol/L)</w:t>
            </w:r>
          </w:p>
          <w:p w:rsidR="0025490C" w:rsidRDefault="0025490C" w:rsidP="00FF31D1">
            <w:pPr>
              <w:pStyle w:val="TableText"/>
              <w:ind w:right="142"/>
            </w:pPr>
            <w:r w:rsidRPr="00E07B1B">
              <w:t>100</w:t>
            </w:r>
            <w:r>
              <w:t xml:space="preserve"> </w:t>
            </w:r>
            <w:r w:rsidRPr="00E07B1B">
              <w:t>g, 3</w:t>
            </w:r>
            <w:r>
              <w:t>-</w:t>
            </w:r>
            <w:r w:rsidRPr="00E07B1B">
              <w:t>hour OGTT</w:t>
            </w:r>
          </w:p>
          <w:p w:rsidR="0025490C" w:rsidRPr="00E07B1B" w:rsidRDefault="0025490C" w:rsidP="00FF31D1">
            <w:pPr>
              <w:pStyle w:val="TableText"/>
              <w:ind w:right="142"/>
            </w:pPr>
            <w:r w:rsidRPr="00E07B1B">
              <w:t>NDDG criteria</w:t>
            </w:r>
          </w:p>
        </w:tc>
        <w:tc>
          <w:tcPr>
            <w:tcW w:w="1251" w:type="pct"/>
            <w:tcBorders>
              <w:top w:val="nil"/>
              <w:bottom w:val="nil"/>
            </w:tcBorders>
            <w:shd w:val="clear" w:color="auto" w:fill="auto"/>
          </w:tcPr>
          <w:p w:rsidR="0025490C" w:rsidRPr="00E07B1B" w:rsidRDefault="0025490C" w:rsidP="00FF31D1">
            <w:pPr>
              <w:pStyle w:val="TableText"/>
            </w:pPr>
            <w:r>
              <w:t>A</w:t>
            </w:r>
            <w:r w:rsidRPr="00E07B1B">
              <w:t>dj OR 1.12 (95%CI 1.04</w:t>
            </w:r>
            <w:r>
              <w:t>–</w:t>
            </w:r>
            <w:r w:rsidRPr="00E07B1B">
              <w:t>1.21,</w:t>
            </w:r>
            <w:r w:rsidR="0068074A">
              <w:t xml:space="preserve"> </w:t>
            </w:r>
            <w:r w:rsidRPr="0081275C">
              <w:rPr>
                <w:i/>
              </w:rPr>
              <w:t>p</w:t>
            </w:r>
            <w:r w:rsidR="00FF31D1">
              <w:rPr>
                <w:i/>
              </w:rPr>
              <w:t> </w:t>
            </w:r>
            <w:r w:rsidRPr="00E07B1B">
              <w:t>=</w:t>
            </w:r>
            <w:r w:rsidR="00FF31D1">
              <w:t> </w:t>
            </w:r>
            <w:r w:rsidRPr="00E07B1B">
              <w:t>0.003</w:t>
            </w:r>
            <w:r>
              <w:t>)</w:t>
            </w:r>
            <w:r w:rsidRPr="00E07B1B">
              <w:t xml:space="preserve"> per year increase</w:t>
            </w:r>
          </w:p>
        </w:tc>
        <w:tc>
          <w:tcPr>
            <w:tcW w:w="442" w:type="pct"/>
            <w:tcBorders>
              <w:top w:val="nil"/>
              <w:bottom w:val="nil"/>
            </w:tcBorders>
            <w:shd w:val="clear" w:color="auto" w:fill="auto"/>
          </w:tcPr>
          <w:p w:rsidR="0025490C" w:rsidRPr="00E07B1B" w:rsidRDefault="0025490C" w:rsidP="003616DD">
            <w:pPr>
              <w:pStyle w:val="TableText"/>
              <w:jc w:val="center"/>
            </w:pPr>
            <w:r w:rsidRPr="00E07B1B">
              <w:t>MEDIUM</w:t>
            </w:r>
          </w:p>
        </w:tc>
      </w:tr>
      <w:tr w:rsidR="0025490C" w:rsidRPr="00E07B1B" w:rsidTr="00FF31D1">
        <w:trPr>
          <w:cantSplit/>
        </w:trPr>
        <w:tc>
          <w:tcPr>
            <w:tcW w:w="588" w:type="pct"/>
            <w:tcBorders>
              <w:top w:val="nil"/>
              <w:bottom w:val="nil"/>
            </w:tcBorders>
            <w:shd w:val="clear" w:color="auto" w:fill="F2F2F2" w:themeFill="background1" w:themeFillShade="F2"/>
          </w:tcPr>
          <w:p w:rsidR="0025490C" w:rsidRPr="00E07B1B" w:rsidRDefault="0025490C" w:rsidP="003616DD">
            <w:pPr>
              <w:pStyle w:val="TableText"/>
            </w:pPr>
            <w:r w:rsidRPr="00E07B1B">
              <w:t>Iqbal</w:t>
            </w:r>
            <w:r>
              <w:t xml:space="preserve"> </w:t>
            </w:r>
            <w:r w:rsidRPr="00E07B1B">
              <w:t>(2007)</w:t>
            </w:r>
          </w:p>
        </w:tc>
        <w:tc>
          <w:tcPr>
            <w:tcW w:w="550" w:type="pct"/>
            <w:tcBorders>
              <w:top w:val="nil"/>
              <w:bottom w:val="nil"/>
            </w:tcBorders>
            <w:shd w:val="clear" w:color="auto" w:fill="F2F2F2" w:themeFill="background1" w:themeFillShade="F2"/>
          </w:tcPr>
          <w:p w:rsidR="0025490C" w:rsidRPr="00E07B1B" w:rsidRDefault="0025490C" w:rsidP="00FF31D1">
            <w:pPr>
              <w:pStyle w:val="TableText"/>
            </w:pPr>
            <w:r w:rsidRPr="00E07B1B">
              <w:t>Pakistan</w:t>
            </w:r>
            <w:r w:rsidR="00FF31D1">
              <w:br/>
            </w:r>
            <w:r w:rsidRPr="00E07B1B">
              <w:t>750</w:t>
            </w:r>
          </w:p>
        </w:tc>
        <w:tc>
          <w:tcPr>
            <w:tcW w:w="556" w:type="pct"/>
            <w:tcBorders>
              <w:top w:val="nil"/>
              <w:bottom w:val="nil"/>
            </w:tcBorders>
            <w:shd w:val="clear" w:color="auto" w:fill="F2F2F2" w:themeFill="background1" w:themeFillShade="F2"/>
          </w:tcPr>
          <w:p w:rsidR="0025490C" w:rsidRPr="00E07B1B" w:rsidRDefault="0025490C" w:rsidP="003616DD">
            <w:pPr>
              <w:pStyle w:val="TableText"/>
            </w:pPr>
            <w:r w:rsidRPr="00E07B1B">
              <w:t>Prospective cohort</w:t>
            </w:r>
          </w:p>
        </w:tc>
        <w:tc>
          <w:tcPr>
            <w:tcW w:w="1613" w:type="pct"/>
            <w:tcBorders>
              <w:top w:val="nil"/>
              <w:bottom w:val="nil"/>
            </w:tcBorders>
            <w:shd w:val="clear" w:color="auto" w:fill="F2F2F2" w:themeFill="background1" w:themeFillShade="F2"/>
          </w:tcPr>
          <w:p w:rsidR="0025490C" w:rsidRPr="00E07B1B" w:rsidRDefault="0025490C" w:rsidP="00FF31D1">
            <w:pPr>
              <w:pStyle w:val="TableText"/>
              <w:spacing w:after="30"/>
              <w:ind w:right="142"/>
            </w:pPr>
            <w:r w:rsidRPr="00E07B1B">
              <w:t>75</w:t>
            </w:r>
            <w:r>
              <w:t xml:space="preserve"> </w:t>
            </w:r>
            <w:r w:rsidRPr="00E07B1B">
              <w:t>g</w:t>
            </w:r>
            <w:r>
              <w:t>,</w:t>
            </w:r>
            <w:r w:rsidRPr="00E07B1B">
              <w:t xml:space="preserve"> 2</w:t>
            </w:r>
            <w:r>
              <w:t>-</w:t>
            </w:r>
            <w:r w:rsidRPr="00E07B1B">
              <w:t xml:space="preserve">hour </w:t>
            </w:r>
            <w:r w:rsidRPr="00F34B72">
              <w:t>GCT</w:t>
            </w:r>
            <w:r w:rsidRPr="00E07B1B">
              <w:t xml:space="preserve"> (&gt;</w:t>
            </w:r>
            <w:r>
              <w:t xml:space="preserve"> </w:t>
            </w:r>
            <w:r w:rsidRPr="00E07B1B">
              <w:t>7.8</w:t>
            </w:r>
            <w:r>
              <w:t xml:space="preserve"> </w:t>
            </w:r>
            <w:r w:rsidRPr="00E07B1B">
              <w:t>mmol/L) followed by a 100 g</w:t>
            </w:r>
            <w:r>
              <w:t>,</w:t>
            </w:r>
            <w:r w:rsidRPr="00E07B1B">
              <w:t xml:space="preserve"> 3</w:t>
            </w:r>
            <w:r>
              <w:t>-</w:t>
            </w:r>
            <w:r w:rsidRPr="00E07B1B">
              <w:t>hour OGTT if abnormal value. Cut</w:t>
            </w:r>
            <w:r>
              <w:t>-</w:t>
            </w:r>
            <w:r w:rsidRPr="00E07B1B">
              <w:t>off values of ADA:</w:t>
            </w:r>
          </w:p>
          <w:p w:rsidR="0025490C" w:rsidRPr="00E07B1B" w:rsidRDefault="0025490C" w:rsidP="00FF31D1">
            <w:pPr>
              <w:pStyle w:val="TableBullet"/>
              <w:spacing w:after="30"/>
              <w:ind w:left="284"/>
            </w:pPr>
            <w:r>
              <w:t>f</w:t>
            </w:r>
            <w:r w:rsidRPr="00E07B1B">
              <w:t>asting &gt;5.3 mmol/L</w:t>
            </w:r>
          </w:p>
          <w:p w:rsidR="0025490C" w:rsidRPr="00E07B1B" w:rsidRDefault="0025490C" w:rsidP="00FF31D1">
            <w:pPr>
              <w:pStyle w:val="TableBullet"/>
              <w:spacing w:after="30"/>
              <w:ind w:left="284"/>
            </w:pPr>
            <w:r w:rsidRPr="00E07B1B">
              <w:t>1</w:t>
            </w:r>
            <w:r>
              <w:t>-</w:t>
            </w:r>
            <w:r w:rsidRPr="00E07B1B">
              <w:t>hour &gt;10 mmol/L</w:t>
            </w:r>
          </w:p>
          <w:p w:rsidR="0025490C" w:rsidRPr="00E07B1B" w:rsidRDefault="0025490C" w:rsidP="00FF31D1">
            <w:pPr>
              <w:pStyle w:val="TableBullet"/>
              <w:spacing w:after="30"/>
              <w:ind w:left="284"/>
            </w:pPr>
            <w:r w:rsidRPr="00E07B1B">
              <w:t>2</w:t>
            </w:r>
            <w:r>
              <w:t>-</w:t>
            </w:r>
            <w:r w:rsidRPr="00E07B1B">
              <w:t>hour</w:t>
            </w:r>
            <w:r>
              <w:t xml:space="preserve"> &gt;</w:t>
            </w:r>
            <w:r w:rsidRPr="00E07B1B">
              <w:t xml:space="preserve"> 8.6 mmol/L</w:t>
            </w:r>
          </w:p>
          <w:p w:rsidR="0068074A" w:rsidRDefault="0025490C" w:rsidP="00FF31D1">
            <w:pPr>
              <w:pStyle w:val="TableBullet"/>
              <w:ind w:left="284"/>
            </w:pPr>
            <w:r w:rsidRPr="00E07B1B">
              <w:t>3</w:t>
            </w:r>
            <w:r>
              <w:t>-</w:t>
            </w:r>
            <w:r w:rsidRPr="00E07B1B">
              <w:t>hour &gt;</w:t>
            </w:r>
            <w:r>
              <w:t xml:space="preserve"> </w:t>
            </w:r>
            <w:r w:rsidRPr="00E07B1B">
              <w:t>7.8 mmol/L.</w:t>
            </w:r>
          </w:p>
          <w:p w:rsidR="0025490C" w:rsidRPr="00E07B1B" w:rsidRDefault="0025490C" w:rsidP="00FF31D1">
            <w:pPr>
              <w:pStyle w:val="TableText"/>
              <w:ind w:right="142"/>
            </w:pPr>
            <w:r w:rsidRPr="00E07B1B">
              <w:t>This analysis included subjects with either one or two raised values.</w:t>
            </w:r>
          </w:p>
        </w:tc>
        <w:tc>
          <w:tcPr>
            <w:tcW w:w="1251" w:type="pct"/>
            <w:tcBorders>
              <w:top w:val="nil"/>
              <w:bottom w:val="nil"/>
            </w:tcBorders>
            <w:shd w:val="clear" w:color="auto" w:fill="F2F2F2" w:themeFill="background1" w:themeFillShade="F2"/>
          </w:tcPr>
          <w:p w:rsidR="0025490C" w:rsidRPr="00E07B1B" w:rsidRDefault="0025490C" w:rsidP="003616DD">
            <w:pPr>
              <w:pStyle w:val="TableText"/>
            </w:pPr>
            <w:r w:rsidRPr="00E07B1B">
              <w:t xml:space="preserve">Increased maternal age adj OR 1.13 </w:t>
            </w:r>
            <w:r>
              <w:t>(</w:t>
            </w:r>
            <w:r w:rsidRPr="00E07B1B">
              <w:t>95%CI 1.06</w:t>
            </w:r>
            <w:r>
              <w:t>–</w:t>
            </w:r>
            <w:r w:rsidRPr="00E07B1B">
              <w:t>1.21</w:t>
            </w:r>
            <w:r>
              <w:t>)</w:t>
            </w:r>
          </w:p>
        </w:tc>
        <w:tc>
          <w:tcPr>
            <w:tcW w:w="442" w:type="pct"/>
            <w:tcBorders>
              <w:top w:val="nil"/>
              <w:bottom w:val="nil"/>
            </w:tcBorders>
            <w:shd w:val="clear" w:color="auto" w:fill="F2F2F2" w:themeFill="background1" w:themeFillShade="F2"/>
          </w:tcPr>
          <w:p w:rsidR="0025490C" w:rsidRPr="00E07B1B" w:rsidRDefault="0025490C" w:rsidP="003616DD">
            <w:pPr>
              <w:pStyle w:val="TableText"/>
              <w:jc w:val="center"/>
            </w:pPr>
            <w:r w:rsidRPr="00E07B1B">
              <w:t>MEDIUM</w:t>
            </w:r>
          </w:p>
        </w:tc>
      </w:tr>
      <w:tr w:rsidR="0025490C" w:rsidRPr="00E07B1B" w:rsidTr="00FF31D1">
        <w:trPr>
          <w:cantSplit/>
        </w:trPr>
        <w:tc>
          <w:tcPr>
            <w:tcW w:w="588" w:type="pct"/>
            <w:tcBorders>
              <w:top w:val="nil"/>
              <w:bottom w:val="nil"/>
            </w:tcBorders>
            <w:shd w:val="clear" w:color="auto" w:fill="auto"/>
          </w:tcPr>
          <w:p w:rsidR="0025490C" w:rsidRPr="00E07B1B" w:rsidRDefault="0025490C" w:rsidP="003616DD">
            <w:pPr>
              <w:pStyle w:val="TableText"/>
            </w:pPr>
            <w:r w:rsidRPr="00E07B1B">
              <w:t>Hossein-Nezhad (2007)</w:t>
            </w:r>
          </w:p>
        </w:tc>
        <w:tc>
          <w:tcPr>
            <w:tcW w:w="550" w:type="pct"/>
            <w:tcBorders>
              <w:top w:val="nil"/>
              <w:bottom w:val="nil"/>
            </w:tcBorders>
            <w:shd w:val="clear" w:color="auto" w:fill="auto"/>
          </w:tcPr>
          <w:p w:rsidR="0025490C" w:rsidRPr="00E07B1B" w:rsidRDefault="0025490C" w:rsidP="00FF31D1">
            <w:pPr>
              <w:pStyle w:val="TableText"/>
            </w:pPr>
            <w:r w:rsidRPr="00E07B1B">
              <w:t>Iran</w:t>
            </w:r>
            <w:r w:rsidR="00FF31D1">
              <w:br/>
            </w:r>
            <w:r w:rsidRPr="00E07B1B">
              <w:t>2416</w:t>
            </w:r>
          </w:p>
        </w:tc>
        <w:tc>
          <w:tcPr>
            <w:tcW w:w="556" w:type="pct"/>
            <w:tcBorders>
              <w:top w:val="nil"/>
              <w:bottom w:val="nil"/>
            </w:tcBorders>
            <w:shd w:val="clear" w:color="auto" w:fill="auto"/>
          </w:tcPr>
          <w:p w:rsidR="0025490C" w:rsidRPr="00E07B1B" w:rsidRDefault="0025490C" w:rsidP="003616DD">
            <w:pPr>
              <w:pStyle w:val="TableText"/>
            </w:pPr>
            <w:r w:rsidRPr="00E07B1B">
              <w:t>Cross-sectional</w:t>
            </w:r>
          </w:p>
        </w:tc>
        <w:tc>
          <w:tcPr>
            <w:tcW w:w="1613" w:type="pct"/>
            <w:tcBorders>
              <w:top w:val="nil"/>
              <w:bottom w:val="nil"/>
            </w:tcBorders>
            <w:shd w:val="clear" w:color="auto" w:fill="auto"/>
          </w:tcPr>
          <w:p w:rsidR="0068074A" w:rsidRDefault="0025490C" w:rsidP="00FF31D1">
            <w:pPr>
              <w:pStyle w:val="TableText"/>
              <w:ind w:right="142"/>
            </w:pPr>
            <w:r w:rsidRPr="00E07B1B">
              <w:t xml:space="preserve">Universal screening </w:t>
            </w:r>
            <w:r>
              <w:t>with</w:t>
            </w:r>
            <w:r w:rsidR="0068074A">
              <w:t xml:space="preserve"> </w:t>
            </w:r>
            <w:r w:rsidRPr="00E07B1B">
              <w:t>50</w:t>
            </w:r>
            <w:r>
              <w:t xml:space="preserve"> </w:t>
            </w:r>
            <w:r w:rsidRPr="00E07B1B">
              <w:t>g</w:t>
            </w:r>
            <w:r>
              <w:t>,</w:t>
            </w:r>
            <w:r w:rsidRPr="00E07B1B">
              <w:t xml:space="preserve"> 1</w:t>
            </w:r>
            <w:r>
              <w:noBreakHyphen/>
            </w:r>
            <w:r w:rsidRPr="00E07B1B">
              <w:t>hour OGCT at 24</w:t>
            </w:r>
            <w:r>
              <w:t>–</w:t>
            </w:r>
            <w:r w:rsidRPr="00E07B1B">
              <w:t>28 weeks (women with known risk factors were screened at first antenatal visit). If result abnormal (≥</w:t>
            </w:r>
            <w:r>
              <w:t xml:space="preserve"> </w:t>
            </w:r>
            <w:r w:rsidRPr="00E07B1B">
              <w:t>130 mg</w:t>
            </w:r>
            <w:r>
              <w:t>/dL</w:t>
            </w:r>
            <w:r w:rsidRPr="00E07B1B">
              <w:t>)</w:t>
            </w:r>
            <w:r>
              <w:t>,</w:t>
            </w:r>
            <w:r w:rsidRPr="00E07B1B">
              <w:t xml:space="preserve"> then underwent a 100</w:t>
            </w:r>
            <w:r>
              <w:t xml:space="preserve"> </w:t>
            </w:r>
            <w:r w:rsidRPr="00E07B1B">
              <w:t>g, 3</w:t>
            </w:r>
            <w:r>
              <w:t>-</w:t>
            </w:r>
            <w:r w:rsidRPr="00E07B1B">
              <w:t>hour OGTT using the Carpenter and Coustan criteria.</w:t>
            </w:r>
          </w:p>
          <w:p w:rsidR="0025490C" w:rsidRPr="00E07B1B" w:rsidRDefault="0025490C" w:rsidP="00FF31D1">
            <w:pPr>
              <w:pStyle w:val="TableText"/>
              <w:ind w:right="142"/>
            </w:pPr>
            <w:r w:rsidRPr="00E07B1B">
              <w:t>Women divided into four groups</w:t>
            </w:r>
            <w:r>
              <w:t>:</w:t>
            </w:r>
            <w:r w:rsidRPr="00E07B1B">
              <w:t xml:space="preserve"> 1</w:t>
            </w:r>
            <w:r>
              <w:t>.</w:t>
            </w:r>
            <w:r w:rsidRPr="00E07B1B">
              <w:t xml:space="preserve"> GDM</w:t>
            </w:r>
            <w:r>
              <w:t>;</w:t>
            </w:r>
            <w:r w:rsidRPr="00E07B1B">
              <w:t xml:space="preserve"> 2</w:t>
            </w:r>
            <w:r>
              <w:t>.</w:t>
            </w:r>
            <w:r w:rsidRPr="00E07B1B">
              <w:t xml:space="preserve"> IGT –impaired glucose tolerance</w:t>
            </w:r>
            <w:r>
              <w:t>;</w:t>
            </w:r>
            <w:r w:rsidRPr="00E07B1B">
              <w:t xml:space="preserve"> 3</w:t>
            </w:r>
            <w:r>
              <w:t>.</w:t>
            </w:r>
            <w:r w:rsidRPr="00E07B1B">
              <w:t xml:space="preserve"> IGCT impaired glucose challenge test</w:t>
            </w:r>
            <w:r>
              <w:t>;</w:t>
            </w:r>
            <w:r w:rsidRPr="00E07B1B">
              <w:t xml:space="preserve"> 4</w:t>
            </w:r>
            <w:r>
              <w:t>.</w:t>
            </w:r>
            <w:r w:rsidRPr="00E07B1B">
              <w:t xml:space="preserve"> normal</w:t>
            </w:r>
            <w:r>
              <w:t>.</w:t>
            </w:r>
          </w:p>
        </w:tc>
        <w:tc>
          <w:tcPr>
            <w:tcW w:w="1251" w:type="pct"/>
            <w:tcBorders>
              <w:top w:val="nil"/>
              <w:bottom w:val="nil"/>
            </w:tcBorders>
            <w:shd w:val="clear" w:color="auto" w:fill="auto"/>
          </w:tcPr>
          <w:p w:rsidR="0025490C" w:rsidRPr="00E07B1B" w:rsidRDefault="0025490C" w:rsidP="00FF31D1">
            <w:pPr>
              <w:pStyle w:val="TableText"/>
            </w:pPr>
            <w:r w:rsidRPr="00E07B1B">
              <w:t>Compared with women with a normal screening test, women with GDM were more likely to be older (35</w:t>
            </w:r>
            <w:r>
              <w:t>–</w:t>
            </w:r>
            <w:r w:rsidRPr="00E07B1B">
              <w:t>45 years) adj OR 9.96 (95%CI 5.74</w:t>
            </w:r>
            <w:r>
              <w:t>–</w:t>
            </w:r>
            <w:r w:rsidRPr="00E07B1B">
              <w:t xml:space="preserve">17.27, </w:t>
            </w:r>
            <w:r w:rsidRPr="0081275C">
              <w:rPr>
                <w:i/>
              </w:rPr>
              <w:t>p</w:t>
            </w:r>
            <w:r w:rsidR="00FF31D1">
              <w:rPr>
                <w:i/>
              </w:rPr>
              <w:t> </w:t>
            </w:r>
            <w:r w:rsidRPr="00E07B1B">
              <w:t>&lt;</w:t>
            </w:r>
            <w:r w:rsidR="00FF31D1">
              <w:t> </w:t>
            </w:r>
            <w:r w:rsidRPr="00E07B1B">
              <w:t>0.0001)</w:t>
            </w:r>
            <w:r>
              <w:t>.</w:t>
            </w:r>
          </w:p>
        </w:tc>
        <w:tc>
          <w:tcPr>
            <w:tcW w:w="442" w:type="pct"/>
            <w:tcBorders>
              <w:top w:val="nil"/>
              <w:bottom w:val="nil"/>
            </w:tcBorders>
            <w:shd w:val="clear" w:color="auto" w:fill="auto"/>
          </w:tcPr>
          <w:p w:rsidR="0025490C" w:rsidRPr="00E07B1B" w:rsidRDefault="0025490C" w:rsidP="003616DD">
            <w:pPr>
              <w:pStyle w:val="TableText"/>
              <w:jc w:val="center"/>
            </w:pPr>
            <w:r w:rsidRPr="00E07B1B">
              <w:t>MEDIUM</w:t>
            </w:r>
          </w:p>
        </w:tc>
      </w:tr>
      <w:tr w:rsidR="0025490C" w:rsidRPr="00E07B1B" w:rsidTr="00FF31D1">
        <w:trPr>
          <w:cantSplit/>
        </w:trPr>
        <w:tc>
          <w:tcPr>
            <w:tcW w:w="588" w:type="pct"/>
            <w:tcBorders>
              <w:top w:val="nil"/>
              <w:bottom w:val="nil"/>
            </w:tcBorders>
            <w:shd w:val="clear" w:color="auto" w:fill="F2F2F2" w:themeFill="background1" w:themeFillShade="F2"/>
          </w:tcPr>
          <w:p w:rsidR="0025490C" w:rsidRPr="00E07B1B" w:rsidRDefault="0025490C" w:rsidP="003616DD">
            <w:pPr>
              <w:pStyle w:val="TableText"/>
            </w:pPr>
            <w:r w:rsidRPr="00E07B1B">
              <w:t>Ramos-Levi (2012)</w:t>
            </w:r>
          </w:p>
        </w:tc>
        <w:tc>
          <w:tcPr>
            <w:tcW w:w="550" w:type="pct"/>
            <w:tcBorders>
              <w:top w:val="nil"/>
              <w:bottom w:val="nil"/>
            </w:tcBorders>
            <w:shd w:val="clear" w:color="auto" w:fill="F2F2F2" w:themeFill="background1" w:themeFillShade="F2"/>
          </w:tcPr>
          <w:p w:rsidR="0025490C" w:rsidRPr="00E07B1B" w:rsidRDefault="0025490C" w:rsidP="00FF31D1">
            <w:pPr>
              <w:pStyle w:val="TableText"/>
            </w:pPr>
            <w:r w:rsidRPr="00E07B1B">
              <w:t>Spain</w:t>
            </w:r>
            <w:r w:rsidR="00FF31D1">
              <w:br/>
            </w:r>
            <w:r w:rsidRPr="00E07B1B">
              <w:t>2194</w:t>
            </w:r>
          </w:p>
        </w:tc>
        <w:tc>
          <w:tcPr>
            <w:tcW w:w="556" w:type="pct"/>
            <w:tcBorders>
              <w:top w:val="nil"/>
              <w:bottom w:val="nil"/>
            </w:tcBorders>
            <w:shd w:val="clear" w:color="auto" w:fill="F2F2F2" w:themeFill="background1" w:themeFillShade="F2"/>
          </w:tcPr>
          <w:p w:rsidR="0025490C" w:rsidRPr="00E07B1B" w:rsidRDefault="0025490C" w:rsidP="003616DD">
            <w:pPr>
              <w:pStyle w:val="TableText"/>
            </w:pPr>
            <w:r w:rsidRPr="00E07B1B">
              <w:t>Observational cohort</w:t>
            </w:r>
          </w:p>
        </w:tc>
        <w:tc>
          <w:tcPr>
            <w:tcW w:w="1613" w:type="pct"/>
            <w:tcBorders>
              <w:top w:val="nil"/>
              <w:bottom w:val="nil"/>
            </w:tcBorders>
            <w:shd w:val="clear" w:color="auto" w:fill="F2F2F2" w:themeFill="background1" w:themeFillShade="F2"/>
          </w:tcPr>
          <w:p w:rsidR="0025490C" w:rsidRPr="00E07B1B" w:rsidRDefault="0025490C" w:rsidP="00FF31D1">
            <w:pPr>
              <w:pStyle w:val="TableText"/>
              <w:ind w:right="142"/>
            </w:pPr>
            <w:r w:rsidRPr="00E07B1B">
              <w:t>Screened with ADA criteria</w:t>
            </w:r>
          </w:p>
        </w:tc>
        <w:tc>
          <w:tcPr>
            <w:tcW w:w="1251" w:type="pct"/>
            <w:tcBorders>
              <w:top w:val="nil"/>
              <w:bottom w:val="nil"/>
            </w:tcBorders>
            <w:shd w:val="clear" w:color="auto" w:fill="F2F2F2" w:themeFill="background1" w:themeFillShade="F2"/>
          </w:tcPr>
          <w:p w:rsidR="0025490C" w:rsidRPr="00E07B1B" w:rsidRDefault="0025490C" w:rsidP="003616DD">
            <w:pPr>
              <w:pStyle w:val="TableText"/>
            </w:pPr>
            <w:r w:rsidRPr="00E07B1B">
              <w:t>Increasing age increased risk of GDM (no risk data reported)</w:t>
            </w:r>
            <w:r>
              <w:t>.</w:t>
            </w:r>
          </w:p>
        </w:tc>
        <w:tc>
          <w:tcPr>
            <w:tcW w:w="442" w:type="pct"/>
            <w:tcBorders>
              <w:top w:val="nil"/>
              <w:bottom w:val="nil"/>
            </w:tcBorders>
            <w:shd w:val="clear" w:color="auto" w:fill="F2F2F2" w:themeFill="background1" w:themeFillShade="F2"/>
          </w:tcPr>
          <w:p w:rsidR="0025490C" w:rsidRPr="00E07B1B" w:rsidRDefault="0025490C" w:rsidP="003616DD">
            <w:pPr>
              <w:pStyle w:val="TableText"/>
              <w:jc w:val="center"/>
            </w:pPr>
            <w:r w:rsidRPr="00E07B1B">
              <w:t>LOW</w:t>
            </w:r>
          </w:p>
        </w:tc>
      </w:tr>
      <w:tr w:rsidR="0025490C" w:rsidRPr="00E07B1B" w:rsidTr="00BA456F">
        <w:trPr>
          <w:cantSplit/>
        </w:trPr>
        <w:tc>
          <w:tcPr>
            <w:tcW w:w="588" w:type="pct"/>
            <w:tcBorders>
              <w:top w:val="nil"/>
              <w:bottom w:val="nil"/>
            </w:tcBorders>
            <w:shd w:val="clear" w:color="auto" w:fill="auto"/>
          </w:tcPr>
          <w:p w:rsidR="0025490C" w:rsidRPr="00E07B1B" w:rsidRDefault="0025490C" w:rsidP="00FF31D1">
            <w:pPr>
              <w:pStyle w:val="TableText"/>
            </w:pPr>
            <w:r w:rsidRPr="00E07B1B">
              <w:t>Al-Kuwari (2011)</w:t>
            </w:r>
          </w:p>
        </w:tc>
        <w:tc>
          <w:tcPr>
            <w:tcW w:w="550" w:type="pct"/>
            <w:tcBorders>
              <w:top w:val="nil"/>
              <w:bottom w:val="nil"/>
            </w:tcBorders>
            <w:shd w:val="clear" w:color="auto" w:fill="auto"/>
          </w:tcPr>
          <w:p w:rsidR="0025490C" w:rsidRPr="00E07B1B" w:rsidRDefault="0025490C" w:rsidP="00FF31D1">
            <w:pPr>
              <w:pStyle w:val="TableText"/>
            </w:pPr>
            <w:r w:rsidRPr="00E07B1B">
              <w:t>Qatar</w:t>
            </w:r>
            <w:r w:rsidR="00FF31D1">
              <w:br/>
            </w:r>
            <w:r w:rsidRPr="00E07B1B">
              <w:t>4295</w:t>
            </w:r>
          </w:p>
        </w:tc>
        <w:tc>
          <w:tcPr>
            <w:tcW w:w="556" w:type="pct"/>
            <w:tcBorders>
              <w:top w:val="nil"/>
              <w:bottom w:val="nil"/>
            </w:tcBorders>
            <w:shd w:val="clear" w:color="auto" w:fill="auto"/>
          </w:tcPr>
          <w:p w:rsidR="0025490C" w:rsidRPr="00E07B1B" w:rsidRDefault="0025490C" w:rsidP="003616DD">
            <w:pPr>
              <w:pStyle w:val="TableText"/>
            </w:pPr>
            <w:r w:rsidRPr="00E07B1B">
              <w:t>Cross-sectional</w:t>
            </w:r>
          </w:p>
        </w:tc>
        <w:tc>
          <w:tcPr>
            <w:tcW w:w="1613" w:type="pct"/>
            <w:tcBorders>
              <w:top w:val="nil"/>
              <w:bottom w:val="nil"/>
            </w:tcBorders>
            <w:shd w:val="clear" w:color="auto" w:fill="auto"/>
          </w:tcPr>
          <w:p w:rsidR="0025490C" w:rsidRDefault="0025490C" w:rsidP="00FF31D1">
            <w:pPr>
              <w:pStyle w:val="TableText"/>
              <w:ind w:right="142"/>
            </w:pPr>
            <w:r w:rsidRPr="00E07B1B">
              <w:t xml:space="preserve">1 hour </w:t>
            </w:r>
            <w:r w:rsidRPr="00F34B72">
              <w:t>GCT</w:t>
            </w:r>
            <w:r w:rsidRPr="00E07B1B">
              <w:t xml:space="preserve"> (no details)</w:t>
            </w:r>
          </w:p>
          <w:p w:rsidR="0025490C" w:rsidRPr="00E07B1B" w:rsidRDefault="0025490C" w:rsidP="00FF31D1">
            <w:pPr>
              <w:pStyle w:val="TableText"/>
              <w:spacing w:after="30"/>
              <w:ind w:right="142"/>
            </w:pPr>
            <w:r w:rsidRPr="00E07B1B">
              <w:t>If ≥7.8mmol/L</w:t>
            </w:r>
            <w:r>
              <w:t>,</w:t>
            </w:r>
            <w:r w:rsidRPr="00E07B1B">
              <w:t xml:space="preserve"> then a 75</w:t>
            </w:r>
            <w:r>
              <w:t xml:space="preserve"> </w:t>
            </w:r>
            <w:r w:rsidRPr="00E07B1B">
              <w:t>g OGTT</w:t>
            </w:r>
            <w:r>
              <w:t>:</w:t>
            </w:r>
          </w:p>
          <w:p w:rsidR="0025490C" w:rsidRPr="00E07B1B" w:rsidRDefault="0025490C" w:rsidP="00FF31D1">
            <w:pPr>
              <w:pStyle w:val="TableBullet"/>
              <w:spacing w:after="30"/>
              <w:ind w:left="284"/>
            </w:pPr>
            <w:r>
              <w:t>f</w:t>
            </w:r>
            <w:r w:rsidRPr="00E07B1B">
              <w:t>asting &gt; 95 mg</w:t>
            </w:r>
            <w:r>
              <w:t>/dL</w:t>
            </w:r>
          </w:p>
          <w:p w:rsidR="0025490C" w:rsidRPr="00E07B1B" w:rsidRDefault="0025490C" w:rsidP="00FF31D1">
            <w:pPr>
              <w:pStyle w:val="TableBullet"/>
              <w:spacing w:after="30"/>
              <w:ind w:left="284"/>
            </w:pPr>
            <w:r w:rsidRPr="00E07B1B">
              <w:t>1</w:t>
            </w:r>
            <w:r>
              <w:t>-</w:t>
            </w:r>
            <w:r w:rsidRPr="00E07B1B">
              <w:t>hour &gt;180 mg</w:t>
            </w:r>
            <w:r>
              <w:t>/dL</w:t>
            </w:r>
          </w:p>
          <w:p w:rsidR="0025490C" w:rsidRPr="00E07B1B" w:rsidRDefault="0025490C" w:rsidP="00FF31D1">
            <w:pPr>
              <w:pStyle w:val="TableBullet"/>
              <w:spacing w:after="30"/>
              <w:ind w:left="284"/>
            </w:pPr>
            <w:r w:rsidRPr="00E07B1B">
              <w:t>2</w:t>
            </w:r>
            <w:r>
              <w:t>-</w:t>
            </w:r>
            <w:r w:rsidRPr="00E07B1B">
              <w:t>hour &gt; 155 mg</w:t>
            </w:r>
            <w:r>
              <w:t>/dL</w:t>
            </w:r>
          </w:p>
          <w:p w:rsidR="0025490C" w:rsidRPr="00E07B1B" w:rsidRDefault="0025490C" w:rsidP="00FF31D1">
            <w:pPr>
              <w:pStyle w:val="TableBullet"/>
              <w:ind w:left="284"/>
            </w:pPr>
            <w:r w:rsidRPr="00E07B1B">
              <w:t>3</w:t>
            </w:r>
            <w:r>
              <w:t>-</w:t>
            </w:r>
            <w:r w:rsidRPr="00E07B1B">
              <w:t>hour &gt; 140 mg</w:t>
            </w:r>
            <w:r w:rsidR="00FF31D1">
              <w:t>/dL</w:t>
            </w:r>
          </w:p>
        </w:tc>
        <w:tc>
          <w:tcPr>
            <w:tcW w:w="1251" w:type="pct"/>
            <w:tcBorders>
              <w:top w:val="nil"/>
              <w:bottom w:val="nil"/>
            </w:tcBorders>
            <w:shd w:val="clear" w:color="auto" w:fill="auto"/>
          </w:tcPr>
          <w:p w:rsidR="0025490C" w:rsidRPr="00E07B1B" w:rsidRDefault="0025490C" w:rsidP="00FF31D1">
            <w:pPr>
              <w:pStyle w:val="TableText"/>
            </w:pPr>
            <w:r w:rsidRPr="00E07B1B">
              <w:t>≥35 years (OR 3.8; 95%CI 2.4</w:t>
            </w:r>
            <w:r>
              <w:t>–</w:t>
            </w:r>
            <w:r w:rsidRPr="00E07B1B">
              <w:t>6.4)</w:t>
            </w:r>
          </w:p>
        </w:tc>
        <w:tc>
          <w:tcPr>
            <w:tcW w:w="442" w:type="pct"/>
            <w:tcBorders>
              <w:top w:val="nil"/>
              <w:bottom w:val="nil"/>
            </w:tcBorders>
            <w:shd w:val="clear" w:color="auto" w:fill="auto"/>
          </w:tcPr>
          <w:p w:rsidR="0025490C" w:rsidRPr="00E07B1B" w:rsidRDefault="0025490C" w:rsidP="003616DD">
            <w:pPr>
              <w:pStyle w:val="TableText"/>
              <w:jc w:val="center"/>
            </w:pPr>
            <w:r w:rsidRPr="00E07B1B">
              <w:t>LOW</w:t>
            </w:r>
          </w:p>
        </w:tc>
      </w:tr>
      <w:tr w:rsidR="0025490C" w:rsidRPr="00E07B1B" w:rsidTr="00BA456F">
        <w:trPr>
          <w:cantSplit/>
        </w:trPr>
        <w:tc>
          <w:tcPr>
            <w:tcW w:w="588" w:type="pct"/>
            <w:tcBorders>
              <w:top w:val="nil"/>
              <w:bottom w:val="nil"/>
            </w:tcBorders>
            <w:shd w:val="clear" w:color="auto" w:fill="F2F2F2" w:themeFill="background1" w:themeFillShade="F2"/>
          </w:tcPr>
          <w:p w:rsidR="0025490C" w:rsidRPr="00E07B1B" w:rsidRDefault="0025490C" w:rsidP="003616DD">
            <w:pPr>
              <w:pStyle w:val="TableText"/>
            </w:pPr>
            <w:r w:rsidRPr="00E07B1B">
              <w:t>Hoseini</w:t>
            </w:r>
            <w:r>
              <w:t xml:space="preserve"> </w:t>
            </w:r>
            <w:r w:rsidRPr="00E07B1B">
              <w:t>(2011)</w:t>
            </w:r>
          </w:p>
        </w:tc>
        <w:tc>
          <w:tcPr>
            <w:tcW w:w="550" w:type="pct"/>
            <w:tcBorders>
              <w:top w:val="nil"/>
              <w:bottom w:val="nil"/>
            </w:tcBorders>
            <w:shd w:val="clear" w:color="auto" w:fill="F2F2F2" w:themeFill="background1" w:themeFillShade="F2"/>
          </w:tcPr>
          <w:p w:rsidR="0025490C" w:rsidRPr="00E07B1B" w:rsidRDefault="0025490C" w:rsidP="00BA456F">
            <w:pPr>
              <w:pStyle w:val="TableText"/>
            </w:pPr>
            <w:r w:rsidRPr="00E07B1B">
              <w:t>Iran</w:t>
            </w:r>
            <w:r w:rsidR="00BA456F">
              <w:br/>
            </w:r>
            <w:r w:rsidRPr="00E07B1B">
              <w:t>114 cases</w:t>
            </w:r>
            <w:r>
              <w:t>,</w:t>
            </w:r>
            <w:r w:rsidRPr="00E07B1B">
              <w:t xml:space="preserve"> 113</w:t>
            </w:r>
            <w:r w:rsidR="00BA456F">
              <w:t> </w:t>
            </w:r>
            <w:r w:rsidRPr="00E07B1B">
              <w:t>controls</w:t>
            </w:r>
          </w:p>
        </w:tc>
        <w:tc>
          <w:tcPr>
            <w:tcW w:w="556" w:type="pct"/>
            <w:tcBorders>
              <w:top w:val="nil"/>
              <w:bottom w:val="nil"/>
            </w:tcBorders>
            <w:shd w:val="clear" w:color="auto" w:fill="F2F2F2" w:themeFill="background1" w:themeFillShade="F2"/>
          </w:tcPr>
          <w:p w:rsidR="0025490C" w:rsidRPr="00E07B1B" w:rsidRDefault="0025490C" w:rsidP="00BA456F">
            <w:pPr>
              <w:pStyle w:val="TableText"/>
            </w:pPr>
            <w:r w:rsidRPr="00E07B1B">
              <w:t>Retrospective cross</w:t>
            </w:r>
            <w:r>
              <w:t>-</w:t>
            </w:r>
            <w:r w:rsidRPr="00E07B1B">
              <w:t>sectional</w:t>
            </w:r>
          </w:p>
        </w:tc>
        <w:tc>
          <w:tcPr>
            <w:tcW w:w="1613" w:type="pct"/>
            <w:tcBorders>
              <w:top w:val="nil"/>
              <w:bottom w:val="nil"/>
            </w:tcBorders>
            <w:shd w:val="clear" w:color="auto" w:fill="F2F2F2" w:themeFill="background1" w:themeFillShade="F2"/>
          </w:tcPr>
          <w:p w:rsidR="0025490C" w:rsidRDefault="0025490C" w:rsidP="00FF31D1">
            <w:pPr>
              <w:pStyle w:val="TableText"/>
              <w:ind w:right="142"/>
            </w:pPr>
            <w:r w:rsidRPr="00E07B1B">
              <w:t>50</w:t>
            </w:r>
            <w:r>
              <w:t xml:space="preserve"> </w:t>
            </w:r>
            <w:r w:rsidRPr="00E07B1B">
              <w:t>g</w:t>
            </w:r>
            <w:r>
              <w:t>,</w:t>
            </w:r>
            <w:r w:rsidRPr="00E07B1B">
              <w:t xml:space="preserve"> 1</w:t>
            </w:r>
            <w:r>
              <w:t>-</w:t>
            </w:r>
            <w:r w:rsidRPr="00E07B1B">
              <w:t>hour OGCT</w:t>
            </w:r>
          </w:p>
          <w:p w:rsidR="0025490C" w:rsidRPr="00E07B1B" w:rsidRDefault="0025490C" w:rsidP="00BA456F">
            <w:pPr>
              <w:pStyle w:val="TableText"/>
              <w:spacing w:after="30"/>
              <w:ind w:right="142"/>
            </w:pPr>
            <w:r w:rsidRPr="00E07B1B">
              <w:t>If &gt;</w:t>
            </w:r>
            <w:r w:rsidR="00BA456F">
              <w:t> </w:t>
            </w:r>
            <w:r w:rsidRPr="00E07B1B">
              <w:t>140</w:t>
            </w:r>
            <w:r w:rsidR="00BA456F">
              <w:t> </w:t>
            </w:r>
            <w:r w:rsidRPr="00E07B1B">
              <w:t>mg</w:t>
            </w:r>
            <w:r>
              <w:t>/dL,</w:t>
            </w:r>
            <w:r w:rsidRPr="00E07B1B">
              <w:t xml:space="preserve"> then a 100 g</w:t>
            </w:r>
            <w:r>
              <w:t>,</w:t>
            </w:r>
            <w:r w:rsidRPr="00E07B1B">
              <w:t xml:space="preserve"> 3</w:t>
            </w:r>
            <w:r>
              <w:t>-</w:t>
            </w:r>
            <w:r w:rsidRPr="00E07B1B">
              <w:t xml:space="preserve">hour OGTT with </w:t>
            </w:r>
            <w:r>
              <w:t>two</w:t>
            </w:r>
            <w:r w:rsidRPr="00E07B1B">
              <w:t xml:space="preserve"> or more abnormal readings</w:t>
            </w:r>
            <w:r>
              <w:t xml:space="preserve"> required from:</w:t>
            </w:r>
          </w:p>
          <w:p w:rsidR="0025490C" w:rsidRPr="00E07B1B" w:rsidRDefault="0025490C" w:rsidP="00BA456F">
            <w:pPr>
              <w:pStyle w:val="TableBullet"/>
              <w:spacing w:after="30"/>
              <w:ind w:left="284"/>
            </w:pPr>
            <w:r>
              <w:t>f</w:t>
            </w:r>
            <w:r w:rsidRPr="00E07B1B">
              <w:t>asting &gt;95 mg</w:t>
            </w:r>
            <w:r>
              <w:t>/dL</w:t>
            </w:r>
          </w:p>
          <w:p w:rsidR="0025490C" w:rsidRPr="00E07B1B" w:rsidRDefault="0025490C" w:rsidP="00BA456F">
            <w:pPr>
              <w:pStyle w:val="TableBullet"/>
              <w:spacing w:after="30"/>
              <w:ind w:left="284"/>
            </w:pPr>
            <w:r w:rsidRPr="00E07B1B">
              <w:t>1</w:t>
            </w:r>
            <w:r>
              <w:t>-</w:t>
            </w:r>
            <w:r w:rsidRPr="00E07B1B">
              <w:t>hour &gt;180 mg</w:t>
            </w:r>
            <w:r>
              <w:t>/dL</w:t>
            </w:r>
          </w:p>
          <w:p w:rsidR="0025490C" w:rsidRPr="00E07B1B" w:rsidRDefault="0025490C" w:rsidP="00BA456F">
            <w:pPr>
              <w:pStyle w:val="TableBullet"/>
              <w:spacing w:after="30"/>
              <w:ind w:left="284"/>
            </w:pPr>
            <w:r w:rsidRPr="00E07B1B">
              <w:t>2</w:t>
            </w:r>
            <w:r>
              <w:t>-</w:t>
            </w:r>
            <w:r w:rsidRPr="00E07B1B">
              <w:t>hour&gt; 155 mg</w:t>
            </w:r>
            <w:r>
              <w:t>/dL</w:t>
            </w:r>
          </w:p>
          <w:p w:rsidR="0025490C" w:rsidRPr="00E07B1B" w:rsidRDefault="0025490C" w:rsidP="00BA456F">
            <w:pPr>
              <w:pStyle w:val="TableBullet"/>
              <w:ind w:left="284"/>
            </w:pPr>
            <w:r w:rsidRPr="00E07B1B">
              <w:t>3</w:t>
            </w:r>
            <w:r>
              <w:t>-</w:t>
            </w:r>
            <w:r w:rsidRPr="00E07B1B">
              <w:t>hour &gt; 140 mg</w:t>
            </w:r>
            <w:r w:rsidR="00BA456F">
              <w:t>/dL</w:t>
            </w:r>
          </w:p>
        </w:tc>
        <w:tc>
          <w:tcPr>
            <w:tcW w:w="1251" w:type="pct"/>
            <w:tcBorders>
              <w:top w:val="nil"/>
              <w:bottom w:val="nil"/>
            </w:tcBorders>
            <w:shd w:val="clear" w:color="auto" w:fill="F2F2F2" w:themeFill="background1" w:themeFillShade="F2"/>
          </w:tcPr>
          <w:p w:rsidR="0025490C" w:rsidRPr="00E07B1B" w:rsidRDefault="0025490C" w:rsidP="00BA456F">
            <w:pPr>
              <w:pStyle w:val="TableText"/>
            </w:pPr>
            <w:r w:rsidRPr="00E07B1B">
              <w:t>Risk of GDM increased with increasing age. Women age</w:t>
            </w:r>
            <w:r>
              <w:t>d</w:t>
            </w:r>
            <w:r w:rsidRPr="00E07B1B">
              <w:t xml:space="preserve"> 26+</w:t>
            </w:r>
            <w:r>
              <w:t xml:space="preserve"> years</w:t>
            </w:r>
            <w:r w:rsidRPr="00E07B1B">
              <w:t xml:space="preserve"> had a </w:t>
            </w:r>
            <w:r>
              <w:t>two</w:t>
            </w:r>
            <w:r w:rsidR="00BA456F">
              <w:noBreakHyphen/>
            </w:r>
            <w:r w:rsidRPr="00E07B1B">
              <w:t>fold greater risk of GDM than women</w:t>
            </w:r>
            <w:r w:rsidR="0068074A">
              <w:t xml:space="preserve"> </w:t>
            </w:r>
            <w:r w:rsidRPr="00E07B1B">
              <w:t>&lt;</w:t>
            </w:r>
            <w:r w:rsidR="00BA456F">
              <w:t> </w:t>
            </w:r>
            <w:r w:rsidRPr="00E07B1B">
              <w:t>26</w:t>
            </w:r>
            <w:r>
              <w:t xml:space="preserve"> </w:t>
            </w:r>
            <w:r w:rsidRPr="00E07B1B">
              <w:t xml:space="preserve">years (OR 2.1, 95%CI </w:t>
            </w:r>
            <w:r>
              <w:t>not reported</w:t>
            </w:r>
            <w:r w:rsidRPr="00E07B1B">
              <w:t xml:space="preserve">, </w:t>
            </w:r>
            <w:r w:rsidRPr="0081275C">
              <w:rPr>
                <w:i/>
              </w:rPr>
              <w:t>p</w:t>
            </w:r>
            <w:r w:rsidR="00BA456F">
              <w:rPr>
                <w:i/>
              </w:rPr>
              <w:t> </w:t>
            </w:r>
            <w:r w:rsidRPr="00E07B1B">
              <w:t>=</w:t>
            </w:r>
            <w:r w:rsidR="00BA456F">
              <w:t> </w:t>
            </w:r>
            <w:r w:rsidRPr="00E07B1B">
              <w:t>0.03)</w:t>
            </w:r>
            <w:r>
              <w:t>.</w:t>
            </w:r>
          </w:p>
        </w:tc>
        <w:tc>
          <w:tcPr>
            <w:tcW w:w="442" w:type="pct"/>
            <w:tcBorders>
              <w:top w:val="nil"/>
              <w:bottom w:val="nil"/>
            </w:tcBorders>
            <w:shd w:val="clear" w:color="auto" w:fill="F2F2F2" w:themeFill="background1" w:themeFillShade="F2"/>
          </w:tcPr>
          <w:p w:rsidR="0025490C" w:rsidRPr="00E07B1B" w:rsidRDefault="0025490C" w:rsidP="003616DD">
            <w:pPr>
              <w:pStyle w:val="TableText"/>
              <w:jc w:val="center"/>
            </w:pPr>
            <w:r w:rsidRPr="00E07B1B">
              <w:t>LOW</w:t>
            </w:r>
          </w:p>
        </w:tc>
      </w:tr>
      <w:tr w:rsidR="0025490C" w:rsidRPr="00E07B1B" w:rsidTr="00BA456F">
        <w:trPr>
          <w:cantSplit/>
        </w:trPr>
        <w:tc>
          <w:tcPr>
            <w:tcW w:w="588" w:type="pct"/>
            <w:tcBorders>
              <w:top w:val="nil"/>
              <w:bottom w:val="nil"/>
            </w:tcBorders>
            <w:shd w:val="clear" w:color="auto" w:fill="auto"/>
          </w:tcPr>
          <w:p w:rsidR="0025490C" w:rsidRPr="00E07B1B" w:rsidRDefault="0025490C" w:rsidP="003616DD">
            <w:pPr>
              <w:pStyle w:val="TableText"/>
            </w:pPr>
            <w:r w:rsidRPr="00E07B1B">
              <w:t>Ismail</w:t>
            </w:r>
            <w:r>
              <w:t xml:space="preserve"> </w:t>
            </w:r>
            <w:r w:rsidRPr="00E07B1B">
              <w:t>(2011)</w:t>
            </w:r>
          </w:p>
        </w:tc>
        <w:tc>
          <w:tcPr>
            <w:tcW w:w="550" w:type="pct"/>
            <w:tcBorders>
              <w:top w:val="nil"/>
              <w:bottom w:val="nil"/>
            </w:tcBorders>
            <w:shd w:val="clear" w:color="auto" w:fill="auto"/>
          </w:tcPr>
          <w:p w:rsidR="0025490C" w:rsidRPr="00E07B1B" w:rsidRDefault="0025490C" w:rsidP="00BA456F">
            <w:pPr>
              <w:pStyle w:val="TableText"/>
            </w:pPr>
            <w:r w:rsidRPr="00E07B1B">
              <w:t>Malaysia</w:t>
            </w:r>
            <w:r w:rsidR="00BA456F">
              <w:br/>
            </w:r>
            <w:r w:rsidRPr="00E07B1B">
              <w:t>616</w:t>
            </w:r>
          </w:p>
        </w:tc>
        <w:tc>
          <w:tcPr>
            <w:tcW w:w="556" w:type="pct"/>
            <w:tcBorders>
              <w:top w:val="nil"/>
              <w:bottom w:val="nil"/>
            </w:tcBorders>
            <w:shd w:val="clear" w:color="auto" w:fill="auto"/>
          </w:tcPr>
          <w:p w:rsidR="0025490C" w:rsidRPr="00E07B1B" w:rsidRDefault="0025490C" w:rsidP="003616DD">
            <w:pPr>
              <w:pStyle w:val="TableText"/>
            </w:pPr>
            <w:r w:rsidRPr="00E07B1B">
              <w:t>Observational</w:t>
            </w:r>
          </w:p>
        </w:tc>
        <w:tc>
          <w:tcPr>
            <w:tcW w:w="1613" w:type="pct"/>
            <w:tcBorders>
              <w:top w:val="nil"/>
              <w:bottom w:val="nil"/>
            </w:tcBorders>
            <w:shd w:val="clear" w:color="auto" w:fill="auto"/>
          </w:tcPr>
          <w:p w:rsidR="0025490C" w:rsidRPr="00E07B1B" w:rsidRDefault="0025490C" w:rsidP="00BA456F">
            <w:pPr>
              <w:pStyle w:val="TableText"/>
              <w:ind w:right="142"/>
            </w:pPr>
            <w:r w:rsidRPr="00E07B1B">
              <w:t>75</w:t>
            </w:r>
            <w:r>
              <w:t xml:space="preserve"> </w:t>
            </w:r>
            <w:r w:rsidRPr="00E07B1B">
              <w:t>g OGTT, fasting and 2</w:t>
            </w:r>
            <w:r>
              <w:t>-</w:t>
            </w:r>
            <w:r w:rsidRPr="00E07B1B">
              <w:t>hour postprandial &gt;</w:t>
            </w:r>
            <w:r w:rsidR="00BA456F">
              <w:t> </w:t>
            </w:r>
            <w:r w:rsidRPr="00E07B1B">
              <w:t>6</w:t>
            </w:r>
            <w:r w:rsidR="00BA456F">
              <w:t> </w:t>
            </w:r>
            <w:r w:rsidRPr="00E07B1B">
              <w:t>mmol/L or &gt;</w:t>
            </w:r>
            <w:r>
              <w:t xml:space="preserve"> </w:t>
            </w:r>
            <w:r w:rsidRPr="00E07B1B">
              <w:t>7.8 mmol/L respectively</w:t>
            </w:r>
          </w:p>
        </w:tc>
        <w:tc>
          <w:tcPr>
            <w:tcW w:w="1251" w:type="pct"/>
            <w:tcBorders>
              <w:top w:val="nil"/>
              <w:bottom w:val="nil"/>
            </w:tcBorders>
            <w:shd w:val="clear" w:color="auto" w:fill="auto"/>
          </w:tcPr>
          <w:p w:rsidR="0025490C" w:rsidRPr="00E07B1B" w:rsidRDefault="0025490C" w:rsidP="003616DD">
            <w:pPr>
              <w:pStyle w:val="TableText"/>
            </w:pPr>
            <w:r w:rsidRPr="00E07B1B">
              <w:t>Increasing age associated with increased risk (</w:t>
            </w:r>
            <w:r w:rsidRPr="0081275C">
              <w:rPr>
                <w:i/>
              </w:rPr>
              <w:t>p</w:t>
            </w:r>
            <w:r>
              <w:t xml:space="preserve"> </w:t>
            </w:r>
            <w:r w:rsidRPr="00E07B1B">
              <w:t>&lt;</w:t>
            </w:r>
            <w:r>
              <w:t xml:space="preserve"> </w:t>
            </w:r>
            <w:r w:rsidRPr="00E07B1B">
              <w:t>0.001).</w:t>
            </w:r>
          </w:p>
        </w:tc>
        <w:tc>
          <w:tcPr>
            <w:tcW w:w="442" w:type="pct"/>
            <w:tcBorders>
              <w:top w:val="nil"/>
              <w:bottom w:val="nil"/>
            </w:tcBorders>
            <w:shd w:val="clear" w:color="auto" w:fill="auto"/>
          </w:tcPr>
          <w:p w:rsidR="0025490C" w:rsidRPr="00E07B1B" w:rsidRDefault="0025490C" w:rsidP="003616DD">
            <w:pPr>
              <w:pStyle w:val="TableText"/>
              <w:jc w:val="center"/>
            </w:pPr>
            <w:r w:rsidRPr="00E07B1B">
              <w:t>LOW</w:t>
            </w:r>
          </w:p>
        </w:tc>
      </w:tr>
      <w:tr w:rsidR="0025490C" w:rsidRPr="00E07B1B" w:rsidTr="00A0217F">
        <w:trPr>
          <w:cantSplit/>
        </w:trPr>
        <w:tc>
          <w:tcPr>
            <w:tcW w:w="588" w:type="pct"/>
            <w:tcBorders>
              <w:top w:val="nil"/>
              <w:bottom w:val="nil"/>
            </w:tcBorders>
            <w:shd w:val="clear" w:color="auto" w:fill="F2F2F2" w:themeFill="background1" w:themeFillShade="F2"/>
          </w:tcPr>
          <w:p w:rsidR="0025490C" w:rsidRPr="00E07B1B" w:rsidRDefault="0025490C" w:rsidP="003616DD">
            <w:pPr>
              <w:pStyle w:val="TableText"/>
            </w:pPr>
            <w:r w:rsidRPr="00E07B1B">
              <w:t>Kun</w:t>
            </w:r>
            <w:r>
              <w:t xml:space="preserve"> </w:t>
            </w:r>
            <w:r w:rsidRPr="00E07B1B">
              <w:t>(2011)</w:t>
            </w:r>
          </w:p>
        </w:tc>
        <w:tc>
          <w:tcPr>
            <w:tcW w:w="550" w:type="pct"/>
            <w:tcBorders>
              <w:top w:val="nil"/>
              <w:bottom w:val="nil"/>
            </w:tcBorders>
            <w:shd w:val="clear" w:color="auto" w:fill="F2F2F2" w:themeFill="background1" w:themeFillShade="F2"/>
          </w:tcPr>
          <w:p w:rsidR="0025490C" w:rsidRPr="00E07B1B" w:rsidRDefault="0025490C" w:rsidP="00BA456F">
            <w:pPr>
              <w:pStyle w:val="TableText"/>
            </w:pPr>
            <w:r w:rsidRPr="00E07B1B">
              <w:t>Hungary</w:t>
            </w:r>
            <w:r w:rsidR="00BA456F">
              <w:br/>
            </w:r>
            <w:r w:rsidRPr="00E07B1B">
              <w:t>2260</w:t>
            </w:r>
          </w:p>
        </w:tc>
        <w:tc>
          <w:tcPr>
            <w:tcW w:w="556" w:type="pct"/>
            <w:tcBorders>
              <w:top w:val="nil"/>
              <w:bottom w:val="nil"/>
            </w:tcBorders>
            <w:shd w:val="clear" w:color="auto" w:fill="F2F2F2" w:themeFill="background1" w:themeFillShade="F2"/>
          </w:tcPr>
          <w:p w:rsidR="0025490C" w:rsidRPr="00E07B1B" w:rsidRDefault="0025490C" w:rsidP="003616DD">
            <w:pPr>
              <w:pStyle w:val="TableText"/>
            </w:pPr>
            <w:r w:rsidRPr="00E07B1B">
              <w:t>Observational</w:t>
            </w:r>
          </w:p>
        </w:tc>
        <w:tc>
          <w:tcPr>
            <w:tcW w:w="1613" w:type="pct"/>
            <w:tcBorders>
              <w:top w:val="nil"/>
              <w:bottom w:val="nil"/>
            </w:tcBorders>
            <w:shd w:val="clear" w:color="auto" w:fill="F2F2F2" w:themeFill="background1" w:themeFillShade="F2"/>
          </w:tcPr>
          <w:p w:rsidR="0025490C" w:rsidRDefault="0025490C" w:rsidP="00FF31D1">
            <w:pPr>
              <w:pStyle w:val="TableText"/>
              <w:ind w:right="142"/>
            </w:pPr>
            <w:r w:rsidRPr="00E07B1B">
              <w:t>75g OGTT</w:t>
            </w:r>
            <w:r>
              <w:t>,</w:t>
            </w:r>
            <w:r w:rsidRPr="00E07B1B">
              <w:t xml:space="preserve"> 2</w:t>
            </w:r>
            <w:r>
              <w:t>-</w:t>
            </w:r>
            <w:r w:rsidRPr="00E07B1B">
              <w:t>hour post-test</w:t>
            </w:r>
          </w:p>
          <w:p w:rsidR="0025490C" w:rsidRPr="00E07B1B" w:rsidRDefault="0025490C" w:rsidP="00BA456F">
            <w:pPr>
              <w:pStyle w:val="TableText"/>
              <w:ind w:right="142"/>
            </w:pPr>
            <w:r w:rsidRPr="00E07B1B">
              <w:t xml:space="preserve">Diagnosis </w:t>
            </w:r>
            <w:r w:rsidR="00BA456F">
              <w:t>based on WHO or IADPSG criteria</w:t>
            </w:r>
          </w:p>
        </w:tc>
        <w:tc>
          <w:tcPr>
            <w:tcW w:w="1251" w:type="pct"/>
            <w:tcBorders>
              <w:top w:val="nil"/>
              <w:bottom w:val="nil"/>
            </w:tcBorders>
            <w:shd w:val="clear" w:color="auto" w:fill="F2F2F2" w:themeFill="background1" w:themeFillShade="F2"/>
          </w:tcPr>
          <w:p w:rsidR="0068074A" w:rsidRDefault="0025490C" w:rsidP="003616DD">
            <w:pPr>
              <w:pStyle w:val="TableText"/>
            </w:pPr>
            <w:r w:rsidRPr="00E07B1B">
              <w:t>Older women had increased risk compared with normal women using both criteria (</w:t>
            </w:r>
            <w:r w:rsidRPr="0081275C">
              <w:rPr>
                <w:i/>
              </w:rPr>
              <w:t>p</w:t>
            </w:r>
            <w:r>
              <w:t xml:space="preserve"> </w:t>
            </w:r>
            <w:r w:rsidRPr="00E07B1B">
              <w:t>&lt;</w:t>
            </w:r>
            <w:r>
              <w:t xml:space="preserve"> </w:t>
            </w:r>
            <w:r w:rsidRPr="00E07B1B">
              <w:t xml:space="preserve">0.001 and </w:t>
            </w:r>
            <w:r w:rsidRPr="0081275C">
              <w:rPr>
                <w:i/>
              </w:rPr>
              <w:t>p</w:t>
            </w:r>
            <w:r>
              <w:t xml:space="preserve"> </w:t>
            </w:r>
            <w:r w:rsidRPr="00E07B1B">
              <w:t>=</w:t>
            </w:r>
            <w:r>
              <w:t xml:space="preserve"> </w:t>
            </w:r>
            <w:r w:rsidRPr="00E07B1B">
              <w:t>0.004 respectively).</w:t>
            </w:r>
          </w:p>
          <w:p w:rsidR="0025490C" w:rsidRPr="00E07B1B" w:rsidRDefault="0025490C" w:rsidP="003616DD">
            <w:pPr>
              <w:pStyle w:val="TableText"/>
            </w:pPr>
            <w:r w:rsidRPr="00E07B1B">
              <w:t>According to the WHO criteria</w:t>
            </w:r>
            <w:r>
              <w:t>,</w:t>
            </w:r>
            <w:r w:rsidRPr="00E07B1B">
              <w:t xml:space="preserve"> the risk of GDM increased by 7% per year of ag</w:t>
            </w:r>
            <w:r>
              <w:t>e</w:t>
            </w:r>
            <w:r w:rsidRPr="00E07B1B">
              <w:t>ing (OR 1.07, 95%CI 1.03</w:t>
            </w:r>
            <w:r>
              <w:t>–</w:t>
            </w:r>
            <w:r w:rsidRPr="00E07B1B">
              <w:t>1.11)</w:t>
            </w:r>
            <w:r>
              <w:t>.</w:t>
            </w:r>
          </w:p>
        </w:tc>
        <w:tc>
          <w:tcPr>
            <w:tcW w:w="442" w:type="pct"/>
            <w:tcBorders>
              <w:top w:val="nil"/>
              <w:bottom w:val="nil"/>
            </w:tcBorders>
            <w:shd w:val="clear" w:color="auto" w:fill="F2F2F2" w:themeFill="background1" w:themeFillShade="F2"/>
          </w:tcPr>
          <w:p w:rsidR="0025490C" w:rsidRPr="00E07B1B" w:rsidRDefault="0025490C" w:rsidP="003616DD">
            <w:pPr>
              <w:pStyle w:val="TableText"/>
              <w:jc w:val="center"/>
            </w:pPr>
            <w:r w:rsidRPr="00E07B1B">
              <w:t>LOW</w:t>
            </w:r>
          </w:p>
        </w:tc>
      </w:tr>
      <w:tr w:rsidR="0025490C" w:rsidRPr="00E07B1B" w:rsidTr="00A0217F">
        <w:trPr>
          <w:cantSplit/>
        </w:trPr>
        <w:tc>
          <w:tcPr>
            <w:tcW w:w="588" w:type="pct"/>
            <w:tcBorders>
              <w:top w:val="nil"/>
              <w:right w:val="nil"/>
            </w:tcBorders>
            <w:shd w:val="clear" w:color="auto" w:fill="auto"/>
          </w:tcPr>
          <w:p w:rsidR="0025490C" w:rsidRPr="00E07B1B" w:rsidRDefault="0025490C" w:rsidP="003616DD">
            <w:pPr>
              <w:pStyle w:val="TableText"/>
            </w:pPr>
            <w:r w:rsidRPr="00E07B1B">
              <w:t>Yogev</w:t>
            </w:r>
            <w:r>
              <w:t xml:space="preserve"> </w:t>
            </w:r>
            <w:r w:rsidRPr="00E07B1B">
              <w:t>(2010)</w:t>
            </w:r>
          </w:p>
        </w:tc>
        <w:tc>
          <w:tcPr>
            <w:tcW w:w="550" w:type="pct"/>
            <w:tcBorders>
              <w:top w:val="nil"/>
              <w:left w:val="nil"/>
              <w:bottom w:val="single" w:sz="4" w:space="0" w:color="auto"/>
              <w:right w:val="nil"/>
            </w:tcBorders>
            <w:shd w:val="clear" w:color="auto" w:fill="auto"/>
          </w:tcPr>
          <w:p w:rsidR="0025490C" w:rsidRPr="00E07B1B" w:rsidRDefault="0025490C" w:rsidP="00BA456F">
            <w:pPr>
              <w:pStyle w:val="TableText"/>
            </w:pPr>
            <w:r w:rsidRPr="00E07B1B">
              <w:t>Israel</w:t>
            </w:r>
            <w:r w:rsidR="00BA456F">
              <w:br/>
            </w:r>
            <w:r w:rsidRPr="00E07B1B">
              <w:t>5483</w:t>
            </w:r>
          </w:p>
        </w:tc>
        <w:tc>
          <w:tcPr>
            <w:tcW w:w="556" w:type="pct"/>
            <w:tcBorders>
              <w:top w:val="nil"/>
              <w:left w:val="nil"/>
              <w:bottom w:val="single" w:sz="4" w:space="0" w:color="auto"/>
              <w:right w:val="nil"/>
            </w:tcBorders>
            <w:shd w:val="clear" w:color="auto" w:fill="auto"/>
          </w:tcPr>
          <w:p w:rsidR="0025490C" w:rsidRPr="00E07B1B" w:rsidRDefault="0025490C" w:rsidP="003616DD">
            <w:pPr>
              <w:pStyle w:val="TableText"/>
            </w:pPr>
            <w:r w:rsidRPr="00E07B1B">
              <w:t>Case control</w:t>
            </w:r>
          </w:p>
        </w:tc>
        <w:tc>
          <w:tcPr>
            <w:tcW w:w="1613" w:type="pct"/>
            <w:tcBorders>
              <w:top w:val="nil"/>
              <w:left w:val="nil"/>
              <w:bottom w:val="single" w:sz="4" w:space="0" w:color="auto"/>
              <w:right w:val="nil"/>
            </w:tcBorders>
            <w:shd w:val="clear" w:color="auto" w:fill="auto"/>
          </w:tcPr>
          <w:p w:rsidR="0025490C" w:rsidRDefault="0025490C" w:rsidP="00FF31D1">
            <w:pPr>
              <w:pStyle w:val="TableText"/>
              <w:ind w:right="142"/>
            </w:pPr>
            <w:r w:rsidRPr="00E07B1B">
              <w:t>50g OGCT (&gt;</w:t>
            </w:r>
            <w:r>
              <w:t xml:space="preserve"> </w:t>
            </w:r>
            <w:r w:rsidRPr="00E07B1B">
              <w:t>140</w:t>
            </w:r>
            <w:r>
              <w:t xml:space="preserve"> </w:t>
            </w:r>
            <w:r w:rsidRPr="00E07B1B">
              <w:t>mg</w:t>
            </w:r>
            <w:r>
              <w:t>/dL</w:t>
            </w:r>
            <w:r w:rsidRPr="00E07B1B">
              <w:t>)</w:t>
            </w:r>
          </w:p>
          <w:p w:rsidR="0025490C" w:rsidRPr="00E07B1B" w:rsidRDefault="0025490C" w:rsidP="00BA456F">
            <w:pPr>
              <w:pStyle w:val="TableText"/>
              <w:spacing w:after="30"/>
              <w:ind w:right="142"/>
            </w:pPr>
            <w:r w:rsidRPr="00E07B1B">
              <w:t>100</w:t>
            </w:r>
            <w:r>
              <w:t xml:space="preserve"> </w:t>
            </w:r>
            <w:r w:rsidRPr="00E07B1B">
              <w:t>g, 3</w:t>
            </w:r>
            <w:r>
              <w:t>-</w:t>
            </w:r>
            <w:r w:rsidRPr="00E07B1B">
              <w:t>hour OGTT</w:t>
            </w:r>
            <w:r>
              <w:t>:</w:t>
            </w:r>
          </w:p>
          <w:p w:rsidR="0025490C" w:rsidRPr="00E07B1B" w:rsidRDefault="0025490C" w:rsidP="00BA456F">
            <w:pPr>
              <w:pStyle w:val="TableBullet"/>
              <w:spacing w:after="30"/>
              <w:ind w:left="284"/>
            </w:pPr>
            <w:r>
              <w:t>f</w:t>
            </w:r>
            <w:r w:rsidRPr="00E07B1B">
              <w:t>asting ≥</w:t>
            </w:r>
            <w:r>
              <w:t xml:space="preserve"> </w:t>
            </w:r>
            <w:r w:rsidRPr="00E07B1B">
              <w:t>5.3 mmol/L</w:t>
            </w:r>
          </w:p>
          <w:p w:rsidR="0025490C" w:rsidRPr="00E07B1B" w:rsidRDefault="0025490C" w:rsidP="00BA456F">
            <w:pPr>
              <w:pStyle w:val="TableBullet"/>
              <w:spacing w:after="30"/>
              <w:ind w:left="284"/>
            </w:pPr>
            <w:r w:rsidRPr="00E07B1B">
              <w:t>1</w:t>
            </w:r>
            <w:r>
              <w:t>-h</w:t>
            </w:r>
            <w:r w:rsidRPr="00E07B1B">
              <w:t>our ≥ 10 mmol/L</w:t>
            </w:r>
          </w:p>
          <w:p w:rsidR="0025490C" w:rsidRPr="00E07B1B" w:rsidRDefault="0025490C" w:rsidP="00BA456F">
            <w:pPr>
              <w:pStyle w:val="TableBullet"/>
              <w:spacing w:after="30"/>
              <w:ind w:left="284"/>
            </w:pPr>
            <w:r w:rsidRPr="00E07B1B">
              <w:t>2</w:t>
            </w:r>
            <w:r>
              <w:t>-</w:t>
            </w:r>
            <w:r w:rsidRPr="00E07B1B">
              <w:t>hour ≥ 8.6 mmol/L</w:t>
            </w:r>
          </w:p>
          <w:p w:rsidR="0025490C" w:rsidRPr="00E07B1B" w:rsidRDefault="0025490C" w:rsidP="00BA456F">
            <w:pPr>
              <w:pStyle w:val="TableBullet"/>
              <w:ind w:left="284"/>
            </w:pPr>
            <w:r w:rsidRPr="00E07B1B">
              <w:t>3</w:t>
            </w:r>
            <w:r>
              <w:t>-</w:t>
            </w:r>
            <w:r w:rsidRPr="00E07B1B">
              <w:t>hour ≥ 7.8 mmol/L</w:t>
            </w:r>
          </w:p>
        </w:tc>
        <w:tc>
          <w:tcPr>
            <w:tcW w:w="1251" w:type="pct"/>
            <w:tcBorders>
              <w:top w:val="nil"/>
              <w:left w:val="nil"/>
              <w:bottom w:val="single" w:sz="4" w:space="0" w:color="auto"/>
              <w:right w:val="nil"/>
            </w:tcBorders>
            <w:shd w:val="clear" w:color="auto" w:fill="auto"/>
          </w:tcPr>
          <w:p w:rsidR="0025490C" w:rsidRPr="00E07B1B" w:rsidRDefault="0025490C" w:rsidP="003616DD">
            <w:pPr>
              <w:pStyle w:val="TableText"/>
            </w:pPr>
            <w:r w:rsidRPr="00E07B1B">
              <w:t>The incidence of GDM was significantly higher for women aged ≥</w:t>
            </w:r>
            <w:r>
              <w:t xml:space="preserve"> </w:t>
            </w:r>
            <w:r w:rsidRPr="00E07B1B">
              <w:t>45 years (17%) compared with women aged 20</w:t>
            </w:r>
            <w:r>
              <w:t>–</w:t>
            </w:r>
            <w:r w:rsidRPr="00E07B1B">
              <w:t>29 years (1.4%), 30</w:t>
            </w:r>
            <w:r>
              <w:t>–</w:t>
            </w:r>
            <w:r w:rsidRPr="00E07B1B">
              <w:t>39 years (4.2%) and 40</w:t>
            </w:r>
            <w:r>
              <w:t>–</w:t>
            </w:r>
            <w:r w:rsidRPr="00E07B1B">
              <w:t>44 years (10.2%)</w:t>
            </w:r>
            <w:r>
              <w:t>,</w:t>
            </w:r>
            <w:r w:rsidRPr="00E07B1B">
              <w:t xml:space="preserve"> </w:t>
            </w:r>
            <w:r w:rsidRPr="001D7AAD">
              <w:rPr>
                <w:i/>
              </w:rPr>
              <w:t>p</w:t>
            </w:r>
            <w:r>
              <w:t xml:space="preserve"> </w:t>
            </w:r>
            <w:r w:rsidRPr="00E07B1B">
              <w:t>&lt;</w:t>
            </w:r>
            <w:r>
              <w:t xml:space="preserve"> </w:t>
            </w:r>
            <w:r w:rsidRPr="00E07B1B">
              <w:t>0.001</w:t>
            </w:r>
            <w:r>
              <w:t>.</w:t>
            </w:r>
          </w:p>
        </w:tc>
        <w:tc>
          <w:tcPr>
            <w:tcW w:w="442" w:type="pct"/>
            <w:tcBorders>
              <w:top w:val="nil"/>
              <w:left w:val="nil"/>
            </w:tcBorders>
            <w:shd w:val="clear" w:color="auto" w:fill="auto"/>
          </w:tcPr>
          <w:p w:rsidR="0025490C" w:rsidRPr="00E07B1B" w:rsidRDefault="0025490C" w:rsidP="003616DD">
            <w:pPr>
              <w:pStyle w:val="TableText"/>
              <w:jc w:val="center"/>
            </w:pPr>
            <w:r w:rsidRPr="00E07B1B">
              <w:t>LOW</w:t>
            </w:r>
          </w:p>
        </w:tc>
      </w:tr>
    </w:tbl>
    <w:p w:rsidR="0025490C" w:rsidRPr="00E07B1B" w:rsidRDefault="0025490C" w:rsidP="00BA456F">
      <w:pPr>
        <w:pStyle w:val="Note"/>
        <w:ind w:left="0" w:firstLine="0"/>
      </w:pPr>
      <w:bookmarkStart w:id="445" w:name="_Toc358366900"/>
      <w:r>
        <w:t xml:space="preserve">Note: </w:t>
      </w:r>
      <w:r w:rsidRPr="00E07B1B">
        <w:t xml:space="preserve">ADA </w:t>
      </w:r>
      <w:r>
        <w:t>=</w:t>
      </w:r>
      <w:r w:rsidRPr="00E07B1B">
        <w:t xml:space="preserve"> American Diabetes Association; </w:t>
      </w:r>
      <w:r>
        <w:t xml:space="preserve">CI = confidence interval; GCT = glucose challenge test; </w:t>
      </w:r>
      <w:r w:rsidRPr="00E07B1B">
        <w:t xml:space="preserve">GDM </w:t>
      </w:r>
      <w:r>
        <w:t>=</w:t>
      </w:r>
      <w:r w:rsidRPr="00E07B1B">
        <w:t xml:space="preserve"> </w:t>
      </w:r>
      <w:r>
        <w:t>g</w:t>
      </w:r>
      <w:r w:rsidRPr="00E07B1B">
        <w:t xml:space="preserve">estational diabetes mellitus; IADPSG </w:t>
      </w:r>
      <w:r>
        <w:t>=</w:t>
      </w:r>
      <w:r w:rsidRPr="00E07B1B">
        <w:t xml:space="preserve"> International Association of Diabetes </w:t>
      </w:r>
      <w:r>
        <w:t>and</w:t>
      </w:r>
      <w:r w:rsidRPr="00E07B1B">
        <w:t xml:space="preserve"> Pregnancy Study Groups; NDDG </w:t>
      </w:r>
      <w:r>
        <w:t>=</w:t>
      </w:r>
      <w:r w:rsidRPr="00E07B1B">
        <w:t xml:space="preserve"> National Diabetes Data Group;</w:t>
      </w:r>
      <w:r>
        <w:t xml:space="preserve"> </w:t>
      </w:r>
      <w:r w:rsidRPr="00E07B1B">
        <w:t xml:space="preserve">OGCT </w:t>
      </w:r>
      <w:r>
        <w:t>=</w:t>
      </w:r>
      <w:r w:rsidRPr="00E07B1B">
        <w:t xml:space="preserve"> </w:t>
      </w:r>
      <w:r>
        <w:t>o</w:t>
      </w:r>
      <w:r w:rsidRPr="00E07B1B">
        <w:t xml:space="preserve">ral </w:t>
      </w:r>
      <w:r>
        <w:t>g</w:t>
      </w:r>
      <w:r w:rsidRPr="00E07B1B">
        <w:t xml:space="preserve">lucose </w:t>
      </w:r>
      <w:r>
        <w:t>c</w:t>
      </w:r>
      <w:r w:rsidRPr="00E07B1B">
        <w:t xml:space="preserve">hallenge </w:t>
      </w:r>
      <w:r>
        <w:t>t</w:t>
      </w:r>
      <w:r w:rsidRPr="00E07B1B">
        <w:t>est; OGTT</w:t>
      </w:r>
      <w:r>
        <w:t xml:space="preserve"> = o</w:t>
      </w:r>
      <w:r w:rsidRPr="00E07B1B">
        <w:t xml:space="preserve">ral </w:t>
      </w:r>
      <w:r>
        <w:t>g</w:t>
      </w:r>
      <w:r w:rsidRPr="00E07B1B">
        <w:t xml:space="preserve">lucose </w:t>
      </w:r>
      <w:r>
        <w:t>t</w:t>
      </w:r>
      <w:r w:rsidRPr="00E07B1B">
        <w:t xml:space="preserve">olerance </w:t>
      </w:r>
      <w:r>
        <w:t>t</w:t>
      </w:r>
      <w:r w:rsidRPr="00E07B1B">
        <w:t>est</w:t>
      </w:r>
      <w:r>
        <w:t>; OR = odds ratio</w:t>
      </w:r>
      <w:r w:rsidRPr="00E07B1B">
        <w:t>; WHO</w:t>
      </w:r>
      <w:r w:rsidR="00BA456F">
        <w:t> </w:t>
      </w:r>
      <w:r>
        <w:t>=</w:t>
      </w:r>
      <w:r w:rsidR="00BA456F">
        <w:t> </w:t>
      </w:r>
      <w:r w:rsidRPr="00E07B1B">
        <w:t>World Health Organi</w:t>
      </w:r>
      <w:r>
        <w:t>z</w:t>
      </w:r>
      <w:r w:rsidRPr="00E07B1B">
        <w:t>ation</w:t>
      </w:r>
      <w:r w:rsidR="00152FAD">
        <w:t>.</w:t>
      </w:r>
    </w:p>
    <w:p w:rsidR="0025490C" w:rsidRPr="00E07B1B" w:rsidRDefault="0025490C" w:rsidP="00BA456F"/>
    <w:p w:rsidR="0025490C" w:rsidRPr="00E07B1B" w:rsidRDefault="0025490C" w:rsidP="00BA456F">
      <w:pPr>
        <w:pStyle w:val="Table"/>
      </w:pPr>
      <w:bookmarkStart w:id="446" w:name="_Toc363717780"/>
      <w:bookmarkStart w:id="447" w:name="_Toc403635887"/>
      <w:r w:rsidRPr="00E07B1B">
        <w:t>Table 6</w:t>
      </w:r>
      <w:r w:rsidR="00152FAD">
        <w:t>:</w:t>
      </w:r>
      <w:r w:rsidRPr="00E07B1B">
        <w:t xml:space="preserve"> Studies reporting on ethnicity as a risk factor for developing gestational diabetes</w:t>
      </w:r>
      <w:bookmarkEnd w:id="445"/>
      <w:bookmarkEnd w:id="446"/>
      <w:bookmarkEnd w:id="447"/>
    </w:p>
    <w:tbl>
      <w:tblPr>
        <w:tblW w:w="4973" w:type="pct"/>
        <w:tblInd w:w="57" w:type="dxa"/>
        <w:tblLayout w:type="fixed"/>
        <w:tblCellMar>
          <w:left w:w="57" w:type="dxa"/>
          <w:right w:w="57" w:type="dxa"/>
        </w:tblCellMar>
        <w:tblLook w:val="00A0" w:firstRow="1" w:lastRow="0" w:firstColumn="1" w:lastColumn="0" w:noHBand="0" w:noVBand="0"/>
      </w:tblPr>
      <w:tblGrid>
        <w:gridCol w:w="1420"/>
        <w:gridCol w:w="1559"/>
        <w:gridCol w:w="1559"/>
        <w:gridCol w:w="3688"/>
        <w:gridCol w:w="5102"/>
        <w:gridCol w:w="1273"/>
      </w:tblGrid>
      <w:tr w:rsidR="003E3F88" w:rsidRPr="00A0217F" w:rsidTr="003E3F88">
        <w:trPr>
          <w:cantSplit/>
          <w:tblHeader/>
        </w:trPr>
        <w:tc>
          <w:tcPr>
            <w:tcW w:w="486" w:type="pct"/>
            <w:tcBorders>
              <w:top w:val="single" w:sz="4" w:space="0" w:color="auto"/>
              <w:bottom w:val="single" w:sz="4" w:space="0" w:color="auto"/>
            </w:tcBorders>
            <w:shd w:val="clear" w:color="auto" w:fill="auto"/>
          </w:tcPr>
          <w:p w:rsidR="0025490C" w:rsidRPr="00A0217F" w:rsidRDefault="0025490C" w:rsidP="00A0217F">
            <w:pPr>
              <w:pStyle w:val="TableText"/>
              <w:keepNext/>
              <w:rPr>
                <w:b/>
              </w:rPr>
            </w:pPr>
            <w:r w:rsidRPr="00A0217F">
              <w:rPr>
                <w:b/>
              </w:rPr>
              <w:t>Study</w:t>
            </w:r>
          </w:p>
        </w:tc>
        <w:tc>
          <w:tcPr>
            <w:tcW w:w="534" w:type="pct"/>
            <w:tcBorders>
              <w:top w:val="single" w:sz="4" w:space="0" w:color="auto"/>
              <w:bottom w:val="single" w:sz="4" w:space="0" w:color="auto"/>
            </w:tcBorders>
            <w:shd w:val="clear" w:color="auto" w:fill="auto"/>
          </w:tcPr>
          <w:p w:rsidR="0025490C" w:rsidRPr="00A0217F" w:rsidRDefault="0025490C" w:rsidP="00A0217F">
            <w:pPr>
              <w:pStyle w:val="TableText"/>
              <w:keepNext/>
              <w:rPr>
                <w:b/>
              </w:rPr>
            </w:pPr>
            <w:r w:rsidRPr="00A0217F">
              <w:rPr>
                <w:b/>
              </w:rPr>
              <w:t>Country and sample size</w:t>
            </w:r>
          </w:p>
        </w:tc>
        <w:tc>
          <w:tcPr>
            <w:tcW w:w="534" w:type="pct"/>
            <w:tcBorders>
              <w:top w:val="single" w:sz="4" w:space="0" w:color="auto"/>
              <w:bottom w:val="single" w:sz="4" w:space="0" w:color="auto"/>
            </w:tcBorders>
            <w:shd w:val="clear" w:color="auto" w:fill="auto"/>
          </w:tcPr>
          <w:p w:rsidR="0025490C" w:rsidRPr="00A0217F" w:rsidRDefault="0025490C" w:rsidP="00A0217F">
            <w:pPr>
              <w:pStyle w:val="TableText"/>
              <w:keepNext/>
              <w:rPr>
                <w:b/>
              </w:rPr>
            </w:pPr>
            <w:r w:rsidRPr="00A0217F">
              <w:rPr>
                <w:b/>
              </w:rPr>
              <w:t>Study type</w:t>
            </w:r>
          </w:p>
        </w:tc>
        <w:tc>
          <w:tcPr>
            <w:tcW w:w="1263" w:type="pct"/>
            <w:tcBorders>
              <w:top w:val="single" w:sz="4" w:space="0" w:color="auto"/>
              <w:bottom w:val="single" w:sz="4" w:space="0" w:color="auto"/>
            </w:tcBorders>
            <w:shd w:val="clear" w:color="auto" w:fill="auto"/>
          </w:tcPr>
          <w:p w:rsidR="0025490C" w:rsidRPr="00A0217F" w:rsidRDefault="0025490C" w:rsidP="00A0217F">
            <w:pPr>
              <w:pStyle w:val="TableText"/>
              <w:keepNext/>
              <w:rPr>
                <w:b/>
              </w:rPr>
            </w:pPr>
            <w:r w:rsidRPr="00A0217F">
              <w:rPr>
                <w:b/>
              </w:rPr>
              <w:t>Screening/diagnostic criteria</w:t>
            </w:r>
          </w:p>
        </w:tc>
        <w:tc>
          <w:tcPr>
            <w:tcW w:w="1747" w:type="pct"/>
            <w:tcBorders>
              <w:top w:val="single" w:sz="4" w:space="0" w:color="auto"/>
              <w:bottom w:val="single" w:sz="4" w:space="0" w:color="auto"/>
            </w:tcBorders>
            <w:shd w:val="clear" w:color="auto" w:fill="auto"/>
          </w:tcPr>
          <w:p w:rsidR="0025490C" w:rsidRPr="00A0217F" w:rsidRDefault="0025490C" w:rsidP="00A0217F">
            <w:pPr>
              <w:pStyle w:val="TableText"/>
              <w:keepNext/>
              <w:rPr>
                <w:b/>
              </w:rPr>
            </w:pPr>
            <w:r w:rsidRPr="00A0217F">
              <w:rPr>
                <w:b/>
              </w:rPr>
              <w:t>Main results</w:t>
            </w:r>
          </w:p>
        </w:tc>
        <w:tc>
          <w:tcPr>
            <w:tcW w:w="437" w:type="pct"/>
            <w:tcBorders>
              <w:top w:val="single" w:sz="4" w:space="0" w:color="auto"/>
              <w:left w:val="nil"/>
              <w:bottom w:val="single" w:sz="4" w:space="0" w:color="auto"/>
            </w:tcBorders>
            <w:shd w:val="clear" w:color="auto" w:fill="auto"/>
          </w:tcPr>
          <w:p w:rsidR="0025490C" w:rsidRPr="00A0217F" w:rsidRDefault="0025490C" w:rsidP="002716E2">
            <w:pPr>
              <w:pStyle w:val="TableText"/>
              <w:keepNext/>
              <w:jc w:val="center"/>
              <w:rPr>
                <w:b/>
              </w:rPr>
            </w:pPr>
            <w:r w:rsidRPr="00A0217F">
              <w:rPr>
                <w:b/>
              </w:rPr>
              <w:t>Quality of evidence</w:t>
            </w:r>
          </w:p>
        </w:tc>
      </w:tr>
      <w:tr w:rsidR="003E3F88" w:rsidRPr="00E07B1B" w:rsidTr="003E3F88">
        <w:trPr>
          <w:cantSplit/>
        </w:trPr>
        <w:tc>
          <w:tcPr>
            <w:tcW w:w="486" w:type="pct"/>
            <w:tcBorders>
              <w:top w:val="single" w:sz="4" w:space="0" w:color="auto"/>
            </w:tcBorders>
            <w:shd w:val="clear" w:color="auto" w:fill="F2F2F2" w:themeFill="background1" w:themeFillShade="F2"/>
          </w:tcPr>
          <w:p w:rsidR="0025490C" w:rsidRPr="00E07B1B" w:rsidRDefault="0025490C" w:rsidP="00A0217F">
            <w:pPr>
              <w:pStyle w:val="TableText"/>
            </w:pPr>
            <w:r w:rsidRPr="00E07B1B">
              <w:t>Getahun</w:t>
            </w:r>
            <w:r>
              <w:t xml:space="preserve"> </w:t>
            </w:r>
            <w:r w:rsidRPr="00E07B1B">
              <w:t>(2010)</w:t>
            </w:r>
          </w:p>
        </w:tc>
        <w:tc>
          <w:tcPr>
            <w:tcW w:w="534" w:type="pct"/>
            <w:tcBorders>
              <w:top w:val="single" w:sz="4" w:space="0" w:color="auto"/>
            </w:tcBorders>
            <w:shd w:val="clear" w:color="auto" w:fill="F2F2F2" w:themeFill="background1" w:themeFillShade="F2"/>
          </w:tcPr>
          <w:p w:rsidR="0025490C" w:rsidRPr="00E07B1B" w:rsidRDefault="0025490C" w:rsidP="002716E2">
            <w:pPr>
              <w:pStyle w:val="TableText"/>
            </w:pPr>
            <w:r w:rsidRPr="00E07B1B">
              <w:t>USA</w:t>
            </w:r>
            <w:r w:rsidR="002716E2">
              <w:br/>
            </w:r>
            <w:r w:rsidRPr="00E07B1B">
              <w:t>540,956</w:t>
            </w:r>
          </w:p>
        </w:tc>
        <w:tc>
          <w:tcPr>
            <w:tcW w:w="534" w:type="pct"/>
            <w:tcBorders>
              <w:top w:val="single" w:sz="4" w:space="0" w:color="auto"/>
            </w:tcBorders>
            <w:shd w:val="clear" w:color="auto" w:fill="F2F2F2" w:themeFill="background1" w:themeFillShade="F2"/>
          </w:tcPr>
          <w:p w:rsidR="0025490C" w:rsidRPr="00E07B1B" w:rsidRDefault="0025490C" w:rsidP="00A0217F">
            <w:pPr>
              <w:pStyle w:val="TableText"/>
            </w:pPr>
            <w:r w:rsidRPr="00E07B1B">
              <w:t>Retrospective cohort</w:t>
            </w:r>
          </w:p>
        </w:tc>
        <w:tc>
          <w:tcPr>
            <w:tcW w:w="1263" w:type="pct"/>
            <w:tcBorders>
              <w:top w:val="single" w:sz="4" w:space="0" w:color="auto"/>
            </w:tcBorders>
            <w:shd w:val="clear" w:color="auto" w:fill="F2F2F2" w:themeFill="background1" w:themeFillShade="F2"/>
          </w:tcPr>
          <w:p w:rsidR="0025490C" w:rsidRPr="00E07B1B" w:rsidRDefault="0025490C" w:rsidP="003E3F88">
            <w:pPr>
              <w:pStyle w:val="TableText"/>
              <w:ind w:right="142"/>
            </w:pPr>
            <w:r w:rsidRPr="00E07B1B">
              <w:t>Used ICD codes to identify women with a diagnosis of GDM</w:t>
            </w:r>
          </w:p>
        </w:tc>
        <w:tc>
          <w:tcPr>
            <w:tcW w:w="1747" w:type="pct"/>
            <w:tcBorders>
              <w:top w:val="single" w:sz="4" w:space="0" w:color="auto"/>
            </w:tcBorders>
            <w:shd w:val="clear" w:color="auto" w:fill="F2F2F2" w:themeFill="background1" w:themeFillShade="F2"/>
          </w:tcPr>
          <w:p w:rsidR="0025490C" w:rsidRDefault="0025490C" w:rsidP="002716E2">
            <w:pPr>
              <w:pStyle w:val="TableText"/>
              <w:spacing w:after="30"/>
            </w:pPr>
            <w:r w:rsidRPr="00E07B1B">
              <w:t xml:space="preserve">Compared with women who had not been diagnosed with GDM in the first </w:t>
            </w:r>
            <w:r>
              <w:t>two</w:t>
            </w:r>
            <w:r w:rsidRPr="00E07B1B">
              <w:t xml:space="preserve"> pregnancies, the risk of GDM being diagnosed in the third pregnancy for women who had already had </w:t>
            </w:r>
            <w:r>
              <w:t>two</w:t>
            </w:r>
            <w:r w:rsidRPr="00E07B1B">
              <w:t xml:space="preserve"> GDM pregnancies was</w:t>
            </w:r>
            <w:r>
              <w:t>:</w:t>
            </w:r>
          </w:p>
          <w:p w:rsidR="0025490C" w:rsidRDefault="0025490C" w:rsidP="002716E2">
            <w:pPr>
              <w:pStyle w:val="TableBullet"/>
              <w:spacing w:after="30"/>
              <w:ind w:left="284"/>
            </w:pPr>
            <w:r w:rsidRPr="00E07B1B">
              <w:t>OR 35.0 (95%CI 14.8</w:t>
            </w:r>
            <w:r>
              <w:t>–</w:t>
            </w:r>
            <w:r w:rsidRPr="00E07B1B">
              <w:t>83.1) for non-Hispanic White</w:t>
            </w:r>
          </w:p>
          <w:p w:rsidR="0025490C" w:rsidRDefault="0025490C" w:rsidP="002716E2">
            <w:pPr>
              <w:pStyle w:val="TableBullet"/>
              <w:spacing w:after="30"/>
              <w:ind w:left="284"/>
            </w:pPr>
            <w:r w:rsidRPr="00E07B1B">
              <w:t>OR 158.4 (95%CI 22.8</w:t>
            </w:r>
            <w:r>
              <w:t>–</w:t>
            </w:r>
            <w:r w:rsidRPr="00E07B1B">
              <w:t>897) for non-Hispanic Black</w:t>
            </w:r>
          </w:p>
          <w:p w:rsidR="0068074A" w:rsidRDefault="0025490C" w:rsidP="002716E2">
            <w:pPr>
              <w:pStyle w:val="TableBullet"/>
              <w:spacing w:after="30"/>
              <w:ind w:left="284"/>
            </w:pPr>
            <w:r w:rsidRPr="00E07B1B">
              <w:t>OR 17.3 (95%CI 9.9</w:t>
            </w:r>
            <w:r>
              <w:t>–</w:t>
            </w:r>
            <w:r w:rsidRPr="00E07B1B">
              <w:t>30.1) for Hispanic</w:t>
            </w:r>
          </w:p>
          <w:p w:rsidR="0025490C" w:rsidRPr="00E07B1B" w:rsidRDefault="0025490C" w:rsidP="002716E2">
            <w:pPr>
              <w:pStyle w:val="TableBullet"/>
              <w:ind w:left="284"/>
            </w:pPr>
            <w:r w:rsidRPr="00E07B1B">
              <w:t>OR 36.1 (95%CI 14.7</w:t>
            </w:r>
            <w:r>
              <w:t>–</w:t>
            </w:r>
            <w:r w:rsidRPr="00E07B1B">
              <w:t>89) for Asian/Pacific Islander.</w:t>
            </w:r>
          </w:p>
        </w:tc>
        <w:tc>
          <w:tcPr>
            <w:tcW w:w="437" w:type="pct"/>
            <w:tcBorders>
              <w:top w:val="single" w:sz="4" w:space="0" w:color="auto"/>
            </w:tcBorders>
            <w:shd w:val="clear" w:color="auto" w:fill="F2F2F2" w:themeFill="background1" w:themeFillShade="F2"/>
          </w:tcPr>
          <w:p w:rsidR="0025490C" w:rsidRPr="00E07B1B" w:rsidRDefault="0025490C" w:rsidP="002716E2">
            <w:pPr>
              <w:pStyle w:val="TableText"/>
              <w:jc w:val="center"/>
            </w:pPr>
            <w:r w:rsidRPr="00E07B1B">
              <w:t>MEDIUM</w:t>
            </w:r>
          </w:p>
        </w:tc>
      </w:tr>
      <w:tr w:rsidR="003E3F88" w:rsidRPr="00E07B1B" w:rsidTr="003E3F88">
        <w:trPr>
          <w:cantSplit/>
        </w:trPr>
        <w:tc>
          <w:tcPr>
            <w:tcW w:w="486" w:type="pct"/>
            <w:shd w:val="clear" w:color="auto" w:fill="auto"/>
          </w:tcPr>
          <w:p w:rsidR="0025490C" w:rsidRPr="00E07B1B" w:rsidRDefault="0025490C" w:rsidP="00A0217F">
            <w:pPr>
              <w:pStyle w:val="TableText"/>
            </w:pPr>
            <w:r w:rsidRPr="00E07B1B">
              <w:t>Singh</w:t>
            </w:r>
            <w:r>
              <w:t xml:space="preserve"> </w:t>
            </w:r>
            <w:r w:rsidRPr="00E07B1B">
              <w:t>(2012)</w:t>
            </w:r>
          </w:p>
        </w:tc>
        <w:tc>
          <w:tcPr>
            <w:tcW w:w="534" w:type="pct"/>
            <w:shd w:val="clear" w:color="auto" w:fill="auto"/>
          </w:tcPr>
          <w:p w:rsidR="0025490C" w:rsidRPr="00E07B1B" w:rsidRDefault="0025490C" w:rsidP="002716E2">
            <w:pPr>
              <w:pStyle w:val="TableText"/>
            </w:pPr>
            <w:r w:rsidRPr="00E07B1B">
              <w:t>USA</w:t>
            </w:r>
            <w:r w:rsidR="002716E2">
              <w:br/>
            </w:r>
            <w:r w:rsidRPr="00E07B1B">
              <w:t>26,842</w:t>
            </w:r>
          </w:p>
        </w:tc>
        <w:tc>
          <w:tcPr>
            <w:tcW w:w="534" w:type="pct"/>
            <w:shd w:val="clear" w:color="auto" w:fill="auto"/>
          </w:tcPr>
          <w:p w:rsidR="0025490C" w:rsidRPr="00E07B1B" w:rsidRDefault="0025490C" w:rsidP="00A0217F">
            <w:pPr>
              <w:pStyle w:val="TableText"/>
            </w:pPr>
            <w:r w:rsidRPr="00E07B1B">
              <w:t>Retrospective cohort</w:t>
            </w:r>
          </w:p>
        </w:tc>
        <w:tc>
          <w:tcPr>
            <w:tcW w:w="1263" w:type="pct"/>
            <w:shd w:val="clear" w:color="auto" w:fill="auto"/>
          </w:tcPr>
          <w:p w:rsidR="0025490C" w:rsidRPr="00E07B1B" w:rsidRDefault="0025490C" w:rsidP="003E3F88">
            <w:pPr>
              <w:pStyle w:val="TableText"/>
              <w:ind w:right="142"/>
            </w:pPr>
            <w:r w:rsidRPr="00E07B1B">
              <w:t>Not clearly specified</w:t>
            </w:r>
          </w:p>
        </w:tc>
        <w:tc>
          <w:tcPr>
            <w:tcW w:w="1747" w:type="pct"/>
            <w:shd w:val="clear" w:color="auto" w:fill="auto"/>
          </w:tcPr>
          <w:p w:rsidR="0025490C" w:rsidRPr="00E07B1B" w:rsidRDefault="0025490C" w:rsidP="00A0217F">
            <w:pPr>
              <w:pStyle w:val="TableText"/>
            </w:pPr>
            <w:r w:rsidRPr="00E07B1B">
              <w:t>All ethnicities examined had a higher risk of GDM compared with Whites (Caucasians).</w:t>
            </w:r>
          </w:p>
        </w:tc>
        <w:tc>
          <w:tcPr>
            <w:tcW w:w="437" w:type="pct"/>
            <w:shd w:val="clear" w:color="auto" w:fill="auto"/>
          </w:tcPr>
          <w:p w:rsidR="0025490C" w:rsidRPr="00E07B1B" w:rsidRDefault="0025490C" w:rsidP="002716E2">
            <w:pPr>
              <w:pStyle w:val="TableText"/>
              <w:jc w:val="center"/>
            </w:pPr>
            <w:r w:rsidRPr="00E07B1B">
              <w:t>LOW</w:t>
            </w:r>
          </w:p>
        </w:tc>
      </w:tr>
      <w:tr w:rsidR="003E3F88" w:rsidRPr="00E07B1B" w:rsidTr="003E3F88">
        <w:trPr>
          <w:cantSplit/>
        </w:trPr>
        <w:tc>
          <w:tcPr>
            <w:tcW w:w="486" w:type="pct"/>
            <w:shd w:val="clear" w:color="auto" w:fill="F2F2F2" w:themeFill="background1" w:themeFillShade="F2"/>
          </w:tcPr>
          <w:p w:rsidR="0025490C" w:rsidRPr="00E07B1B" w:rsidRDefault="0025490C" w:rsidP="00A0217F">
            <w:pPr>
              <w:pStyle w:val="TableText"/>
            </w:pPr>
            <w:r w:rsidRPr="00E07B1B">
              <w:t>Hedderson (2012)</w:t>
            </w:r>
          </w:p>
        </w:tc>
        <w:tc>
          <w:tcPr>
            <w:tcW w:w="534" w:type="pct"/>
            <w:shd w:val="clear" w:color="auto" w:fill="F2F2F2" w:themeFill="background1" w:themeFillShade="F2"/>
          </w:tcPr>
          <w:p w:rsidR="0025490C" w:rsidRPr="00E07B1B" w:rsidRDefault="0025490C" w:rsidP="002716E2">
            <w:pPr>
              <w:pStyle w:val="TableText"/>
            </w:pPr>
            <w:r w:rsidRPr="00E07B1B">
              <w:t>USA</w:t>
            </w:r>
            <w:r w:rsidR="002716E2">
              <w:br/>
            </w:r>
            <w:r w:rsidRPr="00E07B1B">
              <w:t>123,040</w:t>
            </w:r>
          </w:p>
        </w:tc>
        <w:tc>
          <w:tcPr>
            <w:tcW w:w="534" w:type="pct"/>
            <w:shd w:val="clear" w:color="auto" w:fill="F2F2F2" w:themeFill="background1" w:themeFillShade="F2"/>
          </w:tcPr>
          <w:p w:rsidR="0025490C" w:rsidRPr="00E07B1B" w:rsidRDefault="0025490C" w:rsidP="00A0217F">
            <w:pPr>
              <w:pStyle w:val="TableText"/>
            </w:pPr>
            <w:r w:rsidRPr="00E07B1B">
              <w:t>Cohort</w:t>
            </w:r>
          </w:p>
        </w:tc>
        <w:tc>
          <w:tcPr>
            <w:tcW w:w="1263" w:type="pct"/>
            <w:shd w:val="clear" w:color="auto" w:fill="F2F2F2" w:themeFill="background1" w:themeFillShade="F2"/>
          </w:tcPr>
          <w:p w:rsidR="0068074A" w:rsidRDefault="0025490C" w:rsidP="003E3F88">
            <w:pPr>
              <w:pStyle w:val="TableText"/>
              <w:spacing w:after="30"/>
              <w:ind w:right="142"/>
            </w:pPr>
            <w:r w:rsidRPr="00E07B1B">
              <w:t>50</w:t>
            </w:r>
            <w:r>
              <w:t xml:space="preserve"> </w:t>
            </w:r>
            <w:r w:rsidRPr="00E07B1B">
              <w:t>g test and if abnormal underwent 3</w:t>
            </w:r>
            <w:r w:rsidR="002716E2">
              <w:noBreakHyphen/>
            </w:r>
            <w:r w:rsidRPr="00E07B1B">
              <w:t>hour</w:t>
            </w:r>
            <w:r>
              <w:t>,</w:t>
            </w:r>
            <w:r w:rsidRPr="00E07B1B">
              <w:t xml:space="preserve"> 100</w:t>
            </w:r>
            <w:r w:rsidR="002716E2">
              <w:t> </w:t>
            </w:r>
            <w:r w:rsidRPr="00E07B1B">
              <w:t xml:space="preserve">g OGTT </w:t>
            </w:r>
            <w:r>
              <w:t xml:space="preserve">with </w:t>
            </w:r>
            <w:r w:rsidRPr="00E07B1B">
              <w:t>two or more abnormal values</w:t>
            </w:r>
            <w:r>
              <w:t xml:space="preserve"> required, using</w:t>
            </w:r>
            <w:r w:rsidRPr="00E07B1B">
              <w:t xml:space="preserve"> ADA criteria</w:t>
            </w:r>
            <w:r>
              <w:t>:</w:t>
            </w:r>
          </w:p>
          <w:p w:rsidR="0025490C" w:rsidRDefault="0025490C" w:rsidP="003E3F88">
            <w:pPr>
              <w:pStyle w:val="TableBullet"/>
              <w:spacing w:after="30"/>
              <w:ind w:left="284" w:right="142"/>
            </w:pPr>
            <w:r w:rsidRPr="00E07B1B">
              <w:t>fasting 95</w:t>
            </w:r>
            <w:r>
              <w:t xml:space="preserve"> </w:t>
            </w:r>
            <w:r w:rsidRPr="00E07B1B">
              <w:t>mg</w:t>
            </w:r>
            <w:r>
              <w:t>/dL</w:t>
            </w:r>
          </w:p>
          <w:p w:rsidR="0025490C" w:rsidRDefault="0025490C" w:rsidP="003E3F88">
            <w:pPr>
              <w:pStyle w:val="TableBullet"/>
              <w:spacing w:after="30"/>
              <w:ind w:left="284" w:right="142"/>
            </w:pPr>
            <w:r w:rsidRPr="00E07B1B">
              <w:t>1</w:t>
            </w:r>
            <w:r>
              <w:noBreakHyphen/>
            </w:r>
            <w:r w:rsidRPr="00E07B1B">
              <w:t>hour 180</w:t>
            </w:r>
            <w:r>
              <w:t xml:space="preserve"> </w:t>
            </w:r>
            <w:r w:rsidRPr="00E07B1B">
              <w:t>mg</w:t>
            </w:r>
            <w:r>
              <w:t>/dL</w:t>
            </w:r>
          </w:p>
          <w:p w:rsidR="0025490C" w:rsidRDefault="0025490C" w:rsidP="003E3F88">
            <w:pPr>
              <w:pStyle w:val="TableBullet"/>
              <w:spacing w:after="30"/>
              <w:ind w:left="284" w:right="142"/>
            </w:pPr>
            <w:r w:rsidRPr="00E07B1B">
              <w:t>2</w:t>
            </w:r>
            <w:r>
              <w:t>-</w:t>
            </w:r>
            <w:r w:rsidRPr="00E07B1B">
              <w:t>hour 155 mg</w:t>
            </w:r>
            <w:r>
              <w:t>/dL</w:t>
            </w:r>
          </w:p>
          <w:p w:rsidR="0025490C" w:rsidRPr="00E07B1B" w:rsidRDefault="0025490C" w:rsidP="003E3F88">
            <w:pPr>
              <w:pStyle w:val="TableBullet"/>
              <w:ind w:left="284" w:right="142"/>
            </w:pPr>
            <w:r w:rsidRPr="00E07B1B">
              <w:t>3</w:t>
            </w:r>
            <w:r>
              <w:t>-</w:t>
            </w:r>
            <w:r w:rsidRPr="00E07B1B">
              <w:t>hour 140</w:t>
            </w:r>
            <w:r>
              <w:t xml:space="preserve"> </w:t>
            </w:r>
            <w:r w:rsidRPr="00E07B1B">
              <w:t>mg</w:t>
            </w:r>
            <w:r>
              <w:t>/dL</w:t>
            </w:r>
            <w:r w:rsidRPr="00E07B1B">
              <w:t>.</w:t>
            </w:r>
          </w:p>
        </w:tc>
        <w:tc>
          <w:tcPr>
            <w:tcW w:w="1747" w:type="pct"/>
            <w:shd w:val="clear" w:color="auto" w:fill="F2F2F2" w:themeFill="background1" w:themeFillShade="F2"/>
          </w:tcPr>
          <w:p w:rsidR="0025490C" w:rsidRPr="00E07B1B" w:rsidRDefault="0025490C" w:rsidP="00A0217F">
            <w:pPr>
              <w:pStyle w:val="TableText"/>
            </w:pPr>
            <w:r w:rsidRPr="00E07B1B">
              <w:t>Prevalence of GDM in Asian and Filipina women was higher at a lower BMI (22</w:t>
            </w:r>
            <w:r>
              <w:t>–</w:t>
            </w:r>
            <w:r w:rsidRPr="00E07B1B">
              <w:t>24.9</w:t>
            </w:r>
            <w:r>
              <w:t xml:space="preserve"> </w:t>
            </w:r>
            <w:r w:rsidRPr="00E07B1B">
              <w:t>kg/m</w:t>
            </w:r>
            <w:r w:rsidRPr="00E07B1B">
              <w:rPr>
                <w:vertAlign w:val="superscript"/>
              </w:rPr>
              <w:t>2</w:t>
            </w:r>
            <w:r w:rsidRPr="00E07B1B">
              <w:t xml:space="preserve">) whereas for Hispanic, non-Hispanic </w:t>
            </w:r>
            <w:r>
              <w:t>W</w:t>
            </w:r>
            <w:r w:rsidRPr="00E07B1B">
              <w:t>hite and African American women the higher</w:t>
            </w:r>
            <w:r>
              <w:t xml:space="preserve"> </w:t>
            </w:r>
            <w:r w:rsidRPr="00E07B1B">
              <w:t>prevalence occurred with BMIs of 28</w:t>
            </w:r>
            <w:r>
              <w:t>–</w:t>
            </w:r>
            <w:r w:rsidRPr="00E07B1B">
              <w:t>30, 34</w:t>
            </w:r>
            <w:r>
              <w:t>–</w:t>
            </w:r>
            <w:r w:rsidRPr="00E07B1B">
              <w:t>36 and</w:t>
            </w:r>
            <w:r>
              <w:t xml:space="preserve"> </w:t>
            </w:r>
            <w:r w:rsidRPr="00E07B1B">
              <w:t>≥37</w:t>
            </w:r>
            <w:r>
              <w:t xml:space="preserve"> </w:t>
            </w:r>
            <w:r w:rsidRPr="00E07B1B">
              <w:t>kg/m</w:t>
            </w:r>
            <w:r w:rsidRPr="00E07B1B">
              <w:rPr>
                <w:vertAlign w:val="superscript"/>
              </w:rPr>
              <w:t>2</w:t>
            </w:r>
            <w:r w:rsidRPr="00E07B1B">
              <w:t xml:space="preserve"> respectively.</w:t>
            </w:r>
          </w:p>
        </w:tc>
        <w:tc>
          <w:tcPr>
            <w:tcW w:w="437" w:type="pct"/>
            <w:shd w:val="clear" w:color="auto" w:fill="F2F2F2" w:themeFill="background1" w:themeFillShade="F2"/>
          </w:tcPr>
          <w:p w:rsidR="0025490C" w:rsidRPr="00E07B1B" w:rsidRDefault="0025490C" w:rsidP="002716E2">
            <w:pPr>
              <w:pStyle w:val="TableText"/>
              <w:jc w:val="center"/>
            </w:pPr>
            <w:r w:rsidRPr="00E07B1B">
              <w:t>LOW</w:t>
            </w:r>
          </w:p>
        </w:tc>
      </w:tr>
      <w:tr w:rsidR="003E3F88" w:rsidRPr="00E07B1B" w:rsidTr="003E3F88">
        <w:trPr>
          <w:cantSplit/>
        </w:trPr>
        <w:tc>
          <w:tcPr>
            <w:tcW w:w="486" w:type="pct"/>
            <w:shd w:val="clear" w:color="auto" w:fill="auto"/>
          </w:tcPr>
          <w:p w:rsidR="0025490C" w:rsidRPr="00E07B1B" w:rsidRDefault="0025490C" w:rsidP="00A0217F">
            <w:pPr>
              <w:pStyle w:val="TableText"/>
            </w:pPr>
            <w:r w:rsidRPr="00E07B1B">
              <w:t>Teh</w:t>
            </w:r>
            <w:r>
              <w:t xml:space="preserve"> </w:t>
            </w:r>
            <w:r w:rsidRPr="00E07B1B">
              <w:t>(2011)</w:t>
            </w:r>
          </w:p>
        </w:tc>
        <w:tc>
          <w:tcPr>
            <w:tcW w:w="534" w:type="pct"/>
            <w:shd w:val="clear" w:color="auto" w:fill="auto"/>
          </w:tcPr>
          <w:p w:rsidR="0025490C" w:rsidRPr="00E07B1B" w:rsidRDefault="0025490C" w:rsidP="003E3F88">
            <w:pPr>
              <w:pStyle w:val="TableText"/>
            </w:pPr>
            <w:r w:rsidRPr="00E07B1B">
              <w:t>Australia</w:t>
            </w:r>
            <w:r w:rsidR="003E3F88">
              <w:br/>
            </w:r>
            <w:r w:rsidRPr="00E07B1B">
              <w:t>2880</w:t>
            </w:r>
          </w:p>
        </w:tc>
        <w:tc>
          <w:tcPr>
            <w:tcW w:w="534" w:type="pct"/>
            <w:shd w:val="clear" w:color="auto" w:fill="auto"/>
          </w:tcPr>
          <w:p w:rsidR="0025490C" w:rsidRPr="00E07B1B" w:rsidRDefault="0025490C" w:rsidP="00A0217F">
            <w:pPr>
              <w:pStyle w:val="TableText"/>
            </w:pPr>
            <w:r w:rsidRPr="00E07B1B">
              <w:t>Retrospective cohort</w:t>
            </w:r>
          </w:p>
        </w:tc>
        <w:tc>
          <w:tcPr>
            <w:tcW w:w="1263" w:type="pct"/>
            <w:shd w:val="clear" w:color="auto" w:fill="auto"/>
          </w:tcPr>
          <w:p w:rsidR="0025490C" w:rsidRDefault="0025490C" w:rsidP="003E3F88">
            <w:pPr>
              <w:pStyle w:val="TableText"/>
              <w:spacing w:after="30"/>
              <w:ind w:right="142"/>
            </w:pPr>
            <w:r w:rsidRPr="00E07B1B">
              <w:t>Women screened with non-fasting 75</w:t>
            </w:r>
            <w:r w:rsidR="003E3F88">
              <w:t> </w:t>
            </w:r>
            <w:r w:rsidRPr="00E07B1B">
              <w:t>g glucose challenge test at 26</w:t>
            </w:r>
            <w:r w:rsidR="003E3F88">
              <w:t>–</w:t>
            </w:r>
            <w:r w:rsidRPr="00E07B1B">
              <w:t>28 weeks</w:t>
            </w:r>
            <w:r w:rsidR="0068074A">
              <w:t>’</w:t>
            </w:r>
            <w:r w:rsidRPr="00E07B1B">
              <w:t xml:space="preserve"> gestation. Positive result (1</w:t>
            </w:r>
            <w:r w:rsidR="003E3F88">
              <w:noBreakHyphen/>
            </w:r>
            <w:r>
              <w:t xml:space="preserve">hour </w:t>
            </w:r>
            <w:r w:rsidRPr="00E07B1B">
              <w:t>venous plasma glucose ≥</w:t>
            </w:r>
            <w:r w:rsidR="003E3F88">
              <w:t> </w:t>
            </w:r>
            <w:r w:rsidRPr="00E07B1B">
              <w:t>8.0</w:t>
            </w:r>
            <w:r w:rsidR="003E3F88">
              <w:t> </w:t>
            </w:r>
            <w:r w:rsidRPr="00E07B1B">
              <w:t>mmol</w:t>
            </w:r>
            <w:r>
              <w:t>/L</w:t>
            </w:r>
            <w:r w:rsidRPr="00E07B1B">
              <w:t>) proceeded to a 2</w:t>
            </w:r>
            <w:r w:rsidR="003E3F88">
              <w:noBreakHyphen/>
            </w:r>
            <w:r w:rsidRPr="00E07B1B">
              <w:t>h</w:t>
            </w:r>
            <w:r>
              <w:t>ou</w:t>
            </w:r>
            <w:r w:rsidRPr="00E07B1B">
              <w:t>r</w:t>
            </w:r>
            <w:r>
              <w:t>,</w:t>
            </w:r>
            <w:r w:rsidRPr="00E07B1B">
              <w:t xml:space="preserve"> 75</w:t>
            </w:r>
            <w:r>
              <w:t xml:space="preserve"> </w:t>
            </w:r>
            <w:r w:rsidRPr="00E07B1B">
              <w:t>g OGTT. Diagnosis based on</w:t>
            </w:r>
            <w:r>
              <w:t>:</w:t>
            </w:r>
          </w:p>
          <w:p w:rsidR="0068074A" w:rsidRDefault="0025490C" w:rsidP="003E3F88">
            <w:pPr>
              <w:pStyle w:val="TableBullet"/>
              <w:spacing w:after="30"/>
              <w:ind w:left="284"/>
            </w:pPr>
            <w:r w:rsidRPr="00E07B1B">
              <w:t>fasting venous plasma glucose level ≥</w:t>
            </w:r>
            <w:r w:rsidR="003E3F88">
              <w:t> </w:t>
            </w:r>
            <w:r w:rsidRPr="00E07B1B">
              <w:t>5.5</w:t>
            </w:r>
            <w:r>
              <w:t xml:space="preserve"> </w:t>
            </w:r>
            <w:r w:rsidRPr="00E07B1B">
              <w:t>mmol</w:t>
            </w:r>
            <w:r>
              <w:t>/L</w:t>
            </w:r>
            <w:r w:rsidRPr="00E07B1B">
              <w:t xml:space="preserve"> or</w:t>
            </w:r>
          </w:p>
          <w:p w:rsidR="0025490C" w:rsidRPr="00E07B1B" w:rsidRDefault="0025490C" w:rsidP="003E3F88">
            <w:pPr>
              <w:pStyle w:val="TableBullet"/>
              <w:ind w:left="284"/>
            </w:pPr>
            <w:r w:rsidRPr="00E07B1B">
              <w:t>a 2</w:t>
            </w:r>
            <w:r>
              <w:t>-</w:t>
            </w:r>
            <w:r w:rsidRPr="00E07B1B">
              <w:t>h</w:t>
            </w:r>
            <w:r>
              <w:t>ou</w:t>
            </w:r>
            <w:r w:rsidRPr="00E07B1B">
              <w:t>r level of ≥8.0</w:t>
            </w:r>
            <w:r>
              <w:t xml:space="preserve"> </w:t>
            </w:r>
            <w:r w:rsidRPr="00E07B1B">
              <w:t>mmol</w:t>
            </w:r>
            <w:r>
              <w:t>/L</w:t>
            </w:r>
          </w:p>
        </w:tc>
        <w:tc>
          <w:tcPr>
            <w:tcW w:w="1747" w:type="pct"/>
            <w:shd w:val="clear" w:color="auto" w:fill="auto"/>
          </w:tcPr>
          <w:p w:rsidR="0025490C" w:rsidRPr="00E07B1B" w:rsidRDefault="0025490C" w:rsidP="003E3F88">
            <w:pPr>
              <w:pStyle w:val="TableText"/>
              <w:spacing w:after="30"/>
            </w:pPr>
            <w:r w:rsidRPr="00E07B1B">
              <w:t>Specific ethnicities associated with increased risk:</w:t>
            </w:r>
          </w:p>
          <w:p w:rsidR="0025490C" w:rsidRPr="00E07B1B" w:rsidRDefault="0025490C" w:rsidP="003E3F88">
            <w:pPr>
              <w:pStyle w:val="TableBullet"/>
              <w:spacing w:after="30"/>
              <w:ind w:left="284"/>
            </w:pPr>
            <w:r w:rsidRPr="00E07B1B">
              <w:t>Asian (</w:t>
            </w:r>
            <w:r>
              <w:t>m</w:t>
            </w:r>
            <w:r w:rsidRPr="00E07B1B">
              <w:t xml:space="preserve">ainland </w:t>
            </w:r>
            <w:r>
              <w:t>S</w:t>
            </w:r>
            <w:r w:rsidRPr="00E07B1B">
              <w:t>outh</w:t>
            </w:r>
            <w:r>
              <w:t xml:space="preserve"> E</w:t>
            </w:r>
            <w:r w:rsidRPr="00E07B1B">
              <w:t>ast Asia) OR 5.0 (95%CI 3.0</w:t>
            </w:r>
            <w:r>
              <w:t>–</w:t>
            </w:r>
            <w:r w:rsidRPr="00E07B1B">
              <w:t>8.3</w:t>
            </w:r>
            <w:r>
              <w:t>,</w:t>
            </w:r>
            <w:r w:rsidRPr="00E07B1B">
              <w:t xml:space="preserve"> </w:t>
            </w:r>
            <w:r w:rsidRPr="00267A1D">
              <w:rPr>
                <w:i/>
              </w:rPr>
              <w:t>p</w:t>
            </w:r>
            <w:r w:rsidRPr="00E07B1B">
              <w:t xml:space="preserve"> ≤ 0.001)</w:t>
            </w:r>
          </w:p>
          <w:p w:rsidR="0025490C" w:rsidRPr="00E07B1B" w:rsidRDefault="0025490C" w:rsidP="003E3F88">
            <w:pPr>
              <w:pStyle w:val="TableBullet"/>
              <w:spacing w:after="30"/>
              <w:ind w:left="284"/>
            </w:pPr>
            <w:r>
              <w:t>m</w:t>
            </w:r>
            <w:r w:rsidRPr="00E07B1B">
              <w:t xml:space="preserve">aritime </w:t>
            </w:r>
            <w:r>
              <w:t>S</w:t>
            </w:r>
            <w:r w:rsidRPr="00E07B1B">
              <w:t>outh</w:t>
            </w:r>
            <w:r>
              <w:t xml:space="preserve"> E</w:t>
            </w:r>
            <w:r w:rsidRPr="00E07B1B">
              <w:t>ast Asia OR 3.1 (95%CI 1.6</w:t>
            </w:r>
            <w:r>
              <w:t>–</w:t>
            </w:r>
            <w:r w:rsidRPr="00E07B1B">
              <w:t>6.0</w:t>
            </w:r>
            <w:r>
              <w:t>,</w:t>
            </w:r>
            <w:r w:rsidRPr="00E07B1B">
              <w:t xml:space="preserve"> </w:t>
            </w:r>
            <w:r w:rsidRPr="00267A1D">
              <w:rPr>
                <w:i/>
              </w:rPr>
              <w:t>p</w:t>
            </w:r>
            <w:r w:rsidR="003E3F88">
              <w:rPr>
                <w:i/>
              </w:rPr>
              <w:t> </w:t>
            </w:r>
            <w:r w:rsidRPr="00E07B1B">
              <w:t>≤ 0.001)</w:t>
            </w:r>
          </w:p>
          <w:p w:rsidR="0025490C" w:rsidRPr="00E07B1B" w:rsidRDefault="0025490C" w:rsidP="003E3F88">
            <w:pPr>
              <w:pStyle w:val="TableBullet"/>
              <w:spacing w:after="30"/>
              <w:ind w:left="284"/>
            </w:pPr>
            <w:r w:rsidRPr="00E07B1B">
              <w:t>Chinese Asian OR 3.7 (95%CI 2.1</w:t>
            </w:r>
            <w:r>
              <w:t>–</w:t>
            </w:r>
            <w:r w:rsidRPr="00E07B1B">
              <w:t>6.8</w:t>
            </w:r>
            <w:r>
              <w:t>,</w:t>
            </w:r>
            <w:r w:rsidRPr="00E07B1B">
              <w:t xml:space="preserve"> </w:t>
            </w:r>
            <w:r w:rsidRPr="00267A1D">
              <w:rPr>
                <w:i/>
              </w:rPr>
              <w:t>p</w:t>
            </w:r>
            <w:r w:rsidRPr="00E07B1B">
              <w:t xml:space="preserve"> ≤ 0.001)</w:t>
            </w:r>
          </w:p>
          <w:p w:rsidR="0025490C" w:rsidRPr="00E07B1B" w:rsidRDefault="0025490C" w:rsidP="003E3F88">
            <w:pPr>
              <w:pStyle w:val="TableBullet"/>
              <w:spacing w:after="30"/>
              <w:ind w:left="284"/>
            </w:pPr>
            <w:r w:rsidRPr="00E07B1B">
              <w:t>Southern Asian OR 2.8 (95%CI 1.7</w:t>
            </w:r>
            <w:r>
              <w:t>–</w:t>
            </w:r>
            <w:r w:rsidRPr="00E07B1B">
              <w:t>4.6</w:t>
            </w:r>
            <w:r>
              <w:t>,</w:t>
            </w:r>
            <w:r w:rsidRPr="00E07B1B">
              <w:t xml:space="preserve"> </w:t>
            </w:r>
            <w:r w:rsidRPr="00267A1D">
              <w:rPr>
                <w:i/>
              </w:rPr>
              <w:t>p</w:t>
            </w:r>
            <w:r w:rsidRPr="00E07B1B">
              <w:t xml:space="preserve"> ≤ 0.001)</w:t>
            </w:r>
          </w:p>
          <w:p w:rsidR="0025490C" w:rsidRPr="00E07B1B" w:rsidRDefault="0025490C" w:rsidP="003E3F88">
            <w:pPr>
              <w:pStyle w:val="TableBullet"/>
              <w:ind w:left="284"/>
            </w:pPr>
            <w:r w:rsidRPr="00E07B1B">
              <w:t>Polynesian OR 2.7 (95%CI 1.1</w:t>
            </w:r>
            <w:r>
              <w:t>–</w:t>
            </w:r>
            <w:r w:rsidRPr="00E07B1B">
              <w:t>6.5</w:t>
            </w:r>
            <w:r>
              <w:t>,</w:t>
            </w:r>
            <w:r w:rsidRPr="00E07B1B">
              <w:t xml:space="preserve"> </w:t>
            </w:r>
            <w:r w:rsidRPr="00267A1D">
              <w:rPr>
                <w:i/>
              </w:rPr>
              <w:t>p</w:t>
            </w:r>
            <w:r>
              <w:t xml:space="preserve"> </w:t>
            </w:r>
            <w:r w:rsidRPr="00E07B1B">
              <w:t>=</w:t>
            </w:r>
            <w:r>
              <w:t xml:space="preserve"> </w:t>
            </w:r>
            <w:r w:rsidRPr="00E07B1B">
              <w:t>0.02)</w:t>
            </w:r>
            <w:r>
              <w:t>.</w:t>
            </w:r>
          </w:p>
        </w:tc>
        <w:tc>
          <w:tcPr>
            <w:tcW w:w="437" w:type="pct"/>
            <w:shd w:val="clear" w:color="auto" w:fill="auto"/>
          </w:tcPr>
          <w:p w:rsidR="0025490C" w:rsidRPr="00E07B1B" w:rsidRDefault="0025490C" w:rsidP="002716E2">
            <w:pPr>
              <w:pStyle w:val="TableText"/>
              <w:jc w:val="center"/>
            </w:pPr>
            <w:r w:rsidRPr="00E07B1B">
              <w:t>MEDIUM</w:t>
            </w:r>
          </w:p>
        </w:tc>
      </w:tr>
      <w:tr w:rsidR="003E3F88" w:rsidRPr="00E07B1B" w:rsidTr="003E3F88">
        <w:trPr>
          <w:cantSplit/>
        </w:trPr>
        <w:tc>
          <w:tcPr>
            <w:tcW w:w="486" w:type="pct"/>
            <w:shd w:val="clear" w:color="auto" w:fill="F2F2F2" w:themeFill="background1" w:themeFillShade="F2"/>
          </w:tcPr>
          <w:p w:rsidR="0025490C" w:rsidRPr="00E07B1B" w:rsidRDefault="0025490C" w:rsidP="00A0217F">
            <w:pPr>
              <w:pStyle w:val="TableText"/>
            </w:pPr>
            <w:r w:rsidRPr="00E07B1B">
              <w:t>Yang</w:t>
            </w:r>
            <w:r>
              <w:t xml:space="preserve"> </w:t>
            </w:r>
            <w:r w:rsidRPr="00E07B1B">
              <w:t>(2009)</w:t>
            </w:r>
          </w:p>
        </w:tc>
        <w:tc>
          <w:tcPr>
            <w:tcW w:w="534" w:type="pct"/>
            <w:shd w:val="clear" w:color="auto" w:fill="F2F2F2" w:themeFill="background1" w:themeFillShade="F2"/>
          </w:tcPr>
          <w:p w:rsidR="0025490C" w:rsidRPr="00E07B1B" w:rsidRDefault="0025490C" w:rsidP="003E3F88">
            <w:pPr>
              <w:pStyle w:val="TableText"/>
            </w:pPr>
            <w:r w:rsidRPr="00E07B1B">
              <w:t>China</w:t>
            </w:r>
            <w:r w:rsidR="003E3F88">
              <w:br/>
            </w:r>
            <w:r w:rsidRPr="00E07B1B">
              <w:t>16,286</w:t>
            </w:r>
          </w:p>
        </w:tc>
        <w:tc>
          <w:tcPr>
            <w:tcW w:w="534" w:type="pct"/>
            <w:shd w:val="clear" w:color="auto" w:fill="F2F2F2" w:themeFill="background1" w:themeFillShade="F2"/>
          </w:tcPr>
          <w:p w:rsidR="0025490C" w:rsidRPr="00E07B1B" w:rsidRDefault="0025490C" w:rsidP="00A0217F">
            <w:pPr>
              <w:pStyle w:val="TableText"/>
            </w:pPr>
            <w:r w:rsidRPr="00E07B1B">
              <w:t>Prospective cohort</w:t>
            </w:r>
          </w:p>
        </w:tc>
        <w:tc>
          <w:tcPr>
            <w:tcW w:w="1263" w:type="pct"/>
            <w:shd w:val="clear" w:color="auto" w:fill="F2F2F2" w:themeFill="background1" w:themeFillShade="F2"/>
          </w:tcPr>
          <w:p w:rsidR="0025490C" w:rsidRDefault="0025490C" w:rsidP="00A0217F">
            <w:pPr>
              <w:pStyle w:val="TableText"/>
            </w:pPr>
            <w:r w:rsidRPr="00E07B1B">
              <w:t>50</w:t>
            </w:r>
            <w:r>
              <w:t xml:space="preserve"> </w:t>
            </w:r>
            <w:r w:rsidRPr="00E07B1B">
              <w:t>g OGCT OGTT (&gt;</w:t>
            </w:r>
            <w:r>
              <w:t xml:space="preserve"> </w:t>
            </w:r>
            <w:r w:rsidRPr="00E07B1B">
              <w:t>11.1</w:t>
            </w:r>
            <w:r>
              <w:t xml:space="preserve"> </w:t>
            </w:r>
            <w:r w:rsidRPr="00E07B1B">
              <w:t>mmol/L diagnosed as GDM)</w:t>
            </w:r>
          </w:p>
          <w:p w:rsidR="0025490C" w:rsidRDefault="0025490C" w:rsidP="003E3F88">
            <w:pPr>
              <w:pStyle w:val="TableText"/>
              <w:spacing w:after="30"/>
            </w:pPr>
            <w:r w:rsidRPr="00E07B1B">
              <w:t>If 7.9</w:t>
            </w:r>
            <w:r>
              <w:t>–</w:t>
            </w:r>
            <w:r w:rsidRPr="00E07B1B">
              <w:t>11.0</w:t>
            </w:r>
            <w:r>
              <w:t xml:space="preserve"> </w:t>
            </w:r>
            <w:r w:rsidRPr="00E07B1B">
              <w:t>mmol/L then 75</w:t>
            </w:r>
            <w:r>
              <w:t xml:space="preserve"> </w:t>
            </w:r>
            <w:r w:rsidRPr="00E07B1B">
              <w:t>g, 3</w:t>
            </w:r>
            <w:r>
              <w:t>-</w:t>
            </w:r>
            <w:r w:rsidRPr="00E07B1B">
              <w:t>hour</w:t>
            </w:r>
            <w:r>
              <w:t xml:space="preserve"> </w:t>
            </w:r>
            <w:r w:rsidRPr="00E07B1B">
              <w:t xml:space="preserve">OGTT </w:t>
            </w:r>
            <w:r>
              <w:t>with two</w:t>
            </w:r>
            <w:r w:rsidRPr="00E07B1B">
              <w:t xml:space="preserve"> or more abnormal values</w:t>
            </w:r>
            <w:r>
              <w:t xml:space="preserve"> required from:</w:t>
            </w:r>
          </w:p>
          <w:p w:rsidR="0025490C" w:rsidRPr="00E07B1B" w:rsidRDefault="0025490C" w:rsidP="003E3F88">
            <w:pPr>
              <w:pStyle w:val="TableBullet"/>
              <w:spacing w:after="30"/>
              <w:ind w:left="284"/>
            </w:pPr>
            <w:r>
              <w:t>f</w:t>
            </w:r>
            <w:r w:rsidRPr="00E07B1B">
              <w:t>asting &gt;</w:t>
            </w:r>
            <w:r>
              <w:t xml:space="preserve"> </w:t>
            </w:r>
            <w:r w:rsidRPr="00E07B1B">
              <w:t>5.3</w:t>
            </w:r>
            <w:r>
              <w:t xml:space="preserve"> </w:t>
            </w:r>
            <w:r w:rsidRPr="00E07B1B">
              <w:t>mmol</w:t>
            </w:r>
            <w:r>
              <w:t>/L</w:t>
            </w:r>
          </w:p>
          <w:p w:rsidR="0025490C" w:rsidRPr="00E07B1B" w:rsidRDefault="0025490C" w:rsidP="003E3F88">
            <w:pPr>
              <w:pStyle w:val="TableBullet"/>
              <w:spacing w:after="30"/>
              <w:ind w:left="284"/>
            </w:pPr>
            <w:r w:rsidRPr="00E07B1B">
              <w:t>1</w:t>
            </w:r>
            <w:r>
              <w:t>-</w:t>
            </w:r>
            <w:r w:rsidRPr="00E07B1B">
              <w:t>hour &gt;</w:t>
            </w:r>
            <w:r>
              <w:t xml:space="preserve"> </w:t>
            </w:r>
            <w:r w:rsidRPr="00E07B1B">
              <w:t>10</w:t>
            </w:r>
            <w:r>
              <w:t xml:space="preserve"> </w:t>
            </w:r>
            <w:r w:rsidRPr="00E07B1B">
              <w:t>mmol</w:t>
            </w:r>
            <w:r>
              <w:t>/L</w:t>
            </w:r>
          </w:p>
          <w:p w:rsidR="0025490C" w:rsidRPr="00E07B1B" w:rsidRDefault="0025490C" w:rsidP="003E3F88">
            <w:pPr>
              <w:pStyle w:val="TableBullet"/>
              <w:ind w:left="284"/>
            </w:pPr>
            <w:r w:rsidRPr="00E07B1B">
              <w:t>2</w:t>
            </w:r>
            <w:r>
              <w:t>-</w:t>
            </w:r>
            <w:r w:rsidRPr="00E07B1B">
              <w:t>hour</w:t>
            </w:r>
            <w:r>
              <w:t xml:space="preserve"> </w:t>
            </w:r>
            <w:r w:rsidRPr="00E07B1B">
              <w:t>&gt; 8.6</w:t>
            </w:r>
            <w:r>
              <w:t xml:space="preserve"> </w:t>
            </w:r>
            <w:r w:rsidRPr="00E07B1B">
              <w:t>mmol</w:t>
            </w:r>
            <w:r>
              <w:t>/L.</w:t>
            </w:r>
          </w:p>
        </w:tc>
        <w:tc>
          <w:tcPr>
            <w:tcW w:w="1747" w:type="pct"/>
            <w:shd w:val="clear" w:color="auto" w:fill="F2F2F2" w:themeFill="background1" w:themeFillShade="F2"/>
          </w:tcPr>
          <w:p w:rsidR="0025490C" w:rsidRPr="00E07B1B" w:rsidRDefault="0025490C" w:rsidP="003E3F88">
            <w:pPr>
              <w:pStyle w:val="TableText"/>
            </w:pPr>
            <w:r w:rsidRPr="00E07B1B">
              <w:t>South China had increased risk compared with North China by almost two-fold</w:t>
            </w:r>
            <w:r>
              <w:t>: a</w:t>
            </w:r>
            <w:r w:rsidRPr="00E07B1B">
              <w:t>dj OR 1.84 (95%CI</w:t>
            </w:r>
            <w:r w:rsidR="003E3F88">
              <w:br/>
            </w:r>
            <w:r w:rsidRPr="00E07B1B">
              <w:t>1.59</w:t>
            </w:r>
            <w:r>
              <w:t>–</w:t>
            </w:r>
            <w:r w:rsidRPr="00E07B1B">
              <w:t xml:space="preserve">2.13, </w:t>
            </w:r>
            <w:r w:rsidRPr="00267A1D">
              <w:rPr>
                <w:i/>
              </w:rPr>
              <w:t>p</w:t>
            </w:r>
            <w:r>
              <w:t xml:space="preserve"> </w:t>
            </w:r>
            <w:r w:rsidRPr="00E07B1B">
              <w:t>&lt;</w:t>
            </w:r>
            <w:r>
              <w:t xml:space="preserve"> </w:t>
            </w:r>
            <w:r w:rsidRPr="00E07B1B">
              <w:t>0.001).</w:t>
            </w:r>
          </w:p>
        </w:tc>
        <w:tc>
          <w:tcPr>
            <w:tcW w:w="437" w:type="pct"/>
            <w:shd w:val="clear" w:color="auto" w:fill="F2F2F2" w:themeFill="background1" w:themeFillShade="F2"/>
          </w:tcPr>
          <w:p w:rsidR="0025490C" w:rsidRPr="00E07B1B" w:rsidRDefault="0025490C" w:rsidP="002716E2">
            <w:pPr>
              <w:pStyle w:val="TableText"/>
              <w:jc w:val="center"/>
            </w:pPr>
            <w:r w:rsidRPr="00E07B1B">
              <w:t>MEDIUM</w:t>
            </w:r>
          </w:p>
        </w:tc>
      </w:tr>
      <w:tr w:rsidR="003E3F88" w:rsidRPr="00E07B1B" w:rsidTr="003E3F88">
        <w:trPr>
          <w:cantSplit/>
        </w:trPr>
        <w:tc>
          <w:tcPr>
            <w:tcW w:w="486" w:type="pct"/>
            <w:shd w:val="clear" w:color="auto" w:fill="auto"/>
          </w:tcPr>
          <w:p w:rsidR="0025490C" w:rsidRPr="00E07B1B" w:rsidRDefault="0025490C" w:rsidP="00A0217F">
            <w:pPr>
              <w:pStyle w:val="TableText"/>
            </w:pPr>
            <w:r w:rsidRPr="00E07B1B">
              <w:t>Makgoba (2012)</w:t>
            </w:r>
          </w:p>
        </w:tc>
        <w:tc>
          <w:tcPr>
            <w:tcW w:w="534" w:type="pct"/>
            <w:shd w:val="clear" w:color="auto" w:fill="auto"/>
          </w:tcPr>
          <w:p w:rsidR="0025490C" w:rsidRPr="00E07B1B" w:rsidRDefault="0025490C" w:rsidP="003E3F88">
            <w:pPr>
              <w:pStyle w:val="TableText"/>
            </w:pPr>
            <w:r w:rsidRPr="00E07B1B">
              <w:t>United Kingdom</w:t>
            </w:r>
            <w:r w:rsidR="003E3F88">
              <w:br/>
            </w:r>
            <w:r w:rsidRPr="00E07B1B">
              <w:t>174,320</w:t>
            </w:r>
          </w:p>
        </w:tc>
        <w:tc>
          <w:tcPr>
            <w:tcW w:w="534" w:type="pct"/>
            <w:shd w:val="clear" w:color="auto" w:fill="auto"/>
          </w:tcPr>
          <w:p w:rsidR="0025490C" w:rsidRPr="00E07B1B" w:rsidRDefault="0025490C" w:rsidP="00A0217F">
            <w:pPr>
              <w:pStyle w:val="TableText"/>
            </w:pPr>
            <w:r w:rsidRPr="00E07B1B">
              <w:t>Retrospective cohort</w:t>
            </w:r>
          </w:p>
        </w:tc>
        <w:tc>
          <w:tcPr>
            <w:tcW w:w="1263" w:type="pct"/>
            <w:shd w:val="clear" w:color="auto" w:fill="auto"/>
          </w:tcPr>
          <w:p w:rsidR="0025490C" w:rsidRPr="00E07B1B" w:rsidRDefault="0025490C" w:rsidP="00A0217F">
            <w:pPr>
              <w:pStyle w:val="TableText"/>
            </w:pPr>
            <w:r w:rsidRPr="00E07B1B">
              <w:t>Diagnosis and screening varied between the units (no details)</w:t>
            </w:r>
            <w:r>
              <w:t>.</w:t>
            </w:r>
          </w:p>
        </w:tc>
        <w:tc>
          <w:tcPr>
            <w:tcW w:w="1747" w:type="pct"/>
            <w:shd w:val="clear" w:color="auto" w:fill="auto"/>
          </w:tcPr>
          <w:p w:rsidR="0025490C" w:rsidRPr="00E07B1B" w:rsidRDefault="0025490C" w:rsidP="00A0217F">
            <w:pPr>
              <w:pStyle w:val="TableText"/>
            </w:pPr>
            <w:r w:rsidRPr="00E07B1B">
              <w:t>Women with GDM were more likely to be of non-white origin (</w:t>
            </w:r>
            <w:r w:rsidRPr="00267A1D">
              <w:rPr>
                <w:i/>
              </w:rPr>
              <w:t>p</w:t>
            </w:r>
            <w:r>
              <w:t xml:space="preserve"> </w:t>
            </w:r>
            <w:r w:rsidRPr="00E07B1B">
              <w:t>&lt;</w:t>
            </w:r>
            <w:r>
              <w:t xml:space="preserve"> </w:t>
            </w:r>
            <w:r w:rsidRPr="00E07B1B">
              <w:t>0.001).</w:t>
            </w:r>
          </w:p>
        </w:tc>
        <w:tc>
          <w:tcPr>
            <w:tcW w:w="437" w:type="pct"/>
            <w:shd w:val="clear" w:color="auto" w:fill="auto"/>
          </w:tcPr>
          <w:p w:rsidR="0025490C" w:rsidRPr="00E07B1B" w:rsidRDefault="0025490C" w:rsidP="002716E2">
            <w:pPr>
              <w:pStyle w:val="TableText"/>
              <w:jc w:val="center"/>
            </w:pPr>
            <w:r w:rsidRPr="00E07B1B">
              <w:t>LOW</w:t>
            </w:r>
          </w:p>
        </w:tc>
      </w:tr>
      <w:tr w:rsidR="003E3F88" w:rsidRPr="00E07B1B" w:rsidTr="003E3F88">
        <w:trPr>
          <w:cantSplit/>
        </w:trPr>
        <w:tc>
          <w:tcPr>
            <w:tcW w:w="486" w:type="pct"/>
            <w:shd w:val="clear" w:color="auto" w:fill="F2F2F2" w:themeFill="background1" w:themeFillShade="F2"/>
          </w:tcPr>
          <w:p w:rsidR="0025490C" w:rsidRPr="00E07B1B" w:rsidRDefault="0025490C" w:rsidP="003E3F88">
            <w:pPr>
              <w:pStyle w:val="TableText"/>
            </w:pPr>
            <w:r w:rsidRPr="00E07B1B">
              <w:t>Al-Kuwari (2011)</w:t>
            </w:r>
          </w:p>
        </w:tc>
        <w:tc>
          <w:tcPr>
            <w:tcW w:w="534" w:type="pct"/>
            <w:shd w:val="clear" w:color="auto" w:fill="F2F2F2" w:themeFill="background1" w:themeFillShade="F2"/>
          </w:tcPr>
          <w:p w:rsidR="0025490C" w:rsidRPr="00E07B1B" w:rsidRDefault="0025490C" w:rsidP="003E3F88">
            <w:pPr>
              <w:pStyle w:val="TableText"/>
            </w:pPr>
            <w:r w:rsidRPr="00E07B1B">
              <w:t>Qatar</w:t>
            </w:r>
            <w:r w:rsidR="003E3F88">
              <w:br/>
            </w:r>
            <w:r w:rsidRPr="00E07B1B">
              <w:t>4295</w:t>
            </w:r>
          </w:p>
        </w:tc>
        <w:tc>
          <w:tcPr>
            <w:tcW w:w="534" w:type="pct"/>
            <w:shd w:val="clear" w:color="auto" w:fill="F2F2F2" w:themeFill="background1" w:themeFillShade="F2"/>
          </w:tcPr>
          <w:p w:rsidR="0025490C" w:rsidRPr="00E07B1B" w:rsidRDefault="0025490C" w:rsidP="00A0217F">
            <w:pPr>
              <w:pStyle w:val="TableText"/>
            </w:pPr>
            <w:r w:rsidRPr="00E07B1B">
              <w:t>Cross-sectional</w:t>
            </w:r>
          </w:p>
        </w:tc>
        <w:tc>
          <w:tcPr>
            <w:tcW w:w="1263" w:type="pct"/>
            <w:shd w:val="clear" w:color="auto" w:fill="F2F2F2" w:themeFill="background1" w:themeFillShade="F2"/>
          </w:tcPr>
          <w:p w:rsidR="0025490C" w:rsidRDefault="0025490C" w:rsidP="00A0217F">
            <w:pPr>
              <w:pStyle w:val="TableText"/>
            </w:pPr>
            <w:r w:rsidRPr="00E07B1B">
              <w:t>1</w:t>
            </w:r>
            <w:r>
              <w:t>-</w:t>
            </w:r>
            <w:r w:rsidRPr="00E07B1B">
              <w:t>hour glucose challenge test (no</w:t>
            </w:r>
            <w:r w:rsidR="003E3F88">
              <w:t> </w:t>
            </w:r>
            <w:r w:rsidRPr="00E07B1B">
              <w:t>details)</w:t>
            </w:r>
          </w:p>
          <w:p w:rsidR="0025490C" w:rsidRPr="00E07B1B" w:rsidRDefault="0025490C" w:rsidP="003E3F88">
            <w:pPr>
              <w:pStyle w:val="TableText"/>
              <w:spacing w:after="30"/>
            </w:pPr>
            <w:r w:rsidRPr="00E07B1B">
              <w:t>If ≥</w:t>
            </w:r>
            <w:r>
              <w:t xml:space="preserve"> </w:t>
            </w:r>
            <w:r w:rsidRPr="00E07B1B">
              <w:t>7.8</w:t>
            </w:r>
            <w:r>
              <w:t xml:space="preserve"> </w:t>
            </w:r>
            <w:r w:rsidRPr="00E07B1B">
              <w:t>mmol/L then a 75</w:t>
            </w:r>
            <w:r>
              <w:t xml:space="preserve"> </w:t>
            </w:r>
            <w:r w:rsidRPr="00E07B1B">
              <w:t>g OGTT</w:t>
            </w:r>
            <w:r>
              <w:t>:</w:t>
            </w:r>
          </w:p>
          <w:p w:rsidR="0025490C" w:rsidRPr="00E07B1B" w:rsidRDefault="0025490C" w:rsidP="003E3F88">
            <w:pPr>
              <w:pStyle w:val="TableBullet"/>
              <w:spacing w:after="30"/>
              <w:ind w:left="284"/>
            </w:pPr>
            <w:r>
              <w:t>f</w:t>
            </w:r>
            <w:r w:rsidRPr="00E07B1B">
              <w:t>asting &gt; 95 mg</w:t>
            </w:r>
            <w:r>
              <w:t>/dL</w:t>
            </w:r>
          </w:p>
          <w:p w:rsidR="0025490C" w:rsidRPr="00E07B1B" w:rsidRDefault="0025490C" w:rsidP="003E3F88">
            <w:pPr>
              <w:pStyle w:val="TableBullet"/>
              <w:spacing w:after="30"/>
              <w:ind w:left="284"/>
            </w:pPr>
            <w:r w:rsidRPr="00E07B1B">
              <w:t>1</w:t>
            </w:r>
            <w:r>
              <w:t>-</w:t>
            </w:r>
            <w:r w:rsidRPr="00E07B1B">
              <w:t>hour &gt;180 mg</w:t>
            </w:r>
            <w:r>
              <w:t>/dL</w:t>
            </w:r>
          </w:p>
          <w:p w:rsidR="0025490C" w:rsidRPr="00E07B1B" w:rsidRDefault="0025490C" w:rsidP="003E3F88">
            <w:pPr>
              <w:pStyle w:val="TableBullet"/>
              <w:spacing w:after="30"/>
              <w:ind w:left="284"/>
            </w:pPr>
            <w:r w:rsidRPr="00E07B1B">
              <w:t>2</w:t>
            </w:r>
            <w:r>
              <w:t>-</w:t>
            </w:r>
            <w:r w:rsidRPr="00E07B1B">
              <w:t>hour &gt; 155 mg</w:t>
            </w:r>
            <w:r>
              <w:t>/dL</w:t>
            </w:r>
          </w:p>
          <w:p w:rsidR="0025490C" w:rsidRPr="00E07B1B" w:rsidRDefault="0025490C" w:rsidP="003E3F88">
            <w:pPr>
              <w:pStyle w:val="TableBullet"/>
              <w:ind w:left="284"/>
            </w:pPr>
            <w:r w:rsidRPr="00E07B1B">
              <w:t>3</w:t>
            </w:r>
            <w:r>
              <w:t>-</w:t>
            </w:r>
            <w:r w:rsidRPr="00E07B1B">
              <w:t>hour &gt; 140 mg</w:t>
            </w:r>
            <w:r>
              <w:t>/dL.</w:t>
            </w:r>
          </w:p>
        </w:tc>
        <w:tc>
          <w:tcPr>
            <w:tcW w:w="1747" w:type="pct"/>
            <w:shd w:val="clear" w:color="auto" w:fill="F2F2F2" w:themeFill="background1" w:themeFillShade="F2"/>
          </w:tcPr>
          <w:p w:rsidR="0025490C" w:rsidRPr="00E07B1B" w:rsidRDefault="0025490C" w:rsidP="003E3F88">
            <w:pPr>
              <w:pStyle w:val="TableText"/>
            </w:pPr>
            <w:r w:rsidRPr="00E07B1B">
              <w:t xml:space="preserve">Qatari national </w:t>
            </w:r>
            <w:r>
              <w:t xml:space="preserve">women </w:t>
            </w:r>
            <w:r w:rsidRPr="00E07B1B">
              <w:t xml:space="preserve">compared with non-national </w:t>
            </w:r>
            <w:r>
              <w:t xml:space="preserve">women </w:t>
            </w:r>
            <w:r w:rsidRPr="00E07B1B">
              <w:t>(OR 1.7; 95%CI 1.3</w:t>
            </w:r>
            <w:r>
              <w:t>–</w:t>
            </w:r>
            <w:r w:rsidRPr="00E07B1B">
              <w:t>2.4)</w:t>
            </w:r>
            <w:r>
              <w:t>.</w:t>
            </w:r>
          </w:p>
        </w:tc>
        <w:tc>
          <w:tcPr>
            <w:tcW w:w="437" w:type="pct"/>
            <w:shd w:val="clear" w:color="auto" w:fill="F2F2F2" w:themeFill="background1" w:themeFillShade="F2"/>
          </w:tcPr>
          <w:p w:rsidR="0025490C" w:rsidRPr="00E07B1B" w:rsidRDefault="0025490C" w:rsidP="002716E2">
            <w:pPr>
              <w:pStyle w:val="TableText"/>
              <w:jc w:val="center"/>
            </w:pPr>
            <w:r w:rsidRPr="00E07B1B">
              <w:t>MEDIUM</w:t>
            </w:r>
          </w:p>
        </w:tc>
      </w:tr>
      <w:tr w:rsidR="003E3F88" w:rsidRPr="00E07B1B" w:rsidTr="003E3F88">
        <w:trPr>
          <w:cantSplit/>
        </w:trPr>
        <w:tc>
          <w:tcPr>
            <w:tcW w:w="486" w:type="pct"/>
            <w:shd w:val="clear" w:color="auto" w:fill="auto"/>
          </w:tcPr>
          <w:p w:rsidR="0025490C" w:rsidRPr="00E07B1B" w:rsidRDefault="0025490C" w:rsidP="00A0217F">
            <w:pPr>
              <w:pStyle w:val="TableText"/>
            </w:pPr>
            <w:r w:rsidRPr="00E07B1B">
              <w:t>Schneider (2011)</w:t>
            </w:r>
          </w:p>
        </w:tc>
        <w:tc>
          <w:tcPr>
            <w:tcW w:w="534" w:type="pct"/>
            <w:shd w:val="clear" w:color="auto" w:fill="auto"/>
          </w:tcPr>
          <w:p w:rsidR="0025490C" w:rsidRPr="00E07B1B" w:rsidRDefault="0025490C" w:rsidP="003E3F88">
            <w:pPr>
              <w:pStyle w:val="TableText"/>
            </w:pPr>
            <w:r w:rsidRPr="00E07B1B">
              <w:t>Germany</w:t>
            </w:r>
            <w:r w:rsidR="003E3F88">
              <w:br/>
            </w:r>
            <w:r w:rsidRPr="00E07B1B">
              <w:t>647,385</w:t>
            </w:r>
          </w:p>
        </w:tc>
        <w:tc>
          <w:tcPr>
            <w:tcW w:w="534" w:type="pct"/>
            <w:shd w:val="clear" w:color="auto" w:fill="auto"/>
          </w:tcPr>
          <w:p w:rsidR="0025490C" w:rsidRPr="00E07B1B" w:rsidRDefault="0025490C" w:rsidP="00A0217F">
            <w:pPr>
              <w:pStyle w:val="TableText"/>
            </w:pPr>
            <w:r w:rsidRPr="00E07B1B">
              <w:t>Cross-sectional</w:t>
            </w:r>
          </w:p>
        </w:tc>
        <w:tc>
          <w:tcPr>
            <w:tcW w:w="1263" w:type="pct"/>
            <w:shd w:val="clear" w:color="auto" w:fill="auto"/>
          </w:tcPr>
          <w:p w:rsidR="0025490C" w:rsidRPr="00E07B1B" w:rsidRDefault="0025490C" w:rsidP="00A0217F">
            <w:pPr>
              <w:pStyle w:val="TableText"/>
            </w:pPr>
            <w:r w:rsidRPr="00E07B1B">
              <w:t>No details provided</w:t>
            </w:r>
            <w:r w:rsidR="003E3F88">
              <w:t>.</w:t>
            </w:r>
          </w:p>
        </w:tc>
        <w:tc>
          <w:tcPr>
            <w:tcW w:w="1747" w:type="pct"/>
            <w:shd w:val="clear" w:color="auto" w:fill="auto"/>
          </w:tcPr>
          <w:p w:rsidR="0025490C" w:rsidRPr="00E07B1B" w:rsidRDefault="0025490C" w:rsidP="003E3F88">
            <w:pPr>
              <w:pStyle w:val="TableText"/>
            </w:pPr>
            <w:r w:rsidRPr="00E07B1B">
              <w:t>Compared with German women, migrants had an increased risk of GDM (adj OR 1.77; 95%CI 1.69</w:t>
            </w:r>
            <w:r>
              <w:t>–</w:t>
            </w:r>
            <w:r w:rsidRPr="00E07B1B">
              <w:t>1.86</w:t>
            </w:r>
            <w:r>
              <w:t>,</w:t>
            </w:r>
            <w:r w:rsidRPr="00E07B1B">
              <w:t xml:space="preserve"> </w:t>
            </w:r>
            <w:r w:rsidRPr="00267A1D">
              <w:rPr>
                <w:i/>
              </w:rPr>
              <w:t>p</w:t>
            </w:r>
            <w:r w:rsidR="003E3F88">
              <w:rPr>
                <w:i/>
              </w:rPr>
              <w:t> </w:t>
            </w:r>
            <w:r w:rsidRPr="00E07B1B">
              <w:t>&lt;</w:t>
            </w:r>
            <w:r>
              <w:t xml:space="preserve"> </w:t>
            </w:r>
            <w:r w:rsidRPr="00E07B1B">
              <w:t>0.001).</w:t>
            </w:r>
          </w:p>
        </w:tc>
        <w:tc>
          <w:tcPr>
            <w:tcW w:w="437" w:type="pct"/>
            <w:shd w:val="clear" w:color="auto" w:fill="auto"/>
          </w:tcPr>
          <w:p w:rsidR="0025490C" w:rsidRPr="00E07B1B" w:rsidRDefault="0025490C" w:rsidP="002716E2">
            <w:pPr>
              <w:pStyle w:val="TableText"/>
              <w:jc w:val="center"/>
            </w:pPr>
            <w:r w:rsidRPr="00E07B1B">
              <w:t>MEDIUM</w:t>
            </w:r>
          </w:p>
        </w:tc>
      </w:tr>
      <w:tr w:rsidR="003E3F88" w:rsidRPr="00E07B1B" w:rsidTr="003E3F88">
        <w:trPr>
          <w:cantSplit/>
        </w:trPr>
        <w:tc>
          <w:tcPr>
            <w:tcW w:w="486" w:type="pct"/>
            <w:shd w:val="clear" w:color="auto" w:fill="F2F2F2" w:themeFill="background1" w:themeFillShade="F2"/>
          </w:tcPr>
          <w:p w:rsidR="0025490C" w:rsidRPr="00E07B1B" w:rsidRDefault="0025490C" w:rsidP="00A0217F">
            <w:pPr>
              <w:pStyle w:val="TableText"/>
            </w:pPr>
            <w:r w:rsidRPr="00E07B1B">
              <w:t>Nanda</w:t>
            </w:r>
            <w:r>
              <w:t xml:space="preserve"> </w:t>
            </w:r>
            <w:r w:rsidRPr="00E07B1B">
              <w:t>(2011)</w:t>
            </w:r>
          </w:p>
        </w:tc>
        <w:tc>
          <w:tcPr>
            <w:tcW w:w="534" w:type="pct"/>
            <w:shd w:val="clear" w:color="auto" w:fill="F2F2F2" w:themeFill="background1" w:themeFillShade="F2"/>
          </w:tcPr>
          <w:p w:rsidR="0025490C" w:rsidRPr="00E07B1B" w:rsidRDefault="0025490C" w:rsidP="003E3F88">
            <w:pPr>
              <w:pStyle w:val="TableText"/>
            </w:pPr>
            <w:r w:rsidRPr="00E07B1B">
              <w:t>United Kingdom</w:t>
            </w:r>
            <w:r w:rsidR="003E3F88">
              <w:br/>
            </w:r>
            <w:r w:rsidRPr="00E07B1B">
              <w:t>11,464</w:t>
            </w:r>
          </w:p>
        </w:tc>
        <w:tc>
          <w:tcPr>
            <w:tcW w:w="534" w:type="pct"/>
            <w:shd w:val="clear" w:color="auto" w:fill="F2F2F2" w:themeFill="background1" w:themeFillShade="F2"/>
          </w:tcPr>
          <w:p w:rsidR="0025490C" w:rsidRPr="00E07B1B" w:rsidRDefault="0025490C" w:rsidP="00A0217F">
            <w:pPr>
              <w:pStyle w:val="TableText"/>
            </w:pPr>
            <w:r w:rsidRPr="00E07B1B">
              <w:t>Prospective cohort</w:t>
            </w:r>
          </w:p>
        </w:tc>
        <w:tc>
          <w:tcPr>
            <w:tcW w:w="1263" w:type="pct"/>
            <w:shd w:val="clear" w:color="auto" w:fill="F2F2F2" w:themeFill="background1" w:themeFillShade="F2"/>
          </w:tcPr>
          <w:p w:rsidR="0025490C" w:rsidRDefault="0025490C" w:rsidP="003E3F88">
            <w:pPr>
              <w:pStyle w:val="TableText"/>
              <w:spacing w:after="30"/>
            </w:pPr>
            <w:r w:rsidRPr="00E07B1B">
              <w:t>Random plasma glucose recorded at 24</w:t>
            </w:r>
            <w:r>
              <w:t>–</w:t>
            </w:r>
            <w:r w:rsidRPr="00E07B1B">
              <w:t>28 weeks</w:t>
            </w:r>
            <w:r>
              <w:t>. I</w:t>
            </w:r>
            <w:r w:rsidRPr="00E07B1B">
              <w:t>f &gt;</w:t>
            </w:r>
            <w:r>
              <w:t xml:space="preserve"> </w:t>
            </w:r>
            <w:r w:rsidRPr="00E07B1B">
              <w:t>6.7</w:t>
            </w:r>
            <w:r>
              <w:t xml:space="preserve"> </w:t>
            </w:r>
            <w:r w:rsidRPr="00E07B1B">
              <w:t>mmol/L</w:t>
            </w:r>
            <w:r>
              <w:t>,</w:t>
            </w:r>
            <w:r w:rsidRPr="00E07B1B">
              <w:t xml:space="preserve"> then conducted a 75</w:t>
            </w:r>
            <w:r>
              <w:t xml:space="preserve"> </w:t>
            </w:r>
            <w:r w:rsidRPr="00E07B1B">
              <w:t xml:space="preserve">g OGTT within </w:t>
            </w:r>
            <w:r>
              <w:t>two</w:t>
            </w:r>
            <w:r w:rsidRPr="00E07B1B">
              <w:t xml:space="preserve"> weeks. GDM diagnosed if</w:t>
            </w:r>
            <w:r>
              <w:t>:</w:t>
            </w:r>
          </w:p>
          <w:p w:rsidR="0068074A" w:rsidRDefault="0025490C" w:rsidP="003E3F88">
            <w:pPr>
              <w:pStyle w:val="TableBullet"/>
              <w:spacing w:after="30"/>
              <w:ind w:left="284"/>
            </w:pPr>
            <w:r w:rsidRPr="00E07B1B">
              <w:t>fasting plasma glucose ≥</w:t>
            </w:r>
            <w:r>
              <w:t xml:space="preserve"> </w:t>
            </w:r>
            <w:r w:rsidRPr="00E07B1B">
              <w:t>6</w:t>
            </w:r>
            <w:r>
              <w:t xml:space="preserve"> </w:t>
            </w:r>
            <w:r w:rsidRPr="00E07B1B">
              <w:t>mmol/L or</w:t>
            </w:r>
          </w:p>
          <w:p w:rsidR="0025490C" w:rsidRPr="00E07B1B" w:rsidRDefault="0025490C" w:rsidP="003E3F88">
            <w:pPr>
              <w:pStyle w:val="TableBullet"/>
              <w:ind w:left="284"/>
            </w:pPr>
            <w:r w:rsidRPr="00E07B1B">
              <w:t>2</w:t>
            </w:r>
            <w:r>
              <w:t>-</w:t>
            </w:r>
            <w:r w:rsidRPr="00E07B1B">
              <w:t>hour level is ≥</w:t>
            </w:r>
            <w:r w:rsidR="003E3F88">
              <w:t> </w:t>
            </w:r>
            <w:r w:rsidRPr="00E07B1B">
              <w:t>7.8</w:t>
            </w:r>
            <w:r w:rsidR="003E3F88">
              <w:t> </w:t>
            </w:r>
            <w:r w:rsidRPr="00E07B1B">
              <w:t>mmol/L</w:t>
            </w:r>
            <w:r>
              <w:t>.</w:t>
            </w:r>
          </w:p>
        </w:tc>
        <w:tc>
          <w:tcPr>
            <w:tcW w:w="1747" w:type="pct"/>
            <w:shd w:val="clear" w:color="auto" w:fill="F2F2F2" w:themeFill="background1" w:themeFillShade="F2"/>
          </w:tcPr>
          <w:p w:rsidR="0025490C" w:rsidRPr="00E07B1B" w:rsidRDefault="0025490C" w:rsidP="003E3F88">
            <w:pPr>
              <w:pStyle w:val="TableText"/>
            </w:pPr>
            <w:r w:rsidRPr="00E07B1B">
              <w:t>High risk for South Asian (adj OR 2.73, 95%CI 1.73</w:t>
            </w:r>
            <w:r>
              <w:t>–</w:t>
            </w:r>
            <w:r w:rsidRPr="00E07B1B">
              <w:t xml:space="preserve">4.3, </w:t>
            </w:r>
            <w:r w:rsidRPr="00267A1D">
              <w:rPr>
                <w:i/>
              </w:rPr>
              <w:t>p</w:t>
            </w:r>
            <w:r>
              <w:t xml:space="preserve"> </w:t>
            </w:r>
            <w:r w:rsidRPr="00E07B1B">
              <w:t>&lt; 0.0001) and East Asian (adj OR 2.43, 95%CI</w:t>
            </w:r>
            <w:r w:rsidR="003E3F88">
              <w:br/>
            </w:r>
            <w:r w:rsidRPr="00E07B1B">
              <w:t>1.20</w:t>
            </w:r>
            <w:r>
              <w:t>–</w:t>
            </w:r>
            <w:r w:rsidRPr="00E07B1B">
              <w:t xml:space="preserve">4.93, </w:t>
            </w:r>
            <w:r w:rsidRPr="00267A1D">
              <w:rPr>
                <w:i/>
              </w:rPr>
              <w:t>p</w:t>
            </w:r>
            <w:r>
              <w:t xml:space="preserve"> </w:t>
            </w:r>
            <w:r w:rsidRPr="00E07B1B">
              <w:t>=</w:t>
            </w:r>
            <w:r>
              <w:t xml:space="preserve"> </w:t>
            </w:r>
            <w:r w:rsidRPr="00E07B1B">
              <w:t>0.01) women.</w:t>
            </w:r>
          </w:p>
        </w:tc>
        <w:tc>
          <w:tcPr>
            <w:tcW w:w="437" w:type="pct"/>
            <w:shd w:val="clear" w:color="auto" w:fill="F2F2F2" w:themeFill="background1" w:themeFillShade="F2"/>
          </w:tcPr>
          <w:p w:rsidR="0025490C" w:rsidRPr="00E07B1B" w:rsidRDefault="0025490C" w:rsidP="002716E2">
            <w:pPr>
              <w:pStyle w:val="TableText"/>
              <w:jc w:val="center"/>
            </w:pPr>
            <w:r w:rsidRPr="00E07B1B">
              <w:t>MEDIUM</w:t>
            </w:r>
          </w:p>
        </w:tc>
      </w:tr>
      <w:tr w:rsidR="003E3F88" w:rsidRPr="00E07B1B" w:rsidTr="003E3F88">
        <w:trPr>
          <w:cantSplit/>
        </w:trPr>
        <w:tc>
          <w:tcPr>
            <w:tcW w:w="486" w:type="pct"/>
            <w:shd w:val="clear" w:color="auto" w:fill="auto"/>
          </w:tcPr>
          <w:p w:rsidR="0025490C" w:rsidRPr="00E07B1B" w:rsidRDefault="0025490C" w:rsidP="00A0217F">
            <w:pPr>
              <w:pStyle w:val="TableText"/>
            </w:pPr>
            <w:r w:rsidRPr="00E07B1B">
              <w:t>Hedderson (2010</w:t>
            </w:r>
            <w:r>
              <w:t>b</w:t>
            </w:r>
            <w:r w:rsidRPr="00E07B1B">
              <w:t>)</w:t>
            </w:r>
          </w:p>
        </w:tc>
        <w:tc>
          <w:tcPr>
            <w:tcW w:w="534" w:type="pct"/>
            <w:shd w:val="clear" w:color="auto" w:fill="auto"/>
          </w:tcPr>
          <w:p w:rsidR="0025490C" w:rsidRPr="00E07B1B" w:rsidRDefault="0025490C" w:rsidP="003E3F88">
            <w:pPr>
              <w:pStyle w:val="TableText"/>
            </w:pPr>
            <w:r w:rsidRPr="00E07B1B">
              <w:t>USA</w:t>
            </w:r>
            <w:r w:rsidR="003E3F88">
              <w:br/>
            </w:r>
            <w:r w:rsidRPr="00E07B1B">
              <w:t>216,089</w:t>
            </w:r>
          </w:p>
        </w:tc>
        <w:tc>
          <w:tcPr>
            <w:tcW w:w="534" w:type="pct"/>
            <w:shd w:val="clear" w:color="auto" w:fill="auto"/>
          </w:tcPr>
          <w:p w:rsidR="0025490C" w:rsidRPr="00E07B1B" w:rsidRDefault="0025490C" w:rsidP="00A0217F">
            <w:pPr>
              <w:pStyle w:val="TableText"/>
            </w:pPr>
            <w:r w:rsidRPr="00E07B1B">
              <w:t>Cohort</w:t>
            </w:r>
          </w:p>
        </w:tc>
        <w:tc>
          <w:tcPr>
            <w:tcW w:w="1263" w:type="pct"/>
            <w:shd w:val="clear" w:color="auto" w:fill="auto"/>
          </w:tcPr>
          <w:p w:rsidR="0025490C" w:rsidRDefault="0025490C" w:rsidP="003E3F88">
            <w:pPr>
              <w:pStyle w:val="TableText"/>
              <w:spacing w:after="30"/>
            </w:pPr>
            <w:r w:rsidRPr="00E07B1B">
              <w:t>50</w:t>
            </w:r>
            <w:r>
              <w:t xml:space="preserve"> </w:t>
            </w:r>
            <w:r w:rsidRPr="00E07B1B">
              <w:t>g test</w:t>
            </w:r>
            <w:r>
              <w:t>. I</w:t>
            </w:r>
            <w:r w:rsidRPr="00E07B1B">
              <w:t>f abnormal underwent 3</w:t>
            </w:r>
            <w:r w:rsidR="003E3F88">
              <w:noBreakHyphen/>
            </w:r>
            <w:r w:rsidRPr="00E07B1B">
              <w:t>hour</w:t>
            </w:r>
            <w:r>
              <w:t>,</w:t>
            </w:r>
            <w:r w:rsidRPr="00E07B1B">
              <w:t xml:space="preserve"> 100</w:t>
            </w:r>
            <w:r>
              <w:t xml:space="preserve"> </w:t>
            </w:r>
            <w:r w:rsidRPr="00E07B1B">
              <w:t xml:space="preserve">g OGTT </w:t>
            </w:r>
            <w:r>
              <w:t xml:space="preserve">with </w:t>
            </w:r>
            <w:r w:rsidRPr="00E07B1B">
              <w:t>two or more abnormal values</w:t>
            </w:r>
            <w:r>
              <w:t xml:space="preserve"> required</w:t>
            </w:r>
            <w:r w:rsidRPr="00E07B1B">
              <w:t xml:space="preserve">, </w:t>
            </w:r>
            <w:r>
              <w:t xml:space="preserve">using </w:t>
            </w:r>
            <w:r w:rsidRPr="00E07B1B">
              <w:t>ADA criteria</w:t>
            </w:r>
            <w:r>
              <w:t>:</w:t>
            </w:r>
          </w:p>
          <w:p w:rsidR="0025490C" w:rsidRDefault="0025490C" w:rsidP="003E3F88">
            <w:pPr>
              <w:pStyle w:val="TableBullet"/>
              <w:spacing w:after="30"/>
              <w:ind w:left="284"/>
            </w:pPr>
            <w:r w:rsidRPr="00E07B1B">
              <w:t>fasting 95</w:t>
            </w:r>
            <w:r>
              <w:t xml:space="preserve"> </w:t>
            </w:r>
            <w:r w:rsidRPr="00E07B1B">
              <w:t>mg</w:t>
            </w:r>
            <w:r>
              <w:t>/dL</w:t>
            </w:r>
          </w:p>
          <w:p w:rsidR="0025490C" w:rsidRDefault="0025490C" w:rsidP="003E3F88">
            <w:pPr>
              <w:pStyle w:val="TableBullet"/>
              <w:spacing w:after="30"/>
              <w:ind w:left="284"/>
            </w:pPr>
            <w:r w:rsidRPr="00E07B1B">
              <w:t>1</w:t>
            </w:r>
            <w:r>
              <w:noBreakHyphen/>
            </w:r>
            <w:r w:rsidRPr="00E07B1B">
              <w:t>hour 180</w:t>
            </w:r>
            <w:r>
              <w:t xml:space="preserve"> </w:t>
            </w:r>
            <w:r w:rsidRPr="00E07B1B">
              <w:t>mg</w:t>
            </w:r>
            <w:r>
              <w:t>/dL</w:t>
            </w:r>
          </w:p>
          <w:p w:rsidR="0025490C" w:rsidRDefault="0025490C" w:rsidP="003E3F88">
            <w:pPr>
              <w:pStyle w:val="TableBullet"/>
              <w:spacing w:after="30"/>
              <w:ind w:left="284"/>
            </w:pPr>
            <w:r w:rsidRPr="00E07B1B">
              <w:t>2</w:t>
            </w:r>
            <w:r>
              <w:noBreakHyphen/>
            </w:r>
            <w:r w:rsidRPr="00E07B1B">
              <w:t>hour 155 mg</w:t>
            </w:r>
            <w:r>
              <w:t>/dL</w:t>
            </w:r>
          </w:p>
          <w:p w:rsidR="0025490C" w:rsidRPr="00E07B1B" w:rsidRDefault="0025490C" w:rsidP="003E3F88">
            <w:pPr>
              <w:pStyle w:val="TableBullet"/>
              <w:ind w:left="284"/>
            </w:pPr>
            <w:r w:rsidRPr="00E07B1B">
              <w:t>3</w:t>
            </w:r>
            <w:r>
              <w:noBreakHyphen/>
            </w:r>
            <w:r w:rsidRPr="00E07B1B">
              <w:t>hour 140</w:t>
            </w:r>
            <w:r>
              <w:t xml:space="preserve"> </w:t>
            </w:r>
            <w:r w:rsidRPr="00E07B1B">
              <w:t>mg</w:t>
            </w:r>
            <w:r>
              <w:t>/dL</w:t>
            </w:r>
            <w:r w:rsidRPr="00E07B1B">
              <w:t>.</w:t>
            </w:r>
          </w:p>
        </w:tc>
        <w:tc>
          <w:tcPr>
            <w:tcW w:w="1747" w:type="pct"/>
            <w:shd w:val="clear" w:color="auto" w:fill="auto"/>
          </w:tcPr>
          <w:p w:rsidR="0025490C" w:rsidRDefault="0025490C" w:rsidP="003E3F88">
            <w:pPr>
              <w:pStyle w:val="TableText"/>
              <w:spacing w:after="30"/>
            </w:pPr>
            <w:r w:rsidRPr="00E07B1B">
              <w:t>Increased risk of GDM associated with being born outside the USA</w:t>
            </w:r>
            <w:r>
              <w:t>.</w:t>
            </w:r>
            <w:r w:rsidRPr="00E07B1B">
              <w:t xml:space="preserve"> Compared with those women born inside the USA</w:t>
            </w:r>
            <w:r>
              <w:t>,</w:t>
            </w:r>
            <w:r w:rsidRPr="00E07B1B">
              <w:t xml:space="preserve"> </w:t>
            </w:r>
            <w:r>
              <w:t xml:space="preserve">the risk </w:t>
            </w:r>
            <w:r w:rsidRPr="00E07B1B">
              <w:t>was approximately</w:t>
            </w:r>
            <w:r>
              <w:t>:</w:t>
            </w:r>
          </w:p>
          <w:p w:rsidR="0025490C" w:rsidRDefault="0025490C" w:rsidP="003E3F88">
            <w:pPr>
              <w:pStyle w:val="TableBullet"/>
              <w:spacing w:after="30"/>
              <w:ind w:left="284"/>
            </w:pPr>
            <w:r w:rsidRPr="00E07B1B">
              <w:t>80% higher for Asian Indian (adj OR 1.84; 95%CI 1.02</w:t>
            </w:r>
            <w:r>
              <w:t>–</w:t>
            </w:r>
            <w:r w:rsidRPr="00E07B1B">
              <w:t xml:space="preserve">3.34), </w:t>
            </w:r>
            <w:r>
              <w:t>B</w:t>
            </w:r>
            <w:r w:rsidRPr="00E07B1B">
              <w:t>lack and Filipina (adj OR 1.78 95%CI 1.47</w:t>
            </w:r>
            <w:r>
              <w:t>–</w:t>
            </w:r>
            <w:r w:rsidRPr="00E07B1B">
              <w:t>2.17) women</w:t>
            </w:r>
          </w:p>
          <w:p w:rsidR="0025490C" w:rsidRDefault="0025490C" w:rsidP="003E3F88">
            <w:pPr>
              <w:pStyle w:val="TableBullet"/>
              <w:spacing w:after="30"/>
              <w:ind w:left="284"/>
            </w:pPr>
            <w:r w:rsidRPr="00E07B1B">
              <w:t>50% higher among Chinese</w:t>
            </w:r>
            <w:r>
              <w:t xml:space="preserve"> women</w:t>
            </w:r>
            <w:r w:rsidRPr="00E07B1B">
              <w:t xml:space="preserve"> (adj OR 1.51; 95%CI 1.20</w:t>
            </w:r>
            <w:r>
              <w:t>–</w:t>
            </w:r>
            <w:r w:rsidRPr="00E07B1B">
              <w:t>1.91) and Pacific Islanders (adj OR 1.58; 95%CI 1.07</w:t>
            </w:r>
            <w:r>
              <w:t>–</w:t>
            </w:r>
            <w:r w:rsidRPr="00E07B1B">
              <w:t>2.32)</w:t>
            </w:r>
          </w:p>
          <w:p w:rsidR="0025490C" w:rsidRDefault="0025490C" w:rsidP="003E3F88">
            <w:pPr>
              <w:pStyle w:val="TableBullet"/>
              <w:ind w:left="284"/>
            </w:pPr>
            <w:r w:rsidRPr="00E07B1B">
              <w:t xml:space="preserve">35% higher among non-Hispanic </w:t>
            </w:r>
            <w:r>
              <w:t>W</w:t>
            </w:r>
            <w:r w:rsidRPr="00E07B1B">
              <w:t>hite (adj OR 1.36; 95%CI 1.24</w:t>
            </w:r>
            <w:r>
              <w:t>–</w:t>
            </w:r>
            <w:r w:rsidRPr="00E07B1B">
              <w:t>1.49) and Mexican (adj OR 1.34, 95%CI 1.23</w:t>
            </w:r>
            <w:r>
              <w:t>–</w:t>
            </w:r>
            <w:r w:rsidRPr="00E07B1B">
              <w:t>1.46) women.</w:t>
            </w:r>
          </w:p>
          <w:p w:rsidR="0025490C" w:rsidRPr="00E07B1B" w:rsidRDefault="0025490C" w:rsidP="00A0217F">
            <w:pPr>
              <w:pStyle w:val="TableText"/>
            </w:pPr>
            <w:r w:rsidRPr="00E07B1B">
              <w:t>Japanese and Korean women born outside the USA had a 50% decreased risk of developing GDM.</w:t>
            </w:r>
          </w:p>
        </w:tc>
        <w:tc>
          <w:tcPr>
            <w:tcW w:w="437" w:type="pct"/>
            <w:shd w:val="clear" w:color="auto" w:fill="auto"/>
          </w:tcPr>
          <w:p w:rsidR="0025490C" w:rsidRPr="00E07B1B" w:rsidRDefault="0025490C" w:rsidP="002716E2">
            <w:pPr>
              <w:pStyle w:val="TableText"/>
              <w:jc w:val="center"/>
            </w:pPr>
            <w:r w:rsidRPr="00E07B1B">
              <w:t>MEDIUM</w:t>
            </w:r>
          </w:p>
        </w:tc>
      </w:tr>
      <w:tr w:rsidR="003E3F88" w:rsidRPr="00E07B1B" w:rsidTr="003E3F88">
        <w:trPr>
          <w:cantSplit/>
        </w:trPr>
        <w:tc>
          <w:tcPr>
            <w:tcW w:w="486" w:type="pct"/>
            <w:shd w:val="clear" w:color="auto" w:fill="F2F2F2" w:themeFill="background1" w:themeFillShade="F2"/>
          </w:tcPr>
          <w:p w:rsidR="0025490C" w:rsidRPr="00E07B1B" w:rsidRDefault="0025490C" w:rsidP="00A0217F">
            <w:pPr>
              <w:pStyle w:val="TableText"/>
            </w:pPr>
            <w:r w:rsidRPr="00E07B1B">
              <w:t>Savitz</w:t>
            </w:r>
            <w:r>
              <w:t xml:space="preserve"> </w:t>
            </w:r>
            <w:r w:rsidRPr="00E07B1B">
              <w:t>(2008)</w:t>
            </w:r>
          </w:p>
        </w:tc>
        <w:tc>
          <w:tcPr>
            <w:tcW w:w="534" w:type="pct"/>
            <w:shd w:val="clear" w:color="auto" w:fill="F2F2F2" w:themeFill="background1" w:themeFillShade="F2"/>
          </w:tcPr>
          <w:p w:rsidR="0025490C" w:rsidRPr="00E07B1B" w:rsidRDefault="0025490C" w:rsidP="003E3F88">
            <w:pPr>
              <w:pStyle w:val="TableText"/>
            </w:pPr>
            <w:r w:rsidRPr="00E07B1B">
              <w:t>USA</w:t>
            </w:r>
            <w:r w:rsidR="003E3F88">
              <w:br/>
            </w:r>
            <w:r w:rsidRPr="00E07B1B">
              <w:t>951,920</w:t>
            </w:r>
          </w:p>
        </w:tc>
        <w:tc>
          <w:tcPr>
            <w:tcW w:w="534" w:type="pct"/>
            <w:shd w:val="clear" w:color="auto" w:fill="F2F2F2" w:themeFill="background1" w:themeFillShade="F2"/>
          </w:tcPr>
          <w:p w:rsidR="0025490C" w:rsidRPr="00E07B1B" w:rsidRDefault="0025490C" w:rsidP="00A0217F">
            <w:pPr>
              <w:pStyle w:val="TableText"/>
            </w:pPr>
            <w:r w:rsidRPr="00E07B1B">
              <w:t>Cohort</w:t>
            </w:r>
          </w:p>
        </w:tc>
        <w:tc>
          <w:tcPr>
            <w:tcW w:w="1263" w:type="pct"/>
            <w:shd w:val="clear" w:color="auto" w:fill="F2F2F2" w:themeFill="background1" w:themeFillShade="F2"/>
          </w:tcPr>
          <w:p w:rsidR="0025490C" w:rsidRPr="00E07B1B" w:rsidRDefault="0025490C" w:rsidP="003E3F88">
            <w:pPr>
              <w:pStyle w:val="TableText"/>
            </w:pPr>
            <w:r w:rsidRPr="00E07B1B">
              <w:t>Different policies in different sites.</w:t>
            </w:r>
            <w:r w:rsidR="003E3F88">
              <w:br/>
            </w:r>
            <w:r w:rsidRPr="00E07B1B">
              <w:t>No definitions provided.</w:t>
            </w:r>
          </w:p>
        </w:tc>
        <w:tc>
          <w:tcPr>
            <w:tcW w:w="1747" w:type="pct"/>
            <w:shd w:val="clear" w:color="auto" w:fill="F2F2F2" w:themeFill="background1" w:themeFillShade="F2"/>
          </w:tcPr>
          <w:p w:rsidR="0025490C" w:rsidRPr="00E07B1B" w:rsidRDefault="0025490C" w:rsidP="003E3F88">
            <w:pPr>
              <w:pStyle w:val="TableText"/>
              <w:spacing w:after="30"/>
            </w:pPr>
            <w:r w:rsidRPr="00E07B1B">
              <w:t>Compared with non-Hispanic White women, Asians showed the highest risks</w:t>
            </w:r>
            <w:r>
              <w:t>:</w:t>
            </w:r>
          </w:p>
          <w:p w:rsidR="0025490C" w:rsidRPr="00E07B1B" w:rsidRDefault="0025490C" w:rsidP="003E3F88">
            <w:pPr>
              <w:pStyle w:val="TableBullet"/>
              <w:spacing w:after="30"/>
              <w:ind w:left="284"/>
            </w:pPr>
            <w:r>
              <w:t>a</w:t>
            </w:r>
            <w:r w:rsidRPr="00E07B1B">
              <w:t>dj RR 4.7 (95%CI 4.6</w:t>
            </w:r>
            <w:r>
              <w:t>–</w:t>
            </w:r>
            <w:r w:rsidRPr="00E07B1B">
              <w:t>4.9) for South Central Asian</w:t>
            </w:r>
            <w:r>
              <w:t>s</w:t>
            </w:r>
          </w:p>
          <w:p w:rsidR="0025490C" w:rsidRPr="00E07B1B" w:rsidRDefault="0025490C" w:rsidP="003E3F88">
            <w:pPr>
              <w:pStyle w:val="TableBullet"/>
              <w:spacing w:after="30"/>
              <w:ind w:left="284"/>
            </w:pPr>
            <w:r>
              <w:t>a</w:t>
            </w:r>
            <w:r w:rsidRPr="00E07B1B">
              <w:t>dj RR 2.8 (95%CI 2.7</w:t>
            </w:r>
            <w:r>
              <w:t>–</w:t>
            </w:r>
            <w:r w:rsidRPr="00E07B1B">
              <w:t>3.0) for South East Asian</w:t>
            </w:r>
            <w:r>
              <w:t>s</w:t>
            </w:r>
            <w:r w:rsidRPr="00E07B1B">
              <w:t xml:space="preserve"> and Pacific Islanders</w:t>
            </w:r>
          </w:p>
          <w:p w:rsidR="0025490C" w:rsidRPr="00E07B1B" w:rsidRDefault="0025490C" w:rsidP="003E3F88">
            <w:pPr>
              <w:pStyle w:val="TableBullet"/>
              <w:ind w:left="284"/>
            </w:pPr>
            <w:r>
              <w:t>a</w:t>
            </w:r>
            <w:r w:rsidRPr="00E07B1B">
              <w:t>dj RR</w:t>
            </w:r>
            <w:r>
              <w:t xml:space="preserve"> </w:t>
            </w:r>
            <w:r w:rsidRPr="00E07B1B">
              <w:t>2.3 (95%CI 2.2</w:t>
            </w:r>
            <w:r>
              <w:t>–</w:t>
            </w:r>
            <w:r w:rsidRPr="00E07B1B">
              <w:t>2.4) for East Asians</w:t>
            </w:r>
            <w:r>
              <w:t>.</w:t>
            </w:r>
          </w:p>
          <w:p w:rsidR="0025490C" w:rsidRDefault="0025490C" w:rsidP="00A0217F">
            <w:pPr>
              <w:pStyle w:val="TableText"/>
            </w:pPr>
            <w:r w:rsidRPr="00E07B1B">
              <w:t>In South Central Asia the highest risks were for women from Bangladesh (adj RR 7.1, 95%CI 6.8</w:t>
            </w:r>
            <w:r>
              <w:t>–</w:t>
            </w:r>
            <w:r w:rsidRPr="00E07B1B">
              <w:t>7.3), Pakistan (adj RR 4.6, 4.3</w:t>
            </w:r>
            <w:r>
              <w:t>–</w:t>
            </w:r>
            <w:r w:rsidRPr="00E07B1B">
              <w:t>4.8), and India (adj RR 3.7, 95%CI 3.5</w:t>
            </w:r>
            <w:r>
              <w:t>–</w:t>
            </w:r>
            <w:r w:rsidRPr="00E07B1B">
              <w:t>3.9).</w:t>
            </w:r>
          </w:p>
          <w:p w:rsidR="0025490C" w:rsidRPr="00E07B1B" w:rsidRDefault="0025490C" w:rsidP="00A0217F">
            <w:pPr>
              <w:pStyle w:val="TableText"/>
            </w:pPr>
            <w:r w:rsidRPr="00E07B1B">
              <w:t>Migrant women from sub-Saharan Africa, South East Asia and South America had higher adj RR 1.5 to &lt;</w:t>
            </w:r>
            <w:r>
              <w:t xml:space="preserve"> </w:t>
            </w:r>
            <w:r w:rsidRPr="00E07B1B">
              <w:t>2.0 compared with USA</w:t>
            </w:r>
            <w:r>
              <w:t>-</w:t>
            </w:r>
            <w:r w:rsidRPr="00E07B1B">
              <w:t>born women</w:t>
            </w:r>
            <w:r>
              <w:t>.</w:t>
            </w:r>
          </w:p>
        </w:tc>
        <w:tc>
          <w:tcPr>
            <w:tcW w:w="437" w:type="pct"/>
            <w:shd w:val="clear" w:color="auto" w:fill="F2F2F2" w:themeFill="background1" w:themeFillShade="F2"/>
          </w:tcPr>
          <w:p w:rsidR="0025490C" w:rsidRPr="00E07B1B" w:rsidRDefault="0025490C" w:rsidP="002716E2">
            <w:pPr>
              <w:pStyle w:val="TableText"/>
              <w:jc w:val="center"/>
            </w:pPr>
            <w:r w:rsidRPr="00E07B1B">
              <w:t>MEDIUM</w:t>
            </w:r>
          </w:p>
        </w:tc>
      </w:tr>
      <w:tr w:rsidR="003E3F88" w:rsidRPr="00E07B1B" w:rsidTr="00033995">
        <w:trPr>
          <w:cantSplit/>
        </w:trPr>
        <w:tc>
          <w:tcPr>
            <w:tcW w:w="486" w:type="pct"/>
            <w:shd w:val="clear" w:color="auto" w:fill="auto"/>
          </w:tcPr>
          <w:p w:rsidR="0025490C" w:rsidRPr="00E07B1B" w:rsidRDefault="0025490C" w:rsidP="00033995">
            <w:pPr>
              <w:pStyle w:val="TableText"/>
            </w:pPr>
            <w:r w:rsidRPr="00E07B1B">
              <w:t>Aljohani (2008)</w:t>
            </w:r>
          </w:p>
        </w:tc>
        <w:tc>
          <w:tcPr>
            <w:tcW w:w="534" w:type="pct"/>
            <w:shd w:val="clear" w:color="auto" w:fill="auto"/>
          </w:tcPr>
          <w:p w:rsidR="0025490C" w:rsidRPr="00E07B1B" w:rsidRDefault="0025490C" w:rsidP="00033995">
            <w:pPr>
              <w:pStyle w:val="TableText"/>
            </w:pPr>
            <w:r w:rsidRPr="00E07B1B">
              <w:t>Canada</w:t>
            </w:r>
            <w:r w:rsidR="00033995">
              <w:br/>
            </w:r>
            <w:r w:rsidRPr="00E07B1B">
              <w:t>165,969</w:t>
            </w:r>
          </w:p>
        </w:tc>
        <w:tc>
          <w:tcPr>
            <w:tcW w:w="534" w:type="pct"/>
            <w:shd w:val="clear" w:color="auto" w:fill="auto"/>
          </w:tcPr>
          <w:p w:rsidR="0025490C" w:rsidRPr="00E07B1B" w:rsidRDefault="0025490C" w:rsidP="00A0217F">
            <w:pPr>
              <w:pStyle w:val="TableText"/>
            </w:pPr>
            <w:r w:rsidRPr="00E07B1B">
              <w:t>Retrospective cohort</w:t>
            </w:r>
          </w:p>
        </w:tc>
        <w:tc>
          <w:tcPr>
            <w:tcW w:w="1263" w:type="pct"/>
            <w:shd w:val="clear" w:color="auto" w:fill="auto"/>
          </w:tcPr>
          <w:p w:rsidR="0025490C" w:rsidRDefault="0025490C" w:rsidP="00A0217F">
            <w:pPr>
              <w:pStyle w:val="TableText"/>
            </w:pPr>
            <w:r w:rsidRPr="00033995">
              <w:rPr>
                <w:b/>
              </w:rPr>
              <w:t>From 1992</w:t>
            </w:r>
            <w:r w:rsidRPr="00E07B1B">
              <w:t xml:space="preserve"> 50</w:t>
            </w:r>
            <w:r>
              <w:t xml:space="preserve"> </w:t>
            </w:r>
            <w:r w:rsidRPr="00E07B1B">
              <w:t>g OGTT</w:t>
            </w:r>
          </w:p>
          <w:p w:rsidR="0068074A" w:rsidRDefault="0025490C" w:rsidP="00DE44C2">
            <w:pPr>
              <w:pStyle w:val="TableText"/>
              <w:spacing w:after="20"/>
            </w:pPr>
            <w:r w:rsidRPr="00E07B1B">
              <w:t>If ≥</w:t>
            </w:r>
            <w:r>
              <w:t xml:space="preserve"> </w:t>
            </w:r>
            <w:r w:rsidRPr="00E07B1B">
              <w:t>7.8</w:t>
            </w:r>
            <w:r w:rsidR="00033995">
              <w:t> </w:t>
            </w:r>
            <w:r w:rsidRPr="00E07B1B">
              <w:t>mmol/L then 100</w:t>
            </w:r>
            <w:r>
              <w:t xml:space="preserve"> </w:t>
            </w:r>
            <w:r w:rsidRPr="00E07B1B">
              <w:t>g, 3</w:t>
            </w:r>
            <w:r>
              <w:noBreakHyphen/>
            </w:r>
            <w:r w:rsidRPr="00E07B1B">
              <w:t xml:space="preserve">hour OGTT with </w:t>
            </w:r>
            <w:r>
              <w:t>two</w:t>
            </w:r>
            <w:r w:rsidRPr="00E07B1B">
              <w:t xml:space="preserve"> or more abnormal results </w:t>
            </w:r>
            <w:r>
              <w:t xml:space="preserve">required </w:t>
            </w:r>
            <w:r w:rsidRPr="00E07B1B">
              <w:t>from</w:t>
            </w:r>
            <w:r>
              <w:t>:</w:t>
            </w:r>
          </w:p>
          <w:p w:rsidR="0025490C" w:rsidRPr="00E07B1B" w:rsidRDefault="0025490C" w:rsidP="00DE44C2">
            <w:pPr>
              <w:pStyle w:val="TableBullet"/>
              <w:spacing w:after="20"/>
              <w:ind w:left="284"/>
            </w:pPr>
            <w:r>
              <w:t>f</w:t>
            </w:r>
            <w:r w:rsidRPr="00E07B1B">
              <w:t>asting ≥ 5.8</w:t>
            </w:r>
            <w:r w:rsidR="00033995">
              <w:t> </w:t>
            </w:r>
            <w:r w:rsidRPr="00E07B1B">
              <w:t>mmol/L</w:t>
            </w:r>
          </w:p>
          <w:p w:rsidR="0025490C" w:rsidRPr="00E07B1B" w:rsidRDefault="0025490C" w:rsidP="00DE44C2">
            <w:pPr>
              <w:pStyle w:val="TableBullet"/>
              <w:spacing w:after="20"/>
              <w:ind w:left="284"/>
            </w:pPr>
            <w:r w:rsidRPr="00E07B1B">
              <w:t>1</w:t>
            </w:r>
            <w:r>
              <w:t>-hour</w:t>
            </w:r>
            <w:r w:rsidRPr="00E07B1B">
              <w:t xml:space="preserve"> ≥</w:t>
            </w:r>
            <w:r>
              <w:t xml:space="preserve"> </w:t>
            </w:r>
            <w:r w:rsidRPr="00E07B1B">
              <w:t>10.6</w:t>
            </w:r>
            <w:r w:rsidR="00033995">
              <w:t> </w:t>
            </w:r>
            <w:r w:rsidRPr="00E07B1B">
              <w:t>mmol/L</w:t>
            </w:r>
          </w:p>
          <w:p w:rsidR="0025490C" w:rsidRPr="00E07B1B" w:rsidRDefault="0025490C" w:rsidP="00DE44C2">
            <w:pPr>
              <w:pStyle w:val="TableBullet"/>
              <w:spacing w:after="20"/>
              <w:ind w:left="284"/>
            </w:pPr>
            <w:r w:rsidRPr="00E07B1B">
              <w:t>2</w:t>
            </w:r>
            <w:r>
              <w:t>-hour</w:t>
            </w:r>
            <w:r w:rsidRPr="00E07B1B">
              <w:t xml:space="preserve"> ≥</w:t>
            </w:r>
            <w:r>
              <w:t xml:space="preserve"> </w:t>
            </w:r>
            <w:r w:rsidRPr="00E07B1B">
              <w:t>9.2</w:t>
            </w:r>
            <w:r w:rsidR="00033995">
              <w:t> </w:t>
            </w:r>
            <w:r w:rsidRPr="00E07B1B">
              <w:t>mmol/L</w:t>
            </w:r>
          </w:p>
          <w:p w:rsidR="0025490C" w:rsidRPr="00E07B1B" w:rsidRDefault="0025490C" w:rsidP="00033995">
            <w:pPr>
              <w:pStyle w:val="TableBullet"/>
              <w:ind w:left="284"/>
            </w:pPr>
            <w:r w:rsidRPr="00E07B1B">
              <w:t>3</w:t>
            </w:r>
            <w:r>
              <w:t>-hour</w:t>
            </w:r>
            <w:r w:rsidRPr="00E07B1B">
              <w:t xml:space="preserve"> ≥</w:t>
            </w:r>
            <w:r>
              <w:t xml:space="preserve"> </w:t>
            </w:r>
            <w:r w:rsidRPr="00E07B1B">
              <w:t>8.1</w:t>
            </w:r>
            <w:r w:rsidR="00033995">
              <w:t> </w:t>
            </w:r>
            <w:r w:rsidRPr="00E07B1B">
              <w:t>mmol/L.</w:t>
            </w:r>
          </w:p>
          <w:p w:rsidR="0025490C" w:rsidRDefault="0025490C" w:rsidP="00A0217F">
            <w:pPr>
              <w:pStyle w:val="TableText"/>
            </w:pPr>
            <w:r w:rsidRPr="00033995">
              <w:rPr>
                <w:b/>
              </w:rPr>
              <w:t>From 1998</w:t>
            </w:r>
            <w:r w:rsidRPr="00E07B1B">
              <w:t xml:space="preserve"> 50</w:t>
            </w:r>
            <w:r>
              <w:t xml:space="preserve"> </w:t>
            </w:r>
            <w:r w:rsidRPr="00E07B1B">
              <w:t xml:space="preserve">g </w:t>
            </w:r>
            <w:r>
              <w:t>O</w:t>
            </w:r>
            <w:r w:rsidRPr="00E07B1B">
              <w:t>GTT</w:t>
            </w:r>
          </w:p>
          <w:p w:rsidR="0025490C" w:rsidRPr="00E07B1B" w:rsidRDefault="0025490C" w:rsidP="00DE44C2">
            <w:pPr>
              <w:pStyle w:val="TableText"/>
              <w:spacing w:after="20"/>
            </w:pPr>
            <w:r w:rsidRPr="00E07B1B">
              <w:t>If ≥</w:t>
            </w:r>
            <w:r w:rsidR="00DE44C2">
              <w:t> </w:t>
            </w:r>
            <w:r w:rsidRPr="00E07B1B">
              <w:t>7.8 but &lt; 10.2 mmol/L then a 75</w:t>
            </w:r>
            <w:r>
              <w:t xml:space="preserve"> </w:t>
            </w:r>
            <w:r w:rsidRPr="00E07B1B">
              <w:t>g</w:t>
            </w:r>
            <w:r>
              <w:t>,</w:t>
            </w:r>
            <w:r w:rsidRPr="00E07B1B">
              <w:t xml:space="preserve"> 2</w:t>
            </w:r>
            <w:r w:rsidR="00033995">
              <w:noBreakHyphen/>
            </w:r>
            <w:r w:rsidRPr="00E07B1B">
              <w:t xml:space="preserve">hour OGTT with </w:t>
            </w:r>
            <w:r>
              <w:t>two</w:t>
            </w:r>
            <w:r w:rsidRPr="00E07B1B">
              <w:t xml:space="preserve"> or more abnormal results</w:t>
            </w:r>
            <w:r>
              <w:t xml:space="preserve"> required</w:t>
            </w:r>
            <w:r w:rsidRPr="00E07B1B">
              <w:t xml:space="preserve"> </w:t>
            </w:r>
            <w:r>
              <w:t>from:</w:t>
            </w:r>
          </w:p>
          <w:p w:rsidR="0025490C" w:rsidRPr="00E07B1B" w:rsidRDefault="0025490C" w:rsidP="00DE44C2">
            <w:pPr>
              <w:pStyle w:val="TableBullet"/>
              <w:spacing w:after="20"/>
              <w:ind w:left="284"/>
            </w:pPr>
            <w:r>
              <w:t>f</w:t>
            </w:r>
            <w:r w:rsidRPr="00E07B1B">
              <w:t>asting ≥</w:t>
            </w:r>
            <w:r>
              <w:t xml:space="preserve"> </w:t>
            </w:r>
            <w:r w:rsidRPr="00E07B1B">
              <w:t>5.3</w:t>
            </w:r>
            <w:r w:rsidR="00033995">
              <w:t> </w:t>
            </w:r>
            <w:r w:rsidRPr="00E07B1B">
              <w:t>mmol/L</w:t>
            </w:r>
          </w:p>
          <w:p w:rsidR="0025490C" w:rsidRPr="00E07B1B" w:rsidRDefault="0025490C" w:rsidP="00DE44C2">
            <w:pPr>
              <w:pStyle w:val="TableBullet"/>
              <w:spacing w:after="20"/>
              <w:ind w:left="284"/>
            </w:pPr>
            <w:r w:rsidRPr="00E07B1B">
              <w:t>1</w:t>
            </w:r>
            <w:r>
              <w:t>-</w:t>
            </w:r>
            <w:r w:rsidRPr="00E07B1B">
              <w:t>hour ≥</w:t>
            </w:r>
            <w:r>
              <w:t xml:space="preserve"> </w:t>
            </w:r>
            <w:r w:rsidRPr="00E07B1B">
              <w:t>10.6</w:t>
            </w:r>
            <w:r w:rsidR="00033995">
              <w:t> </w:t>
            </w:r>
            <w:r w:rsidRPr="00E07B1B">
              <w:t>mmol/L</w:t>
            </w:r>
          </w:p>
          <w:p w:rsidR="0025490C" w:rsidRPr="00E07B1B" w:rsidRDefault="0025490C" w:rsidP="00033995">
            <w:pPr>
              <w:pStyle w:val="TableBullet"/>
              <w:ind w:left="284"/>
            </w:pPr>
            <w:r w:rsidRPr="00E07B1B">
              <w:t>2</w:t>
            </w:r>
            <w:r>
              <w:t>-</w:t>
            </w:r>
            <w:r w:rsidRPr="00E07B1B">
              <w:t>hour ≥</w:t>
            </w:r>
            <w:r>
              <w:t xml:space="preserve"> </w:t>
            </w:r>
            <w:r w:rsidRPr="00E07B1B">
              <w:t>8.9</w:t>
            </w:r>
            <w:r w:rsidR="00033995">
              <w:t> </w:t>
            </w:r>
            <w:r w:rsidRPr="00E07B1B">
              <w:t>mmol/L.</w:t>
            </w:r>
          </w:p>
        </w:tc>
        <w:tc>
          <w:tcPr>
            <w:tcW w:w="1747" w:type="pct"/>
            <w:shd w:val="clear" w:color="auto" w:fill="auto"/>
          </w:tcPr>
          <w:p w:rsidR="0025490C" w:rsidRPr="00E07B1B" w:rsidRDefault="0025490C" w:rsidP="00033995">
            <w:pPr>
              <w:pStyle w:val="TableText"/>
            </w:pPr>
            <w:r w:rsidRPr="00E07B1B">
              <w:t>First Nation women at</w:t>
            </w:r>
            <w:r>
              <w:t xml:space="preserve"> </w:t>
            </w:r>
            <w:r w:rsidRPr="00E07B1B">
              <w:t>2.6</w:t>
            </w:r>
            <w:r>
              <w:t>–</w:t>
            </w:r>
            <w:r w:rsidRPr="00E07B1B">
              <w:t xml:space="preserve">3.8 </w:t>
            </w:r>
            <w:r>
              <w:t>times</w:t>
            </w:r>
            <w:r w:rsidRPr="00E07B1B">
              <w:t xml:space="preserve"> higher risk of GDM compared with non-First Nation women over a 20</w:t>
            </w:r>
            <w:r w:rsidR="00033995">
              <w:noBreakHyphen/>
            </w:r>
            <w:r w:rsidRPr="00E07B1B">
              <w:t>year period (adj OR 2.2; 95%CI 2.0</w:t>
            </w:r>
            <w:r>
              <w:t>–</w:t>
            </w:r>
            <w:r w:rsidRPr="00E07B1B">
              <w:t>2.42</w:t>
            </w:r>
            <w:r>
              <w:t>,</w:t>
            </w:r>
            <w:r w:rsidR="0068074A">
              <w:t xml:space="preserve"> </w:t>
            </w:r>
            <w:r w:rsidRPr="00267A1D">
              <w:rPr>
                <w:i/>
              </w:rPr>
              <w:t>p</w:t>
            </w:r>
            <w:r>
              <w:t xml:space="preserve"> </w:t>
            </w:r>
            <w:r w:rsidRPr="00E07B1B">
              <w:t>&lt;</w:t>
            </w:r>
            <w:r>
              <w:t xml:space="preserve"> </w:t>
            </w:r>
            <w:r w:rsidRPr="00E07B1B">
              <w:t>0.01)</w:t>
            </w:r>
            <w:r>
              <w:t>.</w:t>
            </w:r>
          </w:p>
        </w:tc>
        <w:tc>
          <w:tcPr>
            <w:tcW w:w="437" w:type="pct"/>
            <w:shd w:val="clear" w:color="auto" w:fill="auto"/>
          </w:tcPr>
          <w:p w:rsidR="0025490C" w:rsidRPr="00E07B1B" w:rsidRDefault="0025490C" w:rsidP="002716E2">
            <w:pPr>
              <w:pStyle w:val="TableText"/>
              <w:jc w:val="center"/>
            </w:pPr>
            <w:r w:rsidRPr="00E07B1B">
              <w:t>HIGH</w:t>
            </w:r>
          </w:p>
        </w:tc>
      </w:tr>
      <w:tr w:rsidR="003E3F88" w:rsidRPr="00E07B1B" w:rsidTr="00033995">
        <w:trPr>
          <w:cantSplit/>
        </w:trPr>
        <w:tc>
          <w:tcPr>
            <w:tcW w:w="486" w:type="pct"/>
            <w:shd w:val="clear" w:color="auto" w:fill="F2F2F2" w:themeFill="background1" w:themeFillShade="F2"/>
          </w:tcPr>
          <w:p w:rsidR="0025490C" w:rsidRPr="00E07B1B" w:rsidRDefault="0025490C" w:rsidP="00A0217F">
            <w:pPr>
              <w:pStyle w:val="TableText"/>
            </w:pPr>
            <w:r w:rsidRPr="00E07B1B">
              <w:t>Teede</w:t>
            </w:r>
            <w:r>
              <w:t xml:space="preserve"> </w:t>
            </w:r>
            <w:r w:rsidRPr="00E07B1B">
              <w:t>(2011)</w:t>
            </w:r>
          </w:p>
        </w:tc>
        <w:tc>
          <w:tcPr>
            <w:tcW w:w="534" w:type="pct"/>
            <w:shd w:val="clear" w:color="auto" w:fill="F2F2F2" w:themeFill="background1" w:themeFillShade="F2"/>
          </w:tcPr>
          <w:p w:rsidR="0025490C" w:rsidRPr="00E07B1B" w:rsidRDefault="0025490C" w:rsidP="00033995">
            <w:pPr>
              <w:pStyle w:val="TableText"/>
            </w:pPr>
            <w:r w:rsidRPr="00E07B1B">
              <w:t>Australia</w:t>
            </w:r>
            <w:r w:rsidR="00033995">
              <w:br/>
            </w:r>
            <w:r w:rsidRPr="00E07B1B">
              <w:t>4276</w:t>
            </w:r>
          </w:p>
        </w:tc>
        <w:tc>
          <w:tcPr>
            <w:tcW w:w="534" w:type="pct"/>
            <w:shd w:val="clear" w:color="auto" w:fill="F2F2F2" w:themeFill="background1" w:themeFillShade="F2"/>
          </w:tcPr>
          <w:p w:rsidR="0025490C" w:rsidRPr="00E07B1B" w:rsidRDefault="0025490C" w:rsidP="00033995">
            <w:pPr>
              <w:pStyle w:val="TableText"/>
            </w:pPr>
            <w:r w:rsidRPr="00E07B1B">
              <w:t>Retrospective observational</w:t>
            </w:r>
          </w:p>
        </w:tc>
        <w:tc>
          <w:tcPr>
            <w:tcW w:w="1263" w:type="pct"/>
            <w:shd w:val="clear" w:color="auto" w:fill="F2F2F2" w:themeFill="background1" w:themeFillShade="F2"/>
          </w:tcPr>
          <w:p w:rsidR="0025490C" w:rsidRDefault="0025490C" w:rsidP="00A0217F">
            <w:pPr>
              <w:pStyle w:val="TableText"/>
            </w:pPr>
            <w:r w:rsidRPr="00E07B1B">
              <w:t>ADIPS criteria</w:t>
            </w:r>
          </w:p>
          <w:p w:rsidR="0068074A" w:rsidRDefault="0025490C" w:rsidP="00DE44C2">
            <w:pPr>
              <w:pStyle w:val="TableText"/>
              <w:spacing w:after="20"/>
            </w:pPr>
            <w:r w:rsidRPr="00E07B1B">
              <w:t>A positive glucose challenge test was followed by a 75</w:t>
            </w:r>
            <w:r>
              <w:t xml:space="preserve"> </w:t>
            </w:r>
            <w:r w:rsidRPr="00E07B1B">
              <w:t>g</w:t>
            </w:r>
            <w:r>
              <w:t xml:space="preserve">, </w:t>
            </w:r>
            <w:r w:rsidRPr="00E07B1B">
              <w:t>2</w:t>
            </w:r>
            <w:r>
              <w:t>-</w:t>
            </w:r>
            <w:r w:rsidRPr="00E07B1B">
              <w:t>hour OGTT:</w:t>
            </w:r>
          </w:p>
          <w:p w:rsidR="0025490C" w:rsidRPr="00E07B1B" w:rsidRDefault="0025490C" w:rsidP="00DE44C2">
            <w:pPr>
              <w:pStyle w:val="TableBullet"/>
              <w:spacing w:after="20"/>
              <w:ind w:left="284"/>
            </w:pPr>
            <w:r>
              <w:t>f</w:t>
            </w:r>
            <w:r w:rsidRPr="00E07B1B">
              <w:t>asting ≥ 5.5mmol/L</w:t>
            </w:r>
          </w:p>
          <w:p w:rsidR="0025490C" w:rsidRPr="00E07B1B" w:rsidRDefault="0025490C" w:rsidP="00033995">
            <w:pPr>
              <w:pStyle w:val="TableBullet"/>
              <w:ind w:left="284"/>
            </w:pPr>
            <w:r w:rsidRPr="00E07B1B">
              <w:t>2</w:t>
            </w:r>
            <w:r>
              <w:t>-</w:t>
            </w:r>
            <w:r w:rsidRPr="00E07B1B">
              <w:t>hour ≥</w:t>
            </w:r>
            <w:r>
              <w:t xml:space="preserve"> </w:t>
            </w:r>
            <w:r w:rsidRPr="00E07B1B">
              <w:t>8</w:t>
            </w:r>
            <w:r>
              <w:t xml:space="preserve"> </w:t>
            </w:r>
            <w:r w:rsidRPr="00E07B1B">
              <w:t>mmol/L</w:t>
            </w:r>
            <w:r>
              <w:t>.</w:t>
            </w:r>
          </w:p>
        </w:tc>
        <w:tc>
          <w:tcPr>
            <w:tcW w:w="1747" w:type="pct"/>
            <w:shd w:val="clear" w:color="auto" w:fill="F2F2F2" w:themeFill="background1" w:themeFillShade="F2"/>
          </w:tcPr>
          <w:p w:rsidR="0025490C" w:rsidRPr="00E07B1B" w:rsidRDefault="0025490C" w:rsidP="00DE44C2">
            <w:pPr>
              <w:pStyle w:val="TableText"/>
              <w:spacing w:after="20"/>
            </w:pPr>
            <w:r w:rsidRPr="00E07B1B">
              <w:t>Compared with Anglo Australians</w:t>
            </w:r>
            <w:r>
              <w:t>,</w:t>
            </w:r>
            <w:r w:rsidRPr="00E07B1B">
              <w:t xml:space="preserve"> the groups at greatest risk were</w:t>
            </w:r>
            <w:r>
              <w:t>:</w:t>
            </w:r>
          </w:p>
          <w:p w:rsidR="0025490C" w:rsidRPr="00E07B1B" w:rsidRDefault="0025490C" w:rsidP="00DE44C2">
            <w:pPr>
              <w:pStyle w:val="TableBullet"/>
              <w:spacing w:after="20"/>
              <w:ind w:left="284"/>
            </w:pPr>
            <w:r>
              <w:t>m</w:t>
            </w:r>
            <w:r w:rsidRPr="00E07B1B">
              <w:t xml:space="preserve">ainland </w:t>
            </w:r>
            <w:r>
              <w:t>South East</w:t>
            </w:r>
            <w:r w:rsidRPr="00E07B1B">
              <w:t xml:space="preserve"> Asians, adj OR 5.0 (95%CI</w:t>
            </w:r>
            <w:r w:rsidR="00033995">
              <w:br/>
            </w:r>
            <w:r w:rsidRPr="00E07B1B">
              <w:t>3.0</w:t>
            </w:r>
            <w:r>
              <w:t>–</w:t>
            </w:r>
            <w:r w:rsidRPr="00E07B1B">
              <w:t xml:space="preserve">8.2, </w:t>
            </w:r>
            <w:r w:rsidRPr="00267A1D">
              <w:rPr>
                <w:i/>
              </w:rPr>
              <w:t>p</w:t>
            </w:r>
            <w:r>
              <w:t xml:space="preserve"> </w:t>
            </w:r>
            <w:r w:rsidRPr="00E07B1B">
              <w:t>&lt;</w:t>
            </w:r>
            <w:r>
              <w:t xml:space="preserve"> </w:t>
            </w:r>
            <w:r w:rsidRPr="00E07B1B">
              <w:t>0.0001)</w:t>
            </w:r>
          </w:p>
          <w:p w:rsidR="0025490C" w:rsidRPr="00E07B1B" w:rsidRDefault="0025490C" w:rsidP="00DE44C2">
            <w:pPr>
              <w:pStyle w:val="TableBullet"/>
              <w:spacing w:after="20"/>
              <w:ind w:left="284"/>
            </w:pPr>
            <w:r w:rsidRPr="00E07B1B">
              <w:t>Chinese Asians</w:t>
            </w:r>
            <w:r>
              <w:t>,</w:t>
            </w:r>
            <w:r w:rsidRPr="00E07B1B">
              <w:t xml:space="preserve"> adj OR 3.7 (95%CI 2.0</w:t>
            </w:r>
            <w:r>
              <w:t>–</w:t>
            </w:r>
            <w:r w:rsidRPr="00E07B1B">
              <w:t xml:space="preserve">6.7, </w:t>
            </w:r>
            <w:r w:rsidRPr="00267A1D">
              <w:rPr>
                <w:i/>
              </w:rPr>
              <w:t>p</w:t>
            </w:r>
            <w:r w:rsidR="00033995">
              <w:rPr>
                <w:i/>
              </w:rPr>
              <w:t> </w:t>
            </w:r>
            <w:r w:rsidRPr="00E07B1B">
              <w:t>&lt;</w:t>
            </w:r>
            <w:r w:rsidR="00033995">
              <w:t> </w:t>
            </w:r>
            <w:r w:rsidRPr="00E07B1B">
              <w:t>0.0001)</w:t>
            </w:r>
          </w:p>
          <w:p w:rsidR="0025490C" w:rsidRPr="00E07B1B" w:rsidRDefault="0025490C" w:rsidP="00033995">
            <w:pPr>
              <w:pStyle w:val="TableBullet"/>
              <w:ind w:left="284"/>
            </w:pPr>
            <w:r>
              <w:t>m</w:t>
            </w:r>
            <w:r w:rsidRPr="00E07B1B">
              <w:t xml:space="preserve">aritime </w:t>
            </w:r>
            <w:r>
              <w:t>South East</w:t>
            </w:r>
            <w:r w:rsidRPr="00E07B1B">
              <w:t xml:space="preserve"> Asians</w:t>
            </w:r>
            <w:r>
              <w:t>, a</w:t>
            </w:r>
            <w:r w:rsidRPr="00E07B1B">
              <w:t>dj OR 3.1 (95%CI</w:t>
            </w:r>
            <w:r w:rsidR="00033995">
              <w:br/>
            </w:r>
            <w:r w:rsidRPr="00E07B1B">
              <w:t>1.6</w:t>
            </w:r>
            <w:r>
              <w:t>–</w:t>
            </w:r>
            <w:r w:rsidRPr="00E07B1B">
              <w:t xml:space="preserve">6.0, </w:t>
            </w:r>
            <w:r w:rsidRPr="00267A1D">
              <w:rPr>
                <w:i/>
              </w:rPr>
              <w:t>p</w:t>
            </w:r>
            <w:r>
              <w:t xml:space="preserve"> </w:t>
            </w:r>
            <w:r w:rsidRPr="00E07B1B">
              <w:t>=</w:t>
            </w:r>
            <w:r>
              <w:t xml:space="preserve"> </w:t>
            </w:r>
            <w:r w:rsidRPr="00E07B1B">
              <w:t>0.001)</w:t>
            </w:r>
            <w:r>
              <w:t>.</w:t>
            </w:r>
          </w:p>
        </w:tc>
        <w:tc>
          <w:tcPr>
            <w:tcW w:w="437" w:type="pct"/>
            <w:shd w:val="clear" w:color="auto" w:fill="F2F2F2" w:themeFill="background1" w:themeFillShade="F2"/>
          </w:tcPr>
          <w:p w:rsidR="0025490C" w:rsidRPr="00E07B1B" w:rsidRDefault="0025490C" w:rsidP="002716E2">
            <w:pPr>
              <w:pStyle w:val="TableText"/>
              <w:jc w:val="center"/>
            </w:pPr>
            <w:r w:rsidRPr="00E07B1B">
              <w:t>HIGH</w:t>
            </w:r>
          </w:p>
        </w:tc>
      </w:tr>
      <w:tr w:rsidR="003E3F88" w:rsidRPr="00E07B1B" w:rsidTr="00033995">
        <w:trPr>
          <w:cantSplit/>
        </w:trPr>
        <w:tc>
          <w:tcPr>
            <w:tcW w:w="486" w:type="pct"/>
            <w:shd w:val="clear" w:color="auto" w:fill="auto"/>
          </w:tcPr>
          <w:p w:rsidR="0025490C" w:rsidRPr="00E07B1B" w:rsidRDefault="0025490C" w:rsidP="00A0217F">
            <w:pPr>
              <w:pStyle w:val="TableText"/>
            </w:pPr>
            <w:r w:rsidRPr="00E07B1B">
              <w:t>Ismail</w:t>
            </w:r>
            <w:r>
              <w:t xml:space="preserve"> </w:t>
            </w:r>
            <w:r w:rsidRPr="00E07B1B">
              <w:t>(2011)</w:t>
            </w:r>
          </w:p>
        </w:tc>
        <w:tc>
          <w:tcPr>
            <w:tcW w:w="534" w:type="pct"/>
            <w:shd w:val="clear" w:color="auto" w:fill="auto"/>
          </w:tcPr>
          <w:p w:rsidR="0025490C" w:rsidRPr="00E07B1B" w:rsidRDefault="0025490C" w:rsidP="00033995">
            <w:pPr>
              <w:pStyle w:val="TableText"/>
            </w:pPr>
            <w:r w:rsidRPr="00E07B1B">
              <w:t>Malaysia</w:t>
            </w:r>
            <w:r w:rsidR="00033995">
              <w:br/>
            </w:r>
            <w:r w:rsidRPr="00E07B1B">
              <w:t>616</w:t>
            </w:r>
          </w:p>
        </w:tc>
        <w:tc>
          <w:tcPr>
            <w:tcW w:w="534" w:type="pct"/>
            <w:shd w:val="clear" w:color="auto" w:fill="auto"/>
          </w:tcPr>
          <w:p w:rsidR="0025490C" w:rsidRPr="00E07B1B" w:rsidRDefault="0025490C" w:rsidP="00A0217F">
            <w:pPr>
              <w:pStyle w:val="TableText"/>
            </w:pPr>
            <w:r w:rsidRPr="00E07B1B">
              <w:t>Observational</w:t>
            </w:r>
          </w:p>
        </w:tc>
        <w:tc>
          <w:tcPr>
            <w:tcW w:w="1263" w:type="pct"/>
            <w:shd w:val="clear" w:color="auto" w:fill="auto"/>
          </w:tcPr>
          <w:p w:rsidR="0025490C" w:rsidRPr="00E07B1B" w:rsidRDefault="0025490C" w:rsidP="00033995">
            <w:pPr>
              <w:pStyle w:val="TableText"/>
            </w:pPr>
            <w:r w:rsidRPr="00E07B1B">
              <w:t>75</w:t>
            </w:r>
            <w:r>
              <w:t xml:space="preserve"> </w:t>
            </w:r>
            <w:r w:rsidRPr="00E07B1B">
              <w:t>g OGTT</w:t>
            </w:r>
            <w:r>
              <w:t>:</w:t>
            </w:r>
            <w:r w:rsidRPr="00E07B1B">
              <w:t xml:space="preserve"> fasting and 2</w:t>
            </w:r>
            <w:r>
              <w:noBreakHyphen/>
            </w:r>
            <w:r w:rsidRPr="00E07B1B">
              <w:t>hour postprandial &gt;</w:t>
            </w:r>
            <w:r>
              <w:t xml:space="preserve"> </w:t>
            </w:r>
            <w:r w:rsidRPr="00E07B1B">
              <w:t>6</w:t>
            </w:r>
            <w:r>
              <w:t xml:space="preserve"> </w:t>
            </w:r>
            <w:r w:rsidRPr="00E07B1B">
              <w:t xml:space="preserve">mmol/L </w:t>
            </w:r>
            <w:r>
              <w:t>and</w:t>
            </w:r>
            <w:r w:rsidRPr="00E07B1B">
              <w:t xml:space="preserve"> &gt;</w:t>
            </w:r>
            <w:r w:rsidR="00033995">
              <w:t> </w:t>
            </w:r>
            <w:r w:rsidRPr="00E07B1B">
              <w:t>7.8</w:t>
            </w:r>
            <w:r w:rsidR="00033995">
              <w:t> </w:t>
            </w:r>
            <w:r w:rsidRPr="00E07B1B">
              <w:t>mmol/L respectively.</w:t>
            </w:r>
          </w:p>
        </w:tc>
        <w:tc>
          <w:tcPr>
            <w:tcW w:w="1747" w:type="pct"/>
            <w:shd w:val="clear" w:color="auto" w:fill="auto"/>
          </w:tcPr>
          <w:p w:rsidR="0025490C" w:rsidRPr="00E07B1B" w:rsidRDefault="0025490C" w:rsidP="00A0217F">
            <w:pPr>
              <w:pStyle w:val="TableText"/>
            </w:pPr>
            <w:r w:rsidRPr="00E07B1B">
              <w:t>Chinese and Indian at increased risk (</w:t>
            </w:r>
            <w:r w:rsidRPr="003927E6">
              <w:rPr>
                <w:i/>
              </w:rPr>
              <w:t>p</w:t>
            </w:r>
            <w:r>
              <w:t xml:space="preserve"> </w:t>
            </w:r>
            <w:r w:rsidRPr="00E07B1B">
              <w:t>=</w:t>
            </w:r>
            <w:r>
              <w:t xml:space="preserve"> </w:t>
            </w:r>
            <w:r w:rsidRPr="00E07B1B">
              <w:t>0.04)</w:t>
            </w:r>
            <w:r w:rsidR="00033995">
              <w:t>.</w:t>
            </w:r>
          </w:p>
        </w:tc>
        <w:tc>
          <w:tcPr>
            <w:tcW w:w="437" w:type="pct"/>
            <w:shd w:val="clear" w:color="auto" w:fill="auto"/>
          </w:tcPr>
          <w:p w:rsidR="0025490C" w:rsidRPr="00E07B1B" w:rsidRDefault="0025490C" w:rsidP="002716E2">
            <w:pPr>
              <w:pStyle w:val="TableText"/>
              <w:jc w:val="center"/>
            </w:pPr>
            <w:r w:rsidRPr="00E07B1B">
              <w:t>LOW</w:t>
            </w:r>
          </w:p>
        </w:tc>
      </w:tr>
      <w:tr w:rsidR="003E3F88" w:rsidRPr="00E07B1B" w:rsidTr="00033995">
        <w:trPr>
          <w:cantSplit/>
        </w:trPr>
        <w:tc>
          <w:tcPr>
            <w:tcW w:w="486" w:type="pct"/>
            <w:tcBorders>
              <w:bottom w:val="single" w:sz="4" w:space="0" w:color="auto"/>
            </w:tcBorders>
            <w:shd w:val="clear" w:color="auto" w:fill="F2F2F2" w:themeFill="background1" w:themeFillShade="F2"/>
          </w:tcPr>
          <w:p w:rsidR="0025490C" w:rsidRPr="00E07B1B" w:rsidRDefault="0025490C" w:rsidP="00A0217F">
            <w:pPr>
              <w:pStyle w:val="TableText"/>
            </w:pPr>
            <w:r w:rsidRPr="00E07B1B">
              <w:t>Chang</w:t>
            </w:r>
            <w:r>
              <w:t xml:space="preserve"> </w:t>
            </w:r>
            <w:r w:rsidRPr="00E07B1B">
              <w:t>(2010)</w:t>
            </w:r>
          </w:p>
        </w:tc>
        <w:tc>
          <w:tcPr>
            <w:tcW w:w="534" w:type="pct"/>
            <w:tcBorders>
              <w:bottom w:val="single" w:sz="4" w:space="0" w:color="auto"/>
            </w:tcBorders>
            <w:shd w:val="clear" w:color="auto" w:fill="F2F2F2" w:themeFill="background1" w:themeFillShade="F2"/>
          </w:tcPr>
          <w:p w:rsidR="0025490C" w:rsidRPr="00E07B1B" w:rsidRDefault="0025490C" w:rsidP="00033995">
            <w:pPr>
              <w:pStyle w:val="TableText"/>
            </w:pPr>
            <w:r w:rsidRPr="00E07B1B">
              <w:t>Hawaii</w:t>
            </w:r>
            <w:r w:rsidR="00033995">
              <w:br/>
            </w:r>
            <w:r w:rsidRPr="00E07B1B">
              <w:t>2303</w:t>
            </w:r>
          </w:p>
        </w:tc>
        <w:tc>
          <w:tcPr>
            <w:tcW w:w="534" w:type="pct"/>
            <w:tcBorders>
              <w:bottom w:val="single" w:sz="4" w:space="0" w:color="auto"/>
            </w:tcBorders>
            <w:shd w:val="clear" w:color="auto" w:fill="F2F2F2" w:themeFill="background1" w:themeFillShade="F2"/>
          </w:tcPr>
          <w:p w:rsidR="0025490C" w:rsidRPr="00E07B1B" w:rsidRDefault="0025490C" w:rsidP="00A0217F">
            <w:pPr>
              <w:pStyle w:val="TableText"/>
            </w:pPr>
            <w:r w:rsidRPr="00E07B1B">
              <w:t>Retrospective cohort</w:t>
            </w:r>
          </w:p>
        </w:tc>
        <w:tc>
          <w:tcPr>
            <w:tcW w:w="1263" w:type="pct"/>
            <w:tcBorders>
              <w:bottom w:val="single" w:sz="4" w:space="0" w:color="auto"/>
            </w:tcBorders>
            <w:shd w:val="clear" w:color="auto" w:fill="F2F2F2" w:themeFill="background1" w:themeFillShade="F2"/>
          </w:tcPr>
          <w:p w:rsidR="0025490C" w:rsidRPr="00E07B1B" w:rsidRDefault="0025490C" w:rsidP="00A0217F">
            <w:pPr>
              <w:pStyle w:val="TableText"/>
            </w:pPr>
            <w:r w:rsidRPr="00E07B1B">
              <w:t>Details limited but</w:t>
            </w:r>
            <w:r>
              <w:t xml:space="preserve"> it</w:t>
            </w:r>
            <w:r w:rsidRPr="00E07B1B">
              <w:t xml:space="preserve"> appear</w:t>
            </w:r>
            <w:r>
              <w:t>s</w:t>
            </w:r>
            <w:r w:rsidRPr="00E07B1B">
              <w:t xml:space="preserve"> a 1</w:t>
            </w:r>
            <w:r>
              <w:t>-</w:t>
            </w:r>
            <w:r w:rsidRPr="00E07B1B">
              <w:t>hour OGCT and a 3</w:t>
            </w:r>
            <w:r>
              <w:t>-</w:t>
            </w:r>
            <w:r w:rsidRPr="00E07B1B">
              <w:t xml:space="preserve">hour OGTT </w:t>
            </w:r>
            <w:r>
              <w:t xml:space="preserve">were used, </w:t>
            </w:r>
            <w:r w:rsidRPr="00E07B1B">
              <w:t>with two or more abnormal values required for diagnosis</w:t>
            </w:r>
            <w:r>
              <w:t>.</w:t>
            </w:r>
          </w:p>
        </w:tc>
        <w:tc>
          <w:tcPr>
            <w:tcW w:w="1747" w:type="pct"/>
            <w:tcBorders>
              <w:bottom w:val="single" w:sz="4" w:space="0" w:color="auto"/>
            </w:tcBorders>
            <w:shd w:val="clear" w:color="auto" w:fill="F2F2F2" w:themeFill="background1" w:themeFillShade="F2"/>
          </w:tcPr>
          <w:p w:rsidR="0025490C" w:rsidRPr="00E07B1B" w:rsidRDefault="0025490C" w:rsidP="00A0217F">
            <w:pPr>
              <w:pStyle w:val="TableText"/>
            </w:pPr>
            <w:r w:rsidRPr="00E07B1B">
              <w:t>Increased risk for obese Micronesian women for developing GDM compared with their non-obese counterparts (OR 4.1, 95%CI 2.39</w:t>
            </w:r>
            <w:r>
              <w:t>–</w:t>
            </w:r>
            <w:r w:rsidR="00033995">
              <w:t>7.04).</w:t>
            </w:r>
          </w:p>
        </w:tc>
        <w:tc>
          <w:tcPr>
            <w:tcW w:w="437" w:type="pct"/>
            <w:tcBorders>
              <w:bottom w:val="single" w:sz="4" w:space="0" w:color="auto"/>
            </w:tcBorders>
            <w:shd w:val="clear" w:color="auto" w:fill="F2F2F2" w:themeFill="background1" w:themeFillShade="F2"/>
          </w:tcPr>
          <w:p w:rsidR="0025490C" w:rsidRPr="00E07B1B" w:rsidRDefault="0025490C" w:rsidP="002716E2">
            <w:pPr>
              <w:pStyle w:val="TableText"/>
              <w:jc w:val="center"/>
            </w:pPr>
            <w:r w:rsidRPr="00E07B1B">
              <w:t>LOW</w:t>
            </w:r>
          </w:p>
        </w:tc>
      </w:tr>
    </w:tbl>
    <w:p w:rsidR="0025490C" w:rsidRDefault="0025490C" w:rsidP="00152FAD">
      <w:pPr>
        <w:pStyle w:val="Note"/>
        <w:ind w:left="0" w:firstLine="0"/>
      </w:pPr>
      <w:r>
        <w:t xml:space="preserve">Note: </w:t>
      </w:r>
      <w:r w:rsidRPr="00E07B1B">
        <w:t xml:space="preserve">ADA </w:t>
      </w:r>
      <w:r>
        <w:t xml:space="preserve">= </w:t>
      </w:r>
      <w:r w:rsidRPr="00E07B1B">
        <w:t xml:space="preserve">American Diabetes Association; ADIPS </w:t>
      </w:r>
      <w:r>
        <w:t>=</w:t>
      </w:r>
      <w:r w:rsidRPr="00E07B1B">
        <w:t xml:space="preserve"> Australasian Diabetes in Pregnancy Society; BMI </w:t>
      </w:r>
      <w:r>
        <w:t>=</w:t>
      </w:r>
      <w:r w:rsidRPr="00E07B1B">
        <w:t xml:space="preserve"> </w:t>
      </w:r>
      <w:r>
        <w:t>b</w:t>
      </w:r>
      <w:r w:rsidRPr="00E07B1B">
        <w:t xml:space="preserve">ody </w:t>
      </w:r>
      <w:r>
        <w:t>m</w:t>
      </w:r>
      <w:r w:rsidRPr="00E07B1B">
        <w:t xml:space="preserve">ass </w:t>
      </w:r>
      <w:r>
        <w:t>i</w:t>
      </w:r>
      <w:r w:rsidRPr="00E07B1B">
        <w:t>ndex;</w:t>
      </w:r>
      <w:r>
        <w:t xml:space="preserve"> CI = confidence interval;</w:t>
      </w:r>
      <w:r w:rsidRPr="00E07B1B">
        <w:t xml:space="preserve"> GDM </w:t>
      </w:r>
      <w:r>
        <w:t>= g</w:t>
      </w:r>
      <w:r w:rsidRPr="00E07B1B">
        <w:t xml:space="preserve">estational diabetes mellitus; ICD </w:t>
      </w:r>
      <w:r>
        <w:t>=</w:t>
      </w:r>
      <w:r w:rsidRPr="00E07B1B">
        <w:t xml:space="preserve"> International </w:t>
      </w:r>
      <w:r>
        <w:t>C</w:t>
      </w:r>
      <w:r w:rsidRPr="00E07B1B">
        <w:t xml:space="preserve">lassification of </w:t>
      </w:r>
      <w:r>
        <w:t>D</w:t>
      </w:r>
      <w:r w:rsidRPr="00E07B1B">
        <w:t>isease</w:t>
      </w:r>
      <w:r>
        <w:t>s</w:t>
      </w:r>
      <w:r w:rsidRPr="00E07B1B">
        <w:t xml:space="preserve">; OGCT </w:t>
      </w:r>
      <w:r>
        <w:t>=</w:t>
      </w:r>
      <w:r w:rsidRPr="00E07B1B">
        <w:t xml:space="preserve"> </w:t>
      </w:r>
      <w:r>
        <w:t>o</w:t>
      </w:r>
      <w:r w:rsidRPr="00E07B1B">
        <w:t xml:space="preserve">ral </w:t>
      </w:r>
      <w:r>
        <w:t>g</w:t>
      </w:r>
      <w:r w:rsidRPr="00E07B1B">
        <w:t xml:space="preserve">lucose </w:t>
      </w:r>
      <w:r>
        <w:t>c</w:t>
      </w:r>
      <w:r w:rsidRPr="00E07B1B">
        <w:t xml:space="preserve">hallenge </w:t>
      </w:r>
      <w:r>
        <w:t>t</w:t>
      </w:r>
      <w:r w:rsidRPr="00E07B1B">
        <w:t>est; OGTT</w:t>
      </w:r>
      <w:r>
        <w:t xml:space="preserve"> = o</w:t>
      </w:r>
      <w:r w:rsidRPr="00E07B1B">
        <w:t xml:space="preserve">ral </w:t>
      </w:r>
      <w:r>
        <w:t>g</w:t>
      </w:r>
      <w:r w:rsidRPr="00E07B1B">
        <w:t xml:space="preserve">lucose </w:t>
      </w:r>
      <w:r>
        <w:t>t</w:t>
      </w:r>
      <w:r w:rsidRPr="00E07B1B">
        <w:t xml:space="preserve">olerance </w:t>
      </w:r>
      <w:r>
        <w:t>t</w:t>
      </w:r>
      <w:r w:rsidRPr="00E07B1B">
        <w:t>est</w:t>
      </w:r>
      <w:r>
        <w:t>; OR = odds ratio; RR = risk ratio</w:t>
      </w:r>
      <w:r w:rsidR="00152FAD">
        <w:t>.</w:t>
      </w:r>
    </w:p>
    <w:p w:rsidR="0025490C" w:rsidRPr="00E07B1B" w:rsidRDefault="0025490C" w:rsidP="00DE44C2">
      <w:pPr>
        <w:pStyle w:val="Table"/>
        <w:spacing w:before="360"/>
      </w:pPr>
      <w:bookmarkStart w:id="448" w:name="_Toc358366901"/>
      <w:bookmarkStart w:id="449" w:name="_Toc363717781"/>
      <w:bookmarkStart w:id="450" w:name="_Toc403635888"/>
      <w:r w:rsidRPr="00E07B1B">
        <w:t>Table 7</w:t>
      </w:r>
      <w:r w:rsidR="00152FAD">
        <w:t>:</w:t>
      </w:r>
      <w:r w:rsidRPr="00E07B1B">
        <w:t xml:space="preserve"> Studies reporting on family history of diabetes as a risk factor for developing gestational diabetes</w:t>
      </w:r>
      <w:bookmarkEnd w:id="448"/>
      <w:bookmarkEnd w:id="449"/>
      <w:bookmarkEnd w:id="450"/>
    </w:p>
    <w:tbl>
      <w:tblPr>
        <w:tblW w:w="4989"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560"/>
        <w:gridCol w:w="1560"/>
        <w:gridCol w:w="1559"/>
        <w:gridCol w:w="5669"/>
        <w:gridCol w:w="2976"/>
        <w:gridCol w:w="1324"/>
      </w:tblGrid>
      <w:tr w:rsidR="0025490C" w:rsidRPr="004930A1" w:rsidTr="00505B63">
        <w:trPr>
          <w:cantSplit/>
          <w:tblHeader/>
        </w:trPr>
        <w:tc>
          <w:tcPr>
            <w:tcW w:w="532" w:type="pct"/>
            <w:tcBorders>
              <w:top w:val="single" w:sz="4" w:space="0" w:color="auto"/>
              <w:bottom w:val="single" w:sz="4" w:space="0" w:color="auto"/>
            </w:tcBorders>
            <w:shd w:val="clear" w:color="auto" w:fill="auto"/>
          </w:tcPr>
          <w:p w:rsidR="0025490C" w:rsidRPr="004930A1" w:rsidRDefault="0025490C" w:rsidP="004930A1">
            <w:pPr>
              <w:pStyle w:val="TableText"/>
              <w:rPr>
                <w:b/>
              </w:rPr>
            </w:pPr>
            <w:r w:rsidRPr="004930A1">
              <w:rPr>
                <w:b/>
              </w:rPr>
              <w:t>Study</w:t>
            </w:r>
          </w:p>
        </w:tc>
        <w:tc>
          <w:tcPr>
            <w:tcW w:w="532" w:type="pct"/>
            <w:tcBorders>
              <w:top w:val="single" w:sz="4" w:space="0" w:color="auto"/>
              <w:bottom w:val="single" w:sz="4" w:space="0" w:color="auto"/>
            </w:tcBorders>
            <w:shd w:val="clear" w:color="auto" w:fill="auto"/>
          </w:tcPr>
          <w:p w:rsidR="0025490C" w:rsidRPr="004930A1" w:rsidRDefault="0025490C" w:rsidP="004930A1">
            <w:pPr>
              <w:pStyle w:val="TableText"/>
              <w:rPr>
                <w:b/>
              </w:rPr>
            </w:pPr>
            <w:r w:rsidRPr="004930A1">
              <w:rPr>
                <w:b/>
              </w:rPr>
              <w:t>Country and sample size</w:t>
            </w:r>
          </w:p>
        </w:tc>
        <w:tc>
          <w:tcPr>
            <w:tcW w:w="532" w:type="pct"/>
            <w:tcBorders>
              <w:top w:val="single" w:sz="4" w:space="0" w:color="auto"/>
              <w:bottom w:val="single" w:sz="4" w:space="0" w:color="auto"/>
            </w:tcBorders>
            <w:shd w:val="clear" w:color="auto" w:fill="auto"/>
          </w:tcPr>
          <w:p w:rsidR="0025490C" w:rsidRPr="004930A1" w:rsidRDefault="0025490C" w:rsidP="004930A1">
            <w:pPr>
              <w:pStyle w:val="TableText"/>
              <w:rPr>
                <w:b/>
              </w:rPr>
            </w:pPr>
            <w:r w:rsidRPr="004930A1">
              <w:rPr>
                <w:b/>
              </w:rPr>
              <w:t>Study type</w:t>
            </w:r>
          </w:p>
        </w:tc>
        <w:tc>
          <w:tcPr>
            <w:tcW w:w="1935" w:type="pct"/>
            <w:tcBorders>
              <w:top w:val="single" w:sz="4" w:space="0" w:color="auto"/>
              <w:bottom w:val="single" w:sz="4" w:space="0" w:color="auto"/>
            </w:tcBorders>
            <w:shd w:val="clear" w:color="auto" w:fill="auto"/>
          </w:tcPr>
          <w:p w:rsidR="0025490C" w:rsidRPr="004930A1" w:rsidRDefault="0025490C" w:rsidP="004930A1">
            <w:pPr>
              <w:pStyle w:val="TableText"/>
              <w:rPr>
                <w:b/>
              </w:rPr>
            </w:pPr>
            <w:r w:rsidRPr="004930A1">
              <w:rPr>
                <w:b/>
              </w:rPr>
              <w:t>Screening/diagnostic criteria</w:t>
            </w:r>
          </w:p>
        </w:tc>
        <w:tc>
          <w:tcPr>
            <w:tcW w:w="1016" w:type="pct"/>
            <w:tcBorders>
              <w:top w:val="single" w:sz="4" w:space="0" w:color="auto"/>
              <w:bottom w:val="single" w:sz="4" w:space="0" w:color="auto"/>
            </w:tcBorders>
            <w:shd w:val="clear" w:color="auto" w:fill="auto"/>
          </w:tcPr>
          <w:p w:rsidR="0025490C" w:rsidRPr="004930A1" w:rsidRDefault="0025490C" w:rsidP="004930A1">
            <w:pPr>
              <w:pStyle w:val="TableText"/>
              <w:rPr>
                <w:b/>
              </w:rPr>
            </w:pPr>
            <w:r w:rsidRPr="004930A1">
              <w:rPr>
                <w:b/>
              </w:rPr>
              <w:t>Main results</w:t>
            </w:r>
          </w:p>
        </w:tc>
        <w:tc>
          <w:tcPr>
            <w:tcW w:w="452" w:type="pct"/>
            <w:tcBorders>
              <w:top w:val="single" w:sz="4" w:space="0" w:color="auto"/>
              <w:bottom w:val="single" w:sz="4" w:space="0" w:color="auto"/>
            </w:tcBorders>
            <w:shd w:val="clear" w:color="auto" w:fill="auto"/>
          </w:tcPr>
          <w:p w:rsidR="0025490C" w:rsidRPr="004930A1" w:rsidRDefault="0025490C" w:rsidP="00505B63">
            <w:pPr>
              <w:pStyle w:val="TableText"/>
              <w:jc w:val="center"/>
              <w:rPr>
                <w:b/>
              </w:rPr>
            </w:pPr>
            <w:r w:rsidRPr="004930A1">
              <w:rPr>
                <w:b/>
              </w:rPr>
              <w:t>Quality of evidence</w:t>
            </w:r>
          </w:p>
        </w:tc>
      </w:tr>
      <w:tr w:rsidR="0025490C" w:rsidRPr="00E07B1B" w:rsidTr="00505B63">
        <w:trPr>
          <w:cantSplit/>
        </w:trPr>
        <w:tc>
          <w:tcPr>
            <w:tcW w:w="532" w:type="pct"/>
            <w:tcBorders>
              <w:top w:val="single" w:sz="4" w:space="0" w:color="auto"/>
              <w:bottom w:val="nil"/>
            </w:tcBorders>
            <w:shd w:val="clear" w:color="auto" w:fill="F2F2F2" w:themeFill="background1" w:themeFillShade="F2"/>
          </w:tcPr>
          <w:p w:rsidR="0025490C" w:rsidRPr="00E07B1B" w:rsidRDefault="0025490C" w:rsidP="004930A1">
            <w:pPr>
              <w:pStyle w:val="TableText"/>
            </w:pPr>
            <w:r w:rsidRPr="00E07B1B">
              <w:t>Teh</w:t>
            </w:r>
            <w:r>
              <w:t xml:space="preserve"> </w:t>
            </w:r>
            <w:r w:rsidRPr="00E07B1B">
              <w:t>(2011)</w:t>
            </w:r>
          </w:p>
        </w:tc>
        <w:tc>
          <w:tcPr>
            <w:tcW w:w="532" w:type="pct"/>
            <w:tcBorders>
              <w:top w:val="single" w:sz="4" w:space="0" w:color="auto"/>
              <w:bottom w:val="nil"/>
            </w:tcBorders>
            <w:shd w:val="clear" w:color="auto" w:fill="F2F2F2" w:themeFill="background1" w:themeFillShade="F2"/>
          </w:tcPr>
          <w:p w:rsidR="0025490C" w:rsidRPr="00E07B1B" w:rsidRDefault="0025490C" w:rsidP="00505B63">
            <w:pPr>
              <w:pStyle w:val="TableText"/>
            </w:pPr>
            <w:r w:rsidRPr="00E07B1B">
              <w:t>Australia</w:t>
            </w:r>
            <w:r w:rsidR="00505B63">
              <w:br/>
            </w:r>
            <w:r w:rsidRPr="00E07B1B">
              <w:t>2880</w:t>
            </w:r>
          </w:p>
        </w:tc>
        <w:tc>
          <w:tcPr>
            <w:tcW w:w="532" w:type="pct"/>
            <w:tcBorders>
              <w:top w:val="single" w:sz="4" w:space="0" w:color="auto"/>
              <w:bottom w:val="nil"/>
            </w:tcBorders>
            <w:shd w:val="clear" w:color="auto" w:fill="F2F2F2" w:themeFill="background1" w:themeFillShade="F2"/>
          </w:tcPr>
          <w:p w:rsidR="0025490C" w:rsidRPr="00E07B1B" w:rsidRDefault="0025490C" w:rsidP="004930A1">
            <w:pPr>
              <w:pStyle w:val="TableText"/>
            </w:pPr>
            <w:r w:rsidRPr="00E07B1B">
              <w:t>Retrospective cohort</w:t>
            </w:r>
          </w:p>
        </w:tc>
        <w:tc>
          <w:tcPr>
            <w:tcW w:w="1935" w:type="pct"/>
            <w:tcBorders>
              <w:top w:val="single" w:sz="4" w:space="0" w:color="auto"/>
              <w:bottom w:val="nil"/>
            </w:tcBorders>
            <w:shd w:val="clear" w:color="auto" w:fill="F2F2F2" w:themeFill="background1" w:themeFillShade="F2"/>
          </w:tcPr>
          <w:p w:rsidR="0025490C" w:rsidRPr="00E07B1B" w:rsidRDefault="0025490C" w:rsidP="00505B63">
            <w:pPr>
              <w:pStyle w:val="TableText"/>
              <w:ind w:right="142"/>
            </w:pPr>
            <w:r w:rsidRPr="00E07B1B">
              <w:t>Women screened with non-fasting 75</w:t>
            </w:r>
            <w:r>
              <w:t xml:space="preserve"> </w:t>
            </w:r>
            <w:r w:rsidRPr="00E07B1B">
              <w:t>g glucose challenge test at 26</w:t>
            </w:r>
            <w:r>
              <w:t>–</w:t>
            </w:r>
            <w:r w:rsidRPr="00E07B1B">
              <w:t>28 weeks</w:t>
            </w:r>
            <w:r w:rsidR="0068074A">
              <w:t>’</w:t>
            </w:r>
            <w:r w:rsidRPr="00E07B1B">
              <w:t xml:space="preserve"> gestation. Positive result (1</w:t>
            </w:r>
            <w:r>
              <w:t>-hour</w:t>
            </w:r>
            <w:r w:rsidRPr="00E07B1B">
              <w:t xml:space="preserve"> venous plasma glucose ≥</w:t>
            </w:r>
            <w:r>
              <w:t xml:space="preserve"> </w:t>
            </w:r>
            <w:r w:rsidRPr="00E07B1B">
              <w:t>8.0 mmol/L) proceeded to a 2</w:t>
            </w:r>
            <w:r w:rsidR="00505B63">
              <w:noBreakHyphen/>
            </w:r>
            <w:r w:rsidRPr="00E07B1B">
              <w:t>hour</w:t>
            </w:r>
            <w:r>
              <w:t>,</w:t>
            </w:r>
            <w:r w:rsidRPr="00E07B1B">
              <w:t xml:space="preserve"> 75</w:t>
            </w:r>
            <w:r w:rsidR="00505B63">
              <w:t> </w:t>
            </w:r>
            <w:r w:rsidRPr="00E07B1B">
              <w:t>g OGTT. Diagnosis based on fasting venous plasma glucose level ≥</w:t>
            </w:r>
            <w:r>
              <w:t xml:space="preserve"> </w:t>
            </w:r>
            <w:r w:rsidRPr="00E07B1B">
              <w:t>5.5</w:t>
            </w:r>
            <w:r>
              <w:t xml:space="preserve"> </w:t>
            </w:r>
            <w:r w:rsidRPr="00E07B1B">
              <w:t>mmol</w:t>
            </w:r>
            <w:r>
              <w:t>/L</w:t>
            </w:r>
            <w:r w:rsidRPr="00E07B1B">
              <w:t xml:space="preserve"> or a 2</w:t>
            </w:r>
            <w:r>
              <w:t>-hour</w:t>
            </w:r>
            <w:r w:rsidRPr="00E07B1B">
              <w:t xml:space="preserve"> level of ≥</w:t>
            </w:r>
            <w:r w:rsidR="00505B63">
              <w:t> </w:t>
            </w:r>
            <w:r w:rsidRPr="00E07B1B">
              <w:t>8.0</w:t>
            </w:r>
            <w:r>
              <w:t xml:space="preserve"> </w:t>
            </w:r>
            <w:r w:rsidRPr="00E07B1B">
              <w:t>mmol/L</w:t>
            </w:r>
            <w:r>
              <w:t>.</w:t>
            </w:r>
          </w:p>
        </w:tc>
        <w:tc>
          <w:tcPr>
            <w:tcW w:w="1016" w:type="pct"/>
            <w:tcBorders>
              <w:top w:val="single" w:sz="4" w:space="0" w:color="auto"/>
              <w:bottom w:val="nil"/>
            </w:tcBorders>
            <w:shd w:val="clear" w:color="auto" w:fill="F2F2F2" w:themeFill="background1" w:themeFillShade="F2"/>
          </w:tcPr>
          <w:p w:rsidR="0025490C" w:rsidRPr="00E07B1B" w:rsidRDefault="0025490C" w:rsidP="00505B63">
            <w:pPr>
              <w:pStyle w:val="TableText"/>
            </w:pPr>
            <w:r w:rsidRPr="00E07B1B">
              <w:t>Family history of diabetes OR 1.7 (95%CI 1.3</w:t>
            </w:r>
            <w:r>
              <w:t>–</w:t>
            </w:r>
            <w:r w:rsidRPr="00E07B1B">
              <w:t xml:space="preserve">2.3, </w:t>
            </w:r>
            <w:r w:rsidRPr="00CC321A">
              <w:rPr>
                <w:i/>
              </w:rPr>
              <w:t>p</w:t>
            </w:r>
            <w:r w:rsidR="00505B63">
              <w:rPr>
                <w:i/>
              </w:rPr>
              <w:t> </w:t>
            </w:r>
            <w:r w:rsidRPr="00E07B1B">
              <w:t>&lt; 0.001)</w:t>
            </w:r>
          </w:p>
        </w:tc>
        <w:tc>
          <w:tcPr>
            <w:tcW w:w="452" w:type="pct"/>
            <w:tcBorders>
              <w:top w:val="single" w:sz="4" w:space="0" w:color="auto"/>
              <w:bottom w:val="nil"/>
            </w:tcBorders>
            <w:shd w:val="clear" w:color="auto" w:fill="F2F2F2" w:themeFill="background1" w:themeFillShade="F2"/>
          </w:tcPr>
          <w:p w:rsidR="0025490C" w:rsidRPr="00E07B1B" w:rsidRDefault="0025490C" w:rsidP="00505B63">
            <w:pPr>
              <w:pStyle w:val="TableText"/>
              <w:jc w:val="center"/>
            </w:pPr>
            <w:r w:rsidRPr="00E07B1B">
              <w:t>MEDIUM</w:t>
            </w:r>
          </w:p>
        </w:tc>
      </w:tr>
      <w:tr w:rsidR="0025490C" w:rsidRPr="00E07B1B" w:rsidTr="00505B63">
        <w:trPr>
          <w:cantSplit/>
        </w:trPr>
        <w:tc>
          <w:tcPr>
            <w:tcW w:w="532" w:type="pct"/>
            <w:tcBorders>
              <w:top w:val="nil"/>
              <w:bottom w:val="nil"/>
            </w:tcBorders>
            <w:shd w:val="clear" w:color="auto" w:fill="auto"/>
          </w:tcPr>
          <w:p w:rsidR="0025490C" w:rsidRPr="00E07B1B" w:rsidRDefault="0025490C" w:rsidP="004930A1">
            <w:pPr>
              <w:pStyle w:val="TableText"/>
            </w:pPr>
            <w:r w:rsidRPr="00E07B1B">
              <w:t>Lim-Uy</w:t>
            </w:r>
            <w:r>
              <w:t xml:space="preserve"> </w:t>
            </w:r>
            <w:r w:rsidRPr="00E07B1B">
              <w:t>(2010)</w:t>
            </w:r>
          </w:p>
        </w:tc>
        <w:tc>
          <w:tcPr>
            <w:tcW w:w="532" w:type="pct"/>
            <w:tcBorders>
              <w:top w:val="nil"/>
              <w:bottom w:val="nil"/>
            </w:tcBorders>
            <w:shd w:val="clear" w:color="auto" w:fill="auto"/>
          </w:tcPr>
          <w:p w:rsidR="0025490C" w:rsidRPr="00E07B1B" w:rsidRDefault="0025490C" w:rsidP="00505B63">
            <w:pPr>
              <w:pStyle w:val="TableText"/>
            </w:pPr>
            <w:r w:rsidRPr="00E07B1B">
              <w:t>Phili</w:t>
            </w:r>
            <w:r>
              <w:t>p</w:t>
            </w:r>
            <w:r w:rsidRPr="00E07B1B">
              <w:t>pines</w:t>
            </w:r>
            <w:r w:rsidR="00505B63">
              <w:br/>
            </w:r>
            <w:r w:rsidRPr="00E07B1B">
              <w:t>668</w:t>
            </w:r>
          </w:p>
        </w:tc>
        <w:tc>
          <w:tcPr>
            <w:tcW w:w="532" w:type="pct"/>
            <w:tcBorders>
              <w:top w:val="nil"/>
              <w:bottom w:val="nil"/>
            </w:tcBorders>
            <w:shd w:val="clear" w:color="auto" w:fill="auto"/>
          </w:tcPr>
          <w:p w:rsidR="0025490C" w:rsidRPr="00E07B1B" w:rsidRDefault="0025490C" w:rsidP="004930A1">
            <w:pPr>
              <w:pStyle w:val="TableText"/>
            </w:pPr>
            <w:r w:rsidRPr="00E07B1B">
              <w:t>Retrospective cross</w:t>
            </w:r>
            <w:r>
              <w:t>-</w:t>
            </w:r>
            <w:r w:rsidRPr="00E07B1B">
              <w:t>sectional</w:t>
            </w:r>
          </w:p>
        </w:tc>
        <w:tc>
          <w:tcPr>
            <w:tcW w:w="1935" w:type="pct"/>
            <w:tcBorders>
              <w:top w:val="nil"/>
              <w:bottom w:val="nil"/>
            </w:tcBorders>
            <w:shd w:val="clear" w:color="auto" w:fill="auto"/>
          </w:tcPr>
          <w:p w:rsidR="0025490C" w:rsidRPr="00E07B1B" w:rsidRDefault="0025490C" w:rsidP="00505B63">
            <w:pPr>
              <w:pStyle w:val="TableText"/>
              <w:ind w:right="142"/>
            </w:pPr>
            <w:r w:rsidRPr="00E07B1B">
              <w:t>Diagnosed with GDM using the Carpenter and Coustan criteria</w:t>
            </w:r>
            <w:r>
              <w:t>.</w:t>
            </w:r>
          </w:p>
        </w:tc>
        <w:tc>
          <w:tcPr>
            <w:tcW w:w="1016" w:type="pct"/>
            <w:tcBorders>
              <w:top w:val="nil"/>
              <w:bottom w:val="nil"/>
            </w:tcBorders>
            <w:shd w:val="clear" w:color="auto" w:fill="auto"/>
          </w:tcPr>
          <w:p w:rsidR="0025490C" w:rsidRPr="00E07B1B" w:rsidRDefault="0025490C" w:rsidP="00505B63">
            <w:pPr>
              <w:pStyle w:val="TableText"/>
            </w:pPr>
            <w:r>
              <w:t>A</w:t>
            </w:r>
            <w:r w:rsidRPr="00E07B1B">
              <w:t>dj OR 6.27 (95%CI</w:t>
            </w:r>
            <w:r w:rsidR="00505B63">
              <w:br/>
            </w:r>
            <w:r w:rsidRPr="00E07B1B">
              <w:t>2.63</w:t>
            </w:r>
            <w:r>
              <w:t>–</w:t>
            </w:r>
            <w:r w:rsidRPr="00E07B1B">
              <w:t xml:space="preserve">14.96, </w:t>
            </w:r>
            <w:r w:rsidRPr="00CC321A">
              <w:rPr>
                <w:i/>
              </w:rPr>
              <w:t>p</w:t>
            </w:r>
            <w:r>
              <w:t> </w:t>
            </w:r>
            <w:r w:rsidRPr="00E07B1B">
              <w:t>&lt;</w:t>
            </w:r>
            <w:r>
              <w:t> </w:t>
            </w:r>
            <w:r w:rsidR="00505B63">
              <w:t>0.0001)</w:t>
            </w:r>
          </w:p>
        </w:tc>
        <w:tc>
          <w:tcPr>
            <w:tcW w:w="452" w:type="pct"/>
            <w:tcBorders>
              <w:top w:val="nil"/>
              <w:bottom w:val="nil"/>
            </w:tcBorders>
            <w:shd w:val="clear" w:color="auto" w:fill="auto"/>
          </w:tcPr>
          <w:p w:rsidR="0025490C" w:rsidRPr="00E07B1B" w:rsidRDefault="0025490C" w:rsidP="00505B63">
            <w:pPr>
              <w:pStyle w:val="TableText"/>
              <w:jc w:val="center"/>
            </w:pPr>
            <w:r w:rsidRPr="00E07B1B">
              <w:t>MEDIUM</w:t>
            </w:r>
          </w:p>
        </w:tc>
      </w:tr>
      <w:tr w:rsidR="0025490C" w:rsidRPr="00E07B1B" w:rsidTr="00505B63">
        <w:trPr>
          <w:cantSplit/>
        </w:trPr>
        <w:tc>
          <w:tcPr>
            <w:tcW w:w="532" w:type="pct"/>
            <w:tcBorders>
              <w:top w:val="nil"/>
              <w:bottom w:val="nil"/>
            </w:tcBorders>
            <w:shd w:val="clear" w:color="auto" w:fill="F2F2F2" w:themeFill="background1" w:themeFillShade="F2"/>
          </w:tcPr>
          <w:p w:rsidR="0025490C" w:rsidRPr="00E07B1B" w:rsidRDefault="0025490C" w:rsidP="004930A1">
            <w:pPr>
              <w:pStyle w:val="TableText"/>
            </w:pPr>
            <w:r w:rsidRPr="00E07B1B">
              <w:t>Cypryk</w:t>
            </w:r>
            <w:r>
              <w:t xml:space="preserve"> </w:t>
            </w:r>
            <w:r w:rsidRPr="00E07B1B">
              <w:t>(2008)</w:t>
            </w:r>
          </w:p>
        </w:tc>
        <w:tc>
          <w:tcPr>
            <w:tcW w:w="532" w:type="pct"/>
            <w:tcBorders>
              <w:top w:val="nil"/>
              <w:bottom w:val="nil"/>
            </w:tcBorders>
            <w:shd w:val="clear" w:color="auto" w:fill="F2F2F2" w:themeFill="background1" w:themeFillShade="F2"/>
          </w:tcPr>
          <w:p w:rsidR="0025490C" w:rsidRPr="00E07B1B" w:rsidRDefault="0025490C" w:rsidP="00505B63">
            <w:pPr>
              <w:pStyle w:val="TableText"/>
            </w:pPr>
            <w:r w:rsidRPr="00E07B1B">
              <w:t>Poland</w:t>
            </w:r>
            <w:r w:rsidR="00505B63">
              <w:br/>
            </w:r>
            <w:r w:rsidRPr="00E07B1B">
              <w:t>1670</w:t>
            </w:r>
          </w:p>
        </w:tc>
        <w:tc>
          <w:tcPr>
            <w:tcW w:w="532" w:type="pct"/>
            <w:tcBorders>
              <w:top w:val="nil"/>
              <w:bottom w:val="nil"/>
            </w:tcBorders>
            <w:shd w:val="clear" w:color="auto" w:fill="F2F2F2" w:themeFill="background1" w:themeFillShade="F2"/>
          </w:tcPr>
          <w:p w:rsidR="0025490C" w:rsidRPr="00E07B1B" w:rsidRDefault="0025490C" w:rsidP="004930A1">
            <w:pPr>
              <w:pStyle w:val="TableText"/>
            </w:pPr>
            <w:r w:rsidRPr="00E07B1B">
              <w:t>Cohort</w:t>
            </w:r>
          </w:p>
        </w:tc>
        <w:tc>
          <w:tcPr>
            <w:tcW w:w="1935" w:type="pct"/>
            <w:tcBorders>
              <w:top w:val="nil"/>
              <w:bottom w:val="nil"/>
            </w:tcBorders>
            <w:shd w:val="clear" w:color="auto" w:fill="F2F2F2" w:themeFill="background1" w:themeFillShade="F2"/>
          </w:tcPr>
          <w:p w:rsidR="0025490C" w:rsidRPr="00E07B1B" w:rsidRDefault="0025490C" w:rsidP="00505B63">
            <w:pPr>
              <w:pStyle w:val="TableText"/>
              <w:ind w:right="142"/>
            </w:pPr>
            <w:r w:rsidRPr="00E07B1B">
              <w:t>GDM diagnosed using WHO and Polish Diabetes Association criteria (no other details)</w:t>
            </w:r>
            <w:r>
              <w:t>.</w:t>
            </w:r>
          </w:p>
        </w:tc>
        <w:tc>
          <w:tcPr>
            <w:tcW w:w="1016" w:type="pct"/>
            <w:tcBorders>
              <w:top w:val="nil"/>
              <w:bottom w:val="nil"/>
            </w:tcBorders>
            <w:shd w:val="clear" w:color="auto" w:fill="F2F2F2" w:themeFill="background1" w:themeFillShade="F2"/>
          </w:tcPr>
          <w:p w:rsidR="0025490C" w:rsidRPr="00E07B1B" w:rsidRDefault="0025490C" w:rsidP="00505B63">
            <w:pPr>
              <w:pStyle w:val="TableText"/>
            </w:pPr>
            <w:r>
              <w:t>A</w:t>
            </w:r>
            <w:r w:rsidRPr="00E07B1B">
              <w:t>dj OR 1.76 (95%CI 1.38</w:t>
            </w:r>
            <w:r>
              <w:t>–</w:t>
            </w:r>
            <w:r w:rsidRPr="00E07B1B">
              <w:t>2.24</w:t>
            </w:r>
            <w:r>
              <w:t>,</w:t>
            </w:r>
            <w:r w:rsidRPr="00E07B1B">
              <w:t xml:space="preserve"> </w:t>
            </w:r>
            <w:r w:rsidRPr="00CC321A">
              <w:rPr>
                <w:i/>
              </w:rPr>
              <w:t>p</w:t>
            </w:r>
            <w:r>
              <w:t> </w:t>
            </w:r>
            <w:r w:rsidRPr="00E07B1B">
              <w:t>&lt;</w:t>
            </w:r>
            <w:r>
              <w:t> </w:t>
            </w:r>
            <w:r w:rsidRPr="00E07B1B">
              <w:t>0.001)</w:t>
            </w:r>
          </w:p>
        </w:tc>
        <w:tc>
          <w:tcPr>
            <w:tcW w:w="452" w:type="pct"/>
            <w:tcBorders>
              <w:top w:val="nil"/>
              <w:bottom w:val="nil"/>
            </w:tcBorders>
            <w:shd w:val="clear" w:color="auto" w:fill="F2F2F2" w:themeFill="background1" w:themeFillShade="F2"/>
          </w:tcPr>
          <w:p w:rsidR="0025490C" w:rsidRPr="00E07B1B" w:rsidRDefault="0025490C" w:rsidP="00505B63">
            <w:pPr>
              <w:pStyle w:val="TableText"/>
              <w:jc w:val="center"/>
            </w:pPr>
            <w:r w:rsidRPr="00E07B1B">
              <w:t>MEDIUM</w:t>
            </w:r>
          </w:p>
        </w:tc>
      </w:tr>
      <w:tr w:rsidR="0025490C" w:rsidRPr="00E07B1B" w:rsidTr="00505B63">
        <w:trPr>
          <w:cantSplit/>
        </w:trPr>
        <w:tc>
          <w:tcPr>
            <w:tcW w:w="532" w:type="pct"/>
            <w:tcBorders>
              <w:top w:val="nil"/>
              <w:bottom w:val="nil"/>
            </w:tcBorders>
            <w:shd w:val="clear" w:color="auto" w:fill="auto"/>
          </w:tcPr>
          <w:p w:rsidR="0025490C" w:rsidRPr="00E07B1B" w:rsidRDefault="0025490C" w:rsidP="004930A1">
            <w:pPr>
              <w:pStyle w:val="TableText"/>
            </w:pPr>
            <w:r w:rsidRPr="00E07B1B">
              <w:t>Yang</w:t>
            </w:r>
            <w:r>
              <w:t xml:space="preserve"> </w:t>
            </w:r>
            <w:r w:rsidRPr="00E07B1B">
              <w:t>(2009)</w:t>
            </w:r>
          </w:p>
        </w:tc>
        <w:tc>
          <w:tcPr>
            <w:tcW w:w="532" w:type="pct"/>
            <w:tcBorders>
              <w:top w:val="nil"/>
              <w:bottom w:val="nil"/>
            </w:tcBorders>
            <w:shd w:val="clear" w:color="auto" w:fill="auto"/>
          </w:tcPr>
          <w:p w:rsidR="0025490C" w:rsidRPr="00E07B1B" w:rsidRDefault="0025490C" w:rsidP="00505B63">
            <w:pPr>
              <w:pStyle w:val="TableText"/>
            </w:pPr>
            <w:r w:rsidRPr="00E07B1B">
              <w:t>China</w:t>
            </w:r>
            <w:r w:rsidR="00505B63">
              <w:br/>
            </w:r>
            <w:r w:rsidRPr="00E07B1B">
              <w:t>16,286</w:t>
            </w:r>
          </w:p>
        </w:tc>
        <w:tc>
          <w:tcPr>
            <w:tcW w:w="532" w:type="pct"/>
            <w:tcBorders>
              <w:top w:val="nil"/>
              <w:bottom w:val="nil"/>
            </w:tcBorders>
            <w:shd w:val="clear" w:color="auto" w:fill="auto"/>
          </w:tcPr>
          <w:p w:rsidR="0025490C" w:rsidRPr="00E07B1B" w:rsidRDefault="0025490C" w:rsidP="004930A1">
            <w:pPr>
              <w:pStyle w:val="TableText"/>
            </w:pPr>
            <w:r w:rsidRPr="00E07B1B">
              <w:t>Prospective cohort</w:t>
            </w:r>
          </w:p>
        </w:tc>
        <w:tc>
          <w:tcPr>
            <w:tcW w:w="1935" w:type="pct"/>
            <w:tcBorders>
              <w:top w:val="nil"/>
              <w:bottom w:val="nil"/>
            </w:tcBorders>
            <w:shd w:val="clear" w:color="auto" w:fill="auto"/>
          </w:tcPr>
          <w:p w:rsidR="0025490C" w:rsidRDefault="0025490C" w:rsidP="00505B63">
            <w:pPr>
              <w:pStyle w:val="TableText"/>
              <w:ind w:right="142"/>
            </w:pPr>
            <w:r w:rsidRPr="00E07B1B">
              <w:t>50</w:t>
            </w:r>
            <w:r>
              <w:t xml:space="preserve"> </w:t>
            </w:r>
            <w:r w:rsidRPr="00E07B1B">
              <w:t>g OGCT</w:t>
            </w:r>
            <w:r>
              <w:t>,</w:t>
            </w:r>
            <w:r w:rsidRPr="00E07B1B">
              <w:t xml:space="preserve"> OGTT (&gt;</w:t>
            </w:r>
            <w:r>
              <w:t> </w:t>
            </w:r>
            <w:r w:rsidRPr="00E07B1B">
              <w:t>11.1</w:t>
            </w:r>
            <w:r>
              <w:t> </w:t>
            </w:r>
            <w:r w:rsidRPr="00E07B1B">
              <w:t>mmol/L diagnosed as GDM)</w:t>
            </w:r>
          </w:p>
          <w:p w:rsidR="0025490C" w:rsidRPr="00E07B1B" w:rsidRDefault="0025490C" w:rsidP="00505B63">
            <w:pPr>
              <w:pStyle w:val="TableText"/>
              <w:spacing w:after="30"/>
              <w:ind w:right="142"/>
            </w:pPr>
            <w:r w:rsidRPr="00E07B1B">
              <w:t>If 7.9</w:t>
            </w:r>
            <w:r>
              <w:t>–</w:t>
            </w:r>
            <w:r w:rsidRPr="00E07B1B">
              <w:t>11.0</w:t>
            </w:r>
            <w:r w:rsidR="00505B63">
              <w:t> </w:t>
            </w:r>
            <w:r w:rsidRPr="00E07B1B">
              <w:t>mmol/L</w:t>
            </w:r>
            <w:r>
              <w:t>,</w:t>
            </w:r>
            <w:r w:rsidRPr="00E07B1B">
              <w:t xml:space="preserve"> then 75</w:t>
            </w:r>
            <w:r>
              <w:t xml:space="preserve"> </w:t>
            </w:r>
            <w:r w:rsidRPr="00E07B1B">
              <w:t>g, 3</w:t>
            </w:r>
            <w:r>
              <w:t>-</w:t>
            </w:r>
            <w:r w:rsidRPr="00E07B1B">
              <w:t>hour</w:t>
            </w:r>
            <w:r>
              <w:t xml:space="preserve"> </w:t>
            </w:r>
            <w:r w:rsidRPr="00E07B1B">
              <w:t xml:space="preserve">OGTT </w:t>
            </w:r>
            <w:r>
              <w:t>with two</w:t>
            </w:r>
            <w:r w:rsidRPr="00E07B1B">
              <w:t xml:space="preserve"> or more abnormal values</w:t>
            </w:r>
            <w:r>
              <w:t xml:space="preserve"> required from:</w:t>
            </w:r>
          </w:p>
          <w:p w:rsidR="0025490C" w:rsidRPr="00E07B1B" w:rsidRDefault="0025490C" w:rsidP="00505B63">
            <w:pPr>
              <w:pStyle w:val="TableBullet"/>
              <w:spacing w:after="30"/>
              <w:ind w:left="284"/>
            </w:pPr>
            <w:r>
              <w:t>f</w:t>
            </w:r>
            <w:r w:rsidRPr="00E07B1B">
              <w:t>asting &gt;</w:t>
            </w:r>
            <w:r>
              <w:t xml:space="preserve"> </w:t>
            </w:r>
            <w:r w:rsidRPr="00E07B1B">
              <w:t>5.3</w:t>
            </w:r>
            <w:r>
              <w:t xml:space="preserve"> </w:t>
            </w:r>
            <w:r w:rsidRPr="00E07B1B">
              <w:t>mmol</w:t>
            </w:r>
            <w:r>
              <w:t>/L</w:t>
            </w:r>
          </w:p>
          <w:p w:rsidR="0025490C" w:rsidRPr="00E07B1B" w:rsidRDefault="0025490C" w:rsidP="00505B63">
            <w:pPr>
              <w:pStyle w:val="TableBullet"/>
              <w:spacing w:after="30"/>
              <w:ind w:left="284"/>
            </w:pPr>
            <w:r w:rsidRPr="00E07B1B">
              <w:t>1</w:t>
            </w:r>
            <w:r>
              <w:t>-</w:t>
            </w:r>
            <w:r w:rsidRPr="00E07B1B">
              <w:t>hour &gt;</w:t>
            </w:r>
            <w:r>
              <w:t xml:space="preserve"> </w:t>
            </w:r>
            <w:r w:rsidRPr="00E07B1B">
              <w:t>10</w:t>
            </w:r>
            <w:r>
              <w:t xml:space="preserve"> </w:t>
            </w:r>
            <w:r w:rsidRPr="00E07B1B">
              <w:t>mmol</w:t>
            </w:r>
            <w:r>
              <w:t>/L</w:t>
            </w:r>
          </w:p>
          <w:p w:rsidR="0025490C" w:rsidRPr="00E07B1B" w:rsidRDefault="0025490C" w:rsidP="00505B63">
            <w:pPr>
              <w:pStyle w:val="TableBullet"/>
              <w:ind w:left="284"/>
            </w:pPr>
            <w:r w:rsidRPr="00E07B1B">
              <w:t>2</w:t>
            </w:r>
            <w:r>
              <w:t>-</w:t>
            </w:r>
            <w:r w:rsidRPr="00E07B1B">
              <w:t>hour&gt;</w:t>
            </w:r>
            <w:r w:rsidR="0068074A">
              <w:t xml:space="preserve"> </w:t>
            </w:r>
            <w:r w:rsidRPr="00E07B1B">
              <w:t>8.6</w:t>
            </w:r>
            <w:r>
              <w:t xml:space="preserve"> </w:t>
            </w:r>
            <w:r w:rsidRPr="00E07B1B">
              <w:t>mmol</w:t>
            </w:r>
            <w:r>
              <w:t>/L.</w:t>
            </w:r>
          </w:p>
        </w:tc>
        <w:tc>
          <w:tcPr>
            <w:tcW w:w="1016" w:type="pct"/>
            <w:tcBorders>
              <w:top w:val="nil"/>
              <w:bottom w:val="nil"/>
            </w:tcBorders>
            <w:shd w:val="clear" w:color="auto" w:fill="auto"/>
          </w:tcPr>
          <w:p w:rsidR="0025490C" w:rsidRPr="00E07B1B" w:rsidRDefault="0025490C" w:rsidP="00505B63">
            <w:pPr>
              <w:pStyle w:val="TableText"/>
            </w:pPr>
            <w:r>
              <w:t>A</w:t>
            </w:r>
            <w:r w:rsidRPr="00E07B1B">
              <w:t>dj OR 2.15 (95%CI 1.78</w:t>
            </w:r>
            <w:r>
              <w:t>–</w:t>
            </w:r>
            <w:r w:rsidRPr="00E07B1B">
              <w:t xml:space="preserve">2.61, </w:t>
            </w:r>
            <w:r w:rsidRPr="00CC321A">
              <w:rPr>
                <w:i/>
              </w:rPr>
              <w:t>p</w:t>
            </w:r>
            <w:r>
              <w:t> </w:t>
            </w:r>
            <w:r w:rsidRPr="00E07B1B">
              <w:t>&lt;</w:t>
            </w:r>
            <w:r>
              <w:t> </w:t>
            </w:r>
            <w:r w:rsidRPr="00E07B1B">
              <w:t>0.001)</w:t>
            </w:r>
          </w:p>
        </w:tc>
        <w:tc>
          <w:tcPr>
            <w:tcW w:w="452" w:type="pct"/>
            <w:tcBorders>
              <w:top w:val="nil"/>
              <w:bottom w:val="nil"/>
            </w:tcBorders>
            <w:shd w:val="clear" w:color="auto" w:fill="auto"/>
          </w:tcPr>
          <w:p w:rsidR="0025490C" w:rsidRPr="00E07B1B" w:rsidRDefault="0025490C" w:rsidP="00505B63">
            <w:pPr>
              <w:pStyle w:val="TableText"/>
              <w:jc w:val="center"/>
            </w:pPr>
            <w:r w:rsidRPr="00E07B1B">
              <w:t>MEDIUM</w:t>
            </w:r>
          </w:p>
        </w:tc>
      </w:tr>
      <w:tr w:rsidR="0025490C" w:rsidRPr="00E07B1B" w:rsidTr="00505B63">
        <w:trPr>
          <w:cantSplit/>
        </w:trPr>
        <w:tc>
          <w:tcPr>
            <w:tcW w:w="532" w:type="pct"/>
            <w:tcBorders>
              <w:top w:val="nil"/>
              <w:bottom w:val="nil"/>
            </w:tcBorders>
            <w:shd w:val="clear" w:color="auto" w:fill="F2F2F2" w:themeFill="background1" w:themeFillShade="F2"/>
          </w:tcPr>
          <w:p w:rsidR="0025490C" w:rsidRPr="00E07B1B" w:rsidRDefault="0025490C" w:rsidP="004930A1">
            <w:pPr>
              <w:pStyle w:val="TableText"/>
            </w:pPr>
            <w:r w:rsidRPr="00E07B1B">
              <w:t>Gonzalez-Clemente (2007)</w:t>
            </w:r>
          </w:p>
        </w:tc>
        <w:tc>
          <w:tcPr>
            <w:tcW w:w="532" w:type="pct"/>
            <w:tcBorders>
              <w:top w:val="nil"/>
              <w:bottom w:val="nil"/>
            </w:tcBorders>
            <w:shd w:val="clear" w:color="auto" w:fill="F2F2F2" w:themeFill="background1" w:themeFillShade="F2"/>
          </w:tcPr>
          <w:p w:rsidR="0025490C" w:rsidRPr="00E07B1B" w:rsidRDefault="0025490C" w:rsidP="00505B63">
            <w:pPr>
              <w:pStyle w:val="TableText"/>
            </w:pPr>
            <w:r w:rsidRPr="00E07B1B">
              <w:t>Spain</w:t>
            </w:r>
            <w:r w:rsidR="00505B63">
              <w:br/>
            </w:r>
            <w:r w:rsidRPr="00E07B1B">
              <w:t>335</w:t>
            </w:r>
          </w:p>
        </w:tc>
        <w:tc>
          <w:tcPr>
            <w:tcW w:w="532" w:type="pct"/>
            <w:tcBorders>
              <w:top w:val="nil"/>
              <w:bottom w:val="nil"/>
            </w:tcBorders>
            <w:shd w:val="clear" w:color="auto" w:fill="F2F2F2" w:themeFill="background1" w:themeFillShade="F2"/>
          </w:tcPr>
          <w:p w:rsidR="0025490C" w:rsidRPr="00E07B1B" w:rsidRDefault="0025490C" w:rsidP="004930A1">
            <w:pPr>
              <w:pStyle w:val="TableText"/>
            </w:pPr>
            <w:r w:rsidRPr="00E07B1B">
              <w:t>Cohort</w:t>
            </w:r>
          </w:p>
        </w:tc>
        <w:tc>
          <w:tcPr>
            <w:tcW w:w="1935" w:type="pct"/>
            <w:tcBorders>
              <w:top w:val="nil"/>
              <w:bottom w:val="nil"/>
            </w:tcBorders>
            <w:shd w:val="clear" w:color="auto" w:fill="F2F2F2" w:themeFill="background1" w:themeFillShade="F2"/>
          </w:tcPr>
          <w:p w:rsidR="0025490C" w:rsidRPr="00E07B1B" w:rsidRDefault="0025490C" w:rsidP="00505B63">
            <w:pPr>
              <w:pStyle w:val="TableText"/>
              <w:ind w:right="142"/>
            </w:pPr>
            <w:r w:rsidRPr="00E07B1B">
              <w:t>50</w:t>
            </w:r>
            <w:r>
              <w:t xml:space="preserve"> </w:t>
            </w:r>
            <w:r w:rsidRPr="00E07B1B">
              <w:t>g, 1</w:t>
            </w:r>
            <w:r>
              <w:t>-</w:t>
            </w:r>
            <w:r w:rsidRPr="00E07B1B">
              <w:t xml:space="preserve">hour test. </w:t>
            </w:r>
            <w:r>
              <w:t>If a</w:t>
            </w:r>
            <w:r w:rsidRPr="00E07B1B">
              <w:t>bnormal value (≥</w:t>
            </w:r>
            <w:r>
              <w:t xml:space="preserve"> </w:t>
            </w:r>
            <w:r w:rsidRPr="00E07B1B">
              <w:t>7.8</w:t>
            </w:r>
            <w:r>
              <w:t xml:space="preserve"> </w:t>
            </w:r>
            <w:r w:rsidRPr="00E07B1B">
              <w:t>mmol/L), a</w:t>
            </w:r>
            <w:r>
              <w:t>n</w:t>
            </w:r>
            <w:r w:rsidRPr="00E07B1B">
              <w:t xml:space="preserve"> OGCT of ≥</w:t>
            </w:r>
            <w:r>
              <w:t xml:space="preserve"> </w:t>
            </w:r>
            <w:r w:rsidRPr="00E07B1B">
              <w:t>11.1</w:t>
            </w:r>
            <w:r>
              <w:t xml:space="preserve"> </w:t>
            </w:r>
            <w:r w:rsidRPr="00E07B1B">
              <w:t>mmol/L was considered diagnostic of GDM. If results abnormal</w:t>
            </w:r>
            <w:r>
              <w:t>,</w:t>
            </w:r>
            <w:r w:rsidRPr="00E07B1B">
              <w:t xml:space="preserve"> women underwent a 100</w:t>
            </w:r>
            <w:r>
              <w:t> </w:t>
            </w:r>
            <w:r w:rsidRPr="00E07B1B">
              <w:t>g, 3</w:t>
            </w:r>
            <w:r>
              <w:noBreakHyphen/>
            </w:r>
            <w:r w:rsidRPr="00E07B1B">
              <w:t xml:space="preserve">hour OGTT after </w:t>
            </w:r>
            <w:r>
              <w:t>one to two</w:t>
            </w:r>
            <w:r w:rsidRPr="00E07B1B">
              <w:t xml:space="preserve"> weeks using the criteria of the National Diabetes Data Group</w:t>
            </w:r>
            <w:r>
              <w:t>.</w:t>
            </w:r>
          </w:p>
        </w:tc>
        <w:tc>
          <w:tcPr>
            <w:tcW w:w="1016" w:type="pct"/>
            <w:tcBorders>
              <w:top w:val="nil"/>
              <w:bottom w:val="nil"/>
            </w:tcBorders>
            <w:shd w:val="clear" w:color="auto" w:fill="F2F2F2" w:themeFill="background1" w:themeFillShade="F2"/>
          </w:tcPr>
          <w:p w:rsidR="0025490C" w:rsidRPr="00E07B1B" w:rsidRDefault="0025490C" w:rsidP="00505B63">
            <w:pPr>
              <w:pStyle w:val="TableText"/>
            </w:pPr>
            <w:r w:rsidRPr="00E07B1B">
              <w:t>Family history of type 2 diabetes mellitus compared with no history (51.2% vs 40.0%</w:t>
            </w:r>
            <w:r>
              <w:t>,</w:t>
            </w:r>
            <w:r w:rsidRPr="00E07B1B">
              <w:t xml:space="preserve"> </w:t>
            </w:r>
            <w:r>
              <w:rPr>
                <w:i/>
                <w:iCs/>
              </w:rPr>
              <w:t>p</w:t>
            </w:r>
            <w:r w:rsidR="00505B63">
              <w:rPr>
                <w:i/>
                <w:iCs/>
              </w:rPr>
              <w:t> </w:t>
            </w:r>
            <w:r w:rsidRPr="00E07B1B">
              <w:t>=</w:t>
            </w:r>
            <w:r w:rsidR="00505B63">
              <w:t> </w:t>
            </w:r>
            <w:r w:rsidRPr="00E07B1B">
              <w:t>0.02)</w:t>
            </w:r>
          </w:p>
        </w:tc>
        <w:tc>
          <w:tcPr>
            <w:tcW w:w="452" w:type="pct"/>
            <w:tcBorders>
              <w:top w:val="nil"/>
              <w:bottom w:val="nil"/>
            </w:tcBorders>
            <w:shd w:val="clear" w:color="auto" w:fill="F2F2F2" w:themeFill="background1" w:themeFillShade="F2"/>
          </w:tcPr>
          <w:p w:rsidR="0025490C" w:rsidRPr="00E07B1B" w:rsidRDefault="0025490C" w:rsidP="00505B63">
            <w:pPr>
              <w:pStyle w:val="TableText"/>
              <w:jc w:val="center"/>
            </w:pPr>
            <w:r w:rsidRPr="00E07B1B">
              <w:t>MEDIUM</w:t>
            </w:r>
          </w:p>
        </w:tc>
      </w:tr>
      <w:tr w:rsidR="0025490C" w:rsidRPr="00E07B1B" w:rsidTr="00505B63">
        <w:trPr>
          <w:cantSplit/>
        </w:trPr>
        <w:tc>
          <w:tcPr>
            <w:tcW w:w="532" w:type="pct"/>
            <w:tcBorders>
              <w:top w:val="nil"/>
              <w:bottom w:val="nil"/>
            </w:tcBorders>
            <w:shd w:val="clear" w:color="auto" w:fill="auto"/>
          </w:tcPr>
          <w:p w:rsidR="0025490C" w:rsidRPr="00E07B1B" w:rsidRDefault="0025490C" w:rsidP="004930A1">
            <w:pPr>
              <w:pStyle w:val="TableText"/>
            </w:pPr>
            <w:r w:rsidRPr="00E07B1B">
              <w:t>Al-Kuwa</w:t>
            </w:r>
            <w:r w:rsidR="00505B63">
              <w:t>ri (2011)</w:t>
            </w:r>
          </w:p>
        </w:tc>
        <w:tc>
          <w:tcPr>
            <w:tcW w:w="532" w:type="pct"/>
            <w:tcBorders>
              <w:top w:val="nil"/>
              <w:bottom w:val="nil"/>
            </w:tcBorders>
            <w:shd w:val="clear" w:color="auto" w:fill="auto"/>
          </w:tcPr>
          <w:p w:rsidR="0025490C" w:rsidRPr="00E07B1B" w:rsidRDefault="0025490C" w:rsidP="00505B63">
            <w:pPr>
              <w:pStyle w:val="TableText"/>
            </w:pPr>
            <w:r w:rsidRPr="00E07B1B">
              <w:t>Qatar</w:t>
            </w:r>
            <w:r w:rsidR="00505B63">
              <w:br/>
            </w:r>
            <w:r w:rsidRPr="00E07B1B">
              <w:t>4295</w:t>
            </w:r>
          </w:p>
        </w:tc>
        <w:tc>
          <w:tcPr>
            <w:tcW w:w="532" w:type="pct"/>
            <w:tcBorders>
              <w:top w:val="nil"/>
              <w:bottom w:val="nil"/>
            </w:tcBorders>
            <w:shd w:val="clear" w:color="auto" w:fill="auto"/>
          </w:tcPr>
          <w:p w:rsidR="0025490C" w:rsidRPr="00E07B1B" w:rsidRDefault="0025490C" w:rsidP="004930A1">
            <w:pPr>
              <w:pStyle w:val="TableText"/>
            </w:pPr>
            <w:r w:rsidRPr="00E07B1B">
              <w:t>Cross-sectional</w:t>
            </w:r>
          </w:p>
        </w:tc>
        <w:tc>
          <w:tcPr>
            <w:tcW w:w="1935" w:type="pct"/>
            <w:tcBorders>
              <w:top w:val="nil"/>
              <w:bottom w:val="nil"/>
            </w:tcBorders>
            <w:shd w:val="clear" w:color="auto" w:fill="auto"/>
          </w:tcPr>
          <w:p w:rsidR="0025490C" w:rsidRDefault="0025490C" w:rsidP="00505B63">
            <w:pPr>
              <w:pStyle w:val="TableText"/>
              <w:ind w:right="142"/>
            </w:pPr>
            <w:r w:rsidRPr="00E07B1B">
              <w:t>1</w:t>
            </w:r>
            <w:r>
              <w:t>-</w:t>
            </w:r>
            <w:r w:rsidRPr="00E07B1B">
              <w:t>hour glucose challenge test (no details)</w:t>
            </w:r>
          </w:p>
          <w:p w:rsidR="0025490C" w:rsidRPr="00E07B1B" w:rsidRDefault="0025490C" w:rsidP="00505B63">
            <w:pPr>
              <w:pStyle w:val="TableText"/>
              <w:spacing w:after="30"/>
              <w:ind w:right="142"/>
            </w:pPr>
            <w:r w:rsidRPr="00E07B1B">
              <w:t>If ≥</w:t>
            </w:r>
            <w:r>
              <w:t xml:space="preserve"> </w:t>
            </w:r>
            <w:r w:rsidRPr="00E07B1B">
              <w:t>7.8</w:t>
            </w:r>
            <w:r w:rsidR="00505B63">
              <w:t> </w:t>
            </w:r>
            <w:r w:rsidRPr="00E07B1B">
              <w:t>mmol/L</w:t>
            </w:r>
            <w:r>
              <w:t>,</w:t>
            </w:r>
            <w:r w:rsidRPr="00E07B1B">
              <w:t xml:space="preserve"> then a 75</w:t>
            </w:r>
            <w:r>
              <w:t xml:space="preserve"> </w:t>
            </w:r>
            <w:r w:rsidRPr="00E07B1B">
              <w:t>g OGTT</w:t>
            </w:r>
            <w:r>
              <w:t xml:space="preserve"> with abnormal values from:</w:t>
            </w:r>
          </w:p>
          <w:p w:rsidR="0025490C" w:rsidRPr="00E07B1B" w:rsidRDefault="0025490C" w:rsidP="00505B63">
            <w:pPr>
              <w:pStyle w:val="TableBullet"/>
              <w:spacing w:after="30"/>
              <w:ind w:left="284"/>
            </w:pPr>
            <w:r>
              <w:t>f</w:t>
            </w:r>
            <w:r w:rsidRPr="00E07B1B">
              <w:t>asting &gt; 95 mg</w:t>
            </w:r>
            <w:r>
              <w:t>/dL</w:t>
            </w:r>
          </w:p>
          <w:p w:rsidR="0025490C" w:rsidRPr="00E07B1B" w:rsidRDefault="0025490C" w:rsidP="00505B63">
            <w:pPr>
              <w:pStyle w:val="TableBullet"/>
              <w:spacing w:after="30"/>
              <w:ind w:left="284"/>
            </w:pPr>
            <w:r w:rsidRPr="00E07B1B">
              <w:t>1</w:t>
            </w:r>
            <w:r>
              <w:t>-</w:t>
            </w:r>
            <w:r w:rsidRPr="00E07B1B">
              <w:t>hour &gt;180 mg</w:t>
            </w:r>
            <w:r>
              <w:t>/dL</w:t>
            </w:r>
          </w:p>
          <w:p w:rsidR="0025490C" w:rsidRPr="00E07B1B" w:rsidRDefault="0025490C" w:rsidP="00505B63">
            <w:pPr>
              <w:pStyle w:val="TableBullet"/>
              <w:spacing w:after="30"/>
              <w:ind w:left="284"/>
            </w:pPr>
            <w:r w:rsidRPr="00E07B1B">
              <w:t>2</w:t>
            </w:r>
            <w:r>
              <w:t>-</w:t>
            </w:r>
            <w:r w:rsidRPr="00E07B1B">
              <w:t>hour &gt; 155 mg</w:t>
            </w:r>
            <w:r>
              <w:t>/dL</w:t>
            </w:r>
          </w:p>
          <w:p w:rsidR="0025490C" w:rsidRPr="00E07B1B" w:rsidRDefault="0025490C" w:rsidP="00505B63">
            <w:pPr>
              <w:pStyle w:val="TableBullet"/>
              <w:ind w:left="284"/>
            </w:pPr>
            <w:r w:rsidRPr="00E07B1B">
              <w:t>3</w:t>
            </w:r>
            <w:r>
              <w:t>-</w:t>
            </w:r>
            <w:r w:rsidRPr="00E07B1B">
              <w:t>hour &gt; 140 mg</w:t>
            </w:r>
            <w:r>
              <w:t>/dL.</w:t>
            </w:r>
          </w:p>
        </w:tc>
        <w:tc>
          <w:tcPr>
            <w:tcW w:w="1016" w:type="pct"/>
            <w:tcBorders>
              <w:top w:val="nil"/>
              <w:bottom w:val="nil"/>
            </w:tcBorders>
            <w:shd w:val="clear" w:color="auto" w:fill="auto"/>
          </w:tcPr>
          <w:p w:rsidR="0025490C" w:rsidRDefault="0025490C" w:rsidP="004930A1">
            <w:pPr>
              <w:pStyle w:val="TableText"/>
            </w:pPr>
            <w:r w:rsidRPr="00E07B1B">
              <w:t>Positive paternal history of diabetes (OR 2.0; 95%CI</w:t>
            </w:r>
            <w:r w:rsidR="00505B63">
              <w:br/>
            </w:r>
            <w:r w:rsidRPr="00E07B1B">
              <w:t>1.4</w:t>
            </w:r>
            <w:r>
              <w:t>–</w:t>
            </w:r>
            <w:r w:rsidRPr="00E07B1B">
              <w:t>2.8)</w:t>
            </w:r>
          </w:p>
          <w:p w:rsidR="0025490C" w:rsidRPr="00E07B1B" w:rsidRDefault="0025490C" w:rsidP="004930A1">
            <w:pPr>
              <w:pStyle w:val="TableText"/>
            </w:pPr>
            <w:r w:rsidRPr="00E07B1B">
              <w:t>Positive maternal history of diabetes (OR not reported)</w:t>
            </w:r>
          </w:p>
        </w:tc>
        <w:tc>
          <w:tcPr>
            <w:tcW w:w="452" w:type="pct"/>
            <w:tcBorders>
              <w:top w:val="nil"/>
              <w:bottom w:val="nil"/>
            </w:tcBorders>
            <w:shd w:val="clear" w:color="auto" w:fill="auto"/>
          </w:tcPr>
          <w:p w:rsidR="0025490C" w:rsidRPr="00E07B1B" w:rsidRDefault="0025490C" w:rsidP="00505B63">
            <w:pPr>
              <w:pStyle w:val="TableText"/>
              <w:jc w:val="center"/>
            </w:pPr>
            <w:r w:rsidRPr="00E07B1B">
              <w:t>MEDIUM</w:t>
            </w:r>
          </w:p>
        </w:tc>
      </w:tr>
      <w:tr w:rsidR="0025490C" w:rsidRPr="00E07B1B" w:rsidTr="00505B63">
        <w:trPr>
          <w:cantSplit/>
        </w:trPr>
        <w:tc>
          <w:tcPr>
            <w:tcW w:w="532" w:type="pct"/>
            <w:tcBorders>
              <w:top w:val="nil"/>
              <w:bottom w:val="nil"/>
            </w:tcBorders>
            <w:shd w:val="clear" w:color="auto" w:fill="F2F2F2" w:themeFill="background1" w:themeFillShade="F2"/>
          </w:tcPr>
          <w:p w:rsidR="0025490C" w:rsidRPr="00E07B1B" w:rsidRDefault="0025490C" w:rsidP="00505B63">
            <w:pPr>
              <w:pStyle w:val="TableText"/>
            </w:pPr>
            <w:r w:rsidRPr="00E07B1B">
              <w:t>Nanda</w:t>
            </w:r>
            <w:r>
              <w:t xml:space="preserve"> </w:t>
            </w:r>
            <w:r w:rsidRPr="00E07B1B">
              <w:t>(2011)</w:t>
            </w:r>
          </w:p>
        </w:tc>
        <w:tc>
          <w:tcPr>
            <w:tcW w:w="532" w:type="pct"/>
            <w:tcBorders>
              <w:top w:val="nil"/>
              <w:bottom w:val="nil"/>
            </w:tcBorders>
            <w:shd w:val="clear" w:color="auto" w:fill="F2F2F2" w:themeFill="background1" w:themeFillShade="F2"/>
          </w:tcPr>
          <w:p w:rsidR="0025490C" w:rsidRPr="00E07B1B" w:rsidRDefault="0025490C" w:rsidP="00505B63">
            <w:pPr>
              <w:pStyle w:val="TableText"/>
            </w:pPr>
            <w:r w:rsidRPr="00E07B1B">
              <w:t>United Kingdom</w:t>
            </w:r>
            <w:r w:rsidR="00505B63">
              <w:br/>
            </w:r>
            <w:r w:rsidRPr="00E07B1B">
              <w:t>11,464</w:t>
            </w:r>
          </w:p>
        </w:tc>
        <w:tc>
          <w:tcPr>
            <w:tcW w:w="532" w:type="pct"/>
            <w:tcBorders>
              <w:top w:val="nil"/>
              <w:bottom w:val="nil"/>
            </w:tcBorders>
            <w:shd w:val="clear" w:color="auto" w:fill="F2F2F2" w:themeFill="background1" w:themeFillShade="F2"/>
          </w:tcPr>
          <w:p w:rsidR="0025490C" w:rsidRPr="00E07B1B" w:rsidRDefault="0025490C" w:rsidP="004930A1">
            <w:pPr>
              <w:pStyle w:val="TableText"/>
            </w:pPr>
            <w:r w:rsidRPr="00E07B1B">
              <w:t>Prospective cohort</w:t>
            </w:r>
          </w:p>
        </w:tc>
        <w:tc>
          <w:tcPr>
            <w:tcW w:w="1935" w:type="pct"/>
            <w:tcBorders>
              <w:top w:val="nil"/>
              <w:bottom w:val="nil"/>
            </w:tcBorders>
            <w:shd w:val="clear" w:color="auto" w:fill="F2F2F2" w:themeFill="background1" w:themeFillShade="F2"/>
          </w:tcPr>
          <w:p w:rsidR="0025490C" w:rsidRPr="00E07B1B" w:rsidRDefault="0025490C" w:rsidP="00505B63">
            <w:pPr>
              <w:pStyle w:val="TableText"/>
              <w:ind w:right="142"/>
            </w:pPr>
            <w:r w:rsidRPr="00E07B1B">
              <w:t>Random plasma glucose recorded at 24</w:t>
            </w:r>
            <w:r>
              <w:t>–</w:t>
            </w:r>
            <w:r w:rsidRPr="00E07B1B">
              <w:t>28 weeks</w:t>
            </w:r>
            <w:r>
              <w:t>. I</w:t>
            </w:r>
            <w:r w:rsidRPr="00E07B1B">
              <w:t>f &gt;</w:t>
            </w:r>
            <w:r>
              <w:t> </w:t>
            </w:r>
            <w:r w:rsidRPr="00E07B1B">
              <w:t>6.7</w:t>
            </w:r>
            <w:r>
              <w:t> </w:t>
            </w:r>
            <w:r w:rsidRPr="00E07B1B">
              <w:t>mmol/L then conducted a 75</w:t>
            </w:r>
            <w:r>
              <w:t xml:space="preserve"> </w:t>
            </w:r>
            <w:r w:rsidRPr="00E07B1B">
              <w:t xml:space="preserve">g OGTT within </w:t>
            </w:r>
            <w:r>
              <w:t>two</w:t>
            </w:r>
            <w:r w:rsidRPr="00E07B1B">
              <w:t xml:space="preserve"> weeks. GDM diagnosed if fasting plasma glucose ≥6</w:t>
            </w:r>
            <w:r w:rsidR="00505B63">
              <w:t> </w:t>
            </w:r>
            <w:r w:rsidRPr="00E07B1B">
              <w:t>mmol/L or 2</w:t>
            </w:r>
            <w:r w:rsidR="00505B63">
              <w:noBreakHyphen/>
            </w:r>
            <w:r w:rsidRPr="00E07B1B">
              <w:t>hour level is ≥</w:t>
            </w:r>
            <w:r>
              <w:t> </w:t>
            </w:r>
            <w:r w:rsidRPr="00E07B1B">
              <w:t>7.8</w:t>
            </w:r>
            <w:r>
              <w:t> </w:t>
            </w:r>
            <w:r w:rsidRPr="00E07B1B">
              <w:t>mmol/L</w:t>
            </w:r>
            <w:r>
              <w:t>.</w:t>
            </w:r>
          </w:p>
        </w:tc>
        <w:tc>
          <w:tcPr>
            <w:tcW w:w="1016" w:type="pct"/>
            <w:tcBorders>
              <w:top w:val="nil"/>
              <w:bottom w:val="nil"/>
            </w:tcBorders>
            <w:shd w:val="clear" w:color="auto" w:fill="F2F2F2" w:themeFill="background1" w:themeFillShade="F2"/>
          </w:tcPr>
          <w:p w:rsidR="0025490C" w:rsidRPr="00E07B1B" w:rsidRDefault="0025490C" w:rsidP="004930A1">
            <w:pPr>
              <w:pStyle w:val="TableText"/>
            </w:pPr>
            <w:r w:rsidRPr="00E07B1B">
              <w:t>OR 1.95 (95%CI 1.48</w:t>
            </w:r>
            <w:r>
              <w:t>–</w:t>
            </w:r>
            <w:r w:rsidRPr="00E07B1B">
              <w:t xml:space="preserve">2.58, </w:t>
            </w:r>
            <w:r w:rsidRPr="00CC321A">
              <w:rPr>
                <w:i/>
              </w:rPr>
              <w:t>p</w:t>
            </w:r>
            <w:r>
              <w:t> </w:t>
            </w:r>
            <w:r w:rsidRPr="00E07B1B">
              <w:t>&lt;</w:t>
            </w:r>
            <w:r>
              <w:t> </w:t>
            </w:r>
            <w:r w:rsidRPr="00E07B1B">
              <w:t>0.0001)</w:t>
            </w:r>
          </w:p>
        </w:tc>
        <w:tc>
          <w:tcPr>
            <w:tcW w:w="452" w:type="pct"/>
            <w:tcBorders>
              <w:top w:val="nil"/>
              <w:bottom w:val="nil"/>
            </w:tcBorders>
            <w:shd w:val="clear" w:color="auto" w:fill="F2F2F2" w:themeFill="background1" w:themeFillShade="F2"/>
          </w:tcPr>
          <w:p w:rsidR="0025490C" w:rsidRPr="00E07B1B" w:rsidRDefault="0025490C" w:rsidP="00505B63">
            <w:pPr>
              <w:pStyle w:val="TableText"/>
              <w:jc w:val="center"/>
            </w:pPr>
            <w:r w:rsidRPr="00E07B1B">
              <w:t>MEDIUM</w:t>
            </w:r>
          </w:p>
        </w:tc>
      </w:tr>
      <w:tr w:rsidR="0025490C" w:rsidRPr="00E07B1B" w:rsidTr="00505B63">
        <w:trPr>
          <w:cantSplit/>
        </w:trPr>
        <w:tc>
          <w:tcPr>
            <w:tcW w:w="532" w:type="pct"/>
            <w:tcBorders>
              <w:top w:val="nil"/>
              <w:bottom w:val="nil"/>
            </w:tcBorders>
            <w:shd w:val="clear" w:color="auto" w:fill="auto"/>
          </w:tcPr>
          <w:p w:rsidR="0025490C" w:rsidRPr="00E07B1B" w:rsidRDefault="0025490C" w:rsidP="00505B63">
            <w:pPr>
              <w:pStyle w:val="TableText"/>
            </w:pPr>
            <w:r w:rsidRPr="00E07B1B">
              <w:t>Ogonowski (2010)</w:t>
            </w:r>
          </w:p>
        </w:tc>
        <w:tc>
          <w:tcPr>
            <w:tcW w:w="532" w:type="pct"/>
            <w:tcBorders>
              <w:top w:val="nil"/>
              <w:bottom w:val="nil"/>
            </w:tcBorders>
            <w:shd w:val="clear" w:color="auto" w:fill="auto"/>
          </w:tcPr>
          <w:p w:rsidR="0025490C" w:rsidRPr="00E07B1B" w:rsidRDefault="0025490C" w:rsidP="00505B63">
            <w:pPr>
              <w:pStyle w:val="TableText"/>
            </w:pPr>
            <w:r w:rsidRPr="00E07B1B">
              <w:t>Poland</w:t>
            </w:r>
            <w:r w:rsidR="00505B63">
              <w:br/>
            </w:r>
            <w:r w:rsidRPr="00E07B1B">
              <w:t>1830 cases</w:t>
            </w:r>
            <w:r>
              <w:t>,</w:t>
            </w:r>
            <w:r w:rsidRPr="00E07B1B">
              <w:t xml:space="preserve"> 1011</w:t>
            </w:r>
            <w:r w:rsidR="00505B63">
              <w:t> </w:t>
            </w:r>
            <w:r w:rsidRPr="00E07B1B">
              <w:t xml:space="preserve"> controls</w:t>
            </w:r>
          </w:p>
        </w:tc>
        <w:tc>
          <w:tcPr>
            <w:tcW w:w="532" w:type="pct"/>
            <w:tcBorders>
              <w:top w:val="nil"/>
              <w:bottom w:val="nil"/>
            </w:tcBorders>
            <w:shd w:val="clear" w:color="auto" w:fill="auto"/>
          </w:tcPr>
          <w:p w:rsidR="0025490C" w:rsidRPr="00E07B1B" w:rsidRDefault="0025490C" w:rsidP="004930A1">
            <w:pPr>
              <w:pStyle w:val="TableText"/>
            </w:pPr>
            <w:r w:rsidRPr="00E07B1B">
              <w:t>Retrospective case control</w:t>
            </w:r>
          </w:p>
        </w:tc>
        <w:tc>
          <w:tcPr>
            <w:tcW w:w="1935" w:type="pct"/>
            <w:tcBorders>
              <w:top w:val="nil"/>
              <w:bottom w:val="nil"/>
            </w:tcBorders>
            <w:shd w:val="clear" w:color="auto" w:fill="auto"/>
          </w:tcPr>
          <w:p w:rsidR="0068074A" w:rsidRDefault="0025490C" w:rsidP="00505B63">
            <w:pPr>
              <w:pStyle w:val="TableText"/>
              <w:ind w:right="142"/>
            </w:pPr>
            <w:r w:rsidRPr="00E07B1B">
              <w:t>OGCT of 50</w:t>
            </w:r>
            <w:r>
              <w:t xml:space="preserve"> </w:t>
            </w:r>
            <w:r w:rsidRPr="00E07B1B">
              <w:t>g</w:t>
            </w:r>
          </w:p>
          <w:p w:rsidR="0025490C" w:rsidRPr="00E07B1B" w:rsidRDefault="0025490C" w:rsidP="00505B63">
            <w:pPr>
              <w:pStyle w:val="TableText"/>
              <w:spacing w:after="30"/>
              <w:ind w:right="142"/>
            </w:pPr>
            <w:r w:rsidRPr="00E07B1B">
              <w:t>If &gt;</w:t>
            </w:r>
            <w:r>
              <w:t xml:space="preserve"> </w:t>
            </w:r>
            <w:r w:rsidRPr="00E07B1B">
              <w:t>180</w:t>
            </w:r>
            <w:r>
              <w:t xml:space="preserve"> </w:t>
            </w:r>
            <w:r w:rsidRPr="00E07B1B">
              <w:t>mg</w:t>
            </w:r>
            <w:r>
              <w:t>/dL</w:t>
            </w:r>
            <w:r w:rsidRPr="00E07B1B">
              <w:t xml:space="preserve"> (10</w:t>
            </w:r>
            <w:r>
              <w:t> </w:t>
            </w:r>
            <w:r w:rsidRPr="00E07B1B">
              <w:t>mmol</w:t>
            </w:r>
            <w:r>
              <w:t>/L</w:t>
            </w:r>
            <w:r w:rsidRPr="00E07B1B">
              <w:t>)</w:t>
            </w:r>
            <w:r>
              <w:t>,</w:t>
            </w:r>
            <w:r w:rsidRPr="00E07B1B">
              <w:t xml:space="preserve"> then diagnosed as GDM.</w:t>
            </w:r>
            <w:r>
              <w:t xml:space="preserve"> </w:t>
            </w:r>
            <w:r w:rsidRPr="00E07B1B">
              <w:t>If 140</w:t>
            </w:r>
            <w:r>
              <w:t>–</w:t>
            </w:r>
            <w:r w:rsidRPr="00E07B1B">
              <w:t>180</w:t>
            </w:r>
            <w:r>
              <w:t xml:space="preserve"> </w:t>
            </w:r>
            <w:r w:rsidRPr="00E07B1B">
              <w:t>mg</w:t>
            </w:r>
            <w:r>
              <w:t>/dL</w:t>
            </w:r>
            <w:r w:rsidRPr="00E07B1B">
              <w:t xml:space="preserve"> then a 75</w:t>
            </w:r>
            <w:r>
              <w:t xml:space="preserve"> </w:t>
            </w:r>
            <w:r w:rsidRPr="00E07B1B">
              <w:t>g OGTT using the WHO criteria:</w:t>
            </w:r>
          </w:p>
          <w:p w:rsidR="0025490C" w:rsidRPr="00E07B1B" w:rsidRDefault="0025490C" w:rsidP="00505B63">
            <w:pPr>
              <w:pStyle w:val="TableBullet"/>
              <w:spacing w:after="30"/>
              <w:ind w:left="284"/>
            </w:pPr>
            <w:r>
              <w:t>f</w:t>
            </w:r>
            <w:r w:rsidRPr="00E07B1B">
              <w:t>asting ≥</w:t>
            </w:r>
            <w:r>
              <w:t xml:space="preserve"> </w:t>
            </w:r>
            <w:r w:rsidRPr="00E07B1B">
              <w:t>110</w:t>
            </w:r>
            <w:r>
              <w:t xml:space="preserve"> </w:t>
            </w:r>
            <w:r w:rsidRPr="00E07B1B">
              <w:t>mg</w:t>
            </w:r>
            <w:r>
              <w:t>/dL</w:t>
            </w:r>
            <w:r w:rsidRPr="00E07B1B">
              <w:t xml:space="preserve"> (6.1</w:t>
            </w:r>
            <w:r>
              <w:t> </w:t>
            </w:r>
            <w:r w:rsidRPr="00E07B1B">
              <w:t>mmol</w:t>
            </w:r>
            <w:r>
              <w:t>/L</w:t>
            </w:r>
            <w:r w:rsidRPr="00E07B1B">
              <w:t>)</w:t>
            </w:r>
          </w:p>
          <w:p w:rsidR="0025490C" w:rsidRPr="00E07B1B" w:rsidRDefault="0025490C" w:rsidP="00505B63">
            <w:pPr>
              <w:pStyle w:val="TableBullet"/>
              <w:ind w:left="284"/>
            </w:pPr>
            <w:r w:rsidRPr="00E07B1B">
              <w:t>2</w:t>
            </w:r>
            <w:r>
              <w:t>-</w:t>
            </w:r>
            <w:r w:rsidRPr="00E07B1B">
              <w:t>hour ≥ 140 (7.8</w:t>
            </w:r>
            <w:r>
              <w:t xml:space="preserve"> </w:t>
            </w:r>
            <w:r w:rsidRPr="00E07B1B">
              <w:t>mmol</w:t>
            </w:r>
            <w:r>
              <w:t>/L</w:t>
            </w:r>
            <w:r w:rsidRPr="00E07B1B">
              <w:t>)</w:t>
            </w:r>
            <w:r>
              <w:t>.</w:t>
            </w:r>
          </w:p>
          <w:p w:rsidR="0025490C" w:rsidRPr="00E07B1B" w:rsidRDefault="0025490C" w:rsidP="00505B63">
            <w:pPr>
              <w:pStyle w:val="TableText"/>
              <w:spacing w:after="30"/>
              <w:ind w:right="142"/>
            </w:pPr>
            <w:r>
              <w:t>Also used</w:t>
            </w:r>
            <w:r w:rsidRPr="00E07B1B">
              <w:t xml:space="preserve"> the ADA criteria where </w:t>
            </w:r>
            <w:r>
              <w:t>two</w:t>
            </w:r>
            <w:r w:rsidRPr="00E07B1B">
              <w:t xml:space="preserve"> abnormal values are required</w:t>
            </w:r>
            <w:r>
              <w:t xml:space="preserve"> from</w:t>
            </w:r>
            <w:r w:rsidRPr="00E07B1B">
              <w:t>:</w:t>
            </w:r>
          </w:p>
          <w:p w:rsidR="0025490C" w:rsidRPr="00E07B1B" w:rsidRDefault="0025490C" w:rsidP="00505B63">
            <w:pPr>
              <w:pStyle w:val="TableBullet"/>
              <w:spacing w:after="30"/>
              <w:ind w:left="284"/>
            </w:pPr>
            <w:r>
              <w:t>f</w:t>
            </w:r>
            <w:r w:rsidRPr="00E07B1B">
              <w:t>asting ≥</w:t>
            </w:r>
            <w:r>
              <w:t xml:space="preserve"> </w:t>
            </w:r>
            <w:r w:rsidRPr="00E07B1B">
              <w:t>95</w:t>
            </w:r>
            <w:r>
              <w:t xml:space="preserve"> </w:t>
            </w:r>
            <w:r w:rsidRPr="00E07B1B">
              <w:t>mg</w:t>
            </w:r>
            <w:r>
              <w:t xml:space="preserve">/dL </w:t>
            </w:r>
            <w:r w:rsidRPr="00E07B1B">
              <w:t>(5.3</w:t>
            </w:r>
            <w:r>
              <w:t> </w:t>
            </w:r>
            <w:r w:rsidRPr="00E07B1B">
              <w:t>mmol</w:t>
            </w:r>
            <w:r>
              <w:t>/L</w:t>
            </w:r>
            <w:r w:rsidRPr="00E07B1B">
              <w:t>)</w:t>
            </w:r>
          </w:p>
          <w:p w:rsidR="0025490C" w:rsidRPr="00E07B1B" w:rsidRDefault="0025490C" w:rsidP="00505B63">
            <w:pPr>
              <w:pStyle w:val="TableBullet"/>
              <w:spacing w:after="30"/>
              <w:ind w:left="284"/>
            </w:pPr>
            <w:r w:rsidRPr="00E07B1B">
              <w:t>1</w:t>
            </w:r>
            <w:r>
              <w:t>-</w:t>
            </w:r>
            <w:r w:rsidRPr="00E07B1B">
              <w:t>hour ≥</w:t>
            </w:r>
            <w:r>
              <w:t xml:space="preserve"> </w:t>
            </w:r>
            <w:r w:rsidRPr="00E07B1B">
              <w:t>180</w:t>
            </w:r>
            <w:r>
              <w:t xml:space="preserve"> </w:t>
            </w:r>
            <w:r w:rsidRPr="00E07B1B">
              <w:t>mg</w:t>
            </w:r>
            <w:r>
              <w:t>/dL</w:t>
            </w:r>
            <w:r w:rsidRPr="00E07B1B">
              <w:t xml:space="preserve"> (10.0</w:t>
            </w:r>
            <w:r>
              <w:t> </w:t>
            </w:r>
            <w:r w:rsidRPr="00E07B1B">
              <w:t>mmol</w:t>
            </w:r>
            <w:r>
              <w:t>/L)</w:t>
            </w:r>
          </w:p>
          <w:p w:rsidR="0025490C" w:rsidRPr="00E07B1B" w:rsidRDefault="0025490C" w:rsidP="00505B63">
            <w:pPr>
              <w:pStyle w:val="TableBullet"/>
              <w:ind w:left="284"/>
            </w:pPr>
            <w:r w:rsidRPr="00E07B1B">
              <w:t>2</w:t>
            </w:r>
            <w:r>
              <w:t>-</w:t>
            </w:r>
            <w:r w:rsidRPr="00E07B1B">
              <w:t>hour ≥</w:t>
            </w:r>
            <w:r>
              <w:t xml:space="preserve"> </w:t>
            </w:r>
            <w:r w:rsidRPr="00E07B1B">
              <w:t>155</w:t>
            </w:r>
            <w:r>
              <w:t xml:space="preserve"> </w:t>
            </w:r>
            <w:r w:rsidRPr="00E07B1B">
              <w:t>mg</w:t>
            </w:r>
            <w:r>
              <w:t>/dL</w:t>
            </w:r>
            <w:r w:rsidRPr="00E07B1B">
              <w:t xml:space="preserve"> (8.6</w:t>
            </w:r>
            <w:r>
              <w:t> </w:t>
            </w:r>
            <w:r w:rsidRPr="00E07B1B">
              <w:t>mmol</w:t>
            </w:r>
            <w:r>
              <w:t>/L</w:t>
            </w:r>
            <w:r w:rsidRPr="00E07B1B">
              <w:t>)</w:t>
            </w:r>
            <w:r>
              <w:t>.</w:t>
            </w:r>
          </w:p>
        </w:tc>
        <w:tc>
          <w:tcPr>
            <w:tcW w:w="1016" w:type="pct"/>
            <w:tcBorders>
              <w:top w:val="nil"/>
              <w:bottom w:val="nil"/>
            </w:tcBorders>
            <w:shd w:val="clear" w:color="auto" w:fill="auto"/>
          </w:tcPr>
          <w:p w:rsidR="0025490C" w:rsidRPr="00E07B1B" w:rsidRDefault="0025490C" w:rsidP="004930A1">
            <w:pPr>
              <w:pStyle w:val="TableText"/>
            </w:pPr>
            <w:r w:rsidRPr="00E07B1B">
              <w:t>OR 2.87 (95%CI 2.28</w:t>
            </w:r>
            <w:r>
              <w:t>–</w:t>
            </w:r>
            <w:r w:rsidRPr="00E07B1B">
              <w:t xml:space="preserve">3.59, </w:t>
            </w:r>
            <w:r w:rsidRPr="00CC321A">
              <w:rPr>
                <w:i/>
              </w:rPr>
              <w:t>p</w:t>
            </w:r>
            <w:r>
              <w:t> </w:t>
            </w:r>
            <w:r w:rsidRPr="00E07B1B">
              <w:t>=</w:t>
            </w:r>
            <w:r>
              <w:t> </w:t>
            </w:r>
            <w:r w:rsidRPr="00E07B1B">
              <w:t>0.000001)</w:t>
            </w:r>
          </w:p>
        </w:tc>
        <w:tc>
          <w:tcPr>
            <w:tcW w:w="452" w:type="pct"/>
            <w:tcBorders>
              <w:top w:val="nil"/>
              <w:bottom w:val="nil"/>
            </w:tcBorders>
            <w:shd w:val="clear" w:color="auto" w:fill="auto"/>
          </w:tcPr>
          <w:p w:rsidR="0025490C" w:rsidRPr="00E07B1B" w:rsidRDefault="0025490C" w:rsidP="00505B63">
            <w:pPr>
              <w:pStyle w:val="TableText"/>
              <w:jc w:val="center"/>
            </w:pPr>
            <w:r w:rsidRPr="00E07B1B">
              <w:t>MEDIUM</w:t>
            </w:r>
          </w:p>
        </w:tc>
      </w:tr>
      <w:tr w:rsidR="0025490C" w:rsidRPr="00E07B1B" w:rsidTr="00505B63">
        <w:trPr>
          <w:cantSplit/>
        </w:trPr>
        <w:tc>
          <w:tcPr>
            <w:tcW w:w="532" w:type="pct"/>
            <w:tcBorders>
              <w:top w:val="nil"/>
              <w:bottom w:val="nil"/>
            </w:tcBorders>
            <w:shd w:val="clear" w:color="auto" w:fill="F2F2F2" w:themeFill="background1" w:themeFillShade="F2"/>
          </w:tcPr>
          <w:p w:rsidR="0025490C" w:rsidRPr="00E07B1B" w:rsidRDefault="0025490C" w:rsidP="004930A1">
            <w:pPr>
              <w:pStyle w:val="TableText"/>
            </w:pPr>
            <w:r w:rsidRPr="00E07B1B">
              <w:t>Bhat</w:t>
            </w:r>
            <w:r>
              <w:t xml:space="preserve"> </w:t>
            </w:r>
            <w:r w:rsidRPr="00E07B1B">
              <w:t xml:space="preserve">(2010) </w:t>
            </w:r>
          </w:p>
        </w:tc>
        <w:tc>
          <w:tcPr>
            <w:tcW w:w="532" w:type="pct"/>
            <w:tcBorders>
              <w:top w:val="nil"/>
              <w:bottom w:val="nil"/>
            </w:tcBorders>
            <w:shd w:val="clear" w:color="auto" w:fill="F2F2F2" w:themeFill="background1" w:themeFillShade="F2"/>
          </w:tcPr>
          <w:p w:rsidR="0025490C" w:rsidRPr="00E07B1B" w:rsidRDefault="0025490C" w:rsidP="00505B63">
            <w:pPr>
              <w:pStyle w:val="TableText"/>
            </w:pPr>
            <w:r w:rsidRPr="00E07B1B">
              <w:t>India</w:t>
            </w:r>
            <w:r w:rsidR="00505B63">
              <w:br/>
            </w:r>
            <w:r w:rsidRPr="00E07B1B">
              <w:t>300 cases</w:t>
            </w:r>
            <w:r>
              <w:t>,</w:t>
            </w:r>
            <w:r w:rsidRPr="00E07B1B">
              <w:t xml:space="preserve"> 300</w:t>
            </w:r>
            <w:r w:rsidR="00505B63">
              <w:t> </w:t>
            </w:r>
            <w:r w:rsidRPr="00E07B1B">
              <w:t>controls</w:t>
            </w:r>
          </w:p>
        </w:tc>
        <w:tc>
          <w:tcPr>
            <w:tcW w:w="532" w:type="pct"/>
            <w:tcBorders>
              <w:top w:val="nil"/>
              <w:bottom w:val="nil"/>
            </w:tcBorders>
            <w:shd w:val="clear" w:color="auto" w:fill="F2F2F2" w:themeFill="background1" w:themeFillShade="F2"/>
          </w:tcPr>
          <w:p w:rsidR="0025490C" w:rsidRPr="00E07B1B" w:rsidRDefault="0025490C" w:rsidP="004930A1">
            <w:pPr>
              <w:pStyle w:val="TableText"/>
            </w:pPr>
            <w:r w:rsidRPr="00E07B1B">
              <w:t>Case control</w:t>
            </w:r>
          </w:p>
        </w:tc>
        <w:tc>
          <w:tcPr>
            <w:tcW w:w="1935" w:type="pct"/>
            <w:tcBorders>
              <w:top w:val="nil"/>
              <w:bottom w:val="nil"/>
            </w:tcBorders>
            <w:shd w:val="clear" w:color="auto" w:fill="F2F2F2" w:themeFill="background1" w:themeFillShade="F2"/>
          </w:tcPr>
          <w:p w:rsidR="0025490C" w:rsidRPr="00E07B1B" w:rsidRDefault="0025490C" w:rsidP="00AB5C8F">
            <w:pPr>
              <w:pStyle w:val="TableText"/>
              <w:spacing w:after="30"/>
              <w:ind w:right="142"/>
            </w:pPr>
            <w:r w:rsidRPr="00E07B1B">
              <w:t>50</w:t>
            </w:r>
            <w:r>
              <w:t xml:space="preserve"> </w:t>
            </w:r>
            <w:r w:rsidRPr="00E07B1B">
              <w:t xml:space="preserve">g </w:t>
            </w:r>
            <w:r>
              <w:t xml:space="preserve">Oral glucose challenge test </w:t>
            </w:r>
            <w:r w:rsidRPr="00E07B1B">
              <w:t>at 24</w:t>
            </w:r>
            <w:r>
              <w:t>–</w:t>
            </w:r>
            <w:r w:rsidRPr="00E07B1B">
              <w:t>28 weeks and 32</w:t>
            </w:r>
            <w:r>
              <w:t>–</w:t>
            </w:r>
            <w:r w:rsidRPr="00E07B1B">
              <w:t xml:space="preserve">34 weeks or </w:t>
            </w:r>
            <w:r>
              <w:t xml:space="preserve">after </w:t>
            </w:r>
            <w:r w:rsidRPr="00E07B1B">
              <w:t>development of risk factors. GDM confirmed with 100</w:t>
            </w:r>
            <w:r>
              <w:t xml:space="preserve"> </w:t>
            </w:r>
            <w:r w:rsidRPr="00E07B1B">
              <w:t>g OGTT if &gt;</w:t>
            </w:r>
            <w:r>
              <w:t> </w:t>
            </w:r>
            <w:r w:rsidRPr="00E07B1B">
              <w:t>130</w:t>
            </w:r>
            <w:r>
              <w:t> </w:t>
            </w:r>
            <w:r w:rsidRPr="00E07B1B">
              <w:t>mg</w:t>
            </w:r>
            <w:r>
              <w:t>/dL</w:t>
            </w:r>
            <w:r w:rsidRPr="00E07B1B">
              <w:t xml:space="preserve"> at 1 hour</w:t>
            </w:r>
            <w:r>
              <w:t>, with t</w:t>
            </w:r>
            <w:r w:rsidRPr="00E07B1B">
              <w:t>wo or more abnormal values required</w:t>
            </w:r>
            <w:r>
              <w:t xml:space="preserve"> from</w:t>
            </w:r>
            <w:r w:rsidRPr="00E07B1B">
              <w:t>:</w:t>
            </w:r>
          </w:p>
          <w:p w:rsidR="0025490C" w:rsidRDefault="0025490C" w:rsidP="00AB5C8F">
            <w:pPr>
              <w:pStyle w:val="TableBullet"/>
              <w:spacing w:after="30"/>
              <w:ind w:left="284"/>
            </w:pPr>
            <w:r>
              <w:t>f</w:t>
            </w:r>
            <w:r w:rsidRPr="00E07B1B">
              <w:t>asting &gt;</w:t>
            </w:r>
            <w:r>
              <w:t xml:space="preserve"> </w:t>
            </w:r>
            <w:r w:rsidRPr="00E07B1B">
              <w:t>105</w:t>
            </w:r>
            <w:r>
              <w:t xml:space="preserve"> </w:t>
            </w:r>
            <w:r w:rsidRPr="00E07B1B">
              <w:t>mg</w:t>
            </w:r>
            <w:r>
              <w:t>/dL</w:t>
            </w:r>
          </w:p>
          <w:p w:rsidR="0025490C" w:rsidRDefault="0025490C" w:rsidP="00AB5C8F">
            <w:pPr>
              <w:pStyle w:val="TableBullet"/>
              <w:spacing w:after="30"/>
              <w:ind w:left="284"/>
            </w:pPr>
            <w:r w:rsidRPr="00E07B1B">
              <w:t>1-hour &gt;</w:t>
            </w:r>
            <w:r>
              <w:t xml:space="preserve"> </w:t>
            </w:r>
            <w:r w:rsidRPr="00E07B1B">
              <w:t>190</w:t>
            </w:r>
            <w:r>
              <w:t xml:space="preserve"> </w:t>
            </w:r>
            <w:r w:rsidRPr="00E07B1B">
              <w:t>mg</w:t>
            </w:r>
            <w:r>
              <w:t>/dL</w:t>
            </w:r>
          </w:p>
          <w:p w:rsidR="0025490C" w:rsidRDefault="0025490C" w:rsidP="00AB5C8F">
            <w:pPr>
              <w:pStyle w:val="TableBullet"/>
              <w:spacing w:after="30"/>
              <w:ind w:left="284"/>
            </w:pPr>
            <w:r w:rsidRPr="00E07B1B">
              <w:t>2</w:t>
            </w:r>
            <w:r>
              <w:t>-</w:t>
            </w:r>
            <w:r w:rsidRPr="00E07B1B">
              <w:t>hour &gt;</w:t>
            </w:r>
            <w:r>
              <w:t xml:space="preserve"> </w:t>
            </w:r>
            <w:r w:rsidRPr="00E07B1B">
              <w:t>165</w:t>
            </w:r>
            <w:r>
              <w:t xml:space="preserve"> </w:t>
            </w:r>
            <w:r w:rsidRPr="00E07B1B">
              <w:t>mg</w:t>
            </w:r>
            <w:r>
              <w:t>/dL</w:t>
            </w:r>
          </w:p>
          <w:p w:rsidR="0025490C" w:rsidRPr="00E07B1B" w:rsidRDefault="0025490C" w:rsidP="00AB5C8F">
            <w:pPr>
              <w:pStyle w:val="TableBullet"/>
              <w:ind w:left="284"/>
            </w:pPr>
            <w:r w:rsidRPr="00E07B1B">
              <w:t>3-hour &gt;</w:t>
            </w:r>
            <w:r>
              <w:t xml:space="preserve"> </w:t>
            </w:r>
            <w:r w:rsidRPr="00E07B1B">
              <w:t>145</w:t>
            </w:r>
            <w:r>
              <w:t xml:space="preserve"> </w:t>
            </w:r>
            <w:r w:rsidRPr="00E07B1B">
              <w:t>mg</w:t>
            </w:r>
            <w:r>
              <w:t>/dL</w:t>
            </w:r>
            <w:r w:rsidRPr="00E07B1B">
              <w:t>.</w:t>
            </w:r>
          </w:p>
        </w:tc>
        <w:tc>
          <w:tcPr>
            <w:tcW w:w="1016" w:type="pct"/>
            <w:tcBorders>
              <w:top w:val="nil"/>
              <w:bottom w:val="nil"/>
            </w:tcBorders>
            <w:shd w:val="clear" w:color="auto" w:fill="F2F2F2" w:themeFill="background1" w:themeFillShade="F2"/>
          </w:tcPr>
          <w:p w:rsidR="0025490C" w:rsidRPr="00E07B1B" w:rsidRDefault="0025490C" w:rsidP="004930A1">
            <w:pPr>
              <w:pStyle w:val="TableText"/>
            </w:pPr>
            <w:r w:rsidRPr="00E07B1B">
              <w:t>Paternal history (11.3% versus 5.3%) and maternal history (21.3% versus 8.3%) higher risk in cases than controls</w:t>
            </w:r>
            <w:r>
              <w:t>:</w:t>
            </w:r>
            <w:r w:rsidRPr="00E07B1B">
              <w:t xml:space="preserve"> adj OR 4.5 </w:t>
            </w:r>
            <w:r>
              <w:t>(</w:t>
            </w:r>
            <w:r w:rsidRPr="00E07B1B">
              <w:t>95%CI 2.0</w:t>
            </w:r>
            <w:r>
              <w:t>–</w:t>
            </w:r>
            <w:r w:rsidRPr="00E07B1B">
              <w:t xml:space="preserve">10.1, </w:t>
            </w:r>
            <w:r w:rsidRPr="00CC321A">
              <w:rPr>
                <w:i/>
              </w:rPr>
              <w:t>p</w:t>
            </w:r>
            <w:r>
              <w:t> </w:t>
            </w:r>
            <w:r w:rsidRPr="00E07B1B">
              <w:t>&lt;</w:t>
            </w:r>
            <w:r>
              <w:t> </w:t>
            </w:r>
            <w:r w:rsidRPr="00E07B1B">
              <w:t>0.001).</w:t>
            </w:r>
          </w:p>
        </w:tc>
        <w:tc>
          <w:tcPr>
            <w:tcW w:w="452" w:type="pct"/>
            <w:tcBorders>
              <w:top w:val="nil"/>
              <w:bottom w:val="nil"/>
            </w:tcBorders>
            <w:shd w:val="clear" w:color="auto" w:fill="F2F2F2" w:themeFill="background1" w:themeFillShade="F2"/>
          </w:tcPr>
          <w:p w:rsidR="0025490C" w:rsidRPr="00E07B1B" w:rsidRDefault="0025490C" w:rsidP="00505B63">
            <w:pPr>
              <w:pStyle w:val="TableText"/>
              <w:jc w:val="center"/>
            </w:pPr>
            <w:r w:rsidRPr="00E07B1B">
              <w:t>MEDIUM</w:t>
            </w:r>
          </w:p>
        </w:tc>
      </w:tr>
      <w:tr w:rsidR="0025490C" w:rsidRPr="00E07B1B" w:rsidTr="00505B63">
        <w:trPr>
          <w:cantSplit/>
        </w:trPr>
        <w:tc>
          <w:tcPr>
            <w:tcW w:w="532" w:type="pct"/>
            <w:tcBorders>
              <w:top w:val="nil"/>
              <w:bottom w:val="nil"/>
            </w:tcBorders>
            <w:shd w:val="clear" w:color="auto" w:fill="auto"/>
          </w:tcPr>
          <w:p w:rsidR="0025490C" w:rsidRPr="00E07B1B" w:rsidRDefault="0025490C" w:rsidP="004930A1">
            <w:pPr>
              <w:pStyle w:val="TableText"/>
            </w:pPr>
            <w:r w:rsidRPr="00E07B1B">
              <w:t>Hossein-Nezhad (2007)</w:t>
            </w:r>
          </w:p>
        </w:tc>
        <w:tc>
          <w:tcPr>
            <w:tcW w:w="532" w:type="pct"/>
            <w:tcBorders>
              <w:top w:val="nil"/>
              <w:bottom w:val="nil"/>
            </w:tcBorders>
            <w:shd w:val="clear" w:color="auto" w:fill="auto"/>
          </w:tcPr>
          <w:p w:rsidR="0025490C" w:rsidRPr="00E07B1B" w:rsidRDefault="0025490C" w:rsidP="00505B63">
            <w:pPr>
              <w:pStyle w:val="TableText"/>
            </w:pPr>
            <w:r w:rsidRPr="00E07B1B">
              <w:t>Iran</w:t>
            </w:r>
            <w:r w:rsidR="00505B63">
              <w:br/>
            </w:r>
            <w:r w:rsidRPr="00E07B1B">
              <w:t>2416</w:t>
            </w:r>
          </w:p>
        </w:tc>
        <w:tc>
          <w:tcPr>
            <w:tcW w:w="532" w:type="pct"/>
            <w:tcBorders>
              <w:top w:val="nil"/>
              <w:bottom w:val="nil"/>
            </w:tcBorders>
            <w:shd w:val="clear" w:color="auto" w:fill="auto"/>
          </w:tcPr>
          <w:p w:rsidR="0025490C" w:rsidRPr="00E07B1B" w:rsidRDefault="0025490C" w:rsidP="004930A1">
            <w:pPr>
              <w:pStyle w:val="TableText"/>
            </w:pPr>
            <w:r w:rsidRPr="00E07B1B">
              <w:t>Cross-sectional</w:t>
            </w:r>
          </w:p>
        </w:tc>
        <w:tc>
          <w:tcPr>
            <w:tcW w:w="1935" w:type="pct"/>
            <w:tcBorders>
              <w:top w:val="nil"/>
              <w:bottom w:val="nil"/>
            </w:tcBorders>
            <w:shd w:val="clear" w:color="auto" w:fill="auto"/>
          </w:tcPr>
          <w:p w:rsidR="0068074A" w:rsidRDefault="0025490C" w:rsidP="00505B63">
            <w:pPr>
              <w:pStyle w:val="TableText"/>
              <w:ind w:right="142"/>
            </w:pPr>
            <w:r w:rsidRPr="00E07B1B">
              <w:t xml:space="preserve">Universal screening </w:t>
            </w:r>
            <w:r>
              <w:t>with</w:t>
            </w:r>
            <w:r w:rsidRPr="00E07B1B">
              <w:t xml:space="preserve"> 50</w:t>
            </w:r>
            <w:r>
              <w:t> </w:t>
            </w:r>
            <w:r w:rsidRPr="00E07B1B">
              <w:t>g</w:t>
            </w:r>
            <w:r>
              <w:t>,</w:t>
            </w:r>
            <w:r w:rsidRPr="00E07B1B">
              <w:t xml:space="preserve"> 1</w:t>
            </w:r>
            <w:r>
              <w:noBreakHyphen/>
            </w:r>
            <w:r w:rsidRPr="00E07B1B">
              <w:t>hour glucose challenge test at 24</w:t>
            </w:r>
            <w:r>
              <w:t>–</w:t>
            </w:r>
            <w:r w:rsidRPr="00E07B1B">
              <w:t>28 weeks (women with known risk factors were screened at first antenatal visit). If result abnormal (≥</w:t>
            </w:r>
            <w:r>
              <w:t> </w:t>
            </w:r>
            <w:r w:rsidRPr="00E07B1B">
              <w:t>130</w:t>
            </w:r>
            <w:r>
              <w:t> </w:t>
            </w:r>
            <w:r w:rsidRPr="00E07B1B">
              <w:t>mg</w:t>
            </w:r>
            <w:r>
              <w:t>/dL</w:t>
            </w:r>
            <w:r w:rsidRPr="00E07B1B">
              <w:t>) then underwent a 100</w:t>
            </w:r>
            <w:r>
              <w:t xml:space="preserve"> </w:t>
            </w:r>
            <w:r w:rsidRPr="00E07B1B">
              <w:t>g, 3</w:t>
            </w:r>
            <w:r>
              <w:t>-</w:t>
            </w:r>
            <w:r w:rsidRPr="00E07B1B">
              <w:t>hour OGTT using the Carpenter and Coustan criteria.</w:t>
            </w:r>
          </w:p>
          <w:p w:rsidR="0025490C" w:rsidRPr="00E07B1B" w:rsidRDefault="0025490C" w:rsidP="00AB5C8F">
            <w:pPr>
              <w:pStyle w:val="TableText"/>
              <w:ind w:right="142"/>
            </w:pPr>
            <w:r w:rsidRPr="00E07B1B">
              <w:t>Women divided into four groups</w:t>
            </w:r>
            <w:r>
              <w:t>:</w:t>
            </w:r>
            <w:r w:rsidRPr="00E07B1B">
              <w:t xml:space="preserve"> 1</w:t>
            </w:r>
            <w:r>
              <w:t>.</w:t>
            </w:r>
            <w:r w:rsidRPr="00E07B1B">
              <w:t xml:space="preserve"> GDM</w:t>
            </w:r>
            <w:r>
              <w:t>;</w:t>
            </w:r>
            <w:r w:rsidRPr="00E07B1B">
              <w:t xml:space="preserve"> 2</w:t>
            </w:r>
            <w:r>
              <w:t>.</w:t>
            </w:r>
            <w:r w:rsidRPr="00E07B1B">
              <w:t xml:space="preserve"> IGT –impaired glucose tolerance</w:t>
            </w:r>
            <w:r>
              <w:t>;</w:t>
            </w:r>
            <w:r w:rsidRPr="00E07B1B">
              <w:t xml:space="preserve"> 3</w:t>
            </w:r>
            <w:r>
              <w:t>.</w:t>
            </w:r>
            <w:r w:rsidRPr="00E07B1B">
              <w:t xml:space="preserve"> IGCT impaired glucose challenge test</w:t>
            </w:r>
            <w:r>
              <w:t>;</w:t>
            </w:r>
            <w:r w:rsidRPr="00E07B1B">
              <w:t xml:space="preserve"> 4</w:t>
            </w:r>
            <w:r>
              <w:t>.</w:t>
            </w:r>
            <w:r w:rsidR="00AB5C8F">
              <w:t> </w:t>
            </w:r>
            <w:r w:rsidRPr="00E07B1B">
              <w:t>normal</w:t>
            </w:r>
            <w:r>
              <w:t>.</w:t>
            </w:r>
          </w:p>
        </w:tc>
        <w:tc>
          <w:tcPr>
            <w:tcW w:w="1016" w:type="pct"/>
            <w:tcBorders>
              <w:top w:val="nil"/>
              <w:bottom w:val="nil"/>
            </w:tcBorders>
            <w:shd w:val="clear" w:color="auto" w:fill="auto"/>
          </w:tcPr>
          <w:p w:rsidR="0025490C" w:rsidRPr="00E07B1B" w:rsidRDefault="0025490C" w:rsidP="004930A1">
            <w:pPr>
              <w:pStyle w:val="TableText"/>
            </w:pPr>
            <w:r>
              <w:t>A</w:t>
            </w:r>
            <w:r w:rsidRPr="00E07B1B">
              <w:t>dj OR 4.34 (95%CI 2.86</w:t>
            </w:r>
            <w:r>
              <w:t>–</w:t>
            </w:r>
            <w:r w:rsidRPr="00E07B1B">
              <w:t xml:space="preserve">6.60, </w:t>
            </w:r>
            <w:r w:rsidRPr="00CC321A">
              <w:rPr>
                <w:i/>
              </w:rPr>
              <w:t>p</w:t>
            </w:r>
            <w:r>
              <w:t> </w:t>
            </w:r>
            <w:r w:rsidRPr="00E07B1B">
              <w:t>&lt;</w:t>
            </w:r>
            <w:r>
              <w:t> </w:t>
            </w:r>
            <w:r w:rsidRPr="00E07B1B">
              <w:t>0.0001)</w:t>
            </w:r>
          </w:p>
        </w:tc>
        <w:tc>
          <w:tcPr>
            <w:tcW w:w="452" w:type="pct"/>
            <w:tcBorders>
              <w:top w:val="nil"/>
              <w:bottom w:val="nil"/>
            </w:tcBorders>
            <w:shd w:val="clear" w:color="auto" w:fill="auto"/>
          </w:tcPr>
          <w:p w:rsidR="0025490C" w:rsidRPr="00E07B1B" w:rsidRDefault="0025490C" w:rsidP="00505B63">
            <w:pPr>
              <w:pStyle w:val="TableText"/>
              <w:jc w:val="center"/>
            </w:pPr>
            <w:r w:rsidRPr="00E07B1B">
              <w:t>MEDIUM</w:t>
            </w:r>
          </w:p>
        </w:tc>
      </w:tr>
      <w:tr w:rsidR="0025490C" w:rsidRPr="00E07B1B" w:rsidTr="00505B63">
        <w:trPr>
          <w:cantSplit/>
        </w:trPr>
        <w:tc>
          <w:tcPr>
            <w:tcW w:w="532" w:type="pct"/>
            <w:tcBorders>
              <w:top w:val="nil"/>
              <w:bottom w:val="nil"/>
            </w:tcBorders>
            <w:shd w:val="clear" w:color="auto" w:fill="F2F2F2" w:themeFill="background1" w:themeFillShade="F2"/>
          </w:tcPr>
          <w:p w:rsidR="0025490C" w:rsidRPr="00E07B1B" w:rsidRDefault="0025490C" w:rsidP="004930A1">
            <w:pPr>
              <w:pStyle w:val="TableText"/>
            </w:pPr>
            <w:r w:rsidRPr="00E07B1B">
              <w:t>Teede</w:t>
            </w:r>
            <w:r>
              <w:t xml:space="preserve"> </w:t>
            </w:r>
            <w:r w:rsidRPr="00E07B1B">
              <w:t>(2011)</w:t>
            </w:r>
          </w:p>
        </w:tc>
        <w:tc>
          <w:tcPr>
            <w:tcW w:w="532" w:type="pct"/>
            <w:tcBorders>
              <w:top w:val="nil"/>
              <w:bottom w:val="nil"/>
            </w:tcBorders>
            <w:shd w:val="clear" w:color="auto" w:fill="F2F2F2" w:themeFill="background1" w:themeFillShade="F2"/>
          </w:tcPr>
          <w:p w:rsidR="0025490C" w:rsidRPr="00E07B1B" w:rsidRDefault="0025490C" w:rsidP="00AB5C8F">
            <w:pPr>
              <w:pStyle w:val="TableText"/>
            </w:pPr>
            <w:r w:rsidRPr="00E07B1B">
              <w:t>Australia</w:t>
            </w:r>
            <w:r w:rsidR="00AB5C8F">
              <w:br/>
            </w:r>
            <w:r w:rsidRPr="00E07B1B">
              <w:t>4276</w:t>
            </w:r>
          </w:p>
        </w:tc>
        <w:tc>
          <w:tcPr>
            <w:tcW w:w="532" w:type="pct"/>
            <w:tcBorders>
              <w:top w:val="nil"/>
              <w:bottom w:val="nil"/>
            </w:tcBorders>
            <w:shd w:val="clear" w:color="auto" w:fill="F2F2F2" w:themeFill="background1" w:themeFillShade="F2"/>
          </w:tcPr>
          <w:p w:rsidR="0025490C" w:rsidRPr="00E07B1B" w:rsidRDefault="0025490C" w:rsidP="00AB5C8F">
            <w:pPr>
              <w:pStyle w:val="TableText"/>
            </w:pPr>
            <w:r w:rsidRPr="00E07B1B">
              <w:t>Retrospective observational</w:t>
            </w:r>
          </w:p>
        </w:tc>
        <w:tc>
          <w:tcPr>
            <w:tcW w:w="1935" w:type="pct"/>
            <w:tcBorders>
              <w:top w:val="nil"/>
              <w:bottom w:val="nil"/>
            </w:tcBorders>
            <w:shd w:val="clear" w:color="auto" w:fill="F2F2F2" w:themeFill="background1" w:themeFillShade="F2"/>
          </w:tcPr>
          <w:p w:rsidR="0025490C" w:rsidRDefault="0025490C" w:rsidP="00505B63">
            <w:pPr>
              <w:pStyle w:val="TableText"/>
              <w:ind w:right="142"/>
            </w:pPr>
            <w:r w:rsidRPr="00E07B1B">
              <w:t>ADIPS criteria</w:t>
            </w:r>
          </w:p>
          <w:p w:rsidR="0068074A" w:rsidRDefault="0025490C" w:rsidP="00AB5C8F">
            <w:pPr>
              <w:pStyle w:val="TableText"/>
              <w:spacing w:after="30"/>
              <w:ind w:right="142"/>
            </w:pPr>
            <w:r w:rsidRPr="00E07B1B">
              <w:t>A positive glucose challenge test was followed by a 75</w:t>
            </w:r>
            <w:r>
              <w:t xml:space="preserve"> </w:t>
            </w:r>
            <w:r w:rsidRPr="00E07B1B">
              <w:t>g</w:t>
            </w:r>
            <w:r>
              <w:t xml:space="preserve">, </w:t>
            </w:r>
            <w:r w:rsidRPr="00E07B1B">
              <w:t>2</w:t>
            </w:r>
            <w:r>
              <w:noBreakHyphen/>
            </w:r>
            <w:r w:rsidRPr="00E07B1B">
              <w:t>hour OGTT:</w:t>
            </w:r>
          </w:p>
          <w:p w:rsidR="0025490C" w:rsidRPr="00E07B1B" w:rsidRDefault="0025490C" w:rsidP="00AB5C8F">
            <w:pPr>
              <w:pStyle w:val="TableBullet"/>
              <w:spacing w:after="30"/>
              <w:ind w:left="284"/>
            </w:pPr>
            <w:r>
              <w:t>f</w:t>
            </w:r>
            <w:r w:rsidRPr="00E07B1B">
              <w:t>asting ≥ 5.5</w:t>
            </w:r>
            <w:r>
              <w:t> </w:t>
            </w:r>
            <w:r w:rsidRPr="00E07B1B">
              <w:t>mmol/L</w:t>
            </w:r>
          </w:p>
          <w:p w:rsidR="0025490C" w:rsidRPr="00E07B1B" w:rsidRDefault="0025490C" w:rsidP="00AB5C8F">
            <w:pPr>
              <w:pStyle w:val="TableBullet"/>
              <w:ind w:left="284"/>
            </w:pPr>
            <w:r w:rsidRPr="00E07B1B">
              <w:t>2</w:t>
            </w:r>
            <w:r>
              <w:t>-</w:t>
            </w:r>
            <w:r w:rsidRPr="00E07B1B">
              <w:t>hour ≥</w:t>
            </w:r>
            <w:r>
              <w:t> </w:t>
            </w:r>
            <w:r w:rsidRPr="00E07B1B">
              <w:t>8mmol/L</w:t>
            </w:r>
            <w:r>
              <w:t>.</w:t>
            </w:r>
          </w:p>
        </w:tc>
        <w:tc>
          <w:tcPr>
            <w:tcW w:w="1016" w:type="pct"/>
            <w:tcBorders>
              <w:top w:val="nil"/>
              <w:bottom w:val="nil"/>
            </w:tcBorders>
            <w:shd w:val="clear" w:color="auto" w:fill="F2F2F2" w:themeFill="background1" w:themeFillShade="F2"/>
          </w:tcPr>
          <w:p w:rsidR="0025490C" w:rsidRPr="00E07B1B" w:rsidRDefault="0025490C" w:rsidP="00AB5C8F">
            <w:pPr>
              <w:pStyle w:val="TableText"/>
            </w:pPr>
            <w:r>
              <w:t>A</w:t>
            </w:r>
            <w:r w:rsidRPr="00E07B1B">
              <w:t>dj OR 1.7 (95%CI 1.3</w:t>
            </w:r>
            <w:r>
              <w:t>–</w:t>
            </w:r>
            <w:r w:rsidRPr="00E07B1B">
              <w:t>2.3</w:t>
            </w:r>
            <w:r>
              <w:t>,</w:t>
            </w:r>
            <w:r w:rsidRPr="00E07B1B">
              <w:t xml:space="preserve"> </w:t>
            </w:r>
            <w:r w:rsidRPr="00CC321A">
              <w:rPr>
                <w:i/>
              </w:rPr>
              <w:t>p</w:t>
            </w:r>
            <w:r w:rsidR="00AB5C8F">
              <w:rPr>
                <w:i/>
              </w:rPr>
              <w:t> </w:t>
            </w:r>
            <w:r w:rsidRPr="00E07B1B">
              <w:t>=</w:t>
            </w:r>
            <w:r w:rsidR="00AB5C8F">
              <w:t> </w:t>
            </w:r>
            <w:r w:rsidRPr="00E07B1B">
              <w:t>0.001)</w:t>
            </w:r>
          </w:p>
        </w:tc>
        <w:tc>
          <w:tcPr>
            <w:tcW w:w="452" w:type="pct"/>
            <w:tcBorders>
              <w:top w:val="nil"/>
              <w:bottom w:val="nil"/>
            </w:tcBorders>
            <w:shd w:val="clear" w:color="auto" w:fill="F2F2F2" w:themeFill="background1" w:themeFillShade="F2"/>
          </w:tcPr>
          <w:p w:rsidR="0025490C" w:rsidRPr="00E07B1B" w:rsidRDefault="0025490C" w:rsidP="00505B63">
            <w:pPr>
              <w:pStyle w:val="TableText"/>
              <w:jc w:val="center"/>
            </w:pPr>
            <w:r w:rsidRPr="00E07B1B">
              <w:t>HIGH</w:t>
            </w:r>
          </w:p>
        </w:tc>
      </w:tr>
      <w:tr w:rsidR="0025490C" w:rsidRPr="00E07B1B" w:rsidTr="00505B63">
        <w:trPr>
          <w:cantSplit/>
        </w:trPr>
        <w:tc>
          <w:tcPr>
            <w:tcW w:w="532" w:type="pct"/>
            <w:tcBorders>
              <w:top w:val="nil"/>
              <w:bottom w:val="nil"/>
            </w:tcBorders>
            <w:shd w:val="clear" w:color="auto" w:fill="auto"/>
          </w:tcPr>
          <w:p w:rsidR="0025490C" w:rsidRPr="00E07B1B" w:rsidRDefault="0025490C" w:rsidP="00E11F9C">
            <w:pPr>
              <w:pStyle w:val="TableText"/>
            </w:pPr>
            <w:r w:rsidRPr="00E07B1B">
              <w:t>Ismail</w:t>
            </w:r>
            <w:r>
              <w:t xml:space="preserve"> </w:t>
            </w:r>
            <w:r w:rsidRPr="00E07B1B">
              <w:t>(2011)</w:t>
            </w:r>
          </w:p>
        </w:tc>
        <w:tc>
          <w:tcPr>
            <w:tcW w:w="532" w:type="pct"/>
            <w:tcBorders>
              <w:top w:val="nil"/>
              <w:bottom w:val="nil"/>
            </w:tcBorders>
            <w:shd w:val="clear" w:color="auto" w:fill="auto"/>
          </w:tcPr>
          <w:p w:rsidR="0025490C" w:rsidRPr="00E07B1B" w:rsidRDefault="0025490C" w:rsidP="00505B63">
            <w:pPr>
              <w:pStyle w:val="TableText"/>
            </w:pPr>
            <w:r w:rsidRPr="00E07B1B">
              <w:t>Malaysia</w:t>
            </w:r>
            <w:r w:rsidR="00505B63">
              <w:br/>
            </w:r>
            <w:r w:rsidRPr="00E07B1B">
              <w:t>616</w:t>
            </w:r>
          </w:p>
        </w:tc>
        <w:tc>
          <w:tcPr>
            <w:tcW w:w="532" w:type="pct"/>
            <w:tcBorders>
              <w:top w:val="nil"/>
              <w:bottom w:val="nil"/>
            </w:tcBorders>
            <w:shd w:val="clear" w:color="auto" w:fill="auto"/>
          </w:tcPr>
          <w:p w:rsidR="0025490C" w:rsidRPr="00E07B1B" w:rsidRDefault="0025490C" w:rsidP="004930A1">
            <w:pPr>
              <w:pStyle w:val="TableText"/>
            </w:pPr>
            <w:r w:rsidRPr="00E07B1B">
              <w:t>Observational</w:t>
            </w:r>
          </w:p>
        </w:tc>
        <w:tc>
          <w:tcPr>
            <w:tcW w:w="1935" w:type="pct"/>
            <w:tcBorders>
              <w:top w:val="nil"/>
              <w:bottom w:val="nil"/>
            </w:tcBorders>
            <w:shd w:val="clear" w:color="auto" w:fill="auto"/>
          </w:tcPr>
          <w:p w:rsidR="0025490C" w:rsidRPr="00E07B1B" w:rsidRDefault="0025490C" w:rsidP="00505B63">
            <w:pPr>
              <w:pStyle w:val="TableText"/>
              <w:ind w:right="142"/>
            </w:pPr>
            <w:r w:rsidRPr="00E07B1B">
              <w:t>75</w:t>
            </w:r>
            <w:r>
              <w:t xml:space="preserve"> </w:t>
            </w:r>
            <w:r w:rsidRPr="00E07B1B">
              <w:t>g OGTT</w:t>
            </w:r>
            <w:r>
              <w:t>:</w:t>
            </w:r>
            <w:r w:rsidRPr="00E07B1B">
              <w:t xml:space="preserve"> fasting and 2</w:t>
            </w:r>
            <w:r>
              <w:noBreakHyphen/>
            </w:r>
            <w:r w:rsidRPr="00E07B1B">
              <w:t>hour postprandial &gt;</w:t>
            </w:r>
            <w:r>
              <w:t> </w:t>
            </w:r>
            <w:r w:rsidRPr="00E07B1B">
              <w:t>6</w:t>
            </w:r>
            <w:r>
              <w:t> </w:t>
            </w:r>
            <w:r w:rsidRPr="00E07B1B">
              <w:t xml:space="preserve">mmol/L </w:t>
            </w:r>
            <w:r>
              <w:t>or</w:t>
            </w:r>
            <w:r w:rsidRPr="00E07B1B">
              <w:t xml:space="preserve"> &gt;</w:t>
            </w:r>
            <w:r>
              <w:t> </w:t>
            </w:r>
            <w:r w:rsidRPr="00E07B1B">
              <w:t>7.8</w:t>
            </w:r>
            <w:r>
              <w:t> </w:t>
            </w:r>
            <w:r w:rsidRPr="00E07B1B">
              <w:t>mmol/L respectively.</w:t>
            </w:r>
          </w:p>
        </w:tc>
        <w:tc>
          <w:tcPr>
            <w:tcW w:w="1016" w:type="pct"/>
            <w:tcBorders>
              <w:top w:val="nil"/>
              <w:bottom w:val="nil"/>
            </w:tcBorders>
            <w:shd w:val="clear" w:color="auto" w:fill="auto"/>
          </w:tcPr>
          <w:p w:rsidR="0025490C" w:rsidRPr="00E07B1B" w:rsidRDefault="0025490C" w:rsidP="004930A1">
            <w:pPr>
              <w:pStyle w:val="TableText"/>
            </w:pPr>
            <w:r w:rsidRPr="00E07B1B">
              <w:t>Positive association for family history and GDM (</w:t>
            </w:r>
            <w:r w:rsidRPr="00BD5DEC">
              <w:rPr>
                <w:i/>
              </w:rPr>
              <w:t>p</w:t>
            </w:r>
            <w:r>
              <w:t xml:space="preserve"> </w:t>
            </w:r>
            <w:r w:rsidRPr="00E07B1B">
              <w:t>=</w:t>
            </w:r>
            <w:r>
              <w:t xml:space="preserve"> </w:t>
            </w:r>
            <w:r w:rsidRPr="00E07B1B">
              <w:t>0.008)</w:t>
            </w:r>
          </w:p>
        </w:tc>
        <w:tc>
          <w:tcPr>
            <w:tcW w:w="452" w:type="pct"/>
            <w:tcBorders>
              <w:top w:val="nil"/>
              <w:bottom w:val="nil"/>
            </w:tcBorders>
            <w:shd w:val="clear" w:color="auto" w:fill="auto"/>
          </w:tcPr>
          <w:p w:rsidR="0025490C" w:rsidRPr="00E07B1B" w:rsidRDefault="0025490C" w:rsidP="00505B63">
            <w:pPr>
              <w:pStyle w:val="TableText"/>
              <w:jc w:val="center"/>
            </w:pPr>
            <w:r w:rsidRPr="00E07B1B">
              <w:t>LOW</w:t>
            </w:r>
          </w:p>
        </w:tc>
      </w:tr>
      <w:tr w:rsidR="0025490C" w:rsidRPr="00E07B1B" w:rsidTr="00505B63">
        <w:trPr>
          <w:cantSplit/>
        </w:trPr>
        <w:tc>
          <w:tcPr>
            <w:tcW w:w="532" w:type="pct"/>
            <w:tcBorders>
              <w:top w:val="nil"/>
              <w:bottom w:val="single" w:sz="4" w:space="0" w:color="auto"/>
            </w:tcBorders>
            <w:shd w:val="clear" w:color="auto" w:fill="F2F2F2" w:themeFill="background1" w:themeFillShade="F2"/>
          </w:tcPr>
          <w:p w:rsidR="0025490C" w:rsidRPr="00E07B1B" w:rsidRDefault="00E11F9C" w:rsidP="004930A1">
            <w:pPr>
              <w:pStyle w:val="TableText"/>
            </w:pPr>
            <w:r>
              <w:t>Retnakaran (2007)</w:t>
            </w:r>
          </w:p>
        </w:tc>
        <w:tc>
          <w:tcPr>
            <w:tcW w:w="532" w:type="pct"/>
            <w:tcBorders>
              <w:top w:val="nil"/>
              <w:bottom w:val="single" w:sz="4" w:space="0" w:color="auto"/>
            </w:tcBorders>
            <w:shd w:val="clear" w:color="auto" w:fill="F2F2F2" w:themeFill="background1" w:themeFillShade="F2"/>
          </w:tcPr>
          <w:p w:rsidR="0025490C" w:rsidRPr="00E07B1B" w:rsidRDefault="0025490C" w:rsidP="00505B63">
            <w:pPr>
              <w:pStyle w:val="TableText"/>
            </w:pPr>
            <w:r w:rsidRPr="00E07B1B">
              <w:t>Canada</w:t>
            </w:r>
            <w:r w:rsidR="00505B63">
              <w:br/>
            </w:r>
            <w:r w:rsidRPr="00E07B1B">
              <w:t>180</w:t>
            </w:r>
          </w:p>
        </w:tc>
        <w:tc>
          <w:tcPr>
            <w:tcW w:w="532" w:type="pct"/>
            <w:tcBorders>
              <w:top w:val="nil"/>
              <w:bottom w:val="single" w:sz="4" w:space="0" w:color="auto"/>
            </w:tcBorders>
            <w:shd w:val="clear" w:color="auto" w:fill="F2F2F2" w:themeFill="background1" w:themeFillShade="F2"/>
          </w:tcPr>
          <w:p w:rsidR="0025490C" w:rsidRPr="00E07B1B" w:rsidRDefault="0025490C" w:rsidP="00505B63">
            <w:pPr>
              <w:pStyle w:val="TableText"/>
            </w:pPr>
            <w:r w:rsidRPr="00E07B1B">
              <w:t>Cross</w:t>
            </w:r>
            <w:r>
              <w:t>-</w:t>
            </w:r>
            <w:r w:rsidRPr="00E07B1B">
              <w:t>sectional</w:t>
            </w:r>
          </w:p>
        </w:tc>
        <w:tc>
          <w:tcPr>
            <w:tcW w:w="1935" w:type="pct"/>
            <w:tcBorders>
              <w:top w:val="nil"/>
              <w:bottom w:val="single" w:sz="4" w:space="0" w:color="auto"/>
            </w:tcBorders>
            <w:shd w:val="clear" w:color="auto" w:fill="F2F2F2" w:themeFill="background1" w:themeFillShade="F2"/>
          </w:tcPr>
          <w:p w:rsidR="0025490C" w:rsidRDefault="0025490C" w:rsidP="00AB5C8F">
            <w:pPr>
              <w:pStyle w:val="TableText"/>
              <w:spacing w:after="30"/>
              <w:ind w:right="142"/>
            </w:pPr>
            <w:r w:rsidRPr="00E07B1B">
              <w:t>50</w:t>
            </w:r>
            <w:r>
              <w:t xml:space="preserve"> </w:t>
            </w:r>
            <w:r w:rsidRPr="00E07B1B">
              <w:t>g OGCT (≥</w:t>
            </w:r>
            <w:r>
              <w:t> </w:t>
            </w:r>
            <w:r w:rsidRPr="00E07B1B">
              <w:t>7.8</w:t>
            </w:r>
            <w:r>
              <w:t> </w:t>
            </w:r>
            <w:r w:rsidRPr="00E07B1B">
              <w:t>mmol/L) followed by a 100</w:t>
            </w:r>
            <w:r>
              <w:t xml:space="preserve"> </w:t>
            </w:r>
            <w:r w:rsidRPr="00E07B1B">
              <w:t>g</w:t>
            </w:r>
            <w:r>
              <w:t>,</w:t>
            </w:r>
            <w:r w:rsidRPr="00E07B1B">
              <w:t xml:space="preserve"> 3</w:t>
            </w:r>
            <w:r>
              <w:t>-</w:t>
            </w:r>
            <w:r w:rsidRPr="00E07B1B">
              <w:t>hour OGTT. Two abnormal values using NDDG criteria</w:t>
            </w:r>
            <w:r>
              <w:t>:</w:t>
            </w:r>
          </w:p>
          <w:p w:rsidR="0025490C" w:rsidRDefault="0025490C" w:rsidP="00AB5C8F">
            <w:pPr>
              <w:pStyle w:val="TableBullet"/>
              <w:spacing w:after="30"/>
              <w:ind w:left="284"/>
            </w:pPr>
            <w:r w:rsidRPr="00E07B1B">
              <w:t>fasting ≥</w:t>
            </w:r>
            <w:r>
              <w:t> </w:t>
            </w:r>
            <w:r w:rsidRPr="00E07B1B">
              <w:t>5.8</w:t>
            </w:r>
            <w:r>
              <w:t> </w:t>
            </w:r>
            <w:r w:rsidRPr="00E07B1B">
              <w:t>mmol</w:t>
            </w:r>
            <w:r>
              <w:t>/L</w:t>
            </w:r>
          </w:p>
          <w:p w:rsidR="0025490C" w:rsidRDefault="0025490C" w:rsidP="00AB5C8F">
            <w:pPr>
              <w:pStyle w:val="TableBullet"/>
              <w:spacing w:after="30"/>
              <w:ind w:left="284"/>
            </w:pPr>
            <w:r w:rsidRPr="00E07B1B">
              <w:t>1</w:t>
            </w:r>
            <w:r>
              <w:t>-</w:t>
            </w:r>
            <w:r w:rsidRPr="00E07B1B">
              <w:t>hour ≥</w:t>
            </w:r>
            <w:r>
              <w:t> </w:t>
            </w:r>
            <w:r w:rsidRPr="00E07B1B">
              <w:t>10.6</w:t>
            </w:r>
            <w:r>
              <w:t> </w:t>
            </w:r>
            <w:r w:rsidRPr="00E07B1B">
              <w:t>mmol/L</w:t>
            </w:r>
          </w:p>
          <w:p w:rsidR="0025490C" w:rsidRDefault="0025490C" w:rsidP="00AB5C8F">
            <w:pPr>
              <w:pStyle w:val="TableBullet"/>
              <w:spacing w:after="30"/>
              <w:ind w:left="284"/>
            </w:pPr>
            <w:r w:rsidRPr="00E07B1B">
              <w:t>2</w:t>
            </w:r>
            <w:r>
              <w:t>-</w:t>
            </w:r>
            <w:r w:rsidRPr="00E07B1B">
              <w:t>hour ≥</w:t>
            </w:r>
            <w:r>
              <w:t> </w:t>
            </w:r>
            <w:r w:rsidRPr="00E07B1B">
              <w:t>9.2</w:t>
            </w:r>
            <w:r>
              <w:t> </w:t>
            </w:r>
            <w:r w:rsidRPr="00E07B1B">
              <w:t>mmol/L</w:t>
            </w:r>
          </w:p>
          <w:p w:rsidR="0025490C" w:rsidRPr="00E07B1B" w:rsidRDefault="0025490C" w:rsidP="00AB5C8F">
            <w:pPr>
              <w:pStyle w:val="TableBullet"/>
              <w:ind w:left="284"/>
            </w:pPr>
            <w:r w:rsidRPr="00E07B1B">
              <w:t>3</w:t>
            </w:r>
            <w:r>
              <w:t>-</w:t>
            </w:r>
            <w:r w:rsidRPr="00E07B1B">
              <w:t>hour ≥</w:t>
            </w:r>
            <w:r>
              <w:t> </w:t>
            </w:r>
            <w:r w:rsidRPr="00E07B1B">
              <w:t>8.1</w:t>
            </w:r>
            <w:r>
              <w:t> </w:t>
            </w:r>
            <w:r w:rsidRPr="00E07B1B">
              <w:t>mmol/L.</w:t>
            </w:r>
          </w:p>
          <w:p w:rsidR="0025490C" w:rsidRPr="00E07B1B" w:rsidRDefault="0025490C" w:rsidP="00505B63">
            <w:pPr>
              <w:pStyle w:val="TableText"/>
              <w:ind w:right="142"/>
            </w:pPr>
            <w:r w:rsidRPr="00E07B1B">
              <w:t>Impaired glucose tolerance was defined as only meeting one of the criteria.</w:t>
            </w:r>
          </w:p>
        </w:tc>
        <w:tc>
          <w:tcPr>
            <w:tcW w:w="1016" w:type="pct"/>
            <w:tcBorders>
              <w:top w:val="nil"/>
              <w:bottom w:val="single" w:sz="4" w:space="0" w:color="auto"/>
            </w:tcBorders>
            <w:shd w:val="clear" w:color="auto" w:fill="F2F2F2" w:themeFill="background1" w:themeFillShade="F2"/>
          </w:tcPr>
          <w:p w:rsidR="0025490C" w:rsidRPr="00E07B1B" w:rsidRDefault="0025490C" w:rsidP="00AB5C8F">
            <w:pPr>
              <w:pStyle w:val="TableText"/>
            </w:pPr>
            <w:r w:rsidRPr="00E07B1B">
              <w:t>GDM risk factors reconciled 35% of the variance in the area under the curve with previous GDM (</w:t>
            </w:r>
            <w:r w:rsidRPr="00BD5DEC">
              <w:rPr>
                <w:i/>
              </w:rPr>
              <w:t>p</w:t>
            </w:r>
            <w:r>
              <w:t xml:space="preserve"> </w:t>
            </w:r>
            <w:r w:rsidRPr="00E07B1B">
              <w:t>=</w:t>
            </w:r>
            <w:r>
              <w:t xml:space="preserve"> </w:t>
            </w:r>
            <w:r w:rsidRPr="00E07B1B">
              <w:t>0.0003), log adiponectin (</w:t>
            </w:r>
            <w:r w:rsidRPr="00BD5DEC">
              <w:rPr>
                <w:i/>
              </w:rPr>
              <w:t>p</w:t>
            </w:r>
            <w:r>
              <w:t xml:space="preserve"> </w:t>
            </w:r>
            <w:r w:rsidRPr="00E07B1B">
              <w:t>=</w:t>
            </w:r>
            <w:r>
              <w:t xml:space="preserve"> </w:t>
            </w:r>
            <w:r w:rsidRPr="00E07B1B">
              <w:t>0.0008) and parity (</w:t>
            </w:r>
            <w:r w:rsidRPr="00BD5DEC">
              <w:rPr>
                <w:i/>
              </w:rPr>
              <w:t>p</w:t>
            </w:r>
            <w:r>
              <w:t> </w:t>
            </w:r>
            <w:r w:rsidRPr="00E07B1B">
              <w:t>=</w:t>
            </w:r>
            <w:r>
              <w:t> </w:t>
            </w:r>
            <w:r w:rsidRPr="00E07B1B">
              <w:t>0.002) being identified as negative independent covariates.</w:t>
            </w:r>
            <w:r>
              <w:t xml:space="preserve"> </w:t>
            </w:r>
            <w:r w:rsidRPr="00E07B1B">
              <w:t>In women with no family history, the same multivariate model reconciled only 15% of the variance with no significant variables.</w:t>
            </w:r>
          </w:p>
        </w:tc>
        <w:tc>
          <w:tcPr>
            <w:tcW w:w="452" w:type="pct"/>
            <w:tcBorders>
              <w:top w:val="nil"/>
              <w:bottom w:val="single" w:sz="4" w:space="0" w:color="auto"/>
            </w:tcBorders>
            <w:shd w:val="clear" w:color="auto" w:fill="F2F2F2" w:themeFill="background1" w:themeFillShade="F2"/>
          </w:tcPr>
          <w:p w:rsidR="0025490C" w:rsidRPr="00E07B1B" w:rsidRDefault="0025490C" w:rsidP="00505B63">
            <w:pPr>
              <w:pStyle w:val="TableText"/>
              <w:jc w:val="center"/>
            </w:pPr>
            <w:r w:rsidRPr="00E07B1B">
              <w:t>LOW</w:t>
            </w:r>
          </w:p>
        </w:tc>
      </w:tr>
    </w:tbl>
    <w:p w:rsidR="0025490C" w:rsidRDefault="0025490C" w:rsidP="00152FAD">
      <w:pPr>
        <w:pStyle w:val="Note"/>
        <w:ind w:left="0" w:firstLine="0"/>
      </w:pPr>
      <w:r>
        <w:t xml:space="preserve">Note: </w:t>
      </w:r>
      <w:r w:rsidRPr="00E07B1B">
        <w:t xml:space="preserve">ADA </w:t>
      </w:r>
      <w:r>
        <w:t>=</w:t>
      </w:r>
      <w:r w:rsidRPr="00E07B1B">
        <w:t xml:space="preserve"> American Diabetes Association; ADIPS </w:t>
      </w:r>
      <w:r>
        <w:t>=</w:t>
      </w:r>
      <w:r w:rsidRPr="00E07B1B">
        <w:t xml:space="preserve"> Australasian Diabetes in Pregnancy Study Group;</w:t>
      </w:r>
      <w:r>
        <w:t xml:space="preserve"> CI = confidence interval;</w:t>
      </w:r>
      <w:r w:rsidRPr="00E07B1B">
        <w:t xml:space="preserve"> GDM </w:t>
      </w:r>
      <w:r>
        <w:t>=</w:t>
      </w:r>
      <w:r w:rsidRPr="00E07B1B">
        <w:t xml:space="preserve"> </w:t>
      </w:r>
      <w:r>
        <w:t>g</w:t>
      </w:r>
      <w:r w:rsidRPr="00E07B1B">
        <w:t xml:space="preserve">estational diabetes mellitus; NDDG </w:t>
      </w:r>
      <w:r>
        <w:t>=</w:t>
      </w:r>
      <w:r w:rsidRPr="00E07B1B">
        <w:t xml:space="preserve"> National Diabetes Data Group;</w:t>
      </w:r>
      <w:r>
        <w:t xml:space="preserve"> </w:t>
      </w:r>
      <w:r w:rsidRPr="00E07B1B">
        <w:t xml:space="preserve">OGCT </w:t>
      </w:r>
      <w:r>
        <w:t>=</w:t>
      </w:r>
      <w:r w:rsidRPr="00E07B1B">
        <w:t xml:space="preserve"> </w:t>
      </w:r>
      <w:r>
        <w:t>o</w:t>
      </w:r>
      <w:r w:rsidRPr="00E07B1B">
        <w:t xml:space="preserve">ral </w:t>
      </w:r>
      <w:r>
        <w:t>g</w:t>
      </w:r>
      <w:r w:rsidRPr="00E07B1B">
        <w:t xml:space="preserve">lucose </w:t>
      </w:r>
      <w:r>
        <w:t>c</w:t>
      </w:r>
      <w:r w:rsidRPr="00E07B1B">
        <w:t xml:space="preserve">hallenge </w:t>
      </w:r>
      <w:r>
        <w:t>t</w:t>
      </w:r>
      <w:r w:rsidRPr="00E07B1B">
        <w:t>est; OGTT</w:t>
      </w:r>
      <w:r>
        <w:t xml:space="preserve"> = o</w:t>
      </w:r>
      <w:r w:rsidRPr="00E07B1B">
        <w:t xml:space="preserve">ral </w:t>
      </w:r>
      <w:r>
        <w:t>g</w:t>
      </w:r>
      <w:r w:rsidRPr="00E07B1B">
        <w:t xml:space="preserve">lucose </w:t>
      </w:r>
      <w:r>
        <w:t>t</w:t>
      </w:r>
      <w:r w:rsidRPr="00E07B1B">
        <w:t xml:space="preserve">olerance </w:t>
      </w:r>
      <w:r>
        <w:t>t</w:t>
      </w:r>
      <w:r w:rsidRPr="00E07B1B">
        <w:t>est</w:t>
      </w:r>
      <w:r>
        <w:t>; OR = odds ratio</w:t>
      </w:r>
      <w:r w:rsidRPr="00E07B1B">
        <w:t xml:space="preserve">; WHO </w:t>
      </w:r>
      <w:r>
        <w:t>=</w:t>
      </w:r>
      <w:r w:rsidRPr="00E07B1B">
        <w:t xml:space="preserve"> World Health Organi</w:t>
      </w:r>
      <w:r>
        <w:t>z</w:t>
      </w:r>
      <w:r w:rsidRPr="00E07B1B">
        <w:t>ation</w:t>
      </w:r>
      <w:bookmarkStart w:id="451" w:name="_Toc358366902"/>
      <w:r w:rsidR="00152FAD">
        <w:t>.</w:t>
      </w:r>
    </w:p>
    <w:p w:rsidR="00152FAD" w:rsidRPr="00152FAD" w:rsidRDefault="00152FAD" w:rsidP="00152FAD"/>
    <w:p w:rsidR="0025490C" w:rsidRDefault="0025490C" w:rsidP="00152FAD">
      <w:pPr>
        <w:pStyle w:val="Table"/>
      </w:pPr>
      <w:bookmarkStart w:id="452" w:name="_Toc363717782"/>
      <w:bookmarkStart w:id="453" w:name="_Toc403635889"/>
      <w:r w:rsidRPr="00E07B1B">
        <w:t>Table 8</w:t>
      </w:r>
      <w:r w:rsidR="00152FAD">
        <w:t>:</w:t>
      </w:r>
      <w:r>
        <w:t xml:space="preserve"> </w:t>
      </w:r>
      <w:r w:rsidRPr="00E07B1B">
        <w:t>Studies reporting on previous history of gestational diabetes as a risk factor for developing gestational diabetes</w:t>
      </w:r>
      <w:bookmarkEnd w:id="451"/>
      <w:bookmarkEnd w:id="452"/>
      <w:bookmarkEnd w:id="453"/>
    </w:p>
    <w:tbl>
      <w:tblPr>
        <w:tblW w:w="500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559"/>
        <w:gridCol w:w="1559"/>
        <w:gridCol w:w="1559"/>
        <w:gridCol w:w="4113"/>
        <w:gridCol w:w="4677"/>
        <w:gridCol w:w="1213"/>
      </w:tblGrid>
      <w:tr w:rsidR="0025490C" w:rsidRPr="00E11F9C" w:rsidTr="0072363C">
        <w:trPr>
          <w:cantSplit/>
          <w:tblHeader/>
        </w:trPr>
        <w:tc>
          <w:tcPr>
            <w:tcW w:w="531" w:type="pct"/>
            <w:tcBorders>
              <w:top w:val="single" w:sz="4" w:space="0" w:color="auto"/>
              <w:bottom w:val="single" w:sz="4" w:space="0" w:color="auto"/>
            </w:tcBorders>
            <w:shd w:val="clear" w:color="auto" w:fill="auto"/>
          </w:tcPr>
          <w:p w:rsidR="0025490C" w:rsidRPr="00E11F9C" w:rsidRDefault="0025490C" w:rsidP="00AB5C8F">
            <w:pPr>
              <w:pStyle w:val="TableText"/>
              <w:keepNext/>
              <w:rPr>
                <w:b/>
              </w:rPr>
            </w:pPr>
            <w:r w:rsidRPr="00E11F9C">
              <w:rPr>
                <w:b/>
              </w:rPr>
              <w:t>Study</w:t>
            </w:r>
          </w:p>
        </w:tc>
        <w:tc>
          <w:tcPr>
            <w:tcW w:w="531" w:type="pct"/>
            <w:tcBorders>
              <w:top w:val="single" w:sz="4" w:space="0" w:color="auto"/>
              <w:bottom w:val="single" w:sz="4" w:space="0" w:color="auto"/>
            </w:tcBorders>
            <w:shd w:val="clear" w:color="auto" w:fill="auto"/>
          </w:tcPr>
          <w:p w:rsidR="0025490C" w:rsidRPr="00E11F9C" w:rsidRDefault="0025490C" w:rsidP="00AB5C8F">
            <w:pPr>
              <w:pStyle w:val="TableText"/>
              <w:keepNext/>
              <w:rPr>
                <w:b/>
              </w:rPr>
            </w:pPr>
            <w:r w:rsidRPr="00E11F9C">
              <w:rPr>
                <w:b/>
              </w:rPr>
              <w:t>Country and sample size</w:t>
            </w:r>
          </w:p>
        </w:tc>
        <w:tc>
          <w:tcPr>
            <w:tcW w:w="531" w:type="pct"/>
            <w:tcBorders>
              <w:top w:val="single" w:sz="4" w:space="0" w:color="auto"/>
              <w:bottom w:val="single" w:sz="4" w:space="0" w:color="auto"/>
            </w:tcBorders>
            <w:shd w:val="clear" w:color="auto" w:fill="auto"/>
          </w:tcPr>
          <w:p w:rsidR="0025490C" w:rsidRPr="00E11F9C" w:rsidRDefault="0025490C" w:rsidP="00AB5C8F">
            <w:pPr>
              <w:pStyle w:val="TableText"/>
              <w:keepNext/>
              <w:rPr>
                <w:b/>
              </w:rPr>
            </w:pPr>
            <w:r w:rsidRPr="00E11F9C">
              <w:rPr>
                <w:b/>
              </w:rPr>
              <w:t>Study type</w:t>
            </w:r>
          </w:p>
        </w:tc>
        <w:tc>
          <w:tcPr>
            <w:tcW w:w="1401" w:type="pct"/>
            <w:tcBorders>
              <w:top w:val="single" w:sz="4" w:space="0" w:color="auto"/>
              <w:bottom w:val="single" w:sz="4" w:space="0" w:color="auto"/>
            </w:tcBorders>
            <w:shd w:val="clear" w:color="auto" w:fill="auto"/>
          </w:tcPr>
          <w:p w:rsidR="0025490C" w:rsidRPr="00E11F9C" w:rsidRDefault="0025490C" w:rsidP="0072363C">
            <w:pPr>
              <w:pStyle w:val="TableText"/>
              <w:keepNext/>
              <w:ind w:right="142"/>
              <w:rPr>
                <w:b/>
              </w:rPr>
            </w:pPr>
            <w:r w:rsidRPr="00E11F9C">
              <w:rPr>
                <w:b/>
              </w:rPr>
              <w:t>Screening/diagnostic criteria</w:t>
            </w:r>
          </w:p>
        </w:tc>
        <w:tc>
          <w:tcPr>
            <w:tcW w:w="1593" w:type="pct"/>
            <w:tcBorders>
              <w:top w:val="single" w:sz="4" w:space="0" w:color="auto"/>
              <w:bottom w:val="single" w:sz="4" w:space="0" w:color="auto"/>
            </w:tcBorders>
            <w:shd w:val="clear" w:color="auto" w:fill="auto"/>
          </w:tcPr>
          <w:p w:rsidR="0025490C" w:rsidRPr="00E11F9C" w:rsidRDefault="0025490C" w:rsidP="00AB5C8F">
            <w:pPr>
              <w:pStyle w:val="TableText"/>
              <w:keepNext/>
              <w:rPr>
                <w:b/>
              </w:rPr>
            </w:pPr>
            <w:r w:rsidRPr="00E11F9C">
              <w:rPr>
                <w:b/>
              </w:rPr>
              <w:t>Main results</w:t>
            </w:r>
          </w:p>
        </w:tc>
        <w:tc>
          <w:tcPr>
            <w:tcW w:w="413" w:type="pct"/>
            <w:tcBorders>
              <w:top w:val="single" w:sz="4" w:space="0" w:color="auto"/>
              <w:bottom w:val="single" w:sz="4" w:space="0" w:color="auto"/>
            </w:tcBorders>
            <w:shd w:val="clear" w:color="auto" w:fill="auto"/>
          </w:tcPr>
          <w:p w:rsidR="0025490C" w:rsidRPr="00E11F9C" w:rsidRDefault="0025490C" w:rsidP="0072363C">
            <w:pPr>
              <w:pStyle w:val="TableText"/>
              <w:keepNext/>
              <w:jc w:val="center"/>
              <w:rPr>
                <w:b/>
              </w:rPr>
            </w:pPr>
            <w:r w:rsidRPr="00E11F9C">
              <w:rPr>
                <w:b/>
              </w:rPr>
              <w:t>Quality of evidence</w:t>
            </w:r>
          </w:p>
        </w:tc>
      </w:tr>
      <w:tr w:rsidR="0025490C" w:rsidRPr="00E07B1B" w:rsidTr="0072363C">
        <w:trPr>
          <w:cantSplit/>
        </w:trPr>
        <w:tc>
          <w:tcPr>
            <w:tcW w:w="531" w:type="pct"/>
            <w:tcBorders>
              <w:top w:val="single" w:sz="4" w:space="0" w:color="auto"/>
              <w:bottom w:val="nil"/>
            </w:tcBorders>
            <w:shd w:val="clear" w:color="auto" w:fill="F2F2F2" w:themeFill="background1" w:themeFillShade="F2"/>
          </w:tcPr>
          <w:p w:rsidR="0025490C" w:rsidRPr="00E07B1B" w:rsidRDefault="0025490C" w:rsidP="00E11F9C">
            <w:pPr>
              <w:pStyle w:val="TableText"/>
            </w:pPr>
            <w:r w:rsidRPr="00E07B1B">
              <w:t>Getahun</w:t>
            </w:r>
            <w:r>
              <w:t xml:space="preserve"> </w:t>
            </w:r>
            <w:r w:rsidRPr="00E07B1B">
              <w:t>(2010)</w:t>
            </w:r>
          </w:p>
        </w:tc>
        <w:tc>
          <w:tcPr>
            <w:tcW w:w="531" w:type="pct"/>
            <w:tcBorders>
              <w:top w:val="single" w:sz="4" w:space="0" w:color="auto"/>
              <w:bottom w:val="nil"/>
            </w:tcBorders>
            <w:shd w:val="clear" w:color="auto" w:fill="F2F2F2" w:themeFill="background1" w:themeFillShade="F2"/>
          </w:tcPr>
          <w:p w:rsidR="0025490C" w:rsidRPr="00E07B1B" w:rsidRDefault="0025490C" w:rsidP="0072363C">
            <w:pPr>
              <w:pStyle w:val="TableText"/>
            </w:pPr>
            <w:r w:rsidRPr="00E07B1B">
              <w:t>USA</w:t>
            </w:r>
            <w:r w:rsidR="0072363C">
              <w:br/>
            </w:r>
            <w:r w:rsidRPr="00E07B1B">
              <w:t>540,956</w:t>
            </w:r>
          </w:p>
        </w:tc>
        <w:tc>
          <w:tcPr>
            <w:tcW w:w="531" w:type="pct"/>
            <w:tcBorders>
              <w:top w:val="single" w:sz="4" w:space="0" w:color="auto"/>
              <w:bottom w:val="nil"/>
            </w:tcBorders>
            <w:shd w:val="clear" w:color="auto" w:fill="F2F2F2" w:themeFill="background1" w:themeFillShade="F2"/>
          </w:tcPr>
          <w:p w:rsidR="0025490C" w:rsidRPr="00E07B1B" w:rsidRDefault="0025490C" w:rsidP="00E11F9C">
            <w:pPr>
              <w:pStyle w:val="TableText"/>
            </w:pPr>
            <w:r w:rsidRPr="00E07B1B">
              <w:t>Retrospective cohort</w:t>
            </w:r>
          </w:p>
        </w:tc>
        <w:tc>
          <w:tcPr>
            <w:tcW w:w="1401" w:type="pct"/>
            <w:tcBorders>
              <w:top w:val="single" w:sz="4" w:space="0" w:color="auto"/>
              <w:bottom w:val="nil"/>
            </w:tcBorders>
            <w:shd w:val="clear" w:color="auto" w:fill="F2F2F2" w:themeFill="background1" w:themeFillShade="F2"/>
          </w:tcPr>
          <w:p w:rsidR="0025490C" w:rsidRPr="00E07B1B" w:rsidRDefault="0025490C" w:rsidP="0072363C">
            <w:pPr>
              <w:pStyle w:val="TableText"/>
              <w:ind w:right="142"/>
            </w:pPr>
            <w:r w:rsidRPr="00E07B1B">
              <w:t>ICD coding</w:t>
            </w:r>
          </w:p>
        </w:tc>
        <w:tc>
          <w:tcPr>
            <w:tcW w:w="1593" w:type="pct"/>
            <w:tcBorders>
              <w:top w:val="single" w:sz="4" w:space="0" w:color="auto"/>
              <w:bottom w:val="nil"/>
            </w:tcBorders>
            <w:shd w:val="clear" w:color="auto" w:fill="F2F2F2" w:themeFill="background1" w:themeFillShade="F2"/>
          </w:tcPr>
          <w:p w:rsidR="0025490C" w:rsidRDefault="0025490C" w:rsidP="00E11F9C">
            <w:pPr>
              <w:pStyle w:val="TableText"/>
            </w:pPr>
            <w:r w:rsidRPr="00E07B1B">
              <w:t>Compared with women without previous GDM in first pregnancy, women whose first pregnancy was associated with a diagnosis of GDM had a significantly increased risk of developing GDM in a second pregnancy (adj OR 13.2, 95%CI 12.0</w:t>
            </w:r>
            <w:r>
              <w:t>–</w:t>
            </w:r>
            <w:r w:rsidRPr="00E07B1B">
              <w:t>14.6)</w:t>
            </w:r>
            <w:r>
              <w:t>.</w:t>
            </w:r>
          </w:p>
          <w:p w:rsidR="0025490C" w:rsidRDefault="0025490C" w:rsidP="00E11F9C">
            <w:pPr>
              <w:pStyle w:val="TableText"/>
            </w:pPr>
            <w:r w:rsidRPr="00E07B1B">
              <w:t xml:space="preserve">Compared </w:t>
            </w:r>
            <w:r>
              <w:t>with</w:t>
            </w:r>
            <w:r w:rsidRPr="00E07B1B">
              <w:t xml:space="preserve"> women without GDM in first and second pregnancies, women who had GDM in first but not second pregnancy had an increased risk of developing GDM in their third pregnancy (adj OR 6.3, 95%CI 4.5</w:t>
            </w:r>
            <w:r>
              <w:t>–</w:t>
            </w:r>
            <w:r w:rsidRPr="00E07B1B">
              <w:t>9.0)</w:t>
            </w:r>
            <w:r>
              <w:t>.</w:t>
            </w:r>
          </w:p>
          <w:p w:rsidR="0025490C" w:rsidRPr="00E07B1B" w:rsidRDefault="0025490C" w:rsidP="00E11F9C">
            <w:pPr>
              <w:pStyle w:val="TableText"/>
            </w:pPr>
            <w:r w:rsidRPr="00E07B1B">
              <w:t>For women who had had GDM in both first and second pregnancies</w:t>
            </w:r>
            <w:r>
              <w:t>,</w:t>
            </w:r>
            <w:r w:rsidRPr="00E07B1B">
              <w:t xml:space="preserve"> the risk of GDM in the third pregnancy was adj OR 25.9 (17.4</w:t>
            </w:r>
            <w:r>
              <w:t>–</w:t>
            </w:r>
            <w:r w:rsidRPr="00E07B1B">
              <w:t>38.4).</w:t>
            </w:r>
          </w:p>
        </w:tc>
        <w:tc>
          <w:tcPr>
            <w:tcW w:w="413" w:type="pct"/>
            <w:tcBorders>
              <w:top w:val="single" w:sz="4" w:space="0" w:color="auto"/>
              <w:bottom w:val="nil"/>
            </w:tcBorders>
            <w:shd w:val="clear" w:color="auto" w:fill="F2F2F2" w:themeFill="background1" w:themeFillShade="F2"/>
          </w:tcPr>
          <w:p w:rsidR="0025490C" w:rsidRPr="00E07B1B" w:rsidRDefault="0025490C" w:rsidP="0072363C">
            <w:pPr>
              <w:pStyle w:val="TableText"/>
              <w:jc w:val="center"/>
            </w:pPr>
            <w:r w:rsidRPr="00E07B1B">
              <w:t>HIGH</w:t>
            </w:r>
          </w:p>
        </w:tc>
      </w:tr>
      <w:tr w:rsidR="0025490C" w:rsidRPr="00E07B1B" w:rsidTr="0072363C">
        <w:trPr>
          <w:cantSplit/>
        </w:trPr>
        <w:tc>
          <w:tcPr>
            <w:tcW w:w="531" w:type="pct"/>
            <w:tcBorders>
              <w:top w:val="nil"/>
              <w:bottom w:val="nil"/>
            </w:tcBorders>
            <w:shd w:val="clear" w:color="auto" w:fill="auto"/>
          </w:tcPr>
          <w:p w:rsidR="0025490C" w:rsidRPr="00E07B1B" w:rsidRDefault="0025490C" w:rsidP="00E11F9C">
            <w:pPr>
              <w:pStyle w:val="TableText"/>
            </w:pPr>
            <w:r w:rsidRPr="00E07B1B">
              <w:t>Kwak</w:t>
            </w:r>
            <w:r>
              <w:t xml:space="preserve"> </w:t>
            </w:r>
            <w:r w:rsidRPr="00E07B1B">
              <w:t>(2008)</w:t>
            </w:r>
          </w:p>
        </w:tc>
        <w:tc>
          <w:tcPr>
            <w:tcW w:w="531" w:type="pct"/>
            <w:tcBorders>
              <w:top w:val="nil"/>
              <w:bottom w:val="nil"/>
            </w:tcBorders>
            <w:shd w:val="clear" w:color="auto" w:fill="auto"/>
          </w:tcPr>
          <w:p w:rsidR="0025490C" w:rsidRPr="00E07B1B" w:rsidRDefault="0025490C" w:rsidP="0072363C">
            <w:pPr>
              <w:pStyle w:val="TableText"/>
            </w:pPr>
            <w:r w:rsidRPr="00E07B1B">
              <w:t>Korea</w:t>
            </w:r>
            <w:r w:rsidR="0072363C">
              <w:br/>
            </w:r>
            <w:r w:rsidRPr="00E07B1B">
              <w:t>792</w:t>
            </w:r>
          </w:p>
        </w:tc>
        <w:tc>
          <w:tcPr>
            <w:tcW w:w="531" w:type="pct"/>
            <w:tcBorders>
              <w:top w:val="nil"/>
              <w:bottom w:val="nil"/>
            </w:tcBorders>
            <w:shd w:val="clear" w:color="auto" w:fill="auto"/>
          </w:tcPr>
          <w:p w:rsidR="0025490C" w:rsidRPr="00E07B1B" w:rsidRDefault="0025490C" w:rsidP="00E11F9C">
            <w:pPr>
              <w:pStyle w:val="TableText"/>
            </w:pPr>
            <w:r w:rsidRPr="00E07B1B">
              <w:t>Retrospective cohort</w:t>
            </w:r>
          </w:p>
        </w:tc>
        <w:tc>
          <w:tcPr>
            <w:tcW w:w="1401" w:type="pct"/>
            <w:tcBorders>
              <w:top w:val="nil"/>
              <w:bottom w:val="nil"/>
            </w:tcBorders>
            <w:shd w:val="clear" w:color="auto" w:fill="auto"/>
          </w:tcPr>
          <w:p w:rsidR="0025490C" w:rsidRDefault="0025490C" w:rsidP="0072363C">
            <w:pPr>
              <w:pStyle w:val="TableText"/>
              <w:spacing w:after="30"/>
              <w:ind w:right="142"/>
            </w:pPr>
            <w:r w:rsidRPr="00E07B1B">
              <w:t>50</w:t>
            </w:r>
            <w:r>
              <w:t xml:space="preserve"> </w:t>
            </w:r>
            <w:r w:rsidRPr="00E07B1B">
              <w:t>g, 1</w:t>
            </w:r>
            <w:r>
              <w:t>-</w:t>
            </w:r>
            <w:r w:rsidRPr="00E07B1B">
              <w:t>hour glucose challenge test. Plasma glucose ≥</w:t>
            </w:r>
            <w:r>
              <w:t xml:space="preserve"> </w:t>
            </w:r>
            <w:r w:rsidRPr="00E07B1B">
              <w:t>130</w:t>
            </w:r>
            <w:r>
              <w:t xml:space="preserve"> </w:t>
            </w:r>
            <w:r w:rsidRPr="00E07B1B">
              <w:t>mg</w:t>
            </w:r>
            <w:r>
              <w:t>/dL</w:t>
            </w:r>
            <w:r w:rsidRPr="00E07B1B">
              <w:t xml:space="preserve"> was followed by a diagnostic test using the criteria of the </w:t>
            </w:r>
            <w:r>
              <w:t>Third</w:t>
            </w:r>
            <w:r w:rsidRPr="00E07B1B">
              <w:t xml:space="preserve"> International Workshop–Conference on Gestational Diabetes Mellitus</w:t>
            </w:r>
            <w:r>
              <w:t>:</w:t>
            </w:r>
          </w:p>
          <w:p w:rsidR="0025490C" w:rsidRDefault="0025490C" w:rsidP="0072363C">
            <w:pPr>
              <w:pStyle w:val="TableBullet"/>
              <w:spacing w:after="30"/>
              <w:ind w:left="284" w:right="142"/>
            </w:pPr>
            <w:r w:rsidRPr="00E07B1B">
              <w:t>fasting ≥</w:t>
            </w:r>
            <w:r>
              <w:t xml:space="preserve"> </w:t>
            </w:r>
            <w:r w:rsidRPr="00E07B1B">
              <w:t>105</w:t>
            </w:r>
            <w:r>
              <w:t xml:space="preserve"> </w:t>
            </w:r>
            <w:r w:rsidRPr="00E07B1B">
              <w:t>mg</w:t>
            </w:r>
            <w:r>
              <w:t>/dL</w:t>
            </w:r>
          </w:p>
          <w:p w:rsidR="0025490C" w:rsidRDefault="0025490C" w:rsidP="0072363C">
            <w:pPr>
              <w:pStyle w:val="TableBullet"/>
              <w:spacing w:after="30"/>
              <w:ind w:left="284" w:right="142"/>
            </w:pPr>
            <w:r w:rsidRPr="00E07B1B">
              <w:t>1</w:t>
            </w:r>
            <w:r>
              <w:t>-</w:t>
            </w:r>
            <w:r w:rsidRPr="00E07B1B">
              <w:t>hour ≥</w:t>
            </w:r>
            <w:r>
              <w:t xml:space="preserve"> </w:t>
            </w:r>
            <w:r w:rsidRPr="00E07B1B">
              <w:t>190</w:t>
            </w:r>
            <w:r>
              <w:t xml:space="preserve"> </w:t>
            </w:r>
            <w:r w:rsidRPr="00E07B1B">
              <w:t>mg</w:t>
            </w:r>
            <w:r>
              <w:t>/dL</w:t>
            </w:r>
          </w:p>
          <w:p w:rsidR="0025490C" w:rsidRDefault="0025490C" w:rsidP="0072363C">
            <w:pPr>
              <w:pStyle w:val="TableBullet"/>
              <w:spacing w:after="30"/>
              <w:ind w:left="284" w:right="142"/>
            </w:pPr>
            <w:r w:rsidRPr="00E07B1B">
              <w:t>2</w:t>
            </w:r>
            <w:r>
              <w:t>-</w:t>
            </w:r>
            <w:r w:rsidRPr="00E07B1B">
              <w:t>hour ≥</w:t>
            </w:r>
            <w:r>
              <w:t xml:space="preserve"> </w:t>
            </w:r>
            <w:r w:rsidRPr="00E07B1B">
              <w:t>165</w:t>
            </w:r>
            <w:r>
              <w:t xml:space="preserve"> </w:t>
            </w:r>
            <w:r w:rsidRPr="00E07B1B">
              <w:t>mg</w:t>
            </w:r>
            <w:r>
              <w:t>/dL</w:t>
            </w:r>
          </w:p>
          <w:p w:rsidR="0025490C" w:rsidRDefault="0025490C" w:rsidP="0072363C">
            <w:pPr>
              <w:pStyle w:val="TableBullet"/>
              <w:ind w:left="284" w:right="142"/>
            </w:pPr>
            <w:r w:rsidRPr="00E07B1B">
              <w:t>3</w:t>
            </w:r>
            <w:r>
              <w:t>-</w:t>
            </w:r>
            <w:r w:rsidRPr="00E07B1B">
              <w:t>hour ≥</w:t>
            </w:r>
            <w:r>
              <w:t xml:space="preserve"> </w:t>
            </w:r>
            <w:r w:rsidRPr="00E07B1B">
              <w:t>145</w:t>
            </w:r>
            <w:r>
              <w:t xml:space="preserve"> </w:t>
            </w:r>
            <w:r w:rsidRPr="00E07B1B">
              <w:t>mg</w:t>
            </w:r>
            <w:r>
              <w:t>/dL.</w:t>
            </w:r>
          </w:p>
          <w:p w:rsidR="0025490C" w:rsidRPr="00E07B1B" w:rsidRDefault="0025490C" w:rsidP="0072363C">
            <w:pPr>
              <w:pStyle w:val="TableText"/>
              <w:ind w:right="142"/>
            </w:pPr>
            <w:r w:rsidRPr="00E07B1B">
              <w:t>All women with GDM had a 75</w:t>
            </w:r>
            <w:r>
              <w:t xml:space="preserve"> </w:t>
            </w:r>
            <w:r w:rsidRPr="00E07B1B">
              <w:t>g, 2</w:t>
            </w:r>
            <w:r>
              <w:t>-</w:t>
            </w:r>
            <w:r w:rsidRPr="00E07B1B">
              <w:t xml:space="preserve">hour OGTT at </w:t>
            </w:r>
            <w:r>
              <w:t>two</w:t>
            </w:r>
            <w:r w:rsidRPr="00E07B1B">
              <w:t xml:space="preserve"> months postpartum.</w:t>
            </w:r>
          </w:p>
        </w:tc>
        <w:tc>
          <w:tcPr>
            <w:tcW w:w="1593" w:type="pct"/>
            <w:tcBorders>
              <w:top w:val="nil"/>
              <w:bottom w:val="nil"/>
            </w:tcBorders>
            <w:shd w:val="clear" w:color="auto" w:fill="auto"/>
          </w:tcPr>
          <w:p w:rsidR="0025490C" w:rsidRPr="00E07B1B" w:rsidRDefault="0025490C" w:rsidP="0072363C">
            <w:pPr>
              <w:pStyle w:val="TableText"/>
            </w:pPr>
            <w:r w:rsidRPr="00E07B1B">
              <w:t>RR 2.31 (95%CI 1.24</w:t>
            </w:r>
            <w:r w:rsidR="0072363C">
              <w:t>–</w:t>
            </w:r>
            <w:r w:rsidRPr="00E07B1B">
              <w:t>4.30) for recurrence of GDM if postpartum screening test was abnormal</w:t>
            </w:r>
            <w:r>
              <w:t xml:space="preserve"> </w:t>
            </w:r>
            <w:r w:rsidRPr="00E07B1B">
              <w:t xml:space="preserve">compared </w:t>
            </w:r>
            <w:r>
              <w:t>with</w:t>
            </w:r>
            <w:r w:rsidRPr="00E07B1B">
              <w:t xml:space="preserve"> normal test</w:t>
            </w:r>
          </w:p>
        </w:tc>
        <w:tc>
          <w:tcPr>
            <w:tcW w:w="413" w:type="pct"/>
            <w:tcBorders>
              <w:top w:val="nil"/>
              <w:bottom w:val="nil"/>
            </w:tcBorders>
            <w:shd w:val="clear" w:color="auto" w:fill="auto"/>
          </w:tcPr>
          <w:p w:rsidR="0025490C" w:rsidRPr="00E07B1B" w:rsidRDefault="0025490C" w:rsidP="0072363C">
            <w:pPr>
              <w:pStyle w:val="TableText"/>
              <w:jc w:val="center"/>
            </w:pPr>
            <w:r w:rsidRPr="00E07B1B">
              <w:t>LOW</w:t>
            </w:r>
          </w:p>
        </w:tc>
      </w:tr>
      <w:tr w:rsidR="0025490C" w:rsidRPr="00E07B1B" w:rsidTr="0072363C">
        <w:trPr>
          <w:cantSplit/>
        </w:trPr>
        <w:tc>
          <w:tcPr>
            <w:tcW w:w="531" w:type="pct"/>
            <w:tcBorders>
              <w:top w:val="nil"/>
              <w:bottom w:val="nil"/>
            </w:tcBorders>
            <w:shd w:val="clear" w:color="auto" w:fill="F2F2F2" w:themeFill="background1" w:themeFillShade="F2"/>
          </w:tcPr>
          <w:p w:rsidR="0025490C" w:rsidRPr="00E07B1B" w:rsidRDefault="0025490C" w:rsidP="0072363C">
            <w:pPr>
              <w:pStyle w:val="TableText"/>
            </w:pPr>
            <w:r w:rsidRPr="00E07B1B">
              <w:t>Radesky</w:t>
            </w:r>
            <w:r w:rsidR="0072363C">
              <w:br/>
            </w:r>
            <w:r w:rsidRPr="00E07B1B">
              <w:t>(2008)</w:t>
            </w:r>
          </w:p>
        </w:tc>
        <w:tc>
          <w:tcPr>
            <w:tcW w:w="531" w:type="pct"/>
            <w:tcBorders>
              <w:top w:val="nil"/>
              <w:bottom w:val="nil"/>
            </w:tcBorders>
            <w:shd w:val="clear" w:color="auto" w:fill="F2F2F2" w:themeFill="background1" w:themeFillShade="F2"/>
          </w:tcPr>
          <w:p w:rsidR="0025490C" w:rsidRPr="00E07B1B" w:rsidRDefault="0025490C" w:rsidP="0072363C">
            <w:pPr>
              <w:pStyle w:val="TableText"/>
            </w:pPr>
            <w:r w:rsidRPr="00E07B1B">
              <w:t>USA</w:t>
            </w:r>
            <w:r w:rsidR="0072363C">
              <w:br/>
            </w:r>
            <w:r w:rsidRPr="00E07B1B">
              <w:t>1733</w:t>
            </w:r>
          </w:p>
        </w:tc>
        <w:tc>
          <w:tcPr>
            <w:tcW w:w="531" w:type="pct"/>
            <w:tcBorders>
              <w:top w:val="nil"/>
              <w:bottom w:val="nil"/>
            </w:tcBorders>
            <w:shd w:val="clear" w:color="auto" w:fill="F2F2F2" w:themeFill="background1" w:themeFillShade="F2"/>
          </w:tcPr>
          <w:p w:rsidR="0025490C" w:rsidRPr="00E07B1B" w:rsidRDefault="0025490C" w:rsidP="00E11F9C">
            <w:pPr>
              <w:pStyle w:val="TableText"/>
            </w:pPr>
            <w:r w:rsidRPr="00E07B1B">
              <w:t>Prospective cohort</w:t>
            </w:r>
          </w:p>
        </w:tc>
        <w:tc>
          <w:tcPr>
            <w:tcW w:w="1401" w:type="pct"/>
            <w:tcBorders>
              <w:top w:val="nil"/>
              <w:bottom w:val="nil"/>
            </w:tcBorders>
            <w:shd w:val="clear" w:color="auto" w:fill="F2F2F2" w:themeFill="background1" w:themeFillShade="F2"/>
          </w:tcPr>
          <w:p w:rsidR="0025490C" w:rsidRDefault="0025490C" w:rsidP="0072363C">
            <w:pPr>
              <w:pStyle w:val="TableText"/>
              <w:ind w:right="142"/>
            </w:pPr>
            <w:r w:rsidRPr="00E07B1B">
              <w:t>50</w:t>
            </w:r>
            <w:r>
              <w:t xml:space="preserve"> </w:t>
            </w:r>
            <w:r w:rsidRPr="00E07B1B">
              <w:t>g OGCT</w:t>
            </w:r>
          </w:p>
          <w:p w:rsidR="0025490C" w:rsidRPr="00E07B1B" w:rsidRDefault="0025490C" w:rsidP="0072363C">
            <w:pPr>
              <w:pStyle w:val="TableText"/>
              <w:spacing w:after="30"/>
              <w:ind w:right="142"/>
            </w:pPr>
            <w:r w:rsidRPr="00E07B1B">
              <w:t>If ≥</w:t>
            </w:r>
            <w:r>
              <w:t xml:space="preserve"> </w:t>
            </w:r>
            <w:r w:rsidRPr="00E07B1B">
              <w:t>140</w:t>
            </w:r>
            <w:r>
              <w:t xml:space="preserve"> </w:t>
            </w:r>
            <w:r w:rsidRPr="00E07B1B">
              <w:t>mg</w:t>
            </w:r>
            <w:r>
              <w:t>/dL,</w:t>
            </w:r>
            <w:r w:rsidRPr="00E07B1B">
              <w:t xml:space="preserve"> then 100</w:t>
            </w:r>
            <w:r>
              <w:t> </w:t>
            </w:r>
            <w:r w:rsidRPr="00E07B1B">
              <w:t>g, 3</w:t>
            </w:r>
            <w:r>
              <w:noBreakHyphen/>
            </w:r>
            <w:r w:rsidRPr="00E07B1B">
              <w:t>hour OGTT</w:t>
            </w:r>
            <w:r>
              <w:t>:</w:t>
            </w:r>
          </w:p>
          <w:p w:rsidR="0025490C" w:rsidRPr="00E07B1B" w:rsidRDefault="0025490C" w:rsidP="0072363C">
            <w:pPr>
              <w:pStyle w:val="TableBullet"/>
              <w:spacing w:after="30"/>
              <w:ind w:left="284" w:right="142"/>
            </w:pPr>
            <w:r>
              <w:t>f</w:t>
            </w:r>
            <w:r w:rsidRPr="00E07B1B">
              <w:t>asting &gt;</w:t>
            </w:r>
            <w:r>
              <w:t xml:space="preserve"> </w:t>
            </w:r>
            <w:r w:rsidRPr="00E07B1B">
              <w:t>155</w:t>
            </w:r>
            <w:r>
              <w:t xml:space="preserve"> </w:t>
            </w:r>
            <w:r w:rsidRPr="00E07B1B">
              <w:t>mg</w:t>
            </w:r>
            <w:r>
              <w:t>/dL</w:t>
            </w:r>
          </w:p>
          <w:p w:rsidR="0025490C" w:rsidRPr="00E07B1B" w:rsidRDefault="0025490C" w:rsidP="0072363C">
            <w:pPr>
              <w:pStyle w:val="TableBullet"/>
              <w:spacing w:after="30"/>
              <w:ind w:left="284" w:right="142"/>
            </w:pPr>
            <w:r w:rsidRPr="00E07B1B">
              <w:t>1</w:t>
            </w:r>
            <w:r>
              <w:t>-</w:t>
            </w:r>
            <w:r w:rsidRPr="00E07B1B">
              <w:t>hour &gt;180</w:t>
            </w:r>
            <w:r>
              <w:t xml:space="preserve"> </w:t>
            </w:r>
            <w:r w:rsidRPr="00E07B1B">
              <w:t>mg</w:t>
            </w:r>
            <w:r>
              <w:t>/dL</w:t>
            </w:r>
          </w:p>
          <w:p w:rsidR="0025490C" w:rsidRPr="00E07B1B" w:rsidRDefault="0025490C" w:rsidP="0072363C">
            <w:pPr>
              <w:pStyle w:val="TableBullet"/>
              <w:spacing w:after="30"/>
              <w:ind w:left="284" w:right="142"/>
            </w:pPr>
            <w:r w:rsidRPr="00E07B1B">
              <w:t>2</w:t>
            </w:r>
            <w:r>
              <w:t>-</w:t>
            </w:r>
            <w:r w:rsidRPr="00E07B1B">
              <w:t>hour &gt; 155</w:t>
            </w:r>
            <w:r>
              <w:t xml:space="preserve"> </w:t>
            </w:r>
            <w:r w:rsidRPr="00E07B1B">
              <w:t>mg</w:t>
            </w:r>
            <w:r>
              <w:t>/dL</w:t>
            </w:r>
          </w:p>
          <w:p w:rsidR="0025490C" w:rsidRPr="00E07B1B" w:rsidRDefault="0025490C" w:rsidP="0072363C">
            <w:pPr>
              <w:pStyle w:val="TableBullet"/>
              <w:ind w:left="284" w:right="142"/>
            </w:pPr>
            <w:r w:rsidRPr="00E07B1B">
              <w:t>3</w:t>
            </w:r>
            <w:r>
              <w:t>-</w:t>
            </w:r>
            <w:r w:rsidRPr="00E07B1B">
              <w:t>hour &gt;</w:t>
            </w:r>
            <w:r>
              <w:t xml:space="preserve"> </w:t>
            </w:r>
            <w:r w:rsidRPr="00E07B1B">
              <w:t>140</w:t>
            </w:r>
            <w:r>
              <w:t xml:space="preserve"> </w:t>
            </w:r>
            <w:r w:rsidRPr="00E07B1B">
              <w:t>mg</w:t>
            </w:r>
            <w:r>
              <w:t>/dL</w:t>
            </w:r>
            <w:r w:rsidRPr="00E07B1B">
              <w:t>.</w:t>
            </w:r>
          </w:p>
        </w:tc>
        <w:tc>
          <w:tcPr>
            <w:tcW w:w="1593" w:type="pct"/>
            <w:tcBorders>
              <w:top w:val="nil"/>
              <w:bottom w:val="nil"/>
            </w:tcBorders>
            <w:shd w:val="clear" w:color="auto" w:fill="F2F2F2" w:themeFill="background1" w:themeFillShade="F2"/>
          </w:tcPr>
          <w:p w:rsidR="0025490C" w:rsidRDefault="0025490C" w:rsidP="00E11F9C">
            <w:pPr>
              <w:pStyle w:val="TableText"/>
            </w:pPr>
            <w:r w:rsidRPr="00E07B1B">
              <w:t xml:space="preserve">Impaired </w:t>
            </w:r>
            <w:r>
              <w:t>g</w:t>
            </w:r>
            <w:r w:rsidRPr="00E07B1B">
              <w:t xml:space="preserve">lucose </w:t>
            </w:r>
            <w:r>
              <w:t>t</w:t>
            </w:r>
            <w:r w:rsidRPr="00E07B1B">
              <w:t>olerance (OR 4.33, 95%CI</w:t>
            </w:r>
            <w:r w:rsidR="0072363C">
              <w:br/>
            </w:r>
            <w:r w:rsidRPr="00E07B1B">
              <w:t>1.17</w:t>
            </w:r>
            <w:r>
              <w:t>–</w:t>
            </w:r>
            <w:r w:rsidRPr="00E07B1B">
              <w:t>16.0)</w:t>
            </w:r>
          </w:p>
          <w:p w:rsidR="0025490C" w:rsidRPr="00E07B1B" w:rsidRDefault="0025490C" w:rsidP="00E11F9C">
            <w:pPr>
              <w:pStyle w:val="TableText"/>
            </w:pPr>
            <w:r w:rsidRPr="00E07B1B">
              <w:t>GDM (OR 58.3, 95%CI 21.1</w:t>
            </w:r>
            <w:r>
              <w:t>–</w:t>
            </w:r>
            <w:r w:rsidRPr="00E07B1B">
              <w:t>161)</w:t>
            </w:r>
          </w:p>
        </w:tc>
        <w:tc>
          <w:tcPr>
            <w:tcW w:w="413" w:type="pct"/>
            <w:tcBorders>
              <w:top w:val="nil"/>
              <w:bottom w:val="nil"/>
            </w:tcBorders>
            <w:shd w:val="clear" w:color="auto" w:fill="F2F2F2" w:themeFill="background1" w:themeFillShade="F2"/>
          </w:tcPr>
          <w:p w:rsidR="0025490C" w:rsidRPr="00E07B1B" w:rsidRDefault="0025490C" w:rsidP="0072363C">
            <w:pPr>
              <w:pStyle w:val="TableText"/>
              <w:jc w:val="center"/>
            </w:pPr>
            <w:r w:rsidRPr="00E07B1B">
              <w:t>MEDIUM</w:t>
            </w:r>
          </w:p>
        </w:tc>
      </w:tr>
      <w:tr w:rsidR="0025490C" w:rsidRPr="00E07B1B" w:rsidTr="0072363C">
        <w:trPr>
          <w:cantSplit/>
        </w:trPr>
        <w:tc>
          <w:tcPr>
            <w:tcW w:w="531" w:type="pct"/>
            <w:tcBorders>
              <w:top w:val="nil"/>
              <w:bottom w:val="nil"/>
            </w:tcBorders>
            <w:shd w:val="clear" w:color="auto" w:fill="auto"/>
          </w:tcPr>
          <w:p w:rsidR="0025490C" w:rsidRPr="00E07B1B" w:rsidRDefault="0072363C" w:rsidP="0072363C">
            <w:pPr>
              <w:pStyle w:val="TableText"/>
            </w:pPr>
            <w:r>
              <w:t>The</w:t>
            </w:r>
            <w:r>
              <w:br/>
              <w:t>(2011)</w:t>
            </w:r>
          </w:p>
        </w:tc>
        <w:tc>
          <w:tcPr>
            <w:tcW w:w="531" w:type="pct"/>
            <w:tcBorders>
              <w:top w:val="nil"/>
              <w:bottom w:val="nil"/>
            </w:tcBorders>
            <w:shd w:val="clear" w:color="auto" w:fill="auto"/>
          </w:tcPr>
          <w:p w:rsidR="0025490C" w:rsidRPr="00E07B1B" w:rsidRDefault="0025490C" w:rsidP="0072363C">
            <w:pPr>
              <w:pStyle w:val="TableText"/>
            </w:pPr>
            <w:r w:rsidRPr="00E07B1B">
              <w:t>Australia</w:t>
            </w:r>
            <w:r w:rsidR="0072363C">
              <w:br/>
            </w:r>
            <w:r w:rsidRPr="00E07B1B">
              <w:t>2880</w:t>
            </w:r>
          </w:p>
        </w:tc>
        <w:tc>
          <w:tcPr>
            <w:tcW w:w="531" w:type="pct"/>
            <w:tcBorders>
              <w:top w:val="nil"/>
              <w:bottom w:val="nil"/>
            </w:tcBorders>
            <w:shd w:val="clear" w:color="auto" w:fill="auto"/>
          </w:tcPr>
          <w:p w:rsidR="0025490C" w:rsidRPr="00E07B1B" w:rsidRDefault="0025490C" w:rsidP="00E11F9C">
            <w:pPr>
              <w:pStyle w:val="TableText"/>
            </w:pPr>
            <w:r w:rsidRPr="00E07B1B">
              <w:t>Retrospective cohort</w:t>
            </w:r>
          </w:p>
        </w:tc>
        <w:tc>
          <w:tcPr>
            <w:tcW w:w="1401" w:type="pct"/>
            <w:tcBorders>
              <w:top w:val="nil"/>
              <w:bottom w:val="nil"/>
            </w:tcBorders>
            <w:shd w:val="clear" w:color="auto" w:fill="auto"/>
          </w:tcPr>
          <w:p w:rsidR="0025490C" w:rsidRPr="0072363C" w:rsidRDefault="0025490C" w:rsidP="0072363C">
            <w:pPr>
              <w:pStyle w:val="TableText"/>
              <w:spacing w:after="30"/>
              <w:ind w:right="142"/>
              <w:rPr>
                <w:spacing w:val="-2"/>
              </w:rPr>
            </w:pPr>
            <w:r w:rsidRPr="0072363C">
              <w:rPr>
                <w:spacing w:val="-2"/>
              </w:rPr>
              <w:t>Women screened with non-fasting 75 g glucose challenge test at 26–28 weeks</w:t>
            </w:r>
            <w:r w:rsidR="0068074A" w:rsidRPr="0072363C">
              <w:rPr>
                <w:spacing w:val="-2"/>
              </w:rPr>
              <w:t>’</w:t>
            </w:r>
            <w:r w:rsidRPr="0072363C">
              <w:rPr>
                <w:spacing w:val="-2"/>
              </w:rPr>
              <w:t xml:space="preserve"> gestation. Positive result (1-hour venous plasma glucose ≥ 8.0 mmol/L) proceeded to a 2-hour, 75 g OGTT. Diagnosis based on:</w:t>
            </w:r>
          </w:p>
          <w:p w:rsidR="0068074A" w:rsidRDefault="0025490C" w:rsidP="0072363C">
            <w:pPr>
              <w:pStyle w:val="TableBullet"/>
              <w:spacing w:after="30"/>
              <w:ind w:left="284"/>
            </w:pPr>
            <w:r w:rsidRPr="00E07B1B">
              <w:t>fasting venous plasma glucose level ≥</w:t>
            </w:r>
            <w:r w:rsidR="0072363C">
              <w:t> </w:t>
            </w:r>
            <w:r w:rsidRPr="00E07B1B">
              <w:t>5.5</w:t>
            </w:r>
            <w:r w:rsidR="0072363C">
              <w:t> </w:t>
            </w:r>
            <w:r w:rsidRPr="00E07B1B">
              <w:t>mmol</w:t>
            </w:r>
            <w:r>
              <w:t>/L</w:t>
            </w:r>
            <w:r w:rsidRPr="00E07B1B">
              <w:t xml:space="preserve"> or</w:t>
            </w:r>
          </w:p>
          <w:p w:rsidR="0025490C" w:rsidRPr="00E07B1B" w:rsidRDefault="0025490C" w:rsidP="0072363C">
            <w:pPr>
              <w:pStyle w:val="TableBullet"/>
              <w:ind w:left="284"/>
            </w:pPr>
            <w:r w:rsidRPr="00E07B1B">
              <w:t>a 2</w:t>
            </w:r>
            <w:r>
              <w:t>-hour</w:t>
            </w:r>
            <w:r w:rsidRPr="00E07B1B">
              <w:t xml:space="preserve"> level of ≥</w:t>
            </w:r>
            <w:r>
              <w:t xml:space="preserve"> </w:t>
            </w:r>
            <w:r w:rsidRPr="00E07B1B">
              <w:t>8.0</w:t>
            </w:r>
            <w:r>
              <w:t xml:space="preserve"> </w:t>
            </w:r>
            <w:r w:rsidRPr="00E07B1B">
              <w:t>mmol</w:t>
            </w:r>
            <w:r>
              <w:t>/L.</w:t>
            </w:r>
          </w:p>
        </w:tc>
        <w:tc>
          <w:tcPr>
            <w:tcW w:w="1593" w:type="pct"/>
            <w:tcBorders>
              <w:top w:val="nil"/>
              <w:bottom w:val="nil"/>
            </w:tcBorders>
            <w:shd w:val="clear" w:color="auto" w:fill="auto"/>
          </w:tcPr>
          <w:p w:rsidR="0025490C" w:rsidRPr="00E07B1B" w:rsidRDefault="0025490C" w:rsidP="00E11F9C">
            <w:pPr>
              <w:pStyle w:val="TableText"/>
            </w:pPr>
            <w:r w:rsidRPr="00E07B1B">
              <w:t>OR 10.7 (95%CI 5.4</w:t>
            </w:r>
            <w:r>
              <w:t>–</w:t>
            </w:r>
            <w:r w:rsidRPr="00E07B1B">
              <w:t xml:space="preserve">21.1, </w:t>
            </w:r>
            <w:r w:rsidRPr="00BD5DEC">
              <w:rPr>
                <w:i/>
              </w:rPr>
              <w:t>p</w:t>
            </w:r>
            <w:r>
              <w:t xml:space="preserve"> </w:t>
            </w:r>
            <w:r w:rsidRPr="00E07B1B">
              <w:t>&lt; 0.001)</w:t>
            </w:r>
          </w:p>
        </w:tc>
        <w:tc>
          <w:tcPr>
            <w:tcW w:w="413" w:type="pct"/>
            <w:tcBorders>
              <w:top w:val="nil"/>
              <w:bottom w:val="nil"/>
            </w:tcBorders>
            <w:shd w:val="clear" w:color="auto" w:fill="auto"/>
          </w:tcPr>
          <w:p w:rsidR="0025490C" w:rsidRPr="00E07B1B" w:rsidRDefault="0025490C" w:rsidP="0072363C">
            <w:pPr>
              <w:pStyle w:val="TableText"/>
              <w:jc w:val="center"/>
            </w:pPr>
            <w:r w:rsidRPr="00E07B1B">
              <w:t>MEDIUM</w:t>
            </w:r>
          </w:p>
        </w:tc>
      </w:tr>
      <w:tr w:rsidR="0025490C" w:rsidRPr="00E07B1B" w:rsidTr="0072363C">
        <w:trPr>
          <w:cantSplit/>
        </w:trPr>
        <w:tc>
          <w:tcPr>
            <w:tcW w:w="531" w:type="pct"/>
            <w:tcBorders>
              <w:top w:val="nil"/>
              <w:bottom w:val="nil"/>
            </w:tcBorders>
            <w:shd w:val="clear" w:color="auto" w:fill="F2F2F2" w:themeFill="background1" w:themeFillShade="F2"/>
          </w:tcPr>
          <w:p w:rsidR="0025490C" w:rsidRPr="00E07B1B" w:rsidRDefault="0025490C" w:rsidP="0072363C">
            <w:pPr>
              <w:pStyle w:val="TableText"/>
            </w:pPr>
            <w:r w:rsidRPr="00E07B1B">
              <w:t>Aljohani</w:t>
            </w:r>
            <w:r w:rsidR="0072363C">
              <w:br/>
            </w:r>
            <w:r w:rsidRPr="00E07B1B">
              <w:t>(2008)</w:t>
            </w:r>
          </w:p>
        </w:tc>
        <w:tc>
          <w:tcPr>
            <w:tcW w:w="531" w:type="pct"/>
            <w:tcBorders>
              <w:top w:val="nil"/>
              <w:bottom w:val="nil"/>
            </w:tcBorders>
            <w:shd w:val="clear" w:color="auto" w:fill="F2F2F2" w:themeFill="background1" w:themeFillShade="F2"/>
          </w:tcPr>
          <w:p w:rsidR="0025490C" w:rsidRPr="00E07B1B" w:rsidRDefault="0025490C" w:rsidP="0072363C">
            <w:pPr>
              <w:pStyle w:val="TableText"/>
            </w:pPr>
            <w:r w:rsidRPr="00E07B1B">
              <w:t>Canada</w:t>
            </w:r>
            <w:r w:rsidR="0072363C">
              <w:br/>
            </w:r>
            <w:r w:rsidRPr="00E07B1B">
              <w:t>165,969</w:t>
            </w:r>
          </w:p>
        </w:tc>
        <w:tc>
          <w:tcPr>
            <w:tcW w:w="531" w:type="pct"/>
            <w:tcBorders>
              <w:top w:val="nil"/>
              <w:bottom w:val="nil"/>
            </w:tcBorders>
            <w:shd w:val="clear" w:color="auto" w:fill="F2F2F2" w:themeFill="background1" w:themeFillShade="F2"/>
          </w:tcPr>
          <w:p w:rsidR="0025490C" w:rsidRPr="00E07B1B" w:rsidRDefault="0025490C" w:rsidP="00E11F9C">
            <w:pPr>
              <w:pStyle w:val="TableText"/>
            </w:pPr>
            <w:r w:rsidRPr="00E07B1B">
              <w:t>Retrospective cohort</w:t>
            </w:r>
          </w:p>
        </w:tc>
        <w:tc>
          <w:tcPr>
            <w:tcW w:w="1401" w:type="pct"/>
            <w:tcBorders>
              <w:top w:val="nil"/>
              <w:bottom w:val="nil"/>
            </w:tcBorders>
            <w:shd w:val="clear" w:color="auto" w:fill="F2F2F2" w:themeFill="background1" w:themeFillShade="F2"/>
          </w:tcPr>
          <w:p w:rsidR="0025490C" w:rsidRPr="00E07B1B" w:rsidRDefault="0025490C" w:rsidP="0072363C">
            <w:pPr>
              <w:pStyle w:val="TableText"/>
              <w:ind w:right="142"/>
            </w:pPr>
            <w:r w:rsidRPr="0072363C">
              <w:rPr>
                <w:b/>
              </w:rPr>
              <w:t>From 1992</w:t>
            </w:r>
            <w:r w:rsidRPr="00E07B1B">
              <w:t xml:space="preserve"> 50</w:t>
            </w:r>
            <w:r>
              <w:t xml:space="preserve"> </w:t>
            </w:r>
            <w:r w:rsidRPr="00E07B1B">
              <w:t>g OGTT</w:t>
            </w:r>
          </w:p>
          <w:p w:rsidR="0025490C" w:rsidRPr="00E07B1B" w:rsidRDefault="0025490C" w:rsidP="0072363C">
            <w:pPr>
              <w:pStyle w:val="TableText"/>
              <w:spacing w:after="30"/>
              <w:ind w:right="142"/>
            </w:pPr>
            <w:r w:rsidRPr="00E07B1B">
              <w:t>If ≥</w:t>
            </w:r>
            <w:r w:rsidR="0072363C">
              <w:t> </w:t>
            </w:r>
            <w:r w:rsidRPr="00E07B1B">
              <w:t>7.8</w:t>
            </w:r>
            <w:r w:rsidR="0072363C">
              <w:t> </w:t>
            </w:r>
            <w:r w:rsidRPr="00E07B1B">
              <w:t>mmol/L then 100g, 3 hour OGTT with 2 or more abnormal results from</w:t>
            </w:r>
            <w:r>
              <w:t>:</w:t>
            </w:r>
          </w:p>
          <w:p w:rsidR="0025490C" w:rsidRPr="00E07B1B" w:rsidRDefault="0025490C" w:rsidP="0072363C">
            <w:pPr>
              <w:pStyle w:val="TableBullet"/>
              <w:spacing w:after="30"/>
              <w:ind w:left="284"/>
            </w:pPr>
            <w:r>
              <w:t>f</w:t>
            </w:r>
            <w:r w:rsidRPr="00E07B1B">
              <w:t>asting ≥ 5.8</w:t>
            </w:r>
            <w:r>
              <w:t xml:space="preserve"> </w:t>
            </w:r>
            <w:r w:rsidRPr="00E07B1B">
              <w:t>mmol/L</w:t>
            </w:r>
          </w:p>
          <w:p w:rsidR="0025490C" w:rsidRPr="00E07B1B" w:rsidRDefault="0025490C" w:rsidP="0072363C">
            <w:pPr>
              <w:pStyle w:val="TableBullet"/>
              <w:spacing w:after="30"/>
              <w:ind w:left="284"/>
            </w:pPr>
            <w:r w:rsidRPr="00E07B1B">
              <w:t>1</w:t>
            </w:r>
            <w:r>
              <w:t>-hour</w:t>
            </w:r>
            <w:r w:rsidRPr="00E07B1B">
              <w:t xml:space="preserve"> ≥</w:t>
            </w:r>
            <w:r>
              <w:t xml:space="preserve"> </w:t>
            </w:r>
            <w:r w:rsidRPr="00E07B1B">
              <w:t>10.6</w:t>
            </w:r>
            <w:r>
              <w:t xml:space="preserve"> </w:t>
            </w:r>
            <w:r w:rsidRPr="00E07B1B">
              <w:t>mmol/L</w:t>
            </w:r>
          </w:p>
          <w:p w:rsidR="0025490C" w:rsidRPr="00E07B1B" w:rsidRDefault="0025490C" w:rsidP="0072363C">
            <w:pPr>
              <w:pStyle w:val="TableBullet"/>
              <w:spacing w:after="30"/>
              <w:ind w:left="284"/>
            </w:pPr>
            <w:r w:rsidRPr="00E07B1B">
              <w:t>2</w:t>
            </w:r>
            <w:r>
              <w:t>-hour</w:t>
            </w:r>
            <w:r w:rsidRPr="00E07B1B">
              <w:t xml:space="preserve"> ≥</w:t>
            </w:r>
            <w:r>
              <w:t xml:space="preserve"> </w:t>
            </w:r>
            <w:r w:rsidRPr="00E07B1B">
              <w:t>9.2</w:t>
            </w:r>
            <w:r>
              <w:t xml:space="preserve"> </w:t>
            </w:r>
            <w:r w:rsidRPr="00E07B1B">
              <w:t>mmol/L</w:t>
            </w:r>
          </w:p>
          <w:p w:rsidR="0025490C" w:rsidRDefault="0025490C" w:rsidP="0072363C">
            <w:pPr>
              <w:pStyle w:val="TableBullet"/>
              <w:ind w:left="284"/>
            </w:pPr>
            <w:r w:rsidRPr="00E07B1B">
              <w:t>3</w:t>
            </w:r>
            <w:r>
              <w:t>-hour</w:t>
            </w:r>
            <w:r w:rsidRPr="00E07B1B">
              <w:t xml:space="preserve"> ≥</w:t>
            </w:r>
            <w:r>
              <w:t xml:space="preserve"> </w:t>
            </w:r>
            <w:r w:rsidRPr="00E07B1B">
              <w:t>8.1</w:t>
            </w:r>
            <w:r>
              <w:t xml:space="preserve"> </w:t>
            </w:r>
            <w:r w:rsidRPr="00E07B1B">
              <w:t>mmol/L.</w:t>
            </w:r>
          </w:p>
          <w:p w:rsidR="0025490C" w:rsidRPr="00E07B1B" w:rsidRDefault="0025490C" w:rsidP="0072363C">
            <w:pPr>
              <w:pStyle w:val="TableText"/>
              <w:ind w:right="142"/>
            </w:pPr>
            <w:r w:rsidRPr="0072363C">
              <w:rPr>
                <w:b/>
              </w:rPr>
              <w:t>From 1998</w:t>
            </w:r>
            <w:r w:rsidRPr="00E07B1B">
              <w:t xml:space="preserve"> 50</w:t>
            </w:r>
            <w:r>
              <w:t xml:space="preserve"> </w:t>
            </w:r>
            <w:r w:rsidRPr="00E07B1B">
              <w:t xml:space="preserve">g </w:t>
            </w:r>
            <w:r>
              <w:t>O</w:t>
            </w:r>
            <w:r w:rsidRPr="00E07B1B">
              <w:t>GTT</w:t>
            </w:r>
          </w:p>
          <w:p w:rsidR="0025490C" w:rsidRPr="00E07B1B" w:rsidRDefault="0025490C" w:rsidP="0072363C">
            <w:pPr>
              <w:pStyle w:val="TableText"/>
              <w:spacing w:after="30"/>
              <w:ind w:right="142"/>
            </w:pPr>
            <w:r w:rsidRPr="00E07B1B">
              <w:t>If ≥7.8 but &lt; 10.2 mmol/L</w:t>
            </w:r>
            <w:r>
              <w:t>,</w:t>
            </w:r>
            <w:r w:rsidRPr="00E07B1B">
              <w:t xml:space="preserve"> then a 75</w:t>
            </w:r>
            <w:r>
              <w:t xml:space="preserve"> </w:t>
            </w:r>
            <w:r w:rsidRPr="00E07B1B">
              <w:t>g</w:t>
            </w:r>
            <w:r>
              <w:t>,</w:t>
            </w:r>
            <w:r w:rsidRPr="00E07B1B">
              <w:t xml:space="preserve"> 2</w:t>
            </w:r>
            <w:r w:rsidR="0072363C">
              <w:noBreakHyphen/>
            </w:r>
            <w:r w:rsidRPr="00E07B1B">
              <w:t xml:space="preserve">hour OGTT with </w:t>
            </w:r>
            <w:r>
              <w:t>two</w:t>
            </w:r>
            <w:r w:rsidRPr="00E07B1B">
              <w:t xml:space="preserve"> or more abnormal results </w:t>
            </w:r>
            <w:r>
              <w:t>required from:</w:t>
            </w:r>
          </w:p>
          <w:p w:rsidR="0025490C" w:rsidRPr="00E07B1B" w:rsidRDefault="0025490C" w:rsidP="0072363C">
            <w:pPr>
              <w:pStyle w:val="TableBullet"/>
              <w:spacing w:after="30"/>
              <w:ind w:left="284"/>
            </w:pPr>
            <w:r>
              <w:t>f</w:t>
            </w:r>
            <w:r w:rsidRPr="00E07B1B">
              <w:t>asting ≥</w:t>
            </w:r>
            <w:r>
              <w:t xml:space="preserve"> </w:t>
            </w:r>
            <w:r w:rsidRPr="00E07B1B">
              <w:t>5.3</w:t>
            </w:r>
            <w:r>
              <w:t xml:space="preserve"> </w:t>
            </w:r>
            <w:r w:rsidRPr="00E07B1B">
              <w:t>mmol/L</w:t>
            </w:r>
          </w:p>
          <w:p w:rsidR="0025490C" w:rsidRPr="00E07B1B" w:rsidRDefault="0025490C" w:rsidP="0072363C">
            <w:pPr>
              <w:pStyle w:val="TableBullet"/>
              <w:spacing w:after="30"/>
              <w:ind w:left="284"/>
            </w:pPr>
            <w:r w:rsidRPr="00E07B1B">
              <w:t>1</w:t>
            </w:r>
            <w:r>
              <w:t>-</w:t>
            </w:r>
            <w:r w:rsidRPr="00E07B1B">
              <w:t>hour ≥</w:t>
            </w:r>
            <w:r>
              <w:t xml:space="preserve"> </w:t>
            </w:r>
            <w:r w:rsidRPr="00E07B1B">
              <w:t>10.6</w:t>
            </w:r>
            <w:r>
              <w:t xml:space="preserve"> </w:t>
            </w:r>
            <w:r w:rsidRPr="00E07B1B">
              <w:t>mmol/L</w:t>
            </w:r>
          </w:p>
          <w:p w:rsidR="0025490C" w:rsidRPr="00E07B1B" w:rsidRDefault="0025490C" w:rsidP="0072363C">
            <w:pPr>
              <w:pStyle w:val="TableBullet"/>
              <w:ind w:left="284"/>
            </w:pPr>
            <w:r w:rsidRPr="00E07B1B">
              <w:t>2</w:t>
            </w:r>
            <w:r>
              <w:t>-</w:t>
            </w:r>
            <w:r w:rsidRPr="00E07B1B">
              <w:t>hour ≥</w:t>
            </w:r>
            <w:r>
              <w:t xml:space="preserve"> </w:t>
            </w:r>
            <w:r w:rsidRPr="00E07B1B">
              <w:t>8.9</w:t>
            </w:r>
            <w:r>
              <w:t xml:space="preserve"> </w:t>
            </w:r>
            <w:r w:rsidRPr="00E07B1B">
              <w:t>mmol/L.</w:t>
            </w:r>
          </w:p>
        </w:tc>
        <w:tc>
          <w:tcPr>
            <w:tcW w:w="1593" w:type="pct"/>
            <w:tcBorders>
              <w:top w:val="nil"/>
              <w:bottom w:val="nil"/>
            </w:tcBorders>
            <w:shd w:val="clear" w:color="auto" w:fill="F2F2F2" w:themeFill="background1" w:themeFillShade="F2"/>
          </w:tcPr>
          <w:p w:rsidR="0025490C" w:rsidRPr="00E07B1B" w:rsidRDefault="0025490C" w:rsidP="00E11F9C">
            <w:pPr>
              <w:pStyle w:val="TableText"/>
            </w:pPr>
            <w:r w:rsidRPr="00E07B1B">
              <w:t>Recurrence rate of GDM in subsequent pregnancies was 44.4% (adj OR 25.1; 95%CI 23.1</w:t>
            </w:r>
            <w:r>
              <w:t>–</w:t>
            </w:r>
            <w:r w:rsidRPr="00E07B1B">
              <w:t>27.2). The recurrence rate was higher in First Nation women compared with non-First Nation women.</w:t>
            </w:r>
          </w:p>
        </w:tc>
        <w:tc>
          <w:tcPr>
            <w:tcW w:w="413" w:type="pct"/>
            <w:tcBorders>
              <w:top w:val="nil"/>
              <w:bottom w:val="nil"/>
            </w:tcBorders>
            <w:shd w:val="clear" w:color="auto" w:fill="F2F2F2" w:themeFill="background1" w:themeFillShade="F2"/>
          </w:tcPr>
          <w:p w:rsidR="0025490C" w:rsidRPr="00E07B1B" w:rsidRDefault="0025490C" w:rsidP="0072363C">
            <w:pPr>
              <w:pStyle w:val="TableText"/>
              <w:jc w:val="center"/>
            </w:pPr>
            <w:r w:rsidRPr="00E07B1B">
              <w:t>HIGH</w:t>
            </w:r>
          </w:p>
        </w:tc>
      </w:tr>
      <w:tr w:rsidR="0025490C" w:rsidRPr="00E07B1B" w:rsidTr="0072363C">
        <w:trPr>
          <w:cantSplit/>
        </w:trPr>
        <w:tc>
          <w:tcPr>
            <w:tcW w:w="531" w:type="pct"/>
            <w:tcBorders>
              <w:top w:val="nil"/>
              <w:bottom w:val="nil"/>
            </w:tcBorders>
            <w:shd w:val="clear" w:color="auto" w:fill="auto"/>
          </w:tcPr>
          <w:p w:rsidR="0025490C" w:rsidRPr="00E07B1B" w:rsidRDefault="0025490C" w:rsidP="0072363C">
            <w:pPr>
              <w:pStyle w:val="TableText"/>
            </w:pPr>
            <w:r w:rsidRPr="00E07B1B">
              <w:t>Teede</w:t>
            </w:r>
            <w:r w:rsidR="0072363C">
              <w:br/>
              <w:t>(2011)</w:t>
            </w:r>
          </w:p>
        </w:tc>
        <w:tc>
          <w:tcPr>
            <w:tcW w:w="531" w:type="pct"/>
            <w:tcBorders>
              <w:top w:val="nil"/>
              <w:bottom w:val="nil"/>
            </w:tcBorders>
            <w:shd w:val="clear" w:color="auto" w:fill="auto"/>
          </w:tcPr>
          <w:p w:rsidR="0025490C" w:rsidRPr="00E07B1B" w:rsidRDefault="0025490C" w:rsidP="0072363C">
            <w:pPr>
              <w:pStyle w:val="TableText"/>
            </w:pPr>
            <w:r w:rsidRPr="00E07B1B">
              <w:t>Australia</w:t>
            </w:r>
            <w:r w:rsidR="0072363C">
              <w:br/>
            </w:r>
            <w:r w:rsidRPr="00E07B1B">
              <w:t>4276</w:t>
            </w:r>
          </w:p>
        </w:tc>
        <w:tc>
          <w:tcPr>
            <w:tcW w:w="531" w:type="pct"/>
            <w:tcBorders>
              <w:top w:val="nil"/>
              <w:bottom w:val="nil"/>
            </w:tcBorders>
            <w:shd w:val="clear" w:color="auto" w:fill="auto"/>
          </w:tcPr>
          <w:p w:rsidR="0025490C" w:rsidRPr="00E07B1B" w:rsidRDefault="0025490C" w:rsidP="0072363C">
            <w:pPr>
              <w:pStyle w:val="TableText"/>
            </w:pPr>
            <w:r w:rsidRPr="00E07B1B">
              <w:t>Retrospective observational</w:t>
            </w:r>
          </w:p>
        </w:tc>
        <w:tc>
          <w:tcPr>
            <w:tcW w:w="1401" w:type="pct"/>
            <w:tcBorders>
              <w:top w:val="nil"/>
              <w:bottom w:val="nil"/>
            </w:tcBorders>
            <w:shd w:val="clear" w:color="auto" w:fill="auto"/>
          </w:tcPr>
          <w:p w:rsidR="0025490C" w:rsidRDefault="0025490C" w:rsidP="0072363C">
            <w:pPr>
              <w:pStyle w:val="TableText"/>
              <w:ind w:right="142"/>
            </w:pPr>
            <w:r w:rsidRPr="00E07B1B">
              <w:t>ADIPS criteria</w:t>
            </w:r>
          </w:p>
          <w:p w:rsidR="0068074A" w:rsidRDefault="0025490C" w:rsidP="0072363C">
            <w:pPr>
              <w:pStyle w:val="TableText"/>
              <w:spacing w:after="30"/>
              <w:ind w:right="142"/>
            </w:pPr>
            <w:r w:rsidRPr="00E07B1B">
              <w:t>A positive glucose challenge test was followed by a 75</w:t>
            </w:r>
            <w:r>
              <w:t xml:space="preserve"> </w:t>
            </w:r>
            <w:r w:rsidRPr="00E07B1B">
              <w:t>g</w:t>
            </w:r>
            <w:r>
              <w:t xml:space="preserve">, </w:t>
            </w:r>
            <w:r w:rsidRPr="00E07B1B">
              <w:t>2</w:t>
            </w:r>
            <w:r>
              <w:noBreakHyphen/>
            </w:r>
            <w:r w:rsidRPr="00E07B1B">
              <w:t>hour OGTT:</w:t>
            </w:r>
          </w:p>
          <w:p w:rsidR="0025490C" w:rsidRPr="00E07B1B" w:rsidRDefault="0025490C" w:rsidP="0072363C">
            <w:pPr>
              <w:pStyle w:val="TableBullet"/>
              <w:spacing w:after="30"/>
              <w:ind w:left="284"/>
            </w:pPr>
            <w:r>
              <w:t>f</w:t>
            </w:r>
            <w:r w:rsidRPr="00E07B1B">
              <w:t>asting ≥ 5.5</w:t>
            </w:r>
            <w:r>
              <w:t xml:space="preserve"> </w:t>
            </w:r>
            <w:r w:rsidRPr="00E07B1B">
              <w:t>mmol/L</w:t>
            </w:r>
          </w:p>
          <w:p w:rsidR="0025490C" w:rsidRPr="00E07B1B" w:rsidRDefault="0025490C" w:rsidP="0072363C">
            <w:pPr>
              <w:pStyle w:val="TableBullet"/>
              <w:ind w:left="284"/>
            </w:pPr>
            <w:r w:rsidRPr="00E07B1B">
              <w:t>2</w:t>
            </w:r>
            <w:r>
              <w:t>-</w:t>
            </w:r>
            <w:r w:rsidRPr="00E07B1B">
              <w:t>hour ≥</w:t>
            </w:r>
            <w:r>
              <w:t xml:space="preserve"> </w:t>
            </w:r>
            <w:r w:rsidRPr="00E07B1B">
              <w:t>8</w:t>
            </w:r>
            <w:r>
              <w:t xml:space="preserve"> </w:t>
            </w:r>
            <w:r w:rsidRPr="00E07B1B">
              <w:t>mmol/L</w:t>
            </w:r>
            <w:r>
              <w:t>.</w:t>
            </w:r>
          </w:p>
        </w:tc>
        <w:tc>
          <w:tcPr>
            <w:tcW w:w="1593" w:type="pct"/>
            <w:tcBorders>
              <w:top w:val="nil"/>
              <w:bottom w:val="nil"/>
            </w:tcBorders>
            <w:shd w:val="clear" w:color="auto" w:fill="auto"/>
          </w:tcPr>
          <w:p w:rsidR="0025490C" w:rsidRPr="00E07B1B" w:rsidRDefault="0025490C" w:rsidP="00E11F9C">
            <w:pPr>
              <w:pStyle w:val="TableText"/>
            </w:pPr>
            <w:r w:rsidRPr="00E07B1B">
              <w:t>This was the</w:t>
            </w:r>
            <w:r w:rsidRPr="00371B0C">
              <w:t xml:space="preserve"> strongest predictor</w:t>
            </w:r>
            <w:r>
              <w:t>: a</w:t>
            </w:r>
            <w:r w:rsidRPr="00371B0C">
              <w:t>dj OR 10.9 (95</w:t>
            </w:r>
            <w:r w:rsidRPr="00E07B1B">
              <w:t>%CI 5.5</w:t>
            </w:r>
            <w:r>
              <w:t>–</w:t>
            </w:r>
            <w:r w:rsidRPr="00E07B1B">
              <w:t>21.4</w:t>
            </w:r>
            <w:r>
              <w:t>,</w:t>
            </w:r>
            <w:r w:rsidRPr="00E07B1B">
              <w:t xml:space="preserve"> </w:t>
            </w:r>
            <w:r w:rsidRPr="00BD5DEC">
              <w:rPr>
                <w:i/>
              </w:rPr>
              <w:t>p</w:t>
            </w:r>
            <w:r>
              <w:t xml:space="preserve"> </w:t>
            </w:r>
            <w:r w:rsidRPr="00E07B1B">
              <w:t>&lt;</w:t>
            </w:r>
            <w:r>
              <w:t xml:space="preserve"> </w:t>
            </w:r>
            <w:r w:rsidR="0072363C">
              <w:t>0.0001).</w:t>
            </w:r>
          </w:p>
        </w:tc>
        <w:tc>
          <w:tcPr>
            <w:tcW w:w="413" w:type="pct"/>
            <w:tcBorders>
              <w:top w:val="nil"/>
              <w:bottom w:val="nil"/>
            </w:tcBorders>
            <w:shd w:val="clear" w:color="auto" w:fill="auto"/>
          </w:tcPr>
          <w:p w:rsidR="0025490C" w:rsidRPr="00E07B1B" w:rsidRDefault="0025490C" w:rsidP="0072363C">
            <w:pPr>
              <w:pStyle w:val="TableText"/>
              <w:jc w:val="center"/>
            </w:pPr>
            <w:r w:rsidRPr="00E07B1B">
              <w:t>MEDIUM</w:t>
            </w:r>
          </w:p>
        </w:tc>
      </w:tr>
      <w:tr w:rsidR="0025490C" w:rsidRPr="00E07B1B" w:rsidTr="0072363C">
        <w:trPr>
          <w:cantSplit/>
        </w:trPr>
        <w:tc>
          <w:tcPr>
            <w:tcW w:w="531" w:type="pct"/>
            <w:tcBorders>
              <w:top w:val="nil"/>
              <w:bottom w:val="nil"/>
            </w:tcBorders>
            <w:shd w:val="clear" w:color="auto" w:fill="F2F2F2" w:themeFill="background1" w:themeFillShade="F2"/>
          </w:tcPr>
          <w:p w:rsidR="0025490C" w:rsidRPr="00E07B1B" w:rsidRDefault="0025490C" w:rsidP="0072363C">
            <w:pPr>
              <w:pStyle w:val="TableText"/>
            </w:pPr>
            <w:r w:rsidRPr="00E07B1B">
              <w:t>Nanda</w:t>
            </w:r>
            <w:r w:rsidR="0072363C">
              <w:br/>
            </w:r>
            <w:r w:rsidRPr="00E07B1B">
              <w:t>(2011)</w:t>
            </w:r>
          </w:p>
        </w:tc>
        <w:tc>
          <w:tcPr>
            <w:tcW w:w="531" w:type="pct"/>
            <w:tcBorders>
              <w:top w:val="nil"/>
              <w:bottom w:val="nil"/>
            </w:tcBorders>
            <w:shd w:val="clear" w:color="auto" w:fill="F2F2F2" w:themeFill="background1" w:themeFillShade="F2"/>
          </w:tcPr>
          <w:p w:rsidR="0025490C" w:rsidRPr="00E07B1B" w:rsidRDefault="0025490C" w:rsidP="0072363C">
            <w:pPr>
              <w:pStyle w:val="TableText"/>
            </w:pPr>
            <w:r w:rsidRPr="00E07B1B">
              <w:t>United Kingdom</w:t>
            </w:r>
            <w:r w:rsidR="0072363C">
              <w:br/>
            </w:r>
            <w:r w:rsidRPr="00E07B1B">
              <w:t>11,464</w:t>
            </w:r>
          </w:p>
        </w:tc>
        <w:tc>
          <w:tcPr>
            <w:tcW w:w="531" w:type="pct"/>
            <w:tcBorders>
              <w:top w:val="nil"/>
              <w:bottom w:val="nil"/>
            </w:tcBorders>
            <w:shd w:val="clear" w:color="auto" w:fill="F2F2F2" w:themeFill="background1" w:themeFillShade="F2"/>
          </w:tcPr>
          <w:p w:rsidR="0025490C" w:rsidRPr="00E07B1B" w:rsidRDefault="0025490C" w:rsidP="00E11F9C">
            <w:pPr>
              <w:pStyle w:val="TableText"/>
            </w:pPr>
            <w:r w:rsidRPr="00E07B1B">
              <w:t>Prospective cohort</w:t>
            </w:r>
          </w:p>
        </w:tc>
        <w:tc>
          <w:tcPr>
            <w:tcW w:w="1401" w:type="pct"/>
            <w:tcBorders>
              <w:top w:val="nil"/>
              <w:bottom w:val="nil"/>
            </w:tcBorders>
            <w:shd w:val="clear" w:color="auto" w:fill="F2F2F2" w:themeFill="background1" w:themeFillShade="F2"/>
          </w:tcPr>
          <w:p w:rsidR="0025490C" w:rsidRPr="0072363C" w:rsidRDefault="0025490C" w:rsidP="0072363C">
            <w:pPr>
              <w:pStyle w:val="TableText"/>
              <w:ind w:right="142"/>
            </w:pPr>
            <w:r w:rsidRPr="0072363C">
              <w:t>Random plasma glucose recorded at 24–28 weeks. If &gt; 6.7 mmol/L, then conducted a 75</w:t>
            </w:r>
            <w:r w:rsidR="0072363C" w:rsidRPr="0072363C">
              <w:t> </w:t>
            </w:r>
            <w:r w:rsidRPr="0072363C">
              <w:t>g OGTT within two weeks. GDM diagnosed if fasting plasma glucose ≥</w:t>
            </w:r>
            <w:r w:rsidR="0072363C" w:rsidRPr="0072363C">
              <w:t> </w:t>
            </w:r>
            <w:r w:rsidRPr="0072363C">
              <w:t>6</w:t>
            </w:r>
            <w:r w:rsidR="0072363C" w:rsidRPr="0072363C">
              <w:t> </w:t>
            </w:r>
            <w:r w:rsidRPr="0072363C">
              <w:t>mmol/L or 2</w:t>
            </w:r>
            <w:r w:rsidR="0072363C" w:rsidRPr="0072363C">
              <w:noBreakHyphen/>
            </w:r>
            <w:r w:rsidRPr="0072363C">
              <w:t>hour level is ≥</w:t>
            </w:r>
            <w:r w:rsidR="0072363C" w:rsidRPr="0072363C">
              <w:t> </w:t>
            </w:r>
            <w:r w:rsidRPr="0072363C">
              <w:t>7.8</w:t>
            </w:r>
            <w:r w:rsidR="0072363C" w:rsidRPr="0072363C">
              <w:t> </w:t>
            </w:r>
            <w:r w:rsidRPr="0072363C">
              <w:t>mmol/L.</w:t>
            </w:r>
          </w:p>
        </w:tc>
        <w:tc>
          <w:tcPr>
            <w:tcW w:w="1593" w:type="pct"/>
            <w:tcBorders>
              <w:top w:val="nil"/>
              <w:bottom w:val="nil"/>
            </w:tcBorders>
            <w:shd w:val="clear" w:color="auto" w:fill="F2F2F2" w:themeFill="background1" w:themeFillShade="F2"/>
          </w:tcPr>
          <w:p w:rsidR="0025490C" w:rsidRPr="00E07B1B" w:rsidRDefault="0025490C" w:rsidP="00E11F9C">
            <w:pPr>
              <w:pStyle w:val="TableText"/>
            </w:pPr>
            <w:r w:rsidRPr="00E07B1B">
              <w:t>Multiparous women with a previous history of GDM had an increased risk of developing GDM in a</w:t>
            </w:r>
            <w:r>
              <w:t xml:space="preserve"> </w:t>
            </w:r>
            <w:r w:rsidRPr="00E07B1B">
              <w:t>subsequent pregnancy (adj OR 41.37, 95%CI 26.82</w:t>
            </w:r>
            <w:r>
              <w:t>–</w:t>
            </w:r>
            <w:r w:rsidRPr="00E07B1B">
              <w:t xml:space="preserve">63.83, </w:t>
            </w:r>
            <w:r w:rsidRPr="00BD5DEC">
              <w:rPr>
                <w:i/>
              </w:rPr>
              <w:t>p</w:t>
            </w:r>
            <w:r>
              <w:t xml:space="preserve"> </w:t>
            </w:r>
            <w:r w:rsidRPr="00E07B1B">
              <w:t>&lt;</w:t>
            </w:r>
            <w:r>
              <w:t xml:space="preserve"> </w:t>
            </w:r>
            <w:r w:rsidRPr="00E07B1B">
              <w:t>0.0001)</w:t>
            </w:r>
          </w:p>
        </w:tc>
        <w:tc>
          <w:tcPr>
            <w:tcW w:w="413" w:type="pct"/>
            <w:tcBorders>
              <w:top w:val="nil"/>
              <w:bottom w:val="nil"/>
            </w:tcBorders>
            <w:shd w:val="clear" w:color="auto" w:fill="F2F2F2" w:themeFill="background1" w:themeFillShade="F2"/>
          </w:tcPr>
          <w:p w:rsidR="0025490C" w:rsidRPr="00E07B1B" w:rsidRDefault="0025490C" w:rsidP="0072363C">
            <w:pPr>
              <w:pStyle w:val="TableText"/>
              <w:jc w:val="center"/>
            </w:pPr>
            <w:r w:rsidRPr="00E07B1B">
              <w:t>MEDIUM</w:t>
            </w:r>
          </w:p>
        </w:tc>
      </w:tr>
      <w:tr w:rsidR="0025490C" w:rsidRPr="00E07B1B" w:rsidTr="0072363C">
        <w:trPr>
          <w:cantSplit/>
        </w:trPr>
        <w:tc>
          <w:tcPr>
            <w:tcW w:w="531" w:type="pct"/>
            <w:tcBorders>
              <w:top w:val="nil"/>
            </w:tcBorders>
            <w:shd w:val="clear" w:color="auto" w:fill="auto"/>
          </w:tcPr>
          <w:p w:rsidR="0025490C" w:rsidRPr="00E07B1B" w:rsidRDefault="0025490C" w:rsidP="0072363C">
            <w:pPr>
              <w:pStyle w:val="TableText"/>
            </w:pPr>
            <w:r w:rsidRPr="00E07B1B">
              <w:t>Ogonowski</w:t>
            </w:r>
            <w:r w:rsidR="0072363C">
              <w:br/>
            </w:r>
            <w:r w:rsidRPr="00E07B1B">
              <w:t>(2010)</w:t>
            </w:r>
          </w:p>
        </w:tc>
        <w:tc>
          <w:tcPr>
            <w:tcW w:w="531" w:type="pct"/>
            <w:tcBorders>
              <w:top w:val="nil"/>
            </w:tcBorders>
            <w:shd w:val="clear" w:color="auto" w:fill="auto"/>
          </w:tcPr>
          <w:p w:rsidR="0025490C" w:rsidRPr="00E07B1B" w:rsidRDefault="0025490C" w:rsidP="0072363C">
            <w:pPr>
              <w:pStyle w:val="TableText"/>
            </w:pPr>
            <w:r w:rsidRPr="00E07B1B">
              <w:t>Poland</w:t>
            </w:r>
            <w:r w:rsidR="0072363C">
              <w:br/>
            </w:r>
            <w:r w:rsidRPr="00E07B1B">
              <w:t>1830 cases</w:t>
            </w:r>
            <w:r>
              <w:t>,</w:t>
            </w:r>
            <w:r w:rsidRPr="00E07B1B">
              <w:t xml:space="preserve"> 1011</w:t>
            </w:r>
            <w:r w:rsidR="0072363C">
              <w:t> </w:t>
            </w:r>
            <w:r w:rsidRPr="00E07B1B">
              <w:t>controls</w:t>
            </w:r>
          </w:p>
        </w:tc>
        <w:tc>
          <w:tcPr>
            <w:tcW w:w="531" w:type="pct"/>
            <w:tcBorders>
              <w:top w:val="nil"/>
            </w:tcBorders>
            <w:shd w:val="clear" w:color="auto" w:fill="auto"/>
          </w:tcPr>
          <w:p w:rsidR="0025490C" w:rsidRPr="00E07B1B" w:rsidRDefault="0025490C" w:rsidP="00E11F9C">
            <w:pPr>
              <w:pStyle w:val="TableText"/>
            </w:pPr>
            <w:r w:rsidRPr="00E07B1B">
              <w:t>Retrospective case control</w:t>
            </w:r>
          </w:p>
        </w:tc>
        <w:tc>
          <w:tcPr>
            <w:tcW w:w="1401" w:type="pct"/>
            <w:tcBorders>
              <w:top w:val="nil"/>
            </w:tcBorders>
            <w:shd w:val="clear" w:color="auto" w:fill="auto"/>
          </w:tcPr>
          <w:p w:rsidR="0068074A" w:rsidRDefault="0025490C" w:rsidP="0072363C">
            <w:pPr>
              <w:pStyle w:val="TableText"/>
              <w:ind w:right="142"/>
            </w:pPr>
            <w:r w:rsidRPr="00E07B1B">
              <w:t>GCT of 50</w:t>
            </w:r>
            <w:r>
              <w:t xml:space="preserve"> </w:t>
            </w:r>
            <w:r w:rsidRPr="00E07B1B">
              <w:t>g</w:t>
            </w:r>
          </w:p>
          <w:p w:rsidR="0025490C" w:rsidRPr="00E07B1B" w:rsidRDefault="0025490C" w:rsidP="0072363C">
            <w:pPr>
              <w:pStyle w:val="TableText"/>
              <w:spacing w:after="30"/>
              <w:ind w:right="142"/>
            </w:pPr>
            <w:r w:rsidRPr="00E07B1B">
              <w:t>If &gt;</w:t>
            </w:r>
            <w:r>
              <w:t xml:space="preserve"> </w:t>
            </w:r>
            <w:r w:rsidRPr="00E07B1B">
              <w:t>180</w:t>
            </w:r>
            <w:r>
              <w:t xml:space="preserve"> </w:t>
            </w:r>
            <w:r w:rsidRPr="00E07B1B">
              <w:t>mg</w:t>
            </w:r>
            <w:r>
              <w:t>/dL</w:t>
            </w:r>
            <w:r w:rsidRPr="00E07B1B">
              <w:t xml:space="preserve"> (10</w:t>
            </w:r>
            <w:r>
              <w:t xml:space="preserve"> </w:t>
            </w:r>
            <w:r w:rsidRPr="00E07B1B">
              <w:t>mmol</w:t>
            </w:r>
            <w:r>
              <w:t>/L</w:t>
            </w:r>
            <w:r w:rsidRPr="00E07B1B">
              <w:t>)</w:t>
            </w:r>
            <w:r>
              <w:t>,</w:t>
            </w:r>
            <w:r w:rsidRPr="00E07B1B">
              <w:t xml:space="preserve"> then diagnosed as GDM.</w:t>
            </w:r>
            <w:r>
              <w:t xml:space="preserve"> </w:t>
            </w:r>
            <w:r w:rsidRPr="00E07B1B">
              <w:t>If 140</w:t>
            </w:r>
            <w:r>
              <w:t>–</w:t>
            </w:r>
            <w:r w:rsidRPr="00E07B1B">
              <w:t>180mg</w:t>
            </w:r>
            <w:r>
              <w:t>/dL,</w:t>
            </w:r>
            <w:r w:rsidRPr="00E07B1B">
              <w:t xml:space="preserve"> then a 75g OGTT using the WHO criteria:</w:t>
            </w:r>
          </w:p>
          <w:p w:rsidR="0025490C" w:rsidRPr="00E07B1B" w:rsidRDefault="0025490C" w:rsidP="0072363C">
            <w:pPr>
              <w:pStyle w:val="TableBullet"/>
              <w:spacing w:after="30"/>
              <w:ind w:left="284"/>
            </w:pPr>
            <w:r>
              <w:t>f</w:t>
            </w:r>
            <w:r w:rsidRPr="00E07B1B">
              <w:t>asting ≥</w:t>
            </w:r>
            <w:r>
              <w:t xml:space="preserve"> </w:t>
            </w:r>
            <w:r w:rsidRPr="00E07B1B">
              <w:t>110</w:t>
            </w:r>
            <w:r>
              <w:t xml:space="preserve"> </w:t>
            </w:r>
            <w:r w:rsidRPr="00E07B1B">
              <w:t>mg</w:t>
            </w:r>
            <w:r>
              <w:t>/dL</w:t>
            </w:r>
            <w:r w:rsidRPr="00E07B1B">
              <w:t xml:space="preserve"> (6.1</w:t>
            </w:r>
            <w:r>
              <w:t xml:space="preserve"> </w:t>
            </w:r>
            <w:r w:rsidRPr="00E07B1B">
              <w:t>mmol</w:t>
            </w:r>
            <w:r>
              <w:t>/L</w:t>
            </w:r>
            <w:r w:rsidRPr="00E07B1B">
              <w:t>)</w:t>
            </w:r>
          </w:p>
          <w:p w:rsidR="0025490C" w:rsidRPr="00E07B1B" w:rsidRDefault="0025490C" w:rsidP="0072363C">
            <w:pPr>
              <w:pStyle w:val="TableBullet"/>
              <w:ind w:left="284"/>
            </w:pPr>
            <w:r w:rsidRPr="00E07B1B">
              <w:t>2</w:t>
            </w:r>
            <w:r>
              <w:t>-</w:t>
            </w:r>
            <w:r w:rsidRPr="00E07B1B">
              <w:t>hour ≥ 140 mg</w:t>
            </w:r>
            <w:r>
              <w:t>/dL</w:t>
            </w:r>
            <w:r w:rsidRPr="00E07B1B">
              <w:t xml:space="preserve"> (7.8</w:t>
            </w:r>
            <w:r>
              <w:t> </w:t>
            </w:r>
            <w:r w:rsidRPr="00E07B1B">
              <w:t>mmol</w:t>
            </w:r>
            <w:r>
              <w:t>/L</w:t>
            </w:r>
            <w:r w:rsidRPr="00E07B1B">
              <w:t>)</w:t>
            </w:r>
            <w:r>
              <w:t>.</w:t>
            </w:r>
          </w:p>
          <w:p w:rsidR="0025490C" w:rsidRPr="00E07B1B" w:rsidRDefault="0025490C" w:rsidP="0072363C">
            <w:pPr>
              <w:pStyle w:val="TableText"/>
              <w:spacing w:after="30"/>
              <w:ind w:right="142"/>
            </w:pPr>
            <w:r>
              <w:t>Also used</w:t>
            </w:r>
            <w:r w:rsidRPr="00E07B1B">
              <w:t xml:space="preserve"> the ADA criteria where </w:t>
            </w:r>
            <w:r>
              <w:t>two</w:t>
            </w:r>
            <w:r w:rsidRPr="00E07B1B">
              <w:t xml:space="preserve"> abnormal values are required</w:t>
            </w:r>
            <w:r>
              <w:t xml:space="preserve"> from</w:t>
            </w:r>
            <w:r w:rsidRPr="00E07B1B">
              <w:t>:</w:t>
            </w:r>
          </w:p>
          <w:p w:rsidR="0025490C" w:rsidRPr="00E07B1B" w:rsidRDefault="0025490C" w:rsidP="0072363C">
            <w:pPr>
              <w:pStyle w:val="TableBullet"/>
              <w:spacing w:after="30"/>
              <w:ind w:left="284"/>
            </w:pPr>
            <w:r>
              <w:t>f</w:t>
            </w:r>
            <w:r w:rsidRPr="00E07B1B">
              <w:t>asting ≥</w:t>
            </w:r>
            <w:r>
              <w:t xml:space="preserve"> </w:t>
            </w:r>
            <w:r w:rsidRPr="00E07B1B">
              <w:t>95</w:t>
            </w:r>
            <w:r>
              <w:t xml:space="preserve"> </w:t>
            </w:r>
            <w:r w:rsidRPr="00E07B1B">
              <w:t>mg</w:t>
            </w:r>
            <w:r>
              <w:t xml:space="preserve">/dL </w:t>
            </w:r>
            <w:r w:rsidRPr="00E07B1B">
              <w:t>(5.3</w:t>
            </w:r>
            <w:r>
              <w:t> </w:t>
            </w:r>
            <w:r w:rsidRPr="00E07B1B">
              <w:t>mmol</w:t>
            </w:r>
            <w:r>
              <w:t>/L</w:t>
            </w:r>
            <w:r w:rsidRPr="00E07B1B">
              <w:t>)</w:t>
            </w:r>
          </w:p>
          <w:p w:rsidR="0025490C" w:rsidRPr="00E07B1B" w:rsidRDefault="0025490C" w:rsidP="0072363C">
            <w:pPr>
              <w:pStyle w:val="TableBullet"/>
              <w:spacing w:after="30"/>
              <w:ind w:left="284"/>
            </w:pPr>
            <w:r w:rsidRPr="00E07B1B">
              <w:t>1</w:t>
            </w:r>
            <w:r>
              <w:t>-</w:t>
            </w:r>
            <w:r w:rsidRPr="00E07B1B">
              <w:t>hour ≥</w:t>
            </w:r>
            <w:r>
              <w:t xml:space="preserve"> </w:t>
            </w:r>
            <w:r w:rsidRPr="00E07B1B">
              <w:t>180</w:t>
            </w:r>
            <w:r>
              <w:t xml:space="preserve"> </w:t>
            </w:r>
            <w:r w:rsidRPr="00E07B1B">
              <w:t>mg</w:t>
            </w:r>
            <w:r>
              <w:t>/dL</w:t>
            </w:r>
            <w:r w:rsidRPr="00E07B1B">
              <w:t xml:space="preserve"> (10.0</w:t>
            </w:r>
            <w:r>
              <w:t> </w:t>
            </w:r>
            <w:r w:rsidRPr="00E07B1B">
              <w:t>mmol</w:t>
            </w:r>
            <w:r>
              <w:t>/L)</w:t>
            </w:r>
          </w:p>
          <w:p w:rsidR="0025490C" w:rsidRPr="00E07B1B" w:rsidRDefault="0025490C" w:rsidP="0072363C">
            <w:pPr>
              <w:pStyle w:val="TableBullet"/>
              <w:ind w:left="284"/>
            </w:pPr>
            <w:r w:rsidRPr="00E07B1B">
              <w:t>2</w:t>
            </w:r>
            <w:r>
              <w:t>-</w:t>
            </w:r>
            <w:r w:rsidRPr="00E07B1B">
              <w:t>hour ≥</w:t>
            </w:r>
            <w:r>
              <w:t xml:space="preserve"> </w:t>
            </w:r>
            <w:r w:rsidRPr="00E07B1B">
              <w:t>155</w:t>
            </w:r>
            <w:r>
              <w:t xml:space="preserve"> </w:t>
            </w:r>
            <w:r w:rsidRPr="00E07B1B">
              <w:t>mg</w:t>
            </w:r>
            <w:r>
              <w:t>/dL</w:t>
            </w:r>
            <w:r w:rsidRPr="00E07B1B">
              <w:t xml:space="preserve"> (8.6</w:t>
            </w:r>
            <w:r>
              <w:t> </w:t>
            </w:r>
            <w:r w:rsidRPr="00E07B1B">
              <w:t>mmol</w:t>
            </w:r>
            <w:r>
              <w:t>/L</w:t>
            </w:r>
            <w:r w:rsidRPr="00E07B1B">
              <w:t>)</w:t>
            </w:r>
            <w:r>
              <w:t>.</w:t>
            </w:r>
          </w:p>
        </w:tc>
        <w:tc>
          <w:tcPr>
            <w:tcW w:w="1593" w:type="pct"/>
            <w:tcBorders>
              <w:top w:val="nil"/>
            </w:tcBorders>
            <w:shd w:val="clear" w:color="auto" w:fill="auto"/>
          </w:tcPr>
          <w:p w:rsidR="0025490C" w:rsidRPr="00E07B1B" w:rsidRDefault="0025490C" w:rsidP="00F65F1B">
            <w:pPr>
              <w:pStyle w:val="TableText"/>
            </w:pPr>
            <w:r w:rsidRPr="00E07B1B">
              <w:t>Previous GDM OR 5.10 (95%CI 2.67</w:t>
            </w:r>
            <w:r>
              <w:t>–</w:t>
            </w:r>
            <w:r w:rsidRPr="00E07B1B">
              <w:t xml:space="preserve">9.76, </w:t>
            </w:r>
            <w:r w:rsidRPr="00BD5DEC">
              <w:rPr>
                <w:i/>
              </w:rPr>
              <w:t>p</w:t>
            </w:r>
            <w:r w:rsidR="00F65F1B">
              <w:rPr>
                <w:i/>
              </w:rPr>
              <w:t> </w:t>
            </w:r>
            <w:r w:rsidRPr="00E07B1B">
              <w:t>=</w:t>
            </w:r>
            <w:r w:rsidR="00F65F1B">
              <w:t> </w:t>
            </w:r>
            <w:r w:rsidRPr="00E07B1B">
              <w:t>0.000001)</w:t>
            </w:r>
          </w:p>
        </w:tc>
        <w:tc>
          <w:tcPr>
            <w:tcW w:w="413" w:type="pct"/>
            <w:tcBorders>
              <w:top w:val="nil"/>
            </w:tcBorders>
            <w:shd w:val="clear" w:color="auto" w:fill="auto"/>
          </w:tcPr>
          <w:p w:rsidR="0025490C" w:rsidRPr="00E07B1B" w:rsidRDefault="0025490C" w:rsidP="0072363C">
            <w:pPr>
              <w:pStyle w:val="TableText"/>
              <w:jc w:val="center"/>
            </w:pPr>
            <w:r w:rsidRPr="00E07B1B">
              <w:t>MEDIUM</w:t>
            </w:r>
          </w:p>
        </w:tc>
      </w:tr>
      <w:tr w:rsidR="0025490C" w:rsidRPr="00E07B1B" w:rsidTr="0072363C">
        <w:trPr>
          <w:cantSplit/>
        </w:trPr>
        <w:tc>
          <w:tcPr>
            <w:tcW w:w="531" w:type="pct"/>
            <w:shd w:val="clear" w:color="auto" w:fill="auto"/>
          </w:tcPr>
          <w:p w:rsidR="0025490C" w:rsidRPr="00E07B1B" w:rsidRDefault="0025490C" w:rsidP="0072363C">
            <w:pPr>
              <w:pStyle w:val="TableText"/>
            </w:pPr>
            <w:r w:rsidRPr="00E07B1B">
              <w:t>Gonzalez-Clemente</w:t>
            </w:r>
            <w:r w:rsidR="0072363C">
              <w:br/>
            </w:r>
            <w:r w:rsidRPr="00E07B1B">
              <w:t>(2007)</w:t>
            </w:r>
          </w:p>
        </w:tc>
        <w:tc>
          <w:tcPr>
            <w:tcW w:w="531" w:type="pct"/>
            <w:shd w:val="clear" w:color="auto" w:fill="auto"/>
          </w:tcPr>
          <w:p w:rsidR="0025490C" w:rsidRPr="00E07B1B" w:rsidRDefault="0025490C" w:rsidP="0072363C">
            <w:pPr>
              <w:pStyle w:val="TableText"/>
            </w:pPr>
            <w:r w:rsidRPr="00E07B1B">
              <w:t>Spain</w:t>
            </w:r>
            <w:r w:rsidR="0072363C">
              <w:br/>
            </w:r>
            <w:r w:rsidRPr="00E07B1B">
              <w:t>335</w:t>
            </w:r>
          </w:p>
        </w:tc>
        <w:tc>
          <w:tcPr>
            <w:tcW w:w="531" w:type="pct"/>
            <w:shd w:val="clear" w:color="auto" w:fill="auto"/>
          </w:tcPr>
          <w:p w:rsidR="0025490C" w:rsidRPr="00E07B1B" w:rsidRDefault="0025490C" w:rsidP="00E11F9C">
            <w:pPr>
              <w:pStyle w:val="TableText"/>
            </w:pPr>
            <w:r w:rsidRPr="00E07B1B">
              <w:t>Cohort</w:t>
            </w:r>
          </w:p>
        </w:tc>
        <w:tc>
          <w:tcPr>
            <w:tcW w:w="1401" w:type="pct"/>
            <w:shd w:val="clear" w:color="auto" w:fill="auto"/>
          </w:tcPr>
          <w:p w:rsidR="0025490C" w:rsidRPr="00E07B1B" w:rsidRDefault="0025490C" w:rsidP="0072363C">
            <w:pPr>
              <w:pStyle w:val="TableText"/>
              <w:ind w:right="142"/>
            </w:pPr>
            <w:r w:rsidRPr="00E07B1B">
              <w:t>50</w:t>
            </w:r>
            <w:r>
              <w:t xml:space="preserve"> </w:t>
            </w:r>
            <w:r w:rsidRPr="00E07B1B">
              <w:t>g, 1</w:t>
            </w:r>
            <w:r>
              <w:t>-</w:t>
            </w:r>
            <w:r w:rsidRPr="00E07B1B">
              <w:t xml:space="preserve">hour test. </w:t>
            </w:r>
            <w:r>
              <w:t>If a</w:t>
            </w:r>
            <w:r w:rsidRPr="00E07B1B">
              <w:t>bnormal value (≥</w:t>
            </w:r>
            <w:r w:rsidR="0072363C">
              <w:t> </w:t>
            </w:r>
            <w:r w:rsidRPr="00E07B1B">
              <w:t>7.8</w:t>
            </w:r>
            <w:r w:rsidR="0072363C">
              <w:t> </w:t>
            </w:r>
            <w:r w:rsidRPr="00E07B1B">
              <w:t>mmol/L), a</w:t>
            </w:r>
            <w:r>
              <w:t>n</w:t>
            </w:r>
            <w:r w:rsidRPr="00E07B1B">
              <w:t xml:space="preserve"> OGCT of ≥</w:t>
            </w:r>
            <w:r>
              <w:t> </w:t>
            </w:r>
            <w:r w:rsidRPr="00E07B1B">
              <w:t>11.1</w:t>
            </w:r>
            <w:r>
              <w:t xml:space="preserve"> </w:t>
            </w:r>
            <w:r w:rsidRPr="00E07B1B">
              <w:t>mmol/L was considered diagnostic of GDM. If results abnormal</w:t>
            </w:r>
            <w:r>
              <w:t>,</w:t>
            </w:r>
            <w:r w:rsidRPr="00E07B1B">
              <w:t xml:space="preserve"> women underwent a 100</w:t>
            </w:r>
            <w:r w:rsidR="0072363C">
              <w:t> </w:t>
            </w:r>
            <w:r w:rsidRPr="00E07B1B">
              <w:t>g, 3</w:t>
            </w:r>
            <w:r>
              <w:noBreakHyphen/>
            </w:r>
            <w:r w:rsidRPr="00E07B1B">
              <w:t xml:space="preserve">hour OGTT after </w:t>
            </w:r>
            <w:r>
              <w:t>one to two</w:t>
            </w:r>
            <w:r w:rsidRPr="00E07B1B">
              <w:t xml:space="preserve"> weeks using the criteria of the National Diabetes Data Group</w:t>
            </w:r>
            <w:r>
              <w:t>.</w:t>
            </w:r>
          </w:p>
        </w:tc>
        <w:tc>
          <w:tcPr>
            <w:tcW w:w="1593" w:type="pct"/>
            <w:shd w:val="clear" w:color="auto" w:fill="auto"/>
          </w:tcPr>
          <w:p w:rsidR="0025490C" w:rsidRPr="00E07B1B" w:rsidRDefault="0025490C" w:rsidP="00F65F1B">
            <w:pPr>
              <w:pStyle w:val="TableText"/>
            </w:pPr>
            <w:r w:rsidRPr="00E07B1B">
              <w:t>Positive history of previous GDM (14.6% vs 1.7%; adj OR 8.18, 95%CI 2.13</w:t>
            </w:r>
            <w:r>
              <w:t>–</w:t>
            </w:r>
            <w:r w:rsidRPr="00E07B1B">
              <w:t>31.47,</w:t>
            </w:r>
            <w:r>
              <w:t xml:space="preserve"> </w:t>
            </w:r>
            <w:r>
              <w:rPr>
                <w:i/>
                <w:iCs/>
              </w:rPr>
              <w:t>p</w:t>
            </w:r>
            <w:r w:rsidRPr="00E07B1B">
              <w:t xml:space="preserve"> = 0.01)</w:t>
            </w:r>
          </w:p>
        </w:tc>
        <w:tc>
          <w:tcPr>
            <w:tcW w:w="413" w:type="pct"/>
            <w:shd w:val="clear" w:color="auto" w:fill="auto"/>
          </w:tcPr>
          <w:p w:rsidR="0025490C" w:rsidRPr="00E07B1B" w:rsidRDefault="0025490C" w:rsidP="0072363C">
            <w:pPr>
              <w:pStyle w:val="TableText"/>
              <w:jc w:val="center"/>
            </w:pPr>
            <w:r w:rsidRPr="00E07B1B">
              <w:t>MEDIUM</w:t>
            </w:r>
          </w:p>
        </w:tc>
      </w:tr>
      <w:tr w:rsidR="0025490C" w:rsidRPr="00E07B1B" w:rsidTr="0072363C">
        <w:trPr>
          <w:cantSplit/>
        </w:trPr>
        <w:tc>
          <w:tcPr>
            <w:tcW w:w="531" w:type="pct"/>
            <w:shd w:val="clear" w:color="auto" w:fill="auto"/>
          </w:tcPr>
          <w:p w:rsidR="0025490C" w:rsidRPr="00E07B1B" w:rsidRDefault="0025490C" w:rsidP="0072363C">
            <w:pPr>
              <w:pStyle w:val="TableText"/>
            </w:pPr>
            <w:r w:rsidRPr="00E07B1B">
              <w:t>Ramos-Levi</w:t>
            </w:r>
            <w:r w:rsidR="0072363C">
              <w:br/>
            </w:r>
            <w:r w:rsidRPr="00E07B1B">
              <w:t>(2012)</w:t>
            </w:r>
          </w:p>
        </w:tc>
        <w:tc>
          <w:tcPr>
            <w:tcW w:w="531" w:type="pct"/>
            <w:shd w:val="clear" w:color="auto" w:fill="auto"/>
          </w:tcPr>
          <w:p w:rsidR="0025490C" w:rsidRPr="00E07B1B" w:rsidRDefault="0025490C" w:rsidP="0072363C">
            <w:pPr>
              <w:pStyle w:val="TableText"/>
            </w:pPr>
            <w:r w:rsidRPr="00E07B1B">
              <w:t>Spain</w:t>
            </w:r>
            <w:r w:rsidR="0072363C">
              <w:br/>
            </w:r>
            <w:r w:rsidRPr="00E07B1B">
              <w:t>2194</w:t>
            </w:r>
          </w:p>
        </w:tc>
        <w:tc>
          <w:tcPr>
            <w:tcW w:w="531" w:type="pct"/>
            <w:shd w:val="clear" w:color="auto" w:fill="auto"/>
          </w:tcPr>
          <w:p w:rsidR="0025490C" w:rsidRPr="00E07B1B" w:rsidRDefault="0025490C" w:rsidP="00E11F9C">
            <w:pPr>
              <w:pStyle w:val="TableText"/>
            </w:pPr>
            <w:r w:rsidRPr="00E07B1B">
              <w:t>Observational cohort</w:t>
            </w:r>
          </w:p>
        </w:tc>
        <w:tc>
          <w:tcPr>
            <w:tcW w:w="1401" w:type="pct"/>
            <w:shd w:val="clear" w:color="auto" w:fill="auto"/>
          </w:tcPr>
          <w:p w:rsidR="0025490C" w:rsidRPr="00E07B1B" w:rsidRDefault="0025490C" w:rsidP="0072363C">
            <w:pPr>
              <w:pStyle w:val="TableText"/>
              <w:ind w:right="142"/>
            </w:pPr>
            <w:r w:rsidRPr="00E07B1B">
              <w:t>Screened with ADA criteria</w:t>
            </w:r>
          </w:p>
        </w:tc>
        <w:tc>
          <w:tcPr>
            <w:tcW w:w="1593" w:type="pct"/>
            <w:shd w:val="clear" w:color="auto" w:fill="auto"/>
          </w:tcPr>
          <w:p w:rsidR="0025490C" w:rsidRPr="00E07B1B" w:rsidRDefault="0025490C" w:rsidP="00E11F9C">
            <w:pPr>
              <w:pStyle w:val="TableText"/>
            </w:pPr>
            <w:r w:rsidRPr="00E07B1B">
              <w:t>History of GDM increased risk but no risk data presented</w:t>
            </w:r>
            <w:r>
              <w:t>.</w:t>
            </w:r>
          </w:p>
        </w:tc>
        <w:tc>
          <w:tcPr>
            <w:tcW w:w="413" w:type="pct"/>
            <w:shd w:val="clear" w:color="auto" w:fill="auto"/>
          </w:tcPr>
          <w:p w:rsidR="0025490C" w:rsidRPr="00E07B1B" w:rsidRDefault="0025490C" w:rsidP="0072363C">
            <w:pPr>
              <w:pStyle w:val="TableText"/>
              <w:jc w:val="center"/>
            </w:pPr>
            <w:r w:rsidRPr="00E07B1B">
              <w:t>LOW</w:t>
            </w:r>
          </w:p>
        </w:tc>
      </w:tr>
    </w:tbl>
    <w:p w:rsidR="0025490C" w:rsidRDefault="0025490C" w:rsidP="0080418E">
      <w:pPr>
        <w:pStyle w:val="Note"/>
        <w:ind w:left="0" w:firstLine="0"/>
      </w:pPr>
      <w:r>
        <w:t xml:space="preserve">Note: </w:t>
      </w:r>
      <w:r w:rsidRPr="00E07B1B">
        <w:t xml:space="preserve">ADA </w:t>
      </w:r>
      <w:r>
        <w:t>=</w:t>
      </w:r>
      <w:r w:rsidRPr="00E07B1B">
        <w:t xml:space="preserve"> American Diabetes Association; ADIPS </w:t>
      </w:r>
      <w:r>
        <w:t>=</w:t>
      </w:r>
      <w:r w:rsidRPr="00E07B1B">
        <w:t xml:space="preserve"> Australasian Diabetes in Pregnancy Study Group; </w:t>
      </w:r>
      <w:r>
        <w:t xml:space="preserve">CI = confidence interval; </w:t>
      </w:r>
      <w:r w:rsidRPr="00E07B1B">
        <w:t xml:space="preserve">GDM </w:t>
      </w:r>
      <w:r>
        <w:t>=</w:t>
      </w:r>
      <w:r w:rsidRPr="00E07B1B">
        <w:t xml:space="preserve"> </w:t>
      </w:r>
      <w:r>
        <w:t>g</w:t>
      </w:r>
      <w:r w:rsidRPr="00E07B1B">
        <w:t>estational diabetes mellitus;</w:t>
      </w:r>
      <w:r>
        <w:t xml:space="preserve"> </w:t>
      </w:r>
      <w:r w:rsidRPr="00E07B1B">
        <w:t xml:space="preserve">ICD </w:t>
      </w:r>
      <w:r>
        <w:t>=</w:t>
      </w:r>
      <w:r w:rsidRPr="00E07B1B">
        <w:t xml:space="preserve"> International </w:t>
      </w:r>
      <w:r>
        <w:t>C</w:t>
      </w:r>
      <w:r w:rsidRPr="00E07B1B">
        <w:t xml:space="preserve">lassification of </w:t>
      </w:r>
      <w:r>
        <w:t>D</w:t>
      </w:r>
      <w:r w:rsidRPr="00E07B1B">
        <w:t>isease</w:t>
      </w:r>
      <w:r>
        <w:t>s</w:t>
      </w:r>
      <w:r w:rsidRPr="00E07B1B">
        <w:t xml:space="preserve">; OGCT </w:t>
      </w:r>
      <w:r>
        <w:t>=</w:t>
      </w:r>
      <w:r w:rsidRPr="00E07B1B">
        <w:t xml:space="preserve"> </w:t>
      </w:r>
      <w:r>
        <w:t>o</w:t>
      </w:r>
      <w:r w:rsidRPr="00E07B1B">
        <w:t xml:space="preserve">ral </w:t>
      </w:r>
      <w:r>
        <w:t>g</w:t>
      </w:r>
      <w:r w:rsidRPr="00E07B1B">
        <w:t xml:space="preserve">lucose </w:t>
      </w:r>
      <w:r>
        <w:t>c</w:t>
      </w:r>
      <w:r w:rsidRPr="00E07B1B">
        <w:t xml:space="preserve">hallenge </w:t>
      </w:r>
      <w:r>
        <w:t>t</w:t>
      </w:r>
      <w:r w:rsidRPr="00E07B1B">
        <w:t>est; OGTT</w:t>
      </w:r>
      <w:r>
        <w:t xml:space="preserve"> = o</w:t>
      </w:r>
      <w:r w:rsidRPr="00E07B1B">
        <w:t xml:space="preserve">ral </w:t>
      </w:r>
      <w:r>
        <w:t>g</w:t>
      </w:r>
      <w:r w:rsidRPr="00E07B1B">
        <w:t xml:space="preserve">lucose </w:t>
      </w:r>
      <w:r>
        <w:t>t</w:t>
      </w:r>
      <w:r w:rsidRPr="00E07B1B">
        <w:t xml:space="preserve">olerance </w:t>
      </w:r>
      <w:r>
        <w:t>t</w:t>
      </w:r>
      <w:r w:rsidRPr="00E07B1B">
        <w:t>est</w:t>
      </w:r>
      <w:r>
        <w:t>; OR = odds ratio; RR = risk ratio</w:t>
      </w:r>
      <w:r w:rsidRPr="00E07B1B">
        <w:t xml:space="preserve">; WHO </w:t>
      </w:r>
      <w:r>
        <w:t>=</w:t>
      </w:r>
      <w:r w:rsidRPr="00E07B1B">
        <w:t xml:space="preserve"> World Health Organi</w:t>
      </w:r>
      <w:r>
        <w:t>z</w:t>
      </w:r>
      <w:r w:rsidRPr="00E07B1B">
        <w:t>ation</w:t>
      </w:r>
      <w:bookmarkStart w:id="454" w:name="_Toc358366903"/>
      <w:r w:rsidR="0080418E">
        <w:t>.</w:t>
      </w:r>
    </w:p>
    <w:p w:rsidR="0080418E" w:rsidRPr="0080418E" w:rsidRDefault="0080418E" w:rsidP="0080418E"/>
    <w:p w:rsidR="0025490C" w:rsidRPr="00E07B1B" w:rsidRDefault="0025490C" w:rsidP="0080418E">
      <w:pPr>
        <w:pStyle w:val="Table"/>
      </w:pPr>
      <w:bookmarkStart w:id="455" w:name="_Toc363717783"/>
      <w:bookmarkStart w:id="456" w:name="_Toc403635890"/>
      <w:r w:rsidRPr="00E07B1B">
        <w:t>Table 9</w:t>
      </w:r>
      <w:r w:rsidR="0080418E">
        <w:t>:</w:t>
      </w:r>
      <w:r w:rsidRPr="00E07B1B">
        <w:t xml:space="preserve"> Studies reporting on </w:t>
      </w:r>
      <w:r>
        <w:t>b</w:t>
      </w:r>
      <w:r w:rsidRPr="00E07B1B">
        <w:t xml:space="preserve">ody </w:t>
      </w:r>
      <w:r>
        <w:t>m</w:t>
      </w:r>
      <w:r w:rsidRPr="00E07B1B">
        <w:t xml:space="preserve">ass </w:t>
      </w:r>
      <w:r>
        <w:t>i</w:t>
      </w:r>
      <w:r w:rsidRPr="00E07B1B">
        <w:t>ndex/weight gain as a risk factor for developing gestational diabetes</w:t>
      </w:r>
      <w:bookmarkEnd w:id="454"/>
      <w:bookmarkEnd w:id="455"/>
      <w:bookmarkEnd w:id="456"/>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420"/>
        <w:gridCol w:w="1559"/>
        <w:gridCol w:w="1556"/>
        <w:gridCol w:w="4255"/>
        <w:gridCol w:w="4541"/>
        <w:gridCol w:w="1270"/>
      </w:tblGrid>
      <w:tr w:rsidR="0025490C" w:rsidRPr="00E11F9C" w:rsidTr="00002B75">
        <w:trPr>
          <w:cantSplit/>
          <w:tblHeader/>
        </w:trPr>
        <w:tc>
          <w:tcPr>
            <w:tcW w:w="486" w:type="pct"/>
            <w:tcBorders>
              <w:top w:val="single" w:sz="4" w:space="0" w:color="auto"/>
              <w:bottom w:val="single" w:sz="4" w:space="0" w:color="auto"/>
            </w:tcBorders>
            <w:shd w:val="clear" w:color="auto" w:fill="auto"/>
          </w:tcPr>
          <w:p w:rsidR="0025490C" w:rsidRPr="00E11F9C" w:rsidRDefault="0025490C" w:rsidP="00E11F9C">
            <w:pPr>
              <w:pStyle w:val="TableText"/>
              <w:rPr>
                <w:b/>
              </w:rPr>
            </w:pPr>
            <w:r w:rsidRPr="00E11F9C">
              <w:rPr>
                <w:b/>
              </w:rPr>
              <w:t>Study</w:t>
            </w:r>
          </w:p>
        </w:tc>
        <w:tc>
          <w:tcPr>
            <w:tcW w:w="534" w:type="pct"/>
            <w:tcBorders>
              <w:top w:val="single" w:sz="4" w:space="0" w:color="auto"/>
              <w:bottom w:val="single" w:sz="4" w:space="0" w:color="auto"/>
            </w:tcBorders>
            <w:shd w:val="clear" w:color="auto" w:fill="auto"/>
          </w:tcPr>
          <w:p w:rsidR="0025490C" w:rsidRPr="00E11F9C" w:rsidRDefault="0025490C" w:rsidP="00E11F9C">
            <w:pPr>
              <w:pStyle w:val="TableText"/>
              <w:rPr>
                <w:b/>
              </w:rPr>
            </w:pPr>
            <w:r w:rsidRPr="00E11F9C">
              <w:rPr>
                <w:b/>
              </w:rPr>
              <w:t>Country and sample size</w:t>
            </w:r>
          </w:p>
        </w:tc>
        <w:tc>
          <w:tcPr>
            <w:tcW w:w="533" w:type="pct"/>
            <w:tcBorders>
              <w:top w:val="single" w:sz="4" w:space="0" w:color="auto"/>
              <w:bottom w:val="single" w:sz="4" w:space="0" w:color="auto"/>
            </w:tcBorders>
            <w:shd w:val="clear" w:color="auto" w:fill="auto"/>
          </w:tcPr>
          <w:p w:rsidR="0025490C" w:rsidRPr="00E11F9C" w:rsidRDefault="0025490C" w:rsidP="00E11F9C">
            <w:pPr>
              <w:pStyle w:val="TableText"/>
              <w:rPr>
                <w:b/>
              </w:rPr>
            </w:pPr>
            <w:r w:rsidRPr="00E11F9C">
              <w:rPr>
                <w:b/>
              </w:rPr>
              <w:t>Study type</w:t>
            </w:r>
          </w:p>
        </w:tc>
        <w:tc>
          <w:tcPr>
            <w:tcW w:w="1457" w:type="pct"/>
            <w:tcBorders>
              <w:top w:val="single" w:sz="4" w:space="0" w:color="auto"/>
              <w:bottom w:val="single" w:sz="4" w:space="0" w:color="auto"/>
            </w:tcBorders>
            <w:shd w:val="clear" w:color="auto" w:fill="auto"/>
          </w:tcPr>
          <w:p w:rsidR="0025490C" w:rsidRPr="00E11F9C" w:rsidRDefault="0025490C" w:rsidP="00F65F1B">
            <w:pPr>
              <w:pStyle w:val="TableText"/>
              <w:ind w:right="142"/>
              <w:rPr>
                <w:b/>
              </w:rPr>
            </w:pPr>
            <w:r w:rsidRPr="00E11F9C">
              <w:rPr>
                <w:b/>
              </w:rPr>
              <w:t>Screening/diagnostic criteria</w:t>
            </w:r>
          </w:p>
        </w:tc>
        <w:tc>
          <w:tcPr>
            <w:tcW w:w="1555" w:type="pct"/>
            <w:tcBorders>
              <w:top w:val="single" w:sz="4" w:space="0" w:color="auto"/>
              <w:bottom w:val="single" w:sz="4" w:space="0" w:color="auto"/>
            </w:tcBorders>
            <w:shd w:val="clear" w:color="auto" w:fill="auto"/>
          </w:tcPr>
          <w:p w:rsidR="0025490C" w:rsidRPr="00E11F9C" w:rsidRDefault="0025490C" w:rsidP="00E11F9C">
            <w:pPr>
              <w:pStyle w:val="TableText"/>
              <w:rPr>
                <w:b/>
              </w:rPr>
            </w:pPr>
            <w:r w:rsidRPr="00E11F9C">
              <w:rPr>
                <w:b/>
              </w:rPr>
              <w:t>Main results</w:t>
            </w:r>
          </w:p>
        </w:tc>
        <w:tc>
          <w:tcPr>
            <w:tcW w:w="435" w:type="pct"/>
            <w:tcBorders>
              <w:top w:val="single" w:sz="4" w:space="0" w:color="auto"/>
              <w:bottom w:val="single" w:sz="4" w:space="0" w:color="auto"/>
            </w:tcBorders>
            <w:shd w:val="clear" w:color="auto" w:fill="auto"/>
          </w:tcPr>
          <w:p w:rsidR="0025490C" w:rsidRPr="00E11F9C" w:rsidRDefault="0025490C" w:rsidP="00F65F1B">
            <w:pPr>
              <w:pStyle w:val="TableText"/>
              <w:jc w:val="center"/>
              <w:rPr>
                <w:b/>
              </w:rPr>
            </w:pPr>
            <w:r w:rsidRPr="00E11F9C">
              <w:rPr>
                <w:b/>
              </w:rPr>
              <w:t>Quality of evidence</w:t>
            </w:r>
          </w:p>
        </w:tc>
      </w:tr>
      <w:tr w:rsidR="0025490C" w:rsidRPr="00E07B1B" w:rsidTr="00002B75">
        <w:trPr>
          <w:cantSplit/>
        </w:trPr>
        <w:tc>
          <w:tcPr>
            <w:tcW w:w="486" w:type="pct"/>
            <w:tcBorders>
              <w:top w:val="single" w:sz="4" w:space="0" w:color="auto"/>
              <w:bottom w:val="nil"/>
            </w:tcBorders>
            <w:shd w:val="clear" w:color="auto" w:fill="F2F2F2" w:themeFill="background1" w:themeFillShade="F2"/>
          </w:tcPr>
          <w:p w:rsidR="0025490C" w:rsidRPr="00E07B1B" w:rsidRDefault="0025490C" w:rsidP="00F65F1B">
            <w:pPr>
              <w:pStyle w:val="TableText"/>
            </w:pPr>
            <w:r w:rsidRPr="00E07B1B">
              <w:t>Lagerros</w:t>
            </w:r>
            <w:r w:rsidR="00F65F1B">
              <w:br/>
            </w:r>
            <w:r w:rsidRPr="00E07B1B">
              <w:t>(2012)</w:t>
            </w:r>
          </w:p>
        </w:tc>
        <w:tc>
          <w:tcPr>
            <w:tcW w:w="534" w:type="pct"/>
            <w:tcBorders>
              <w:top w:val="single" w:sz="4" w:space="0" w:color="auto"/>
              <w:bottom w:val="nil"/>
            </w:tcBorders>
            <w:shd w:val="clear" w:color="auto" w:fill="F2F2F2" w:themeFill="background1" w:themeFillShade="F2"/>
          </w:tcPr>
          <w:p w:rsidR="0025490C" w:rsidRPr="00E07B1B" w:rsidRDefault="0025490C" w:rsidP="00F65F1B">
            <w:pPr>
              <w:pStyle w:val="TableText"/>
            </w:pPr>
            <w:r w:rsidRPr="00E07B1B">
              <w:t>Sweden</w:t>
            </w:r>
            <w:r w:rsidR="00F65F1B">
              <w:br/>
            </w:r>
            <w:r w:rsidRPr="00E07B1B">
              <w:t>332,083</w:t>
            </w:r>
          </w:p>
        </w:tc>
        <w:tc>
          <w:tcPr>
            <w:tcW w:w="533" w:type="pct"/>
            <w:tcBorders>
              <w:top w:val="single" w:sz="4" w:space="0" w:color="auto"/>
              <w:bottom w:val="nil"/>
            </w:tcBorders>
            <w:shd w:val="clear" w:color="auto" w:fill="F2F2F2" w:themeFill="background1" w:themeFillShade="F2"/>
          </w:tcPr>
          <w:p w:rsidR="0025490C" w:rsidRPr="00E07B1B" w:rsidRDefault="0025490C" w:rsidP="00E11F9C">
            <w:pPr>
              <w:pStyle w:val="TableText"/>
            </w:pPr>
            <w:r w:rsidRPr="00E07B1B">
              <w:t>Cohort</w:t>
            </w:r>
          </w:p>
        </w:tc>
        <w:tc>
          <w:tcPr>
            <w:tcW w:w="1457" w:type="pct"/>
            <w:tcBorders>
              <w:top w:val="single" w:sz="4" w:space="0" w:color="auto"/>
              <w:bottom w:val="nil"/>
            </w:tcBorders>
            <w:shd w:val="clear" w:color="auto" w:fill="F2F2F2" w:themeFill="background1" w:themeFillShade="F2"/>
          </w:tcPr>
          <w:p w:rsidR="0025490C" w:rsidRDefault="0025490C" w:rsidP="00F65F1B">
            <w:pPr>
              <w:pStyle w:val="TableText"/>
              <w:ind w:right="142"/>
            </w:pPr>
            <w:r w:rsidRPr="00E07B1B">
              <w:t>No details on screening</w:t>
            </w:r>
          </w:p>
          <w:p w:rsidR="0025490C" w:rsidRPr="00E07B1B" w:rsidRDefault="0025490C" w:rsidP="00F65F1B">
            <w:pPr>
              <w:pStyle w:val="TableText"/>
              <w:ind w:right="142"/>
            </w:pPr>
            <w:r w:rsidRPr="00E07B1B">
              <w:t>75</w:t>
            </w:r>
            <w:r>
              <w:t xml:space="preserve"> </w:t>
            </w:r>
            <w:r w:rsidRPr="00E07B1B">
              <w:t>g OGTT (</w:t>
            </w:r>
            <w:r>
              <w:t>f</w:t>
            </w:r>
            <w:r w:rsidRPr="00E07B1B">
              <w:t>asting plasma ≥</w:t>
            </w:r>
            <w:r>
              <w:t> </w:t>
            </w:r>
            <w:r w:rsidRPr="00E07B1B">
              <w:t>7.0</w:t>
            </w:r>
            <w:r>
              <w:t> </w:t>
            </w:r>
            <w:r w:rsidRPr="00E07B1B">
              <w:t>mmol/L, and</w:t>
            </w:r>
            <w:r>
              <w:t>/</w:t>
            </w:r>
            <w:r w:rsidRPr="00E07B1B">
              <w:t>or</w:t>
            </w:r>
            <w:r>
              <w:t xml:space="preserve"> </w:t>
            </w:r>
            <w:r w:rsidRPr="00E07B1B">
              <w:t>2</w:t>
            </w:r>
            <w:r>
              <w:t>-</w:t>
            </w:r>
            <w:r w:rsidRPr="00E07B1B">
              <w:t>hour plasma ≥</w:t>
            </w:r>
            <w:r>
              <w:t xml:space="preserve"> </w:t>
            </w:r>
            <w:r w:rsidRPr="00E07B1B">
              <w:t>10.0</w:t>
            </w:r>
            <w:r>
              <w:t xml:space="preserve"> </w:t>
            </w:r>
            <w:r w:rsidRPr="00E07B1B">
              <w:t>mmol/L, or manifest diabetes only diagnosed as fasting plasma ≥</w:t>
            </w:r>
            <w:r>
              <w:t> </w:t>
            </w:r>
            <w:r w:rsidRPr="00E07B1B">
              <w:t>7.0</w:t>
            </w:r>
            <w:r>
              <w:t> </w:t>
            </w:r>
            <w:r w:rsidRPr="00E07B1B">
              <w:t>mmol/L and/or 2</w:t>
            </w:r>
            <w:r>
              <w:t>-</w:t>
            </w:r>
            <w:r w:rsidRPr="00E07B1B">
              <w:t>hour plasma ≥</w:t>
            </w:r>
            <w:r>
              <w:t xml:space="preserve"> </w:t>
            </w:r>
            <w:r w:rsidRPr="00E07B1B">
              <w:t>12.2</w:t>
            </w:r>
            <w:r>
              <w:t xml:space="preserve"> </w:t>
            </w:r>
            <w:r w:rsidRPr="00E07B1B">
              <w:t>mmol/L).</w:t>
            </w:r>
          </w:p>
        </w:tc>
        <w:tc>
          <w:tcPr>
            <w:tcW w:w="1555" w:type="pct"/>
            <w:tcBorders>
              <w:top w:val="single" w:sz="4" w:space="0" w:color="auto"/>
              <w:bottom w:val="nil"/>
            </w:tcBorders>
            <w:shd w:val="clear" w:color="auto" w:fill="F2F2F2" w:themeFill="background1" w:themeFillShade="F2"/>
          </w:tcPr>
          <w:p w:rsidR="0025490C" w:rsidRDefault="0025490C" w:rsidP="00E11F9C">
            <w:pPr>
              <w:pStyle w:val="TableText"/>
            </w:pPr>
            <w:r w:rsidRPr="00E07B1B">
              <w:t>Small for gestational age compared with appropriate for gestational age (adj OR 2.3, 95%CI 1.8</w:t>
            </w:r>
            <w:r>
              <w:t>–</w:t>
            </w:r>
            <w:r w:rsidRPr="00E07B1B">
              <w:t>2.9)</w:t>
            </w:r>
            <w:r>
              <w:t>.</w:t>
            </w:r>
          </w:p>
          <w:p w:rsidR="0025490C" w:rsidRDefault="0025490C" w:rsidP="00E11F9C">
            <w:pPr>
              <w:pStyle w:val="TableText"/>
            </w:pPr>
            <w:r w:rsidRPr="00E07B1B">
              <w:t>Large for gestational age compared with appropriate for gestational age (adj OR 1.8, 95%CI 1.3</w:t>
            </w:r>
            <w:r>
              <w:t>–</w:t>
            </w:r>
            <w:r w:rsidRPr="00E07B1B">
              <w:t>2.4)</w:t>
            </w:r>
            <w:r>
              <w:t>.</w:t>
            </w:r>
          </w:p>
          <w:p w:rsidR="0025490C" w:rsidRDefault="0025490C" w:rsidP="00E11F9C">
            <w:pPr>
              <w:pStyle w:val="TableText"/>
            </w:pPr>
            <w:r w:rsidRPr="00E07B1B">
              <w:t>Underweight compared with normal weight (adj OR 1.1, 95%CI 0.7</w:t>
            </w:r>
            <w:r>
              <w:t>–</w:t>
            </w:r>
            <w:r w:rsidRPr="00E07B1B">
              <w:t>1.8)</w:t>
            </w:r>
            <w:r>
              <w:t>.</w:t>
            </w:r>
          </w:p>
          <w:p w:rsidR="0025490C" w:rsidRDefault="0025490C" w:rsidP="00E11F9C">
            <w:pPr>
              <w:pStyle w:val="TableText"/>
            </w:pPr>
            <w:r w:rsidRPr="00E07B1B">
              <w:t>Overweight compared with normal weight (adj OR 2.2, 95%CI 1.9</w:t>
            </w:r>
            <w:r>
              <w:t>–</w:t>
            </w:r>
            <w:r w:rsidRPr="00E07B1B">
              <w:t>2.6)</w:t>
            </w:r>
            <w:r>
              <w:t>.</w:t>
            </w:r>
          </w:p>
          <w:p w:rsidR="0025490C" w:rsidRDefault="0025490C" w:rsidP="00E11F9C">
            <w:pPr>
              <w:pStyle w:val="TableText"/>
            </w:pPr>
            <w:r w:rsidRPr="00E07B1B">
              <w:t>Obese compared with normal weight (adj OR 4.5, 95%CI 3.8</w:t>
            </w:r>
            <w:r>
              <w:t>–</w:t>
            </w:r>
            <w:r w:rsidRPr="00E07B1B">
              <w:t>5.4)</w:t>
            </w:r>
            <w:r>
              <w:t>.</w:t>
            </w:r>
          </w:p>
          <w:p w:rsidR="0025490C" w:rsidRPr="00E07B1B" w:rsidRDefault="0025490C" w:rsidP="00E11F9C">
            <w:pPr>
              <w:pStyle w:val="TableText"/>
            </w:pPr>
            <w:r w:rsidRPr="00E07B1B">
              <w:t>Morbidly obese compared with normal weight (adj OR 11.1, 95%CI 9.3</w:t>
            </w:r>
            <w:r>
              <w:t>–</w:t>
            </w:r>
            <w:r w:rsidRPr="00E07B1B">
              <w:t>13.2)</w:t>
            </w:r>
            <w:r>
              <w:t>.</w:t>
            </w:r>
          </w:p>
        </w:tc>
        <w:tc>
          <w:tcPr>
            <w:tcW w:w="435" w:type="pct"/>
            <w:tcBorders>
              <w:top w:val="single" w:sz="4" w:space="0" w:color="auto"/>
              <w:bottom w:val="nil"/>
            </w:tcBorders>
            <w:shd w:val="clear" w:color="auto" w:fill="F2F2F2" w:themeFill="background1" w:themeFillShade="F2"/>
          </w:tcPr>
          <w:p w:rsidR="0025490C" w:rsidRPr="00E07B1B" w:rsidRDefault="0025490C" w:rsidP="00F65F1B">
            <w:pPr>
              <w:pStyle w:val="TableText"/>
              <w:jc w:val="center"/>
            </w:pPr>
            <w:r w:rsidRPr="00E07B1B">
              <w:t>HIGH</w:t>
            </w:r>
          </w:p>
        </w:tc>
      </w:tr>
      <w:tr w:rsidR="0025490C" w:rsidRPr="00E07B1B" w:rsidTr="00002B75">
        <w:trPr>
          <w:cantSplit/>
        </w:trPr>
        <w:tc>
          <w:tcPr>
            <w:tcW w:w="486" w:type="pct"/>
            <w:tcBorders>
              <w:top w:val="nil"/>
              <w:bottom w:val="nil"/>
            </w:tcBorders>
            <w:shd w:val="clear" w:color="auto" w:fill="auto"/>
          </w:tcPr>
          <w:p w:rsidR="0025490C" w:rsidRPr="00E07B1B" w:rsidRDefault="0025490C" w:rsidP="00F65F1B">
            <w:pPr>
              <w:pStyle w:val="TableText"/>
            </w:pPr>
            <w:r w:rsidRPr="00E07B1B">
              <w:t>Hedderson</w:t>
            </w:r>
            <w:r w:rsidR="00F65F1B">
              <w:br/>
            </w:r>
            <w:r w:rsidR="003E4B01">
              <w:t>(2012)</w:t>
            </w:r>
          </w:p>
        </w:tc>
        <w:tc>
          <w:tcPr>
            <w:tcW w:w="534" w:type="pct"/>
            <w:tcBorders>
              <w:top w:val="nil"/>
              <w:bottom w:val="nil"/>
            </w:tcBorders>
            <w:shd w:val="clear" w:color="auto" w:fill="auto"/>
          </w:tcPr>
          <w:p w:rsidR="0025490C" w:rsidRPr="00E07B1B" w:rsidRDefault="0025490C" w:rsidP="00F65F1B">
            <w:pPr>
              <w:pStyle w:val="TableText"/>
            </w:pPr>
            <w:r w:rsidRPr="00E07B1B">
              <w:t>USA</w:t>
            </w:r>
            <w:r w:rsidR="00F65F1B">
              <w:br/>
            </w:r>
            <w:r w:rsidRPr="00E07B1B">
              <w:t>123,040</w:t>
            </w:r>
          </w:p>
        </w:tc>
        <w:tc>
          <w:tcPr>
            <w:tcW w:w="533" w:type="pct"/>
            <w:tcBorders>
              <w:top w:val="nil"/>
              <w:bottom w:val="nil"/>
            </w:tcBorders>
            <w:shd w:val="clear" w:color="auto" w:fill="auto"/>
          </w:tcPr>
          <w:p w:rsidR="0025490C" w:rsidRPr="00E07B1B" w:rsidRDefault="0025490C" w:rsidP="00E11F9C">
            <w:pPr>
              <w:pStyle w:val="TableText"/>
            </w:pPr>
            <w:r w:rsidRPr="00E07B1B">
              <w:t>Cohort</w:t>
            </w:r>
          </w:p>
        </w:tc>
        <w:tc>
          <w:tcPr>
            <w:tcW w:w="1457" w:type="pct"/>
            <w:tcBorders>
              <w:top w:val="nil"/>
              <w:bottom w:val="nil"/>
            </w:tcBorders>
            <w:shd w:val="clear" w:color="auto" w:fill="auto"/>
          </w:tcPr>
          <w:p w:rsidR="0068074A" w:rsidRDefault="0025490C" w:rsidP="00F65F1B">
            <w:pPr>
              <w:pStyle w:val="TableText"/>
              <w:spacing w:after="30"/>
              <w:ind w:right="142"/>
            </w:pPr>
            <w:r w:rsidRPr="00E07B1B">
              <w:t>50</w:t>
            </w:r>
            <w:r>
              <w:t xml:space="preserve"> </w:t>
            </w:r>
            <w:r w:rsidRPr="00E07B1B">
              <w:t>g test and if abnormal underwent 3</w:t>
            </w:r>
            <w:r>
              <w:noBreakHyphen/>
            </w:r>
            <w:r w:rsidRPr="00E07B1B">
              <w:t>hour</w:t>
            </w:r>
            <w:r>
              <w:t>,</w:t>
            </w:r>
            <w:r w:rsidRPr="00E07B1B">
              <w:t xml:space="preserve"> 100</w:t>
            </w:r>
            <w:r>
              <w:t xml:space="preserve"> </w:t>
            </w:r>
            <w:r w:rsidRPr="00E07B1B">
              <w:t xml:space="preserve">g OGTT </w:t>
            </w:r>
            <w:r>
              <w:t xml:space="preserve">with </w:t>
            </w:r>
            <w:r w:rsidRPr="00E07B1B">
              <w:t>two or more abnormal values</w:t>
            </w:r>
            <w:r>
              <w:t xml:space="preserve"> required</w:t>
            </w:r>
            <w:r w:rsidRPr="00E07B1B">
              <w:t xml:space="preserve">, </w:t>
            </w:r>
            <w:r>
              <w:t xml:space="preserve">using </w:t>
            </w:r>
            <w:r w:rsidRPr="00E07B1B">
              <w:t>ADA criteria</w:t>
            </w:r>
            <w:r>
              <w:t>:</w:t>
            </w:r>
          </w:p>
          <w:p w:rsidR="0025490C" w:rsidRDefault="0025490C" w:rsidP="00F65F1B">
            <w:pPr>
              <w:pStyle w:val="TableBullet"/>
              <w:spacing w:after="30"/>
              <w:ind w:left="284"/>
            </w:pPr>
            <w:r w:rsidRPr="00E07B1B">
              <w:t>fasting 95</w:t>
            </w:r>
            <w:r>
              <w:t> </w:t>
            </w:r>
            <w:r w:rsidRPr="00E07B1B">
              <w:t>mg</w:t>
            </w:r>
            <w:r>
              <w:t>/dL</w:t>
            </w:r>
          </w:p>
          <w:p w:rsidR="0025490C" w:rsidRDefault="0025490C" w:rsidP="00F65F1B">
            <w:pPr>
              <w:pStyle w:val="TableBullet"/>
              <w:spacing w:after="30"/>
              <w:ind w:left="284"/>
            </w:pPr>
            <w:r w:rsidRPr="00E07B1B">
              <w:t>1</w:t>
            </w:r>
            <w:r>
              <w:t>-</w:t>
            </w:r>
            <w:r w:rsidRPr="00E07B1B">
              <w:t>hour 180</w:t>
            </w:r>
            <w:r>
              <w:t> </w:t>
            </w:r>
            <w:r w:rsidRPr="00E07B1B">
              <w:t>mg</w:t>
            </w:r>
            <w:r>
              <w:t>/dL</w:t>
            </w:r>
          </w:p>
          <w:p w:rsidR="0025490C" w:rsidRDefault="0025490C" w:rsidP="00F65F1B">
            <w:pPr>
              <w:pStyle w:val="TableBullet"/>
              <w:spacing w:after="30"/>
              <w:ind w:left="284"/>
            </w:pPr>
            <w:r w:rsidRPr="00E07B1B">
              <w:t>2</w:t>
            </w:r>
            <w:r>
              <w:t>-</w:t>
            </w:r>
            <w:r w:rsidRPr="00E07B1B">
              <w:t>hour 155 mg</w:t>
            </w:r>
            <w:r>
              <w:t>/dL</w:t>
            </w:r>
          </w:p>
          <w:p w:rsidR="0025490C" w:rsidRPr="00E07B1B" w:rsidRDefault="0025490C" w:rsidP="00F65F1B">
            <w:pPr>
              <w:pStyle w:val="TableBullet"/>
              <w:ind w:left="284"/>
            </w:pPr>
            <w:r w:rsidRPr="00E07B1B">
              <w:t>3</w:t>
            </w:r>
            <w:r>
              <w:t>-</w:t>
            </w:r>
            <w:r w:rsidRPr="00E07B1B">
              <w:t>hour 140</w:t>
            </w:r>
            <w:r>
              <w:t> </w:t>
            </w:r>
            <w:r w:rsidRPr="00E07B1B">
              <w:t>mg</w:t>
            </w:r>
            <w:r>
              <w:t>/dL</w:t>
            </w:r>
            <w:r w:rsidRPr="00E07B1B">
              <w:t>.</w:t>
            </w:r>
          </w:p>
        </w:tc>
        <w:tc>
          <w:tcPr>
            <w:tcW w:w="1555" w:type="pct"/>
            <w:tcBorders>
              <w:top w:val="nil"/>
              <w:bottom w:val="nil"/>
            </w:tcBorders>
            <w:shd w:val="clear" w:color="auto" w:fill="auto"/>
          </w:tcPr>
          <w:p w:rsidR="0025490C" w:rsidRDefault="0025490C" w:rsidP="00E11F9C">
            <w:pPr>
              <w:pStyle w:val="TableText"/>
            </w:pPr>
            <w:r w:rsidRPr="00E07B1B">
              <w:t>Prevalence of GDM in Asian and Filipina women was higher at a lower BMI (22</w:t>
            </w:r>
            <w:r>
              <w:t>–</w:t>
            </w:r>
            <w:r w:rsidRPr="00E07B1B">
              <w:t>24.9</w:t>
            </w:r>
            <w:r>
              <w:t xml:space="preserve"> </w:t>
            </w:r>
            <w:r w:rsidRPr="00E07B1B">
              <w:t>kg/m</w:t>
            </w:r>
            <w:r w:rsidRPr="00E07B1B">
              <w:rPr>
                <w:vertAlign w:val="superscript"/>
              </w:rPr>
              <w:t>2</w:t>
            </w:r>
            <w:r w:rsidRPr="00E07B1B">
              <w:t xml:space="preserve">) whereas for Hispanic, non-Hispanic </w:t>
            </w:r>
            <w:r>
              <w:t>W</w:t>
            </w:r>
            <w:r w:rsidRPr="00E07B1B">
              <w:t>hite and African American women</w:t>
            </w:r>
            <w:r>
              <w:t>,</w:t>
            </w:r>
            <w:r w:rsidRPr="00E07B1B">
              <w:t xml:space="preserve"> the higher</w:t>
            </w:r>
            <w:r>
              <w:t xml:space="preserve"> </w:t>
            </w:r>
            <w:r w:rsidRPr="00E07B1B">
              <w:t>prevalence occurred with BMIs of 28</w:t>
            </w:r>
            <w:r>
              <w:t>–</w:t>
            </w:r>
            <w:r w:rsidRPr="00E07B1B">
              <w:t>30, 34</w:t>
            </w:r>
            <w:r>
              <w:t>–</w:t>
            </w:r>
            <w:r w:rsidRPr="00E07B1B">
              <w:t>36 and</w:t>
            </w:r>
            <w:r>
              <w:t xml:space="preserve"> </w:t>
            </w:r>
            <w:r w:rsidRPr="00E07B1B">
              <w:t>≥</w:t>
            </w:r>
            <w:r>
              <w:t> </w:t>
            </w:r>
            <w:r w:rsidRPr="00E07B1B">
              <w:t>37</w:t>
            </w:r>
            <w:r>
              <w:t> </w:t>
            </w:r>
            <w:r w:rsidRPr="00E07B1B">
              <w:t>kg/m</w:t>
            </w:r>
            <w:r w:rsidRPr="00E07B1B">
              <w:rPr>
                <w:vertAlign w:val="superscript"/>
              </w:rPr>
              <w:t>2</w:t>
            </w:r>
            <w:r w:rsidRPr="00E07B1B">
              <w:t xml:space="preserve"> respectively.</w:t>
            </w:r>
          </w:p>
          <w:p w:rsidR="0025490C" w:rsidRPr="00002B75" w:rsidRDefault="0025490C" w:rsidP="00E11F9C">
            <w:pPr>
              <w:pStyle w:val="TableText"/>
            </w:pPr>
            <w:r w:rsidRPr="00002B75">
              <w:t>The estimated population attributable risks suggested that 65% of cases of GDM in African American women and 23% in Asian women could be prevented if women were of normal BMI (&lt; 25 kg/m</w:t>
            </w:r>
            <w:r w:rsidRPr="00002B75">
              <w:rPr>
                <w:vertAlign w:val="superscript"/>
              </w:rPr>
              <w:t>2</w:t>
            </w:r>
            <w:r w:rsidRPr="00002B75">
              <w:t>)</w:t>
            </w:r>
            <w:r w:rsidR="00F65F1B" w:rsidRPr="00002B75">
              <w:t>.</w:t>
            </w:r>
          </w:p>
        </w:tc>
        <w:tc>
          <w:tcPr>
            <w:tcW w:w="435" w:type="pct"/>
            <w:tcBorders>
              <w:top w:val="nil"/>
              <w:bottom w:val="nil"/>
            </w:tcBorders>
            <w:shd w:val="clear" w:color="auto" w:fill="auto"/>
          </w:tcPr>
          <w:p w:rsidR="0025490C" w:rsidRPr="00E07B1B" w:rsidRDefault="0025490C" w:rsidP="00F65F1B">
            <w:pPr>
              <w:pStyle w:val="TableText"/>
              <w:jc w:val="center"/>
            </w:pPr>
            <w:r w:rsidRPr="00E07B1B">
              <w:t>LOW</w:t>
            </w:r>
          </w:p>
        </w:tc>
      </w:tr>
      <w:tr w:rsidR="0025490C" w:rsidRPr="00E07B1B" w:rsidTr="00002B75">
        <w:trPr>
          <w:cantSplit/>
        </w:trPr>
        <w:tc>
          <w:tcPr>
            <w:tcW w:w="486" w:type="pct"/>
            <w:tcBorders>
              <w:top w:val="nil"/>
              <w:bottom w:val="nil"/>
            </w:tcBorders>
            <w:shd w:val="clear" w:color="auto" w:fill="F2F2F2" w:themeFill="background1" w:themeFillShade="F2"/>
          </w:tcPr>
          <w:p w:rsidR="0025490C" w:rsidRPr="00E07B1B" w:rsidRDefault="0025490C" w:rsidP="003E4B01">
            <w:pPr>
              <w:pStyle w:val="TableText"/>
            </w:pPr>
            <w:r w:rsidRPr="00E07B1B">
              <w:t>Carreno</w:t>
            </w:r>
            <w:r w:rsidR="003E4B01">
              <w:br/>
            </w:r>
            <w:r w:rsidRPr="00E07B1B">
              <w:t>(2012)</w:t>
            </w:r>
          </w:p>
        </w:tc>
        <w:tc>
          <w:tcPr>
            <w:tcW w:w="534" w:type="pct"/>
            <w:tcBorders>
              <w:top w:val="nil"/>
              <w:bottom w:val="nil"/>
            </w:tcBorders>
            <w:shd w:val="clear" w:color="auto" w:fill="F2F2F2" w:themeFill="background1" w:themeFillShade="F2"/>
          </w:tcPr>
          <w:p w:rsidR="0025490C" w:rsidRPr="00E07B1B" w:rsidRDefault="0025490C" w:rsidP="003E4B01">
            <w:pPr>
              <w:pStyle w:val="TableText"/>
            </w:pPr>
            <w:r w:rsidRPr="00E07B1B">
              <w:t>USA</w:t>
            </w:r>
            <w:r w:rsidR="003E4B01">
              <w:br/>
            </w:r>
            <w:r w:rsidRPr="00E07B1B">
              <w:t>10,154</w:t>
            </w:r>
          </w:p>
        </w:tc>
        <w:tc>
          <w:tcPr>
            <w:tcW w:w="533" w:type="pct"/>
            <w:tcBorders>
              <w:top w:val="nil"/>
              <w:bottom w:val="nil"/>
            </w:tcBorders>
            <w:shd w:val="clear" w:color="auto" w:fill="F2F2F2" w:themeFill="background1" w:themeFillShade="F2"/>
          </w:tcPr>
          <w:p w:rsidR="0025490C" w:rsidRPr="00E07B1B" w:rsidRDefault="0025490C" w:rsidP="00E11F9C">
            <w:pPr>
              <w:pStyle w:val="TableText"/>
            </w:pPr>
            <w:r w:rsidRPr="00E07B1B">
              <w:t>Secondary analysis of randomised trial</w:t>
            </w:r>
          </w:p>
        </w:tc>
        <w:tc>
          <w:tcPr>
            <w:tcW w:w="1457" w:type="pct"/>
            <w:tcBorders>
              <w:top w:val="nil"/>
              <w:bottom w:val="nil"/>
            </w:tcBorders>
            <w:shd w:val="clear" w:color="auto" w:fill="F2F2F2" w:themeFill="background1" w:themeFillShade="F2"/>
          </w:tcPr>
          <w:p w:rsidR="0025490C" w:rsidRPr="00E07B1B" w:rsidRDefault="0025490C" w:rsidP="00F65F1B">
            <w:pPr>
              <w:pStyle w:val="TableText"/>
              <w:ind w:right="142"/>
            </w:pPr>
            <w:r w:rsidRPr="00E07B1B">
              <w:t>No details on how GDM was diagnosed</w:t>
            </w:r>
            <w:r w:rsidR="008D1B19">
              <w:t>.</w:t>
            </w:r>
          </w:p>
        </w:tc>
        <w:tc>
          <w:tcPr>
            <w:tcW w:w="1555" w:type="pct"/>
            <w:tcBorders>
              <w:top w:val="nil"/>
              <w:bottom w:val="nil"/>
            </w:tcBorders>
            <w:shd w:val="clear" w:color="auto" w:fill="F2F2F2" w:themeFill="background1" w:themeFillShade="F2"/>
          </w:tcPr>
          <w:p w:rsidR="0025490C" w:rsidRDefault="0025490C" w:rsidP="00E11F9C">
            <w:pPr>
              <w:pStyle w:val="TableText"/>
            </w:pPr>
            <w:r w:rsidRPr="00E07B1B">
              <w:t>Overall after adjusting for maternal age, smoking, ethnicity and treatment group</w:t>
            </w:r>
            <w:r>
              <w:t>,</w:t>
            </w:r>
            <w:r w:rsidRPr="00E07B1B">
              <w:t xml:space="preserve"> the odds of developing GDM were 43% higher in the excessive early gestational weight gain group (adj OR 1.4, 95%CI 1.1</w:t>
            </w:r>
            <w:r>
              <w:t>–</w:t>
            </w:r>
            <w:r w:rsidRPr="00E07B1B">
              <w:t>1.9)</w:t>
            </w:r>
            <w:r>
              <w:t>.</w:t>
            </w:r>
          </w:p>
          <w:p w:rsidR="0025490C" w:rsidRPr="00E07B1B" w:rsidRDefault="0025490C" w:rsidP="008D1B19">
            <w:pPr>
              <w:pStyle w:val="TableText"/>
            </w:pPr>
            <w:r w:rsidRPr="00E07B1B">
              <w:t>The odds of developing GDM in overweight women was not associated with excessive early gestational weight gain (adj OR 1.6, 95%CI</w:t>
            </w:r>
            <w:r w:rsidR="008D1B19">
              <w:br/>
            </w:r>
            <w:r w:rsidRPr="00E07B1B">
              <w:t>1.0</w:t>
            </w:r>
            <w:r>
              <w:t>–</w:t>
            </w:r>
            <w:r w:rsidRPr="00E07B1B">
              <w:t>2.6), nor was any effect observed in obese women.</w:t>
            </w:r>
          </w:p>
        </w:tc>
        <w:tc>
          <w:tcPr>
            <w:tcW w:w="435" w:type="pct"/>
            <w:tcBorders>
              <w:top w:val="nil"/>
              <w:bottom w:val="nil"/>
            </w:tcBorders>
            <w:shd w:val="clear" w:color="auto" w:fill="F2F2F2" w:themeFill="background1" w:themeFillShade="F2"/>
          </w:tcPr>
          <w:p w:rsidR="0025490C" w:rsidRPr="00E07B1B" w:rsidRDefault="0025490C" w:rsidP="00F65F1B">
            <w:pPr>
              <w:pStyle w:val="TableText"/>
              <w:jc w:val="center"/>
            </w:pPr>
            <w:r w:rsidRPr="00E07B1B">
              <w:t>MEDIUM</w:t>
            </w:r>
          </w:p>
        </w:tc>
      </w:tr>
      <w:tr w:rsidR="0025490C" w:rsidRPr="00E07B1B" w:rsidTr="00002B75">
        <w:trPr>
          <w:cantSplit/>
        </w:trPr>
        <w:tc>
          <w:tcPr>
            <w:tcW w:w="486" w:type="pct"/>
            <w:tcBorders>
              <w:top w:val="nil"/>
              <w:bottom w:val="nil"/>
            </w:tcBorders>
            <w:shd w:val="clear" w:color="auto" w:fill="auto"/>
          </w:tcPr>
          <w:p w:rsidR="0025490C" w:rsidRPr="00E07B1B" w:rsidRDefault="0025490C" w:rsidP="003E4B01">
            <w:pPr>
              <w:pStyle w:val="TableText"/>
            </w:pPr>
            <w:r w:rsidRPr="00E07B1B">
              <w:t>Singh</w:t>
            </w:r>
            <w:r w:rsidR="003E4B01">
              <w:br/>
            </w:r>
            <w:r w:rsidRPr="00E07B1B">
              <w:t>(2012)</w:t>
            </w:r>
          </w:p>
        </w:tc>
        <w:tc>
          <w:tcPr>
            <w:tcW w:w="534" w:type="pct"/>
            <w:tcBorders>
              <w:top w:val="nil"/>
              <w:bottom w:val="nil"/>
            </w:tcBorders>
            <w:shd w:val="clear" w:color="auto" w:fill="auto"/>
          </w:tcPr>
          <w:p w:rsidR="0025490C" w:rsidRPr="00E07B1B" w:rsidRDefault="0025490C" w:rsidP="003E4B01">
            <w:pPr>
              <w:pStyle w:val="TableText"/>
            </w:pPr>
            <w:r w:rsidRPr="00E07B1B">
              <w:t>USA</w:t>
            </w:r>
            <w:r w:rsidR="003E4B01">
              <w:br/>
            </w:r>
            <w:r w:rsidRPr="00E07B1B">
              <w:t>26,842</w:t>
            </w:r>
          </w:p>
        </w:tc>
        <w:tc>
          <w:tcPr>
            <w:tcW w:w="533" w:type="pct"/>
            <w:tcBorders>
              <w:top w:val="nil"/>
              <w:bottom w:val="nil"/>
            </w:tcBorders>
            <w:shd w:val="clear" w:color="auto" w:fill="auto"/>
          </w:tcPr>
          <w:p w:rsidR="0025490C" w:rsidRPr="00E07B1B" w:rsidRDefault="0025490C" w:rsidP="00E11F9C">
            <w:pPr>
              <w:pStyle w:val="TableText"/>
            </w:pPr>
            <w:r w:rsidRPr="00E07B1B">
              <w:t>Retrospective cohort</w:t>
            </w:r>
          </w:p>
        </w:tc>
        <w:tc>
          <w:tcPr>
            <w:tcW w:w="1457" w:type="pct"/>
            <w:tcBorders>
              <w:top w:val="nil"/>
              <w:bottom w:val="nil"/>
            </w:tcBorders>
            <w:shd w:val="clear" w:color="auto" w:fill="auto"/>
          </w:tcPr>
          <w:p w:rsidR="0025490C" w:rsidRPr="00E07B1B" w:rsidRDefault="0025490C" w:rsidP="00F65F1B">
            <w:pPr>
              <w:pStyle w:val="TableText"/>
              <w:ind w:right="142"/>
            </w:pPr>
            <w:r w:rsidRPr="00E07B1B">
              <w:t>Not clearly specified</w:t>
            </w:r>
            <w:r w:rsidR="008D1B19">
              <w:t>.</w:t>
            </w:r>
          </w:p>
        </w:tc>
        <w:tc>
          <w:tcPr>
            <w:tcW w:w="1555" w:type="pct"/>
            <w:tcBorders>
              <w:top w:val="nil"/>
              <w:bottom w:val="nil"/>
            </w:tcBorders>
            <w:shd w:val="clear" w:color="auto" w:fill="auto"/>
          </w:tcPr>
          <w:p w:rsidR="0025490C" w:rsidRPr="00E07B1B" w:rsidRDefault="0025490C" w:rsidP="008D1B19">
            <w:pPr>
              <w:pStyle w:val="TableText"/>
            </w:pPr>
            <w:r w:rsidRPr="00E07B1B">
              <w:t>Increased risk with increasing BMI</w:t>
            </w:r>
            <w:r w:rsidR="003E4B01">
              <w:br/>
            </w:r>
            <w:r w:rsidRPr="00E07B1B">
              <w:t>&gt;</w:t>
            </w:r>
            <w:r>
              <w:t> </w:t>
            </w:r>
            <w:r w:rsidRPr="00E07B1B">
              <w:t>35</w:t>
            </w:r>
            <w:r>
              <w:t>–</w:t>
            </w:r>
            <w:r w:rsidRPr="00E07B1B">
              <w:t>39.99</w:t>
            </w:r>
            <w:r>
              <w:t> </w:t>
            </w:r>
            <w:r w:rsidRPr="00E07B1B">
              <w:t>kg/m</w:t>
            </w:r>
            <w:r w:rsidRPr="00E07B1B">
              <w:rPr>
                <w:vertAlign w:val="superscript"/>
              </w:rPr>
              <w:t>2</w:t>
            </w:r>
            <w:r w:rsidRPr="00E07B1B">
              <w:t xml:space="preserve"> OR 4.77 (95%CI 4.26</w:t>
            </w:r>
            <w:r>
              <w:t>–</w:t>
            </w:r>
            <w:r w:rsidRPr="00E07B1B">
              <w:t>5.34) BMI &gt;</w:t>
            </w:r>
            <w:r w:rsidR="003E4B01">
              <w:t> </w:t>
            </w:r>
            <w:r w:rsidRPr="00E07B1B">
              <w:t>40 kg/m</w:t>
            </w:r>
            <w:r w:rsidRPr="00E07B1B">
              <w:rPr>
                <w:vertAlign w:val="superscript"/>
              </w:rPr>
              <w:t>2</w:t>
            </w:r>
            <w:r w:rsidRPr="00E07B1B">
              <w:t xml:space="preserve"> OR 5.57 (95%CI 4.9</w:t>
            </w:r>
            <w:r>
              <w:t>–</w:t>
            </w:r>
            <w:r w:rsidRPr="00E07B1B">
              <w:t>6.32). Adj OR for BMI was 1.08 (95%CI 1.08</w:t>
            </w:r>
            <w:r>
              <w:t>–</w:t>
            </w:r>
            <w:r w:rsidRPr="00E07B1B">
              <w:t>1.09) for each unit increase of BMI and OR 1.48 (95%CI</w:t>
            </w:r>
            <w:r w:rsidR="008D1B19">
              <w:br/>
            </w:r>
            <w:r w:rsidRPr="00E07B1B">
              <w:t>1.45</w:t>
            </w:r>
            <w:r>
              <w:t>–</w:t>
            </w:r>
            <w:r w:rsidRPr="00E07B1B">
              <w:t>1.51) for each five</w:t>
            </w:r>
            <w:r>
              <w:t>-</w:t>
            </w:r>
            <w:r w:rsidRPr="00E07B1B">
              <w:t>unit increase.</w:t>
            </w:r>
          </w:p>
        </w:tc>
        <w:tc>
          <w:tcPr>
            <w:tcW w:w="435" w:type="pct"/>
            <w:tcBorders>
              <w:top w:val="nil"/>
              <w:bottom w:val="nil"/>
            </w:tcBorders>
            <w:shd w:val="clear" w:color="auto" w:fill="auto"/>
          </w:tcPr>
          <w:p w:rsidR="0025490C" w:rsidRPr="00E07B1B" w:rsidRDefault="0025490C" w:rsidP="00F65F1B">
            <w:pPr>
              <w:pStyle w:val="TableText"/>
              <w:jc w:val="center"/>
            </w:pPr>
            <w:r w:rsidRPr="00E07B1B">
              <w:t>HIGH</w:t>
            </w:r>
          </w:p>
        </w:tc>
      </w:tr>
      <w:tr w:rsidR="0025490C" w:rsidRPr="00E07B1B" w:rsidTr="00002B75">
        <w:trPr>
          <w:cantSplit/>
        </w:trPr>
        <w:tc>
          <w:tcPr>
            <w:tcW w:w="486" w:type="pct"/>
            <w:tcBorders>
              <w:top w:val="nil"/>
              <w:bottom w:val="nil"/>
            </w:tcBorders>
            <w:shd w:val="clear" w:color="auto" w:fill="F2F2F2" w:themeFill="background1" w:themeFillShade="F2"/>
          </w:tcPr>
          <w:p w:rsidR="0025490C" w:rsidRPr="00E07B1B" w:rsidRDefault="0025490C" w:rsidP="003E4B01">
            <w:pPr>
              <w:pStyle w:val="TableText"/>
            </w:pPr>
            <w:r w:rsidRPr="00E07B1B">
              <w:t>Heude</w:t>
            </w:r>
            <w:r w:rsidR="003E4B01">
              <w:br/>
            </w:r>
            <w:r w:rsidRPr="00E07B1B">
              <w:t>(2012)</w:t>
            </w:r>
          </w:p>
        </w:tc>
        <w:tc>
          <w:tcPr>
            <w:tcW w:w="534" w:type="pct"/>
            <w:tcBorders>
              <w:top w:val="nil"/>
              <w:bottom w:val="nil"/>
            </w:tcBorders>
            <w:shd w:val="clear" w:color="auto" w:fill="F2F2F2" w:themeFill="background1" w:themeFillShade="F2"/>
          </w:tcPr>
          <w:p w:rsidR="0025490C" w:rsidRPr="00E07B1B" w:rsidRDefault="0025490C" w:rsidP="003E4B01">
            <w:pPr>
              <w:pStyle w:val="TableText"/>
            </w:pPr>
            <w:r w:rsidRPr="00E07B1B">
              <w:t>France</w:t>
            </w:r>
            <w:r w:rsidR="003E4B01">
              <w:br/>
            </w:r>
            <w:r w:rsidRPr="00E07B1B">
              <w:t>1884</w:t>
            </w:r>
          </w:p>
        </w:tc>
        <w:tc>
          <w:tcPr>
            <w:tcW w:w="533" w:type="pct"/>
            <w:tcBorders>
              <w:top w:val="nil"/>
              <w:bottom w:val="nil"/>
            </w:tcBorders>
            <w:shd w:val="clear" w:color="auto" w:fill="F2F2F2" w:themeFill="background1" w:themeFillShade="F2"/>
          </w:tcPr>
          <w:p w:rsidR="0025490C" w:rsidRPr="00E07B1B" w:rsidRDefault="0025490C" w:rsidP="00E11F9C">
            <w:pPr>
              <w:pStyle w:val="TableText"/>
            </w:pPr>
            <w:r w:rsidRPr="00E07B1B">
              <w:t>Prospective cohort</w:t>
            </w:r>
          </w:p>
        </w:tc>
        <w:tc>
          <w:tcPr>
            <w:tcW w:w="1457" w:type="pct"/>
            <w:tcBorders>
              <w:top w:val="nil"/>
              <w:bottom w:val="nil"/>
            </w:tcBorders>
            <w:shd w:val="clear" w:color="auto" w:fill="F2F2F2" w:themeFill="background1" w:themeFillShade="F2"/>
          </w:tcPr>
          <w:p w:rsidR="0025490C" w:rsidRDefault="0025490C" w:rsidP="003E4B01">
            <w:pPr>
              <w:pStyle w:val="TableText"/>
              <w:spacing w:after="30"/>
              <w:ind w:right="142"/>
            </w:pPr>
            <w:r w:rsidRPr="00E07B1B">
              <w:t>1</w:t>
            </w:r>
            <w:r>
              <w:t>-</w:t>
            </w:r>
            <w:r w:rsidRPr="00E07B1B">
              <w:t>hour</w:t>
            </w:r>
            <w:r>
              <w:t>,</w:t>
            </w:r>
            <w:r w:rsidRPr="00E07B1B">
              <w:t xml:space="preserve"> 50 </w:t>
            </w:r>
            <w:r>
              <w:t xml:space="preserve">g </w:t>
            </w:r>
            <w:r w:rsidRPr="00E07B1B">
              <w:t>OGCT</w:t>
            </w:r>
            <w:r>
              <w:t>. I</w:t>
            </w:r>
            <w:r w:rsidRPr="00E07B1B">
              <w:t>f &gt;</w:t>
            </w:r>
            <w:r>
              <w:t> </w:t>
            </w:r>
            <w:r w:rsidRPr="00E07B1B">
              <w:t>130</w:t>
            </w:r>
            <w:r>
              <w:t> </w:t>
            </w:r>
            <w:r w:rsidRPr="00E07B1B">
              <w:t>mg</w:t>
            </w:r>
            <w:r>
              <w:t>/dL</w:t>
            </w:r>
            <w:r w:rsidRPr="00E07B1B">
              <w:t xml:space="preserve"> in Nancy or &gt;</w:t>
            </w:r>
            <w:r>
              <w:t> </w:t>
            </w:r>
            <w:r w:rsidRPr="00E07B1B">
              <w:t>140</w:t>
            </w:r>
            <w:r>
              <w:t> </w:t>
            </w:r>
            <w:r w:rsidRPr="00E07B1B">
              <w:t>mg</w:t>
            </w:r>
            <w:r>
              <w:t>/dL</w:t>
            </w:r>
            <w:r w:rsidRPr="00E07B1B">
              <w:t xml:space="preserve"> in Poitiers</w:t>
            </w:r>
            <w:r>
              <w:t>,</w:t>
            </w:r>
            <w:r w:rsidRPr="00E07B1B">
              <w:t xml:space="preserve"> then 3</w:t>
            </w:r>
            <w:r w:rsidR="003E4B01">
              <w:noBreakHyphen/>
            </w:r>
            <w:r w:rsidRPr="00E07B1B">
              <w:t>hour</w:t>
            </w:r>
            <w:r>
              <w:t>,</w:t>
            </w:r>
            <w:r w:rsidRPr="00E07B1B">
              <w:t xml:space="preserve"> 100</w:t>
            </w:r>
            <w:r>
              <w:t xml:space="preserve"> </w:t>
            </w:r>
            <w:r w:rsidRPr="00E07B1B">
              <w:t xml:space="preserve">g OGTT </w:t>
            </w:r>
            <w:r>
              <w:t>with two</w:t>
            </w:r>
            <w:r w:rsidRPr="00E07B1B">
              <w:t xml:space="preserve"> or more abnormal values </w:t>
            </w:r>
            <w:r>
              <w:t>required from:</w:t>
            </w:r>
          </w:p>
          <w:p w:rsidR="0025490C" w:rsidRDefault="0025490C" w:rsidP="003E4B01">
            <w:pPr>
              <w:pStyle w:val="TableBullet"/>
              <w:spacing w:after="30"/>
              <w:ind w:left="284"/>
            </w:pPr>
            <w:r>
              <w:t>f</w:t>
            </w:r>
            <w:r w:rsidRPr="00E07B1B">
              <w:t>asting</w:t>
            </w:r>
            <w:r>
              <w:t xml:space="preserve"> </w:t>
            </w:r>
            <w:r w:rsidRPr="00E07B1B">
              <w:t>≥</w:t>
            </w:r>
            <w:r>
              <w:t xml:space="preserve"> </w:t>
            </w:r>
            <w:r w:rsidRPr="00E07B1B">
              <w:t>95</w:t>
            </w:r>
            <w:r>
              <w:t xml:space="preserve"> </w:t>
            </w:r>
            <w:r w:rsidRPr="00E07B1B">
              <w:t>mg</w:t>
            </w:r>
            <w:r>
              <w:t>/dL</w:t>
            </w:r>
          </w:p>
          <w:p w:rsidR="0025490C" w:rsidRDefault="0025490C" w:rsidP="003E4B01">
            <w:pPr>
              <w:pStyle w:val="TableBullet"/>
              <w:spacing w:after="30"/>
              <w:ind w:left="284"/>
            </w:pPr>
            <w:r w:rsidRPr="00E07B1B">
              <w:t>1</w:t>
            </w:r>
            <w:r>
              <w:t>-</w:t>
            </w:r>
            <w:r w:rsidRPr="00E07B1B">
              <w:t>hour ≥</w:t>
            </w:r>
            <w:r>
              <w:t xml:space="preserve"> </w:t>
            </w:r>
            <w:r w:rsidRPr="00E07B1B">
              <w:t>180</w:t>
            </w:r>
            <w:r>
              <w:t xml:space="preserve"> </w:t>
            </w:r>
            <w:r w:rsidRPr="00E07B1B">
              <w:t>mg</w:t>
            </w:r>
            <w:r>
              <w:t>/dL</w:t>
            </w:r>
          </w:p>
          <w:p w:rsidR="0025490C" w:rsidRDefault="0025490C" w:rsidP="003E4B01">
            <w:pPr>
              <w:pStyle w:val="TableBullet"/>
              <w:spacing w:after="30"/>
              <w:ind w:left="284"/>
            </w:pPr>
            <w:r w:rsidRPr="00E07B1B">
              <w:t>2</w:t>
            </w:r>
            <w:r>
              <w:t>-</w:t>
            </w:r>
            <w:r w:rsidRPr="00E07B1B">
              <w:t>hour ≥</w:t>
            </w:r>
            <w:r>
              <w:t xml:space="preserve"> </w:t>
            </w:r>
            <w:r w:rsidRPr="00E07B1B">
              <w:t>155</w:t>
            </w:r>
            <w:r>
              <w:t xml:space="preserve"> </w:t>
            </w:r>
            <w:r w:rsidRPr="00E07B1B">
              <w:t>mg</w:t>
            </w:r>
            <w:r>
              <w:t>/dL</w:t>
            </w:r>
          </w:p>
          <w:p w:rsidR="0025490C" w:rsidRPr="00E07B1B" w:rsidRDefault="0025490C" w:rsidP="003E4B01">
            <w:pPr>
              <w:pStyle w:val="TableBullet"/>
              <w:ind w:left="284"/>
            </w:pPr>
            <w:r w:rsidRPr="00E07B1B">
              <w:t>3</w:t>
            </w:r>
            <w:r>
              <w:t>-</w:t>
            </w:r>
            <w:r w:rsidRPr="00E07B1B">
              <w:t>hour ≥ 140</w:t>
            </w:r>
            <w:r>
              <w:t xml:space="preserve"> </w:t>
            </w:r>
            <w:r w:rsidRPr="00E07B1B">
              <w:t>mg</w:t>
            </w:r>
            <w:r>
              <w:t>/dL</w:t>
            </w:r>
            <w:r w:rsidRPr="00E07B1B">
              <w:t>.</w:t>
            </w:r>
          </w:p>
        </w:tc>
        <w:tc>
          <w:tcPr>
            <w:tcW w:w="1555" w:type="pct"/>
            <w:tcBorders>
              <w:top w:val="nil"/>
              <w:bottom w:val="nil"/>
            </w:tcBorders>
            <w:shd w:val="clear" w:color="auto" w:fill="F2F2F2" w:themeFill="background1" w:themeFillShade="F2"/>
          </w:tcPr>
          <w:p w:rsidR="0025490C" w:rsidRPr="00E07B1B" w:rsidRDefault="0025490C" w:rsidP="00002B75">
            <w:pPr>
              <w:pStyle w:val="TableText"/>
            </w:pPr>
            <w:r w:rsidRPr="00E07B1B">
              <w:t>Compared with women with a normal pre</w:t>
            </w:r>
            <w:r w:rsidR="00002B75">
              <w:noBreakHyphen/>
            </w:r>
            <w:r w:rsidRPr="00E07B1B">
              <w:t>pregnancy BMI, women who were overweight had an increased risk of developing GDM (adj OR 2.43, 95%CI</w:t>
            </w:r>
            <w:r w:rsidR="00002B75">
              <w:t xml:space="preserve"> </w:t>
            </w:r>
            <w:r w:rsidRPr="00E07B1B">
              <w:t>1.52</w:t>
            </w:r>
            <w:r>
              <w:t>–</w:t>
            </w:r>
            <w:r w:rsidRPr="00E07B1B">
              <w:t>3.89). The risk was also increased further for obese women (adj</w:t>
            </w:r>
            <w:r w:rsidR="00002B75">
              <w:t> </w:t>
            </w:r>
            <w:r w:rsidRPr="00E07B1B">
              <w:t>OR 4.07</w:t>
            </w:r>
            <w:r>
              <w:t>,</w:t>
            </w:r>
            <w:r w:rsidRPr="00E07B1B">
              <w:t xml:space="preserve"> 95%CI</w:t>
            </w:r>
            <w:r w:rsidR="00002B75">
              <w:t xml:space="preserve"> </w:t>
            </w:r>
            <w:r w:rsidRPr="00E07B1B">
              <w:t>2.34</w:t>
            </w:r>
            <w:r>
              <w:t>–</w:t>
            </w:r>
            <w:r w:rsidRPr="00E07B1B">
              <w:t>7.09</w:t>
            </w:r>
            <w:r>
              <w:t>,</w:t>
            </w:r>
            <w:r w:rsidRPr="00E07B1B">
              <w:t xml:space="preserve"> </w:t>
            </w:r>
            <w:r w:rsidRPr="00D64EA5">
              <w:rPr>
                <w:i/>
              </w:rPr>
              <w:t>p</w:t>
            </w:r>
            <w:r w:rsidR="003E4B01">
              <w:t> </w:t>
            </w:r>
            <w:r w:rsidRPr="00E07B1B">
              <w:t>&lt;</w:t>
            </w:r>
            <w:r w:rsidR="003E4B01">
              <w:t> </w:t>
            </w:r>
            <w:r w:rsidRPr="00E07B1B">
              <w:t>0.0001</w:t>
            </w:r>
            <w:r>
              <w:t>)</w:t>
            </w:r>
            <w:r w:rsidRPr="00E07B1B">
              <w:t>.</w:t>
            </w:r>
          </w:p>
        </w:tc>
        <w:tc>
          <w:tcPr>
            <w:tcW w:w="435" w:type="pct"/>
            <w:tcBorders>
              <w:top w:val="nil"/>
              <w:bottom w:val="nil"/>
            </w:tcBorders>
            <w:shd w:val="clear" w:color="auto" w:fill="F2F2F2" w:themeFill="background1" w:themeFillShade="F2"/>
          </w:tcPr>
          <w:p w:rsidR="0025490C" w:rsidRPr="00E07B1B" w:rsidRDefault="0025490C" w:rsidP="00F65F1B">
            <w:pPr>
              <w:pStyle w:val="TableText"/>
              <w:jc w:val="center"/>
            </w:pPr>
            <w:r w:rsidRPr="00E07B1B">
              <w:t>MEDIUM</w:t>
            </w:r>
          </w:p>
        </w:tc>
      </w:tr>
      <w:tr w:rsidR="0025490C" w:rsidRPr="00E07B1B" w:rsidTr="00002B75">
        <w:trPr>
          <w:cantSplit/>
        </w:trPr>
        <w:tc>
          <w:tcPr>
            <w:tcW w:w="486" w:type="pct"/>
            <w:tcBorders>
              <w:top w:val="nil"/>
              <w:bottom w:val="nil"/>
            </w:tcBorders>
            <w:shd w:val="clear" w:color="auto" w:fill="auto"/>
          </w:tcPr>
          <w:p w:rsidR="0025490C" w:rsidRPr="00E07B1B" w:rsidRDefault="0025490C" w:rsidP="003E4B01">
            <w:pPr>
              <w:pStyle w:val="TableText"/>
            </w:pPr>
            <w:r w:rsidRPr="00E07B1B">
              <w:t>Nanda</w:t>
            </w:r>
            <w:r w:rsidR="003E4B01">
              <w:br/>
            </w:r>
            <w:r w:rsidRPr="00E07B1B">
              <w:t>(2011)</w:t>
            </w:r>
          </w:p>
        </w:tc>
        <w:tc>
          <w:tcPr>
            <w:tcW w:w="534" w:type="pct"/>
            <w:tcBorders>
              <w:top w:val="nil"/>
              <w:bottom w:val="nil"/>
            </w:tcBorders>
            <w:shd w:val="clear" w:color="auto" w:fill="auto"/>
          </w:tcPr>
          <w:p w:rsidR="0025490C" w:rsidRPr="00E07B1B" w:rsidRDefault="0025490C" w:rsidP="003E4B01">
            <w:pPr>
              <w:pStyle w:val="TableText"/>
            </w:pPr>
            <w:r w:rsidRPr="00E07B1B">
              <w:t>United Kingdom</w:t>
            </w:r>
            <w:r w:rsidR="003E4B01">
              <w:br/>
            </w:r>
            <w:r w:rsidRPr="00E07B1B">
              <w:t>11,464</w:t>
            </w:r>
          </w:p>
        </w:tc>
        <w:tc>
          <w:tcPr>
            <w:tcW w:w="533" w:type="pct"/>
            <w:tcBorders>
              <w:top w:val="nil"/>
              <w:bottom w:val="nil"/>
            </w:tcBorders>
            <w:shd w:val="clear" w:color="auto" w:fill="auto"/>
          </w:tcPr>
          <w:p w:rsidR="0025490C" w:rsidRPr="00E07B1B" w:rsidRDefault="0025490C" w:rsidP="00E11F9C">
            <w:pPr>
              <w:pStyle w:val="TableText"/>
            </w:pPr>
            <w:r w:rsidRPr="00E07B1B">
              <w:t>Prospective cohort</w:t>
            </w:r>
          </w:p>
        </w:tc>
        <w:tc>
          <w:tcPr>
            <w:tcW w:w="1457" w:type="pct"/>
            <w:tcBorders>
              <w:top w:val="nil"/>
              <w:bottom w:val="nil"/>
            </w:tcBorders>
            <w:shd w:val="clear" w:color="auto" w:fill="auto"/>
          </w:tcPr>
          <w:p w:rsidR="0025490C" w:rsidRDefault="0025490C" w:rsidP="003E4B01">
            <w:pPr>
              <w:pStyle w:val="TableText"/>
              <w:spacing w:after="30"/>
              <w:ind w:right="142"/>
            </w:pPr>
            <w:r w:rsidRPr="00E07B1B">
              <w:t>Random plasma glucose recorded at 24</w:t>
            </w:r>
            <w:r>
              <w:t>–</w:t>
            </w:r>
            <w:r w:rsidRPr="00E07B1B">
              <w:t>28 weeks</w:t>
            </w:r>
            <w:r>
              <w:t>.</w:t>
            </w:r>
            <w:r w:rsidRPr="00E07B1B">
              <w:t xml:space="preserve"> </w:t>
            </w:r>
            <w:r>
              <w:t>I</w:t>
            </w:r>
            <w:r w:rsidRPr="00E07B1B">
              <w:t>f &gt;</w:t>
            </w:r>
            <w:r>
              <w:t> </w:t>
            </w:r>
            <w:r w:rsidRPr="00E07B1B">
              <w:t>6.7</w:t>
            </w:r>
            <w:r>
              <w:t> </w:t>
            </w:r>
            <w:r w:rsidRPr="00E07B1B">
              <w:t>mmol/L</w:t>
            </w:r>
            <w:r>
              <w:t>,</w:t>
            </w:r>
            <w:r w:rsidRPr="00E07B1B">
              <w:t xml:space="preserve"> then conducted a 75</w:t>
            </w:r>
            <w:r w:rsidR="003E4B01">
              <w:t> </w:t>
            </w:r>
            <w:r w:rsidRPr="00E07B1B">
              <w:t xml:space="preserve">g OGTT within </w:t>
            </w:r>
            <w:r>
              <w:t>two</w:t>
            </w:r>
            <w:r w:rsidRPr="00E07B1B">
              <w:t xml:space="preserve"> weeks. GDM diagnosed if</w:t>
            </w:r>
            <w:r>
              <w:t>:</w:t>
            </w:r>
          </w:p>
          <w:p w:rsidR="0068074A" w:rsidRDefault="0025490C" w:rsidP="003E4B01">
            <w:pPr>
              <w:pStyle w:val="TableBullet"/>
              <w:spacing w:after="30"/>
              <w:ind w:left="284"/>
            </w:pPr>
            <w:r w:rsidRPr="00E07B1B">
              <w:t>fasting plasma glucose ≥</w:t>
            </w:r>
            <w:r>
              <w:t> </w:t>
            </w:r>
            <w:r w:rsidRPr="00E07B1B">
              <w:t>6</w:t>
            </w:r>
            <w:r>
              <w:t> </w:t>
            </w:r>
            <w:r w:rsidRPr="00E07B1B">
              <w:t>mmol/L or</w:t>
            </w:r>
          </w:p>
          <w:p w:rsidR="0025490C" w:rsidRPr="00E07B1B" w:rsidRDefault="0025490C" w:rsidP="003E4B01">
            <w:pPr>
              <w:pStyle w:val="TableBullet"/>
              <w:ind w:left="284"/>
            </w:pPr>
            <w:r w:rsidRPr="00E07B1B">
              <w:t>2</w:t>
            </w:r>
            <w:r>
              <w:t>-</w:t>
            </w:r>
            <w:r w:rsidRPr="00E07B1B">
              <w:t>hour level is ≥</w:t>
            </w:r>
            <w:r>
              <w:t> </w:t>
            </w:r>
            <w:r w:rsidRPr="00E07B1B">
              <w:t>7.8</w:t>
            </w:r>
            <w:r>
              <w:t> </w:t>
            </w:r>
            <w:r w:rsidRPr="00E07B1B">
              <w:t>mmol/L</w:t>
            </w:r>
            <w:r>
              <w:t>.</w:t>
            </w:r>
          </w:p>
        </w:tc>
        <w:tc>
          <w:tcPr>
            <w:tcW w:w="1555" w:type="pct"/>
            <w:tcBorders>
              <w:top w:val="nil"/>
              <w:bottom w:val="nil"/>
            </w:tcBorders>
            <w:shd w:val="clear" w:color="auto" w:fill="auto"/>
          </w:tcPr>
          <w:p w:rsidR="0025490C" w:rsidRPr="00E07B1B" w:rsidRDefault="0025490C" w:rsidP="00E11F9C">
            <w:pPr>
              <w:pStyle w:val="TableText"/>
            </w:pPr>
            <w:r w:rsidRPr="00E07B1B">
              <w:t>Women with GDM had a higher BMI than non-GDM mothers and there was an increased risk of developing GDM per kg/m</w:t>
            </w:r>
            <w:r w:rsidRPr="00E07B1B">
              <w:rPr>
                <w:vertAlign w:val="superscript"/>
              </w:rPr>
              <w:t>2</w:t>
            </w:r>
            <w:r w:rsidRPr="00E07B1B">
              <w:t xml:space="preserve"> (adj OR 1.12, 95%CI 1.10</w:t>
            </w:r>
            <w:r>
              <w:t>–</w:t>
            </w:r>
            <w:r w:rsidRPr="00E07B1B">
              <w:t xml:space="preserve">1.14, </w:t>
            </w:r>
            <w:r w:rsidRPr="00D64EA5">
              <w:rPr>
                <w:i/>
              </w:rPr>
              <w:t>p</w:t>
            </w:r>
            <w:r>
              <w:t xml:space="preserve"> </w:t>
            </w:r>
            <w:r w:rsidRPr="00E07B1B">
              <w:t>&lt;</w:t>
            </w:r>
            <w:r>
              <w:t xml:space="preserve"> </w:t>
            </w:r>
            <w:r w:rsidRPr="00E07B1B">
              <w:t>0.0001).</w:t>
            </w:r>
          </w:p>
        </w:tc>
        <w:tc>
          <w:tcPr>
            <w:tcW w:w="435" w:type="pct"/>
            <w:tcBorders>
              <w:top w:val="nil"/>
              <w:bottom w:val="nil"/>
            </w:tcBorders>
            <w:shd w:val="clear" w:color="auto" w:fill="auto"/>
          </w:tcPr>
          <w:p w:rsidR="0025490C" w:rsidRPr="00E07B1B" w:rsidRDefault="0025490C" w:rsidP="00F65F1B">
            <w:pPr>
              <w:pStyle w:val="TableText"/>
              <w:jc w:val="center"/>
            </w:pPr>
            <w:r w:rsidRPr="00E07B1B">
              <w:t>MEDIUM</w:t>
            </w:r>
          </w:p>
        </w:tc>
      </w:tr>
      <w:tr w:rsidR="0025490C" w:rsidRPr="00E07B1B" w:rsidTr="00002B75">
        <w:trPr>
          <w:cantSplit/>
        </w:trPr>
        <w:tc>
          <w:tcPr>
            <w:tcW w:w="486" w:type="pct"/>
            <w:tcBorders>
              <w:top w:val="nil"/>
              <w:bottom w:val="nil"/>
            </w:tcBorders>
            <w:shd w:val="clear" w:color="auto" w:fill="F2F2F2" w:themeFill="background1" w:themeFillShade="F2"/>
          </w:tcPr>
          <w:p w:rsidR="0025490C" w:rsidRPr="00E07B1B" w:rsidRDefault="008D1B19" w:rsidP="008D1B19">
            <w:pPr>
              <w:pStyle w:val="TableText"/>
            </w:pPr>
            <w:r>
              <w:t>Teh</w:t>
            </w:r>
            <w:r>
              <w:br/>
            </w:r>
            <w:r w:rsidR="0025490C" w:rsidRPr="00E07B1B">
              <w:t>(2011)</w:t>
            </w:r>
          </w:p>
        </w:tc>
        <w:tc>
          <w:tcPr>
            <w:tcW w:w="534" w:type="pct"/>
            <w:tcBorders>
              <w:top w:val="nil"/>
              <w:bottom w:val="nil"/>
            </w:tcBorders>
            <w:shd w:val="clear" w:color="auto" w:fill="F2F2F2" w:themeFill="background1" w:themeFillShade="F2"/>
          </w:tcPr>
          <w:p w:rsidR="0025490C" w:rsidRPr="00E07B1B" w:rsidRDefault="0025490C" w:rsidP="008D1B19">
            <w:pPr>
              <w:pStyle w:val="TableText"/>
            </w:pPr>
            <w:r w:rsidRPr="00E07B1B">
              <w:t>Australia</w:t>
            </w:r>
            <w:r w:rsidR="008D1B19">
              <w:br/>
            </w:r>
            <w:r w:rsidRPr="00E07B1B">
              <w:t>2880</w:t>
            </w:r>
          </w:p>
        </w:tc>
        <w:tc>
          <w:tcPr>
            <w:tcW w:w="533" w:type="pct"/>
            <w:tcBorders>
              <w:top w:val="nil"/>
              <w:bottom w:val="nil"/>
            </w:tcBorders>
            <w:shd w:val="clear" w:color="auto" w:fill="F2F2F2" w:themeFill="background1" w:themeFillShade="F2"/>
          </w:tcPr>
          <w:p w:rsidR="0025490C" w:rsidRPr="00E07B1B" w:rsidRDefault="0025490C" w:rsidP="00E11F9C">
            <w:pPr>
              <w:pStyle w:val="TableText"/>
            </w:pPr>
            <w:r w:rsidRPr="00E07B1B">
              <w:t>Retrospective cohort</w:t>
            </w:r>
          </w:p>
        </w:tc>
        <w:tc>
          <w:tcPr>
            <w:tcW w:w="1457" w:type="pct"/>
            <w:tcBorders>
              <w:top w:val="nil"/>
              <w:bottom w:val="nil"/>
            </w:tcBorders>
            <w:shd w:val="clear" w:color="auto" w:fill="F2F2F2" w:themeFill="background1" w:themeFillShade="F2"/>
          </w:tcPr>
          <w:p w:rsidR="0025490C" w:rsidRPr="008D1B19" w:rsidRDefault="0025490C" w:rsidP="008D1B19">
            <w:pPr>
              <w:pStyle w:val="TableText"/>
              <w:spacing w:after="30"/>
              <w:ind w:right="142"/>
              <w:rPr>
                <w:spacing w:val="-2"/>
              </w:rPr>
            </w:pPr>
            <w:r w:rsidRPr="008D1B19">
              <w:rPr>
                <w:spacing w:val="-2"/>
              </w:rPr>
              <w:t>Women screened with non-fasting 75</w:t>
            </w:r>
            <w:r w:rsidR="008D1B19" w:rsidRPr="008D1B19">
              <w:rPr>
                <w:spacing w:val="-2"/>
              </w:rPr>
              <w:t> </w:t>
            </w:r>
            <w:r w:rsidRPr="008D1B19">
              <w:rPr>
                <w:spacing w:val="-2"/>
              </w:rPr>
              <w:t>g glucose challenge test at 26–28 weeks</w:t>
            </w:r>
            <w:r w:rsidR="0068074A" w:rsidRPr="008D1B19">
              <w:rPr>
                <w:spacing w:val="-2"/>
              </w:rPr>
              <w:t>’</w:t>
            </w:r>
            <w:r w:rsidRPr="008D1B19">
              <w:rPr>
                <w:spacing w:val="-2"/>
              </w:rPr>
              <w:t xml:space="preserve"> gestation. Positive result (1-hour venous plasma glucose ≥ 8.0 mmol/L) proceeded to a 2</w:t>
            </w:r>
            <w:r w:rsidR="00002B75">
              <w:rPr>
                <w:spacing w:val="-2"/>
              </w:rPr>
              <w:noBreakHyphen/>
              <w:t>h</w:t>
            </w:r>
            <w:r w:rsidRPr="008D1B19">
              <w:rPr>
                <w:spacing w:val="-2"/>
              </w:rPr>
              <w:t>our, 75 g OGTT. Diagnosis based on:</w:t>
            </w:r>
          </w:p>
          <w:p w:rsidR="0068074A" w:rsidRDefault="0025490C" w:rsidP="008D1B19">
            <w:pPr>
              <w:pStyle w:val="TableBullet"/>
              <w:spacing w:after="30"/>
              <w:ind w:left="284"/>
            </w:pPr>
            <w:r w:rsidRPr="00E07B1B">
              <w:t>fasting venous plasma glucose level ≥</w:t>
            </w:r>
            <w:r w:rsidR="008D1B19">
              <w:t> </w:t>
            </w:r>
            <w:r w:rsidRPr="00E07B1B">
              <w:t>5.5</w:t>
            </w:r>
            <w:r>
              <w:t> </w:t>
            </w:r>
            <w:r w:rsidRPr="00E07B1B">
              <w:t>mmol</w:t>
            </w:r>
            <w:r>
              <w:t>/L</w:t>
            </w:r>
            <w:r w:rsidRPr="00E07B1B">
              <w:t xml:space="preserve"> or</w:t>
            </w:r>
          </w:p>
          <w:p w:rsidR="0025490C" w:rsidRPr="00E07B1B" w:rsidRDefault="0025490C" w:rsidP="008D1B19">
            <w:pPr>
              <w:pStyle w:val="TableBullet"/>
              <w:ind w:left="284"/>
            </w:pPr>
            <w:r w:rsidRPr="00E07B1B">
              <w:t>a 2</w:t>
            </w:r>
            <w:r>
              <w:t>-hour</w:t>
            </w:r>
            <w:r w:rsidRPr="00E07B1B">
              <w:t xml:space="preserve"> level of ≥</w:t>
            </w:r>
            <w:r>
              <w:t> </w:t>
            </w:r>
            <w:r w:rsidRPr="00E07B1B">
              <w:t>8.0</w:t>
            </w:r>
            <w:r>
              <w:t> </w:t>
            </w:r>
            <w:r w:rsidRPr="00E07B1B">
              <w:t>mmol</w:t>
            </w:r>
            <w:r>
              <w:t>/L.</w:t>
            </w:r>
          </w:p>
        </w:tc>
        <w:tc>
          <w:tcPr>
            <w:tcW w:w="1555" w:type="pct"/>
            <w:tcBorders>
              <w:top w:val="nil"/>
              <w:bottom w:val="nil"/>
            </w:tcBorders>
            <w:shd w:val="clear" w:color="auto" w:fill="F2F2F2" w:themeFill="background1" w:themeFillShade="F2"/>
          </w:tcPr>
          <w:p w:rsidR="0025490C" w:rsidRPr="00E07B1B" w:rsidRDefault="0025490C" w:rsidP="008D1B19">
            <w:pPr>
              <w:pStyle w:val="TableText"/>
              <w:spacing w:after="30"/>
            </w:pPr>
            <w:r w:rsidRPr="00E07B1B">
              <w:t>Compared with the referent of &lt;</w:t>
            </w:r>
            <w:r>
              <w:t> </w:t>
            </w:r>
            <w:r w:rsidRPr="00E07B1B">
              <w:t>20</w:t>
            </w:r>
            <w:r>
              <w:t> </w:t>
            </w:r>
            <w:r w:rsidRPr="00E07B1B">
              <w:t>kg/m</w:t>
            </w:r>
            <w:r w:rsidRPr="00E07B1B">
              <w:rPr>
                <w:vertAlign w:val="superscript"/>
              </w:rPr>
              <w:t>2</w:t>
            </w:r>
            <w:r w:rsidRPr="00E07B1B">
              <w:t>:</w:t>
            </w:r>
          </w:p>
          <w:p w:rsidR="0025490C" w:rsidRPr="00002B75" w:rsidRDefault="0025490C" w:rsidP="008D1B19">
            <w:pPr>
              <w:pStyle w:val="TableBullet"/>
              <w:spacing w:after="30"/>
              <w:ind w:left="284"/>
              <w:rPr>
                <w:spacing w:val="-2"/>
              </w:rPr>
            </w:pPr>
            <w:r w:rsidRPr="00002B75">
              <w:rPr>
                <w:spacing w:val="-2"/>
              </w:rPr>
              <w:t>20–24.9 kg/m</w:t>
            </w:r>
            <w:r w:rsidRPr="00002B75">
              <w:rPr>
                <w:spacing w:val="-2"/>
                <w:vertAlign w:val="superscript"/>
              </w:rPr>
              <w:t>2</w:t>
            </w:r>
            <w:r w:rsidRPr="00002B75">
              <w:rPr>
                <w:spacing w:val="-2"/>
              </w:rPr>
              <w:t xml:space="preserve"> adj OR 1.7 (95%CI 1.0–3.0, NS)</w:t>
            </w:r>
          </w:p>
          <w:p w:rsidR="0025490C" w:rsidRPr="00002B75" w:rsidRDefault="0025490C" w:rsidP="008D1B19">
            <w:pPr>
              <w:pStyle w:val="TableBullet"/>
              <w:spacing w:after="30"/>
              <w:ind w:left="284"/>
              <w:rPr>
                <w:spacing w:val="-2"/>
              </w:rPr>
            </w:pPr>
            <w:r w:rsidRPr="00002B75">
              <w:rPr>
                <w:spacing w:val="-2"/>
              </w:rPr>
              <w:t>25–26.9 kg/m</w:t>
            </w:r>
            <w:r w:rsidRPr="00002B75">
              <w:rPr>
                <w:spacing w:val="-2"/>
                <w:vertAlign w:val="superscript"/>
              </w:rPr>
              <w:t>2</w:t>
            </w:r>
            <w:r w:rsidRPr="00002B75">
              <w:rPr>
                <w:spacing w:val="-2"/>
              </w:rPr>
              <w:t xml:space="preserve"> adj OR 2.0 (95%CI 1.0–3.9, NS)</w:t>
            </w:r>
          </w:p>
          <w:p w:rsidR="0025490C" w:rsidRPr="00E07B1B" w:rsidRDefault="0025490C" w:rsidP="008D1B19">
            <w:pPr>
              <w:pStyle w:val="TableBullet"/>
              <w:spacing w:after="30"/>
              <w:ind w:left="284"/>
            </w:pPr>
            <w:r w:rsidRPr="00E07B1B">
              <w:t>27</w:t>
            </w:r>
            <w:r>
              <w:t>–</w:t>
            </w:r>
            <w:r w:rsidRPr="00E07B1B">
              <w:t>29.9</w:t>
            </w:r>
            <w:r>
              <w:t xml:space="preserve"> </w:t>
            </w:r>
            <w:r w:rsidRPr="00E07B1B">
              <w:t>kg/m</w:t>
            </w:r>
            <w:r w:rsidRPr="00E07B1B">
              <w:rPr>
                <w:vertAlign w:val="superscript"/>
              </w:rPr>
              <w:t>2</w:t>
            </w:r>
            <w:r w:rsidRPr="00E07B1B">
              <w:t xml:space="preserve"> adj OR 2.2 (95%CI 1.1</w:t>
            </w:r>
            <w:r>
              <w:t>–</w:t>
            </w:r>
            <w:r w:rsidRPr="00E07B1B">
              <w:t>4.5</w:t>
            </w:r>
            <w:r>
              <w:t>,</w:t>
            </w:r>
            <w:r w:rsidRPr="00E07B1B">
              <w:t xml:space="preserve"> </w:t>
            </w:r>
            <w:r w:rsidRPr="00D64EA5">
              <w:rPr>
                <w:i/>
              </w:rPr>
              <w:t>p</w:t>
            </w:r>
            <w:r w:rsidR="008D1B19">
              <w:rPr>
                <w:i/>
              </w:rPr>
              <w:t> </w:t>
            </w:r>
            <w:r w:rsidRPr="00E07B1B">
              <w:t>=</w:t>
            </w:r>
            <w:r w:rsidR="008D1B19">
              <w:t> 0</w:t>
            </w:r>
            <w:r w:rsidRPr="00E07B1B">
              <w:t>.02</w:t>
            </w:r>
            <w:r>
              <w:t>)</w:t>
            </w:r>
          </w:p>
          <w:p w:rsidR="0025490C" w:rsidRPr="00E07B1B" w:rsidRDefault="0025490C" w:rsidP="008D1B19">
            <w:pPr>
              <w:pStyle w:val="TableBullet"/>
              <w:spacing w:after="30"/>
              <w:ind w:left="284"/>
            </w:pPr>
            <w:r w:rsidRPr="00E07B1B">
              <w:t>30</w:t>
            </w:r>
            <w:r>
              <w:t>–</w:t>
            </w:r>
            <w:r w:rsidRPr="00E07B1B">
              <w:t>34.9</w:t>
            </w:r>
            <w:r>
              <w:t xml:space="preserve"> </w:t>
            </w:r>
            <w:r w:rsidRPr="00E07B1B">
              <w:t>kg/m</w:t>
            </w:r>
            <w:r w:rsidRPr="00E07B1B">
              <w:rPr>
                <w:vertAlign w:val="superscript"/>
              </w:rPr>
              <w:t>2</w:t>
            </w:r>
            <w:r w:rsidRPr="00E07B1B">
              <w:t xml:space="preserve"> adj OR 3.5 (95%CI 1.7</w:t>
            </w:r>
            <w:r>
              <w:t>–</w:t>
            </w:r>
            <w:r w:rsidRPr="00E07B1B">
              <w:t>7.3</w:t>
            </w:r>
            <w:r>
              <w:t>,</w:t>
            </w:r>
            <w:r w:rsidRPr="00E07B1B">
              <w:t xml:space="preserve"> </w:t>
            </w:r>
            <w:r w:rsidRPr="00D64EA5">
              <w:rPr>
                <w:i/>
              </w:rPr>
              <w:t>p</w:t>
            </w:r>
            <w:r w:rsidR="008D1B19">
              <w:rPr>
                <w:i/>
              </w:rPr>
              <w:t> </w:t>
            </w:r>
            <w:r w:rsidRPr="00E07B1B">
              <w:t>=</w:t>
            </w:r>
            <w:r w:rsidR="008D1B19">
              <w:t> </w:t>
            </w:r>
            <w:r w:rsidRPr="00E07B1B">
              <w:t>0.001</w:t>
            </w:r>
            <w:r>
              <w:t>)</w:t>
            </w:r>
          </w:p>
          <w:p w:rsidR="0025490C" w:rsidRPr="00E07B1B" w:rsidRDefault="0025490C" w:rsidP="008D1B19">
            <w:pPr>
              <w:pStyle w:val="TableBullet"/>
              <w:ind w:left="284"/>
            </w:pPr>
            <w:r w:rsidRPr="00E07B1B">
              <w:t>≥</w:t>
            </w:r>
            <w:r>
              <w:t xml:space="preserve"> </w:t>
            </w:r>
            <w:r w:rsidRPr="00E07B1B">
              <w:t>35</w:t>
            </w:r>
            <w:r>
              <w:t xml:space="preserve"> </w:t>
            </w:r>
            <w:r w:rsidRPr="00E07B1B">
              <w:t>kg/m</w:t>
            </w:r>
            <w:r w:rsidRPr="00E07B1B">
              <w:rPr>
                <w:vertAlign w:val="superscript"/>
              </w:rPr>
              <w:t>2</w:t>
            </w:r>
            <w:r>
              <w:rPr>
                <w:vertAlign w:val="superscript"/>
              </w:rPr>
              <w:t xml:space="preserve"> </w:t>
            </w:r>
            <w:r w:rsidRPr="00D64EA5">
              <w:t>adj</w:t>
            </w:r>
            <w:r w:rsidR="0068074A">
              <w:t xml:space="preserve"> </w:t>
            </w:r>
            <w:r w:rsidRPr="00E07B1B">
              <w:t>OR 6.1 (95%CI 3.0</w:t>
            </w:r>
            <w:r>
              <w:t>–</w:t>
            </w:r>
            <w:r w:rsidRPr="00E07B1B">
              <w:t xml:space="preserve">12.1, </w:t>
            </w:r>
            <w:r w:rsidRPr="00D64EA5">
              <w:rPr>
                <w:i/>
              </w:rPr>
              <w:t>p</w:t>
            </w:r>
            <w:r>
              <w:t> </w:t>
            </w:r>
            <w:r w:rsidRPr="00E07B1B">
              <w:t>&lt;</w:t>
            </w:r>
            <w:r w:rsidR="008D1B19">
              <w:t> </w:t>
            </w:r>
            <w:r w:rsidRPr="00E07B1B">
              <w:t>0.001)</w:t>
            </w:r>
            <w:r>
              <w:t>.</w:t>
            </w:r>
          </w:p>
        </w:tc>
        <w:tc>
          <w:tcPr>
            <w:tcW w:w="435" w:type="pct"/>
            <w:tcBorders>
              <w:top w:val="nil"/>
              <w:bottom w:val="nil"/>
            </w:tcBorders>
            <w:shd w:val="clear" w:color="auto" w:fill="F2F2F2" w:themeFill="background1" w:themeFillShade="F2"/>
          </w:tcPr>
          <w:p w:rsidR="0025490C" w:rsidRPr="00E07B1B" w:rsidRDefault="0025490C" w:rsidP="00F65F1B">
            <w:pPr>
              <w:pStyle w:val="TableText"/>
              <w:jc w:val="center"/>
            </w:pPr>
            <w:r w:rsidRPr="00E07B1B">
              <w:t>MEDIUM</w:t>
            </w:r>
          </w:p>
        </w:tc>
      </w:tr>
      <w:tr w:rsidR="0025490C" w:rsidRPr="00E07B1B" w:rsidTr="00002B75">
        <w:trPr>
          <w:cantSplit/>
        </w:trPr>
        <w:tc>
          <w:tcPr>
            <w:tcW w:w="486" w:type="pct"/>
            <w:tcBorders>
              <w:top w:val="nil"/>
              <w:bottom w:val="nil"/>
            </w:tcBorders>
            <w:shd w:val="clear" w:color="auto" w:fill="auto"/>
          </w:tcPr>
          <w:p w:rsidR="0025490C" w:rsidRPr="00E07B1B" w:rsidRDefault="0025490C" w:rsidP="008D1B19">
            <w:pPr>
              <w:pStyle w:val="TableText"/>
            </w:pPr>
            <w:r w:rsidRPr="00E07B1B">
              <w:t>Kim</w:t>
            </w:r>
            <w:r w:rsidR="008D1B19">
              <w:br/>
            </w:r>
            <w:r w:rsidRPr="00E07B1B">
              <w:t>(2010)</w:t>
            </w:r>
          </w:p>
        </w:tc>
        <w:tc>
          <w:tcPr>
            <w:tcW w:w="534" w:type="pct"/>
            <w:tcBorders>
              <w:top w:val="nil"/>
              <w:bottom w:val="nil"/>
            </w:tcBorders>
            <w:shd w:val="clear" w:color="auto" w:fill="auto"/>
          </w:tcPr>
          <w:p w:rsidR="0025490C" w:rsidRPr="00E07B1B" w:rsidRDefault="0025490C" w:rsidP="008D1B19">
            <w:pPr>
              <w:pStyle w:val="TableText"/>
            </w:pPr>
            <w:r w:rsidRPr="00E07B1B">
              <w:t>USA</w:t>
            </w:r>
            <w:r w:rsidR="008D1B19">
              <w:br/>
            </w:r>
            <w:r w:rsidRPr="00E07B1B">
              <w:t>22,767</w:t>
            </w:r>
          </w:p>
        </w:tc>
        <w:tc>
          <w:tcPr>
            <w:tcW w:w="533" w:type="pct"/>
            <w:tcBorders>
              <w:top w:val="nil"/>
              <w:bottom w:val="nil"/>
            </w:tcBorders>
            <w:shd w:val="clear" w:color="auto" w:fill="auto"/>
          </w:tcPr>
          <w:p w:rsidR="0025490C" w:rsidRPr="00E07B1B" w:rsidRDefault="0025490C" w:rsidP="00E11F9C">
            <w:pPr>
              <w:pStyle w:val="TableText"/>
            </w:pPr>
            <w:r w:rsidRPr="00E07B1B">
              <w:t>Prospective population</w:t>
            </w:r>
            <w:r>
              <w:t>-</w:t>
            </w:r>
            <w:r w:rsidRPr="00E07B1B">
              <w:t>based cohort</w:t>
            </w:r>
          </w:p>
        </w:tc>
        <w:tc>
          <w:tcPr>
            <w:tcW w:w="1457" w:type="pct"/>
            <w:tcBorders>
              <w:top w:val="nil"/>
              <w:bottom w:val="nil"/>
            </w:tcBorders>
            <w:shd w:val="clear" w:color="auto" w:fill="auto"/>
          </w:tcPr>
          <w:p w:rsidR="0025490C" w:rsidRPr="00E07B1B" w:rsidRDefault="0025490C" w:rsidP="00F65F1B">
            <w:pPr>
              <w:pStyle w:val="TableText"/>
              <w:ind w:right="142"/>
            </w:pPr>
            <w:r w:rsidRPr="00E07B1B">
              <w:t>Identified from birth certificate</w:t>
            </w:r>
          </w:p>
        </w:tc>
        <w:tc>
          <w:tcPr>
            <w:tcW w:w="1555" w:type="pct"/>
            <w:tcBorders>
              <w:top w:val="nil"/>
              <w:bottom w:val="nil"/>
            </w:tcBorders>
            <w:shd w:val="clear" w:color="auto" w:fill="auto"/>
          </w:tcPr>
          <w:p w:rsidR="0025490C" w:rsidRPr="00E07B1B" w:rsidRDefault="0025490C" w:rsidP="008D1B19">
            <w:pPr>
              <w:pStyle w:val="TableText"/>
              <w:spacing w:after="30"/>
            </w:pPr>
            <w:r w:rsidRPr="00E07B1B">
              <w:t xml:space="preserve">Compared </w:t>
            </w:r>
            <w:r>
              <w:t>with</w:t>
            </w:r>
            <w:r w:rsidRPr="00E07B1B">
              <w:t xml:space="preserve"> women with normal BMI:</w:t>
            </w:r>
          </w:p>
          <w:p w:rsidR="0068074A" w:rsidRDefault="0025490C" w:rsidP="008D1B19">
            <w:pPr>
              <w:pStyle w:val="TableBullet"/>
              <w:spacing w:after="30"/>
              <w:ind w:left="284"/>
            </w:pPr>
            <w:r>
              <w:t>o</w:t>
            </w:r>
            <w:r w:rsidRPr="00E07B1B">
              <w:t>verweight</w:t>
            </w:r>
            <w:r>
              <w:t xml:space="preserve"> </w:t>
            </w:r>
            <w:r w:rsidRPr="00E07B1B">
              <w:t>(25</w:t>
            </w:r>
            <w:r>
              <w:t>–</w:t>
            </w:r>
            <w:r w:rsidRPr="00E07B1B">
              <w:t>29.9 kg/m</w:t>
            </w:r>
            <w:r w:rsidRPr="00E07B1B">
              <w:rPr>
                <w:vertAlign w:val="superscript"/>
              </w:rPr>
              <w:t>2</w:t>
            </w:r>
            <w:r w:rsidRPr="00E07B1B">
              <w:t>) adj RR 2.17 (95%CI 1.58</w:t>
            </w:r>
            <w:r>
              <w:t>–</w:t>
            </w:r>
            <w:r w:rsidRPr="00E07B1B">
              <w:t>2.97)</w:t>
            </w:r>
          </w:p>
          <w:p w:rsidR="0025490C" w:rsidRDefault="0025490C" w:rsidP="008D1B19">
            <w:pPr>
              <w:pStyle w:val="TableBullet"/>
              <w:spacing w:after="30"/>
              <w:ind w:left="284"/>
            </w:pPr>
            <w:r>
              <w:t>o</w:t>
            </w:r>
            <w:r w:rsidRPr="00E07B1B">
              <w:t>bese (30</w:t>
            </w:r>
            <w:r>
              <w:t>–</w:t>
            </w:r>
            <w:r w:rsidRPr="00E07B1B">
              <w:t>34.9kg/m</w:t>
            </w:r>
            <w:r w:rsidRPr="00E07B1B">
              <w:rPr>
                <w:vertAlign w:val="superscript"/>
              </w:rPr>
              <w:t>2</w:t>
            </w:r>
            <w:r w:rsidRPr="00E07B1B">
              <w:t>) adj RR 2.51 (95%CI</w:t>
            </w:r>
            <w:r w:rsidR="00002B75">
              <w:t xml:space="preserve"> </w:t>
            </w:r>
            <w:r w:rsidRPr="00E07B1B">
              <w:t>1.76</w:t>
            </w:r>
            <w:r>
              <w:t>–</w:t>
            </w:r>
            <w:r w:rsidRPr="00E07B1B">
              <w:t>2.97)</w:t>
            </w:r>
          </w:p>
          <w:p w:rsidR="0025490C" w:rsidRPr="00E07B1B" w:rsidRDefault="0025490C" w:rsidP="008D1B19">
            <w:pPr>
              <w:pStyle w:val="TableBullet"/>
              <w:ind w:left="284"/>
            </w:pPr>
            <w:r>
              <w:t>e</w:t>
            </w:r>
            <w:r w:rsidRPr="00E07B1B">
              <w:t>xtremely obese</w:t>
            </w:r>
            <w:r>
              <w:t xml:space="preserve"> </w:t>
            </w:r>
            <w:r w:rsidRPr="00E07B1B">
              <w:t>(35</w:t>
            </w:r>
            <w:r>
              <w:t>–</w:t>
            </w:r>
            <w:r w:rsidRPr="00E07B1B">
              <w:t>64.9</w:t>
            </w:r>
            <w:r>
              <w:t xml:space="preserve"> </w:t>
            </w:r>
            <w:r w:rsidRPr="00E07B1B">
              <w:t>kg/m</w:t>
            </w:r>
            <w:r w:rsidRPr="00E07B1B">
              <w:rPr>
                <w:vertAlign w:val="superscript"/>
              </w:rPr>
              <w:t>2</w:t>
            </w:r>
            <w:r w:rsidRPr="00E07B1B">
              <w:t>) adj RR 5.03 (95%CI 3.64</w:t>
            </w:r>
            <w:r>
              <w:t>–</w:t>
            </w:r>
            <w:r w:rsidRPr="00E07B1B">
              <w:t>6.95)</w:t>
            </w:r>
            <w:r>
              <w:t>.</w:t>
            </w:r>
          </w:p>
        </w:tc>
        <w:tc>
          <w:tcPr>
            <w:tcW w:w="435" w:type="pct"/>
            <w:tcBorders>
              <w:top w:val="nil"/>
              <w:bottom w:val="nil"/>
            </w:tcBorders>
            <w:shd w:val="clear" w:color="auto" w:fill="auto"/>
          </w:tcPr>
          <w:p w:rsidR="0025490C" w:rsidRPr="00E07B1B" w:rsidRDefault="0025490C" w:rsidP="00F65F1B">
            <w:pPr>
              <w:pStyle w:val="TableText"/>
              <w:jc w:val="center"/>
            </w:pPr>
            <w:r w:rsidRPr="00E07B1B">
              <w:t>MEDIUM</w:t>
            </w:r>
          </w:p>
        </w:tc>
      </w:tr>
      <w:tr w:rsidR="0025490C" w:rsidRPr="00E07B1B" w:rsidTr="00002B75">
        <w:trPr>
          <w:cantSplit/>
        </w:trPr>
        <w:tc>
          <w:tcPr>
            <w:tcW w:w="486" w:type="pct"/>
            <w:tcBorders>
              <w:top w:val="nil"/>
              <w:bottom w:val="nil"/>
            </w:tcBorders>
            <w:shd w:val="clear" w:color="auto" w:fill="F2F2F2" w:themeFill="background1" w:themeFillShade="F2"/>
          </w:tcPr>
          <w:p w:rsidR="0025490C" w:rsidRPr="00E07B1B" w:rsidRDefault="0025490C" w:rsidP="008D1B19">
            <w:pPr>
              <w:pStyle w:val="TableText"/>
            </w:pPr>
            <w:r w:rsidRPr="00E07B1B">
              <w:t>Hedderson</w:t>
            </w:r>
            <w:r w:rsidR="008D1B19">
              <w:br/>
            </w:r>
            <w:r w:rsidRPr="00E07B1B">
              <w:t>(2010</w:t>
            </w:r>
            <w:r>
              <w:t>b</w:t>
            </w:r>
            <w:r w:rsidRPr="00E07B1B">
              <w:t>)</w:t>
            </w:r>
          </w:p>
        </w:tc>
        <w:tc>
          <w:tcPr>
            <w:tcW w:w="534" w:type="pct"/>
            <w:tcBorders>
              <w:top w:val="nil"/>
              <w:bottom w:val="nil"/>
            </w:tcBorders>
            <w:shd w:val="clear" w:color="auto" w:fill="F2F2F2" w:themeFill="background1" w:themeFillShade="F2"/>
          </w:tcPr>
          <w:p w:rsidR="0025490C" w:rsidRPr="00E07B1B" w:rsidRDefault="0025490C" w:rsidP="008D1B19">
            <w:pPr>
              <w:pStyle w:val="TableText"/>
            </w:pPr>
            <w:r w:rsidRPr="00E07B1B">
              <w:t>USA</w:t>
            </w:r>
            <w:r w:rsidR="008D1B19">
              <w:br/>
            </w:r>
            <w:r w:rsidRPr="00E07B1B">
              <w:t>345 cases</w:t>
            </w:r>
            <w:r>
              <w:t xml:space="preserve">, </w:t>
            </w:r>
            <w:r w:rsidRPr="00E07B1B">
              <w:t>800</w:t>
            </w:r>
            <w:r w:rsidR="008D1B19">
              <w:t> </w:t>
            </w:r>
            <w:r w:rsidRPr="00E07B1B">
              <w:t>controls</w:t>
            </w:r>
          </w:p>
        </w:tc>
        <w:tc>
          <w:tcPr>
            <w:tcW w:w="533" w:type="pct"/>
            <w:tcBorders>
              <w:top w:val="nil"/>
              <w:bottom w:val="nil"/>
            </w:tcBorders>
            <w:shd w:val="clear" w:color="auto" w:fill="F2F2F2" w:themeFill="background1" w:themeFillShade="F2"/>
          </w:tcPr>
          <w:p w:rsidR="0025490C" w:rsidRPr="00E07B1B" w:rsidRDefault="008D1B19" w:rsidP="00E11F9C">
            <w:pPr>
              <w:pStyle w:val="TableText"/>
            </w:pPr>
            <w:r>
              <w:t>Nested case control</w:t>
            </w:r>
          </w:p>
        </w:tc>
        <w:tc>
          <w:tcPr>
            <w:tcW w:w="1457" w:type="pct"/>
            <w:tcBorders>
              <w:top w:val="nil"/>
              <w:bottom w:val="nil"/>
            </w:tcBorders>
            <w:shd w:val="clear" w:color="auto" w:fill="F2F2F2" w:themeFill="background1" w:themeFillShade="F2"/>
          </w:tcPr>
          <w:p w:rsidR="0025490C" w:rsidRDefault="0025490C" w:rsidP="008D1B19">
            <w:pPr>
              <w:pStyle w:val="TableText"/>
              <w:spacing w:after="30"/>
              <w:ind w:right="142"/>
            </w:pPr>
            <w:r w:rsidRPr="00E07B1B">
              <w:t>50</w:t>
            </w:r>
            <w:r>
              <w:t xml:space="preserve"> </w:t>
            </w:r>
            <w:r w:rsidRPr="00E07B1B">
              <w:t>g</w:t>
            </w:r>
            <w:r>
              <w:t>,</w:t>
            </w:r>
            <w:r w:rsidRPr="00E07B1B">
              <w:t xml:space="preserve"> 1</w:t>
            </w:r>
            <w:r>
              <w:t>-</w:t>
            </w:r>
            <w:r w:rsidRPr="00E07B1B">
              <w:t>hour OGCT and a 100</w:t>
            </w:r>
            <w:r>
              <w:t> </w:t>
            </w:r>
            <w:r w:rsidRPr="00E07B1B">
              <w:t>g</w:t>
            </w:r>
            <w:r>
              <w:t>,</w:t>
            </w:r>
            <w:r w:rsidRPr="00E07B1B">
              <w:t xml:space="preserve"> 3</w:t>
            </w:r>
            <w:r>
              <w:t>-</w:t>
            </w:r>
            <w:r w:rsidRPr="00E07B1B">
              <w:t>hour OGTT using National Diabetes Data Group criteria at 24</w:t>
            </w:r>
            <w:r>
              <w:t>–</w:t>
            </w:r>
            <w:r w:rsidRPr="00E07B1B">
              <w:t>28 weeks</w:t>
            </w:r>
            <w:r w:rsidR="0068074A">
              <w:t>’</w:t>
            </w:r>
            <w:r w:rsidRPr="00E07B1B">
              <w:t xml:space="preserve"> gestation</w:t>
            </w:r>
            <w:r>
              <w:t>, with two</w:t>
            </w:r>
            <w:r w:rsidRPr="00E07B1B">
              <w:t xml:space="preserve"> or more abnormal values </w:t>
            </w:r>
            <w:r>
              <w:t>required from:</w:t>
            </w:r>
          </w:p>
          <w:p w:rsidR="0025490C" w:rsidRDefault="0025490C" w:rsidP="008D1B19">
            <w:pPr>
              <w:pStyle w:val="TableBullet"/>
              <w:spacing w:after="30"/>
              <w:ind w:left="284"/>
            </w:pPr>
            <w:r w:rsidRPr="00E07B1B">
              <w:t>fasting ≥</w:t>
            </w:r>
            <w:r>
              <w:t xml:space="preserve"> </w:t>
            </w:r>
            <w:r w:rsidRPr="00E07B1B">
              <w:t>5.8</w:t>
            </w:r>
            <w:r>
              <w:t xml:space="preserve"> </w:t>
            </w:r>
            <w:r w:rsidRPr="00E07B1B">
              <w:t>mmol/L</w:t>
            </w:r>
          </w:p>
          <w:p w:rsidR="0025490C" w:rsidRDefault="0025490C" w:rsidP="008D1B19">
            <w:pPr>
              <w:pStyle w:val="TableBullet"/>
              <w:spacing w:after="30"/>
              <w:ind w:left="284"/>
            </w:pPr>
            <w:r w:rsidRPr="00E07B1B">
              <w:t>1</w:t>
            </w:r>
            <w:r>
              <w:t>-</w:t>
            </w:r>
            <w:r w:rsidRPr="00E07B1B">
              <w:t>hour ≥</w:t>
            </w:r>
            <w:r>
              <w:t xml:space="preserve"> </w:t>
            </w:r>
            <w:r w:rsidRPr="00E07B1B">
              <w:t>10.5</w:t>
            </w:r>
            <w:r>
              <w:t xml:space="preserve"> </w:t>
            </w:r>
            <w:r w:rsidRPr="00E07B1B">
              <w:t>mmol</w:t>
            </w:r>
            <w:r>
              <w:t>/L</w:t>
            </w:r>
          </w:p>
          <w:p w:rsidR="0025490C" w:rsidRDefault="0025490C" w:rsidP="008D1B19">
            <w:pPr>
              <w:pStyle w:val="TableBullet"/>
              <w:spacing w:after="30"/>
              <w:ind w:left="284"/>
            </w:pPr>
            <w:r w:rsidRPr="00E07B1B">
              <w:t>2</w:t>
            </w:r>
            <w:r>
              <w:t>-</w:t>
            </w:r>
            <w:r w:rsidRPr="00E07B1B">
              <w:t>hour ≥</w:t>
            </w:r>
            <w:r>
              <w:t xml:space="preserve"> </w:t>
            </w:r>
            <w:r w:rsidRPr="00E07B1B">
              <w:t>9.1</w:t>
            </w:r>
            <w:r>
              <w:t xml:space="preserve"> </w:t>
            </w:r>
            <w:r w:rsidRPr="00E07B1B">
              <w:t>mmol</w:t>
            </w:r>
            <w:r>
              <w:t>/L</w:t>
            </w:r>
          </w:p>
          <w:p w:rsidR="0025490C" w:rsidRPr="00E07B1B" w:rsidRDefault="0025490C" w:rsidP="008D1B19">
            <w:pPr>
              <w:pStyle w:val="TableBullet"/>
              <w:ind w:left="284"/>
            </w:pPr>
            <w:r w:rsidRPr="00E07B1B">
              <w:t>3</w:t>
            </w:r>
            <w:r>
              <w:t>-</w:t>
            </w:r>
            <w:r w:rsidRPr="00E07B1B">
              <w:t>hours ≥</w:t>
            </w:r>
            <w:r>
              <w:t xml:space="preserve"> </w:t>
            </w:r>
            <w:r w:rsidRPr="00E07B1B">
              <w:t>8.0</w:t>
            </w:r>
            <w:r>
              <w:t xml:space="preserve"> </w:t>
            </w:r>
            <w:r w:rsidRPr="00E07B1B">
              <w:t>mmol</w:t>
            </w:r>
            <w:r>
              <w:t>/L.</w:t>
            </w:r>
          </w:p>
        </w:tc>
        <w:tc>
          <w:tcPr>
            <w:tcW w:w="1555" w:type="pct"/>
            <w:tcBorders>
              <w:top w:val="nil"/>
              <w:bottom w:val="nil"/>
            </w:tcBorders>
            <w:shd w:val="clear" w:color="auto" w:fill="F2F2F2" w:themeFill="background1" w:themeFillShade="F2"/>
          </w:tcPr>
          <w:p w:rsidR="0025490C" w:rsidRPr="00E07B1B" w:rsidRDefault="0025490C" w:rsidP="00E11F9C">
            <w:pPr>
              <w:pStyle w:val="TableText"/>
            </w:pPr>
            <w:r w:rsidRPr="00E07B1B">
              <w:t>In an adjusted analysis</w:t>
            </w:r>
            <w:r>
              <w:t>,</w:t>
            </w:r>
            <w:r w:rsidRPr="00E07B1B">
              <w:t xml:space="preserve"> the risk of developing GDM increased with increasing rates of weight gain. Using the third tertile as a referent (less than 0.27</w:t>
            </w:r>
            <w:r>
              <w:t> </w:t>
            </w:r>
            <w:r w:rsidRPr="00E07B1B">
              <w:t>kg/week)</w:t>
            </w:r>
            <w:r>
              <w:t>,</w:t>
            </w:r>
            <w:r w:rsidRPr="00E07B1B">
              <w:t xml:space="preserve"> a </w:t>
            </w:r>
            <w:r>
              <w:t>weight</w:t>
            </w:r>
            <w:r w:rsidRPr="00E07B1B">
              <w:t xml:space="preserve"> gain of 0.27</w:t>
            </w:r>
            <w:r>
              <w:t>–</w:t>
            </w:r>
            <w:r w:rsidRPr="00E07B1B">
              <w:t>0.4</w:t>
            </w:r>
            <w:r>
              <w:t> </w:t>
            </w:r>
            <w:r w:rsidRPr="00E07B1B">
              <w:t>kg/week</w:t>
            </w:r>
            <w:r>
              <w:t xml:space="preserve"> </w:t>
            </w:r>
            <w:r w:rsidRPr="00E07B1B">
              <w:t>(OR 1.43, 95%CI 0.96</w:t>
            </w:r>
            <w:r>
              <w:t>–</w:t>
            </w:r>
            <w:r w:rsidRPr="00E07B1B">
              <w:t>2.14) and 0.41</w:t>
            </w:r>
            <w:r>
              <w:t xml:space="preserve"> </w:t>
            </w:r>
            <w:r w:rsidRPr="00E07B1B">
              <w:t>kg/week or more (OR 1.74, 95%CI 1.16</w:t>
            </w:r>
            <w:r>
              <w:t>–</w:t>
            </w:r>
            <w:r w:rsidRPr="00E07B1B">
              <w:t>2.60) were associated with increased risks of GDM.</w:t>
            </w:r>
            <w:r>
              <w:t xml:space="preserve"> </w:t>
            </w:r>
            <w:r w:rsidRPr="00E07B1B">
              <w:t xml:space="preserve">The association of increased gestational weight and GDM was mainly attributed to the </w:t>
            </w:r>
            <w:r>
              <w:t>first</w:t>
            </w:r>
            <w:r w:rsidRPr="00E07B1B">
              <w:t xml:space="preserve"> trimester.</w:t>
            </w:r>
            <w:r>
              <w:t xml:space="preserve"> </w:t>
            </w:r>
            <w:r w:rsidRPr="00E07B1B">
              <w:t>The association was stronger in overweight or obese and non-white women. Non-white women</w:t>
            </w:r>
            <w:r>
              <w:t xml:space="preserve"> </w:t>
            </w:r>
            <w:r w:rsidRPr="00E07B1B">
              <w:t xml:space="preserve">in the highest tertile for rate of weight gain had a 2.5 </w:t>
            </w:r>
            <w:r>
              <w:t>times greater</w:t>
            </w:r>
            <w:r w:rsidRPr="00E07B1B">
              <w:t xml:space="preserve"> risk of developing GDM (OR 2.66, 95%CI 1.45</w:t>
            </w:r>
            <w:r>
              <w:t>–</w:t>
            </w:r>
            <w:r w:rsidRPr="00E07B1B">
              <w:t xml:space="preserve">4.90) compared with the risk for non-Hispanic </w:t>
            </w:r>
            <w:r>
              <w:t>W</w:t>
            </w:r>
            <w:r w:rsidRPr="00E07B1B">
              <w:t xml:space="preserve">hite women </w:t>
            </w:r>
            <w:r>
              <w:t>(</w:t>
            </w:r>
            <w:r w:rsidRPr="00E07B1B">
              <w:t>OR 1.56</w:t>
            </w:r>
            <w:r>
              <w:t>,</w:t>
            </w:r>
            <w:r w:rsidRPr="00E07B1B">
              <w:t xml:space="preserve"> 95%CI 0.90</w:t>
            </w:r>
            <w:r>
              <w:t>–</w:t>
            </w:r>
            <w:r w:rsidRPr="00E07B1B">
              <w:t>2.68).</w:t>
            </w:r>
          </w:p>
        </w:tc>
        <w:tc>
          <w:tcPr>
            <w:tcW w:w="435" w:type="pct"/>
            <w:tcBorders>
              <w:top w:val="nil"/>
              <w:bottom w:val="nil"/>
            </w:tcBorders>
            <w:shd w:val="clear" w:color="auto" w:fill="F2F2F2" w:themeFill="background1" w:themeFillShade="F2"/>
          </w:tcPr>
          <w:p w:rsidR="0025490C" w:rsidRPr="00E07B1B" w:rsidRDefault="0025490C" w:rsidP="00F65F1B">
            <w:pPr>
              <w:pStyle w:val="TableText"/>
              <w:jc w:val="center"/>
            </w:pPr>
            <w:r w:rsidRPr="00E07B1B">
              <w:t>MEDIUM</w:t>
            </w:r>
          </w:p>
        </w:tc>
      </w:tr>
      <w:tr w:rsidR="0025490C" w:rsidRPr="00E07B1B" w:rsidTr="00002B75">
        <w:trPr>
          <w:cantSplit/>
        </w:trPr>
        <w:tc>
          <w:tcPr>
            <w:tcW w:w="486" w:type="pct"/>
            <w:tcBorders>
              <w:top w:val="nil"/>
              <w:bottom w:val="nil"/>
            </w:tcBorders>
            <w:shd w:val="clear" w:color="auto" w:fill="auto"/>
          </w:tcPr>
          <w:p w:rsidR="0025490C" w:rsidRPr="00E07B1B" w:rsidRDefault="0025490C" w:rsidP="008D1B19">
            <w:pPr>
              <w:pStyle w:val="TableText"/>
            </w:pPr>
            <w:r w:rsidRPr="00E07B1B">
              <w:t>Lim-Uy</w:t>
            </w:r>
            <w:r w:rsidR="008D1B19">
              <w:br/>
            </w:r>
            <w:r w:rsidRPr="00E07B1B">
              <w:t>(2010)</w:t>
            </w:r>
          </w:p>
        </w:tc>
        <w:tc>
          <w:tcPr>
            <w:tcW w:w="534" w:type="pct"/>
            <w:tcBorders>
              <w:top w:val="nil"/>
              <w:bottom w:val="nil"/>
            </w:tcBorders>
            <w:shd w:val="clear" w:color="auto" w:fill="auto"/>
          </w:tcPr>
          <w:p w:rsidR="0025490C" w:rsidRPr="00E07B1B" w:rsidRDefault="0025490C" w:rsidP="008D1B19">
            <w:pPr>
              <w:pStyle w:val="TableText"/>
            </w:pPr>
            <w:r w:rsidRPr="00E07B1B">
              <w:t>Philippines</w:t>
            </w:r>
            <w:r w:rsidR="008D1B19">
              <w:br/>
            </w:r>
            <w:r w:rsidRPr="00E07B1B">
              <w:t>212</w:t>
            </w:r>
          </w:p>
        </w:tc>
        <w:tc>
          <w:tcPr>
            <w:tcW w:w="533" w:type="pct"/>
            <w:tcBorders>
              <w:top w:val="nil"/>
              <w:bottom w:val="nil"/>
            </w:tcBorders>
            <w:shd w:val="clear" w:color="auto" w:fill="auto"/>
          </w:tcPr>
          <w:p w:rsidR="0025490C" w:rsidRPr="00E07B1B" w:rsidRDefault="0025490C" w:rsidP="00E11F9C">
            <w:pPr>
              <w:pStyle w:val="TableText"/>
            </w:pPr>
            <w:r w:rsidRPr="00E07B1B">
              <w:t>Retrospective cross</w:t>
            </w:r>
            <w:r>
              <w:t>-</w:t>
            </w:r>
            <w:r w:rsidRPr="00E07B1B">
              <w:t>sectional</w:t>
            </w:r>
          </w:p>
        </w:tc>
        <w:tc>
          <w:tcPr>
            <w:tcW w:w="1457" w:type="pct"/>
            <w:tcBorders>
              <w:top w:val="nil"/>
              <w:bottom w:val="nil"/>
            </w:tcBorders>
            <w:shd w:val="clear" w:color="auto" w:fill="auto"/>
          </w:tcPr>
          <w:p w:rsidR="0025490C" w:rsidRPr="00E07B1B" w:rsidRDefault="0025490C" w:rsidP="00F65F1B">
            <w:pPr>
              <w:pStyle w:val="TableText"/>
              <w:ind w:right="142"/>
            </w:pPr>
            <w:r w:rsidRPr="00E07B1B">
              <w:t>Diagnosed with GDM using the Carpenter and Coustan criteria</w:t>
            </w:r>
            <w:r>
              <w:t>.</w:t>
            </w:r>
          </w:p>
        </w:tc>
        <w:tc>
          <w:tcPr>
            <w:tcW w:w="1555" w:type="pct"/>
            <w:tcBorders>
              <w:top w:val="nil"/>
              <w:bottom w:val="nil"/>
            </w:tcBorders>
            <w:shd w:val="clear" w:color="auto" w:fill="auto"/>
          </w:tcPr>
          <w:p w:rsidR="0025490C" w:rsidRPr="00E07B1B" w:rsidRDefault="0025490C" w:rsidP="00002B75">
            <w:pPr>
              <w:pStyle w:val="TableText"/>
            </w:pPr>
            <w:r w:rsidRPr="00E07B1B">
              <w:t>Pre-pregnancy BMI</w:t>
            </w:r>
            <w:r w:rsidRPr="00D64EA5">
              <w:t>:</w:t>
            </w:r>
            <w:r w:rsidRPr="00E07B1B">
              <w:t xml:space="preserve"> adj OR 1.54 (95%CI</w:t>
            </w:r>
            <w:r w:rsidR="00002B75">
              <w:br/>
            </w:r>
            <w:r w:rsidRPr="00E07B1B">
              <w:t>1.06</w:t>
            </w:r>
            <w:r>
              <w:t>–</w:t>
            </w:r>
            <w:r w:rsidRPr="00E07B1B">
              <w:t xml:space="preserve">2.24, </w:t>
            </w:r>
            <w:r w:rsidRPr="00D64EA5">
              <w:rPr>
                <w:i/>
              </w:rPr>
              <w:t>p</w:t>
            </w:r>
            <w:r>
              <w:t xml:space="preserve"> </w:t>
            </w:r>
            <w:r w:rsidRPr="00E07B1B">
              <w:t>=</w:t>
            </w:r>
            <w:r>
              <w:t xml:space="preserve"> </w:t>
            </w:r>
            <w:r w:rsidRPr="00E07B1B">
              <w:t>0.02).</w:t>
            </w:r>
          </w:p>
        </w:tc>
        <w:tc>
          <w:tcPr>
            <w:tcW w:w="435" w:type="pct"/>
            <w:tcBorders>
              <w:top w:val="nil"/>
              <w:bottom w:val="nil"/>
            </w:tcBorders>
            <w:shd w:val="clear" w:color="auto" w:fill="auto"/>
          </w:tcPr>
          <w:p w:rsidR="0025490C" w:rsidRPr="00E07B1B" w:rsidRDefault="0025490C" w:rsidP="00F65F1B">
            <w:pPr>
              <w:pStyle w:val="TableText"/>
              <w:jc w:val="center"/>
            </w:pPr>
            <w:r w:rsidRPr="00E07B1B">
              <w:t>MEDIUM</w:t>
            </w:r>
          </w:p>
        </w:tc>
      </w:tr>
      <w:tr w:rsidR="0025490C" w:rsidRPr="00E07B1B" w:rsidTr="00002B75">
        <w:trPr>
          <w:cantSplit/>
        </w:trPr>
        <w:tc>
          <w:tcPr>
            <w:tcW w:w="486" w:type="pct"/>
            <w:tcBorders>
              <w:top w:val="nil"/>
              <w:bottom w:val="nil"/>
            </w:tcBorders>
            <w:shd w:val="clear" w:color="auto" w:fill="F2F2F2" w:themeFill="background1" w:themeFillShade="F2"/>
          </w:tcPr>
          <w:p w:rsidR="0025490C" w:rsidRPr="00E07B1B" w:rsidRDefault="0025490C" w:rsidP="008D1B19">
            <w:pPr>
              <w:pStyle w:val="TableText"/>
            </w:pPr>
            <w:r w:rsidRPr="00E07B1B">
              <w:t>Bhat</w:t>
            </w:r>
            <w:r w:rsidR="008D1B19">
              <w:br/>
            </w:r>
            <w:r w:rsidRPr="00E07B1B">
              <w:t>(2010)</w:t>
            </w:r>
          </w:p>
        </w:tc>
        <w:tc>
          <w:tcPr>
            <w:tcW w:w="534" w:type="pct"/>
            <w:tcBorders>
              <w:top w:val="nil"/>
              <w:bottom w:val="nil"/>
            </w:tcBorders>
            <w:shd w:val="clear" w:color="auto" w:fill="F2F2F2" w:themeFill="background1" w:themeFillShade="F2"/>
          </w:tcPr>
          <w:p w:rsidR="0025490C" w:rsidRPr="00E07B1B" w:rsidRDefault="0025490C" w:rsidP="008D1B19">
            <w:pPr>
              <w:pStyle w:val="TableText"/>
            </w:pPr>
            <w:r w:rsidRPr="00E07B1B">
              <w:t>India</w:t>
            </w:r>
            <w:r w:rsidR="008D1B19">
              <w:br/>
            </w:r>
            <w:r w:rsidRPr="00E07B1B">
              <w:t>300 cases</w:t>
            </w:r>
            <w:r>
              <w:t xml:space="preserve">, </w:t>
            </w:r>
            <w:r w:rsidRPr="00E07B1B">
              <w:t>300</w:t>
            </w:r>
            <w:r w:rsidR="008D1B19">
              <w:t> </w:t>
            </w:r>
            <w:r w:rsidRPr="00E07B1B">
              <w:t>controls</w:t>
            </w:r>
          </w:p>
        </w:tc>
        <w:tc>
          <w:tcPr>
            <w:tcW w:w="533" w:type="pct"/>
            <w:tcBorders>
              <w:top w:val="nil"/>
              <w:bottom w:val="nil"/>
            </w:tcBorders>
            <w:shd w:val="clear" w:color="auto" w:fill="F2F2F2" w:themeFill="background1" w:themeFillShade="F2"/>
          </w:tcPr>
          <w:p w:rsidR="0025490C" w:rsidRPr="00E07B1B" w:rsidRDefault="0025490C" w:rsidP="00E11F9C">
            <w:pPr>
              <w:pStyle w:val="TableText"/>
            </w:pPr>
            <w:r w:rsidRPr="00E07B1B">
              <w:t>Case control</w:t>
            </w:r>
          </w:p>
        </w:tc>
        <w:tc>
          <w:tcPr>
            <w:tcW w:w="1457" w:type="pct"/>
            <w:tcBorders>
              <w:top w:val="nil"/>
              <w:bottom w:val="nil"/>
            </w:tcBorders>
            <w:shd w:val="clear" w:color="auto" w:fill="F2F2F2" w:themeFill="background1" w:themeFillShade="F2"/>
          </w:tcPr>
          <w:p w:rsidR="0025490C" w:rsidRPr="00E07B1B" w:rsidRDefault="0025490C" w:rsidP="008D1B19">
            <w:pPr>
              <w:pStyle w:val="TableText"/>
              <w:spacing w:after="30"/>
              <w:ind w:right="142"/>
            </w:pPr>
            <w:r w:rsidRPr="00E07B1B">
              <w:t>50</w:t>
            </w:r>
            <w:r>
              <w:t xml:space="preserve"> </w:t>
            </w:r>
            <w:r w:rsidRPr="00E07B1B">
              <w:t xml:space="preserve">g </w:t>
            </w:r>
            <w:r>
              <w:t xml:space="preserve">oral glucose challenge test </w:t>
            </w:r>
            <w:r w:rsidRPr="00E07B1B">
              <w:t>at 24</w:t>
            </w:r>
            <w:r>
              <w:t>–</w:t>
            </w:r>
            <w:r w:rsidRPr="00E07B1B">
              <w:t>28 weeks and 32</w:t>
            </w:r>
            <w:r>
              <w:t>–</w:t>
            </w:r>
            <w:r w:rsidRPr="00E07B1B">
              <w:t xml:space="preserve">34 weeks or </w:t>
            </w:r>
            <w:r>
              <w:t xml:space="preserve">after </w:t>
            </w:r>
            <w:r w:rsidRPr="00E07B1B">
              <w:t xml:space="preserve">development of risk factors. </w:t>
            </w:r>
            <w:r>
              <w:t>I</w:t>
            </w:r>
            <w:r w:rsidRPr="00E07B1B">
              <w:t>f &gt;</w:t>
            </w:r>
            <w:r>
              <w:t> </w:t>
            </w:r>
            <w:r w:rsidRPr="00E07B1B">
              <w:t>130</w:t>
            </w:r>
            <w:r>
              <w:t> </w:t>
            </w:r>
            <w:r w:rsidRPr="00E07B1B">
              <w:t>mg</w:t>
            </w:r>
            <w:r>
              <w:t>/dL</w:t>
            </w:r>
            <w:r w:rsidRPr="00E07B1B">
              <w:t xml:space="preserve"> at 1 hour</w:t>
            </w:r>
            <w:r>
              <w:t>,</w:t>
            </w:r>
            <w:r w:rsidRPr="00E07B1B">
              <w:t xml:space="preserve"> GDM confirmed with 100</w:t>
            </w:r>
            <w:r>
              <w:t xml:space="preserve"> </w:t>
            </w:r>
            <w:r w:rsidRPr="00E07B1B">
              <w:t>g OGTT</w:t>
            </w:r>
            <w:r>
              <w:t>, requiring two or more abnormal values from</w:t>
            </w:r>
            <w:r w:rsidRPr="00E07B1B">
              <w:t>:</w:t>
            </w:r>
          </w:p>
          <w:p w:rsidR="0025490C" w:rsidRDefault="0025490C" w:rsidP="008D1B19">
            <w:pPr>
              <w:pStyle w:val="TableBullet"/>
              <w:spacing w:after="30"/>
              <w:ind w:left="284"/>
            </w:pPr>
            <w:r>
              <w:t>f</w:t>
            </w:r>
            <w:r w:rsidRPr="00E07B1B">
              <w:t>asting &gt;</w:t>
            </w:r>
            <w:r>
              <w:t xml:space="preserve"> </w:t>
            </w:r>
            <w:r w:rsidRPr="00E07B1B">
              <w:t>105</w:t>
            </w:r>
            <w:r>
              <w:t xml:space="preserve"> </w:t>
            </w:r>
            <w:r w:rsidRPr="00E07B1B">
              <w:t>mg</w:t>
            </w:r>
            <w:r>
              <w:t>/dL</w:t>
            </w:r>
          </w:p>
          <w:p w:rsidR="0025490C" w:rsidRDefault="0025490C" w:rsidP="008D1B19">
            <w:pPr>
              <w:pStyle w:val="TableBullet"/>
              <w:spacing w:after="30"/>
              <w:ind w:left="284"/>
            </w:pPr>
            <w:r w:rsidRPr="00E07B1B">
              <w:t>1-hour &gt;</w:t>
            </w:r>
            <w:r>
              <w:t xml:space="preserve"> </w:t>
            </w:r>
            <w:r w:rsidRPr="00E07B1B">
              <w:t>190</w:t>
            </w:r>
            <w:r>
              <w:t xml:space="preserve"> </w:t>
            </w:r>
            <w:r w:rsidRPr="00E07B1B">
              <w:t>mg</w:t>
            </w:r>
            <w:r>
              <w:t>/dL</w:t>
            </w:r>
          </w:p>
          <w:p w:rsidR="0025490C" w:rsidRDefault="0025490C" w:rsidP="008D1B19">
            <w:pPr>
              <w:pStyle w:val="TableBullet"/>
              <w:spacing w:after="30"/>
              <w:ind w:left="284"/>
            </w:pPr>
            <w:r w:rsidRPr="00E07B1B">
              <w:t>2-hour &gt;</w:t>
            </w:r>
            <w:r>
              <w:t xml:space="preserve"> </w:t>
            </w:r>
            <w:r w:rsidRPr="00E07B1B">
              <w:t>165</w:t>
            </w:r>
            <w:r>
              <w:t xml:space="preserve"> </w:t>
            </w:r>
            <w:r w:rsidRPr="00E07B1B">
              <w:t>mg</w:t>
            </w:r>
            <w:r>
              <w:t>/dL</w:t>
            </w:r>
          </w:p>
          <w:p w:rsidR="0025490C" w:rsidRPr="00E07B1B" w:rsidRDefault="0025490C" w:rsidP="008D1B19">
            <w:pPr>
              <w:pStyle w:val="TableBullet"/>
              <w:ind w:left="284"/>
            </w:pPr>
            <w:r w:rsidRPr="00E07B1B">
              <w:t>3-hour &gt;</w:t>
            </w:r>
            <w:r>
              <w:t xml:space="preserve"> </w:t>
            </w:r>
            <w:r w:rsidRPr="00E07B1B">
              <w:t>145</w:t>
            </w:r>
            <w:r>
              <w:t xml:space="preserve"> </w:t>
            </w:r>
            <w:r w:rsidRPr="00E07B1B">
              <w:t>mg</w:t>
            </w:r>
            <w:r>
              <w:t>/dL</w:t>
            </w:r>
            <w:r w:rsidRPr="00E07B1B">
              <w:t>.</w:t>
            </w:r>
          </w:p>
        </w:tc>
        <w:tc>
          <w:tcPr>
            <w:tcW w:w="1555" w:type="pct"/>
            <w:tcBorders>
              <w:top w:val="nil"/>
              <w:bottom w:val="nil"/>
            </w:tcBorders>
            <w:shd w:val="clear" w:color="auto" w:fill="F2F2F2" w:themeFill="background1" w:themeFillShade="F2"/>
          </w:tcPr>
          <w:p w:rsidR="0025490C" w:rsidRPr="00E07B1B" w:rsidRDefault="0025490C" w:rsidP="008D1B19">
            <w:pPr>
              <w:pStyle w:val="TableText"/>
            </w:pPr>
            <w:r w:rsidRPr="00E07B1B">
              <w:t>≥</w:t>
            </w:r>
            <w:r w:rsidR="008D1B19">
              <w:t> </w:t>
            </w:r>
            <w:r w:rsidRPr="00E07B1B">
              <w:t>25</w:t>
            </w:r>
            <w:r>
              <w:t xml:space="preserve"> </w:t>
            </w:r>
            <w:r w:rsidRPr="00E07B1B">
              <w:t>kg/m</w:t>
            </w:r>
            <w:r w:rsidRPr="00D64EA5">
              <w:rPr>
                <w:vertAlign w:val="superscript"/>
              </w:rPr>
              <w:t>2</w:t>
            </w:r>
            <w:r w:rsidRPr="00E07B1B">
              <w:t xml:space="preserve"> had a significantly higher risk in the cases than in the controls (37.9% versus 14.3%; multivariate logistic regression OR 2.7, 95%CI</w:t>
            </w:r>
            <w:r w:rsidR="008D1B19">
              <w:br/>
            </w:r>
            <w:r w:rsidRPr="00E07B1B">
              <w:t>0.16</w:t>
            </w:r>
            <w:r>
              <w:t>–</w:t>
            </w:r>
            <w:r w:rsidRPr="00E07B1B">
              <w:t>8.84</w:t>
            </w:r>
            <w:r>
              <w:t>,</w:t>
            </w:r>
            <w:r w:rsidRPr="00E07B1B">
              <w:t xml:space="preserve"> </w:t>
            </w:r>
            <w:r w:rsidRPr="00D64EA5">
              <w:rPr>
                <w:i/>
              </w:rPr>
              <w:t>p</w:t>
            </w:r>
            <w:r>
              <w:t> </w:t>
            </w:r>
            <w:r w:rsidRPr="00E07B1B">
              <w:t>=</w:t>
            </w:r>
            <w:r>
              <w:t> </w:t>
            </w:r>
            <w:r w:rsidRPr="00E07B1B">
              <w:t>0.02).</w:t>
            </w:r>
          </w:p>
        </w:tc>
        <w:tc>
          <w:tcPr>
            <w:tcW w:w="435" w:type="pct"/>
            <w:tcBorders>
              <w:top w:val="nil"/>
              <w:bottom w:val="nil"/>
            </w:tcBorders>
            <w:shd w:val="clear" w:color="auto" w:fill="F2F2F2" w:themeFill="background1" w:themeFillShade="F2"/>
          </w:tcPr>
          <w:p w:rsidR="0025490C" w:rsidRPr="00E07B1B" w:rsidRDefault="0025490C" w:rsidP="00F65F1B">
            <w:pPr>
              <w:pStyle w:val="TableText"/>
              <w:jc w:val="center"/>
            </w:pPr>
            <w:r w:rsidRPr="00E07B1B">
              <w:t>MEDIUM</w:t>
            </w:r>
          </w:p>
        </w:tc>
      </w:tr>
      <w:tr w:rsidR="0025490C" w:rsidRPr="00E07B1B" w:rsidTr="00002B75">
        <w:trPr>
          <w:cantSplit/>
        </w:trPr>
        <w:tc>
          <w:tcPr>
            <w:tcW w:w="486" w:type="pct"/>
            <w:tcBorders>
              <w:top w:val="nil"/>
              <w:bottom w:val="nil"/>
            </w:tcBorders>
            <w:shd w:val="clear" w:color="auto" w:fill="auto"/>
          </w:tcPr>
          <w:p w:rsidR="0025490C" w:rsidRPr="00E07B1B" w:rsidRDefault="0025490C" w:rsidP="008D1B19">
            <w:pPr>
              <w:pStyle w:val="TableText"/>
            </w:pPr>
            <w:r w:rsidRPr="00E07B1B">
              <w:t>Cypryk</w:t>
            </w:r>
            <w:r w:rsidR="008D1B19">
              <w:br/>
            </w:r>
            <w:r w:rsidR="00002B75">
              <w:t>(2008)</w:t>
            </w:r>
          </w:p>
        </w:tc>
        <w:tc>
          <w:tcPr>
            <w:tcW w:w="534" w:type="pct"/>
            <w:tcBorders>
              <w:top w:val="nil"/>
              <w:bottom w:val="nil"/>
            </w:tcBorders>
            <w:shd w:val="clear" w:color="auto" w:fill="auto"/>
          </w:tcPr>
          <w:p w:rsidR="0025490C" w:rsidRPr="00E07B1B" w:rsidRDefault="0025490C" w:rsidP="008D1B19">
            <w:pPr>
              <w:pStyle w:val="TableText"/>
            </w:pPr>
            <w:r w:rsidRPr="00E07B1B">
              <w:t>Poland</w:t>
            </w:r>
            <w:r w:rsidR="008D1B19">
              <w:br/>
            </w:r>
            <w:r w:rsidRPr="00E07B1B">
              <w:t>1670</w:t>
            </w:r>
          </w:p>
        </w:tc>
        <w:tc>
          <w:tcPr>
            <w:tcW w:w="533" w:type="pct"/>
            <w:tcBorders>
              <w:top w:val="nil"/>
              <w:bottom w:val="nil"/>
            </w:tcBorders>
            <w:shd w:val="clear" w:color="auto" w:fill="auto"/>
          </w:tcPr>
          <w:p w:rsidR="0025490C" w:rsidRPr="00E07B1B" w:rsidRDefault="0025490C" w:rsidP="00E11F9C">
            <w:pPr>
              <w:pStyle w:val="TableText"/>
            </w:pPr>
            <w:r w:rsidRPr="00E07B1B">
              <w:t>Cohort</w:t>
            </w:r>
          </w:p>
        </w:tc>
        <w:tc>
          <w:tcPr>
            <w:tcW w:w="1457" w:type="pct"/>
            <w:tcBorders>
              <w:top w:val="nil"/>
              <w:bottom w:val="nil"/>
            </w:tcBorders>
            <w:shd w:val="clear" w:color="auto" w:fill="auto"/>
          </w:tcPr>
          <w:p w:rsidR="0025490C" w:rsidRPr="00E07B1B" w:rsidRDefault="0025490C" w:rsidP="00F65F1B">
            <w:pPr>
              <w:pStyle w:val="TableText"/>
              <w:ind w:right="142"/>
            </w:pPr>
            <w:r w:rsidRPr="00E07B1B">
              <w:t>GDM diagnosed using WHO and Polish Diabetes Association criteria (no other details)</w:t>
            </w:r>
            <w:r>
              <w:t>.</w:t>
            </w:r>
          </w:p>
        </w:tc>
        <w:tc>
          <w:tcPr>
            <w:tcW w:w="1555" w:type="pct"/>
            <w:tcBorders>
              <w:top w:val="nil"/>
              <w:bottom w:val="nil"/>
            </w:tcBorders>
            <w:shd w:val="clear" w:color="auto" w:fill="auto"/>
          </w:tcPr>
          <w:p w:rsidR="0025490C" w:rsidRPr="00E07B1B" w:rsidRDefault="00E36057" w:rsidP="00E36057">
            <w:pPr>
              <w:pStyle w:val="TableText"/>
            </w:pPr>
            <w:r>
              <w:t>A</w:t>
            </w:r>
            <w:r w:rsidR="0025490C" w:rsidRPr="00E07B1B">
              <w:t>dj OR 4.14 (95%CI 3.17</w:t>
            </w:r>
            <w:r w:rsidR="0025490C">
              <w:t>–</w:t>
            </w:r>
            <w:r w:rsidR="0025490C" w:rsidRPr="00E07B1B">
              <w:t>5.42</w:t>
            </w:r>
            <w:r w:rsidR="0025490C">
              <w:t>,</w:t>
            </w:r>
            <w:r w:rsidR="0025490C" w:rsidRPr="00E07B1B">
              <w:t xml:space="preserve"> </w:t>
            </w:r>
            <w:r w:rsidR="0025490C" w:rsidRPr="00D64EA5">
              <w:rPr>
                <w:i/>
              </w:rPr>
              <w:t>p</w:t>
            </w:r>
            <w:r w:rsidR="0025490C">
              <w:t> </w:t>
            </w:r>
            <w:r w:rsidR="0025490C" w:rsidRPr="00E07B1B">
              <w:t>&lt;</w:t>
            </w:r>
            <w:r w:rsidR="0025490C">
              <w:t> </w:t>
            </w:r>
            <w:r w:rsidR="0025490C" w:rsidRPr="00E07B1B">
              <w:t>0.001) for pre</w:t>
            </w:r>
            <w:r w:rsidR="008D1B19">
              <w:noBreakHyphen/>
            </w:r>
            <w:r w:rsidR="0025490C" w:rsidRPr="00E07B1B">
              <w:t>gestational BMI &gt;</w:t>
            </w:r>
            <w:r w:rsidR="0025490C">
              <w:t> </w:t>
            </w:r>
            <w:r w:rsidR="0025490C" w:rsidRPr="00E07B1B">
              <w:t>25kg/m</w:t>
            </w:r>
            <w:r w:rsidR="0025490C" w:rsidRPr="00E07B1B">
              <w:rPr>
                <w:vertAlign w:val="superscript"/>
              </w:rPr>
              <w:t>2</w:t>
            </w:r>
          </w:p>
        </w:tc>
        <w:tc>
          <w:tcPr>
            <w:tcW w:w="435" w:type="pct"/>
            <w:tcBorders>
              <w:top w:val="nil"/>
              <w:bottom w:val="nil"/>
            </w:tcBorders>
            <w:shd w:val="clear" w:color="auto" w:fill="auto"/>
          </w:tcPr>
          <w:p w:rsidR="0025490C" w:rsidRPr="00E07B1B" w:rsidRDefault="0025490C" w:rsidP="00F65F1B">
            <w:pPr>
              <w:pStyle w:val="TableText"/>
              <w:jc w:val="center"/>
            </w:pPr>
            <w:r w:rsidRPr="00E07B1B">
              <w:t>MEDIUM</w:t>
            </w:r>
          </w:p>
        </w:tc>
      </w:tr>
      <w:tr w:rsidR="0025490C" w:rsidRPr="00E07B1B" w:rsidTr="00002B75">
        <w:trPr>
          <w:cantSplit/>
        </w:trPr>
        <w:tc>
          <w:tcPr>
            <w:tcW w:w="486" w:type="pct"/>
            <w:tcBorders>
              <w:top w:val="nil"/>
              <w:bottom w:val="nil"/>
            </w:tcBorders>
            <w:shd w:val="clear" w:color="auto" w:fill="F2F2F2" w:themeFill="background1" w:themeFillShade="F2"/>
          </w:tcPr>
          <w:p w:rsidR="0025490C" w:rsidRPr="00E07B1B" w:rsidRDefault="0025490C" w:rsidP="008D1B19">
            <w:pPr>
              <w:pStyle w:val="TableText"/>
            </w:pPr>
            <w:r w:rsidRPr="00E07B1B">
              <w:t>Yang</w:t>
            </w:r>
            <w:r w:rsidR="008D1B19">
              <w:br/>
            </w:r>
            <w:r w:rsidRPr="00E07B1B">
              <w:t>(2009)</w:t>
            </w:r>
          </w:p>
        </w:tc>
        <w:tc>
          <w:tcPr>
            <w:tcW w:w="534" w:type="pct"/>
            <w:tcBorders>
              <w:top w:val="nil"/>
              <w:bottom w:val="nil"/>
            </w:tcBorders>
            <w:shd w:val="clear" w:color="auto" w:fill="F2F2F2" w:themeFill="background1" w:themeFillShade="F2"/>
          </w:tcPr>
          <w:p w:rsidR="0025490C" w:rsidRPr="00E07B1B" w:rsidRDefault="0025490C" w:rsidP="008D1B19">
            <w:pPr>
              <w:pStyle w:val="TableText"/>
            </w:pPr>
            <w:r w:rsidRPr="00E07B1B">
              <w:t>China</w:t>
            </w:r>
            <w:r w:rsidR="008D1B19">
              <w:br/>
            </w:r>
            <w:r w:rsidRPr="00E07B1B">
              <w:t>16,286</w:t>
            </w:r>
          </w:p>
        </w:tc>
        <w:tc>
          <w:tcPr>
            <w:tcW w:w="533" w:type="pct"/>
            <w:tcBorders>
              <w:top w:val="nil"/>
              <w:bottom w:val="nil"/>
            </w:tcBorders>
            <w:shd w:val="clear" w:color="auto" w:fill="F2F2F2" w:themeFill="background1" w:themeFillShade="F2"/>
          </w:tcPr>
          <w:p w:rsidR="0025490C" w:rsidRPr="00E07B1B" w:rsidRDefault="0025490C" w:rsidP="00E11F9C">
            <w:pPr>
              <w:pStyle w:val="TableText"/>
            </w:pPr>
            <w:r w:rsidRPr="00E07B1B">
              <w:t>Prospective cohort</w:t>
            </w:r>
          </w:p>
        </w:tc>
        <w:tc>
          <w:tcPr>
            <w:tcW w:w="1457" w:type="pct"/>
            <w:tcBorders>
              <w:top w:val="nil"/>
              <w:bottom w:val="nil"/>
            </w:tcBorders>
            <w:shd w:val="clear" w:color="auto" w:fill="F2F2F2" w:themeFill="background1" w:themeFillShade="F2"/>
          </w:tcPr>
          <w:p w:rsidR="0025490C" w:rsidRDefault="0025490C" w:rsidP="00F65F1B">
            <w:pPr>
              <w:pStyle w:val="TableText"/>
              <w:ind w:right="142"/>
            </w:pPr>
            <w:r w:rsidRPr="00E07B1B">
              <w:t>50</w:t>
            </w:r>
            <w:r>
              <w:t xml:space="preserve"> </w:t>
            </w:r>
            <w:r w:rsidRPr="00E07B1B">
              <w:t>g OGCT OGTT (&gt;</w:t>
            </w:r>
            <w:r>
              <w:t> </w:t>
            </w:r>
            <w:r w:rsidRPr="00E07B1B">
              <w:t>11.1</w:t>
            </w:r>
            <w:r>
              <w:t> </w:t>
            </w:r>
            <w:r w:rsidRPr="00E07B1B">
              <w:t>mmol/L diagnosed as GDM)</w:t>
            </w:r>
          </w:p>
          <w:p w:rsidR="0025490C" w:rsidRDefault="0025490C" w:rsidP="008D1B19">
            <w:pPr>
              <w:pStyle w:val="TableText"/>
              <w:spacing w:after="30"/>
              <w:ind w:right="142"/>
            </w:pPr>
            <w:r w:rsidRPr="00E07B1B">
              <w:t>If 7.9</w:t>
            </w:r>
            <w:r>
              <w:t>–</w:t>
            </w:r>
            <w:r w:rsidRPr="00E07B1B">
              <w:t>11.0</w:t>
            </w:r>
            <w:r>
              <w:t xml:space="preserve"> </w:t>
            </w:r>
            <w:r w:rsidRPr="00E07B1B">
              <w:t>mmol/L then 75</w:t>
            </w:r>
            <w:r>
              <w:t xml:space="preserve"> </w:t>
            </w:r>
            <w:r w:rsidRPr="00E07B1B">
              <w:t>g, 3</w:t>
            </w:r>
            <w:r>
              <w:t>-</w:t>
            </w:r>
            <w:r w:rsidRPr="00E07B1B">
              <w:t>hour</w:t>
            </w:r>
            <w:r>
              <w:t xml:space="preserve"> </w:t>
            </w:r>
            <w:r w:rsidRPr="00E07B1B">
              <w:t xml:space="preserve">OGTT </w:t>
            </w:r>
            <w:r>
              <w:t>with two</w:t>
            </w:r>
            <w:r w:rsidRPr="00E07B1B">
              <w:t xml:space="preserve"> or more abnormal values</w:t>
            </w:r>
            <w:r>
              <w:t xml:space="preserve"> required from:</w:t>
            </w:r>
          </w:p>
          <w:p w:rsidR="0025490C" w:rsidRPr="00E07B1B" w:rsidRDefault="0025490C" w:rsidP="008D1B19">
            <w:pPr>
              <w:pStyle w:val="TableBullet"/>
              <w:spacing w:after="30"/>
              <w:ind w:left="284"/>
            </w:pPr>
            <w:r>
              <w:t>f</w:t>
            </w:r>
            <w:r w:rsidRPr="00E07B1B">
              <w:t>asting &gt;</w:t>
            </w:r>
            <w:r>
              <w:t xml:space="preserve"> </w:t>
            </w:r>
            <w:r w:rsidRPr="00E07B1B">
              <w:t>5.3</w:t>
            </w:r>
            <w:r>
              <w:t xml:space="preserve"> </w:t>
            </w:r>
            <w:r w:rsidRPr="00E07B1B">
              <w:t>mmol</w:t>
            </w:r>
            <w:r>
              <w:t>/L</w:t>
            </w:r>
          </w:p>
          <w:p w:rsidR="0025490C" w:rsidRPr="00E07B1B" w:rsidRDefault="0025490C" w:rsidP="008D1B19">
            <w:pPr>
              <w:pStyle w:val="TableBullet"/>
              <w:spacing w:after="30"/>
              <w:ind w:left="284"/>
            </w:pPr>
            <w:r w:rsidRPr="00E07B1B">
              <w:t>1 hour &gt;</w:t>
            </w:r>
            <w:r>
              <w:t xml:space="preserve"> </w:t>
            </w:r>
            <w:r w:rsidRPr="00E07B1B">
              <w:t>10</w:t>
            </w:r>
            <w:r>
              <w:t xml:space="preserve"> </w:t>
            </w:r>
            <w:r w:rsidRPr="00E07B1B">
              <w:t>mmol</w:t>
            </w:r>
            <w:r>
              <w:t>/L</w:t>
            </w:r>
          </w:p>
          <w:p w:rsidR="0025490C" w:rsidRPr="00E07B1B" w:rsidRDefault="0025490C" w:rsidP="008D1B19">
            <w:pPr>
              <w:pStyle w:val="TableBullet"/>
              <w:ind w:left="284"/>
            </w:pPr>
            <w:r w:rsidRPr="00E07B1B">
              <w:t>2 hour</w:t>
            </w:r>
            <w:r>
              <w:t xml:space="preserve"> </w:t>
            </w:r>
            <w:r w:rsidRPr="00E07B1B">
              <w:t>&gt; 8.6</w:t>
            </w:r>
            <w:r>
              <w:t xml:space="preserve"> </w:t>
            </w:r>
            <w:r w:rsidRPr="00E07B1B">
              <w:t>mmol</w:t>
            </w:r>
            <w:r>
              <w:t>/L.</w:t>
            </w:r>
          </w:p>
        </w:tc>
        <w:tc>
          <w:tcPr>
            <w:tcW w:w="1555" w:type="pct"/>
            <w:tcBorders>
              <w:top w:val="nil"/>
              <w:bottom w:val="nil"/>
            </w:tcBorders>
            <w:shd w:val="clear" w:color="auto" w:fill="F2F2F2" w:themeFill="background1" w:themeFillShade="F2"/>
          </w:tcPr>
          <w:p w:rsidR="0025490C" w:rsidRPr="00E07B1B" w:rsidRDefault="0025490C" w:rsidP="00002B75">
            <w:pPr>
              <w:pStyle w:val="TableText"/>
            </w:pPr>
            <w:r>
              <w:t>I</w:t>
            </w:r>
            <w:r w:rsidRPr="00E07B1B">
              <w:t>ncreased risk with increased weight gain for women ≥</w:t>
            </w:r>
            <w:r>
              <w:t xml:space="preserve"> </w:t>
            </w:r>
            <w:r w:rsidRPr="00E07B1B">
              <w:t>2</w:t>
            </w:r>
            <w:r>
              <w:t xml:space="preserve"> </w:t>
            </w:r>
            <w:r w:rsidRPr="00E07B1B">
              <w:t>8</w:t>
            </w:r>
            <w:r>
              <w:t xml:space="preserve"> </w:t>
            </w:r>
            <w:r w:rsidRPr="00E07B1B">
              <w:t>kg/m</w:t>
            </w:r>
            <w:r w:rsidRPr="00E07B1B">
              <w:rPr>
                <w:vertAlign w:val="superscript"/>
              </w:rPr>
              <w:t xml:space="preserve">2 </w:t>
            </w:r>
            <w:r w:rsidRPr="00E07B1B">
              <w:t>compared with</w:t>
            </w:r>
            <w:r>
              <w:t xml:space="preserve"> women</w:t>
            </w:r>
            <w:r w:rsidRPr="00E07B1B">
              <w:t xml:space="preserve"> &lt;</w:t>
            </w:r>
            <w:r w:rsidR="00002B75">
              <w:t> </w:t>
            </w:r>
            <w:r w:rsidRPr="00E07B1B">
              <w:t>24</w:t>
            </w:r>
            <w:r w:rsidR="00002B75">
              <w:t> </w:t>
            </w:r>
            <w:r w:rsidRPr="00E07B1B">
              <w:t>kg/m</w:t>
            </w:r>
            <w:r w:rsidRPr="00E07B1B">
              <w:rPr>
                <w:vertAlign w:val="superscript"/>
              </w:rPr>
              <w:t>2</w:t>
            </w:r>
            <w:r w:rsidRPr="00E07B1B">
              <w:t xml:space="preserve"> (BMI of 28 is considered obese in China)</w:t>
            </w:r>
            <w:r>
              <w:t>:</w:t>
            </w:r>
            <w:r w:rsidRPr="00E07B1B">
              <w:t xml:space="preserve"> adj OR 2.85 (95%CI 2.29</w:t>
            </w:r>
            <w:r>
              <w:t>–</w:t>
            </w:r>
            <w:r w:rsidRPr="00E07B1B">
              <w:t xml:space="preserve">3.54, </w:t>
            </w:r>
            <w:r w:rsidRPr="00D64EA5">
              <w:rPr>
                <w:i/>
              </w:rPr>
              <w:t>p</w:t>
            </w:r>
            <w:r w:rsidR="00002B75">
              <w:rPr>
                <w:i/>
              </w:rPr>
              <w:t> </w:t>
            </w:r>
            <w:r w:rsidRPr="00E07B1B">
              <w:t>&lt;</w:t>
            </w:r>
            <w:r w:rsidR="00002B75">
              <w:t> </w:t>
            </w:r>
            <w:r w:rsidRPr="00E07B1B">
              <w:t>0.001).</w:t>
            </w:r>
          </w:p>
        </w:tc>
        <w:tc>
          <w:tcPr>
            <w:tcW w:w="435" w:type="pct"/>
            <w:tcBorders>
              <w:top w:val="nil"/>
              <w:bottom w:val="nil"/>
            </w:tcBorders>
            <w:shd w:val="clear" w:color="auto" w:fill="F2F2F2" w:themeFill="background1" w:themeFillShade="F2"/>
          </w:tcPr>
          <w:p w:rsidR="0025490C" w:rsidRPr="00E07B1B" w:rsidRDefault="0025490C" w:rsidP="00F65F1B">
            <w:pPr>
              <w:pStyle w:val="TableText"/>
              <w:jc w:val="center"/>
            </w:pPr>
            <w:r w:rsidRPr="00E07B1B">
              <w:t>MEDIUM</w:t>
            </w:r>
          </w:p>
        </w:tc>
      </w:tr>
      <w:tr w:rsidR="0025490C" w:rsidRPr="00E07B1B" w:rsidTr="00002B75">
        <w:trPr>
          <w:cantSplit/>
        </w:trPr>
        <w:tc>
          <w:tcPr>
            <w:tcW w:w="486" w:type="pct"/>
            <w:tcBorders>
              <w:top w:val="nil"/>
              <w:bottom w:val="nil"/>
            </w:tcBorders>
            <w:shd w:val="clear" w:color="auto" w:fill="auto"/>
          </w:tcPr>
          <w:p w:rsidR="0025490C" w:rsidRPr="00E07B1B" w:rsidRDefault="0025490C" w:rsidP="00E11F9C">
            <w:pPr>
              <w:pStyle w:val="TableText"/>
            </w:pPr>
            <w:r w:rsidRPr="00E07B1B">
              <w:t>Herring</w:t>
            </w:r>
            <w:r>
              <w:t xml:space="preserve"> </w:t>
            </w:r>
            <w:r w:rsidR="00002B75">
              <w:t>(2009)</w:t>
            </w:r>
          </w:p>
        </w:tc>
        <w:tc>
          <w:tcPr>
            <w:tcW w:w="534" w:type="pct"/>
            <w:tcBorders>
              <w:top w:val="nil"/>
              <w:bottom w:val="nil"/>
            </w:tcBorders>
            <w:shd w:val="clear" w:color="auto" w:fill="auto"/>
          </w:tcPr>
          <w:p w:rsidR="0025490C" w:rsidRPr="00E07B1B" w:rsidRDefault="0025490C" w:rsidP="00002B75">
            <w:pPr>
              <w:pStyle w:val="TableText"/>
            </w:pPr>
            <w:r w:rsidRPr="00E07B1B">
              <w:t>USA</w:t>
            </w:r>
            <w:r w:rsidR="00002B75">
              <w:br/>
            </w:r>
            <w:r w:rsidRPr="00E07B1B">
              <w:t>1960</w:t>
            </w:r>
          </w:p>
        </w:tc>
        <w:tc>
          <w:tcPr>
            <w:tcW w:w="533" w:type="pct"/>
            <w:tcBorders>
              <w:top w:val="nil"/>
              <w:bottom w:val="nil"/>
            </w:tcBorders>
            <w:shd w:val="clear" w:color="auto" w:fill="auto"/>
          </w:tcPr>
          <w:p w:rsidR="0025490C" w:rsidRPr="00E07B1B" w:rsidRDefault="0025490C" w:rsidP="00E11F9C">
            <w:pPr>
              <w:pStyle w:val="TableText"/>
            </w:pPr>
            <w:r w:rsidRPr="00E07B1B">
              <w:t>Cohort</w:t>
            </w:r>
          </w:p>
        </w:tc>
        <w:tc>
          <w:tcPr>
            <w:tcW w:w="1457" w:type="pct"/>
            <w:tcBorders>
              <w:top w:val="nil"/>
              <w:bottom w:val="nil"/>
            </w:tcBorders>
            <w:shd w:val="clear" w:color="auto" w:fill="auto"/>
          </w:tcPr>
          <w:p w:rsidR="0025490C" w:rsidRDefault="0025490C" w:rsidP="00002B75">
            <w:pPr>
              <w:pStyle w:val="TableText"/>
              <w:spacing w:after="30"/>
              <w:ind w:right="142"/>
            </w:pPr>
            <w:r w:rsidRPr="00E07B1B">
              <w:t>1 hour after 50</w:t>
            </w:r>
            <w:r>
              <w:t xml:space="preserve"> </w:t>
            </w:r>
            <w:r w:rsidRPr="00E07B1B">
              <w:t xml:space="preserve">g </w:t>
            </w:r>
            <w:r>
              <w:t>oral glucose challenge test</w:t>
            </w:r>
            <w:r w:rsidRPr="00E07B1B">
              <w:t>. If ≥</w:t>
            </w:r>
            <w:r>
              <w:t> </w:t>
            </w:r>
            <w:r w:rsidRPr="00E07B1B">
              <w:t>140</w:t>
            </w:r>
            <w:r>
              <w:t> </w:t>
            </w:r>
            <w:r w:rsidRPr="00E07B1B">
              <w:t>mg</w:t>
            </w:r>
            <w:r>
              <w:t>/dL,</w:t>
            </w:r>
            <w:r w:rsidRPr="00E07B1B">
              <w:t xml:space="preserve"> then 100</w:t>
            </w:r>
            <w:r>
              <w:t xml:space="preserve"> </w:t>
            </w:r>
            <w:r w:rsidRPr="00E07B1B">
              <w:t>g</w:t>
            </w:r>
            <w:r>
              <w:t>,</w:t>
            </w:r>
            <w:r w:rsidRPr="00E07B1B">
              <w:t xml:space="preserve"> 3</w:t>
            </w:r>
            <w:r>
              <w:noBreakHyphen/>
            </w:r>
            <w:r w:rsidRPr="00E07B1B">
              <w:t>hour OGTT taken.</w:t>
            </w:r>
            <w:r>
              <w:t xml:space="preserve"> </w:t>
            </w:r>
            <w:r w:rsidRPr="00E07B1B">
              <w:t>Diagnosed as GDM if two or more values abnormal:</w:t>
            </w:r>
          </w:p>
          <w:p w:rsidR="0025490C" w:rsidRDefault="0025490C" w:rsidP="00002B75">
            <w:pPr>
              <w:pStyle w:val="TableBullet"/>
              <w:spacing w:after="30"/>
              <w:ind w:left="284"/>
            </w:pPr>
            <w:r w:rsidRPr="00E07B1B">
              <w:t>baseline</w:t>
            </w:r>
            <w:r>
              <w:t xml:space="preserve"> </w:t>
            </w:r>
            <w:r w:rsidRPr="00E07B1B">
              <w:t>&gt;</w:t>
            </w:r>
            <w:r>
              <w:t xml:space="preserve"> </w:t>
            </w:r>
            <w:r w:rsidRPr="00E07B1B">
              <w:t>95</w:t>
            </w:r>
            <w:r>
              <w:t xml:space="preserve"> </w:t>
            </w:r>
            <w:r w:rsidRPr="00E07B1B">
              <w:t>mg</w:t>
            </w:r>
            <w:r>
              <w:t>/dL</w:t>
            </w:r>
          </w:p>
          <w:p w:rsidR="0025490C" w:rsidRDefault="0025490C" w:rsidP="00002B75">
            <w:pPr>
              <w:pStyle w:val="TableBullet"/>
              <w:spacing w:after="30"/>
              <w:ind w:left="284"/>
            </w:pPr>
            <w:r w:rsidRPr="00E07B1B">
              <w:t>1</w:t>
            </w:r>
            <w:r>
              <w:t>-</w:t>
            </w:r>
            <w:r w:rsidRPr="00E07B1B">
              <w:t>hour &gt;</w:t>
            </w:r>
            <w:r>
              <w:t xml:space="preserve"> </w:t>
            </w:r>
            <w:r w:rsidRPr="00E07B1B">
              <w:t>180</w:t>
            </w:r>
            <w:r>
              <w:t xml:space="preserve"> </w:t>
            </w:r>
            <w:r w:rsidRPr="00E07B1B">
              <w:t>mg</w:t>
            </w:r>
            <w:r>
              <w:t>/dL</w:t>
            </w:r>
          </w:p>
          <w:p w:rsidR="0025490C" w:rsidRDefault="0025490C" w:rsidP="00002B75">
            <w:pPr>
              <w:pStyle w:val="TableBullet"/>
              <w:spacing w:after="30"/>
              <w:ind w:left="284"/>
            </w:pPr>
            <w:r w:rsidRPr="00E07B1B">
              <w:t>2</w:t>
            </w:r>
            <w:r>
              <w:t>-</w:t>
            </w:r>
            <w:r w:rsidRPr="00E07B1B">
              <w:t>hour &gt; 155</w:t>
            </w:r>
            <w:r>
              <w:t xml:space="preserve"> </w:t>
            </w:r>
            <w:r w:rsidRPr="00E07B1B">
              <w:t>mg</w:t>
            </w:r>
            <w:r>
              <w:t>/dL</w:t>
            </w:r>
          </w:p>
          <w:p w:rsidR="0068074A" w:rsidRDefault="0025490C" w:rsidP="00002B75">
            <w:pPr>
              <w:pStyle w:val="TableBullet"/>
              <w:ind w:left="284"/>
            </w:pPr>
            <w:r w:rsidRPr="00E07B1B">
              <w:t>3</w:t>
            </w:r>
            <w:r>
              <w:t>-</w:t>
            </w:r>
            <w:r w:rsidRPr="00E07B1B">
              <w:t>hour &gt;140mg</w:t>
            </w:r>
            <w:r>
              <w:t>/dL</w:t>
            </w:r>
            <w:r w:rsidRPr="00E07B1B">
              <w:t>.</w:t>
            </w:r>
          </w:p>
          <w:p w:rsidR="0025490C" w:rsidRPr="00E07B1B" w:rsidRDefault="0025490C" w:rsidP="00F65F1B">
            <w:pPr>
              <w:pStyle w:val="TableText"/>
              <w:ind w:right="142"/>
            </w:pPr>
            <w:r w:rsidRPr="00E07B1B">
              <w:t xml:space="preserve">Classified as impaired glucose tolerance (IGT) if failed OGCT with </w:t>
            </w:r>
            <w:r>
              <w:t>one</w:t>
            </w:r>
            <w:r w:rsidRPr="00E07B1B">
              <w:t xml:space="preserve"> high value on the 3</w:t>
            </w:r>
            <w:r>
              <w:t>-</w:t>
            </w:r>
            <w:r w:rsidRPr="00E07B1B">
              <w:t>hour OGTT.</w:t>
            </w:r>
          </w:p>
        </w:tc>
        <w:tc>
          <w:tcPr>
            <w:tcW w:w="1555" w:type="pct"/>
            <w:tcBorders>
              <w:top w:val="nil"/>
              <w:bottom w:val="nil"/>
            </w:tcBorders>
            <w:shd w:val="clear" w:color="auto" w:fill="auto"/>
          </w:tcPr>
          <w:p w:rsidR="0025490C" w:rsidRDefault="0025490C" w:rsidP="00E11F9C">
            <w:pPr>
              <w:pStyle w:val="TableText"/>
            </w:pPr>
            <w:r w:rsidRPr="00E07B1B">
              <w:t>43% of women diagnosed with IGT had weight gain in the highest quartile before screening (adj OR 2.54, 95%CI 1.25</w:t>
            </w:r>
            <w:r>
              <w:t>–</w:t>
            </w:r>
            <w:r w:rsidRPr="00E07B1B">
              <w:t>5.15) but not significant for diagnosis of GDM (adj OR 0.93, 95%CI</w:t>
            </w:r>
            <w:r w:rsidR="00002B75">
              <w:br/>
            </w:r>
            <w:r w:rsidRPr="00E07B1B">
              <w:t>0.50</w:t>
            </w:r>
            <w:r>
              <w:t>–</w:t>
            </w:r>
            <w:r w:rsidRPr="00E07B1B">
              <w:t>1.70).</w:t>
            </w:r>
          </w:p>
          <w:p w:rsidR="0025490C" w:rsidRPr="00E07B1B" w:rsidRDefault="0025490C" w:rsidP="00E11F9C">
            <w:pPr>
              <w:pStyle w:val="TableText"/>
            </w:pPr>
            <w:r w:rsidRPr="00E07B1B">
              <w:t xml:space="preserve">High weight gain in both early and mid-pregnancy </w:t>
            </w:r>
            <w:r>
              <w:t>was</w:t>
            </w:r>
            <w:r w:rsidRPr="00E07B1B">
              <w:t xml:space="preserve"> associated with an increased risk of</w:t>
            </w:r>
            <w:r>
              <w:t xml:space="preserve"> </w:t>
            </w:r>
            <w:r w:rsidRPr="00E07B1B">
              <w:t>IGT (adj OR 2.14, 95%CI 1.04</w:t>
            </w:r>
            <w:r>
              <w:t>–</w:t>
            </w:r>
            <w:r w:rsidRPr="00E07B1B">
              <w:t>4.42) but was not associated with GDM</w:t>
            </w:r>
            <w:r>
              <w:t>.</w:t>
            </w:r>
          </w:p>
        </w:tc>
        <w:tc>
          <w:tcPr>
            <w:tcW w:w="435" w:type="pct"/>
            <w:tcBorders>
              <w:top w:val="nil"/>
              <w:bottom w:val="nil"/>
            </w:tcBorders>
            <w:shd w:val="clear" w:color="auto" w:fill="auto"/>
          </w:tcPr>
          <w:p w:rsidR="0025490C" w:rsidRPr="00E07B1B" w:rsidRDefault="0025490C" w:rsidP="00F65F1B">
            <w:pPr>
              <w:pStyle w:val="TableText"/>
              <w:jc w:val="center"/>
            </w:pPr>
            <w:r w:rsidRPr="00E07B1B">
              <w:t>MEDIUM</w:t>
            </w:r>
          </w:p>
        </w:tc>
      </w:tr>
      <w:tr w:rsidR="0025490C" w:rsidRPr="00E07B1B" w:rsidTr="00002B75">
        <w:trPr>
          <w:cantSplit/>
        </w:trPr>
        <w:tc>
          <w:tcPr>
            <w:tcW w:w="486" w:type="pct"/>
            <w:tcBorders>
              <w:top w:val="nil"/>
              <w:bottom w:val="nil"/>
            </w:tcBorders>
            <w:shd w:val="clear" w:color="auto" w:fill="F2F2F2" w:themeFill="background1" w:themeFillShade="F2"/>
          </w:tcPr>
          <w:p w:rsidR="0025490C" w:rsidRPr="00E07B1B" w:rsidRDefault="00002B75" w:rsidP="00E11F9C">
            <w:pPr>
              <w:pStyle w:val="TableText"/>
            </w:pPr>
            <w:r>
              <w:t>Gonzalez-Clemente (2007)</w:t>
            </w:r>
          </w:p>
        </w:tc>
        <w:tc>
          <w:tcPr>
            <w:tcW w:w="534" w:type="pct"/>
            <w:tcBorders>
              <w:top w:val="nil"/>
              <w:bottom w:val="nil"/>
            </w:tcBorders>
            <w:shd w:val="clear" w:color="auto" w:fill="F2F2F2" w:themeFill="background1" w:themeFillShade="F2"/>
          </w:tcPr>
          <w:p w:rsidR="0025490C" w:rsidRPr="00E07B1B" w:rsidRDefault="0025490C" w:rsidP="00002B75">
            <w:pPr>
              <w:pStyle w:val="TableText"/>
            </w:pPr>
            <w:r w:rsidRPr="00E07B1B">
              <w:t>Spain</w:t>
            </w:r>
            <w:r w:rsidR="00002B75">
              <w:br/>
            </w:r>
            <w:r w:rsidRPr="00E07B1B">
              <w:t>335</w:t>
            </w:r>
          </w:p>
        </w:tc>
        <w:tc>
          <w:tcPr>
            <w:tcW w:w="533" w:type="pct"/>
            <w:tcBorders>
              <w:top w:val="nil"/>
              <w:bottom w:val="nil"/>
            </w:tcBorders>
            <w:shd w:val="clear" w:color="auto" w:fill="F2F2F2" w:themeFill="background1" w:themeFillShade="F2"/>
          </w:tcPr>
          <w:p w:rsidR="0025490C" w:rsidRPr="00E07B1B" w:rsidRDefault="0025490C" w:rsidP="00E11F9C">
            <w:pPr>
              <w:pStyle w:val="TableText"/>
            </w:pPr>
            <w:r w:rsidRPr="00E07B1B">
              <w:t>Cohort</w:t>
            </w:r>
          </w:p>
        </w:tc>
        <w:tc>
          <w:tcPr>
            <w:tcW w:w="1457" w:type="pct"/>
            <w:tcBorders>
              <w:top w:val="nil"/>
              <w:bottom w:val="nil"/>
            </w:tcBorders>
            <w:shd w:val="clear" w:color="auto" w:fill="F2F2F2" w:themeFill="background1" w:themeFillShade="F2"/>
          </w:tcPr>
          <w:p w:rsidR="0025490C" w:rsidRPr="00E07B1B" w:rsidRDefault="0025490C" w:rsidP="00002B75">
            <w:pPr>
              <w:pStyle w:val="TableText"/>
              <w:ind w:right="142"/>
            </w:pPr>
            <w:r w:rsidRPr="00E07B1B">
              <w:t>50</w:t>
            </w:r>
            <w:r>
              <w:t xml:space="preserve"> </w:t>
            </w:r>
            <w:r w:rsidRPr="00E07B1B">
              <w:t>g, 1</w:t>
            </w:r>
            <w:r>
              <w:t>-</w:t>
            </w:r>
            <w:r w:rsidRPr="00E07B1B">
              <w:t>hour</w:t>
            </w:r>
            <w:r>
              <w:t xml:space="preserve"> oral glucose challenge</w:t>
            </w:r>
            <w:r w:rsidRPr="00E07B1B">
              <w:t xml:space="preserve"> test. </w:t>
            </w:r>
            <w:r>
              <w:t>If a</w:t>
            </w:r>
            <w:r w:rsidRPr="00E07B1B">
              <w:t>bnormal value (≥</w:t>
            </w:r>
            <w:r>
              <w:t xml:space="preserve"> </w:t>
            </w:r>
            <w:r w:rsidRPr="00E07B1B">
              <w:t>7.8</w:t>
            </w:r>
            <w:r>
              <w:t xml:space="preserve"> </w:t>
            </w:r>
            <w:r w:rsidRPr="00E07B1B">
              <w:t>mmol/L), a</w:t>
            </w:r>
            <w:r>
              <w:t>n</w:t>
            </w:r>
            <w:r w:rsidRPr="00E07B1B">
              <w:t xml:space="preserve"> OGCT of ≥</w:t>
            </w:r>
            <w:r w:rsidR="00002B75">
              <w:t> </w:t>
            </w:r>
            <w:r w:rsidRPr="00E07B1B">
              <w:t>11.1</w:t>
            </w:r>
            <w:r>
              <w:t xml:space="preserve"> </w:t>
            </w:r>
            <w:r w:rsidRPr="00E07B1B">
              <w:t>mmol/L was considered diagnostic of GDM. If results abnormal</w:t>
            </w:r>
            <w:r>
              <w:t>,</w:t>
            </w:r>
            <w:r w:rsidRPr="00E07B1B">
              <w:t xml:space="preserve"> women underwent a 100</w:t>
            </w:r>
            <w:r>
              <w:t xml:space="preserve"> </w:t>
            </w:r>
            <w:r w:rsidRPr="00E07B1B">
              <w:t>g, 3</w:t>
            </w:r>
            <w:r>
              <w:noBreakHyphen/>
            </w:r>
            <w:r w:rsidRPr="00E07B1B">
              <w:t xml:space="preserve">hour OGTT after </w:t>
            </w:r>
            <w:r>
              <w:t>one to two</w:t>
            </w:r>
            <w:r w:rsidRPr="00E07B1B">
              <w:t xml:space="preserve"> weeks using the criteria of the National Diabetes Data Group</w:t>
            </w:r>
            <w:r>
              <w:t>.</w:t>
            </w:r>
          </w:p>
        </w:tc>
        <w:tc>
          <w:tcPr>
            <w:tcW w:w="1555" w:type="pct"/>
            <w:tcBorders>
              <w:top w:val="nil"/>
              <w:bottom w:val="nil"/>
            </w:tcBorders>
            <w:shd w:val="clear" w:color="auto" w:fill="F2F2F2" w:themeFill="background1" w:themeFillShade="F2"/>
          </w:tcPr>
          <w:p w:rsidR="0025490C" w:rsidRPr="00E07B1B" w:rsidRDefault="0025490C" w:rsidP="00E11F9C">
            <w:pPr>
              <w:pStyle w:val="TableText"/>
            </w:pPr>
            <w:r w:rsidRPr="00E07B1B">
              <w:t>Women with GDM had a higher body mass index (27.3 ± 0.7 vs 24.3 ± 0.3</w:t>
            </w:r>
            <w:r>
              <w:t> </w:t>
            </w:r>
            <w:r w:rsidRPr="00E07B1B">
              <w:t>kg/m</w:t>
            </w:r>
            <w:r w:rsidRPr="00E07B1B">
              <w:rPr>
                <w:vertAlign w:val="superscript"/>
              </w:rPr>
              <w:t>2</w:t>
            </w:r>
            <w:r w:rsidRPr="00E07B1B">
              <w:t>; adj OR 1.09, 95%CI 1.02</w:t>
            </w:r>
            <w:r>
              <w:t>–</w:t>
            </w:r>
            <w:r w:rsidRPr="00E07B1B">
              <w:t>1.17,</w:t>
            </w:r>
            <w:r>
              <w:t xml:space="preserve"> </w:t>
            </w:r>
            <w:r>
              <w:rPr>
                <w:i/>
                <w:iCs/>
              </w:rPr>
              <w:t>p</w:t>
            </w:r>
            <w:r w:rsidRPr="00E07B1B">
              <w:t xml:space="preserve"> = 0.02 for each kg/m</w:t>
            </w:r>
            <w:r w:rsidRPr="00E07B1B">
              <w:rPr>
                <w:vertAlign w:val="superscript"/>
              </w:rPr>
              <w:t>2</w:t>
            </w:r>
            <w:r w:rsidRPr="00E07B1B">
              <w:t xml:space="preserve"> increase) than women without GDM</w:t>
            </w:r>
            <w:r>
              <w:t>.</w:t>
            </w:r>
          </w:p>
        </w:tc>
        <w:tc>
          <w:tcPr>
            <w:tcW w:w="435" w:type="pct"/>
            <w:tcBorders>
              <w:top w:val="nil"/>
              <w:bottom w:val="nil"/>
            </w:tcBorders>
            <w:shd w:val="clear" w:color="auto" w:fill="F2F2F2" w:themeFill="background1" w:themeFillShade="F2"/>
          </w:tcPr>
          <w:p w:rsidR="0025490C" w:rsidRPr="00E07B1B" w:rsidRDefault="0025490C" w:rsidP="00F65F1B">
            <w:pPr>
              <w:pStyle w:val="TableText"/>
              <w:jc w:val="center"/>
            </w:pPr>
            <w:r w:rsidRPr="00E07B1B">
              <w:t>MEDIUM</w:t>
            </w:r>
          </w:p>
        </w:tc>
      </w:tr>
      <w:tr w:rsidR="0025490C" w:rsidRPr="00E07B1B" w:rsidTr="00116953">
        <w:trPr>
          <w:cantSplit/>
        </w:trPr>
        <w:tc>
          <w:tcPr>
            <w:tcW w:w="486" w:type="pct"/>
            <w:tcBorders>
              <w:top w:val="nil"/>
              <w:bottom w:val="nil"/>
            </w:tcBorders>
            <w:shd w:val="clear" w:color="auto" w:fill="auto"/>
          </w:tcPr>
          <w:p w:rsidR="0025490C" w:rsidRPr="00E07B1B" w:rsidRDefault="00116953" w:rsidP="00E11F9C">
            <w:pPr>
              <w:pStyle w:val="TableText"/>
            </w:pPr>
            <w:r>
              <w:t>Hedderson (2008)</w:t>
            </w:r>
          </w:p>
        </w:tc>
        <w:tc>
          <w:tcPr>
            <w:tcW w:w="534" w:type="pct"/>
            <w:tcBorders>
              <w:top w:val="nil"/>
              <w:bottom w:val="nil"/>
            </w:tcBorders>
            <w:shd w:val="clear" w:color="auto" w:fill="auto"/>
          </w:tcPr>
          <w:p w:rsidR="0025490C" w:rsidRPr="00E07B1B" w:rsidRDefault="0025490C" w:rsidP="00116953">
            <w:pPr>
              <w:pStyle w:val="TableText"/>
            </w:pPr>
            <w:r w:rsidRPr="00E07B1B">
              <w:t>USA</w:t>
            </w:r>
            <w:r w:rsidR="00116953">
              <w:br/>
            </w:r>
            <w:r w:rsidRPr="00E07B1B">
              <w:t>251 cases</w:t>
            </w:r>
            <w:r>
              <w:t xml:space="preserve">, </w:t>
            </w:r>
            <w:r w:rsidRPr="00E07B1B">
              <w:t>204</w:t>
            </w:r>
            <w:r w:rsidR="00116953">
              <w:t> </w:t>
            </w:r>
            <w:r w:rsidRPr="00E07B1B">
              <w:t>controls</w:t>
            </w:r>
          </w:p>
        </w:tc>
        <w:tc>
          <w:tcPr>
            <w:tcW w:w="533" w:type="pct"/>
            <w:tcBorders>
              <w:top w:val="nil"/>
              <w:bottom w:val="nil"/>
            </w:tcBorders>
            <w:shd w:val="clear" w:color="auto" w:fill="auto"/>
          </w:tcPr>
          <w:p w:rsidR="0025490C" w:rsidRPr="00E07B1B" w:rsidRDefault="0025490C" w:rsidP="00E11F9C">
            <w:pPr>
              <w:pStyle w:val="TableText"/>
            </w:pPr>
            <w:r w:rsidRPr="00E07B1B">
              <w:t>Nested case control</w:t>
            </w:r>
          </w:p>
        </w:tc>
        <w:tc>
          <w:tcPr>
            <w:tcW w:w="1457" w:type="pct"/>
            <w:tcBorders>
              <w:top w:val="nil"/>
              <w:bottom w:val="nil"/>
            </w:tcBorders>
            <w:shd w:val="clear" w:color="auto" w:fill="auto"/>
          </w:tcPr>
          <w:p w:rsidR="0025490C" w:rsidRDefault="0025490C" w:rsidP="00116953">
            <w:pPr>
              <w:pStyle w:val="TableText"/>
              <w:spacing w:after="30"/>
              <w:ind w:right="142"/>
            </w:pPr>
            <w:r w:rsidRPr="00E07B1B">
              <w:t>50</w:t>
            </w:r>
            <w:r>
              <w:t xml:space="preserve"> </w:t>
            </w:r>
            <w:r w:rsidRPr="00E07B1B">
              <w:t>g</w:t>
            </w:r>
            <w:r>
              <w:t>,</w:t>
            </w:r>
            <w:r w:rsidRPr="00E07B1B">
              <w:t xml:space="preserve"> 1</w:t>
            </w:r>
            <w:r>
              <w:t>-</w:t>
            </w:r>
            <w:r w:rsidRPr="00E07B1B">
              <w:t>hour OGCT and a 100</w:t>
            </w:r>
            <w:r>
              <w:t> </w:t>
            </w:r>
            <w:r w:rsidRPr="00E07B1B">
              <w:t>g</w:t>
            </w:r>
            <w:r>
              <w:t>,</w:t>
            </w:r>
            <w:r w:rsidRPr="00E07B1B">
              <w:t xml:space="preserve"> 3</w:t>
            </w:r>
            <w:r>
              <w:t>-</w:t>
            </w:r>
            <w:r w:rsidRPr="00E07B1B">
              <w:t>hour OGTT using National Diabetes Data Group criteria at 24</w:t>
            </w:r>
            <w:r>
              <w:t>–</w:t>
            </w:r>
            <w:r w:rsidRPr="00E07B1B">
              <w:t>28 weeks</w:t>
            </w:r>
            <w:r w:rsidR="0068074A">
              <w:t xml:space="preserve">’ </w:t>
            </w:r>
            <w:r w:rsidRPr="00E07B1B">
              <w:t>gestation</w:t>
            </w:r>
            <w:r>
              <w:t>, with two</w:t>
            </w:r>
            <w:r w:rsidRPr="00E07B1B">
              <w:t xml:space="preserve"> or more abnormal values </w:t>
            </w:r>
            <w:r>
              <w:t>required from:</w:t>
            </w:r>
          </w:p>
          <w:p w:rsidR="0025490C" w:rsidRDefault="0025490C" w:rsidP="00116953">
            <w:pPr>
              <w:pStyle w:val="TableBullet"/>
              <w:spacing w:after="30"/>
              <w:ind w:left="284"/>
            </w:pPr>
            <w:r w:rsidRPr="00E07B1B">
              <w:t>fasting ≥</w:t>
            </w:r>
            <w:r>
              <w:t xml:space="preserve"> </w:t>
            </w:r>
            <w:r w:rsidRPr="00E07B1B">
              <w:t>5.8</w:t>
            </w:r>
            <w:r>
              <w:t xml:space="preserve"> </w:t>
            </w:r>
            <w:r w:rsidRPr="00E07B1B">
              <w:t>mmol/L</w:t>
            </w:r>
          </w:p>
          <w:p w:rsidR="0025490C" w:rsidRDefault="0025490C" w:rsidP="00116953">
            <w:pPr>
              <w:pStyle w:val="TableBullet"/>
              <w:spacing w:after="30"/>
              <w:ind w:left="284"/>
            </w:pPr>
            <w:r w:rsidRPr="00E07B1B">
              <w:t>1</w:t>
            </w:r>
            <w:r>
              <w:t>-</w:t>
            </w:r>
            <w:r w:rsidRPr="00E07B1B">
              <w:t>hour ≥</w:t>
            </w:r>
            <w:r>
              <w:t xml:space="preserve"> </w:t>
            </w:r>
            <w:r w:rsidRPr="00E07B1B">
              <w:t>10.5</w:t>
            </w:r>
            <w:r>
              <w:t xml:space="preserve"> </w:t>
            </w:r>
            <w:r w:rsidRPr="00E07B1B">
              <w:t>mmol</w:t>
            </w:r>
            <w:r>
              <w:t>/L</w:t>
            </w:r>
          </w:p>
          <w:p w:rsidR="0025490C" w:rsidRDefault="0025490C" w:rsidP="00116953">
            <w:pPr>
              <w:pStyle w:val="TableBullet"/>
              <w:spacing w:after="30"/>
              <w:ind w:left="284"/>
            </w:pPr>
            <w:r w:rsidRPr="00E07B1B">
              <w:t>2</w:t>
            </w:r>
            <w:r>
              <w:t>-</w:t>
            </w:r>
            <w:r w:rsidRPr="00E07B1B">
              <w:t>hour ≥</w:t>
            </w:r>
            <w:r>
              <w:t xml:space="preserve"> </w:t>
            </w:r>
            <w:r w:rsidRPr="00E07B1B">
              <w:t>9.1</w:t>
            </w:r>
            <w:r>
              <w:t xml:space="preserve"> </w:t>
            </w:r>
            <w:r w:rsidRPr="00E07B1B">
              <w:t>mmol</w:t>
            </w:r>
            <w:r>
              <w:t>/L</w:t>
            </w:r>
          </w:p>
          <w:p w:rsidR="0025490C" w:rsidRPr="00E07B1B" w:rsidRDefault="0025490C" w:rsidP="00116953">
            <w:pPr>
              <w:pStyle w:val="TableBullet"/>
              <w:ind w:left="284"/>
            </w:pPr>
            <w:r w:rsidRPr="00E07B1B">
              <w:t>3</w:t>
            </w:r>
            <w:r>
              <w:t>-</w:t>
            </w:r>
            <w:r w:rsidRPr="00E07B1B">
              <w:t>hour ≥</w:t>
            </w:r>
            <w:r>
              <w:t xml:space="preserve"> </w:t>
            </w:r>
            <w:r w:rsidRPr="00E07B1B">
              <w:t>8.0mmol</w:t>
            </w:r>
            <w:r>
              <w:t>/L.</w:t>
            </w:r>
          </w:p>
        </w:tc>
        <w:tc>
          <w:tcPr>
            <w:tcW w:w="1555" w:type="pct"/>
            <w:tcBorders>
              <w:top w:val="nil"/>
              <w:bottom w:val="nil"/>
            </w:tcBorders>
            <w:shd w:val="clear" w:color="auto" w:fill="auto"/>
          </w:tcPr>
          <w:p w:rsidR="0025490C" w:rsidRDefault="0025490C" w:rsidP="00E11F9C">
            <w:pPr>
              <w:pStyle w:val="TableText"/>
            </w:pPr>
            <w:r w:rsidRPr="00E07B1B">
              <w:t>Women who gained weight at a rate of 1.1</w:t>
            </w:r>
            <w:r>
              <w:t>–</w:t>
            </w:r>
            <w:r w:rsidRPr="00E07B1B">
              <w:t>2.2</w:t>
            </w:r>
            <w:r>
              <w:t xml:space="preserve"> </w:t>
            </w:r>
            <w:r w:rsidRPr="00E07B1B">
              <w:t>kg/year had a small increased risk of GDM (adj OR 1.63, 95%CI 0.95</w:t>
            </w:r>
            <w:r>
              <w:t>–</w:t>
            </w:r>
            <w:r w:rsidRPr="00E07B1B">
              <w:t>2.81) compared with women with stable weight</w:t>
            </w:r>
            <w:r>
              <w:t>.</w:t>
            </w:r>
          </w:p>
          <w:p w:rsidR="0025490C" w:rsidRDefault="0025490C" w:rsidP="00E11F9C">
            <w:pPr>
              <w:pStyle w:val="TableText"/>
            </w:pPr>
            <w:r w:rsidRPr="00E07B1B">
              <w:t>Women who gain weight at 2.3</w:t>
            </w:r>
            <w:r>
              <w:t>–</w:t>
            </w:r>
            <w:r w:rsidRPr="00E07B1B">
              <w:t>10</w:t>
            </w:r>
            <w:r>
              <w:t> </w:t>
            </w:r>
            <w:r w:rsidRPr="00E07B1B">
              <w:t xml:space="preserve">kg/year had a 2.5 </w:t>
            </w:r>
            <w:r>
              <w:t xml:space="preserve">times greater </w:t>
            </w:r>
            <w:r w:rsidRPr="00E07B1B">
              <w:t>risk of developing GDM (adj OR 2.61, 95%CI 1.50</w:t>
            </w:r>
            <w:r>
              <w:t>–</w:t>
            </w:r>
            <w:r w:rsidRPr="00E07B1B">
              <w:t>4.57) compared with women with stable weight. The association was stronger among women who were not overweight (BMI &lt;</w:t>
            </w:r>
            <w:r>
              <w:t> </w:t>
            </w:r>
            <w:r w:rsidRPr="00E07B1B">
              <w:t>25</w:t>
            </w:r>
            <w:r>
              <w:t> </w:t>
            </w:r>
            <w:r w:rsidRPr="00E07B1B">
              <w:t>kg/m</w:t>
            </w:r>
            <w:r w:rsidRPr="00E07B1B">
              <w:rPr>
                <w:vertAlign w:val="superscript"/>
              </w:rPr>
              <w:t>2</w:t>
            </w:r>
            <w:r w:rsidRPr="00E07B1B">
              <w:t>) at baseline (adj OR 2.81, 95%CI 1.33</w:t>
            </w:r>
            <w:r>
              <w:t>–</w:t>
            </w:r>
            <w:r w:rsidRPr="00E07B1B">
              <w:t>5.93).</w:t>
            </w:r>
          </w:p>
          <w:p w:rsidR="0025490C" w:rsidRPr="00E07B1B" w:rsidRDefault="0025490C" w:rsidP="00E11F9C">
            <w:pPr>
              <w:pStyle w:val="TableText"/>
            </w:pPr>
            <w:r w:rsidRPr="00E07B1B">
              <w:t>Women who were overweight or obese at baseline had an increased risk of developing GDM (adj OR 2.14, 95%CI 1.41</w:t>
            </w:r>
            <w:r>
              <w:t>–</w:t>
            </w:r>
            <w:r w:rsidRPr="00E07B1B">
              <w:t>3.25 and adj OR 1.93, 95%CI 1.20</w:t>
            </w:r>
            <w:r>
              <w:t>–</w:t>
            </w:r>
            <w:r w:rsidRPr="00E07B1B">
              <w:t>3.10 respectively)</w:t>
            </w:r>
            <w:r>
              <w:t>.</w:t>
            </w:r>
          </w:p>
        </w:tc>
        <w:tc>
          <w:tcPr>
            <w:tcW w:w="435" w:type="pct"/>
            <w:tcBorders>
              <w:top w:val="nil"/>
              <w:bottom w:val="nil"/>
            </w:tcBorders>
            <w:shd w:val="clear" w:color="auto" w:fill="auto"/>
          </w:tcPr>
          <w:p w:rsidR="0025490C" w:rsidRPr="00E07B1B" w:rsidRDefault="0025490C" w:rsidP="00F65F1B">
            <w:pPr>
              <w:pStyle w:val="TableText"/>
              <w:jc w:val="center"/>
            </w:pPr>
            <w:r w:rsidRPr="00E07B1B">
              <w:t>MEDIUM</w:t>
            </w:r>
          </w:p>
        </w:tc>
      </w:tr>
      <w:tr w:rsidR="0025490C" w:rsidRPr="00E07B1B" w:rsidTr="00116953">
        <w:trPr>
          <w:cantSplit/>
        </w:trPr>
        <w:tc>
          <w:tcPr>
            <w:tcW w:w="486" w:type="pct"/>
            <w:tcBorders>
              <w:top w:val="nil"/>
              <w:bottom w:val="nil"/>
            </w:tcBorders>
            <w:shd w:val="clear" w:color="auto" w:fill="F2F2F2" w:themeFill="background1" w:themeFillShade="F2"/>
          </w:tcPr>
          <w:p w:rsidR="0025490C" w:rsidRPr="00E07B1B" w:rsidRDefault="0025490C" w:rsidP="00116953">
            <w:pPr>
              <w:pStyle w:val="TableText"/>
            </w:pPr>
            <w:r w:rsidRPr="00E07B1B">
              <w:t>Makgoba</w:t>
            </w:r>
            <w:r w:rsidR="00116953">
              <w:br/>
            </w:r>
            <w:r w:rsidRPr="00E07B1B">
              <w:t>(2012)</w:t>
            </w:r>
          </w:p>
        </w:tc>
        <w:tc>
          <w:tcPr>
            <w:tcW w:w="534" w:type="pct"/>
            <w:tcBorders>
              <w:top w:val="nil"/>
              <w:bottom w:val="nil"/>
            </w:tcBorders>
            <w:shd w:val="clear" w:color="auto" w:fill="F2F2F2" w:themeFill="background1" w:themeFillShade="F2"/>
          </w:tcPr>
          <w:p w:rsidR="0025490C" w:rsidRPr="00E07B1B" w:rsidRDefault="0025490C" w:rsidP="00116953">
            <w:pPr>
              <w:pStyle w:val="TableText"/>
            </w:pPr>
            <w:r w:rsidRPr="00E07B1B">
              <w:t>United Kingdom</w:t>
            </w:r>
            <w:r w:rsidR="00116953">
              <w:br/>
            </w:r>
            <w:r w:rsidRPr="00E07B1B">
              <w:t>585,291</w:t>
            </w:r>
          </w:p>
        </w:tc>
        <w:tc>
          <w:tcPr>
            <w:tcW w:w="533" w:type="pct"/>
            <w:tcBorders>
              <w:top w:val="nil"/>
              <w:bottom w:val="nil"/>
            </w:tcBorders>
            <w:shd w:val="clear" w:color="auto" w:fill="F2F2F2" w:themeFill="background1" w:themeFillShade="F2"/>
          </w:tcPr>
          <w:p w:rsidR="0025490C" w:rsidRPr="00E07B1B" w:rsidRDefault="0025490C" w:rsidP="00E11F9C">
            <w:pPr>
              <w:pStyle w:val="TableText"/>
            </w:pPr>
            <w:r w:rsidRPr="00E07B1B">
              <w:t>Retrospective cohort</w:t>
            </w:r>
          </w:p>
        </w:tc>
        <w:tc>
          <w:tcPr>
            <w:tcW w:w="1457" w:type="pct"/>
            <w:tcBorders>
              <w:top w:val="nil"/>
              <w:bottom w:val="nil"/>
            </w:tcBorders>
            <w:shd w:val="clear" w:color="auto" w:fill="F2F2F2" w:themeFill="background1" w:themeFillShade="F2"/>
          </w:tcPr>
          <w:p w:rsidR="0025490C" w:rsidRPr="00E07B1B" w:rsidRDefault="0025490C" w:rsidP="00116953">
            <w:pPr>
              <w:pStyle w:val="TableText"/>
              <w:ind w:right="142"/>
            </w:pPr>
            <w:r w:rsidRPr="00E07B1B">
              <w:t>Diagnosis and screening varied between the units (no details)</w:t>
            </w:r>
            <w:r>
              <w:t>.</w:t>
            </w:r>
          </w:p>
        </w:tc>
        <w:tc>
          <w:tcPr>
            <w:tcW w:w="1555" w:type="pct"/>
            <w:tcBorders>
              <w:top w:val="nil"/>
              <w:bottom w:val="nil"/>
            </w:tcBorders>
            <w:shd w:val="clear" w:color="auto" w:fill="F2F2F2" w:themeFill="background1" w:themeFillShade="F2"/>
          </w:tcPr>
          <w:p w:rsidR="0025490C" w:rsidRPr="00E07B1B" w:rsidRDefault="0025490C" w:rsidP="00116953">
            <w:pPr>
              <w:pStyle w:val="TableText"/>
            </w:pPr>
            <w:r w:rsidRPr="00E07B1B">
              <w:t>Women with GDM had a significantly higher BMI than non-GDM women (26.6</w:t>
            </w:r>
            <w:r>
              <w:t xml:space="preserve"> </w:t>
            </w:r>
            <w:r w:rsidRPr="00E07B1B">
              <w:t>±</w:t>
            </w:r>
            <w:r>
              <w:t xml:space="preserve"> </w:t>
            </w:r>
            <w:r w:rsidRPr="00E07B1B">
              <w:t>5.5 versus 23.7</w:t>
            </w:r>
            <w:r w:rsidR="00116953">
              <w:t> </w:t>
            </w:r>
            <w:r w:rsidRPr="00E07B1B">
              <w:t>±</w:t>
            </w:r>
            <w:r w:rsidR="00116953">
              <w:t> </w:t>
            </w:r>
            <w:r w:rsidRPr="00E07B1B">
              <w:t>4.0</w:t>
            </w:r>
            <w:r>
              <w:t xml:space="preserve"> </w:t>
            </w:r>
            <w:r w:rsidRPr="00E07B1B">
              <w:t>kg/m</w:t>
            </w:r>
            <w:r w:rsidRPr="00E07B1B">
              <w:rPr>
                <w:vertAlign w:val="superscript"/>
              </w:rPr>
              <w:t>2</w:t>
            </w:r>
            <w:r>
              <w:t>,</w:t>
            </w:r>
            <w:r w:rsidRPr="00E07B1B">
              <w:t xml:space="preserve"> </w:t>
            </w:r>
            <w:r w:rsidRPr="0037704F">
              <w:rPr>
                <w:i/>
              </w:rPr>
              <w:t>p</w:t>
            </w:r>
            <w:r>
              <w:rPr>
                <w:i/>
              </w:rPr>
              <w:t> </w:t>
            </w:r>
            <w:r w:rsidRPr="00E07B1B">
              <w:t>&lt;</w:t>
            </w:r>
            <w:r>
              <w:t> </w:t>
            </w:r>
            <w:r w:rsidRPr="00E07B1B">
              <w:t>0.001). There was also an association between increasing BMI in all the racial groups (</w:t>
            </w:r>
            <w:r w:rsidRPr="0037704F">
              <w:rPr>
                <w:i/>
              </w:rPr>
              <w:t>p</w:t>
            </w:r>
            <w:r>
              <w:t xml:space="preserve"> </w:t>
            </w:r>
            <w:r w:rsidRPr="00E07B1B">
              <w:t>&lt;</w:t>
            </w:r>
            <w:r>
              <w:t xml:space="preserve"> </w:t>
            </w:r>
            <w:r w:rsidRPr="00E07B1B">
              <w:t>0.001)</w:t>
            </w:r>
            <w:r>
              <w:t>.</w:t>
            </w:r>
          </w:p>
        </w:tc>
        <w:tc>
          <w:tcPr>
            <w:tcW w:w="435" w:type="pct"/>
            <w:tcBorders>
              <w:top w:val="nil"/>
              <w:bottom w:val="nil"/>
            </w:tcBorders>
            <w:shd w:val="clear" w:color="auto" w:fill="F2F2F2" w:themeFill="background1" w:themeFillShade="F2"/>
          </w:tcPr>
          <w:p w:rsidR="0025490C" w:rsidRPr="00E07B1B" w:rsidRDefault="0025490C" w:rsidP="00F65F1B">
            <w:pPr>
              <w:pStyle w:val="TableText"/>
              <w:jc w:val="center"/>
            </w:pPr>
            <w:r w:rsidRPr="00E07B1B">
              <w:t>LOW</w:t>
            </w:r>
          </w:p>
        </w:tc>
      </w:tr>
      <w:tr w:rsidR="0025490C" w:rsidRPr="00E07B1B" w:rsidTr="00116953">
        <w:trPr>
          <w:cantSplit/>
        </w:trPr>
        <w:tc>
          <w:tcPr>
            <w:tcW w:w="486" w:type="pct"/>
            <w:tcBorders>
              <w:top w:val="nil"/>
              <w:bottom w:val="nil"/>
            </w:tcBorders>
            <w:shd w:val="clear" w:color="auto" w:fill="auto"/>
          </w:tcPr>
          <w:p w:rsidR="0025490C" w:rsidRPr="00E07B1B" w:rsidRDefault="0025490C" w:rsidP="00116953">
            <w:pPr>
              <w:pStyle w:val="TableText"/>
            </w:pPr>
            <w:r w:rsidRPr="00E07B1B">
              <w:t>Gibson</w:t>
            </w:r>
            <w:r w:rsidR="00116953">
              <w:br/>
            </w:r>
            <w:r w:rsidRPr="00E07B1B">
              <w:t>(2012)</w:t>
            </w:r>
          </w:p>
        </w:tc>
        <w:tc>
          <w:tcPr>
            <w:tcW w:w="534" w:type="pct"/>
            <w:tcBorders>
              <w:top w:val="nil"/>
              <w:bottom w:val="nil"/>
            </w:tcBorders>
            <w:shd w:val="clear" w:color="auto" w:fill="auto"/>
          </w:tcPr>
          <w:p w:rsidR="0025490C" w:rsidRPr="00E07B1B" w:rsidRDefault="0025490C" w:rsidP="00116953">
            <w:pPr>
              <w:pStyle w:val="TableText"/>
            </w:pPr>
            <w:r w:rsidRPr="00E07B1B">
              <w:t>USA</w:t>
            </w:r>
            <w:r w:rsidR="00116953">
              <w:br/>
            </w:r>
            <w:r w:rsidRPr="00E07B1B">
              <w:t>163 cases</w:t>
            </w:r>
            <w:r>
              <w:t xml:space="preserve">, </w:t>
            </w:r>
            <w:r w:rsidRPr="00E07B1B">
              <w:t>489</w:t>
            </w:r>
            <w:r w:rsidR="00116953">
              <w:t> </w:t>
            </w:r>
            <w:r w:rsidRPr="00E07B1B">
              <w:t>controls</w:t>
            </w:r>
          </w:p>
        </w:tc>
        <w:tc>
          <w:tcPr>
            <w:tcW w:w="533" w:type="pct"/>
            <w:tcBorders>
              <w:top w:val="nil"/>
              <w:bottom w:val="nil"/>
            </w:tcBorders>
            <w:shd w:val="clear" w:color="auto" w:fill="auto"/>
          </w:tcPr>
          <w:p w:rsidR="0025490C" w:rsidRPr="00E07B1B" w:rsidRDefault="0025490C" w:rsidP="00E11F9C">
            <w:pPr>
              <w:pStyle w:val="TableText"/>
            </w:pPr>
            <w:r w:rsidRPr="00E07B1B">
              <w:t>Retrospective matched case control</w:t>
            </w:r>
          </w:p>
        </w:tc>
        <w:tc>
          <w:tcPr>
            <w:tcW w:w="1457" w:type="pct"/>
            <w:tcBorders>
              <w:top w:val="nil"/>
              <w:bottom w:val="nil"/>
            </w:tcBorders>
            <w:shd w:val="clear" w:color="auto" w:fill="auto"/>
          </w:tcPr>
          <w:p w:rsidR="0025490C" w:rsidRPr="00E07B1B" w:rsidRDefault="0025490C" w:rsidP="00F65F1B">
            <w:pPr>
              <w:pStyle w:val="TableText"/>
              <w:ind w:right="142"/>
            </w:pPr>
            <w:r w:rsidRPr="00E07B1B">
              <w:t>1</w:t>
            </w:r>
            <w:r>
              <w:t>-</w:t>
            </w:r>
            <w:r w:rsidRPr="00E07B1B">
              <w:t>hour</w:t>
            </w:r>
            <w:r>
              <w:t>,</w:t>
            </w:r>
            <w:r w:rsidRPr="00E07B1B">
              <w:t xml:space="preserve"> 50</w:t>
            </w:r>
            <w:r>
              <w:t xml:space="preserve"> </w:t>
            </w:r>
            <w:r w:rsidRPr="00E07B1B">
              <w:t>g OGCT &gt;</w:t>
            </w:r>
            <w:r>
              <w:t> </w:t>
            </w:r>
            <w:r w:rsidRPr="00E07B1B">
              <w:t>200</w:t>
            </w:r>
            <w:r>
              <w:t> </w:t>
            </w:r>
            <w:r w:rsidRPr="00E07B1B">
              <w:t>mg</w:t>
            </w:r>
            <w:r>
              <w:t>/dL</w:t>
            </w:r>
            <w:r w:rsidRPr="00E07B1B">
              <w:t xml:space="preserve"> or </w:t>
            </w:r>
            <w:r>
              <w:t>two</w:t>
            </w:r>
            <w:r w:rsidRPr="00E07B1B">
              <w:t xml:space="preserve"> or more abnormal results on a 3</w:t>
            </w:r>
            <w:r>
              <w:t>-</w:t>
            </w:r>
            <w:r w:rsidRPr="00E07B1B">
              <w:t>hour</w:t>
            </w:r>
            <w:r>
              <w:t>,</w:t>
            </w:r>
            <w:r w:rsidRPr="00E07B1B">
              <w:t xml:space="preserve"> 100</w:t>
            </w:r>
            <w:r>
              <w:t> </w:t>
            </w:r>
            <w:r w:rsidRPr="00E07B1B">
              <w:t>g OGTT using Carpenter and Coustan criteria.</w:t>
            </w:r>
          </w:p>
        </w:tc>
        <w:tc>
          <w:tcPr>
            <w:tcW w:w="1555" w:type="pct"/>
            <w:tcBorders>
              <w:top w:val="nil"/>
              <w:bottom w:val="nil"/>
            </w:tcBorders>
            <w:shd w:val="clear" w:color="auto" w:fill="auto"/>
          </w:tcPr>
          <w:p w:rsidR="0025490C" w:rsidRPr="00E07B1B" w:rsidRDefault="0025490C" w:rsidP="00E11F9C">
            <w:pPr>
              <w:pStyle w:val="TableText"/>
            </w:pPr>
            <w:r w:rsidRPr="00E07B1B">
              <w:t>24 week gestational weight gain was 11.2</w:t>
            </w:r>
            <w:r>
              <w:t> </w:t>
            </w:r>
            <w:r w:rsidRPr="00E07B1B">
              <w:t>lb</w:t>
            </w:r>
            <w:r>
              <w:t> </w:t>
            </w:r>
            <w:r w:rsidRPr="00E07B1B">
              <w:t>±</w:t>
            </w:r>
            <w:r>
              <w:t> </w:t>
            </w:r>
            <w:r w:rsidRPr="00E07B1B">
              <w:t>10.8 in the control group and 14.8</w:t>
            </w:r>
            <w:r>
              <w:t> </w:t>
            </w:r>
            <w:r w:rsidRPr="00E07B1B">
              <w:t>lb</w:t>
            </w:r>
            <w:r>
              <w:t> </w:t>
            </w:r>
            <w:r w:rsidRPr="00E07B1B">
              <w:t>±</w:t>
            </w:r>
            <w:r>
              <w:t> </w:t>
            </w:r>
            <w:r w:rsidRPr="00E07B1B">
              <w:t>12.7 in the GDM group (</w:t>
            </w:r>
            <w:r w:rsidRPr="0037704F">
              <w:rPr>
                <w:i/>
              </w:rPr>
              <w:t>p</w:t>
            </w:r>
            <w:r>
              <w:t> </w:t>
            </w:r>
            <w:r w:rsidRPr="00E07B1B">
              <w:t>&lt;</w:t>
            </w:r>
            <w:r>
              <w:t> </w:t>
            </w:r>
            <w:r w:rsidRPr="00E07B1B">
              <w:t>0.001). No risk estimate provided.</w:t>
            </w:r>
          </w:p>
        </w:tc>
        <w:tc>
          <w:tcPr>
            <w:tcW w:w="435" w:type="pct"/>
            <w:tcBorders>
              <w:top w:val="nil"/>
              <w:bottom w:val="nil"/>
            </w:tcBorders>
            <w:shd w:val="clear" w:color="auto" w:fill="auto"/>
          </w:tcPr>
          <w:p w:rsidR="0025490C" w:rsidRPr="00E07B1B" w:rsidRDefault="0025490C" w:rsidP="00F65F1B">
            <w:pPr>
              <w:pStyle w:val="TableText"/>
              <w:jc w:val="center"/>
            </w:pPr>
            <w:r w:rsidRPr="00E07B1B">
              <w:t>LOW</w:t>
            </w:r>
          </w:p>
        </w:tc>
      </w:tr>
      <w:tr w:rsidR="0025490C" w:rsidRPr="00E07B1B" w:rsidTr="00116953">
        <w:trPr>
          <w:cantSplit/>
        </w:trPr>
        <w:tc>
          <w:tcPr>
            <w:tcW w:w="486" w:type="pct"/>
            <w:tcBorders>
              <w:top w:val="nil"/>
              <w:bottom w:val="nil"/>
            </w:tcBorders>
            <w:shd w:val="clear" w:color="auto" w:fill="F2F2F2" w:themeFill="background1" w:themeFillShade="F2"/>
          </w:tcPr>
          <w:p w:rsidR="0025490C" w:rsidRPr="00E07B1B" w:rsidRDefault="0025490C" w:rsidP="00116953">
            <w:pPr>
              <w:pStyle w:val="TableText"/>
            </w:pPr>
            <w:r w:rsidRPr="00E07B1B">
              <w:t>Radesky</w:t>
            </w:r>
            <w:r w:rsidR="00116953">
              <w:br/>
            </w:r>
            <w:r w:rsidRPr="00E07B1B">
              <w:t>(2008)</w:t>
            </w:r>
          </w:p>
        </w:tc>
        <w:tc>
          <w:tcPr>
            <w:tcW w:w="534" w:type="pct"/>
            <w:tcBorders>
              <w:top w:val="nil"/>
              <w:bottom w:val="nil"/>
            </w:tcBorders>
            <w:shd w:val="clear" w:color="auto" w:fill="F2F2F2" w:themeFill="background1" w:themeFillShade="F2"/>
          </w:tcPr>
          <w:p w:rsidR="0025490C" w:rsidRPr="00E07B1B" w:rsidRDefault="0025490C" w:rsidP="00116953">
            <w:pPr>
              <w:pStyle w:val="TableText"/>
            </w:pPr>
            <w:r w:rsidRPr="00E07B1B">
              <w:t>USA</w:t>
            </w:r>
            <w:r w:rsidR="00116953">
              <w:br/>
            </w:r>
            <w:r w:rsidRPr="00E07B1B">
              <w:t>1733</w:t>
            </w:r>
          </w:p>
        </w:tc>
        <w:tc>
          <w:tcPr>
            <w:tcW w:w="533" w:type="pct"/>
            <w:tcBorders>
              <w:top w:val="nil"/>
              <w:bottom w:val="nil"/>
            </w:tcBorders>
            <w:shd w:val="clear" w:color="auto" w:fill="F2F2F2" w:themeFill="background1" w:themeFillShade="F2"/>
          </w:tcPr>
          <w:p w:rsidR="0025490C" w:rsidRPr="00E07B1B" w:rsidRDefault="0025490C" w:rsidP="00E11F9C">
            <w:pPr>
              <w:pStyle w:val="TableText"/>
            </w:pPr>
            <w:r w:rsidRPr="00E07B1B">
              <w:t>Prospective cohort</w:t>
            </w:r>
          </w:p>
        </w:tc>
        <w:tc>
          <w:tcPr>
            <w:tcW w:w="1457" w:type="pct"/>
            <w:tcBorders>
              <w:top w:val="nil"/>
              <w:bottom w:val="nil"/>
            </w:tcBorders>
            <w:shd w:val="clear" w:color="auto" w:fill="F2F2F2" w:themeFill="background1" w:themeFillShade="F2"/>
          </w:tcPr>
          <w:p w:rsidR="0025490C" w:rsidRDefault="0025490C" w:rsidP="00F65F1B">
            <w:pPr>
              <w:pStyle w:val="TableText"/>
              <w:ind w:right="142"/>
            </w:pPr>
            <w:r w:rsidRPr="00E07B1B">
              <w:t>50</w:t>
            </w:r>
            <w:r>
              <w:t xml:space="preserve"> </w:t>
            </w:r>
            <w:r w:rsidRPr="00E07B1B">
              <w:t>g OGCT</w:t>
            </w:r>
          </w:p>
          <w:p w:rsidR="0025490C" w:rsidRPr="00E07B1B" w:rsidRDefault="0025490C" w:rsidP="00116953">
            <w:pPr>
              <w:pStyle w:val="TableText"/>
              <w:spacing w:after="30"/>
              <w:ind w:right="142"/>
            </w:pPr>
            <w:r w:rsidRPr="00E07B1B">
              <w:t>If ≥</w:t>
            </w:r>
            <w:r>
              <w:t xml:space="preserve"> </w:t>
            </w:r>
            <w:r w:rsidRPr="00E07B1B">
              <w:t>140</w:t>
            </w:r>
            <w:r>
              <w:t xml:space="preserve"> </w:t>
            </w:r>
            <w:r w:rsidRPr="00E07B1B">
              <w:t>mg</w:t>
            </w:r>
            <w:r>
              <w:t>/dL,</w:t>
            </w:r>
            <w:r w:rsidRPr="00E07B1B">
              <w:t xml:space="preserve"> then 100</w:t>
            </w:r>
            <w:r>
              <w:t xml:space="preserve"> </w:t>
            </w:r>
            <w:r w:rsidRPr="00E07B1B">
              <w:t>g, 3</w:t>
            </w:r>
            <w:r>
              <w:noBreakHyphen/>
            </w:r>
            <w:r w:rsidRPr="00E07B1B">
              <w:t>hour OGTT</w:t>
            </w:r>
            <w:r>
              <w:t>:</w:t>
            </w:r>
          </w:p>
          <w:p w:rsidR="0025490C" w:rsidRPr="00E07B1B" w:rsidRDefault="0025490C" w:rsidP="00116953">
            <w:pPr>
              <w:pStyle w:val="TableBullet"/>
              <w:spacing w:after="30"/>
              <w:ind w:left="284"/>
            </w:pPr>
            <w:r>
              <w:t>f</w:t>
            </w:r>
            <w:r w:rsidRPr="00E07B1B">
              <w:t>asting &gt;</w:t>
            </w:r>
            <w:r>
              <w:t xml:space="preserve"> </w:t>
            </w:r>
            <w:r w:rsidRPr="00E07B1B">
              <w:t>155</w:t>
            </w:r>
            <w:r>
              <w:t xml:space="preserve"> </w:t>
            </w:r>
            <w:r w:rsidRPr="00E07B1B">
              <w:t>mg</w:t>
            </w:r>
            <w:r>
              <w:t>/dL</w:t>
            </w:r>
          </w:p>
          <w:p w:rsidR="0025490C" w:rsidRPr="00E07B1B" w:rsidRDefault="0025490C" w:rsidP="00116953">
            <w:pPr>
              <w:pStyle w:val="TableBullet"/>
              <w:spacing w:after="30"/>
              <w:ind w:left="284"/>
            </w:pPr>
            <w:r w:rsidRPr="00E07B1B">
              <w:t>1</w:t>
            </w:r>
            <w:r>
              <w:t>-</w:t>
            </w:r>
            <w:r w:rsidRPr="00E07B1B">
              <w:t>hour &gt;</w:t>
            </w:r>
            <w:r>
              <w:t xml:space="preserve"> </w:t>
            </w:r>
            <w:r w:rsidRPr="00E07B1B">
              <w:t>180</w:t>
            </w:r>
            <w:r>
              <w:t xml:space="preserve"> </w:t>
            </w:r>
            <w:r w:rsidRPr="00E07B1B">
              <w:t>mg</w:t>
            </w:r>
            <w:r>
              <w:t>/dL</w:t>
            </w:r>
          </w:p>
          <w:p w:rsidR="0025490C" w:rsidRPr="00E07B1B" w:rsidRDefault="0025490C" w:rsidP="00116953">
            <w:pPr>
              <w:pStyle w:val="TableBullet"/>
              <w:spacing w:after="30"/>
              <w:ind w:left="284"/>
            </w:pPr>
            <w:r w:rsidRPr="00E07B1B">
              <w:t>2</w:t>
            </w:r>
            <w:r>
              <w:t>-</w:t>
            </w:r>
            <w:r w:rsidRPr="00E07B1B">
              <w:t>hour &gt; 155</w:t>
            </w:r>
            <w:r>
              <w:t xml:space="preserve"> </w:t>
            </w:r>
            <w:r w:rsidRPr="00E07B1B">
              <w:t>mg</w:t>
            </w:r>
            <w:r>
              <w:t>/dL</w:t>
            </w:r>
          </w:p>
          <w:p w:rsidR="0025490C" w:rsidRPr="00E07B1B" w:rsidRDefault="0025490C" w:rsidP="00116953">
            <w:pPr>
              <w:pStyle w:val="TableBullet"/>
              <w:ind w:left="284"/>
            </w:pPr>
            <w:r w:rsidRPr="00E07B1B">
              <w:t>3</w:t>
            </w:r>
            <w:r>
              <w:t>-</w:t>
            </w:r>
            <w:r w:rsidRPr="00E07B1B">
              <w:t>hour &gt;</w:t>
            </w:r>
            <w:r>
              <w:t xml:space="preserve"> </w:t>
            </w:r>
            <w:r w:rsidRPr="00E07B1B">
              <w:t>140</w:t>
            </w:r>
            <w:r>
              <w:t xml:space="preserve"> </w:t>
            </w:r>
            <w:r w:rsidRPr="00E07B1B">
              <w:t>mg</w:t>
            </w:r>
            <w:r>
              <w:t>/dL</w:t>
            </w:r>
            <w:r w:rsidRPr="00E07B1B">
              <w:t>.</w:t>
            </w:r>
          </w:p>
        </w:tc>
        <w:tc>
          <w:tcPr>
            <w:tcW w:w="1555" w:type="pct"/>
            <w:tcBorders>
              <w:top w:val="nil"/>
              <w:bottom w:val="nil"/>
            </w:tcBorders>
            <w:shd w:val="clear" w:color="auto" w:fill="F2F2F2" w:themeFill="background1" w:themeFillShade="F2"/>
          </w:tcPr>
          <w:p w:rsidR="0025490C" w:rsidRPr="00E07B1B" w:rsidRDefault="0025490C" w:rsidP="00116953">
            <w:pPr>
              <w:pStyle w:val="TableText"/>
            </w:pPr>
            <w:r w:rsidRPr="00E07B1B">
              <w:t>Pre-pregnancy BMI (≥</w:t>
            </w:r>
            <w:r>
              <w:t xml:space="preserve"> </w:t>
            </w:r>
            <w:r w:rsidRPr="00E07B1B">
              <w:t>30</w:t>
            </w:r>
            <w:r>
              <w:t xml:space="preserve"> </w:t>
            </w:r>
            <w:r w:rsidRPr="00E07B1B">
              <w:t>kg/m</w:t>
            </w:r>
            <w:r w:rsidRPr="00E07B1B">
              <w:rPr>
                <w:vertAlign w:val="superscript"/>
              </w:rPr>
              <w:t>2</w:t>
            </w:r>
            <w:r w:rsidRPr="00E07B1B">
              <w:t xml:space="preserve"> vs &lt;</w:t>
            </w:r>
            <w:r>
              <w:t> </w:t>
            </w:r>
            <w:r w:rsidRPr="00E07B1B">
              <w:t>25</w:t>
            </w:r>
            <w:r>
              <w:t> </w:t>
            </w:r>
            <w:r w:rsidRPr="00E07B1B">
              <w:t>kg/m</w:t>
            </w:r>
            <w:r w:rsidRPr="00E07B1B">
              <w:rPr>
                <w:vertAlign w:val="superscript"/>
              </w:rPr>
              <w:t>2</w:t>
            </w:r>
            <w:r w:rsidRPr="00E07B1B">
              <w:t>) was a strong predictor of GDM risk (OR 3.44, 95%CI 1.88</w:t>
            </w:r>
            <w:r>
              <w:t>–</w:t>
            </w:r>
            <w:r w:rsidRPr="00E07B1B">
              <w:t>6.31)</w:t>
            </w:r>
            <w:r>
              <w:t>.</w:t>
            </w:r>
          </w:p>
        </w:tc>
        <w:tc>
          <w:tcPr>
            <w:tcW w:w="435" w:type="pct"/>
            <w:tcBorders>
              <w:top w:val="nil"/>
              <w:bottom w:val="nil"/>
            </w:tcBorders>
            <w:shd w:val="clear" w:color="auto" w:fill="F2F2F2" w:themeFill="background1" w:themeFillShade="F2"/>
          </w:tcPr>
          <w:p w:rsidR="0025490C" w:rsidRPr="00E07B1B" w:rsidRDefault="0025490C" w:rsidP="00F65F1B">
            <w:pPr>
              <w:pStyle w:val="TableText"/>
              <w:jc w:val="center"/>
            </w:pPr>
            <w:r w:rsidRPr="00E07B1B">
              <w:t>LOW</w:t>
            </w:r>
          </w:p>
        </w:tc>
      </w:tr>
      <w:tr w:rsidR="0025490C" w:rsidRPr="00E07B1B" w:rsidTr="00116953">
        <w:trPr>
          <w:cantSplit/>
        </w:trPr>
        <w:tc>
          <w:tcPr>
            <w:tcW w:w="486" w:type="pct"/>
            <w:tcBorders>
              <w:top w:val="nil"/>
              <w:bottom w:val="nil"/>
            </w:tcBorders>
            <w:shd w:val="clear" w:color="auto" w:fill="auto"/>
          </w:tcPr>
          <w:p w:rsidR="0025490C" w:rsidRPr="00E07B1B" w:rsidRDefault="0025490C" w:rsidP="00116953">
            <w:pPr>
              <w:pStyle w:val="TableText"/>
            </w:pPr>
            <w:r w:rsidRPr="00E07B1B">
              <w:t>Schneider</w:t>
            </w:r>
            <w:r w:rsidR="00116953">
              <w:br/>
            </w:r>
            <w:r w:rsidRPr="00E07B1B">
              <w:t>(2011)</w:t>
            </w:r>
          </w:p>
        </w:tc>
        <w:tc>
          <w:tcPr>
            <w:tcW w:w="534" w:type="pct"/>
            <w:tcBorders>
              <w:top w:val="nil"/>
              <w:bottom w:val="nil"/>
            </w:tcBorders>
            <w:shd w:val="clear" w:color="auto" w:fill="auto"/>
          </w:tcPr>
          <w:p w:rsidR="0025490C" w:rsidRPr="00E07B1B" w:rsidRDefault="0025490C" w:rsidP="00116953">
            <w:pPr>
              <w:pStyle w:val="TableText"/>
            </w:pPr>
            <w:r w:rsidRPr="00E07B1B">
              <w:t>Germany</w:t>
            </w:r>
            <w:r w:rsidR="00116953">
              <w:br/>
            </w:r>
            <w:r w:rsidRPr="00E07B1B">
              <w:t>14,990</w:t>
            </w:r>
          </w:p>
        </w:tc>
        <w:tc>
          <w:tcPr>
            <w:tcW w:w="533" w:type="pct"/>
            <w:tcBorders>
              <w:top w:val="nil"/>
              <w:bottom w:val="nil"/>
            </w:tcBorders>
            <w:shd w:val="clear" w:color="auto" w:fill="auto"/>
          </w:tcPr>
          <w:p w:rsidR="0025490C" w:rsidRPr="00E07B1B" w:rsidRDefault="0025490C" w:rsidP="00E11F9C">
            <w:pPr>
              <w:pStyle w:val="TableText"/>
            </w:pPr>
            <w:r w:rsidRPr="00E07B1B">
              <w:t>Cross-sectional</w:t>
            </w:r>
          </w:p>
        </w:tc>
        <w:tc>
          <w:tcPr>
            <w:tcW w:w="1457" w:type="pct"/>
            <w:tcBorders>
              <w:top w:val="nil"/>
              <w:bottom w:val="nil"/>
            </w:tcBorders>
            <w:shd w:val="clear" w:color="auto" w:fill="auto"/>
          </w:tcPr>
          <w:p w:rsidR="0025490C" w:rsidRPr="00E07B1B" w:rsidRDefault="0025490C" w:rsidP="00F65F1B">
            <w:pPr>
              <w:pStyle w:val="TableText"/>
              <w:ind w:right="142"/>
            </w:pPr>
            <w:r w:rsidRPr="00E07B1B">
              <w:t>No details provided</w:t>
            </w:r>
          </w:p>
        </w:tc>
        <w:tc>
          <w:tcPr>
            <w:tcW w:w="1555" w:type="pct"/>
            <w:tcBorders>
              <w:top w:val="nil"/>
              <w:bottom w:val="nil"/>
            </w:tcBorders>
            <w:shd w:val="clear" w:color="auto" w:fill="auto"/>
          </w:tcPr>
          <w:p w:rsidR="0025490C" w:rsidRDefault="0025490C" w:rsidP="00E11F9C">
            <w:pPr>
              <w:pStyle w:val="TableText"/>
            </w:pPr>
            <w:r w:rsidRPr="00E07B1B">
              <w:t xml:space="preserve">Compared with </w:t>
            </w:r>
            <w:r>
              <w:t xml:space="preserve">women with </w:t>
            </w:r>
            <w:r w:rsidRPr="00E07B1B">
              <w:t>a normal BMI</w:t>
            </w:r>
            <w:r w:rsidR="00116953">
              <w:br/>
            </w:r>
            <w:r w:rsidRPr="00E07B1B">
              <w:t>(20</w:t>
            </w:r>
            <w:r>
              <w:t>–</w:t>
            </w:r>
            <w:r w:rsidRPr="00E07B1B">
              <w:t>25</w:t>
            </w:r>
            <w:r>
              <w:t> </w:t>
            </w:r>
            <w:r w:rsidRPr="00E07B1B">
              <w:t>kg/m</w:t>
            </w:r>
            <w:r w:rsidRPr="00E07B1B">
              <w:rPr>
                <w:vertAlign w:val="superscript"/>
              </w:rPr>
              <w:t>2</w:t>
            </w:r>
            <w:r w:rsidRPr="00E07B1B">
              <w:t>), women with a pre-pregnancy BMI &gt; 35 kg/m</w:t>
            </w:r>
            <w:r w:rsidRPr="00E07B1B">
              <w:rPr>
                <w:vertAlign w:val="superscript"/>
              </w:rPr>
              <w:t>2</w:t>
            </w:r>
            <w:r w:rsidRPr="00E07B1B">
              <w:t xml:space="preserve"> were more likely to have GDM (adj OR 4.96; 95%CI 4.7</w:t>
            </w:r>
            <w:r>
              <w:t>–</w:t>
            </w:r>
            <w:r w:rsidRPr="00E07B1B">
              <w:t xml:space="preserve">5.24, </w:t>
            </w:r>
            <w:r w:rsidRPr="00215018">
              <w:rPr>
                <w:i/>
              </w:rPr>
              <w:t>p</w:t>
            </w:r>
            <w:r>
              <w:t xml:space="preserve"> </w:t>
            </w:r>
            <w:r w:rsidRPr="00E07B1B">
              <w:t>&lt; 0.001).</w:t>
            </w:r>
          </w:p>
          <w:p w:rsidR="0025490C" w:rsidRPr="00E07B1B" w:rsidRDefault="0025490C" w:rsidP="00E11F9C">
            <w:pPr>
              <w:pStyle w:val="TableText"/>
            </w:pPr>
            <w:r w:rsidRPr="00E07B1B">
              <w:t>There was no effect on risk associated with excessive weight gain during pregnancy.</w:t>
            </w:r>
          </w:p>
        </w:tc>
        <w:tc>
          <w:tcPr>
            <w:tcW w:w="435" w:type="pct"/>
            <w:tcBorders>
              <w:top w:val="nil"/>
              <w:bottom w:val="nil"/>
            </w:tcBorders>
            <w:shd w:val="clear" w:color="auto" w:fill="auto"/>
          </w:tcPr>
          <w:p w:rsidR="0025490C" w:rsidRPr="00E07B1B" w:rsidRDefault="0025490C" w:rsidP="00F65F1B">
            <w:pPr>
              <w:pStyle w:val="TableText"/>
              <w:jc w:val="center"/>
            </w:pPr>
            <w:r w:rsidRPr="00E07B1B">
              <w:t>MEDIUM</w:t>
            </w:r>
          </w:p>
        </w:tc>
      </w:tr>
      <w:tr w:rsidR="0025490C" w:rsidRPr="00E07B1B" w:rsidTr="00116953">
        <w:trPr>
          <w:cantSplit/>
        </w:trPr>
        <w:tc>
          <w:tcPr>
            <w:tcW w:w="486" w:type="pct"/>
            <w:tcBorders>
              <w:top w:val="nil"/>
              <w:bottom w:val="nil"/>
            </w:tcBorders>
            <w:shd w:val="clear" w:color="auto" w:fill="F2F2F2" w:themeFill="background1" w:themeFillShade="F2"/>
          </w:tcPr>
          <w:p w:rsidR="0025490C" w:rsidRPr="00E07B1B" w:rsidRDefault="0025490C" w:rsidP="00116953">
            <w:pPr>
              <w:pStyle w:val="TableText"/>
            </w:pPr>
            <w:r w:rsidRPr="00E07B1B">
              <w:t>Teede</w:t>
            </w:r>
            <w:r w:rsidR="00116953">
              <w:br/>
            </w:r>
            <w:r w:rsidRPr="00E07B1B">
              <w:t>(2011)</w:t>
            </w:r>
          </w:p>
        </w:tc>
        <w:tc>
          <w:tcPr>
            <w:tcW w:w="534" w:type="pct"/>
            <w:tcBorders>
              <w:top w:val="nil"/>
              <w:bottom w:val="nil"/>
            </w:tcBorders>
            <w:shd w:val="clear" w:color="auto" w:fill="F2F2F2" w:themeFill="background1" w:themeFillShade="F2"/>
          </w:tcPr>
          <w:p w:rsidR="0025490C" w:rsidRPr="00E07B1B" w:rsidRDefault="0025490C" w:rsidP="00116953">
            <w:pPr>
              <w:pStyle w:val="TableText"/>
            </w:pPr>
            <w:r w:rsidRPr="00E07B1B">
              <w:t>Australia</w:t>
            </w:r>
            <w:r w:rsidR="00116953">
              <w:br/>
            </w:r>
            <w:r w:rsidRPr="00E07B1B">
              <w:t>4276</w:t>
            </w:r>
          </w:p>
        </w:tc>
        <w:tc>
          <w:tcPr>
            <w:tcW w:w="533" w:type="pct"/>
            <w:tcBorders>
              <w:top w:val="nil"/>
              <w:bottom w:val="nil"/>
            </w:tcBorders>
            <w:shd w:val="clear" w:color="auto" w:fill="F2F2F2" w:themeFill="background1" w:themeFillShade="F2"/>
          </w:tcPr>
          <w:p w:rsidR="0025490C" w:rsidRPr="00E07B1B" w:rsidRDefault="0025490C" w:rsidP="00116953">
            <w:pPr>
              <w:pStyle w:val="TableText"/>
            </w:pPr>
            <w:r w:rsidRPr="00E07B1B">
              <w:t>Retrospective observational</w:t>
            </w:r>
          </w:p>
        </w:tc>
        <w:tc>
          <w:tcPr>
            <w:tcW w:w="1457" w:type="pct"/>
            <w:tcBorders>
              <w:top w:val="nil"/>
              <w:bottom w:val="nil"/>
            </w:tcBorders>
            <w:shd w:val="clear" w:color="auto" w:fill="F2F2F2" w:themeFill="background1" w:themeFillShade="F2"/>
          </w:tcPr>
          <w:p w:rsidR="0025490C" w:rsidRDefault="0025490C" w:rsidP="00F65F1B">
            <w:pPr>
              <w:pStyle w:val="TableText"/>
              <w:ind w:right="142"/>
            </w:pPr>
            <w:r w:rsidRPr="00E07B1B">
              <w:t>ADIPS criteria</w:t>
            </w:r>
          </w:p>
          <w:p w:rsidR="0068074A" w:rsidRDefault="0025490C" w:rsidP="00116953">
            <w:pPr>
              <w:pStyle w:val="TableText"/>
              <w:spacing w:after="30"/>
              <w:ind w:right="142"/>
            </w:pPr>
            <w:r w:rsidRPr="00E07B1B">
              <w:t>A positive glucose challenge test was followed by a 75</w:t>
            </w:r>
            <w:r>
              <w:t> </w:t>
            </w:r>
            <w:r w:rsidRPr="00E07B1B">
              <w:t>g</w:t>
            </w:r>
            <w:r>
              <w:t xml:space="preserve">, </w:t>
            </w:r>
            <w:r w:rsidRPr="00E07B1B">
              <w:t>2</w:t>
            </w:r>
            <w:r>
              <w:noBreakHyphen/>
            </w:r>
            <w:r w:rsidRPr="00E07B1B">
              <w:t>hour OGTT:</w:t>
            </w:r>
          </w:p>
          <w:p w:rsidR="0025490C" w:rsidRPr="00E07B1B" w:rsidRDefault="0025490C" w:rsidP="00116953">
            <w:pPr>
              <w:pStyle w:val="TableBullet"/>
              <w:spacing w:after="30"/>
              <w:ind w:left="284"/>
            </w:pPr>
            <w:r>
              <w:t>f</w:t>
            </w:r>
            <w:r w:rsidRPr="00E07B1B">
              <w:t>asting ≥ 5.5mmol/L</w:t>
            </w:r>
          </w:p>
          <w:p w:rsidR="0025490C" w:rsidRPr="00E07B1B" w:rsidRDefault="0025490C" w:rsidP="00116953">
            <w:pPr>
              <w:pStyle w:val="TableBullet"/>
              <w:ind w:left="284"/>
            </w:pPr>
            <w:r w:rsidRPr="00E07B1B">
              <w:t>2</w:t>
            </w:r>
            <w:r>
              <w:t>-</w:t>
            </w:r>
            <w:r w:rsidRPr="00E07B1B">
              <w:t>hour ≥</w:t>
            </w:r>
            <w:r>
              <w:t xml:space="preserve"> </w:t>
            </w:r>
            <w:r w:rsidRPr="00E07B1B">
              <w:t>8</w:t>
            </w:r>
            <w:r>
              <w:t xml:space="preserve"> </w:t>
            </w:r>
            <w:r w:rsidRPr="00E07B1B">
              <w:t>mmol/L</w:t>
            </w:r>
            <w:r>
              <w:t>.</w:t>
            </w:r>
          </w:p>
        </w:tc>
        <w:tc>
          <w:tcPr>
            <w:tcW w:w="1555" w:type="pct"/>
            <w:tcBorders>
              <w:top w:val="nil"/>
              <w:bottom w:val="nil"/>
            </w:tcBorders>
            <w:shd w:val="clear" w:color="auto" w:fill="F2F2F2" w:themeFill="background1" w:themeFillShade="F2"/>
          </w:tcPr>
          <w:p w:rsidR="0025490C" w:rsidRPr="00E07B1B" w:rsidRDefault="0025490C" w:rsidP="00E11F9C">
            <w:pPr>
              <w:pStyle w:val="TableText"/>
            </w:pPr>
            <w:r w:rsidRPr="00E07B1B">
              <w:t>Compared with women with a BMI &lt;</w:t>
            </w:r>
            <w:r>
              <w:t> </w:t>
            </w:r>
            <w:r w:rsidRPr="00E07B1B">
              <w:t>20</w:t>
            </w:r>
            <w:r>
              <w:t> </w:t>
            </w:r>
            <w:r w:rsidRPr="00E07B1B">
              <w:t>kg/m</w:t>
            </w:r>
            <w:r w:rsidRPr="00E07B1B">
              <w:rPr>
                <w:vertAlign w:val="superscript"/>
              </w:rPr>
              <w:t>2</w:t>
            </w:r>
            <w:r w:rsidRPr="00E07B1B">
              <w:t>, obese women with a BMI &gt;</w:t>
            </w:r>
            <w:r>
              <w:t> </w:t>
            </w:r>
            <w:r w:rsidRPr="00E07B1B">
              <w:t>30</w:t>
            </w:r>
            <w:r>
              <w:t> </w:t>
            </w:r>
            <w:r w:rsidRPr="00E07B1B">
              <w:t>kg/m</w:t>
            </w:r>
            <w:r w:rsidRPr="00E07B1B">
              <w:rPr>
                <w:vertAlign w:val="superscript"/>
              </w:rPr>
              <w:t>2</w:t>
            </w:r>
            <w:r w:rsidRPr="00E07B1B">
              <w:t xml:space="preserve"> were 3.6</w:t>
            </w:r>
            <w:r>
              <w:t xml:space="preserve"> times</w:t>
            </w:r>
            <w:r w:rsidRPr="00E07B1B">
              <w:t xml:space="preserve"> more likely to have GDM (adj OR 3.6, 95%CI 1.7</w:t>
            </w:r>
            <w:r>
              <w:t>–</w:t>
            </w:r>
            <w:r w:rsidRPr="00E07B1B">
              <w:t xml:space="preserve">7.4, </w:t>
            </w:r>
            <w:r w:rsidRPr="00215018">
              <w:rPr>
                <w:i/>
              </w:rPr>
              <w:t>p</w:t>
            </w:r>
            <w:r>
              <w:t> </w:t>
            </w:r>
            <w:r w:rsidRPr="00E07B1B">
              <w:t>=</w:t>
            </w:r>
            <w:r>
              <w:t> </w:t>
            </w:r>
            <w:r w:rsidRPr="00E07B1B">
              <w:t xml:space="preserve">0.001), rising to 6.2 </w:t>
            </w:r>
            <w:r>
              <w:t xml:space="preserve">times more likely </w:t>
            </w:r>
            <w:r w:rsidRPr="00E07B1B">
              <w:t>for women with a BMI ≥</w:t>
            </w:r>
            <w:r>
              <w:t> </w:t>
            </w:r>
            <w:r w:rsidRPr="00E07B1B">
              <w:t>35</w:t>
            </w:r>
            <w:r>
              <w:t> </w:t>
            </w:r>
            <w:r w:rsidRPr="00E07B1B">
              <w:t>kg/m</w:t>
            </w:r>
            <w:r w:rsidRPr="00E07B1B">
              <w:rPr>
                <w:vertAlign w:val="superscript"/>
              </w:rPr>
              <w:t>2</w:t>
            </w:r>
            <w:r w:rsidRPr="00E07B1B">
              <w:t xml:space="preserve"> (adj OR 6.2, 95%CI 3.1</w:t>
            </w:r>
            <w:r>
              <w:t>–</w:t>
            </w:r>
            <w:r w:rsidRPr="00E07B1B">
              <w:t xml:space="preserve">12.3, </w:t>
            </w:r>
            <w:r w:rsidRPr="00215018">
              <w:rPr>
                <w:i/>
              </w:rPr>
              <w:t>p</w:t>
            </w:r>
            <w:r>
              <w:t> </w:t>
            </w:r>
            <w:r w:rsidRPr="00E07B1B">
              <w:t>&lt;</w:t>
            </w:r>
            <w:r>
              <w:t> </w:t>
            </w:r>
            <w:r w:rsidRPr="00E07B1B">
              <w:t>0.0001).</w:t>
            </w:r>
          </w:p>
        </w:tc>
        <w:tc>
          <w:tcPr>
            <w:tcW w:w="435" w:type="pct"/>
            <w:tcBorders>
              <w:top w:val="nil"/>
              <w:bottom w:val="nil"/>
            </w:tcBorders>
            <w:shd w:val="clear" w:color="auto" w:fill="F2F2F2" w:themeFill="background1" w:themeFillShade="F2"/>
          </w:tcPr>
          <w:p w:rsidR="0025490C" w:rsidRPr="00E07B1B" w:rsidRDefault="0025490C" w:rsidP="00F65F1B">
            <w:pPr>
              <w:pStyle w:val="TableText"/>
              <w:jc w:val="center"/>
            </w:pPr>
            <w:r w:rsidRPr="00E07B1B">
              <w:t>HIGH</w:t>
            </w:r>
          </w:p>
        </w:tc>
      </w:tr>
      <w:tr w:rsidR="0025490C" w:rsidRPr="00E07B1B" w:rsidTr="00116953">
        <w:trPr>
          <w:cantSplit/>
        </w:trPr>
        <w:tc>
          <w:tcPr>
            <w:tcW w:w="486" w:type="pct"/>
            <w:tcBorders>
              <w:top w:val="nil"/>
              <w:bottom w:val="nil"/>
            </w:tcBorders>
            <w:shd w:val="clear" w:color="auto" w:fill="auto"/>
          </w:tcPr>
          <w:p w:rsidR="0025490C" w:rsidRPr="00E07B1B" w:rsidRDefault="0025490C" w:rsidP="00116953">
            <w:pPr>
              <w:pStyle w:val="TableText"/>
            </w:pPr>
            <w:r w:rsidRPr="00E07B1B">
              <w:t>Far</w:t>
            </w:r>
            <w:r w:rsidR="00116953">
              <w:br/>
            </w:r>
            <w:r w:rsidRPr="00E07B1B">
              <w:t>(2012)</w:t>
            </w:r>
          </w:p>
        </w:tc>
        <w:tc>
          <w:tcPr>
            <w:tcW w:w="534" w:type="pct"/>
            <w:tcBorders>
              <w:top w:val="nil"/>
              <w:bottom w:val="nil"/>
            </w:tcBorders>
            <w:shd w:val="clear" w:color="auto" w:fill="auto"/>
          </w:tcPr>
          <w:p w:rsidR="0025490C" w:rsidRPr="00E07B1B" w:rsidRDefault="0025490C" w:rsidP="00116953">
            <w:pPr>
              <w:pStyle w:val="TableText"/>
            </w:pPr>
            <w:r w:rsidRPr="00E07B1B">
              <w:t>Iran</w:t>
            </w:r>
            <w:r w:rsidR="00116953">
              <w:br/>
            </w:r>
            <w:r w:rsidRPr="00E07B1B">
              <w:t>711</w:t>
            </w:r>
          </w:p>
        </w:tc>
        <w:tc>
          <w:tcPr>
            <w:tcW w:w="533" w:type="pct"/>
            <w:tcBorders>
              <w:top w:val="nil"/>
              <w:bottom w:val="nil"/>
            </w:tcBorders>
            <w:shd w:val="clear" w:color="auto" w:fill="auto"/>
          </w:tcPr>
          <w:p w:rsidR="0025490C" w:rsidRPr="00E07B1B" w:rsidRDefault="0025490C" w:rsidP="00E11F9C">
            <w:pPr>
              <w:pStyle w:val="TableText"/>
            </w:pPr>
            <w:r w:rsidRPr="00E07B1B">
              <w:t>Cohort</w:t>
            </w:r>
          </w:p>
        </w:tc>
        <w:tc>
          <w:tcPr>
            <w:tcW w:w="1457" w:type="pct"/>
            <w:tcBorders>
              <w:top w:val="nil"/>
              <w:bottom w:val="nil"/>
            </w:tcBorders>
            <w:shd w:val="clear" w:color="auto" w:fill="auto"/>
          </w:tcPr>
          <w:p w:rsidR="0025490C" w:rsidRDefault="0025490C" w:rsidP="00F65F1B">
            <w:pPr>
              <w:pStyle w:val="TableText"/>
              <w:ind w:right="142"/>
            </w:pPr>
            <w:r w:rsidRPr="00E07B1B">
              <w:t>50</w:t>
            </w:r>
            <w:r>
              <w:t xml:space="preserve"> </w:t>
            </w:r>
            <w:r w:rsidRPr="00E07B1B">
              <w:t>g OGCT</w:t>
            </w:r>
          </w:p>
          <w:p w:rsidR="0025490C" w:rsidRPr="00E07B1B" w:rsidRDefault="0025490C" w:rsidP="00F65F1B">
            <w:pPr>
              <w:pStyle w:val="TableText"/>
              <w:ind w:right="142"/>
            </w:pPr>
            <w:r w:rsidRPr="00E07B1B">
              <w:t>If ≥</w:t>
            </w:r>
            <w:r>
              <w:t xml:space="preserve"> </w:t>
            </w:r>
            <w:r w:rsidRPr="00E07B1B">
              <w:t>140</w:t>
            </w:r>
            <w:r>
              <w:t xml:space="preserve"> </w:t>
            </w:r>
            <w:r w:rsidRPr="00E07B1B">
              <w:t>mg</w:t>
            </w:r>
            <w:r>
              <w:t>/dL</w:t>
            </w:r>
            <w:r w:rsidRPr="00E07B1B">
              <w:t xml:space="preserve"> after 1 hour</w:t>
            </w:r>
            <w:r>
              <w:t>,</w:t>
            </w:r>
            <w:r w:rsidRPr="00E07B1B">
              <w:t xml:space="preserve"> then a 3</w:t>
            </w:r>
            <w:r>
              <w:t>-</w:t>
            </w:r>
            <w:r w:rsidRPr="00E07B1B">
              <w:t>hour</w:t>
            </w:r>
            <w:r>
              <w:t>,</w:t>
            </w:r>
            <w:r w:rsidRPr="00E07B1B">
              <w:t xml:space="preserve"> 100</w:t>
            </w:r>
            <w:r>
              <w:t xml:space="preserve"> </w:t>
            </w:r>
            <w:r w:rsidRPr="00E07B1B">
              <w:t>g OGTT based on the criteria of the National Diabetes Data Group.</w:t>
            </w:r>
          </w:p>
        </w:tc>
        <w:tc>
          <w:tcPr>
            <w:tcW w:w="1555" w:type="pct"/>
            <w:tcBorders>
              <w:top w:val="nil"/>
              <w:bottom w:val="nil"/>
            </w:tcBorders>
            <w:shd w:val="clear" w:color="auto" w:fill="auto"/>
          </w:tcPr>
          <w:p w:rsidR="0025490C" w:rsidRDefault="0025490C" w:rsidP="00E11F9C">
            <w:pPr>
              <w:pStyle w:val="TableText"/>
            </w:pPr>
            <w:r w:rsidRPr="00E07B1B">
              <w:t>Increasing pre-pregnancy BMI</w:t>
            </w:r>
            <w:r>
              <w:t>:</w:t>
            </w:r>
            <w:r w:rsidRPr="00E07B1B">
              <w:t xml:space="preserve"> OR 1.09 (95%CI 1.03</w:t>
            </w:r>
            <w:r>
              <w:t>–</w:t>
            </w:r>
            <w:r w:rsidRPr="00E07B1B">
              <w:t>1.15</w:t>
            </w:r>
            <w:r>
              <w:t>,</w:t>
            </w:r>
            <w:r w:rsidRPr="00E07B1B">
              <w:t xml:space="preserve"> </w:t>
            </w:r>
            <w:r w:rsidRPr="00215018">
              <w:rPr>
                <w:i/>
              </w:rPr>
              <w:t>p</w:t>
            </w:r>
            <w:r>
              <w:t> </w:t>
            </w:r>
            <w:r w:rsidRPr="00E07B1B">
              <w:t>=</w:t>
            </w:r>
            <w:r>
              <w:t> </w:t>
            </w:r>
            <w:r w:rsidRPr="00E07B1B">
              <w:t>0.004)</w:t>
            </w:r>
          </w:p>
          <w:p w:rsidR="0025490C" w:rsidRPr="00E07B1B" w:rsidRDefault="0025490C" w:rsidP="00253659">
            <w:pPr>
              <w:pStyle w:val="TableText"/>
            </w:pPr>
            <w:r w:rsidRPr="00E07B1B">
              <w:t>Weight gain in pregnancy prior to glucose challenge test</w:t>
            </w:r>
            <w:r>
              <w:t>:</w:t>
            </w:r>
            <w:r w:rsidRPr="00E07B1B">
              <w:t xml:space="preserve"> OR 1.13 (95%CI 1.04</w:t>
            </w:r>
            <w:r>
              <w:t>–</w:t>
            </w:r>
            <w:r w:rsidRPr="00E07B1B">
              <w:t xml:space="preserve">1.22, </w:t>
            </w:r>
            <w:r w:rsidRPr="00215018">
              <w:rPr>
                <w:i/>
              </w:rPr>
              <w:t>p</w:t>
            </w:r>
            <w:r w:rsidR="00253659">
              <w:rPr>
                <w:i/>
              </w:rPr>
              <w:t> </w:t>
            </w:r>
            <w:r w:rsidRPr="00E07B1B">
              <w:t>=</w:t>
            </w:r>
            <w:r w:rsidR="00253659">
              <w:t> </w:t>
            </w:r>
            <w:r w:rsidRPr="00E07B1B">
              <w:t>0.001)</w:t>
            </w:r>
          </w:p>
        </w:tc>
        <w:tc>
          <w:tcPr>
            <w:tcW w:w="435" w:type="pct"/>
            <w:tcBorders>
              <w:top w:val="nil"/>
              <w:bottom w:val="nil"/>
            </w:tcBorders>
            <w:shd w:val="clear" w:color="auto" w:fill="auto"/>
          </w:tcPr>
          <w:p w:rsidR="0025490C" w:rsidRPr="00E07B1B" w:rsidRDefault="0025490C" w:rsidP="00F65F1B">
            <w:pPr>
              <w:pStyle w:val="TableText"/>
              <w:jc w:val="center"/>
            </w:pPr>
            <w:r w:rsidRPr="00E07B1B">
              <w:t>MEDIUM</w:t>
            </w:r>
            <w:r w:rsidR="00253659">
              <w:br/>
            </w:r>
          </w:p>
          <w:p w:rsidR="0025490C" w:rsidRPr="00E07B1B" w:rsidRDefault="0025490C" w:rsidP="00F65F1B">
            <w:pPr>
              <w:pStyle w:val="TableText"/>
              <w:jc w:val="center"/>
            </w:pPr>
            <w:r w:rsidRPr="00E07B1B">
              <w:t>MEDIUM</w:t>
            </w:r>
          </w:p>
        </w:tc>
      </w:tr>
      <w:tr w:rsidR="0025490C" w:rsidRPr="00E07B1B" w:rsidTr="00116953">
        <w:trPr>
          <w:cantSplit/>
        </w:trPr>
        <w:tc>
          <w:tcPr>
            <w:tcW w:w="486" w:type="pct"/>
            <w:tcBorders>
              <w:top w:val="nil"/>
              <w:bottom w:val="nil"/>
            </w:tcBorders>
            <w:shd w:val="clear" w:color="auto" w:fill="F2F2F2" w:themeFill="background1" w:themeFillShade="F2"/>
          </w:tcPr>
          <w:p w:rsidR="0025490C" w:rsidRPr="00E07B1B" w:rsidRDefault="0025490C" w:rsidP="00116953">
            <w:pPr>
              <w:pStyle w:val="TableText"/>
            </w:pPr>
            <w:r w:rsidRPr="00E07B1B">
              <w:t>Ogonowski</w:t>
            </w:r>
            <w:r w:rsidR="00116953">
              <w:br/>
            </w:r>
            <w:r w:rsidRPr="00E07B1B">
              <w:t>(2010)</w:t>
            </w:r>
          </w:p>
        </w:tc>
        <w:tc>
          <w:tcPr>
            <w:tcW w:w="534" w:type="pct"/>
            <w:tcBorders>
              <w:top w:val="nil"/>
              <w:bottom w:val="nil"/>
            </w:tcBorders>
            <w:shd w:val="clear" w:color="auto" w:fill="F2F2F2" w:themeFill="background1" w:themeFillShade="F2"/>
          </w:tcPr>
          <w:p w:rsidR="0025490C" w:rsidRPr="00E07B1B" w:rsidRDefault="0025490C" w:rsidP="00116953">
            <w:pPr>
              <w:pStyle w:val="TableText"/>
            </w:pPr>
            <w:r w:rsidRPr="00E07B1B">
              <w:t>Poland</w:t>
            </w:r>
            <w:r w:rsidR="00116953">
              <w:br/>
            </w:r>
            <w:r w:rsidRPr="00E07B1B">
              <w:t>1414 cases</w:t>
            </w:r>
            <w:r>
              <w:t>,</w:t>
            </w:r>
            <w:r w:rsidRPr="00E07B1B">
              <w:t xml:space="preserve"> 1011</w:t>
            </w:r>
            <w:r w:rsidR="00116953">
              <w:t> </w:t>
            </w:r>
            <w:r w:rsidRPr="00E07B1B">
              <w:t>controls</w:t>
            </w:r>
          </w:p>
        </w:tc>
        <w:tc>
          <w:tcPr>
            <w:tcW w:w="533" w:type="pct"/>
            <w:tcBorders>
              <w:top w:val="nil"/>
              <w:bottom w:val="nil"/>
            </w:tcBorders>
            <w:shd w:val="clear" w:color="auto" w:fill="F2F2F2" w:themeFill="background1" w:themeFillShade="F2"/>
          </w:tcPr>
          <w:p w:rsidR="0025490C" w:rsidRPr="00E07B1B" w:rsidRDefault="0025490C" w:rsidP="00E11F9C">
            <w:pPr>
              <w:pStyle w:val="TableText"/>
            </w:pPr>
            <w:r w:rsidRPr="00E07B1B">
              <w:t>Retrospective case control</w:t>
            </w:r>
          </w:p>
        </w:tc>
        <w:tc>
          <w:tcPr>
            <w:tcW w:w="1457" w:type="pct"/>
            <w:tcBorders>
              <w:top w:val="nil"/>
              <w:bottom w:val="nil"/>
            </w:tcBorders>
            <w:shd w:val="clear" w:color="auto" w:fill="F2F2F2" w:themeFill="background1" w:themeFillShade="F2"/>
          </w:tcPr>
          <w:p w:rsidR="0068074A" w:rsidRDefault="0025490C" w:rsidP="00F65F1B">
            <w:pPr>
              <w:pStyle w:val="TableText"/>
              <w:ind w:right="142"/>
            </w:pPr>
            <w:r w:rsidRPr="00E07B1B">
              <w:t>OGCT of 50</w:t>
            </w:r>
            <w:r>
              <w:t xml:space="preserve"> </w:t>
            </w:r>
            <w:r w:rsidRPr="00E07B1B">
              <w:t>g</w:t>
            </w:r>
          </w:p>
          <w:p w:rsidR="0025490C" w:rsidRPr="00E07B1B" w:rsidRDefault="0025490C" w:rsidP="00253659">
            <w:pPr>
              <w:pStyle w:val="TableText"/>
              <w:spacing w:after="30"/>
              <w:ind w:right="142"/>
            </w:pPr>
            <w:r w:rsidRPr="00E07B1B">
              <w:t>If &gt;180</w:t>
            </w:r>
            <w:r>
              <w:t xml:space="preserve"> </w:t>
            </w:r>
            <w:r w:rsidRPr="00E07B1B">
              <w:t>mg</w:t>
            </w:r>
            <w:r>
              <w:t>/dL</w:t>
            </w:r>
            <w:r w:rsidRPr="00E07B1B">
              <w:t xml:space="preserve"> (10</w:t>
            </w:r>
            <w:r>
              <w:t xml:space="preserve"> </w:t>
            </w:r>
            <w:r w:rsidRPr="00E07B1B">
              <w:t>mmol</w:t>
            </w:r>
            <w:r>
              <w:t>/L</w:t>
            </w:r>
            <w:r w:rsidRPr="00E07B1B">
              <w:t>)</w:t>
            </w:r>
            <w:r>
              <w:t>,</w:t>
            </w:r>
            <w:r w:rsidRPr="00E07B1B">
              <w:t xml:space="preserve"> then diagnosed as GDM.</w:t>
            </w:r>
            <w:r>
              <w:t xml:space="preserve"> </w:t>
            </w:r>
            <w:r w:rsidRPr="00E07B1B">
              <w:t>If 140</w:t>
            </w:r>
            <w:r>
              <w:t>–</w:t>
            </w:r>
            <w:r w:rsidRPr="00E07B1B">
              <w:t>180mg</w:t>
            </w:r>
            <w:r>
              <w:t>/dL,</w:t>
            </w:r>
            <w:r w:rsidRPr="00E07B1B">
              <w:t xml:space="preserve"> then a 75</w:t>
            </w:r>
            <w:r>
              <w:t> </w:t>
            </w:r>
            <w:r w:rsidRPr="00E07B1B">
              <w:t>g OGTT using the WHO criteria:</w:t>
            </w:r>
          </w:p>
          <w:p w:rsidR="0025490C" w:rsidRPr="00E07B1B" w:rsidRDefault="0025490C" w:rsidP="00253659">
            <w:pPr>
              <w:pStyle w:val="TableBullet"/>
              <w:spacing w:after="30"/>
              <w:ind w:left="284"/>
            </w:pPr>
            <w:r>
              <w:t>f</w:t>
            </w:r>
            <w:r w:rsidRPr="00E07B1B">
              <w:t>asting ≥</w:t>
            </w:r>
            <w:r>
              <w:t xml:space="preserve"> </w:t>
            </w:r>
            <w:r w:rsidRPr="00E07B1B">
              <w:t>110</w:t>
            </w:r>
            <w:r>
              <w:t xml:space="preserve"> </w:t>
            </w:r>
            <w:r w:rsidRPr="00E07B1B">
              <w:t>mg</w:t>
            </w:r>
            <w:r>
              <w:t>/dL</w:t>
            </w:r>
            <w:r w:rsidRPr="00E07B1B">
              <w:t xml:space="preserve"> (6.1</w:t>
            </w:r>
            <w:r>
              <w:t> </w:t>
            </w:r>
            <w:r w:rsidRPr="00E07B1B">
              <w:t>mmol</w:t>
            </w:r>
            <w:r>
              <w:t>/L</w:t>
            </w:r>
            <w:r w:rsidRPr="00E07B1B">
              <w:t>)</w:t>
            </w:r>
          </w:p>
          <w:p w:rsidR="0025490C" w:rsidRDefault="0025490C" w:rsidP="00253659">
            <w:pPr>
              <w:pStyle w:val="TableBullet"/>
              <w:ind w:left="284"/>
            </w:pPr>
            <w:r w:rsidRPr="00E07B1B">
              <w:t>2</w:t>
            </w:r>
            <w:r>
              <w:t>-</w:t>
            </w:r>
            <w:r w:rsidRPr="00E07B1B">
              <w:t>hour ≥ 140 (7.8</w:t>
            </w:r>
            <w:r>
              <w:t xml:space="preserve"> </w:t>
            </w:r>
            <w:r w:rsidRPr="00E07B1B">
              <w:t>mmol</w:t>
            </w:r>
            <w:r>
              <w:t>/L</w:t>
            </w:r>
            <w:r w:rsidRPr="00E07B1B">
              <w:t>)</w:t>
            </w:r>
            <w:r>
              <w:t>.</w:t>
            </w:r>
          </w:p>
          <w:p w:rsidR="0025490C" w:rsidRPr="00E07B1B" w:rsidRDefault="0025490C" w:rsidP="00253659">
            <w:pPr>
              <w:pStyle w:val="TableText"/>
              <w:spacing w:after="30"/>
              <w:ind w:right="142"/>
            </w:pPr>
            <w:r>
              <w:t>Also used</w:t>
            </w:r>
            <w:r w:rsidRPr="00E07B1B">
              <w:t xml:space="preserve"> the ADA criteria where </w:t>
            </w:r>
            <w:r>
              <w:t>two</w:t>
            </w:r>
            <w:r w:rsidRPr="00E07B1B">
              <w:t xml:space="preserve"> abnormal values are required</w:t>
            </w:r>
            <w:r>
              <w:t xml:space="preserve"> from</w:t>
            </w:r>
            <w:r w:rsidRPr="00E07B1B">
              <w:t>:</w:t>
            </w:r>
          </w:p>
          <w:p w:rsidR="0025490C" w:rsidRPr="00E07B1B" w:rsidRDefault="0025490C" w:rsidP="00253659">
            <w:pPr>
              <w:pStyle w:val="TableBullet"/>
              <w:spacing w:after="30"/>
              <w:ind w:left="284"/>
            </w:pPr>
            <w:r>
              <w:t>f</w:t>
            </w:r>
            <w:r w:rsidRPr="00E07B1B">
              <w:t>asting ≥</w:t>
            </w:r>
            <w:r>
              <w:t xml:space="preserve"> </w:t>
            </w:r>
            <w:r w:rsidRPr="00E07B1B">
              <w:t>95</w:t>
            </w:r>
            <w:r>
              <w:t xml:space="preserve"> </w:t>
            </w:r>
            <w:r w:rsidRPr="00E07B1B">
              <w:t>mg</w:t>
            </w:r>
            <w:r>
              <w:t xml:space="preserve">/dL </w:t>
            </w:r>
            <w:r w:rsidRPr="00E07B1B">
              <w:t>(5.3</w:t>
            </w:r>
            <w:r>
              <w:t> </w:t>
            </w:r>
            <w:r w:rsidRPr="00E07B1B">
              <w:t>mmol</w:t>
            </w:r>
            <w:r>
              <w:t>/L</w:t>
            </w:r>
            <w:r w:rsidRPr="00E07B1B">
              <w:t>)</w:t>
            </w:r>
          </w:p>
          <w:p w:rsidR="0025490C" w:rsidRPr="00E07B1B" w:rsidRDefault="0025490C" w:rsidP="00253659">
            <w:pPr>
              <w:pStyle w:val="TableBullet"/>
              <w:spacing w:after="30"/>
              <w:ind w:left="284"/>
            </w:pPr>
            <w:r w:rsidRPr="00E07B1B">
              <w:t>1</w:t>
            </w:r>
            <w:r>
              <w:t>-</w:t>
            </w:r>
            <w:r w:rsidRPr="00E07B1B">
              <w:t>hour</w:t>
            </w:r>
            <w:r w:rsidR="0068074A">
              <w:t xml:space="preserve"> </w:t>
            </w:r>
            <w:r w:rsidRPr="00E07B1B">
              <w:t>≥</w:t>
            </w:r>
            <w:r>
              <w:t xml:space="preserve"> </w:t>
            </w:r>
            <w:r w:rsidRPr="00E07B1B">
              <w:t>180</w:t>
            </w:r>
            <w:r>
              <w:t xml:space="preserve"> </w:t>
            </w:r>
            <w:r w:rsidRPr="00E07B1B">
              <w:t>mg</w:t>
            </w:r>
            <w:r>
              <w:t>/dL</w:t>
            </w:r>
            <w:r w:rsidRPr="00E07B1B">
              <w:t xml:space="preserve"> (10.0</w:t>
            </w:r>
            <w:r>
              <w:t> </w:t>
            </w:r>
            <w:r w:rsidRPr="00E07B1B">
              <w:t>mmol</w:t>
            </w:r>
            <w:r>
              <w:t>/L)</w:t>
            </w:r>
          </w:p>
          <w:p w:rsidR="0025490C" w:rsidRPr="00E07B1B" w:rsidRDefault="0025490C" w:rsidP="00253659">
            <w:pPr>
              <w:pStyle w:val="TableBullet"/>
              <w:ind w:left="284"/>
            </w:pPr>
            <w:r w:rsidRPr="00E07B1B">
              <w:t>2</w:t>
            </w:r>
            <w:r>
              <w:t>-</w:t>
            </w:r>
            <w:r w:rsidRPr="00E07B1B">
              <w:t>hour ≥155</w:t>
            </w:r>
            <w:r>
              <w:t xml:space="preserve"> </w:t>
            </w:r>
            <w:r w:rsidRPr="00E07B1B">
              <w:t>mg</w:t>
            </w:r>
            <w:r>
              <w:t>/dL</w:t>
            </w:r>
            <w:r w:rsidRPr="00E07B1B">
              <w:t xml:space="preserve"> (8.6</w:t>
            </w:r>
            <w:r>
              <w:t> </w:t>
            </w:r>
            <w:r w:rsidRPr="00E07B1B">
              <w:t>mmol</w:t>
            </w:r>
            <w:r>
              <w:t>/L</w:t>
            </w:r>
            <w:r w:rsidRPr="00E07B1B">
              <w:t>)</w:t>
            </w:r>
            <w:r>
              <w:t>.</w:t>
            </w:r>
          </w:p>
        </w:tc>
        <w:tc>
          <w:tcPr>
            <w:tcW w:w="1555" w:type="pct"/>
            <w:tcBorders>
              <w:top w:val="nil"/>
              <w:bottom w:val="nil"/>
            </w:tcBorders>
            <w:shd w:val="clear" w:color="auto" w:fill="F2F2F2" w:themeFill="background1" w:themeFillShade="F2"/>
          </w:tcPr>
          <w:p w:rsidR="0025490C" w:rsidRDefault="0025490C" w:rsidP="00E11F9C">
            <w:pPr>
              <w:pStyle w:val="TableText"/>
            </w:pPr>
            <w:r w:rsidRPr="00E07B1B">
              <w:t>Pre</w:t>
            </w:r>
            <w:r>
              <w:t>-</w:t>
            </w:r>
            <w:r w:rsidRPr="00E07B1B">
              <w:t>pregnancy BMI was associated with GDM compared with false positive results and the controls (OR 1.07, 95%CI 1.05</w:t>
            </w:r>
            <w:r>
              <w:t>–</w:t>
            </w:r>
            <w:r w:rsidRPr="00E07B1B">
              <w:t xml:space="preserve">1.09, </w:t>
            </w:r>
            <w:r w:rsidRPr="00215018">
              <w:rPr>
                <w:i/>
              </w:rPr>
              <w:t>p</w:t>
            </w:r>
            <w:r w:rsidR="00253659">
              <w:rPr>
                <w:i/>
              </w:rPr>
              <w:t> </w:t>
            </w:r>
            <w:r w:rsidRPr="00E07B1B">
              <w:t>=</w:t>
            </w:r>
            <w:r w:rsidR="00253659">
              <w:t> </w:t>
            </w:r>
            <w:r w:rsidRPr="00E07B1B">
              <w:t>0.000001).</w:t>
            </w:r>
          </w:p>
          <w:p w:rsidR="0025490C" w:rsidRPr="00E07B1B" w:rsidRDefault="0025490C" w:rsidP="00E11F9C">
            <w:pPr>
              <w:pStyle w:val="TableText"/>
            </w:pPr>
            <w:r w:rsidRPr="00E07B1B">
              <w:t>Pregnancy weight gain</w:t>
            </w:r>
            <w:r>
              <w:t>:</w:t>
            </w:r>
            <w:r w:rsidRPr="00E07B1B">
              <w:t xml:space="preserve"> OR 1.05 (95%CI 1.3</w:t>
            </w:r>
            <w:r>
              <w:t>–</w:t>
            </w:r>
            <w:r w:rsidRPr="00E07B1B">
              <w:t xml:space="preserve">1.07, </w:t>
            </w:r>
            <w:r w:rsidRPr="00215018">
              <w:rPr>
                <w:i/>
              </w:rPr>
              <w:t xml:space="preserve">p </w:t>
            </w:r>
            <w:r w:rsidRPr="00E07B1B">
              <w:t>=</w:t>
            </w:r>
            <w:r>
              <w:t xml:space="preserve"> </w:t>
            </w:r>
            <w:r w:rsidRPr="00E07B1B">
              <w:t>0.000003)</w:t>
            </w:r>
          </w:p>
        </w:tc>
        <w:tc>
          <w:tcPr>
            <w:tcW w:w="435" w:type="pct"/>
            <w:tcBorders>
              <w:top w:val="nil"/>
              <w:bottom w:val="nil"/>
            </w:tcBorders>
            <w:shd w:val="clear" w:color="auto" w:fill="F2F2F2" w:themeFill="background1" w:themeFillShade="F2"/>
          </w:tcPr>
          <w:p w:rsidR="0025490C" w:rsidRPr="00E07B1B" w:rsidRDefault="0025490C" w:rsidP="00F65F1B">
            <w:pPr>
              <w:pStyle w:val="TableText"/>
              <w:jc w:val="center"/>
            </w:pPr>
            <w:r w:rsidRPr="00E07B1B">
              <w:t>MEDIUM</w:t>
            </w:r>
            <w:r w:rsidR="00253659">
              <w:br/>
            </w:r>
            <w:r w:rsidR="00253659">
              <w:br/>
            </w:r>
            <w:r w:rsidR="00253659">
              <w:br/>
            </w:r>
          </w:p>
          <w:p w:rsidR="0025490C" w:rsidRPr="00E07B1B" w:rsidRDefault="0025490C" w:rsidP="00F65F1B">
            <w:pPr>
              <w:pStyle w:val="TableText"/>
              <w:jc w:val="center"/>
            </w:pPr>
            <w:r w:rsidRPr="00E07B1B">
              <w:t>MEDIUM</w:t>
            </w:r>
          </w:p>
        </w:tc>
      </w:tr>
      <w:tr w:rsidR="0025490C" w:rsidRPr="00E07B1B" w:rsidTr="00637A5A">
        <w:trPr>
          <w:cantSplit/>
        </w:trPr>
        <w:tc>
          <w:tcPr>
            <w:tcW w:w="486" w:type="pct"/>
            <w:tcBorders>
              <w:top w:val="nil"/>
              <w:bottom w:val="nil"/>
            </w:tcBorders>
            <w:shd w:val="clear" w:color="auto" w:fill="auto"/>
          </w:tcPr>
          <w:p w:rsidR="0025490C" w:rsidRPr="00E07B1B" w:rsidRDefault="0025490C" w:rsidP="00637A5A">
            <w:pPr>
              <w:pStyle w:val="TableText"/>
            </w:pPr>
            <w:r w:rsidRPr="00E07B1B">
              <w:t>Ogonowski</w:t>
            </w:r>
            <w:r>
              <w:t xml:space="preserve"> </w:t>
            </w:r>
            <w:r w:rsidR="00D562F2">
              <w:t>et al</w:t>
            </w:r>
            <w:r w:rsidR="00637A5A">
              <w:br/>
            </w:r>
            <w:r w:rsidRPr="00E07B1B">
              <w:t>(2009)</w:t>
            </w:r>
          </w:p>
        </w:tc>
        <w:tc>
          <w:tcPr>
            <w:tcW w:w="534" w:type="pct"/>
            <w:tcBorders>
              <w:top w:val="nil"/>
              <w:bottom w:val="nil"/>
            </w:tcBorders>
            <w:shd w:val="clear" w:color="auto" w:fill="auto"/>
          </w:tcPr>
          <w:p w:rsidR="0025490C" w:rsidRPr="00E07B1B" w:rsidRDefault="0025490C" w:rsidP="00637A5A">
            <w:pPr>
              <w:pStyle w:val="TableText"/>
            </w:pPr>
            <w:r w:rsidRPr="00E07B1B">
              <w:t>Poland</w:t>
            </w:r>
            <w:r w:rsidR="00637A5A">
              <w:br/>
            </w:r>
            <w:r w:rsidRPr="00E07B1B">
              <w:t>1121 cases</w:t>
            </w:r>
            <w:r>
              <w:t>,</w:t>
            </w:r>
            <w:r w:rsidRPr="00E07B1B">
              <w:t xml:space="preserve"> 1011</w:t>
            </w:r>
            <w:r w:rsidR="00637A5A">
              <w:t> </w:t>
            </w:r>
            <w:r w:rsidRPr="00E07B1B">
              <w:t>controls</w:t>
            </w:r>
          </w:p>
        </w:tc>
        <w:tc>
          <w:tcPr>
            <w:tcW w:w="533" w:type="pct"/>
            <w:tcBorders>
              <w:top w:val="nil"/>
              <w:bottom w:val="nil"/>
            </w:tcBorders>
            <w:shd w:val="clear" w:color="auto" w:fill="auto"/>
          </w:tcPr>
          <w:p w:rsidR="0025490C" w:rsidRPr="00E07B1B" w:rsidRDefault="0025490C" w:rsidP="00E11F9C">
            <w:pPr>
              <w:pStyle w:val="TableText"/>
            </w:pPr>
            <w:r w:rsidRPr="00E07B1B">
              <w:t>Retrospective case control</w:t>
            </w:r>
          </w:p>
        </w:tc>
        <w:tc>
          <w:tcPr>
            <w:tcW w:w="1457" w:type="pct"/>
            <w:tcBorders>
              <w:top w:val="nil"/>
              <w:bottom w:val="nil"/>
            </w:tcBorders>
            <w:shd w:val="clear" w:color="auto" w:fill="auto"/>
          </w:tcPr>
          <w:p w:rsidR="0025490C" w:rsidRDefault="0025490C" w:rsidP="00637A5A">
            <w:pPr>
              <w:pStyle w:val="TableText"/>
              <w:spacing w:after="30"/>
              <w:ind w:right="142"/>
            </w:pPr>
            <w:r w:rsidRPr="00E07B1B">
              <w:t>50</w:t>
            </w:r>
            <w:r>
              <w:t xml:space="preserve"> </w:t>
            </w:r>
            <w:r w:rsidRPr="00E07B1B">
              <w:t>g oral challenge test at 24</w:t>
            </w:r>
            <w:r>
              <w:t>–</w:t>
            </w:r>
            <w:r w:rsidRPr="00E07B1B">
              <w:t>28 weeks</w:t>
            </w:r>
            <w:r w:rsidR="0068074A">
              <w:t>’</w:t>
            </w:r>
            <w:r w:rsidRPr="00E07B1B">
              <w:t xml:space="preserve"> gestation followed by 75</w:t>
            </w:r>
            <w:r>
              <w:t xml:space="preserve"> </w:t>
            </w:r>
            <w:r w:rsidRPr="00E07B1B">
              <w:t>g OGTT if results were abnormal (7.8</w:t>
            </w:r>
            <w:r>
              <w:t>–</w:t>
            </w:r>
            <w:r w:rsidRPr="00E07B1B">
              <w:t>11.1</w:t>
            </w:r>
            <w:r>
              <w:t> </w:t>
            </w:r>
            <w:r w:rsidRPr="00E07B1B">
              <w:t>mmol</w:t>
            </w:r>
            <w:r>
              <w:t>/L</w:t>
            </w:r>
            <w:r w:rsidRPr="00E07B1B">
              <w:t>). GDM diagnosed if</w:t>
            </w:r>
            <w:r>
              <w:t>:</w:t>
            </w:r>
          </w:p>
          <w:p w:rsidR="0068074A" w:rsidRDefault="0025490C" w:rsidP="00637A5A">
            <w:pPr>
              <w:pStyle w:val="TableBullet"/>
              <w:spacing w:after="30"/>
              <w:ind w:left="284"/>
            </w:pPr>
            <w:r w:rsidRPr="00E07B1B">
              <w:t>fasting glucose ≥</w:t>
            </w:r>
            <w:r>
              <w:t> </w:t>
            </w:r>
            <w:r w:rsidRPr="00E07B1B">
              <w:t>7.0</w:t>
            </w:r>
            <w:r>
              <w:t> </w:t>
            </w:r>
            <w:r w:rsidRPr="00E07B1B">
              <w:t>mmol</w:t>
            </w:r>
            <w:r>
              <w:t>/L</w:t>
            </w:r>
            <w:r w:rsidRPr="00E07B1B">
              <w:t xml:space="preserve"> (WHO criteria) or</w:t>
            </w:r>
          </w:p>
          <w:p w:rsidR="0025490C" w:rsidRPr="00E07B1B" w:rsidRDefault="0025490C" w:rsidP="00637A5A">
            <w:pPr>
              <w:pStyle w:val="TableBullet"/>
              <w:ind w:left="284"/>
            </w:pPr>
            <w:r w:rsidRPr="00E07B1B">
              <w:t>2</w:t>
            </w:r>
            <w:r>
              <w:t>-</w:t>
            </w:r>
            <w:r w:rsidRPr="00E07B1B">
              <w:t>hour level was ≥</w:t>
            </w:r>
            <w:r>
              <w:t> </w:t>
            </w:r>
            <w:r w:rsidRPr="00E07B1B">
              <w:t>7.8</w:t>
            </w:r>
            <w:r>
              <w:t> </w:t>
            </w:r>
            <w:r w:rsidRPr="00E07B1B">
              <w:t>mmol</w:t>
            </w:r>
            <w:r>
              <w:t>/L.</w:t>
            </w:r>
          </w:p>
        </w:tc>
        <w:tc>
          <w:tcPr>
            <w:tcW w:w="1555" w:type="pct"/>
            <w:tcBorders>
              <w:top w:val="nil"/>
              <w:bottom w:val="nil"/>
            </w:tcBorders>
            <w:shd w:val="clear" w:color="auto" w:fill="auto"/>
          </w:tcPr>
          <w:p w:rsidR="0025490C" w:rsidRDefault="0025490C" w:rsidP="00E11F9C">
            <w:pPr>
              <w:pStyle w:val="TableText"/>
            </w:pPr>
            <w:r w:rsidRPr="00E07B1B">
              <w:t>BMI was the strongest predictor for requiring insulin therapy.</w:t>
            </w:r>
          </w:p>
          <w:p w:rsidR="0025490C" w:rsidRDefault="0025490C" w:rsidP="00E11F9C">
            <w:pPr>
              <w:pStyle w:val="TableText"/>
            </w:pPr>
            <w:r w:rsidRPr="00E07B1B">
              <w:t>Compared with</w:t>
            </w:r>
            <w:r>
              <w:t xml:space="preserve"> women with a</w:t>
            </w:r>
            <w:r w:rsidRPr="00E07B1B">
              <w:t xml:space="preserve"> BMI </w:t>
            </w:r>
            <w:r>
              <w:t>of</w:t>
            </w:r>
            <w:r w:rsidR="00637A5A">
              <w:br/>
            </w:r>
            <w:r w:rsidRPr="00E07B1B">
              <w:t>18.5</w:t>
            </w:r>
            <w:r>
              <w:t>–</w:t>
            </w:r>
            <w:r w:rsidRPr="00E07B1B">
              <w:t>20.9</w:t>
            </w:r>
            <w:r>
              <w:t> </w:t>
            </w:r>
            <w:r w:rsidRPr="00E07B1B">
              <w:t>kg/m</w:t>
            </w:r>
            <w:r w:rsidRPr="00E07B1B">
              <w:rPr>
                <w:vertAlign w:val="superscript"/>
              </w:rPr>
              <w:t>2</w:t>
            </w:r>
            <w:r>
              <w:t>, women with</w:t>
            </w:r>
            <w:r w:rsidRPr="00E07B1B">
              <w:t xml:space="preserve"> a BMI of 30</w:t>
            </w:r>
            <w:r>
              <w:t>–</w:t>
            </w:r>
            <w:r w:rsidRPr="00E07B1B">
              <w:t>34.9</w:t>
            </w:r>
            <w:r w:rsidR="0068074A">
              <w:t xml:space="preserve"> </w:t>
            </w:r>
            <w:r w:rsidRPr="00E07B1B">
              <w:t>kg/m</w:t>
            </w:r>
            <w:r w:rsidRPr="00E07B1B">
              <w:rPr>
                <w:vertAlign w:val="superscript"/>
              </w:rPr>
              <w:t>2</w:t>
            </w:r>
            <w:r w:rsidRPr="00E07B1B">
              <w:t xml:space="preserve"> had an adj OR 3.51 (95%CI 2.21</w:t>
            </w:r>
            <w:r>
              <w:t>–</w:t>
            </w:r>
            <w:r w:rsidRPr="00E07B1B">
              <w:t xml:space="preserve">5.39) and </w:t>
            </w:r>
            <w:r>
              <w:t>with a</w:t>
            </w:r>
            <w:r w:rsidRPr="00E07B1B">
              <w:t xml:space="preserve"> BMI &gt;</w:t>
            </w:r>
            <w:r>
              <w:t> </w:t>
            </w:r>
            <w:r w:rsidRPr="00E07B1B">
              <w:t>35</w:t>
            </w:r>
            <w:r>
              <w:t> </w:t>
            </w:r>
            <w:r w:rsidRPr="00E07B1B">
              <w:t>kg/m</w:t>
            </w:r>
            <w:r w:rsidRPr="00E07B1B">
              <w:rPr>
                <w:vertAlign w:val="superscript"/>
              </w:rPr>
              <w:t>2</w:t>
            </w:r>
            <w:r w:rsidRPr="00E07B1B">
              <w:t xml:space="preserve"> adj OR 9.01 (95%CI</w:t>
            </w:r>
            <w:r w:rsidR="00637A5A">
              <w:br/>
            </w:r>
            <w:r w:rsidRPr="00E07B1B">
              <w:t>3.47</w:t>
            </w:r>
            <w:r>
              <w:t>–</w:t>
            </w:r>
            <w:r w:rsidRPr="00E07B1B">
              <w:t>23.3)</w:t>
            </w:r>
            <w:r>
              <w:t>,</w:t>
            </w:r>
            <w:r w:rsidRPr="00E07B1B">
              <w:t xml:space="preserve"> </w:t>
            </w:r>
            <w:r w:rsidRPr="00215018">
              <w:rPr>
                <w:i/>
              </w:rPr>
              <w:t>p</w:t>
            </w:r>
            <w:r>
              <w:t> </w:t>
            </w:r>
            <w:r w:rsidRPr="00E07B1B">
              <w:t>=</w:t>
            </w:r>
            <w:r>
              <w:t> </w:t>
            </w:r>
            <w:r w:rsidRPr="00E07B1B">
              <w:t>0.03.</w:t>
            </w:r>
          </w:p>
          <w:p w:rsidR="0025490C" w:rsidRDefault="0025490C" w:rsidP="00E11F9C">
            <w:pPr>
              <w:pStyle w:val="TableText"/>
            </w:pPr>
            <w:r w:rsidRPr="00E07B1B">
              <w:t>The risk of GDM increased by 11.6% for each change in BMI unit and was more pronounced in women who were treated with insulin compared with those treated with diet (19% and 8% respectively).</w:t>
            </w:r>
          </w:p>
          <w:p w:rsidR="0025490C" w:rsidRPr="00E07B1B" w:rsidRDefault="0025490C" w:rsidP="00E11F9C">
            <w:pPr>
              <w:pStyle w:val="TableText"/>
              <w:rPr>
                <w:u w:val="single"/>
              </w:rPr>
            </w:pPr>
            <w:r w:rsidRPr="00E07B1B">
              <w:t>The greatest risk occurred when there was a shift from normal weight to overweight and from overweight to obese</w:t>
            </w:r>
            <w:r>
              <w:t>.</w:t>
            </w:r>
          </w:p>
        </w:tc>
        <w:tc>
          <w:tcPr>
            <w:tcW w:w="435" w:type="pct"/>
            <w:tcBorders>
              <w:top w:val="nil"/>
              <w:bottom w:val="nil"/>
            </w:tcBorders>
            <w:shd w:val="clear" w:color="auto" w:fill="auto"/>
          </w:tcPr>
          <w:p w:rsidR="0025490C" w:rsidRPr="00E07B1B" w:rsidRDefault="0025490C" w:rsidP="00F65F1B">
            <w:pPr>
              <w:pStyle w:val="TableText"/>
              <w:jc w:val="center"/>
            </w:pPr>
            <w:r w:rsidRPr="00E07B1B">
              <w:t>MEDIUM</w:t>
            </w:r>
          </w:p>
        </w:tc>
      </w:tr>
      <w:tr w:rsidR="0025490C" w:rsidRPr="00E07B1B" w:rsidTr="00637A5A">
        <w:trPr>
          <w:cantSplit/>
        </w:trPr>
        <w:tc>
          <w:tcPr>
            <w:tcW w:w="486" w:type="pct"/>
            <w:tcBorders>
              <w:top w:val="nil"/>
              <w:bottom w:val="nil"/>
            </w:tcBorders>
            <w:shd w:val="clear" w:color="auto" w:fill="F2F2F2" w:themeFill="background1" w:themeFillShade="F2"/>
          </w:tcPr>
          <w:p w:rsidR="0025490C" w:rsidRPr="00E07B1B" w:rsidRDefault="0025490C" w:rsidP="00637A5A">
            <w:pPr>
              <w:pStyle w:val="TableText"/>
            </w:pPr>
            <w:r w:rsidRPr="00E07B1B">
              <w:t>Iqbal</w:t>
            </w:r>
            <w:r w:rsidR="00637A5A">
              <w:br/>
            </w:r>
            <w:r w:rsidRPr="00E07B1B">
              <w:t>(2007)</w:t>
            </w:r>
          </w:p>
        </w:tc>
        <w:tc>
          <w:tcPr>
            <w:tcW w:w="534" w:type="pct"/>
            <w:tcBorders>
              <w:top w:val="nil"/>
              <w:bottom w:val="nil"/>
            </w:tcBorders>
            <w:shd w:val="clear" w:color="auto" w:fill="F2F2F2" w:themeFill="background1" w:themeFillShade="F2"/>
          </w:tcPr>
          <w:p w:rsidR="0025490C" w:rsidRPr="00E07B1B" w:rsidRDefault="0025490C" w:rsidP="00637A5A">
            <w:pPr>
              <w:pStyle w:val="TableText"/>
            </w:pPr>
            <w:r w:rsidRPr="00E07B1B">
              <w:t>Pakistan</w:t>
            </w:r>
            <w:r w:rsidR="00637A5A">
              <w:br/>
            </w:r>
            <w:r w:rsidRPr="00E07B1B">
              <w:t>750</w:t>
            </w:r>
          </w:p>
        </w:tc>
        <w:tc>
          <w:tcPr>
            <w:tcW w:w="533" w:type="pct"/>
            <w:tcBorders>
              <w:top w:val="nil"/>
              <w:bottom w:val="nil"/>
            </w:tcBorders>
            <w:shd w:val="clear" w:color="auto" w:fill="F2F2F2" w:themeFill="background1" w:themeFillShade="F2"/>
          </w:tcPr>
          <w:p w:rsidR="0025490C" w:rsidRPr="00E07B1B" w:rsidRDefault="0025490C" w:rsidP="00E11F9C">
            <w:pPr>
              <w:pStyle w:val="TableText"/>
            </w:pPr>
            <w:r w:rsidRPr="00E07B1B">
              <w:t>Prospective cohort</w:t>
            </w:r>
          </w:p>
        </w:tc>
        <w:tc>
          <w:tcPr>
            <w:tcW w:w="1457" w:type="pct"/>
            <w:tcBorders>
              <w:top w:val="nil"/>
              <w:bottom w:val="nil"/>
            </w:tcBorders>
            <w:shd w:val="clear" w:color="auto" w:fill="F2F2F2" w:themeFill="background1" w:themeFillShade="F2"/>
          </w:tcPr>
          <w:p w:rsidR="0025490C" w:rsidRPr="00E07B1B" w:rsidRDefault="0025490C" w:rsidP="00637A5A">
            <w:pPr>
              <w:pStyle w:val="TableText"/>
              <w:spacing w:after="30"/>
              <w:ind w:right="142"/>
            </w:pPr>
            <w:r w:rsidRPr="00E07B1B">
              <w:t>75</w:t>
            </w:r>
            <w:r>
              <w:t xml:space="preserve"> </w:t>
            </w:r>
            <w:r w:rsidRPr="00E07B1B">
              <w:t>g</w:t>
            </w:r>
            <w:r>
              <w:t>,</w:t>
            </w:r>
            <w:r w:rsidRPr="00E07B1B">
              <w:t xml:space="preserve"> 2</w:t>
            </w:r>
            <w:r>
              <w:t>-</w:t>
            </w:r>
            <w:r w:rsidRPr="00E07B1B">
              <w:t>hour OGCT (&gt;</w:t>
            </w:r>
            <w:r>
              <w:t> </w:t>
            </w:r>
            <w:r w:rsidRPr="00E07B1B">
              <w:t>7.8</w:t>
            </w:r>
            <w:r>
              <w:t> </w:t>
            </w:r>
            <w:r w:rsidRPr="00E07B1B">
              <w:t>mmol/L) followed by a 100</w:t>
            </w:r>
            <w:r>
              <w:t xml:space="preserve"> </w:t>
            </w:r>
            <w:r w:rsidRPr="00E07B1B">
              <w:t>g</w:t>
            </w:r>
            <w:r>
              <w:t>,</w:t>
            </w:r>
            <w:r w:rsidRPr="00E07B1B">
              <w:t xml:space="preserve"> 3</w:t>
            </w:r>
            <w:r>
              <w:t>-</w:t>
            </w:r>
            <w:r w:rsidRPr="00E07B1B">
              <w:t>hour OGTT if abnormal value. Cut</w:t>
            </w:r>
            <w:r>
              <w:t>-</w:t>
            </w:r>
            <w:r w:rsidRPr="00E07B1B">
              <w:t>off values of ADA:</w:t>
            </w:r>
          </w:p>
          <w:p w:rsidR="0025490C" w:rsidRPr="00E07B1B" w:rsidRDefault="0025490C" w:rsidP="00637A5A">
            <w:pPr>
              <w:pStyle w:val="TableBullet"/>
              <w:spacing w:after="30"/>
              <w:ind w:left="284"/>
            </w:pPr>
            <w:r>
              <w:t>f</w:t>
            </w:r>
            <w:r w:rsidRPr="00E07B1B">
              <w:t>asting &gt;</w:t>
            </w:r>
            <w:r>
              <w:t xml:space="preserve"> </w:t>
            </w:r>
            <w:r w:rsidRPr="00E07B1B">
              <w:t>5.3</w:t>
            </w:r>
            <w:r>
              <w:t xml:space="preserve"> </w:t>
            </w:r>
            <w:r w:rsidRPr="00E07B1B">
              <w:t>mmol/L</w:t>
            </w:r>
          </w:p>
          <w:p w:rsidR="0025490C" w:rsidRPr="00E07B1B" w:rsidRDefault="0025490C" w:rsidP="00637A5A">
            <w:pPr>
              <w:pStyle w:val="TableBullet"/>
              <w:spacing w:after="30"/>
              <w:ind w:left="284"/>
            </w:pPr>
            <w:r w:rsidRPr="00E07B1B">
              <w:t>1</w:t>
            </w:r>
            <w:r>
              <w:t>-</w:t>
            </w:r>
            <w:r w:rsidRPr="00E07B1B">
              <w:t>hour &gt;</w:t>
            </w:r>
            <w:r>
              <w:t xml:space="preserve"> </w:t>
            </w:r>
            <w:r w:rsidRPr="00E07B1B">
              <w:t>10</w:t>
            </w:r>
            <w:r>
              <w:t xml:space="preserve"> </w:t>
            </w:r>
            <w:r w:rsidRPr="00E07B1B">
              <w:t>mmol/L</w:t>
            </w:r>
          </w:p>
          <w:p w:rsidR="0025490C" w:rsidRPr="00E07B1B" w:rsidRDefault="0025490C" w:rsidP="00637A5A">
            <w:pPr>
              <w:pStyle w:val="TableBullet"/>
              <w:spacing w:after="30"/>
              <w:ind w:left="284"/>
            </w:pPr>
            <w:r w:rsidRPr="00E07B1B">
              <w:t>2</w:t>
            </w:r>
            <w:r>
              <w:t>-</w:t>
            </w:r>
            <w:r w:rsidRPr="00E07B1B">
              <w:t>hour</w:t>
            </w:r>
            <w:r>
              <w:t xml:space="preserve"> &gt; </w:t>
            </w:r>
            <w:r w:rsidRPr="00E07B1B">
              <w:t>8.6</w:t>
            </w:r>
            <w:r>
              <w:t xml:space="preserve"> </w:t>
            </w:r>
            <w:r w:rsidRPr="00E07B1B">
              <w:t>mmol/L</w:t>
            </w:r>
          </w:p>
          <w:p w:rsidR="0068074A" w:rsidRDefault="0025490C" w:rsidP="00637A5A">
            <w:pPr>
              <w:pStyle w:val="TableBullet"/>
              <w:ind w:left="284"/>
            </w:pPr>
            <w:r w:rsidRPr="00E07B1B">
              <w:t>3</w:t>
            </w:r>
            <w:r>
              <w:t>-</w:t>
            </w:r>
            <w:r w:rsidRPr="00E07B1B">
              <w:t>hour &gt;</w:t>
            </w:r>
            <w:r>
              <w:t xml:space="preserve"> </w:t>
            </w:r>
            <w:r w:rsidRPr="00E07B1B">
              <w:t>7.8</w:t>
            </w:r>
            <w:r>
              <w:t xml:space="preserve"> </w:t>
            </w:r>
            <w:r w:rsidRPr="00E07B1B">
              <w:t>mmol/L.</w:t>
            </w:r>
          </w:p>
          <w:p w:rsidR="0025490C" w:rsidRPr="00E07B1B" w:rsidRDefault="0025490C" w:rsidP="00F65F1B">
            <w:pPr>
              <w:pStyle w:val="TableText"/>
              <w:ind w:right="142"/>
            </w:pPr>
            <w:r w:rsidRPr="00E07B1B">
              <w:t>This analysis included subjects with either one or two raised values.</w:t>
            </w:r>
          </w:p>
        </w:tc>
        <w:tc>
          <w:tcPr>
            <w:tcW w:w="1555" w:type="pct"/>
            <w:tcBorders>
              <w:top w:val="nil"/>
              <w:bottom w:val="nil"/>
            </w:tcBorders>
            <w:shd w:val="clear" w:color="auto" w:fill="F2F2F2" w:themeFill="background1" w:themeFillShade="F2"/>
          </w:tcPr>
          <w:p w:rsidR="0025490C" w:rsidRPr="00E07B1B" w:rsidRDefault="0025490C" w:rsidP="00E11F9C">
            <w:pPr>
              <w:pStyle w:val="TableText"/>
            </w:pPr>
            <w:r w:rsidRPr="00E07B1B">
              <w:t>Increased percentage body fat</w:t>
            </w:r>
            <w:r>
              <w:t xml:space="preserve">: </w:t>
            </w:r>
            <w:r w:rsidRPr="00E07B1B">
              <w:t>OR</w:t>
            </w:r>
            <w:r>
              <w:t> </w:t>
            </w:r>
            <w:r w:rsidRPr="00E07B1B">
              <w:t>1.07, 95%CI 1.03</w:t>
            </w:r>
            <w:r>
              <w:t>–</w:t>
            </w:r>
            <w:r w:rsidRPr="00E07B1B">
              <w:t>1.13</w:t>
            </w:r>
          </w:p>
        </w:tc>
        <w:tc>
          <w:tcPr>
            <w:tcW w:w="435" w:type="pct"/>
            <w:tcBorders>
              <w:top w:val="nil"/>
              <w:bottom w:val="nil"/>
            </w:tcBorders>
            <w:shd w:val="clear" w:color="auto" w:fill="F2F2F2" w:themeFill="background1" w:themeFillShade="F2"/>
          </w:tcPr>
          <w:p w:rsidR="0025490C" w:rsidRPr="00E07B1B" w:rsidRDefault="0025490C" w:rsidP="00F65F1B">
            <w:pPr>
              <w:pStyle w:val="TableText"/>
              <w:jc w:val="center"/>
            </w:pPr>
            <w:r w:rsidRPr="00E07B1B">
              <w:t>MEDIUM</w:t>
            </w:r>
          </w:p>
        </w:tc>
      </w:tr>
      <w:tr w:rsidR="0025490C" w:rsidRPr="00E07B1B" w:rsidTr="00637A5A">
        <w:trPr>
          <w:cantSplit/>
        </w:trPr>
        <w:tc>
          <w:tcPr>
            <w:tcW w:w="486" w:type="pct"/>
            <w:tcBorders>
              <w:top w:val="nil"/>
              <w:bottom w:val="nil"/>
            </w:tcBorders>
            <w:shd w:val="clear" w:color="auto" w:fill="auto"/>
          </w:tcPr>
          <w:p w:rsidR="0025490C" w:rsidRPr="00E07B1B" w:rsidRDefault="0025490C" w:rsidP="00637A5A">
            <w:pPr>
              <w:pStyle w:val="TableText"/>
            </w:pPr>
            <w:r w:rsidRPr="00E07B1B">
              <w:t>Hossein-Nezhad</w:t>
            </w:r>
            <w:r w:rsidR="00637A5A">
              <w:br/>
            </w:r>
            <w:r w:rsidRPr="00E07B1B">
              <w:t>(2007)</w:t>
            </w:r>
          </w:p>
        </w:tc>
        <w:tc>
          <w:tcPr>
            <w:tcW w:w="534" w:type="pct"/>
            <w:tcBorders>
              <w:top w:val="nil"/>
              <w:bottom w:val="nil"/>
            </w:tcBorders>
            <w:shd w:val="clear" w:color="auto" w:fill="auto"/>
          </w:tcPr>
          <w:p w:rsidR="0025490C" w:rsidRPr="00E07B1B" w:rsidRDefault="0025490C" w:rsidP="00637A5A">
            <w:pPr>
              <w:pStyle w:val="TableText"/>
            </w:pPr>
            <w:r w:rsidRPr="00E07B1B">
              <w:t>Iran</w:t>
            </w:r>
            <w:r w:rsidR="00637A5A">
              <w:br/>
            </w:r>
            <w:r w:rsidRPr="00E07B1B">
              <w:t>2416</w:t>
            </w:r>
          </w:p>
        </w:tc>
        <w:tc>
          <w:tcPr>
            <w:tcW w:w="533" w:type="pct"/>
            <w:tcBorders>
              <w:top w:val="nil"/>
              <w:bottom w:val="nil"/>
            </w:tcBorders>
            <w:shd w:val="clear" w:color="auto" w:fill="auto"/>
          </w:tcPr>
          <w:p w:rsidR="0025490C" w:rsidRPr="00E07B1B" w:rsidRDefault="0025490C" w:rsidP="00E11F9C">
            <w:pPr>
              <w:pStyle w:val="TableText"/>
            </w:pPr>
            <w:r w:rsidRPr="00E07B1B">
              <w:t>Cross-sectional</w:t>
            </w:r>
          </w:p>
        </w:tc>
        <w:tc>
          <w:tcPr>
            <w:tcW w:w="1457" w:type="pct"/>
            <w:tcBorders>
              <w:top w:val="nil"/>
              <w:bottom w:val="nil"/>
            </w:tcBorders>
            <w:shd w:val="clear" w:color="auto" w:fill="auto"/>
          </w:tcPr>
          <w:p w:rsidR="0068074A" w:rsidRDefault="0025490C" w:rsidP="00F65F1B">
            <w:pPr>
              <w:pStyle w:val="TableText"/>
              <w:ind w:right="142"/>
            </w:pPr>
            <w:r w:rsidRPr="00E07B1B">
              <w:t xml:space="preserve">Universal screening </w:t>
            </w:r>
            <w:r>
              <w:t>with</w:t>
            </w:r>
            <w:r w:rsidRPr="00E07B1B">
              <w:t xml:space="preserve"> 50</w:t>
            </w:r>
            <w:r>
              <w:t> </w:t>
            </w:r>
            <w:r w:rsidRPr="00E07B1B">
              <w:t>g</w:t>
            </w:r>
            <w:r>
              <w:t>,</w:t>
            </w:r>
            <w:r w:rsidRPr="00E07B1B">
              <w:t xml:space="preserve"> 1</w:t>
            </w:r>
            <w:r>
              <w:noBreakHyphen/>
            </w:r>
            <w:r w:rsidRPr="00E07B1B">
              <w:t xml:space="preserve">hour </w:t>
            </w:r>
            <w:r>
              <w:t xml:space="preserve">oral </w:t>
            </w:r>
            <w:r w:rsidRPr="00E07B1B">
              <w:t>glucose challenge test at 24</w:t>
            </w:r>
            <w:r>
              <w:t>–</w:t>
            </w:r>
            <w:r w:rsidRPr="00E07B1B">
              <w:t>28 weeks (women with known risk factors were screened at first antenatal visit). If result abnormal (≥</w:t>
            </w:r>
            <w:r>
              <w:t xml:space="preserve"> </w:t>
            </w:r>
            <w:r w:rsidRPr="00E07B1B">
              <w:t>130</w:t>
            </w:r>
            <w:r>
              <w:t xml:space="preserve"> </w:t>
            </w:r>
            <w:r w:rsidRPr="00E07B1B">
              <w:t>mg</w:t>
            </w:r>
            <w:r>
              <w:t>/dL</w:t>
            </w:r>
            <w:r w:rsidRPr="00E07B1B">
              <w:t>)</w:t>
            </w:r>
            <w:r>
              <w:t>,</w:t>
            </w:r>
            <w:r w:rsidRPr="00E07B1B">
              <w:t xml:space="preserve"> then underwent a 100</w:t>
            </w:r>
            <w:r w:rsidR="00637A5A">
              <w:t> </w:t>
            </w:r>
            <w:r w:rsidRPr="00E07B1B">
              <w:t>g, 3</w:t>
            </w:r>
            <w:r>
              <w:t>-</w:t>
            </w:r>
            <w:r w:rsidRPr="00E07B1B">
              <w:t>hour OGTT using the Carpenter and Coustan criteria.</w:t>
            </w:r>
          </w:p>
          <w:p w:rsidR="0025490C" w:rsidRPr="00E07B1B" w:rsidRDefault="0025490C" w:rsidP="00637A5A">
            <w:pPr>
              <w:pStyle w:val="TableText"/>
              <w:ind w:right="142"/>
            </w:pPr>
            <w:r w:rsidRPr="00E07B1B">
              <w:t>Women divided into four groups</w:t>
            </w:r>
            <w:r>
              <w:t>:</w:t>
            </w:r>
            <w:r w:rsidRPr="00E07B1B">
              <w:t xml:space="preserve"> 1</w:t>
            </w:r>
            <w:r>
              <w:t>.</w:t>
            </w:r>
            <w:r w:rsidRPr="00E07B1B">
              <w:t xml:space="preserve"> GDM</w:t>
            </w:r>
            <w:r>
              <w:t>;</w:t>
            </w:r>
            <w:r w:rsidRPr="00E07B1B">
              <w:t xml:space="preserve"> 2</w:t>
            </w:r>
            <w:r>
              <w:t>.</w:t>
            </w:r>
            <w:r w:rsidR="00637A5A">
              <w:t> </w:t>
            </w:r>
            <w:r w:rsidRPr="00E07B1B">
              <w:t>IGT –impaired glucose tolerance</w:t>
            </w:r>
            <w:r>
              <w:t>;</w:t>
            </w:r>
            <w:r w:rsidRPr="00E07B1B">
              <w:t xml:space="preserve"> 3</w:t>
            </w:r>
            <w:r>
              <w:t>.</w:t>
            </w:r>
            <w:r w:rsidRPr="00E07B1B">
              <w:t xml:space="preserve"> IGCT impaired glucose challenge test</w:t>
            </w:r>
            <w:r>
              <w:t>;</w:t>
            </w:r>
            <w:r w:rsidRPr="00E07B1B">
              <w:t xml:space="preserve"> 4</w:t>
            </w:r>
            <w:r>
              <w:t>.</w:t>
            </w:r>
            <w:r w:rsidRPr="00E07B1B">
              <w:t xml:space="preserve"> normal</w:t>
            </w:r>
            <w:r>
              <w:t>.</w:t>
            </w:r>
          </w:p>
        </w:tc>
        <w:tc>
          <w:tcPr>
            <w:tcW w:w="1555" w:type="pct"/>
            <w:tcBorders>
              <w:top w:val="nil"/>
              <w:bottom w:val="nil"/>
            </w:tcBorders>
            <w:shd w:val="clear" w:color="auto" w:fill="auto"/>
          </w:tcPr>
          <w:p w:rsidR="0025490C" w:rsidRPr="00E07B1B" w:rsidRDefault="0025490C" w:rsidP="00E11F9C">
            <w:pPr>
              <w:pStyle w:val="TableText"/>
            </w:pPr>
            <w:r w:rsidRPr="00E07B1B">
              <w:t>There was a significant difference in BMI between the women in the GDM group and the three other groups (</w:t>
            </w:r>
            <w:r w:rsidRPr="00215018">
              <w:rPr>
                <w:i/>
              </w:rPr>
              <w:t>p</w:t>
            </w:r>
            <w:r>
              <w:t> </w:t>
            </w:r>
            <w:r w:rsidRPr="00E07B1B">
              <w:t>&lt;</w:t>
            </w:r>
            <w:r>
              <w:t> </w:t>
            </w:r>
            <w:r w:rsidRPr="00E07B1B">
              <w:t>0.0001). Compared with women with a normal screening test, women with GDM were more likely to have a BMI &gt;27kg/m</w:t>
            </w:r>
            <w:r w:rsidRPr="00E07B1B">
              <w:rPr>
                <w:vertAlign w:val="superscript"/>
              </w:rPr>
              <w:t>2</w:t>
            </w:r>
            <w:r w:rsidRPr="00E07B1B">
              <w:t xml:space="preserve"> (adj OR 4.23, 95%CI 2.80</w:t>
            </w:r>
            <w:r>
              <w:t>–</w:t>
            </w:r>
            <w:r w:rsidRPr="00E07B1B">
              <w:t xml:space="preserve">6.37, </w:t>
            </w:r>
            <w:r w:rsidRPr="00215018">
              <w:rPr>
                <w:i/>
              </w:rPr>
              <w:t>p</w:t>
            </w:r>
            <w:r>
              <w:t> </w:t>
            </w:r>
            <w:r w:rsidRPr="00E07B1B">
              <w:t>&lt;</w:t>
            </w:r>
            <w:r>
              <w:t> </w:t>
            </w:r>
            <w:r w:rsidRPr="00E07B1B">
              <w:t>0.0001)</w:t>
            </w:r>
            <w:r>
              <w:t>.</w:t>
            </w:r>
          </w:p>
        </w:tc>
        <w:tc>
          <w:tcPr>
            <w:tcW w:w="435" w:type="pct"/>
            <w:tcBorders>
              <w:top w:val="nil"/>
              <w:bottom w:val="nil"/>
            </w:tcBorders>
            <w:shd w:val="clear" w:color="auto" w:fill="auto"/>
          </w:tcPr>
          <w:p w:rsidR="0025490C" w:rsidRPr="00E07B1B" w:rsidRDefault="0025490C" w:rsidP="00F65F1B">
            <w:pPr>
              <w:pStyle w:val="TableText"/>
              <w:jc w:val="center"/>
            </w:pPr>
            <w:r w:rsidRPr="00E07B1B">
              <w:t>MEDIUM</w:t>
            </w:r>
          </w:p>
        </w:tc>
      </w:tr>
      <w:tr w:rsidR="0025490C" w:rsidRPr="00E07B1B" w:rsidTr="00637A5A">
        <w:trPr>
          <w:cantSplit/>
        </w:trPr>
        <w:tc>
          <w:tcPr>
            <w:tcW w:w="486" w:type="pct"/>
            <w:tcBorders>
              <w:top w:val="nil"/>
              <w:bottom w:val="nil"/>
            </w:tcBorders>
            <w:shd w:val="clear" w:color="auto" w:fill="F2F2F2" w:themeFill="background1" w:themeFillShade="F2"/>
          </w:tcPr>
          <w:p w:rsidR="0025490C" w:rsidRPr="00E07B1B" w:rsidRDefault="0025490C" w:rsidP="00637A5A">
            <w:pPr>
              <w:pStyle w:val="TableText"/>
            </w:pPr>
            <w:r w:rsidRPr="00E07B1B">
              <w:t>Ismail</w:t>
            </w:r>
            <w:r w:rsidR="00637A5A">
              <w:br/>
            </w:r>
            <w:r w:rsidRPr="00E07B1B">
              <w:t>(2011)</w:t>
            </w:r>
          </w:p>
        </w:tc>
        <w:tc>
          <w:tcPr>
            <w:tcW w:w="534" w:type="pct"/>
            <w:tcBorders>
              <w:top w:val="nil"/>
              <w:bottom w:val="nil"/>
            </w:tcBorders>
            <w:shd w:val="clear" w:color="auto" w:fill="F2F2F2" w:themeFill="background1" w:themeFillShade="F2"/>
          </w:tcPr>
          <w:p w:rsidR="0025490C" w:rsidRPr="00E07B1B" w:rsidRDefault="0025490C" w:rsidP="00637A5A">
            <w:pPr>
              <w:pStyle w:val="TableText"/>
            </w:pPr>
            <w:r w:rsidRPr="00E07B1B">
              <w:t>Malaysia</w:t>
            </w:r>
            <w:r w:rsidR="00637A5A">
              <w:br/>
            </w:r>
            <w:r w:rsidRPr="00E07B1B">
              <w:t>616</w:t>
            </w:r>
          </w:p>
        </w:tc>
        <w:tc>
          <w:tcPr>
            <w:tcW w:w="533" w:type="pct"/>
            <w:tcBorders>
              <w:top w:val="nil"/>
              <w:bottom w:val="nil"/>
            </w:tcBorders>
            <w:shd w:val="clear" w:color="auto" w:fill="F2F2F2" w:themeFill="background1" w:themeFillShade="F2"/>
          </w:tcPr>
          <w:p w:rsidR="0025490C" w:rsidRPr="00E07B1B" w:rsidRDefault="0025490C" w:rsidP="00E11F9C">
            <w:pPr>
              <w:pStyle w:val="TableText"/>
            </w:pPr>
            <w:r w:rsidRPr="00E07B1B">
              <w:t>Observational</w:t>
            </w:r>
          </w:p>
        </w:tc>
        <w:tc>
          <w:tcPr>
            <w:tcW w:w="1457" w:type="pct"/>
            <w:tcBorders>
              <w:top w:val="nil"/>
              <w:bottom w:val="nil"/>
            </w:tcBorders>
            <w:shd w:val="clear" w:color="auto" w:fill="F2F2F2" w:themeFill="background1" w:themeFillShade="F2"/>
          </w:tcPr>
          <w:p w:rsidR="0025490C" w:rsidRPr="00E07B1B" w:rsidRDefault="0025490C" w:rsidP="00F65F1B">
            <w:pPr>
              <w:pStyle w:val="TableText"/>
              <w:ind w:right="142"/>
            </w:pPr>
            <w:r w:rsidRPr="00E07B1B">
              <w:t>75</w:t>
            </w:r>
            <w:r>
              <w:t xml:space="preserve"> </w:t>
            </w:r>
            <w:r w:rsidRPr="00E07B1B">
              <w:t>g OGTT, fasting and 2</w:t>
            </w:r>
            <w:r>
              <w:noBreakHyphen/>
            </w:r>
            <w:r w:rsidRPr="00E07B1B">
              <w:t>hour postprandial &gt;</w:t>
            </w:r>
            <w:r>
              <w:t> </w:t>
            </w:r>
            <w:r w:rsidRPr="00E07B1B">
              <w:t>6</w:t>
            </w:r>
            <w:r>
              <w:t> </w:t>
            </w:r>
            <w:r w:rsidRPr="00E07B1B">
              <w:t xml:space="preserve">mmol/L </w:t>
            </w:r>
            <w:r>
              <w:t>and</w:t>
            </w:r>
            <w:r w:rsidRPr="00E07B1B">
              <w:t xml:space="preserve"> &gt;</w:t>
            </w:r>
            <w:r>
              <w:t xml:space="preserve"> </w:t>
            </w:r>
            <w:r w:rsidRPr="00E07B1B">
              <w:t>7.8</w:t>
            </w:r>
            <w:r>
              <w:t xml:space="preserve"> </w:t>
            </w:r>
            <w:r w:rsidRPr="00E07B1B">
              <w:t>mmol/L respectively.</w:t>
            </w:r>
          </w:p>
        </w:tc>
        <w:tc>
          <w:tcPr>
            <w:tcW w:w="1555" w:type="pct"/>
            <w:tcBorders>
              <w:top w:val="nil"/>
              <w:bottom w:val="nil"/>
            </w:tcBorders>
            <w:shd w:val="clear" w:color="auto" w:fill="F2F2F2" w:themeFill="background1" w:themeFillShade="F2"/>
          </w:tcPr>
          <w:p w:rsidR="0025490C" w:rsidRPr="00E07B1B" w:rsidRDefault="0025490C" w:rsidP="00E11F9C">
            <w:pPr>
              <w:pStyle w:val="TableText"/>
            </w:pPr>
            <w:r w:rsidRPr="00E07B1B">
              <w:t>&gt;</w:t>
            </w:r>
            <w:r>
              <w:t xml:space="preserve"> </w:t>
            </w:r>
            <w:r w:rsidRPr="00E07B1B">
              <w:t>80</w:t>
            </w:r>
            <w:r>
              <w:t xml:space="preserve"> </w:t>
            </w:r>
            <w:r w:rsidRPr="00E07B1B">
              <w:t>kg at time of screening associated with increased risk (</w:t>
            </w:r>
            <w:r w:rsidRPr="00215018">
              <w:rPr>
                <w:i/>
              </w:rPr>
              <w:t>p</w:t>
            </w:r>
            <w:r>
              <w:t xml:space="preserve"> </w:t>
            </w:r>
            <w:r w:rsidRPr="00E07B1B">
              <w:t>&lt;</w:t>
            </w:r>
            <w:r>
              <w:t xml:space="preserve"> </w:t>
            </w:r>
            <w:r w:rsidRPr="00E07B1B">
              <w:t>0.001).</w:t>
            </w:r>
          </w:p>
        </w:tc>
        <w:tc>
          <w:tcPr>
            <w:tcW w:w="435" w:type="pct"/>
            <w:tcBorders>
              <w:top w:val="nil"/>
              <w:bottom w:val="nil"/>
            </w:tcBorders>
            <w:shd w:val="clear" w:color="auto" w:fill="F2F2F2" w:themeFill="background1" w:themeFillShade="F2"/>
          </w:tcPr>
          <w:p w:rsidR="0025490C" w:rsidRPr="00E07B1B" w:rsidRDefault="0025490C" w:rsidP="00F65F1B">
            <w:pPr>
              <w:pStyle w:val="TableText"/>
              <w:jc w:val="center"/>
            </w:pPr>
            <w:r w:rsidRPr="00E07B1B">
              <w:t>LOW</w:t>
            </w:r>
          </w:p>
        </w:tc>
      </w:tr>
      <w:tr w:rsidR="0025490C" w:rsidRPr="00E07B1B" w:rsidTr="00637A5A">
        <w:trPr>
          <w:cantSplit/>
        </w:trPr>
        <w:tc>
          <w:tcPr>
            <w:tcW w:w="486" w:type="pct"/>
            <w:tcBorders>
              <w:top w:val="nil"/>
              <w:bottom w:val="nil"/>
            </w:tcBorders>
            <w:shd w:val="clear" w:color="auto" w:fill="auto"/>
          </w:tcPr>
          <w:p w:rsidR="0025490C" w:rsidRPr="00E07B1B" w:rsidRDefault="0025490C" w:rsidP="00637A5A">
            <w:pPr>
              <w:pStyle w:val="TableText"/>
            </w:pPr>
            <w:r w:rsidRPr="00E07B1B">
              <w:t>Kun</w:t>
            </w:r>
            <w:r w:rsidR="00637A5A">
              <w:br/>
            </w:r>
            <w:r w:rsidRPr="00E07B1B">
              <w:t>(2011)</w:t>
            </w:r>
          </w:p>
        </w:tc>
        <w:tc>
          <w:tcPr>
            <w:tcW w:w="534" w:type="pct"/>
            <w:tcBorders>
              <w:top w:val="nil"/>
              <w:bottom w:val="nil"/>
            </w:tcBorders>
            <w:shd w:val="clear" w:color="auto" w:fill="auto"/>
          </w:tcPr>
          <w:p w:rsidR="0025490C" w:rsidRPr="00E07B1B" w:rsidRDefault="0025490C" w:rsidP="00637A5A">
            <w:pPr>
              <w:pStyle w:val="TableText"/>
            </w:pPr>
            <w:r w:rsidRPr="00E07B1B">
              <w:t>Hungary</w:t>
            </w:r>
            <w:r w:rsidR="00637A5A">
              <w:br/>
            </w:r>
            <w:r w:rsidRPr="00E07B1B">
              <w:t>2260</w:t>
            </w:r>
          </w:p>
        </w:tc>
        <w:tc>
          <w:tcPr>
            <w:tcW w:w="533" w:type="pct"/>
            <w:tcBorders>
              <w:top w:val="nil"/>
              <w:bottom w:val="nil"/>
            </w:tcBorders>
            <w:shd w:val="clear" w:color="auto" w:fill="auto"/>
          </w:tcPr>
          <w:p w:rsidR="0025490C" w:rsidRPr="00E07B1B" w:rsidRDefault="0025490C" w:rsidP="00E11F9C">
            <w:pPr>
              <w:pStyle w:val="TableText"/>
            </w:pPr>
            <w:r w:rsidRPr="00E07B1B">
              <w:t>Observational</w:t>
            </w:r>
          </w:p>
        </w:tc>
        <w:tc>
          <w:tcPr>
            <w:tcW w:w="1457" w:type="pct"/>
            <w:tcBorders>
              <w:top w:val="nil"/>
              <w:bottom w:val="nil"/>
            </w:tcBorders>
            <w:shd w:val="clear" w:color="auto" w:fill="auto"/>
          </w:tcPr>
          <w:p w:rsidR="0025490C" w:rsidRPr="00E07B1B" w:rsidRDefault="0025490C" w:rsidP="00637A5A">
            <w:pPr>
              <w:pStyle w:val="TableText"/>
              <w:ind w:right="142"/>
            </w:pPr>
            <w:r w:rsidRPr="00E07B1B">
              <w:t>75</w:t>
            </w:r>
            <w:r w:rsidR="00637A5A">
              <w:t> </w:t>
            </w:r>
            <w:r w:rsidRPr="00E07B1B">
              <w:t>g OGTT. 2</w:t>
            </w:r>
            <w:r>
              <w:t>-</w:t>
            </w:r>
            <w:r w:rsidRPr="00E07B1B">
              <w:t>hour post-test.</w:t>
            </w:r>
            <w:r>
              <w:t xml:space="preserve"> </w:t>
            </w:r>
            <w:r w:rsidRPr="00E07B1B">
              <w:t>Diagnosis based on WHO or IADPSG criteria.</w:t>
            </w:r>
          </w:p>
        </w:tc>
        <w:tc>
          <w:tcPr>
            <w:tcW w:w="1555" w:type="pct"/>
            <w:tcBorders>
              <w:top w:val="nil"/>
              <w:bottom w:val="nil"/>
            </w:tcBorders>
            <w:shd w:val="clear" w:color="auto" w:fill="auto"/>
          </w:tcPr>
          <w:p w:rsidR="0025490C" w:rsidRPr="00B77E08" w:rsidRDefault="0025490C" w:rsidP="00637A5A">
            <w:pPr>
              <w:pStyle w:val="TableText"/>
            </w:pPr>
            <w:r w:rsidRPr="00E07B1B">
              <w:t xml:space="preserve">Higher pre-pregnancy BMI was associated with higher risk of GDM compared with normal </w:t>
            </w:r>
            <w:r>
              <w:t xml:space="preserve">BMI </w:t>
            </w:r>
            <w:r w:rsidRPr="00E07B1B">
              <w:t>using both criteria (</w:t>
            </w:r>
            <w:r w:rsidRPr="00215018">
              <w:rPr>
                <w:i/>
              </w:rPr>
              <w:t>p</w:t>
            </w:r>
            <w:r>
              <w:t xml:space="preserve"> </w:t>
            </w:r>
            <w:r w:rsidRPr="00E07B1B">
              <w:t>=</w:t>
            </w:r>
            <w:r>
              <w:t xml:space="preserve"> </w:t>
            </w:r>
            <w:r w:rsidRPr="00E07B1B">
              <w:t xml:space="preserve">0.001 </w:t>
            </w:r>
            <w:r>
              <w:t>in both cases</w:t>
            </w:r>
            <w:r w:rsidRPr="00E07B1B">
              <w:t xml:space="preserve">). </w:t>
            </w:r>
            <w:r>
              <w:t>Risk e</w:t>
            </w:r>
            <w:r w:rsidRPr="00E07B1B">
              <w:t xml:space="preserve">specially </w:t>
            </w:r>
            <w:r>
              <w:t xml:space="preserve">high </w:t>
            </w:r>
            <w:r w:rsidRPr="00E07B1B">
              <w:t xml:space="preserve">for </w:t>
            </w:r>
            <w:r>
              <w:t xml:space="preserve">women with BMI of </w:t>
            </w:r>
            <w:r w:rsidRPr="00E07B1B">
              <w:t>24.2</w:t>
            </w:r>
            <w:r w:rsidR="00637A5A">
              <w:t> </w:t>
            </w:r>
            <w:r w:rsidRPr="00E07B1B">
              <w:t>kg/m</w:t>
            </w:r>
            <w:r w:rsidRPr="00E07B1B">
              <w:rPr>
                <w:vertAlign w:val="superscript"/>
              </w:rPr>
              <w:t>2</w:t>
            </w:r>
            <w:r w:rsidRPr="00E07B1B">
              <w:t xml:space="preserve"> but risk decreased for women with BMI</w:t>
            </w:r>
            <w:r>
              <w:t xml:space="preserve"> </w:t>
            </w:r>
            <w:r w:rsidRPr="00E07B1B">
              <w:t>≥</w:t>
            </w:r>
            <w:r w:rsidR="00637A5A">
              <w:t> </w:t>
            </w:r>
            <w:r w:rsidRPr="00E07B1B">
              <w:t>29.2</w:t>
            </w:r>
            <w:r>
              <w:t xml:space="preserve"> </w:t>
            </w:r>
            <w:r w:rsidRPr="00E07B1B">
              <w:t>kg/m</w:t>
            </w:r>
            <w:r w:rsidRPr="00E07B1B">
              <w:rPr>
                <w:vertAlign w:val="superscript"/>
              </w:rPr>
              <w:t>2</w:t>
            </w:r>
            <w:r w:rsidRPr="00E07B1B">
              <w:t xml:space="preserve"> compared with </w:t>
            </w:r>
            <w:r>
              <w:t xml:space="preserve">those with BMI of </w:t>
            </w:r>
            <w:r w:rsidRPr="00E07B1B">
              <w:t>26.1</w:t>
            </w:r>
            <w:r>
              <w:t>–</w:t>
            </w:r>
            <w:r w:rsidRPr="00E07B1B">
              <w:t>29.1</w:t>
            </w:r>
            <w:r>
              <w:t xml:space="preserve"> </w:t>
            </w:r>
            <w:r w:rsidRPr="00E07B1B">
              <w:t>kg/m</w:t>
            </w:r>
            <w:r w:rsidRPr="00E07B1B">
              <w:rPr>
                <w:vertAlign w:val="superscript"/>
              </w:rPr>
              <w:t>2</w:t>
            </w:r>
            <w:r>
              <w:t>.</w:t>
            </w:r>
          </w:p>
        </w:tc>
        <w:tc>
          <w:tcPr>
            <w:tcW w:w="435" w:type="pct"/>
            <w:tcBorders>
              <w:top w:val="nil"/>
              <w:bottom w:val="nil"/>
            </w:tcBorders>
            <w:shd w:val="clear" w:color="auto" w:fill="auto"/>
          </w:tcPr>
          <w:p w:rsidR="0025490C" w:rsidRPr="00E07B1B" w:rsidRDefault="0025490C" w:rsidP="00F65F1B">
            <w:pPr>
              <w:pStyle w:val="TableText"/>
              <w:jc w:val="center"/>
            </w:pPr>
            <w:r w:rsidRPr="00E07B1B">
              <w:t>LOW</w:t>
            </w:r>
          </w:p>
        </w:tc>
      </w:tr>
      <w:tr w:rsidR="0025490C" w:rsidRPr="00E07B1B" w:rsidTr="00637A5A">
        <w:trPr>
          <w:cantSplit/>
        </w:trPr>
        <w:tc>
          <w:tcPr>
            <w:tcW w:w="486" w:type="pct"/>
            <w:tcBorders>
              <w:top w:val="nil"/>
              <w:bottom w:val="nil"/>
            </w:tcBorders>
            <w:shd w:val="clear" w:color="auto" w:fill="F2F2F2" w:themeFill="background1" w:themeFillShade="F2"/>
          </w:tcPr>
          <w:p w:rsidR="0025490C" w:rsidRPr="00E07B1B" w:rsidRDefault="0025490C" w:rsidP="00637A5A">
            <w:pPr>
              <w:pStyle w:val="TableText"/>
            </w:pPr>
            <w:r w:rsidRPr="00E07B1B">
              <w:t>Ramos-Levi</w:t>
            </w:r>
            <w:r w:rsidR="00637A5A">
              <w:br/>
            </w:r>
            <w:r w:rsidRPr="00E07B1B">
              <w:t>(2012)</w:t>
            </w:r>
          </w:p>
        </w:tc>
        <w:tc>
          <w:tcPr>
            <w:tcW w:w="534" w:type="pct"/>
            <w:tcBorders>
              <w:top w:val="nil"/>
              <w:bottom w:val="nil"/>
            </w:tcBorders>
            <w:shd w:val="clear" w:color="auto" w:fill="F2F2F2" w:themeFill="background1" w:themeFillShade="F2"/>
          </w:tcPr>
          <w:p w:rsidR="0025490C" w:rsidRPr="00E07B1B" w:rsidRDefault="0025490C" w:rsidP="00637A5A">
            <w:pPr>
              <w:pStyle w:val="TableText"/>
            </w:pPr>
            <w:r w:rsidRPr="00E07B1B">
              <w:t>Spain</w:t>
            </w:r>
            <w:r w:rsidR="00637A5A">
              <w:br/>
            </w:r>
            <w:r w:rsidRPr="00E07B1B">
              <w:t>2194</w:t>
            </w:r>
          </w:p>
        </w:tc>
        <w:tc>
          <w:tcPr>
            <w:tcW w:w="533" w:type="pct"/>
            <w:tcBorders>
              <w:top w:val="nil"/>
              <w:bottom w:val="nil"/>
            </w:tcBorders>
            <w:shd w:val="clear" w:color="auto" w:fill="F2F2F2" w:themeFill="background1" w:themeFillShade="F2"/>
          </w:tcPr>
          <w:p w:rsidR="0025490C" w:rsidRPr="00E07B1B" w:rsidRDefault="0025490C" w:rsidP="00E11F9C">
            <w:pPr>
              <w:pStyle w:val="TableText"/>
            </w:pPr>
            <w:r w:rsidRPr="00E07B1B">
              <w:t>Observational cohort</w:t>
            </w:r>
          </w:p>
        </w:tc>
        <w:tc>
          <w:tcPr>
            <w:tcW w:w="1457" w:type="pct"/>
            <w:tcBorders>
              <w:top w:val="nil"/>
              <w:bottom w:val="nil"/>
            </w:tcBorders>
            <w:shd w:val="clear" w:color="auto" w:fill="F2F2F2" w:themeFill="background1" w:themeFillShade="F2"/>
          </w:tcPr>
          <w:p w:rsidR="0025490C" w:rsidRPr="00E07B1B" w:rsidRDefault="0025490C" w:rsidP="00F65F1B">
            <w:pPr>
              <w:pStyle w:val="TableText"/>
              <w:ind w:right="142"/>
            </w:pPr>
            <w:r w:rsidRPr="00E07B1B">
              <w:t>Screened with ADA criteria</w:t>
            </w:r>
            <w:r w:rsidR="00637A5A">
              <w:t>.</w:t>
            </w:r>
          </w:p>
        </w:tc>
        <w:tc>
          <w:tcPr>
            <w:tcW w:w="1555" w:type="pct"/>
            <w:tcBorders>
              <w:top w:val="nil"/>
              <w:bottom w:val="nil"/>
            </w:tcBorders>
            <w:shd w:val="clear" w:color="auto" w:fill="F2F2F2" w:themeFill="background1" w:themeFillShade="F2"/>
          </w:tcPr>
          <w:p w:rsidR="0025490C" w:rsidRPr="00E07B1B" w:rsidRDefault="0025490C" w:rsidP="00E11F9C">
            <w:pPr>
              <w:pStyle w:val="TableText"/>
            </w:pPr>
            <w:r w:rsidRPr="00E07B1B">
              <w:t>Higher pre-pregnancy</w:t>
            </w:r>
            <w:r>
              <w:t xml:space="preserve"> </w:t>
            </w:r>
            <w:r w:rsidRPr="00E07B1B">
              <w:t>weight/BMI was associated with increased risk of GDM but no risk data presented</w:t>
            </w:r>
            <w:r w:rsidR="00637A5A">
              <w:t>.</w:t>
            </w:r>
          </w:p>
        </w:tc>
        <w:tc>
          <w:tcPr>
            <w:tcW w:w="435" w:type="pct"/>
            <w:tcBorders>
              <w:top w:val="nil"/>
              <w:bottom w:val="nil"/>
            </w:tcBorders>
            <w:shd w:val="clear" w:color="auto" w:fill="F2F2F2" w:themeFill="background1" w:themeFillShade="F2"/>
          </w:tcPr>
          <w:p w:rsidR="0025490C" w:rsidRPr="00E07B1B" w:rsidRDefault="0025490C" w:rsidP="00F65F1B">
            <w:pPr>
              <w:pStyle w:val="TableText"/>
              <w:jc w:val="center"/>
            </w:pPr>
            <w:r w:rsidRPr="00E07B1B">
              <w:t>LOW</w:t>
            </w:r>
          </w:p>
        </w:tc>
      </w:tr>
      <w:tr w:rsidR="0025490C" w:rsidRPr="00E07B1B" w:rsidTr="00637A5A">
        <w:trPr>
          <w:cantSplit/>
        </w:trPr>
        <w:tc>
          <w:tcPr>
            <w:tcW w:w="486" w:type="pct"/>
            <w:tcBorders>
              <w:top w:val="nil"/>
              <w:bottom w:val="nil"/>
            </w:tcBorders>
            <w:shd w:val="clear" w:color="auto" w:fill="auto"/>
          </w:tcPr>
          <w:p w:rsidR="0025490C" w:rsidRPr="00E07B1B" w:rsidRDefault="0025490C" w:rsidP="00637A5A">
            <w:pPr>
              <w:pStyle w:val="TableText"/>
            </w:pPr>
            <w:r w:rsidRPr="00E07B1B">
              <w:t>Chang</w:t>
            </w:r>
            <w:r w:rsidR="00637A5A">
              <w:br/>
            </w:r>
            <w:r w:rsidRPr="00E07B1B">
              <w:t>(2010)</w:t>
            </w:r>
          </w:p>
        </w:tc>
        <w:tc>
          <w:tcPr>
            <w:tcW w:w="534" w:type="pct"/>
            <w:tcBorders>
              <w:top w:val="nil"/>
              <w:bottom w:val="nil"/>
            </w:tcBorders>
            <w:shd w:val="clear" w:color="auto" w:fill="auto"/>
          </w:tcPr>
          <w:p w:rsidR="0025490C" w:rsidRPr="00E07B1B" w:rsidRDefault="0025490C" w:rsidP="00637A5A">
            <w:pPr>
              <w:pStyle w:val="TableText"/>
            </w:pPr>
            <w:r w:rsidRPr="00E07B1B">
              <w:t>Hawaii</w:t>
            </w:r>
            <w:r w:rsidR="00637A5A">
              <w:br/>
            </w:r>
            <w:r w:rsidRPr="00E07B1B">
              <w:t>2303</w:t>
            </w:r>
          </w:p>
        </w:tc>
        <w:tc>
          <w:tcPr>
            <w:tcW w:w="533" w:type="pct"/>
            <w:tcBorders>
              <w:top w:val="nil"/>
              <w:bottom w:val="nil"/>
            </w:tcBorders>
            <w:shd w:val="clear" w:color="auto" w:fill="auto"/>
          </w:tcPr>
          <w:p w:rsidR="0025490C" w:rsidRPr="00E07B1B" w:rsidRDefault="0025490C" w:rsidP="00E11F9C">
            <w:pPr>
              <w:pStyle w:val="TableText"/>
            </w:pPr>
            <w:r w:rsidRPr="00E07B1B">
              <w:t>Retrospective cohort</w:t>
            </w:r>
          </w:p>
        </w:tc>
        <w:tc>
          <w:tcPr>
            <w:tcW w:w="1457" w:type="pct"/>
            <w:tcBorders>
              <w:top w:val="nil"/>
              <w:bottom w:val="nil"/>
            </w:tcBorders>
            <w:shd w:val="clear" w:color="auto" w:fill="auto"/>
          </w:tcPr>
          <w:p w:rsidR="0025490C" w:rsidRPr="00E07B1B" w:rsidRDefault="0025490C" w:rsidP="00F65F1B">
            <w:pPr>
              <w:pStyle w:val="TableText"/>
              <w:ind w:right="142"/>
            </w:pPr>
            <w:r w:rsidRPr="00E07B1B">
              <w:t>Details limited but appear to use a 1</w:t>
            </w:r>
            <w:r>
              <w:t>-</w:t>
            </w:r>
            <w:r w:rsidRPr="00E07B1B">
              <w:t>hour OGCT and a 3</w:t>
            </w:r>
            <w:r>
              <w:noBreakHyphen/>
            </w:r>
            <w:r w:rsidRPr="00E07B1B">
              <w:t>hour OGTT with two or more abnormal values required for diagnosis</w:t>
            </w:r>
            <w:r>
              <w:t>.</w:t>
            </w:r>
          </w:p>
        </w:tc>
        <w:tc>
          <w:tcPr>
            <w:tcW w:w="1555" w:type="pct"/>
            <w:tcBorders>
              <w:top w:val="nil"/>
              <w:bottom w:val="nil"/>
            </w:tcBorders>
            <w:shd w:val="clear" w:color="auto" w:fill="auto"/>
          </w:tcPr>
          <w:p w:rsidR="0025490C" w:rsidRPr="00E07B1B" w:rsidRDefault="0025490C" w:rsidP="00637A5A">
            <w:pPr>
              <w:pStyle w:val="TableText"/>
            </w:pPr>
            <w:r w:rsidRPr="00E07B1B">
              <w:t>Obese Micronesian women had a 4.1</w:t>
            </w:r>
            <w:r>
              <w:t>-</w:t>
            </w:r>
            <w:r w:rsidRPr="00E07B1B">
              <w:t xml:space="preserve">fold increased risk of developing GDM compared </w:t>
            </w:r>
            <w:r>
              <w:t>with</w:t>
            </w:r>
            <w:r w:rsidRPr="00E07B1B">
              <w:t xml:space="preserve"> non-obese Micronesian women (95%CI</w:t>
            </w:r>
            <w:r w:rsidR="00637A5A">
              <w:br/>
            </w:r>
            <w:r w:rsidRPr="00E07B1B">
              <w:t>2.39</w:t>
            </w:r>
            <w:r>
              <w:t>–</w:t>
            </w:r>
            <w:r w:rsidRPr="00E07B1B">
              <w:t>7.04).</w:t>
            </w:r>
          </w:p>
        </w:tc>
        <w:tc>
          <w:tcPr>
            <w:tcW w:w="435" w:type="pct"/>
            <w:tcBorders>
              <w:top w:val="nil"/>
              <w:bottom w:val="nil"/>
            </w:tcBorders>
            <w:shd w:val="clear" w:color="auto" w:fill="auto"/>
          </w:tcPr>
          <w:p w:rsidR="0025490C" w:rsidRPr="00E07B1B" w:rsidRDefault="0025490C" w:rsidP="00F65F1B">
            <w:pPr>
              <w:pStyle w:val="TableText"/>
              <w:jc w:val="center"/>
            </w:pPr>
            <w:r w:rsidRPr="00E07B1B">
              <w:t>LOW</w:t>
            </w:r>
          </w:p>
        </w:tc>
      </w:tr>
      <w:tr w:rsidR="0025490C" w:rsidRPr="00E07B1B" w:rsidTr="00637A5A">
        <w:trPr>
          <w:cantSplit/>
        </w:trPr>
        <w:tc>
          <w:tcPr>
            <w:tcW w:w="486" w:type="pct"/>
            <w:tcBorders>
              <w:top w:val="nil"/>
              <w:bottom w:val="single" w:sz="4" w:space="0" w:color="auto"/>
            </w:tcBorders>
            <w:shd w:val="clear" w:color="auto" w:fill="F2F2F2" w:themeFill="background1" w:themeFillShade="F2"/>
          </w:tcPr>
          <w:p w:rsidR="0025490C" w:rsidRPr="00E07B1B" w:rsidRDefault="0025490C" w:rsidP="00637A5A">
            <w:pPr>
              <w:pStyle w:val="TableText"/>
            </w:pPr>
            <w:r w:rsidRPr="00E07B1B">
              <w:t>Rudra</w:t>
            </w:r>
            <w:r w:rsidR="00637A5A">
              <w:br/>
              <w:t>(2007)</w:t>
            </w:r>
          </w:p>
        </w:tc>
        <w:tc>
          <w:tcPr>
            <w:tcW w:w="534" w:type="pct"/>
            <w:tcBorders>
              <w:top w:val="nil"/>
              <w:bottom w:val="single" w:sz="4" w:space="0" w:color="auto"/>
            </w:tcBorders>
            <w:shd w:val="clear" w:color="auto" w:fill="F2F2F2" w:themeFill="background1" w:themeFillShade="F2"/>
          </w:tcPr>
          <w:p w:rsidR="0025490C" w:rsidRPr="00E07B1B" w:rsidRDefault="0025490C" w:rsidP="00637A5A">
            <w:pPr>
              <w:pStyle w:val="TableText"/>
            </w:pPr>
            <w:r w:rsidRPr="00E07B1B">
              <w:t>USA</w:t>
            </w:r>
            <w:r w:rsidR="00637A5A">
              <w:br/>
            </w:r>
            <w:r w:rsidRPr="00E07B1B">
              <w:t>1644</w:t>
            </w:r>
          </w:p>
        </w:tc>
        <w:tc>
          <w:tcPr>
            <w:tcW w:w="533" w:type="pct"/>
            <w:tcBorders>
              <w:top w:val="nil"/>
              <w:bottom w:val="single" w:sz="4" w:space="0" w:color="auto"/>
            </w:tcBorders>
            <w:shd w:val="clear" w:color="auto" w:fill="F2F2F2" w:themeFill="background1" w:themeFillShade="F2"/>
          </w:tcPr>
          <w:p w:rsidR="0025490C" w:rsidRPr="00E07B1B" w:rsidRDefault="0025490C" w:rsidP="00E11F9C">
            <w:pPr>
              <w:pStyle w:val="TableText"/>
            </w:pPr>
            <w:r w:rsidRPr="00E07B1B">
              <w:t>Cohort</w:t>
            </w:r>
          </w:p>
        </w:tc>
        <w:tc>
          <w:tcPr>
            <w:tcW w:w="1457" w:type="pct"/>
            <w:tcBorders>
              <w:top w:val="nil"/>
              <w:bottom w:val="single" w:sz="4" w:space="0" w:color="auto"/>
            </w:tcBorders>
            <w:shd w:val="clear" w:color="auto" w:fill="F2F2F2" w:themeFill="background1" w:themeFillShade="F2"/>
          </w:tcPr>
          <w:p w:rsidR="0025490C" w:rsidRDefault="0025490C" w:rsidP="00637A5A">
            <w:pPr>
              <w:pStyle w:val="TableText"/>
              <w:spacing w:after="30"/>
              <w:ind w:right="142"/>
            </w:pPr>
            <w:r w:rsidRPr="00E07B1B">
              <w:t>50</w:t>
            </w:r>
            <w:r>
              <w:t xml:space="preserve"> </w:t>
            </w:r>
            <w:r w:rsidRPr="00E07B1B">
              <w:t>g, 1</w:t>
            </w:r>
            <w:r>
              <w:t>-</w:t>
            </w:r>
            <w:r w:rsidRPr="00E07B1B">
              <w:t xml:space="preserve">hour oral glucose </w:t>
            </w:r>
            <w:r>
              <w:t>challenge</w:t>
            </w:r>
            <w:r w:rsidRPr="00E07B1B">
              <w:t xml:space="preserve"> te</w:t>
            </w:r>
            <w:r>
              <w:t>s</w:t>
            </w:r>
            <w:r w:rsidRPr="00E07B1B">
              <w:t>t. If value &gt;</w:t>
            </w:r>
            <w:r>
              <w:t> </w:t>
            </w:r>
            <w:r w:rsidRPr="00E07B1B">
              <w:t>140</w:t>
            </w:r>
            <w:r>
              <w:t> </w:t>
            </w:r>
            <w:r w:rsidRPr="00E07B1B">
              <w:t>mg</w:t>
            </w:r>
            <w:r>
              <w:t>/dL,</w:t>
            </w:r>
            <w:r w:rsidRPr="00E07B1B">
              <w:t xml:space="preserve"> then undertook a 100</w:t>
            </w:r>
            <w:r w:rsidR="00637A5A">
              <w:t> </w:t>
            </w:r>
            <w:r w:rsidRPr="00E07B1B">
              <w:t>g, 3</w:t>
            </w:r>
            <w:r w:rsidR="00637A5A">
              <w:noBreakHyphen/>
            </w:r>
            <w:r w:rsidRPr="00E07B1B">
              <w:t xml:space="preserve">hour OGTT. Classified as GDM if two or more abnormal values were found </w:t>
            </w:r>
            <w:r>
              <w:t>from:</w:t>
            </w:r>
          </w:p>
          <w:p w:rsidR="0025490C" w:rsidRDefault="0025490C" w:rsidP="00637A5A">
            <w:pPr>
              <w:pStyle w:val="TableBullet"/>
              <w:spacing w:after="30"/>
              <w:ind w:left="284"/>
            </w:pPr>
            <w:r w:rsidRPr="00E07B1B">
              <w:t>fasting ≥</w:t>
            </w:r>
            <w:r>
              <w:t xml:space="preserve"> </w:t>
            </w:r>
            <w:r w:rsidRPr="00E07B1B">
              <w:t>105</w:t>
            </w:r>
            <w:r>
              <w:t xml:space="preserve"> </w:t>
            </w:r>
            <w:r w:rsidRPr="00E07B1B">
              <w:t>mg</w:t>
            </w:r>
            <w:r>
              <w:t>/dL</w:t>
            </w:r>
          </w:p>
          <w:p w:rsidR="0025490C" w:rsidRDefault="0025490C" w:rsidP="00637A5A">
            <w:pPr>
              <w:pStyle w:val="TableBullet"/>
              <w:spacing w:after="30"/>
              <w:ind w:left="284"/>
            </w:pPr>
            <w:r w:rsidRPr="00E07B1B">
              <w:t>1</w:t>
            </w:r>
            <w:r>
              <w:t>-</w:t>
            </w:r>
            <w:r w:rsidRPr="00E07B1B">
              <w:t>hour ≥</w:t>
            </w:r>
            <w:r>
              <w:t xml:space="preserve"> </w:t>
            </w:r>
            <w:r w:rsidRPr="00E07B1B">
              <w:t>190</w:t>
            </w:r>
            <w:r>
              <w:t xml:space="preserve"> </w:t>
            </w:r>
            <w:r w:rsidRPr="00E07B1B">
              <w:t>mg</w:t>
            </w:r>
            <w:r>
              <w:t>/dL</w:t>
            </w:r>
          </w:p>
          <w:p w:rsidR="0025490C" w:rsidRDefault="0025490C" w:rsidP="00637A5A">
            <w:pPr>
              <w:pStyle w:val="TableBullet"/>
              <w:spacing w:after="30"/>
              <w:ind w:left="284"/>
            </w:pPr>
            <w:r w:rsidRPr="00E07B1B">
              <w:t>2</w:t>
            </w:r>
            <w:r>
              <w:t>-</w:t>
            </w:r>
            <w:r w:rsidRPr="00E07B1B">
              <w:t>hour ≥</w:t>
            </w:r>
            <w:r>
              <w:t xml:space="preserve"> </w:t>
            </w:r>
            <w:r w:rsidRPr="00E07B1B">
              <w:t>165</w:t>
            </w:r>
            <w:r>
              <w:t xml:space="preserve"> </w:t>
            </w:r>
            <w:r w:rsidRPr="00E07B1B">
              <w:t>mg</w:t>
            </w:r>
            <w:r>
              <w:t>/dL</w:t>
            </w:r>
          </w:p>
          <w:p w:rsidR="0025490C" w:rsidRPr="00E07B1B" w:rsidRDefault="0025490C" w:rsidP="00637A5A">
            <w:pPr>
              <w:pStyle w:val="TableBullet"/>
              <w:ind w:left="284"/>
            </w:pPr>
            <w:r w:rsidRPr="00E07B1B">
              <w:t>3</w:t>
            </w:r>
            <w:r>
              <w:t>-</w:t>
            </w:r>
            <w:r w:rsidRPr="00E07B1B">
              <w:t>hour ≥</w:t>
            </w:r>
            <w:r>
              <w:t xml:space="preserve"> </w:t>
            </w:r>
            <w:r w:rsidRPr="00E07B1B">
              <w:t>145</w:t>
            </w:r>
            <w:r>
              <w:t xml:space="preserve"> </w:t>
            </w:r>
            <w:r w:rsidRPr="00E07B1B">
              <w:t>mg</w:t>
            </w:r>
            <w:r>
              <w:t>/dL</w:t>
            </w:r>
            <w:r w:rsidRPr="00E07B1B">
              <w:t>.</w:t>
            </w:r>
          </w:p>
        </w:tc>
        <w:tc>
          <w:tcPr>
            <w:tcW w:w="1555" w:type="pct"/>
            <w:tcBorders>
              <w:top w:val="nil"/>
              <w:bottom w:val="single" w:sz="4" w:space="0" w:color="auto"/>
            </w:tcBorders>
            <w:shd w:val="clear" w:color="auto" w:fill="F2F2F2" w:themeFill="background1" w:themeFillShade="F2"/>
          </w:tcPr>
          <w:p w:rsidR="0068074A" w:rsidRDefault="0025490C" w:rsidP="00E11F9C">
            <w:pPr>
              <w:pStyle w:val="TableText"/>
            </w:pPr>
            <w:r w:rsidRPr="00E07B1B">
              <w:t xml:space="preserve">GDM risk was increased for women who were obese at 18 years </w:t>
            </w:r>
            <w:r>
              <w:t xml:space="preserve">of age </w:t>
            </w:r>
            <w:r w:rsidRPr="00E07B1B">
              <w:t>compared with women of normal weight (RR 4.53, 95%CI 1.25</w:t>
            </w:r>
            <w:r>
              <w:t>–</w:t>
            </w:r>
            <w:r w:rsidRPr="00E07B1B">
              <w:t>16.43).</w:t>
            </w:r>
          </w:p>
          <w:p w:rsidR="0025490C" w:rsidRDefault="0025490C" w:rsidP="00E11F9C">
            <w:pPr>
              <w:pStyle w:val="TableText"/>
            </w:pPr>
            <w:r w:rsidRPr="00E07B1B">
              <w:t>Higher risk among obese women compared with normal weight women (RR 3.25, 95%CI</w:t>
            </w:r>
            <w:r w:rsidR="00637A5A">
              <w:br/>
            </w:r>
            <w:r w:rsidRPr="00E07B1B">
              <w:t>1.85</w:t>
            </w:r>
            <w:r>
              <w:t>–</w:t>
            </w:r>
            <w:r w:rsidRPr="00E07B1B">
              <w:t>5.71). There was no association for overweight women (RR 0.74, 95%CI 0.23</w:t>
            </w:r>
            <w:r>
              <w:t>–</w:t>
            </w:r>
            <w:r w:rsidRPr="00E07B1B">
              <w:t>2.40)</w:t>
            </w:r>
            <w:r w:rsidR="00637A5A">
              <w:t>.</w:t>
            </w:r>
          </w:p>
          <w:p w:rsidR="0025490C" w:rsidRDefault="0025490C" w:rsidP="00E11F9C">
            <w:pPr>
              <w:pStyle w:val="TableText"/>
            </w:pPr>
            <w:r w:rsidRPr="00E07B1B">
              <w:t>For women who gained 10</w:t>
            </w:r>
            <w:r>
              <w:t xml:space="preserve"> </w:t>
            </w:r>
            <w:r w:rsidRPr="00E07B1B">
              <w:t xml:space="preserve">kg or more during adulthood, the risk of developing GDM was increased </w:t>
            </w:r>
            <w:r>
              <w:t>three-fold</w:t>
            </w:r>
            <w:r w:rsidRPr="00E07B1B">
              <w:t xml:space="preserve"> compared with women who had a weight </w:t>
            </w:r>
            <w:r>
              <w:t>gain</w:t>
            </w:r>
            <w:r w:rsidRPr="00E07B1B">
              <w:t xml:space="preserve"> of 2.5</w:t>
            </w:r>
            <w:r>
              <w:t xml:space="preserve"> </w:t>
            </w:r>
            <w:r w:rsidRPr="00E07B1B">
              <w:t>kg or less (RR 3.43, 95%CI 1.60</w:t>
            </w:r>
            <w:r>
              <w:t>–</w:t>
            </w:r>
            <w:r w:rsidRPr="00E07B1B">
              <w:t>7.37). In an adjusted analysis</w:t>
            </w:r>
            <w:r>
              <w:t>,</w:t>
            </w:r>
            <w:r w:rsidRPr="00E07B1B">
              <w:t xml:space="preserve"> a 5</w:t>
            </w:r>
            <w:r>
              <w:t xml:space="preserve"> </w:t>
            </w:r>
            <w:r w:rsidRPr="00E07B1B">
              <w:t>kg gain in weight between age 18 and pregnancy increased the risk of developing GDM by 20%.</w:t>
            </w:r>
          </w:p>
          <w:p w:rsidR="0025490C" w:rsidRPr="00E07B1B" w:rsidRDefault="0025490C" w:rsidP="00E11F9C">
            <w:pPr>
              <w:pStyle w:val="TableText"/>
            </w:pPr>
            <w:r w:rsidRPr="00E07B1B">
              <w:t>Where women had evidence of weight cycling (ie</w:t>
            </w:r>
            <w:r>
              <w:t>,</w:t>
            </w:r>
            <w:r w:rsidRPr="00E07B1B">
              <w:t xml:space="preserve"> losing and then gaining weight), adj</w:t>
            </w:r>
            <w:r>
              <w:t xml:space="preserve"> </w:t>
            </w:r>
            <w:r w:rsidRPr="00E07B1B">
              <w:t>RR 1.46 (95%CI 0.87</w:t>
            </w:r>
            <w:r>
              <w:t>–</w:t>
            </w:r>
            <w:r w:rsidRPr="00E07B1B">
              <w:t>2.43). Risk increased with repeated episodes of weight cycling so that</w:t>
            </w:r>
            <w:r>
              <w:t>,</w:t>
            </w:r>
            <w:r w:rsidRPr="00E07B1B">
              <w:t xml:space="preserve"> for </w:t>
            </w:r>
            <w:r>
              <w:t>three</w:t>
            </w:r>
            <w:r w:rsidRPr="00E07B1B">
              <w:t xml:space="preserve"> or more cycles of weight change</w:t>
            </w:r>
            <w:r>
              <w:t>,</w:t>
            </w:r>
            <w:r w:rsidRPr="00E07B1B">
              <w:t xml:space="preserve"> the RR was 2.04 (95%CI 0.83</w:t>
            </w:r>
            <w:r>
              <w:t>–</w:t>
            </w:r>
            <w:r w:rsidRPr="00E07B1B">
              <w:t>5.02).</w:t>
            </w:r>
          </w:p>
        </w:tc>
        <w:tc>
          <w:tcPr>
            <w:tcW w:w="435" w:type="pct"/>
            <w:tcBorders>
              <w:top w:val="nil"/>
              <w:bottom w:val="single" w:sz="4" w:space="0" w:color="auto"/>
            </w:tcBorders>
            <w:shd w:val="clear" w:color="auto" w:fill="F2F2F2" w:themeFill="background1" w:themeFillShade="F2"/>
          </w:tcPr>
          <w:p w:rsidR="0025490C" w:rsidRPr="00E07B1B" w:rsidRDefault="0025490C" w:rsidP="00F65F1B">
            <w:pPr>
              <w:pStyle w:val="TableText"/>
              <w:jc w:val="center"/>
            </w:pPr>
            <w:r w:rsidRPr="00E07B1B">
              <w:t>LOW</w:t>
            </w:r>
          </w:p>
        </w:tc>
      </w:tr>
    </w:tbl>
    <w:p w:rsidR="0025490C" w:rsidRDefault="0025490C" w:rsidP="0080418E">
      <w:pPr>
        <w:pStyle w:val="Note"/>
        <w:ind w:left="0" w:firstLine="0"/>
      </w:pPr>
      <w:r>
        <w:t xml:space="preserve">Note: </w:t>
      </w:r>
      <w:r w:rsidRPr="00E07B1B">
        <w:t xml:space="preserve">ADA </w:t>
      </w:r>
      <w:r>
        <w:t>=</w:t>
      </w:r>
      <w:r w:rsidRPr="00E07B1B">
        <w:t xml:space="preserve"> American Diabetes Association; ADIPS </w:t>
      </w:r>
      <w:r>
        <w:t>=</w:t>
      </w:r>
      <w:r w:rsidRPr="00E07B1B">
        <w:t xml:space="preserve"> Australasian Diabetes in Pregnancy Study Group; BMI </w:t>
      </w:r>
      <w:r>
        <w:t>=</w:t>
      </w:r>
      <w:r w:rsidRPr="00E07B1B">
        <w:t xml:space="preserve"> body mass index; </w:t>
      </w:r>
      <w:r>
        <w:t xml:space="preserve">CI = confidence interval; </w:t>
      </w:r>
      <w:r w:rsidRPr="00E07B1B">
        <w:t xml:space="preserve">GDM </w:t>
      </w:r>
      <w:r>
        <w:t>=</w:t>
      </w:r>
      <w:r w:rsidRPr="00E07B1B">
        <w:t xml:space="preserve"> </w:t>
      </w:r>
      <w:r>
        <w:t>g</w:t>
      </w:r>
      <w:r w:rsidRPr="00E07B1B">
        <w:t xml:space="preserve">estational diabetes mellitus; IADPSG </w:t>
      </w:r>
      <w:r>
        <w:t>=</w:t>
      </w:r>
      <w:r w:rsidRPr="00E07B1B">
        <w:t xml:space="preserve"> International Association of Diabetes </w:t>
      </w:r>
      <w:r>
        <w:t>and</w:t>
      </w:r>
      <w:r w:rsidRPr="00E07B1B">
        <w:t xml:space="preserve"> Pregnancy Study Group</w:t>
      </w:r>
      <w:r>
        <w:t>s</w:t>
      </w:r>
      <w:r w:rsidRPr="00E07B1B">
        <w:t xml:space="preserve">; IGT </w:t>
      </w:r>
      <w:r>
        <w:t>=</w:t>
      </w:r>
      <w:r w:rsidRPr="00E07B1B">
        <w:t xml:space="preserve"> impaired glucose tolerance; </w:t>
      </w:r>
      <w:r>
        <w:t xml:space="preserve">NS = not significant; </w:t>
      </w:r>
      <w:r w:rsidRPr="00E07B1B">
        <w:t xml:space="preserve">OGCT </w:t>
      </w:r>
      <w:r>
        <w:t>=</w:t>
      </w:r>
      <w:r w:rsidRPr="00E07B1B">
        <w:t xml:space="preserve"> </w:t>
      </w:r>
      <w:r>
        <w:t>o</w:t>
      </w:r>
      <w:r w:rsidRPr="00E07B1B">
        <w:t xml:space="preserve">ral </w:t>
      </w:r>
      <w:r>
        <w:t>g</w:t>
      </w:r>
      <w:r w:rsidRPr="00E07B1B">
        <w:t xml:space="preserve">lucose </w:t>
      </w:r>
      <w:r>
        <w:t>c</w:t>
      </w:r>
      <w:r w:rsidRPr="00E07B1B">
        <w:t xml:space="preserve">hallenge </w:t>
      </w:r>
      <w:r>
        <w:t>t</w:t>
      </w:r>
      <w:r w:rsidRPr="00E07B1B">
        <w:t>est; OGTT</w:t>
      </w:r>
      <w:r>
        <w:t xml:space="preserve">= </w:t>
      </w:r>
      <w:r w:rsidRPr="00E07B1B">
        <w:t>oral glucose tolerance test</w:t>
      </w:r>
      <w:r>
        <w:t>; OR = odds ratio; RR = risk ratio;</w:t>
      </w:r>
      <w:r w:rsidRPr="00E07B1B">
        <w:t xml:space="preserve"> WHO </w:t>
      </w:r>
      <w:r>
        <w:t>=</w:t>
      </w:r>
      <w:r w:rsidRPr="00E07B1B">
        <w:t xml:space="preserve"> World Health Organi</w:t>
      </w:r>
      <w:r>
        <w:t>z</w:t>
      </w:r>
      <w:r w:rsidRPr="00E07B1B">
        <w:t>ation</w:t>
      </w:r>
      <w:r w:rsidR="0080418E">
        <w:t>.</w:t>
      </w:r>
    </w:p>
    <w:p w:rsidR="0080418E" w:rsidRPr="0080418E" w:rsidRDefault="0080418E" w:rsidP="0080418E"/>
    <w:p w:rsidR="0025490C" w:rsidRPr="00E07B1B" w:rsidRDefault="0025490C" w:rsidP="0080418E">
      <w:pPr>
        <w:pStyle w:val="Table"/>
      </w:pPr>
      <w:bookmarkStart w:id="457" w:name="_Toc358366904"/>
      <w:bookmarkStart w:id="458" w:name="_Toc363717784"/>
      <w:bookmarkStart w:id="459" w:name="_Toc403635891"/>
      <w:r w:rsidRPr="00E07B1B">
        <w:t>Table 10</w:t>
      </w:r>
      <w:r w:rsidR="0080418E">
        <w:t>:</w:t>
      </w:r>
      <w:r w:rsidRPr="00E07B1B">
        <w:t xml:space="preserve"> Studies reporting on macrosomia/large for gestational age as a risk factor for developing gestational diabetes</w:t>
      </w:r>
      <w:bookmarkEnd w:id="457"/>
      <w:bookmarkEnd w:id="458"/>
      <w:bookmarkEnd w:id="459"/>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280"/>
        <w:gridCol w:w="1559"/>
        <w:gridCol w:w="1700"/>
        <w:gridCol w:w="4961"/>
        <w:gridCol w:w="3828"/>
        <w:gridCol w:w="1273"/>
      </w:tblGrid>
      <w:tr w:rsidR="004325FD" w:rsidRPr="007B5EEF" w:rsidTr="004325FD">
        <w:trPr>
          <w:cantSplit/>
          <w:tblHeader/>
        </w:trPr>
        <w:tc>
          <w:tcPr>
            <w:tcW w:w="438" w:type="pct"/>
            <w:tcBorders>
              <w:top w:val="single" w:sz="4" w:space="0" w:color="auto"/>
              <w:bottom w:val="single" w:sz="4" w:space="0" w:color="auto"/>
            </w:tcBorders>
            <w:shd w:val="clear" w:color="auto" w:fill="auto"/>
          </w:tcPr>
          <w:p w:rsidR="0025490C" w:rsidRPr="007B5EEF" w:rsidRDefault="0025490C" w:rsidP="00637A5A">
            <w:pPr>
              <w:pStyle w:val="TableText"/>
              <w:keepNext/>
              <w:rPr>
                <w:b/>
              </w:rPr>
            </w:pPr>
            <w:r w:rsidRPr="007B5EEF">
              <w:rPr>
                <w:b/>
              </w:rPr>
              <w:t>Study</w:t>
            </w:r>
          </w:p>
        </w:tc>
        <w:tc>
          <w:tcPr>
            <w:tcW w:w="534" w:type="pct"/>
            <w:tcBorders>
              <w:top w:val="single" w:sz="4" w:space="0" w:color="auto"/>
              <w:bottom w:val="single" w:sz="4" w:space="0" w:color="auto"/>
            </w:tcBorders>
            <w:shd w:val="clear" w:color="auto" w:fill="auto"/>
          </w:tcPr>
          <w:p w:rsidR="0025490C" w:rsidRPr="007B5EEF" w:rsidRDefault="0025490C" w:rsidP="00637A5A">
            <w:pPr>
              <w:pStyle w:val="TableText"/>
              <w:keepNext/>
              <w:rPr>
                <w:b/>
              </w:rPr>
            </w:pPr>
            <w:r w:rsidRPr="007B5EEF">
              <w:rPr>
                <w:b/>
              </w:rPr>
              <w:t>Country and sample size</w:t>
            </w:r>
          </w:p>
        </w:tc>
        <w:tc>
          <w:tcPr>
            <w:tcW w:w="582" w:type="pct"/>
            <w:tcBorders>
              <w:top w:val="single" w:sz="4" w:space="0" w:color="auto"/>
              <w:bottom w:val="single" w:sz="4" w:space="0" w:color="auto"/>
            </w:tcBorders>
            <w:shd w:val="clear" w:color="auto" w:fill="auto"/>
          </w:tcPr>
          <w:p w:rsidR="0025490C" w:rsidRPr="007B5EEF" w:rsidRDefault="0025490C" w:rsidP="00637A5A">
            <w:pPr>
              <w:pStyle w:val="TableText"/>
              <w:keepNext/>
              <w:rPr>
                <w:b/>
              </w:rPr>
            </w:pPr>
            <w:r w:rsidRPr="007B5EEF">
              <w:rPr>
                <w:b/>
              </w:rPr>
              <w:t>Study type</w:t>
            </w:r>
          </w:p>
        </w:tc>
        <w:tc>
          <w:tcPr>
            <w:tcW w:w="1699" w:type="pct"/>
            <w:tcBorders>
              <w:top w:val="single" w:sz="4" w:space="0" w:color="auto"/>
              <w:bottom w:val="single" w:sz="4" w:space="0" w:color="auto"/>
            </w:tcBorders>
            <w:shd w:val="clear" w:color="auto" w:fill="auto"/>
          </w:tcPr>
          <w:p w:rsidR="0025490C" w:rsidRPr="007B5EEF" w:rsidRDefault="0025490C" w:rsidP="004325FD">
            <w:pPr>
              <w:pStyle w:val="TableText"/>
              <w:keepNext/>
              <w:ind w:right="142"/>
              <w:rPr>
                <w:b/>
              </w:rPr>
            </w:pPr>
            <w:r w:rsidRPr="007B5EEF">
              <w:rPr>
                <w:b/>
              </w:rPr>
              <w:t>Screening/diagnostic criteria</w:t>
            </w:r>
          </w:p>
        </w:tc>
        <w:tc>
          <w:tcPr>
            <w:tcW w:w="1311" w:type="pct"/>
            <w:tcBorders>
              <w:top w:val="single" w:sz="4" w:space="0" w:color="auto"/>
              <w:bottom w:val="single" w:sz="4" w:space="0" w:color="auto"/>
            </w:tcBorders>
            <w:shd w:val="clear" w:color="auto" w:fill="auto"/>
          </w:tcPr>
          <w:p w:rsidR="0025490C" w:rsidRPr="007B5EEF" w:rsidRDefault="0025490C" w:rsidP="00637A5A">
            <w:pPr>
              <w:pStyle w:val="TableText"/>
              <w:keepNext/>
              <w:rPr>
                <w:b/>
              </w:rPr>
            </w:pPr>
            <w:r w:rsidRPr="007B5EEF">
              <w:rPr>
                <w:b/>
              </w:rPr>
              <w:t>Main results</w:t>
            </w:r>
          </w:p>
        </w:tc>
        <w:tc>
          <w:tcPr>
            <w:tcW w:w="437" w:type="pct"/>
            <w:tcBorders>
              <w:top w:val="single" w:sz="4" w:space="0" w:color="auto"/>
              <w:bottom w:val="single" w:sz="4" w:space="0" w:color="auto"/>
            </w:tcBorders>
            <w:shd w:val="clear" w:color="auto" w:fill="auto"/>
          </w:tcPr>
          <w:p w:rsidR="0025490C" w:rsidRPr="007B5EEF" w:rsidRDefault="0025490C" w:rsidP="004325FD">
            <w:pPr>
              <w:pStyle w:val="TableText"/>
              <w:keepNext/>
              <w:jc w:val="center"/>
              <w:rPr>
                <w:b/>
              </w:rPr>
            </w:pPr>
            <w:r w:rsidRPr="007B5EEF">
              <w:rPr>
                <w:b/>
              </w:rPr>
              <w:t>Quality of evidence</w:t>
            </w:r>
          </w:p>
        </w:tc>
      </w:tr>
      <w:tr w:rsidR="004325FD" w:rsidRPr="00E07B1B" w:rsidTr="004325FD">
        <w:trPr>
          <w:cantSplit/>
        </w:trPr>
        <w:tc>
          <w:tcPr>
            <w:tcW w:w="438" w:type="pct"/>
            <w:tcBorders>
              <w:top w:val="single" w:sz="4" w:space="0" w:color="auto"/>
              <w:bottom w:val="nil"/>
            </w:tcBorders>
            <w:shd w:val="clear" w:color="auto" w:fill="F2F2F2" w:themeFill="background1" w:themeFillShade="F2"/>
          </w:tcPr>
          <w:p w:rsidR="0025490C" w:rsidRPr="00E07B1B" w:rsidRDefault="0025490C" w:rsidP="00E36057">
            <w:pPr>
              <w:pStyle w:val="TableText"/>
            </w:pPr>
            <w:r w:rsidRPr="00E07B1B">
              <w:t>Nanda</w:t>
            </w:r>
            <w:r w:rsidR="00E36057">
              <w:br/>
            </w:r>
            <w:r w:rsidRPr="00E07B1B">
              <w:t>(2011)</w:t>
            </w:r>
          </w:p>
        </w:tc>
        <w:tc>
          <w:tcPr>
            <w:tcW w:w="534" w:type="pct"/>
            <w:tcBorders>
              <w:top w:val="single" w:sz="4" w:space="0" w:color="auto"/>
              <w:bottom w:val="nil"/>
            </w:tcBorders>
            <w:shd w:val="clear" w:color="auto" w:fill="F2F2F2" w:themeFill="background1" w:themeFillShade="F2"/>
          </w:tcPr>
          <w:p w:rsidR="0025490C" w:rsidRPr="00E07B1B" w:rsidRDefault="0025490C" w:rsidP="00E36057">
            <w:pPr>
              <w:pStyle w:val="TableText"/>
            </w:pPr>
            <w:r w:rsidRPr="00E07B1B">
              <w:t>United Kingdom</w:t>
            </w:r>
            <w:r w:rsidR="00E36057">
              <w:br/>
            </w:r>
            <w:r w:rsidRPr="00E07B1B">
              <w:t>11,464</w:t>
            </w:r>
          </w:p>
        </w:tc>
        <w:tc>
          <w:tcPr>
            <w:tcW w:w="582" w:type="pct"/>
            <w:tcBorders>
              <w:top w:val="single" w:sz="4" w:space="0" w:color="auto"/>
              <w:bottom w:val="nil"/>
            </w:tcBorders>
            <w:shd w:val="clear" w:color="auto" w:fill="F2F2F2" w:themeFill="background1" w:themeFillShade="F2"/>
          </w:tcPr>
          <w:p w:rsidR="0025490C" w:rsidRPr="00E07B1B" w:rsidRDefault="0025490C" w:rsidP="007B5EEF">
            <w:pPr>
              <w:pStyle w:val="TableText"/>
            </w:pPr>
            <w:r w:rsidRPr="00E07B1B">
              <w:t>Prospective cohort</w:t>
            </w:r>
          </w:p>
        </w:tc>
        <w:tc>
          <w:tcPr>
            <w:tcW w:w="1699" w:type="pct"/>
            <w:tcBorders>
              <w:top w:val="single" w:sz="4" w:space="0" w:color="auto"/>
              <w:bottom w:val="nil"/>
            </w:tcBorders>
            <w:shd w:val="clear" w:color="auto" w:fill="F2F2F2" w:themeFill="background1" w:themeFillShade="F2"/>
          </w:tcPr>
          <w:p w:rsidR="0025490C" w:rsidRDefault="0025490C" w:rsidP="004325FD">
            <w:pPr>
              <w:pStyle w:val="TableText"/>
              <w:spacing w:after="30"/>
              <w:ind w:right="142"/>
            </w:pPr>
            <w:r w:rsidRPr="00E07B1B">
              <w:t>Random plasma glucose recorded at 24</w:t>
            </w:r>
            <w:r>
              <w:t>–</w:t>
            </w:r>
            <w:r w:rsidRPr="00E07B1B">
              <w:t>28 weeks</w:t>
            </w:r>
            <w:r>
              <w:t>.</w:t>
            </w:r>
            <w:r w:rsidRPr="00E07B1B">
              <w:t xml:space="preserve"> </w:t>
            </w:r>
            <w:r>
              <w:t>I</w:t>
            </w:r>
            <w:r w:rsidRPr="00E07B1B">
              <w:t>f &gt;</w:t>
            </w:r>
            <w:r>
              <w:t> </w:t>
            </w:r>
            <w:r w:rsidRPr="00E07B1B">
              <w:t>6.7</w:t>
            </w:r>
            <w:r>
              <w:t> </w:t>
            </w:r>
            <w:r w:rsidRPr="00E07B1B">
              <w:t>mmol/L</w:t>
            </w:r>
            <w:r>
              <w:t>,</w:t>
            </w:r>
            <w:r w:rsidRPr="00E07B1B">
              <w:t xml:space="preserve"> then conducted a 75</w:t>
            </w:r>
            <w:r w:rsidR="004325FD">
              <w:t> </w:t>
            </w:r>
            <w:r w:rsidRPr="00E07B1B">
              <w:t xml:space="preserve">g OGTT within </w:t>
            </w:r>
            <w:r>
              <w:t>two</w:t>
            </w:r>
            <w:r w:rsidRPr="00E07B1B">
              <w:t xml:space="preserve"> weeks. GDM diagnosed if</w:t>
            </w:r>
            <w:r>
              <w:t>:</w:t>
            </w:r>
          </w:p>
          <w:p w:rsidR="0068074A" w:rsidRDefault="0025490C" w:rsidP="004325FD">
            <w:pPr>
              <w:pStyle w:val="TableBullet"/>
              <w:spacing w:after="30"/>
              <w:ind w:left="284"/>
            </w:pPr>
            <w:r w:rsidRPr="00E07B1B">
              <w:t>fasting plasma glucose ≥</w:t>
            </w:r>
            <w:r>
              <w:t> </w:t>
            </w:r>
            <w:r w:rsidRPr="00E07B1B">
              <w:t>6</w:t>
            </w:r>
            <w:r>
              <w:t> </w:t>
            </w:r>
            <w:r w:rsidRPr="00E07B1B">
              <w:t>mmol/L or</w:t>
            </w:r>
          </w:p>
          <w:p w:rsidR="0025490C" w:rsidRPr="00E07B1B" w:rsidRDefault="0025490C" w:rsidP="004325FD">
            <w:pPr>
              <w:pStyle w:val="TableBullet"/>
              <w:ind w:left="284"/>
            </w:pPr>
            <w:r w:rsidRPr="00E07B1B">
              <w:t>2</w:t>
            </w:r>
            <w:r>
              <w:t>-</w:t>
            </w:r>
            <w:r w:rsidRPr="00E07B1B">
              <w:t>hour level is ≥</w:t>
            </w:r>
            <w:r>
              <w:t> </w:t>
            </w:r>
            <w:r w:rsidRPr="00E07B1B">
              <w:t>7.8</w:t>
            </w:r>
            <w:r>
              <w:t> </w:t>
            </w:r>
            <w:r w:rsidRPr="00E07B1B">
              <w:t>mmol/L</w:t>
            </w:r>
            <w:r>
              <w:t>.</w:t>
            </w:r>
          </w:p>
        </w:tc>
        <w:tc>
          <w:tcPr>
            <w:tcW w:w="1311" w:type="pct"/>
            <w:tcBorders>
              <w:top w:val="single" w:sz="4" w:space="0" w:color="auto"/>
              <w:bottom w:val="nil"/>
            </w:tcBorders>
            <w:shd w:val="clear" w:color="auto" w:fill="F2F2F2" w:themeFill="background1" w:themeFillShade="F2"/>
          </w:tcPr>
          <w:p w:rsidR="0025490C" w:rsidRPr="00E07B1B" w:rsidRDefault="0025490C" w:rsidP="004325FD">
            <w:pPr>
              <w:pStyle w:val="TableText"/>
            </w:pPr>
            <w:r w:rsidRPr="00E07B1B">
              <w:t>Women with a previous large for gestational age baby were at increased risk for developing GDM (adj OR 1.97, 95%CI</w:t>
            </w:r>
            <w:r w:rsidR="004325FD">
              <w:t xml:space="preserve"> </w:t>
            </w:r>
            <w:r w:rsidRPr="00E07B1B">
              <w:t>1.36</w:t>
            </w:r>
            <w:r>
              <w:t>–</w:t>
            </w:r>
            <w:r w:rsidRPr="00E07B1B">
              <w:t xml:space="preserve">2.84, </w:t>
            </w:r>
            <w:r>
              <w:rPr>
                <w:i/>
              </w:rPr>
              <w:t xml:space="preserve">p </w:t>
            </w:r>
            <w:r w:rsidRPr="00E07B1B">
              <w:t>&lt;</w:t>
            </w:r>
            <w:r>
              <w:t xml:space="preserve"> </w:t>
            </w:r>
            <w:r w:rsidRPr="00E07B1B">
              <w:t>0.0001)</w:t>
            </w:r>
            <w:r>
              <w:t>.</w:t>
            </w:r>
          </w:p>
        </w:tc>
        <w:tc>
          <w:tcPr>
            <w:tcW w:w="437" w:type="pct"/>
            <w:tcBorders>
              <w:top w:val="single" w:sz="4" w:space="0" w:color="auto"/>
              <w:bottom w:val="nil"/>
            </w:tcBorders>
            <w:shd w:val="clear" w:color="auto" w:fill="F2F2F2" w:themeFill="background1" w:themeFillShade="F2"/>
          </w:tcPr>
          <w:p w:rsidR="0025490C" w:rsidRPr="00E07B1B" w:rsidRDefault="0025490C" w:rsidP="004325FD">
            <w:pPr>
              <w:pStyle w:val="TableText"/>
              <w:jc w:val="center"/>
            </w:pPr>
            <w:r w:rsidRPr="00E07B1B">
              <w:t>MEDIUM</w:t>
            </w:r>
          </w:p>
        </w:tc>
      </w:tr>
      <w:tr w:rsidR="004325FD" w:rsidRPr="00E07B1B" w:rsidTr="004325FD">
        <w:trPr>
          <w:cantSplit/>
        </w:trPr>
        <w:tc>
          <w:tcPr>
            <w:tcW w:w="438" w:type="pct"/>
            <w:tcBorders>
              <w:top w:val="nil"/>
              <w:bottom w:val="nil"/>
            </w:tcBorders>
            <w:shd w:val="clear" w:color="auto" w:fill="auto"/>
          </w:tcPr>
          <w:p w:rsidR="0025490C" w:rsidRPr="00E07B1B" w:rsidRDefault="0025490C" w:rsidP="00E36057">
            <w:pPr>
              <w:pStyle w:val="TableText"/>
            </w:pPr>
            <w:r w:rsidRPr="00E07B1B">
              <w:t>Bhat</w:t>
            </w:r>
            <w:r w:rsidR="00E36057">
              <w:br/>
            </w:r>
            <w:r w:rsidRPr="00E07B1B">
              <w:t>(2010)</w:t>
            </w:r>
          </w:p>
        </w:tc>
        <w:tc>
          <w:tcPr>
            <w:tcW w:w="534" w:type="pct"/>
            <w:tcBorders>
              <w:top w:val="nil"/>
              <w:bottom w:val="nil"/>
            </w:tcBorders>
            <w:shd w:val="clear" w:color="auto" w:fill="auto"/>
          </w:tcPr>
          <w:p w:rsidR="0025490C" w:rsidRPr="00E07B1B" w:rsidRDefault="0025490C" w:rsidP="00E36057">
            <w:pPr>
              <w:pStyle w:val="TableText"/>
            </w:pPr>
            <w:r w:rsidRPr="00E07B1B">
              <w:t>India</w:t>
            </w:r>
            <w:r w:rsidR="00E36057">
              <w:br/>
            </w:r>
            <w:r w:rsidRPr="00E07B1B">
              <w:t>300 cases</w:t>
            </w:r>
            <w:r>
              <w:t>,</w:t>
            </w:r>
            <w:r w:rsidRPr="00E07B1B">
              <w:t xml:space="preserve"> 300</w:t>
            </w:r>
            <w:r w:rsidR="00E36057">
              <w:t> </w:t>
            </w:r>
            <w:r w:rsidRPr="00E07B1B">
              <w:t>controls</w:t>
            </w:r>
          </w:p>
        </w:tc>
        <w:tc>
          <w:tcPr>
            <w:tcW w:w="582" w:type="pct"/>
            <w:tcBorders>
              <w:top w:val="nil"/>
              <w:bottom w:val="nil"/>
            </w:tcBorders>
            <w:shd w:val="clear" w:color="auto" w:fill="auto"/>
          </w:tcPr>
          <w:p w:rsidR="0025490C" w:rsidRPr="00E07B1B" w:rsidRDefault="0025490C" w:rsidP="007B5EEF">
            <w:pPr>
              <w:pStyle w:val="TableText"/>
            </w:pPr>
            <w:r w:rsidRPr="00E07B1B">
              <w:t>Case control</w:t>
            </w:r>
          </w:p>
        </w:tc>
        <w:tc>
          <w:tcPr>
            <w:tcW w:w="1699" w:type="pct"/>
            <w:tcBorders>
              <w:top w:val="nil"/>
              <w:bottom w:val="nil"/>
            </w:tcBorders>
            <w:shd w:val="clear" w:color="auto" w:fill="auto"/>
          </w:tcPr>
          <w:p w:rsidR="0025490C" w:rsidRPr="00E07B1B" w:rsidRDefault="0025490C" w:rsidP="004325FD">
            <w:pPr>
              <w:pStyle w:val="TableText"/>
              <w:spacing w:after="30"/>
              <w:ind w:right="142"/>
            </w:pPr>
            <w:r w:rsidRPr="00E07B1B">
              <w:t>50</w:t>
            </w:r>
            <w:r>
              <w:t xml:space="preserve"> </w:t>
            </w:r>
            <w:r w:rsidRPr="00E07B1B">
              <w:t>g</w:t>
            </w:r>
            <w:r>
              <w:t xml:space="preserve"> oral glucose challenge test</w:t>
            </w:r>
            <w:r w:rsidRPr="00E07B1B">
              <w:t xml:space="preserve"> at 24</w:t>
            </w:r>
            <w:r>
              <w:t>–</w:t>
            </w:r>
            <w:r w:rsidRPr="00E07B1B">
              <w:t>28 weeks and 32</w:t>
            </w:r>
            <w:r>
              <w:t>–</w:t>
            </w:r>
            <w:r w:rsidRPr="00E07B1B">
              <w:t xml:space="preserve">34 weeks or </w:t>
            </w:r>
            <w:r>
              <w:t xml:space="preserve">after </w:t>
            </w:r>
            <w:r w:rsidRPr="00E07B1B">
              <w:t>development of risk factors. If &gt;</w:t>
            </w:r>
            <w:r>
              <w:t> </w:t>
            </w:r>
            <w:r w:rsidRPr="00E07B1B">
              <w:t>130</w:t>
            </w:r>
            <w:r>
              <w:t> </w:t>
            </w:r>
            <w:r w:rsidRPr="00E07B1B">
              <w:t>mg</w:t>
            </w:r>
            <w:r>
              <w:t>/dL</w:t>
            </w:r>
            <w:r w:rsidRPr="00E07B1B">
              <w:t xml:space="preserve"> at 1 hour</w:t>
            </w:r>
            <w:r>
              <w:t>,</w:t>
            </w:r>
            <w:r w:rsidRPr="00E07B1B">
              <w:t xml:space="preserve"> GDM confirmed with 100</w:t>
            </w:r>
            <w:r>
              <w:t xml:space="preserve"> </w:t>
            </w:r>
            <w:r w:rsidRPr="00E07B1B">
              <w:t>g OGTT</w:t>
            </w:r>
            <w:r>
              <w:t>, requiring two</w:t>
            </w:r>
            <w:r w:rsidRPr="00E07B1B">
              <w:t xml:space="preserve"> or more abnormal values</w:t>
            </w:r>
            <w:r>
              <w:t xml:space="preserve"> from</w:t>
            </w:r>
            <w:r w:rsidRPr="00E07B1B">
              <w:t>:</w:t>
            </w:r>
          </w:p>
          <w:p w:rsidR="0025490C" w:rsidRDefault="0025490C" w:rsidP="004325FD">
            <w:pPr>
              <w:pStyle w:val="TableBullet"/>
              <w:spacing w:after="30"/>
              <w:ind w:left="284"/>
            </w:pPr>
            <w:r>
              <w:t>f</w:t>
            </w:r>
            <w:r w:rsidRPr="00E07B1B">
              <w:t>asting &gt;</w:t>
            </w:r>
            <w:r>
              <w:t xml:space="preserve"> </w:t>
            </w:r>
            <w:r w:rsidRPr="00E07B1B">
              <w:t>105</w:t>
            </w:r>
            <w:r>
              <w:t xml:space="preserve"> </w:t>
            </w:r>
            <w:r w:rsidRPr="00E07B1B">
              <w:t>mg</w:t>
            </w:r>
            <w:r>
              <w:t>/dL</w:t>
            </w:r>
          </w:p>
          <w:p w:rsidR="0025490C" w:rsidRDefault="0025490C" w:rsidP="004325FD">
            <w:pPr>
              <w:pStyle w:val="TableBullet"/>
              <w:spacing w:after="30"/>
              <w:ind w:left="284"/>
            </w:pPr>
            <w:r w:rsidRPr="00E07B1B">
              <w:t>1-hour &gt;190</w:t>
            </w:r>
            <w:r>
              <w:t xml:space="preserve"> </w:t>
            </w:r>
            <w:r w:rsidRPr="00E07B1B">
              <w:t>mg</w:t>
            </w:r>
            <w:r>
              <w:t>/dL</w:t>
            </w:r>
          </w:p>
          <w:p w:rsidR="0025490C" w:rsidRDefault="0025490C" w:rsidP="004325FD">
            <w:pPr>
              <w:pStyle w:val="TableBullet"/>
              <w:spacing w:after="30"/>
              <w:ind w:left="284"/>
            </w:pPr>
            <w:r w:rsidRPr="00E07B1B">
              <w:t>2-hour &gt;</w:t>
            </w:r>
            <w:r>
              <w:t xml:space="preserve"> </w:t>
            </w:r>
            <w:r w:rsidRPr="00E07B1B">
              <w:t>165</w:t>
            </w:r>
            <w:r>
              <w:t xml:space="preserve"> </w:t>
            </w:r>
            <w:r w:rsidRPr="00E07B1B">
              <w:t>mg</w:t>
            </w:r>
            <w:r>
              <w:t>/dL</w:t>
            </w:r>
          </w:p>
          <w:p w:rsidR="0025490C" w:rsidRPr="00E07B1B" w:rsidRDefault="0025490C" w:rsidP="004325FD">
            <w:pPr>
              <w:pStyle w:val="TableBullet"/>
              <w:ind w:left="284"/>
            </w:pPr>
            <w:r w:rsidRPr="00E07B1B">
              <w:t>3-hour &gt;</w:t>
            </w:r>
            <w:r>
              <w:t xml:space="preserve"> </w:t>
            </w:r>
            <w:r w:rsidRPr="00E07B1B">
              <w:t>145</w:t>
            </w:r>
            <w:r>
              <w:t xml:space="preserve"> </w:t>
            </w:r>
            <w:r w:rsidRPr="00E07B1B">
              <w:t>mg</w:t>
            </w:r>
            <w:r>
              <w:t>/dL</w:t>
            </w:r>
            <w:r w:rsidRPr="00E07B1B">
              <w:t>.</w:t>
            </w:r>
          </w:p>
        </w:tc>
        <w:tc>
          <w:tcPr>
            <w:tcW w:w="1311" w:type="pct"/>
            <w:tcBorders>
              <w:top w:val="nil"/>
              <w:bottom w:val="nil"/>
            </w:tcBorders>
            <w:shd w:val="clear" w:color="auto" w:fill="auto"/>
          </w:tcPr>
          <w:p w:rsidR="0025490C" w:rsidRPr="00E07B1B" w:rsidRDefault="0025490C" w:rsidP="007B5EEF">
            <w:pPr>
              <w:pStyle w:val="TableText"/>
            </w:pPr>
            <w:r w:rsidRPr="00E07B1B">
              <w:t>Adj OR 4.39 (95%CI 1.0</w:t>
            </w:r>
            <w:r>
              <w:t>–</w:t>
            </w:r>
            <w:r w:rsidRPr="00E07B1B">
              <w:t xml:space="preserve">19.1, </w:t>
            </w:r>
            <w:r w:rsidRPr="00411C91">
              <w:rPr>
                <w:i/>
              </w:rPr>
              <w:t>p</w:t>
            </w:r>
            <w:r>
              <w:t> </w:t>
            </w:r>
            <w:r w:rsidRPr="00E07B1B">
              <w:t>=</w:t>
            </w:r>
            <w:r>
              <w:t> </w:t>
            </w:r>
            <w:r w:rsidRPr="00E07B1B">
              <w:t>0.05)</w:t>
            </w:r>
            <w:r w:rsidR="004325FD">
              <w:t>.</w:t>
            </w:r>
          </w:p>
        </w:tc>
        <w:tc>
          <w:tcPr>
            <w:tcW w:w="437" w:type="pct"/>
            <w:tcBorders>
              <w:top w:val="nil"/>
              <w:bottom w:val="nil"/>
            </w:tcBorders>
            <w:shd w:val="clear" w:color="auto" w:fill="auto"/>
          </w:tcPr>
          <w:p w:rsidR="0025490C" w:rsidRPr="00E07B1B" w:rsidRDefault="0025490C" w:rsidP="004325FD">
            <w:pPr>
              <w:pStyle w:val="TableText"/>
              <w:jc w:val="center"/>
            </w:pPr>
            <w:r w:rsidRPr="00E07B1B">
              <w:t>MEDIUM</w:t>
            </w:r>
          </w:p>
        </w:tc>
      </w:tr>
      <w:tr w:rsidR="004325FD" w:rsidRPr="00E07B1B" w:rsidTr="004325FD">
        <w:trPr>
          <w:cantSplit/>
        </w:trPr>
        <w:tc>
          <w:tcPr>
            <w:tcW w:w="438" w:type="pct"/>
            <w:tcBorders>
              <w:top w:val="nil"/>
              <w:bottom w:val="nil"/>
            </w:tcBorders>
            <w:shd w:val="clear" w:color="auto" w:fill="F2F2F2" w:themeFill="background1" w:themeFillShade="F2"/>
          </w:tcPr>
          <w:p w:rsidR="0025490C" w:rsidRPr="00E07B1B" w:rsidRDefault="0025490C" w:rsidP="00E36057">
            <w:pPr>
              <w:pStyle w:val="TableText"/>
            </w:pPr>
            <w:r w:rsidRPr="00E07B1B">
              <w:t>Cypryk</w:t>
            </w:r>
            <w:r w:rsidR="00E36057">
              <w:br/>
            </w:r>
            <w:r w:rsidRPr="00E07B1B">
              <w:t>(2008)</w:t>
            </w:r>
          </w:p>
        </w:tc>
        <w:tc>
          <w:tcPr>
            <w:tcW w:w="534" w:type="pct"/>
            <w:tcBorders>
              <w:top w:val="nil"/>
              <w:bottom w:val="nil"/>
            </w:tcBorders>
            <w:shd w:val="clear" w:color="auto" w:fill="F2F2F2" w:themeFill="background1" w:themeFillShade="F2"/>
          </w:tcPr>
          <w:p w:rsidR="0025490C" w:rsidRPr="00E07B1B" w:rsidRDefault="0025490C" w:rsidP="00E36057">
            <w:pPr>
              <w:pStyle w:val="TableText"/>
            </w:pPr>
            <w:r w:rsidRPr="00E07B1B">
              <w:t>Poland</w:t>
            </w:r>
            <w:r w:rsidR="00E36057">
              <w:br/>
            </w:r>
            <w:r w:rsidRPr="00E07B1B">
              <w:t>1670</w:t>
            </w:r>
          </w:p>
        </w:tc>
        <w:tc>
          <w:tcPr>
            <w:tcW w:w="582" w:type="pct"/>
            <w:tcBorders>
              <w:top w:val="nil"/>
              <w:bottom w:val="nil"/>
            </w:tcBorders>
            <w:shd w:val="clear" w:color="auto" w:fill="F2F2F2" w:themeFill="background1" w:themeFillShade="F2"/>
          </w:tcPr>
          <w:p w:rsidR="0025490C" w:rsidRPr="00E07B1B" w:rsidRDefault="0025490C" w:rsidP="007B5EEF">
            <w:pPr>
              <w:pStyle w:val="TableText"/>
            </w:pPr>
            <w:r w:rsidRPr="00E07B1B">
              <w:t>Cohort</w:t>
            </w:r>
          </w:p>
        </w:tc>
        <w:tc>
          <w:tcPr>
            <w:tcW w:w="1699" w:type="pct"/>
            <w:tcBorders>
              <w:top w:val="nil"/>
              <w:bottom w:val="nil"/>
            </w:tcBorders>
            <w:shd w:val="clear" w:color="auto" w:fill="F2F2F2" w:themeFill="background1" w:themeFillShade="F2"/>
          </w:tcPr>
          <w:p w:rsidR="0025490C" w:rsidRPr="00E07B1B" w:rsidRDefault="0025490C" w:rsidP="004325FD">
            <w:pPr>
              <w:pStyle w:val="TableText"/>
              <w:ind w:right="142"/>
            </w:pPr>
            <w:r w:rsidRPr="00E07B1B">
              <w:t>GDM diagnosed using WHO and Polish Diabetes Association criteria (no other details)</w:t>
            </w:r>
            <w:r>
              <w:t>.</w:t>
            </w:r>
          </w:p>
        </w:tc>
        <w:tc>
          <w:tcPr>
            <w:tcW w:w="1311" w:type="pct"/>
            <w:tcBorders>
              <w:top w:val="nil"/>
              <w:bottom w:val="nil"/>
            </w:tcBorders>
            <w:shd w:val="clear" w:color="auto" w:fill="F2F2F2" w:themeFill="background1" w:themeFillShade="F2"/>
          </w:tcPr>
          <w:p w:rsidR="0025490C" w:rsidRPr="00E07B1B" w:rsidRDefault="0025490C" w:rsidP="007B5EEF">
            <w:pPr>
              <w:pStyle w:val="TableText"/>
            </w:pPr>
            <w:r w:rsidRPr="00E07B1B">
              <w:t>Adj OR 2.72 (95%CI 1.60</w:t>
            </w:r>
            <w:r>
              <w:t>–</w:t>
            </w:r>
            <w:r w:rsidRPr="00E07B1B">
              <w:t>4.65</w:t>
            </w:r>
            <w:r>
              <w:t>,</w:t>
            </w:r>
            <w:r w:rsidRPr="00E07B1B">
              <w:t xml:space="preserve"> </w:t>
            </w:r>
            <w:r w:rsidRPr="002B0699">
              <w:rPr>
                <w:i/>
              </w:rPr>
              <w:t>p</w:t>
            </w:r>
            <w:r>
              <w:t> </w:t>
            </w:r>
            <w:r w:rsidRPr="00E07B1B">
              <w:t>&lt;</w:t>
            </w:r>
            <w:r>
              <w:t> </w:t>
            </w:r>
            <w:r w:rsidRPr="00E07B1B">
              <w:t>0.001)</w:t>
            </w:r>
            <w:r w:rsidR="004325FD">
              <w:t>.</w:t>
            </w:r>
          </w:p>
        </w:tc>
        <w:tc>
          <w:tcPr>
            <w:tcW w:w="437" w:type="pct"/>
            <w:tcBorders>
              <w:top w:val="nil"/>
              <w:bottom w:val="nil"/>
            </w:tcBorders>
            <w:shd w:val="clear" w:color="auto" w:fill="F2F2F2" w:themeFill="background1" w:themeFillShade="F2"/>
          </w:tcPr>
          <w:p w:rsidR="0025490C" w:rsidRPr="00E07B1B" w:rsidRDefault="0025490C" w:rsidP="004325FD">
            <w:pPr>
              <w:pStyle w:val="TableText"/>
              <w:jc w:val="center"/>
            </w:pPr>
            <w:r w:rsidRPr="00E07B1B">
              <w:t>MEDIUM</w:t>
            </w:r>
          </w:p>
        </w:tc>
      </w:tr>
      <w:tr w:rsidR="004325FD" w:rsidRPr="00E07B1B" w:rsidTr="004325FD">
        <w:trPr>
          <w:cantSplit/>
        </w:trPr>
        <w:tc>
          <w:tcPr>
            <w:tcW w:w="438" w:type="pct"/>
            <w:tcBorders>
              <w:top w:val="nil"/>
              <w:bottom w:val="nil"/>
            </w:tcBorders>
            <w:shd w:val="clear" w:color="auto" w:fill="auto"/>
          </w:tcPr>
          <w:p w:rsidR="0025490C" w:rsidRPr="00E07B1B" w:rsidRDefault="0025490C" w:rsidP="00E36057">
            <w:pPr>
              <w:pStyle w:val="TableText"/>
            </w:pPr>
            <w:r w:rsidRPr="00E07B1B">
              <w:t>Hoseini</w:t>
            </w:r>
            <w:r w:rsidR="00E36057">
              <w:br/>
            </w:r>
            <w:r w:rsidRPr="00E07B1B">
              <w:t>(2011)</w:t>
            </w:r>
          </w:p>
        </w:tc>
        <w:tc>
          <w:tcPr>
            <w:tcW w:w="534" w:type="pct"/>
            <w:tcBorders>
              <w:top w:val="nil"/>
              <w:bottom w:val="nil"/>
            </w:tcBorders>
            <w:shd w:val="clear" w:color="auto" w:fill="auto"/>
          </w:tcPr>
          <w:p w:rsidR="0025490C" w:rsidRPr="00E07B1B" w:rsidRDefault="0025490C" w:rsidP="00E36057">
            <w:pPr>
              <w:pStyle w:val="TableText"/>
            </w:pPr>
            <w:r w:rsidRPr="00E07B1B">
              <w:t>Iran</w:t>
            </w:r>
            <w:r w:rsidR="00E36057">
              <w:br/>
            </w:r>
            <w:r w:rsidRPr="00E07B1B">
              <w:t>227</w:t>
            </w:r>
          </w:p>
        </w:tc>
        <w:tc>
          <w:tcPr>
            <w:tcW w:w="582" w:type="pct"/>
            <w:tcBorders>
              <w:top w:val="nil"/>
              <w:bottom w:val="nil"/>
            </w:tcBorders>
            <w:shd w:val="clear" w:color="auto" w:fill="auto"/>
          </w:tcPr>
          <w:p w:rsidR="0025490C" w:rsidRPr="00E07B1B" w:rsidRDefault="0025490C" w:rsidP="00E36057">
            <w:pPr>
              <w:pStyle w:val="TableText"/>
            </w:pPr>
            <w:r w:rsidRPr="00E07B1B">
              <w:t>Retrospective cross</w:t>
            </w:r>
            <w:r>
              <w:t>-</w:t>
            </w:r>
            <w:r w:rsidRPr="00E07B1B">
              <w:t>sectional</w:t>
            </w:r>
          </w:p>
        </w:tc>
        <w:tc>
          <w:tcPr>
            <w:tcW w:w="1699" w:type="pct"/>
            <w:tcBorders>
              <w:top w:val="nil"/>
              <w:bottom w:val="nil"/>
            </w:tcBorders>
            <w:shd w:val="clear" w:color="auto" w:fill="auto"/>
          </w:tcPr>
          <w:p w:rsidR="0025490C" w:rsidRDefault="0025490C" w:rsidP="004325FD">
            <w:pPr>
              <w:pStyle w:val="TableText"/>
              <w:ind w:right="142"/>
            </w:pPr>
            <w:r w:rsidRPr="00E07B1B">
              <w:t>50</w:t>
            </w:r>
            <w:r>
              <w:t xml:space="preserve"> </w:t>
            </w:r>
            <w:r w:rsidRPr="00E07B1B">
              <w:t>g</w:t>
            </w:r>
            <w:r>
              <w:t>,</w:t>
            </w:r>
            <w:r w:rsidRPr="00E07B1B">
              <w:t xml:space="preserve"> 1</w:t>
            </w:r>
            <w:r>
              <w:t>-</w:t>
            </w:r>
            <w:r w:rsidRPr="00E07B1B">
              <w:t xml:space="preserve">hour </w:t>
            </w:r>
            <w:r>
              <w:t>oral g</w:t>
            </w:r>
            <w:r w:rsidRPr="00E07B1B">
              <w:t xml:space="preserve">lucose </w:t>
            </w:r>
            <w:r>
              <w:t>c</w:t>
            </w:r>
            <w:r w:rsidRPr="00E07B1B">
              <w:t xml:space="preserve">hallenge </w:t>
            </w:r>
            <w:r>
              <w:t>t</w:t>
            </w:r>
            <w:r w:rsidRPr="00E07B1B">
              <w:t>est</w:t>
            </w:r>
          </w:p>
          <w:p w:rsidR="0025490C" w:rsidRPr="00E07B1B" w:rsidRDefault="0025490C" w:rsidP="004325FD">
            <w:pPr>
              <w:pStyle w:val="TableText"/>
              <w:spacing w:after="30"/>
              <w:ind w:right="142"/>
            </w:pPr>
            <w:r w:rsidRPr="00E07B1B">
              <w:t>If &gt;</w:t>
            </w:r>
            <w:r>
              <w:t xml:space="preserve"> </w:t>
            </w:r>
            <w:r w:rsidRPr="00E07B1B">
              <w:t>140</w:t>
            </w:r>
            <w:r>
              <w:t xml:space="preserve"> </w:t>
            </w:r>
            <w:r w:rsidRPr="00E07B1B">
              <w:t>mg</w:t>
            </w:r>
            <w:r>
              <w:t>/dL</w:t>
            </w:r>
            <w:r w:rsidRPr="00E07B1B">
              <w:t xml:space="preserve"> then a 100</w:t>
            </w:r>
            <w:r>
              <w:t xml:space="preserve"> </w:t>
            </w:r>
            <w:r w:rsidRPr="00E07B1B">
              <w:t>g</w:t>
            </w:r>
            <w:r>
              <w:t>,</w:t>
            </w:r>
            <w:r w:rsidRPr="00E07B1B">
              <w:t xml:space="preserve"> 3</w:t>
            </w:r>
            <w:r>
              <w:noBreakHyphen/>
            </w:r>
            <w:r w:rsidRPr="00E07B1B">
              <w:t>hour OGTT</w:t>
            </w:r>
            <w:r>
              <w:t>,</w:t>
            </w:r>
            <w:r w:rsidRPr="00E07B1B">
              <w:t xml:space="preserve"> with </w:t>
            </w:r>
            <w:r>
              <w:t>two</w:t>
            </w:r>
            <w:r w:rsidRPr="00E07B1B">
              <w:t xml:space="preserve"> or more abnormal readings</w:t>
            </w:r>
            <w:r>
              <w:t xml:space="preserve"> required from:</w:t>
            </w:r>
          </w:p>
          <w:p w:rsidR="0025490C" w:rsidRPr="00E07B1B" w:rsidRDefault="0025490C" w:rsidP="004325FD">
            <w:pPr>
              <w:pStyle w:val="TableBullet"/>
              <w:spacing w:after="30"/>
              <w:ind w:left="284"/>
            </w:pPr>
            <w:r>
              <w:t>f</w:t>
            </w:r>
            <w:r w:rsidRPr="00E07B1B">
              <w:t>asting &gt;</w:t>
            </w:r>
            <w:r>
              <w:t xml:space="preserve"> </w:t>
            </w:r>
            <w:r w:rsidRPr="00E07B1B">
              <w:t>95</w:t>
            </w:r>
            <w:r>
              <w:t xml:space="preserve"> </w:t>
            </w:r>
            <w:r w:rsidRPr="00E07B1B">
              <w:t>mg</w:t>
            </w:r>
            <w:r>
              <w:t>/dL</w:t>
            </w:r>
          </w:p>
          <w:p w:rsidR="0025490C" w:rsidRPr="00E07B1B" w:rsidRDefault="0025490C" w:rsidP="004325FD">
            <w:pPr>
              <w:pStyle w:val="TableBullet"/>
              <w:spacing w:after="30"/>
              <w:ind w:left="284"/>
            </w:pPr>
            <w:r w:rsidRPr="00E07B1B">
              <w:t>1</w:t>
            </w:r>
            <w:r>
              <w:t>-</w:t>
            </w:r>
            <w:r w:rsidRPr="00E07B1B">
              <w:t>hour &gt;</w:t>
            </w:r>
            <w:r>
              <w:t xml:space="preserve"> </w:t>
            </w:r>
            <w:r w:rsidRPr="00E07B1B">
              <w:t>180</w:t>
            </w:r>
            <w:r>
              <w:t xml:space="preserve"> </w:t>
            </w:r>
            <w:r w:rsidRPr="00E07B1B">
              <w:t>mg</w:t>
            </w:r>
            <w:r>
              <w:t>/dL</w:t>
            </w:r>
          </w:p>
          <w:p w:rsidR="0025490C" w:rsidRPr="00E07B1B" w:rsidRDefault="0025490C" w:rsidP="004325FD">
            <w:pPr>
              <w:pStyle w:val="TableBullet"/>
              <w:spacing w:after="30"/>
              <w:ind w:left="284"/>
            </w:pPr>
            <w:r w:rsidRPr="00E07B1B">
              <w:t>2</w:t>
            </w:r>
            <w:r>
              <w:t>-</w:t>
            </w:r>
            <w:r w:rsidRPr="00E07B1B">
              <w:t>hour</w:t>
            </w:r>
            <w:r>
              <w:t xml:space="preserve"> </w:t>
            </w:r>
            <w:r w:rsidRPr="00E07B1B">
              <w:t>&gt; 155</w:t>
            </w:r>
            <w:r>
              <w:t xml:space="preserve"> </w:t>
            </w:r>
            <w:r w:rsidRPr="00E07B1B">
              <w:t>mg</w:t>
            </w:r>
            <w:r>
              <w:t>/dL</w:t>
            </w:r>
          </w:p>
          <w:p w:rsidR="0025490C" w:rsidRPr="00E07B1B" w:rsidRDefault="0025490C" w:rsidP="004325FD">
            <w:pPr>
              <w:pStyle w:val="TableBullet"/>
              <w:ind w:left="284"/>
            </w:pPr>
            <w:r w:rsidRPr="00E07B1B">
              <w:t>3</w:t>
            </w:r>
            <w:r>
              <w:t>-</w:t>
            </w:r>
            <w:r w:rsidRPr="00E07B1B">
              <w:t>hour &gt; 140</w:t>
            </w:r>
            <w:r>
              <w:t xml:space="preserve"> </w:t>
            </w:r>
            <w:r w:rsidRPr="00E07B1B">
              <w:t>mg</w:t>
            </w:r>
            <w:r>
              <w:t>/dL.</w:t>
            </w:r>
          </w:p>
        </w:tc>
        <w:tc>
          <w:tcPr>
            <w:tcW w:w="1311" w:type="pct"/>
            <w:tcBorders>
              <w:top w:val="nil"/>
              <w:bottom w:val="nil"/>
            </w:tcBorders>
            <w:shd w:val="clear" w:color="auto" w:fill="auto"/>
          </w:tcPr>
          <w:p w:rsidR="0025490C" w:rsidRPr="00E07B1B" w:rsidRDefault="0025490C" w:rsidP="004325FD">
            <w:pPr>
              <w:pStyle w:val="TableText"/>
            </w:pPr>
            <w:r w:rsidRPr="00E07B1B">
              <w:t>Women with a previous neonate weighing &gt;</w:t>
            </w:r>
            <w:r w:rsidR="004325FD">
              <w:t> </w:t>
            </w:r>
            <w:r w:rsidRPr="00E07B1B">
              <w:t>3800</w:t>
            </w:r>
            <w:r w:rsidR="004325FD">
              <w:t> </w:t>
            </w:r>
            <w:r w:rsidRPr="00E07B1B">
              <w:t xml:space="preserve">g were </w:t>
            </w:r>
            <w:r>
              <w:t>at a higher risk of GDM (OR 9.6</w:t>
            </w:r>
            <w:r w:rsidRPr="00E07B1B">
              <w:t xml:space="preserve">; 95%CI </w:t>
            </w:r>
            <w:r>
              <w:t>not reported</w:t>
            </w:r>
            <w:r w:rsidRPr="00E07B1B">
              <w:t xml:space="preserve">, </w:t>
            </w:r>
            <w:r w:rsidRPr="002B0699">
              <w:rPr>
                <w:i/>
              </w:rPr>
              <w:t>p</w:t>
            </w:r>
            <w:r>
              <w:t> </w:t>
            </w:r>
            <w:r w:rsidRPr="00E07B1B">
              <w:t>&lt;</w:t>
            </w:r>
            <w:r>
              <w:t> </w:t>
            </w:r>
            <w:r w:rsidRPr="00E07B1B">
              <w:t>0.001)</w:t>
            </w:r>
            <w:r>
              <w:t>.</w:t>
            </w:r>
          </w:p>
        </w:tc>
        <w:tc>
          <w:tcPr>
            <w:tcW w:w="437" w:type="pct"/>
            <w:tcBorders>
              <w:top w:val="nil"/>
              <w:bottom w:val="nil"/>
            </w:tcBorders>
            <w:shd w:val="clear" w:color="auto" w:fill="auto"/>
          </w:tcPr>
          <w:p w:rsidR="0025490C" w:rsidRPr="00E07B1B" w:rsidRDefault="0025490C" w:rsidP="004325FD">
            <w:pPr>
              <w:pStyle w:val="TableText"/>
              <w:jc w:val="center"/>
            </w:pPr>
            <w:r w:rsidRPr="00E07B1B">
              <w:t>LOW</w:t>
            </w:r>
          </w:p>
        </w:tc>
      </w:tr>
      <w:tr w:rsidR="004325FD" w:rsidRPr="00E07B1B" w:rsidTr="004325FD">
        <w:trPr>
          <w:cantSplit/>
        </w:trPr>
        <w:tc>
          <w:tcPr>
            <w:tcW w:w="438" w:type="pct"/>
            <w:tcBorders>
              <w:top w:val="nil"/>
              <w:bottom w:val="nil"/>
            </w:tcBorders>
            <w:shd w:val="clear" w:color="auto" w:fill="F2F2F2" w:themeFill="background1" w:themeFillShade="F2"/>
          </w:tcPr>
          <w:p w:rsidR="0025490C" w:rsidRPr="00E07B1B" w:rsidRDefault="0025490C" w:rsidP="00BC72FE">
            <w:pPr>
              <w:pStyle w:val="TableText"/>
            </w:pPr>
            <w:r w:rsidRPr="00E07B1B">
              <w:t>Ogonowski</w:t>
            </w:r>
            <w:r w:rsidR="00BC72FE">
              <w:br/>
            </w:r>
            <w:r w:rsidRPr="00E07B1B">
              <w:t>(2010)</w:t>
            </w:r>
          </w:p>
        </w:tc>
        <w:tc>
          <w:tcPr>
            <w:tcW w:w="534" w:type="pct"/>
            <w:tcBorders>
              <w:top w:val="nil"/>
              <w:bottom w:val="nil"/>
            </w:tcBorders>
            <w:shd w:val="clear" w:color="auto" w:fill="F2F2F2" w:themeFill="background1" w:themeFillShade="F2"/>
          </w:tcPr>
          <w:p w:rsidR="0025490C" w:rsidRPr="00E07B1B" w:rsidRDefault="0025490C" w:rsidP="00BC72FE">
            <w:pPr>
              <w:pStyle w:val="TableText"/>
            </w:pPr>
            <w:r w:rsidRPr="00E07B1B">
              <w:t>Poland</w:t>
            </w:r>
            <w:r w:rsidR="00BC72FE">
              <w:br/>
            </w:r>
            <w:r w:rsidRPr="00E07B1B">
              <w:t>1414 cases</w:t>
            </w:r>
            <w:r>
              <w:t>,</w:t>
            </w:r>
            <w:r w:rsidRPr="00E07B1B">
              <w:t xml:space="preserve"> 1011</w:t>
            </w:r>
            <w:r w:rsidR="00BC72FE">
              <w:t> </w:t>
            </w:r>
            <w:r w:rsidRPr="00E07B1B">
              <w:t>controls</w:t>
            </w:r>
          </w:p>
        </w:tc>
        <w:tc>
          <w:tcPr>
            <w:tcW w:w="582" w:type="pct"/>
            <w:tcBorders>
              <w:top w:val="nil"/>
              <w:bottom w:val="nil"/>
            </w:tcBorders>
            <w:shd w:val="clear" w:color="auto" w:fill="F2F2F2" w:themeFill="background1" w:themeFillShade="F2"/>
          </w:tcPr>
          <w:p w:rsidR="0025490C" w:rsidRPr="00E07B1B" w:rsidRDefault="0025490C" w:rsidP="007B5EEF">
            <w:pPr>
              <w:pStyle w:val="TableText"/>
            </w:pPr>
            <w:r w:rsidRPr="00E07B1B">
              <w:t>Retrospective case control</w:t>
            </w:r>
          </w:p>
        </w:tc>
        <w:tc>
          <w:tcPr>
            <w:tcW w:w="1699" w:type="pct"/>
            <w:tcBorders>
              <w:top w:val="nil"/>
              <w:bottom w:val="nil"/>
            </w:tcBorders>
            <w:shd w:val="clear" w:color="auto" w:fill="F2F2F2" w:themeFill="background1" w:themeFillShade="F2"/>
          </w:tcPr>
          <w:p w:rsidR="0068074A" w:rsidRDefault="0025490C" w:rsidP="004325FD">
            <w:pPr>
              <w:pStyle w:val="TableText"/>
              <w:ind w:right="142"/>
            </w:pPr>
            <w:r w:rsidRPr="00E07B1B">
              <w:t>OGCT of 50</w:t>
            </w:r>
            <w:r>
              <w:t xml:space="preserve"> </w:t>
            </w:r>
            <w:r w:rsidRPr="00E07B1B">
              <w:t>g</w:t>
            </w:r>
          </w:p>
          <w:p w:rsidR="0025490C" w:rsidRPr="00E07B1B" w:rsidRDefault="0025490C" w:rsidP="00BC72FE">
            <w:pPr>
              <w:pStyle w:val="TableText"/>
              <w:spacing w:after="30"/>
              <w:ind w:right="142"/>
            </w:pPr>
            <w:r w:rsidRPr="00E07B1B">
              <w:t>If &gt;</w:t>
            </w:r>
            <w:r>
              <w:t xml:space="preserve"> </w:t>
            </w:r>
            <w:r w:rsidRPr="00E07B1B">
              <w:t>180</w:t>
            </w:r>
            <w:r>
              <w:t xml:space="preserve"> </w:t>
            </w:r>
            <w:r w:rsidRPr="00E07B1B">
              <w:t>mg</w:t>
            </w:r>
            <w:r>
              <w:t>/dL</w:t>
            </w:r>
            <w:r w:rsidRPr="00E07B1B">
              <w:t xml:space="preserve"> (10</w:t>
            </w:r>
            <w:r>
              <w:t xml:space="preserve"> </w:t>
            </w:r>
            <w:r w:rsidRPr="00E07B1B">
              <w:t>mmol</w:t>
            </w:r>
            <w:r>
              <w:t>/L</w:t>
            </w:r>
            <w:r w:rsidRPr="00E07B1B">
              <w:t>)</w:t>
            </w:r>
            <w:r>
              <w:t>,</w:t>
            </w:r>
            <w:r w:rsidRPr="00E07B1B">
              <w:t xml:space="preserve"> then diagnosed as GDM.</w:t>
            </w:r>
            <w:r>
              <w:t xml:space="preserve"> </w:t>
            </w:r>
            <w:r w:rsidRPr="00E07B1B">
              <w:t>If 140</w:t>
            </w:r>
            <w:r>
              <w:t>–</w:t>
            </w:r>
            <w:r w:rsidRPr="00E07B1B">
              <w:t>180</w:t>
            </w:r>
            <w:r>
              <w:t xml:space="preserve"> </w:t>
            </w:r>
            <w:r w:rsidRPr="00E07B1B">
              <w:t>mg</w:t>
            </w:r>
            <w:r>
              <w:t>/dL,</w:t>
            </w:r>
            <w:r w:rsidRPr="00E07B1B">
              <w:t xml:space="preserve"> then a 75</w:t>
            </w:r>
            <w:r>
              <w:t xml:space="preserve"> </w:t>
            </w:r>
            <w:r w:rsidRPr="00E07B1B">
              <w:t>g OGTT using the WHO criteria:</w:t>
            </w:r>
          </w:p>
          <w:p w:rsidR="0025490C" w:rsidRPr="00E07B1B" w:rsidRDefault="0025490C" w:rsidP="00BC72FE">
            <w:pPr>
              <w:pStyle w:val="TableBullet"/>
              <w:spacing w:after="30"/>
              <w:ind w:left="284"/>
            </w:pPr>
            <w:r>
              <w:t>f</w:t>
            </w:r>
            <w:r w:rsidRPr="00E07B1B">
              <w:t>asting ≥</w:t>
            </w:r>
            <w:r>
              <w:t xml:space="preserve"> </w:t>
            </w:r>
            <w:r w:rsidRPr="00E07B1B">
              <w:t>110</w:t>
            </w:r>
            <w:r>
              <w:t xml:space="preserve"> </w:t>
            </w:r>
            <w:r w:rsidRPr="00E07B1B">
              <w:t>mg</w:t>
            </w:r>
            <w:r>
              <w:t>/dL</w:t>
            </w:r>
            <w:r w:rsidRPr="00E07B1B">
              <w:t xml:space="preserve"> (6.1</w:t>
            </w:r>
            <w:r>
              <w:t xml:space="preserve"> </w:t>
            </w:r>
            <w:r w:rsidRPr="00E07B1B">
              <w:t>mmol</w:t>
            </w:r>
            <w:r>
              <w:t>/L</w:t>
            </w:r>
            <w:r w:rsidRPr="00E07B1B">
              <w:t>)</w:t>
            </w:r>
          </w:p>
          <w:p w:rsidR="0025490C" w:rsidRPr="00E07B1B" w:rsidRDefault="0025490C" w:rsidP="00BC72FE">
            <w:pPr>
              <w:pStyle w:val="TableBullet"/>
              <w:ind w:left="284"/>
            </w:pPr>
            <w:r w:rsidRPr="00E07B1B">
              <w:t>2</w:t>
            </w:r>
            <w:r>
              <w:t>-</w:t>
            </w:r>
            <w:r w:rsidRPr="00E07B1B">
              <w:t>hour ≥ 140 mg</w:t>
            </w:r>
            <w:r>
              <w:t>/dL</w:t>
            </w:r>
            <w:r w:rsidRPr="00E07B1B">
              <w:t xml:space="preserve"> (7.8</w:t>
            </w:r>
            <w:r>
              <w:t xml:space="preserve"> </w:t>
            </w:r>
            <w:r w:rsidRPr="00E07B1B">
              <w:t>mmol</w:t>
            </w:r>
            <w:r>
              <w:t>/L</w:t>
            </w:r>
            <w:r w:rsidRPr="00E07B1B">
              <w:t>)</w:t>
            </w:r>
            <w:r>
              <w:t>.</w:t>
            </w:r>
          </w:p>
          <w:p w:rsidR="0025490C" w:rsidRPr="00E07B1B" w:rsidRDefault="0025490C" w:rsidP="00BC72FE">
            <w:pPr>
              <w:pStyle w:val="TableText"/>
              <w:spacing w:after="30"/>
              <w:ind w:right="142"/>
            </w:pPr>
            <w:r>
              <w:t>Also used</w:t>
            </w:r>
            <w:r w:rsidRPr="00E07B1B">
              <w:t xml:space="preserve"> the ADA criteria where </w:t>
            </w:r>
            <w:r>
              <w:t>two</w:t>
            </w:r>
            <w:r w:rsidRPr="00E07B1B">
              <w:t xml:space="preserve"> abnormal values are required</w:t>
            </w:r>
            <w:r>
              <w:t xml:space="preserve"> from</w:t>
            </w:r>
            <w:r w:rsidRPr="00E07B1B">
              <w:t>:</w:t>
            </w:r>
          </w:p>
          <w:p w:rsidR="0025490C" w:rsidRPr="00E07B1B" w:rsidRDefault="0025490C" w:rsidP="00BC72FE">
            <w:pPr>
              <w:pStyle w:val="TableBullet"/>
              <w:spacing w:after="30"/>
              <w:ind w:left="284"/>
            </w:pPr>
            <w:r>
              <w:t>f</w:t>
            </w:r>
            <w:r w:rsidRPr="00E07B1B">
              <w:t>asting ≥</w:t>
            </w:r>
            <w:r>
              <w:t> </w:t>
            </w:r>
            <w:r w:rsidRPr="00E07B1B">
              <w:t>95</w:t>
            </w:r>
            <w:r>
              <w:t> </w:t>
            </w:r>
            <w:r w:rsidRPr="00E07B1B">
              <w:t>mg</w:t>
            </w:r>
            <w:r>
              <w:t xml:space="preserve">/dL </w:t>
            </w:r>
            <w:r w:rsidRPr="00E07B1B">
              <w:t>(5.3</w:t>
            </w:r>
            <w:r>
              <w:t> </w:t>
            </w:r>
            <w:r w:rsidRPr="00E07B1B">
              <w:t>mmol</w:t>
            </w:r>
            <w:r>
              <w:t>/L</w:t>
            </w:r>
            <w:r w:rsidRPr="00E07B1B">
              <w:t>)</w:t>
            </w:r>
          </w:p>
          <w:p w:rsidR="0025490C" w:rsidRPr="00E07B1B" w:rsidRDefault="0025490C" w:rsidP="00BC72FE">
            <w:pPr>
              <w:pStyle w:val="TableBullet"/>
              <w:spacing w:after="30"/>
              <w:ind w:left="284"/>
            </w:pPr>
            <w:r w:rsidRPr="00E07B1B">
              <w:t>1 hour ≥</w:t>
            </w:r>
            <w:r>
              <w:t xml:space="preserve"> </w:t>
            </w:r>
            <w:r w:rsidRPr="00E07B1B">
              <w:t>180</w:t>
            </w:r>
            <w:r>
              <w:t> </w:t>
            </w:r>
            <w:r w:rsidRPr="00E07B1B">
              <w:t>mg</w:t>
            </w:r>
            <w:r>
              <w:t>/dL</w:t>
            </w:r>
            <w:r w:rsidRPr="00E07B1B">
              <w:t xml:space="preserve"> (10.0</w:t>
            </w:r>
            <w:r>
              <w:t> </w:t>
            </w:r>
            <w:r w:rsidRPr="00E07B1B">
              <w:t>mmol</w:t>
            </w:r>
            <w:r>
              <w:t>/L)</w:t>
            </w:r>
          </w:p>
          <w:p w:rsidR="0025490C" w:rsidRPr="00E07B1B" w:rsidRDefault="0025490C" w:rsidP="00BC72FE">
            <w:pPr>
              <w:pStyle w:val="TableBullet"/>
              <w:ind w:left="284"/>
            </w:pPr>
            <w:r w:rsidRPr="00E07B1B">
              <w:t>2 hour ≥</w:t>
            </w:r>
            <w:r>
              <w:t xml:space="preserve"> </w:t>
            </w:r>
            <w:r w:rsidRPr="00E07B1B">
              <w:t>155</w:t>
            </w:r>
            <w:r>
              <w:t xml:space="preserve"> </w:t>
            </w:r>
            <w:r w:rsidRPr="00E07B1B">
              <w:t>mg</w:t>
            </w:r>
            <w:r>
              <w:t>/dL</w:t>
            </w:r>
            <w:r w:rsidRPr="00E07B1B">
              <w:t xml:space="preserve"> (8.6</w:t>
            </w:r>
            <w:r>
              <w:t> </w:t>
            </w:r>
            <w:r w:rsidRPr="00E07B1B">
              <w:t>mmol</w:t>
            </w:r>
            <w:r>
              <w:t>/L</w:t>
            </w:r>
            <w:r w:rsidRPr="00E07B1B">
              <w:t>)</w:t>
            </w:r>
            <w:r>
              <w:t>.</w:t>
            </w:r>
          </w:p>
        </w:tc>
        <w:tc>
          <w:tcPr>
            <w:tcW w:w="1311" w:type="pct"/>
            <w:tcBorders>
              <w:top w:val="nil"/>
              <w:bottom w:val="nil"/>
            </w:tcBorders>
            <w:shd w:val="clear" w:color="auto" w:fill="F2F2F2" w:themeFill="background1" w:themeFillShade="F2"/>
          </w:tcPr>
          <w:p w:rsidR="0025490C" w:rsidRPr="00E07B1B" w:rsidRDefault="0025490C" w:rsidP="007B5EEF">
            <w:pPr>
              <w:pStyle w:val="TableText"/>
            </w:pPr>
            <w:r w:rsidRPr="00E07B1B">
              <w:t>OR 1.52 (95%CI 1.03</w:t>
            </w:r>
            <w:r>
              <w:t>–</w:t>
            </w:r>
            <w:r w:rsidRPr="00E07B1B">
              <w:t xml:space="preserve">2.23, </w:t>
            </w:r>
            <w:r w:rsidRPr="002B0699">
              <w:rPr>
                <w:i/>
              </w:rPr>
              <w:t>p</w:t>
            </w:r>
            <w:r>
              <w:t xml:space="preserve"> </w:t>
            </w:r>
            <w:r w:rsidRPr="00E07B1B">
              <w:t>=</w:t>
            </w:r>
            <w:r>
              <w:t xml:space="preserve"> </w:t>
            </w:r>
            <w:r w:rsidRPr="00E07B1B">
              <w:t>0.004)</w:t>
            </w:r>
          </w:p>
        </w:tc>
        <w:tc>
          <w:tcPr>
            <w:tcW w:w="437" w:type="pct"/>
            <w:tcBorders>
              <w:top w:val="nil"/>
              <w:bottom w:val="nil"/>
            </w:tcBorders>
            <w:shd w:val="clear" w:color="auto" w:fill="F2F2F2" w:themeFill="background1" w:themeFillShade="F2"/>
          </w:tcPr>
          <w:p w:rsidR="0025490C" w:rsidRPr="00E07B1B" w:rsidRDefault="0025490C" w:rsidP="004325FD">
            <w:pPr>
              <w:pStyle w:val="TableText"/>
              <w:jc w:val="center"/>
            </w:pPr>
            <w:r w:rsidRPr="00E07B1B">
              <w:t>MEDIUM</w:t>
            </w:r>
          </w:p>
        </w:tc>
      </w:tr>
      <w:tr w:rsidR="004325FD" w:rsidRPr="00E07B1B" w:rsidTr="004325FD">
        <w:trPr>
          <w:cantSplit/>
        </w:trPr>
        <w:tc>
          <w:tcPr>
            <w:tcW w:w="438" w:type="pct"/>
            <w:tcBorders>
              <w:top w:val="nil"/>
            </w:tcBorders>
            <w:shd w:val="clear" w:color="auto" w:fill="auto"/>
          </w:tcPr>
          <w:p w:rsidR="0025490C" w:rsidRPr="00E07B1B" w:rsidRDefault="0025490C" w:rsidP="00BC72FE">
            <w:pPr>
              <w:pStyle w:val="TableText"/>
            </w:pPr>
            <w:r w:rsidRPr="00E07B1B">
              <w:t>Hossein-Nezhad</w:t>
            </w:r>
            <w:r w:rsidR="00BC72FE">
              <w:br/>
            </w:r>
            <w:r w:rsidRPr="00E07B1B">
              <w:t>(2007)</w:t>
            </w:r>
          </w:p>
        </w:tc>
        <w:tc>
          <w:tcPr>
            <w:tcW w:w="534" w:type="pct"/>
            <w:tcBorders>
              <w:top w:val="nil"/>
            </w:tcBorders>
            <w:shd w:val="clear" w:color="auto" w:fill="auto"/>
          </w:tcPr>
          <w:p w:rsidR="0025490C" w:rsidRPr="00E07B1B" w:rsidRDefault="0025490C" w:rsidP="00BC72FE">
            <w:pPr>
              <w:pStyle w:val="TableText"/>
            </w:pPr>
            <w:r w:rsidRPr="00E07B1B">
              <w:t>Iran</w:t>
            </w:r>
            <w:r w:rsidR="00BC72FE">
              <w:br/>
            </w:r>
            <w:r w:rsidRPr="00E07B1B">
              <w:t>2416</w:t>
            </w:r>
          </w:p>
        </w:tc>
        <w:tc>
          <w:tcPr>
            <w:tcW w:w="582" w:type="pct"/>
            <w:tcBorders>
              <w:top w:val="nil"/>
            </w:tcBorders>
            <w:shd w:val="clear" w:color="auto" w:fill="auto"/>
          </w:tcPr>
          <w:p w:rsidR="0025490C" w:rsidRPr="00E07B1B" w:rsidRDefault="0025490C" w:rsidP="007B5EEF">
            <w:pPr>
              <w:pStyle w:val="TableText"/>
            </w:pPr>
            <w:r w:rsidRPr="00E07B1B">
              <w:t>Cross-sectional</w:t>
            </w:r>
          </w:p>
        </w:tc>
        <w:tc>
          <w:tcPr>
            <w:tcW w:w="1699" w:type="pct"/>
            <w:tcBorders>
              <w:top w:val="nil"/>
            </w:tcBorders>
            <w:shd w:val="clear" w:color="auto" w:fill="auto"/>
          </w:tcPr>
          <w:p w:rsidR="0068074A" w:rsidRDefault="0025490C" w:rsidP="004325FD">
            <w:pPr>
              <w:pStyle w:val="TableText"/>
              <w:ind w:right="142"/>
            </w:pPr>
            <w:r w:rsidRPr="00E07B1B">
              <w:t xml:space="preserve">Universal screening </w:t>
            </w:r>
            <w:r>
              <w:t>with</w:t>
            </w:r>
            <w:r w:rsidRPr="00E07B1B">
              <w:t xml:space="preserve"> 50</w:t>
            </w:r>
            <w:r>
              <w:t> </w:t>
            </w:r>
            <w:r w:rsidRPr="00E07B1B">
              <w:t>g</w:t>
            </w:r>
            <w:r>
              <w:t>,</w:t>
            </w:r>
            <w:r w:rsidRPr="00E07B1B">
              <w:t xml:space="preserve"> 1</w:t>
            </w:r>
            <w:r>
              <w:t>-</w:t>
            </w:r>
            <w:r w:rsidRPr="00E07B1B">
              <w:t xml:space="preserve">hour </w:t>
            </w:r>
            <w:r>
              <w:t xml:space="preserve">oral </w:t>
            </w:r>
            <w:r w:rsidRPr="00E07B1B">
              <w:t>glucose challenge test at 24</w:t>
            </w:r>
            <w:r>
              <w:t>–</w:t>
            </w:r>
            <w:r w:rsidRPr="00E07B1B">
              <w:t>28 weeks (women with known risk factors were screened at first antenatal visit). If result abnormal (≥</w:t>
            </w:r>
            <w:r>
              <w:t xml:space="preserve"> </w:t>
            </w:r>
            <w:r w:rsidRPr="00E07B1B">
              <w:t>130</w:t>
            </w:r>
            <w:r>
              <w:t xml:space="preserve"> </w:t>
            </w:r>
            <w:r w:rsidRPr="00E07B1B">
              <w:t>mg</w:t>
            </w:r>
            <w:r>
              <w:t>/dL</w:t>
            </w:r>
            <w:r w:rsidRPr="00E07B1B">
              <w:t>)</w:t>
            </w:r>
            <w:r>
              <w:t>,</w:t>
            </w:r>
            <w:r w:rsidRPr="00E07B1B">
              <w:t xml:space="preserve"> then underwent a 100</w:t>
            </w:r>
            <w:r w:rsidR="00BC72FE">
              <w:t> </w:t>
            </w:r>
            <w:r w:rsidRPr="00E07B1B">
              <w:t>g, 3</w:t>
            </w:r>
            <w:r>
              <w:noBreakHyphen/>
            </w:r>
            <w:r w:rsidRPr="00E07B1B">
              <w:t>hour OGTT using the Carpenter and Coustan criteria.</w:t>
            </w:r>
          </w:p>
          <w:p w:rsidR="0025490C" w:rsidRPr="00E07B1B" w:rsidRDefault="0025490C" w:rsidP="00BC72FE">
            <w:pPr>
              <w:pStyle w:val="TableText"/>
              <w:ind w:right="142"/>
            </w:pPr>
            <w:r w:rsidRPr="00E07B1B">
              <w:t>Women divided into four groups</w:t>
            </w:r>
            <w:r>
              <w:t>:</w:t>
            </w:r>
            <w:r w:rsidRPr="00E07B1B">
              <w:t xml:space="preserve"> 1</w:t>
            </w:r>
            <w:r>
              <w:t>.</w:t>
            </w:r>
            <w:r w:rsidRPr="00E07B1B">
              <w:t xml:space="preserve"> GDM</w:t>
            </w:r>
            <w:r>
              <w:t>;</w:t>
            </w:r>
            <w:r w:rsidR="00BC72FE">
              <w:br/>
            </w:r>
            <w:r w:rsidRPr="00E07B1B">
              <w:t>2</w:t>
            </w:r>
            <w:r>
              <w:t>.</w:t>
            </w:r>
            <w:r w:rsidRPr="00E07B1B">
              <w:t xml:space="preserve"> IGT –impaired glucose tolerance</w:t>
            </w:r>
            <w:r>
              <w:t>;</w:t>
            </w:r>
            <w:r w:rsidRPr="00E07B1B">
              <w:t xml:space="preserve"> 3</w:t>
            </w:r>
            <w:r>
              <w:t>.</w:t>
            </w:r>
            <w:r w:rsidRPr="00E07B1B">
              <w:t xml:space="preserve"> IGCT impaired glucose challenge test</w:t>
            </w:r>
            <w:r>
              <w:t>;</w:t>
            </w:r>
            <w:r w:rsidRPr="00E07B1B">
              <w:t xml:space="preserve"> 4</w:t>
            </w:r>
            <w:r>
              <w:t>.</w:t>
            </w:r>
            <w:r w:rsidRPr="00E07B1B">
              <w:t xml:space="preserve"> normal</w:t>
            </w:r>
            <w:r>
              <w:t>.</w:t>
            </w:r>
          </w:p>
        </w:tc>
        <w:tc>
          <w:tcPr>
            <w:tcW w:w="1311" w:type="pct"/>
            <w:tcBorders>
              <w:top w:val="nil"/>
            </w:tcBorders>
            <w:shd w:val="clear" w:color="auto" w:fill="auto"/>
          </w:tcPr>
          <w:p w:rsidR="0025490C" w:rsidRPr="00E07B1B" w:rsidRDefault="0025490C" w:rsidP="007B5EEF">
            <w:pPr>
              <w:pStyle w:val="TableText"/>
            </w:pPr>
            <w:r w:rsidRPr="00E07B1B">
              <w:t>Compared with women with a normal screening test, women with GDM were more likely to have had a baby with macrosomia in a previous pregnancy (adj OR 9.58, 95%CI 5.8</w:t>
            </w:r>
            <w:r>
              <w:t>–</w:t>
            </w:r>
            <w:r w:rsidRPr="00E07B1B">
              <w:t xml:space="preserve">15.6, </w:t>
            </w:r>
            <w:r w:rsidRPr="002B0699">
              <w:rPr>
                <w:i/>
              </w:rPr>
              <w:t>p</w:t>
            </w:r>
            <w:r>
              <w:t> </w:t>
            </w:r>
            <w:r w:rsidRPr="00E07B1B">
              <w:t>&lt;</w:t>
            </w:r>
            <w:r>
              <w:t> </w:t>
            </w:r>
            <w:r w:rsidRPr="00E07B1B">
              <w:t>0.0001)</w:t>
            </w:r>
            <w:r>
              <w:t>.</w:t>
            </w:r>
          </w:p>
        </w:tc>
        <w:tc>
          <w:tcPr>
            <w:tcW w:w="437" w:type="pct"/>
            <w:tcBorders>
              <w:top w:val="nil"/>
            </w:tcBorders>
            <w:shd w:val="clear" w:color="auto" w:fill="auto"/>
          </w:tcPr>
          <w:p w:rsidR="0025490C" w:rsidRPr="00E07B1B" w:rsidRDefault="0025490C" w:rsidP="004325FD">
            <w:pPr>
              <w:pStyle w:val="TableText"/>
              <w:jc w:val="center"/>
            </w:pPr>
            <w:r w:rsidRPr="00E07B1B">
              <w:t>MEDIUM</w:t>
            </w:r>
          </w:p>
        </w:tc>
      </w:tr>
    </w:tbl>
    <w:p w:rsidR="0025490C" w:rsidRDefault="0025490C" w:rsidP="0080418E">
      <w:pPr>
        <w:pStyle w:val="Note"/>
        <w:ind w:left="0" w:firstLine="0"/>
      </w:pPr>
      <w:r>
        <w:t xml:space="preserve">Note: </w:t>
      </w:r>
      <w:r w:rsidRPr="00E07B1B">
        <w:t xml:space="preserve">ADA </w:t>
      </w:r>
      <w:r>
        <w:t>=</w:t>
      </w:r>
      <w:r w:rsidRPr="00E07B1B">
        <w:t xml:space="preserve"> American Diabetes Association; </w:t>
      </w:r>
      <w:r>
        <w:t xml:space="preserve">CI = confidence interval; </w:t>
      </w:r>
      <w:r w:rsidRPr="00E07B1B">
        <w:t xml:space="preserve">GDM </w:t>
      </w:r>
      <w:r>
        <w:t>=</w:t>
      </w:r>
      <w:r w:rsidRPr="00E07B1B">
        <w:t xml:space="preserve"> </w:t>
      </w:r>
      <w:r>
        <w:t>g</w:t>
      </w:r>
      <w:r w:rsidRPr="00E07B1B">
        <w:t>estational diabetes mellitus; OGTT</w:t>
      </w:r>
      <w:r>
        <w:t xml:space="preserve"> = o</w:t>
      </w:r>
      <w:r w:rsidRPr="00E07B1B">
        <w:t xml:space="preserve">ral </w:t>
      </w:r>
      <w:r>
        <w:t>g</w:t>
      </w:r>
      <w:r w:rsidRPr="00E07B1B">
        <w:t xml:space="preserve">lucose </w:t>
      </w:r>
      <w:r>
        <w:t>t</w:t>
      </w:r>
      <w:r w:rsidRPr="00E07B1B">
        <w:t xml:space="preserve">olerance </w:t>
      </w:r>
      <w:r>
        <w:t>t</w:t>
      </w:r>
      <w:r w:rsidRPr="00E07B1B">
        <w:t>est</w:t>
      </w:r>
      <w:r>
        <w:t>; OR = odds ratio</w:t>
      </w:r>
      <w:r w:rsidRPr="00E07B1B">
        <w:t xml:space="preserve">; WHO </w:t>
      </w:r>
      <w:r>
        <w:t>=</w:t>
      </w:r>
      <w:r w:rsidRPr="00E07B1B">
        <w:t xml:space="preserve"> World Health Organi</w:t>
      </w:r>
      <w:r>
        <w:t>z</w:t>
      </w:r>
      <w:r w:rsidRPr="00E07B1B">
        <w:t>ation</w:t>
      </w:r>
      <w:r w:rsidR="0080418E">
        <w:t>.</w:t>
      </w:r>
    </w:p>
    <w:p w:rsidR="0080418E" w:rsidRPr="0080418E" w:rsidRDefault="0080418E" w:rsidP="0080418E"/>
    <w:p w:rsidR="0025490C" w:rsidRPr="00E07B1B" w:rsidRDefault="0025490C" w:rsidP="0080418E">
      <w:pPr>
        <w:pStyle w:val="Table"/>
      </w:pPr>
      <w:bookmarkStart w:id="460" w:name="_Toc358366905"/>
      <w:bookmarkStart w:id="461" w:name="_Toc363717785"/>
      <w:bookmarkStart w:id="462" w:name="_Toc403635892"/>
      <w:r w:rsidRPr="00E07B1B">
        <w:t>Table 11</w:t>
      </w:r>
      <w:r w:rsidR="0080418E">
        <w:t>:</w:t>
      </w:r>
      <w:r w:rsidRPr="00E07B1B">
        <w:t xml:space="preserve"> Studies reporting on parity as a risk factor for developing hyperglycaemia in pregnancy</w:t>
      </w:r>
      <w:bookmarkEnd w:id="460"/>
      <w:bookmarkEnd w:id="461"/>
      <w:bookmarkEnd w:id="462"/>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420"/>
        <w:gridCol w:w="1559"/>
        <w:gridCol w:w="1700"/>
        <w:gridCol w:w="4961"/>
        <w:gridCol w:w="3688"/>
        <w:gridCol w:w="1273"/>
      </w:tblGrid>
      <w:tr w:rsidR="0025490C" w:rsidRPr="007B5EEF" w:rsidTr="007E3726">
        <w:trPr>
          <w:cantSplit/>
          <w:tblHeader/>
        </w:trPr>
        <w:tc>
          <w:tcPr>
            <w:tcW w:w="486" w:type="pct"/>
            <w:tcBorders>
              <w:top w:val="single" w:sz="4" w:space="0" w:color="auto"/>
              <w:bottom w:val="single" w:sz="4" w:space="0" w:color="auto"/>
            </w:tcBorders>
            <w:shd w:val="clear" w:color="auto" w:fill="auto"/>
          </w:tcPr>
          <w:p w:rsidR="0025490C" w:rsidRPr="007B5EEF" w:rsidRDefault="0025490C" w:rsidP="007E3726">
            <w:pPr>
              <w:pStyle w:val="TableText"/>
              <w:keepNext/>
              <w:rPr>
                <w:b/>
              </w:rPr>
            </w:pPr>
            <w:r w:rsidRPr="007B5EEF">
              <w:rPr>
                <w:b/>
              </w:rPr>
              <w:t>Study</w:t>
            </w:r>
          </w:p>
        </w:tc>
        <w:tc>
          <w:tcPr>
            <w:tcW w:w="534" w:type="pct"/>
            <w:tcBorders>
              <w:top w:val="single" w:sz="4" w:space="0" w:color="auto"/>
              <w:bottom w:val="single" w:sz="4" w:space="0" w:color="auto"/>
            </w:tcBorders>
            <w:shd w:val="clear" w:color="auto" w:fill="auto"/>
          </w:tcPr>
          <w:p w:rsidR="0025490C" w:rsidRPr="007B5EEF" w:rsidRDefault="0025490C" w:rsidP="007E3726">
            <w:pPr>
              <w:pStyle w:val="TableText"/>
              <w:keepNext/>
              <w:rPr>
                <w:b/>
              </w:rPr>
            </w:pPr>
            <w:r w:rsidRPr="007B5EEF">
              <w:rPr>
                <w:b/>
              </w:rPr>
              <w:t>Country and sample size</w:t>
            </w:r>
          </w:p>
        </w:tc>
        <w:tc>
          <w:tcPr>
            <w:tcW w:w="582" w:type="pct"/>
            <w:tcBorders>
              <w:top w:val="single" w:sz="4" w:space="0" w:color="auto"/>
              <w:bottom w:val="single" w:sz="4" w:space="0" w:color="auto"/>
            </w:tcBorders>
            <w:shd w:val="clear" w:color="auto" w:fill="auto"/>
          </w:tcPr>
          <w:p w:rsidR="0025490C" w:rsidRPr="007B5EEF" w:rsidRDefault="0025490C" w:rsidP="007E3726">
            <w:pPr>
              <w:pStyle w:val="TableText"/>
              <w:keepNext/>
              <w:rPr>
                <w:b/>
              </w:rPr>
            </w:pPr>
            <w:r w:rsidRPr="007B5EEF">
              <w:rPr>
                <w:b/>
              </w:rPr>
              <w:t>Study type</w:t>
            </w:r>
          </w:p>
        </w:tc>
        <w:tc>
          <w:tcPr>
            <w:tcW w:w="1699" w:type="pct"/>
            <w:tcBorders>
              <w:top w:val="single" w:sz="4" w:space="0" w:color="auto"/>
              <w:bottom w:val="single" w:sz="4" w:space="0" w:color="auto"/>
            </w:tcBorders>
            <w:shd w:val="clear" w:color="auto" w:fill="auto"/>
          </w:tcPr>
          <w:p w:rsidR="0025490C" w:rsidRPr="007B5EEF" w:rsidRDefault="0025490C" w:rsidP="007E3726">
            <w:pPr>
              <w:pStyle w:val="TableText"/>
              <w:keepNext/>
              <w:ind w:right="142"/>
              <w:rPr>
                <w:b/>
              </w:rPr>
            </w:pPr>
            <w:r w:rsidRPr="007B5EEF">
              <w:rPr>
                <w:b/>
              </w:rPr>
              <w:t>Screening/diagnostic criteria</w:t>
            </w:r>
          </w:p>
        </w:tc>
        <w:tc>
          <w:tcPr>
            <w:tcW w:w="1263" w:type="pct"/>
            <w:tcBorders>
              <w:top w:val="single" w:sz="4" w:space="0" w:color="auto"/>
              <w:bottom w:val="single" w:sz="4" w:space="0" w:color="auto"/>
            </w:tcBorders>
            <w:shd w:val="clear" w:color="auto" w:fill="auto"/>
          </w:tcPr>
          <w:p w:rsidR="0025490C" w:rsidRPr="007B5EEF" w:rsidRDefault="0025490C" w:rsidP="007E3726">
            <w:pPr>
              <w:pStyle w:val="TableText"/>
              <w:keepNext/>
              <w:rPr>
                <w:b/>
              </w:rPr>
            </w:pPr>
            <w:r w:rsidRPr="007B5EEF">
              <w:rPr>
                <w:b/>
              </w:rPr>
              <w:t>Main results</w:t>
            </w:r>
          </w:p>
        </w:tc>
        <w:tc>
          <w:tcPr>
            <w:tcW w:w="436" w:type="pct"/>
            <w:tcBorders>
              <w:top w:val="single" w:sz="4" w:space="0" w:color="auto"/>
              <w:bottom w:val="single" w:sz="4" w:space="0" w:color="auto"/>
            </w:tcBorders>
            <w:shd w:val="clear" w:color="auto" w:fill="auto"/>
          </w:tcPr>
          <w:p w:rsidR="0025490C" w:rsidRPr="007B5EEF" w:rsidRDefault="0025490C" w:rsidP="007E3726">
            <w:pPr>
              <w:pStyle w:val="TableText"/>
              <w:keepNext/>
              <w:jc w:val="center"/>
              <w:rPr>
                <w:b/>
              </w:rPr>
            </w:pPr>
            <w:r w:rsidRPr="007B5EEF">
              <w:rPr>
                <w:b/>
              </w:rPr>
              <w:t>Quality of evidence</w:t>
            </w:r>
          </w:p>
        </w:tc>
      </w:tr>
      <w:tr w:rsidR="0025490C" w:rsidRPr="00E07B1B" w:rsidTr="007E3726">
        <w:trPr>
          <w:cantSplit/>
        </w:trPr>
        <w:tc>
          <w:tcPr>
            <w:tcW w:w="486" w:type="pct"/>
            <w:tcBorders>
              <w:top w:val="single" w:sz="4" w:space="0" w:color="auto"/>
              <w:bottom w:val="nil"/>
            </w:tcBorders>
            <w:shd w:val="clear" w:color="auto" w:fill="F2F2F2" w:themeFill="background1" w:themeFillShade="F2"/>
          </w:tcPr>
          <w:p w:rsidR="0025490C" w:rsidRPr="00E07B1B" w:rsidRDefault="0025490C" w:rsidP="007E3726">
            <w:pPr>
              <w:pStyle w:val="TableText"/>
              <w:keepNext/>
            </w:pPr>
            <w:r w:rsidRPr="00E07B1B">
              <w:t>Lagerros</w:t>
            </w:r>
            <w:r w:rsidR="00E36057">
              <w:br/>
            </w:r>
            <w:r w:rsidRPr="00E07B1B">
              <w:t>(2012)</w:t>
            </w:r>
          </w:p>
        </w:tc>
        <w:tc>
          <w:tcPr>
            <w:tcW w:w="534" w:type="pct"/>
            <w:tcBorders>
              <w:top w:val="single" w:sz="4" w:space="0" w:color="auto"/>
              <w:bottom w:val="nil"/>
            </w:tcBorders>
            <w:shd w:val="clear" w:color="auto" w:fill="F2F2F2" w:themeFill="background1" w:themeFillShade="F2"/>
          </w:tcPr>
          <w:p w:rsidR="0025490C" w:rsidRPr="00E07B1B" w:rsidRDefault="0025490C" w:rsidP="007E3726">
            <w:pPr>
              <w:pStyle w:val="TableText"/>
              <w:keepNext/>
            </w:pPr>
            <w:r w:rsidRPr="00E07B1B">
              <w:t>Sweden</w:t>
            </w:r>
            <w:r w:rsidR="00E36057">
              <w:br/>
            </w:r>
            <w:r w:rsidRPr="00E07B1B">
              <w:t>332,083</w:t>
            </w:r>
          </w:p>
        </w:tc>
        <w:tc>
          <w:tcPr>
            <w:tcW w:w="582" w:type="pct"/>
            <w:tcBorders>
              <w:top w:val="single" w:sz="4" w:space="0" w:color="auto"/>
              <w:bottom w:val="nil"/>
            </w:tcBorders>
            <w:shd w:val="clear" w:color="auto" w:fill="F2F2F2" w:themeFill="background1" w:themeFillShade="F2"/>
          </w:tcPr>
          <w:p w:rsidR="0025490C" w:rsidRPr="00E07B1B" w:rsidRDefault="0025490C" w:rsidP="007E3726">
            <w:pPr>
              <w:pStyle w:val="TableText"/>
              <w:keepNext/>
            </w:pPr>
            <w:r w:rsidRPr="00E07B1B">
              <w:t>Cohort</w:t>
            </w:r>
          </w:p>
        </w:tc>
        <w:tc>
          <w:tcPr>
            <w:tcW w:w="1699" w:type="pct"/>
            <w:tcBorders>
              <w:top w:val="single" w:sz="4" w:space="0" w:color="auto"/>
              <w:bottom w:val="nil"/>
            </w:tcBorders>
            <w:shd w:val="clear" w:color="auto" w:fill="F2F2F2" w:themeFill="background1" w:themeFillShade="F2"/>
          </w:tcPr>
          <w:p w:rsidR="0025490C" w:rsidRDefault="0025490C" w:rsidP="007E3726">
            <w:pPr>
              <w:pStyle w:val="TableText"/>
              <w:keepNext/>
              <w:ind w:right="142"/>
            </w:pPr>
            <w:r w:rsidRPr="00E07B1B">
              <w:t>No details on screening</w:t>
            </w:r>
            <w:r w:rsidR="00E36057">
              <w:t>.</w:t>
            </w:r>
          </w:p>
          <w:p w:rsidR="0025490C" w:rsidRPr="00E07B1B" w:rsidRDefault="0025490C" w:rsidP="007E3726">
            <w:pPr>
              <w:pStyle w:val="TableText"/>
              <w:keepNext/>
              <w:ind w:right="142"/>
            </w:pPr>
            <w:r w:rsidRPr="00E07B1B">
              <w:t>75</w:t>
            </w:r>
            <w:r>
              <w:t xml:space="preserve"> </w:t>
            </w:r>
            <w:r w:rsidRPr="00E07B1B">
              <w:t>g OGTT (</w:t>
            </w:r>
            <w:r>
              <w:t>f</w:t>
            </w:r>
            <w:r w:rsidRPr="00E07B1B">
              <w:t>asting plasma ≥</w:t>
            </w:r>
            <w:r>
              <w:t> </w:t>
            </w:r>
            <w:r w:rsidRPr="00E07B1B">
              <w:t>7.0</w:t>
            </w:r>
            <w:r w:rsidR="00E36057">
              <w:t> </w:t>
            </w:r>
            <w:r w:rsidRPr="00E07B1B">
              <w:t>mmol/L, and</w:t>
            </w:r>
            <w:r>
              <w:t>/</w:t>
            </w:r>
            <w:r w:rsidRPr="00E07B1B">
              <w:t>or</w:t>
            </w:r>
            <w:r>
              <w:t xml:space="preserve"> </w:t>
            </w:r>
            <w:r w:rsidRPr="00E07B1B">
              <w:t>2</w:t>
            </w:r>
            <w:r w:rsidR="007E3726">
              <w:noBreakHyphen/>
            </w:r>
            <w:r w:rsidRPr="00E07B1B">
              <w:t>hour plasma ≥</w:t>
            </w:r>
            <w:r>
              <w:t xml:space="preserve"> </w:t>
            </w:r>
            <w:r w:rsidRPr="00E07B1B">
              <w:t>10.0</w:t>
            </w:r>
            <w:r>
              <w:t xml:space="preserve"> </w:t>
            </w:r>
            <w:r w:rsidRPr="00E07B1B">
              <w:t>mmol/L, or manifest diabetes only diagnosed as fasting plasma ≥</w:t>
            </w:r>
            <w:r>
              <w:t> </w:t>
            </w:r>
            <w:r w:rsidRPr="00E07B1B">
              <w:t>7.0</w:t>
            </w:r>
            <w:r w:rsidR="007E3726">
              <w:t> </w:t>
            </w:r>
            <w:r w:rsidRPr="00E07B1B">
              <w:t>mmol/L and/or 2</w:t>
            </w:r>
            <w:r w:rsidR="00E36057">
              <w:noBreakHyphen/>
            </w:r>
            <w:r w:rsidRPr="00E07B1B">
              <w:t>hour plasma ≥12.2</w:t>
            </w:r>
            <w:r w:rsidR="007E3726">
              <w:t> </w:t>
            </w:r>
            <w:r w:rsidRPr="00E07B1B">
              <w:t>mmol/L).</w:t>
            </w:r>
          </w:p>
        </w:tc>
        <w:tc>
          <w:tcPr>
            <w:tcW w:w="1263" w:type="pct"/>
            <w:tcBorders>
              <w:top w:val="single" w:sz="4" w:space="0" w:color="auto"/>
              <w:bottom w:val="nil"/>
            </w:tcBorders>
            <w:shd w:val="clear" w:color="auto" w:fill="F2F2F2" w:themeFill="background1" w:themeFillShade="F2"/>
          </w:tcPr>
          <w:p w:rsidR="0025490C" w:rsidRDefault="0025490C" w:rsidP="007E3726">
            <w:pPr>
              <w:pStyle w:val="TableText"/>
              <w:keepNext/>
            </w:pPr>
            <w:r w:rsidRPr="00E07B1B">
              <w:t>2</w:t>
            </w:r>
            <w:r>
              <w:t>–</w:t>
            </w:r>
            <w:r w:rsidRPr="00E07B1B">
              <w:t>3 infants compared with 1 infant (adj OR 0.8, 95%CI 0.7</w:t>
            </w:r>
            <w:r>
              <w:t>–</w:t>
            </w:r>
            <w:r w:rsidRPr="00E07B1B">
              <w:t>0.9)</w:t>
            </w:r>
            <w:r>
              <w:t>.</w:t>
            </w:r>
          </w:p>
          <w:p w:rsidR="0025490C" w:rsidRPr="00E07B1B" w:rsidRDefault="0025490C" w:rsidP="007E3726">
            <w:pPr>
              <w:pStyle w:val="TableText"/>
              <w:keepNext/>
            </w:pPr>
            <w:r w:rsidRPr="00E07B1B">
              <w:t>&gt;</w:t>
            </w:r>
            <w:r>
              <w:t xml:space="preserve"> </w:t>
            </w:r>
            <w:r w:rsidRPr="00E07B1B">
              <w:t>3 infants compared with 1 infant (adj OR 0.6, 95%CI 0.4</w:t>
            </w:r>
            <w:r>
              <w:t>–</w:t>
            </w:r>
            <w:r w:rsidRPr="00E07B1B">
              <w:t>1.0)</w:t>
            </w:r>
            <w:r>
              <w:t>.</w:t>
            </w:r>
          </w:p>
        </w:tc>
        <w:tc>
          <w:tcPr>
            <w:tcW w:w="436" w:type="pct"/>
            <w:tcBorders>
              <w:top w:val="single" w:sz="4" w:space="0" w:color="auto"/>
              <w:bottom w:val="nil"/>
            </w:tcBorders>
            <w:shd w:val="clear" w:color="auto" w:fill="F2F2F2" w:themeFill="background1" w:themeFillShade="F2"/>
          </w:tcPr>
          <w:p w:rsidR="0025490C" w:rsidRPr="00E07B1B" w:rsidRDefault="0025490C" w:rsidP="007E3726">
            <w:pPr>
              <w:pStyle w:val="TableText"/>
              <w:keepNext/>
              <w:jc w:val="center"/>
            </w:pPr>
            <w:r w:rsidRPr="00E07B1B">
              <w:t>HIGH</w:t>
            </w:r>
          </w:p>
        </w:tc>
      </w:tr>
      <w:tr w:rsidR="0025490C" w:rsidRPr="00E07B1B" w:rsidTr="007E3726">
        <w:trPr>
          <w:cantSplit/>
        </w:trPr>
        <w:tc>
          <w:tcPr>
            <w:tcW w:w="486" w:type="pct"/>
            <w:tcBorders>
              <w:top w:val="nil"/>
              <w:bottom w:val="nil"/>
            </w:tcBorders>
            <w:shd w:val="clear" w:color="auto" w:fill="auto"/>
          </w:tcPr>
          <w:p w:rsidR="0025490C" w:rsidRPr="00E07B1B" w:rsidRDefault="0025490C" w:rsidP="00E36057">
            <w:pPr>
              <w:pStyle w:val="TableText"/>
            </w:pPr>
            <w:r w:rsidRPr="00E07B1B">
              <w:t>Singh</w:t>
            </w:r>
            <w:r w:rsidR="00E36057">
              <w:br/>
            </w:r>
            <w:r w:rsidRPr="00E07B1B">
              <w:t>(2012)</w:t>
            </w:r>
          </w:p>
        </w:tc>
        <w:tc>
          <w:tcPr>
            <w:tcW w:w="534" w:type="pct"/>
            <w:tcBorders>
              <w:top w:val="nil"/>
              <w:bottom w:val="nil"/>
            </w:tcBorders>
            <w:shd w:val="clear" w:color="auto" w:fill="auto"/>
          </w:tcPr>
          <w:p w:rsidR="0025490C" w:rsidRPr="00E07B1B" w:rsidRDefault="0025490C" w:rsidP="00E36057">
            <w:pPr>
              <w:pStyle w:val="TableText"/>
            </w:pPr>
            <w:r w:rsidRPr="00E07B1B">
              <w:t>USA</w:t>
            </w:r>
            <w:r w:rsidR="00E36057">
              <w:br/>
            </w:r>
            <w:r w:rsidRPr="00E07B1B">
              <w:t>26,842</w:t>
            </w:r>
          </w:p>
        </w:tc>
        <w:tc>
          <w:tcPr>
            <w:tcW w:w="582" w:type="pct"/>
            <w:tcBorders>
              <w:top w:val="nil"/>
              <w:bottom w:val="nil"/>
            </w:tcBorders>
            <w:shd w:val="clear" w:color="auto" w:fill="auto"/>
          </w:tcPr>
          <w:p w:rsidR="0025490C" w:rsidRPr="00E07B1B" w:rsidRDefault="0025490C" w:rsidP="007B5EEF">
            <w:pPr>
              <w:pStyle w:val="TableText"/>
            </w:pPr>
            <w:r w:rsidRPr="00E07B1B">
              <w:t>Retrospective cohort</w:t>
            </w:r>
          </w:p>
        </w:tc>
        <w:tc>
          <w:tcPr>
            <w:tcW w:w="1699" w:type="pct"/>
            <w:tcBorders>
              <w:top w:val="nil"/>
              <w:bottom w:val="nil"/>
            </w:tcBorders>
            <w:shd w:val="clear" w:color="auto" w:fill="auto"/>
          </w:tcPr>
          <w:p w:rsidR="0025490C" w:rsidRPr="00E07B1B" w:rsidRDefault="0025490C" w:rsidP="00E36057">
            <w:pPr>
              <w:pStyle w:val="TableText"/>
              <w:ind w:right="142"/>
            </w:pPr>
            <w:r w:rsidRPr="00E07B1B">
              <w:t>Not clearly specified</w:t>
            </w:r>
            <w:r w:rsidR="00E36057">
              <w:t>.</w:t>
            </w:r>
          </w:p>
        </w:tc>
        <w:tc>
          <w:tcPr>
            <w:tcW w:w="1263" w:type="pct"/>
            <w:tcBorders>
              <w:top w:val="nil"/>
              <w:bottom w:val="nil"/>
            </w:tcBorders>
            <w:shd w:val="clear" w:color="auto" w:fill="auto"/>
          </w:tcPr>
          <w:p w:rsidR="0025490C" w:rsidRPr="00E07B1B" w:rsidRDefault="0025490C" w:rsidP="007B5EEF">
            <w:pPr>
              <w:pStyle w:val="TableText"/>
            </w:pPr>
            <w:r w:rsidRPr="00E07B1B">
              <w:t>Nulliparity associated with increased risk (OR 1.26; 95%CI 1.18</w:t>
            </w:r>
            <w:r>
              <w:t>–</w:t>
            </w:r>
            <w:r w:rsidRPr="00E07B1B">
              <w:t>1.35)</w:t>
            </w:r>
            <w:r>
              <w:t>.</w:t>
            </w:r>
          </w:p>
        </w:tc>
        <w:tc>
          <w:tcPr>
            <w:tcW w:w="436" w:type="pct"/>
            <w:tcBorders>
              <w:top w:val="nil"/>
              <w:bottom w:val="nil"/>
            </w:tcBorders>
            <w:shd w:val="clear" w:color="auto" w:fill="auto"/>
          </w:tcPr>
          <w:p w:rsidR="0025490C" w:rsidRPr="00E07B1B" w:rsidRDefault="0025490C" w:rsidP="00E36057">
            <w:pPr>
              <w:pStyle w:val="TableText"/>
              <w:jc w:val="center"/>
            </w:pPr>
            <w:r w:rsidRPr="00E07B1B">
              <w:t>MEDIUM</w:t>
            </w:r>
          </w:p>
        </w:tc>
      </w:tr>
      <w:tr w:rsidR="0025490C" w:rsidRPr="00E07B1B" w:rsidTr="007E3726">
        <w:trPr>
          <w:cantSplit/>
        </w:trPr>
        <w:tc>
          <w:tcPr>
            <w:tcW w:w="486" w:type="pct"/>
            <w:tcBorders>
              <w:top w:val="nil"/>
              <w:bottom w:val="nil"/>
            </w:tcBorders>
            <w:shd w:val="clear" w:color="auto" w:fill="F2F2F2" w:themeFill="background1" w:themeFillShade="F2"/>
          </w:tcPr>
          <w:p w:rsidR="0025490C" w:rsidRPr="00E07B1B" w:rsidRDefault="0025490C" w:rsidP="00E36057">
            <w:pPr>
              <w:pStyle w:val="TableText"/>
            </w:pPr>
            <w:r w:rsidRPr="00E07B1B">
              <w:t>Schneider</w:t>
            </w:r>
            <w:r w:rsidR="00E36057">
              <w:br/>
            </w:r>
            <w:r w:rsidRPr="00E07B1B">
              <w:t>(2011)</w:t>
            </w:r>
          </w:p>
        </w:tc>
        <w:tc>
          <w:tcPr>
            <w:tcW w:w="534" w:type="pct"/>
            <w:tcBorders>
              <w:top w:val="nil"/>
              <w:bottom w:val="nil"/>
            </w:tcBorders>
            <w:shd w:val="clear" w:color="auto" w:fill="F2F2F2" w:themeFill="background1" w:themeFillShade="F2"/>
          </w:tcPr>
          <w:p w:rsidR="0025490C" w:rsidRPr="00E07B1B" w:rsidRDefault="0025490C" w:rsidP="00E36057">
            <w:pPr>
              <w:pStyle w:val="TableText"/>
            </w:pPr>
            <w:r w:rsidRPr="00E07B1B">
              <w:t>Germany</w:t>
            </w:r>
            <w:r w:rsidR="00E36057">
              <w:br/>
            </w:r>
            <w:r w:rsidRPr="00E07B1B">
              <w:t>647,385</w:t>
            </w:r>
          </w:p>
        </w:tc>
        <w:tc>
          <w:tcPr>
            <w:tcW w:w="582" w:type="pct"/>
            <w:tcBorders>
              <w:top w:val="nil"/>
              <w:bottom w:val="nil"/>
            </w:tcBorders>
            <w:shd w:val="clear" w:color="auto" w:fill="F2F2F2" w:themeFill="background1" w:themeFillShade="F2"/>
          </w:tcPr>
          <w:p w:rsidR="0025490C" w:rsidRPr="00E07B1B" w:rsidRDefault="0025490C" w:rsidP="007B5EEF">
            <w:pPr>
              <w:pStyle w:val="TableText"/>
            </w:pPr>
            <w:r w:rsidRPr="00E07B1B">
              <w:t>Cross-sectional</w:t>
            </w:r>
          </w:p>
        </w:tc>
        <w:tc>
          <w:tcPr>
            <w:tcW w:w="1699" w:type="pct"/>
            <w:tcBorders>
              <w:top w:val="nil"/>
              <w:bottom w:val="nil"/>
            </w:tcBorders>
            <w:shd w:val="clear" w:color="auto" w:fill="F2F2F2" w:themeFill="background1" w:themeFillShade="F2"/>
          </w:tcPr>
          <w:p w:rsidR="0025490C" w:rsidRPr="00E07B1B" w:rsidRDefault="0025490C" w:rsidP="00E36057">
            <w:pPr>
              <w:pStyle w:val="TableText"/>
              <w:ind w:right="142"/>
            </w:pPr>
            <w:r w:rsidRPr="00E07B1B">
              <w:t>No details provided</w:t>
            </w:r>
            <w:r w:rsidR="00E36057">
              <w:t>.</w:t>
            </w:r>
          </w:p>
        </w:tc>
        <w:tc>
          <w:tcPr>
            <w:tcW w:w="1263" w:type="pct"/>
            <w:tcBorders>
              <w:top w:val="nil"/>
              <w:bottom w:val="nil"/>
            </w:tcBorders>
            <w:shd w:val="clear" w:color="auto" w:fill="F2F2F2" w:themeFill="background1" w:themeFillShade="F2"/>
          </w:tcPr>
          <w:p w:rsidR="0025490C" w:rsidRPr="00E07B1B" w:rsidRDefault="0025490C" w:rsidP="007B5EEF">
            <w:pPr>
              <w:pStyle w:val="TableText"/>
            </w:pPr>
            <w:r w:rsidRPr="00E07B1B">
              <w:t>Multiparous women were at an increased risk compared with nulliparous women (adj</w:t>
            </w:r>
            <w:r>
              <w:t xml:space="preserve"> </w:t>
            </w:r>
            <w:r w:rsidRPr="00E07B1B">
              <w:t>OR 0.83; 95%CI 0.8</w:t>
            </w:r>
            <w:r>
              <w:t>–</w:t>
            </w:r>
            <w:r w:rsidRPr="00E07B1B">
              <w:t>0.86</w:t>
            </w:r>
            <w:r>
              <w:t>,</w:t>
            </w:r>
            <w:r w:rsidRPr="00E07B1B">
              <w:t xml:space="preserve"> </w:t>
            </w:r>
            <w:r w:rsidRPr="002B0699">
              <w:rPr>
                <w:i/>
              </w:rPr>
              <w:t>p</w:t>
            </w:r>
            <w:r>
              <w:t xml:space="preserve"> </w:t>
            </w:r>
            <w:r w:rsidRPr="00E07B1B">
              <w:t>&lt;</w:t>
            </w:r>
            <w:r>
              <w:t xml:space="preserve"> </w:t>
            </w:r>
            <w:r w:rsidRPr="00E07B1B">
              <w:t>0.001).</w:t>
            </w:r>
          </w:p>
        </w:tc>
        <w:tc>
          <w:tcPr>
            <w:tcW w:w="436" w:type="pct"/>
            <w:tcBorders>
              <w:top w:val="nil"/>
              <w:bottom w:val="nil"/>
            </w:tcBorders>
            <w:shd w:val="clear" w:color="auto" w:fill="F2F2F2" w:themeFill="background1" w:themeFillShade="F2"/>
          </w:tcPr>
          <w:p w:rsidR="0025490C" w:rsidRPr="00E07B1B" w:rsidRDefault="0025490C" w:rsidP="00E36057">
            <w:pPr>
              <w:pStyle w:val="TableText"/>
              <w:jc w:val="center"/>
            </w:pPr>
            <w:r w:rsidRPr="00E07B1B">
              <w:t>MEDIUM</w:t>
            </w:r>
          </w:p>
        </w:tc>
      </w:tr>
      <w:tr w:rsidR="0025490C" w:rsidRPr="00E07B1B" w:rsidTr="007E3726">
        <w:trPr>
          <w:cantSplit/>
        </w:trPr>
        <w:tc>
          <w:tcPr>
            <w:tcW w:w="486" w:type="pct"/>
            <w:tcBorders>
              <w:top w:val="nil"/>
              <w:bottom w:val="nil"/>
            </w:tcBorders>
            <w:shd w:val="clear" w:color="auto" w:fill="auto"/>
          </w:tcPr>
          <w:p w:rsidR="0025490C" w:rsidRPr="00E07B1B" w:rsidRDefault="0025490C" w:rsidP="00E36057">
            <w:pPr>
              <w:pStyle w:val="TableText"/>
            </w:pPr>
            <w:r w:rsidRPr="00E07B1B">
              <w:t>Nanda</w:t>
            </w:r>
            <w:r w:rsidR="00E36057">
              <w:br/>
            </w:r>
            <w:r w:rsidRPr="00E07B1B">
              <w:t>(2011)</w:t>
            </w:r>
          </w:p>
        </w:tc>
        <w:tc>
          <w:tcPr>
            <w:tcW w:w="534" w:type="pct"/>
            <w:tcBorders>
              <w:top w:val="nil"/>
              <w:bottom w:val="nil"/>
            </w:tcBorders>
            <w:shd w:val="clear" w:color="auto" w:fill="auto"/>
          </w:tcPr>
          <w:p w:rsidR="0025490C" w:rsidRPr="00E07B1B" w:rsidRDefault="0025490C" w:rsidP="00E36057">
            <w:pPr>
              <w:pStyle w:val="TableText"/>
            </w:pPr>
            <w:r w:rsidRPr="00E07B1B">
              <w:t>United Kingdom</w:t>
            </w:r>
            <w:r w:rsidR="00E36057">
              <w:br/>
            </w:r>
            <w:r w:rsidRPr="00E07B1B">
              <w:t>11,464</w:t>
            </w:r>
          </w:p>
        </w:tc>
        <w:tc>
          <w:tcPr>
            <w:tcW w:w="582" w:type="pct"/>
            <w:tcBorders>
              <w:top w:val="nil"/>
              <w:bottom w:val="nil"/>
            </w:tcBorders>
            <w:shd w:val="clear" w:color="auto" w:fill="auto"/>
          </w:tcPr>
          <w:p w:rsidR="0025490C" w:rsidRPr="00E07B1B" w:rsidRDefault="0025490C" w:rsidP="007B5EEF">
            <w:pPr>
              <w:pStyle w:val="TableText"/>
            </w:pPr>
            <w:r w:rsidRPr="00E07B1B">
              <w:t>Prospective cohort</w:t>
            </w:r>
          </w:p>
        </w:tc>
        <w:tc>
          <w:tcPr>
            <w:tcW w:w="1699" w:type="pct"/>
            <w:tcBorders>
              <w:top w:val="nil"/>
              <w:bottom w:val="nil"/>
            </w:tcBorders>
            <w:shd w:val="clear" w:color="auto" w:fill="auto"/>
          </w:tcPr>
          <w:p w:rsidR="0025490C" w:rsidRPr="00E07B1B" w:rsidRDefault="0025490C" w:rsidP="00E36057">
            <w:pPr>
              <w:pStyle w:val="TableText"/>
              <w:spacing w:after="30"/>
              <w:ind w:right="142"/>
            </w:pPr>
            <w:r w:rsidRPr="00E07B1B">
              <w:t>Random plasma glucose at 24</w:t>
            </w:r>
            <w:r>
              <w:t>–</w:t>
            </w:r>
            <w:r w:rsidRPr="00E07B1B">
              <w:t>28 weeks</w:t>
            </w:r>
            <w:r>
              <w:t>. I</w:t>
            </w:r>
            <w:r w:rsidRPr="00E07B1B">
              <w:t>f &gt;</w:t>
            </w:r>
            <w:r>
              <w:t> </w:t>
            </w:r>
            <w:r w:rsidRPr="00E07B1B">
              <w:t>6.7</w:t>
            </w:r>
            <w:r>
              <w:t> </w:t>
            </w:r>
            <w:r w:rsidRPr="00E07B1B">
              <w:t>mmol/L</w:t>
            </w:r>
            <w:r>
              <w:t>,</w:t>
            </w:r>
            <w:r w:rsidRPr="00E07B1B">
              <w:t xml:space="preserve"> then a 75</w:t>
            </w:r>
            <w:r>
              <w:t> </w:t>
            </w:r>
            <w:r w:rsidRPr="00E07B1B">
              <w:t>g OGTT</w:t>
            </w:r>
            <w:r>
              <w:t>. GDM diagnosed if:</w:t>
            </w:r>
          </w:p>
          <w:p w:rsidR="0025490C" w:rsidRPr="00E07B1B" w:rsidRDefault="0025490C" w:rsidP="00E36057">
            <w:pPr>
              <w:pStyle w:val="TableBullet"/>
              <w:spacing w:after="30"/>
              <w:ind w:left="284"/>
            </w:pPr>
            <w:r>
              <w:t>f</w:t>
            </w:r>
            <w:r w:rsidRPr="00E07B1B">
              <w:t>asting plasma glucose ≥6mmol/L or</w:t>
            </w:r>
          </w:p>
          <w:p w:rsidR="0025490C" w:rsidRPr="00E07B1B" w:rsidRDefault="0025490C" w:rsidP="00E36057">
            <w:pPr>
              <w:pStyle w:val="TableBullet"/>
              <w:ind w:left="284"/>
            </w:pPr>
            <w:r w:rsidRPr="00E07B1B">
              <w:t>2</w:t>
            </w:r>
            <w:r>
              <w:t>-</w:t>
            </w:r>
            <w:r w:rsidRPr="00E07B1B">
              <w:t>hour level is ≥</w:t>
            </w:r>
            <w:r>
              <w:t> </w:t>
            </w:r>
            <w:r w:rsidRPr="00E07B1B">
              <w:t>7.8</w:t>
            </w:r>
            <w:r>
              <w:t> </w:t>
            </w:r>
            <w:r w:rsidRPr="00E07B1B">
              <w:t>mmol/L</w:t>
            </w:r>
            <w:r>
              <w:t>.</w:t>
            </w:r>
          </w:p>
        </w:tc>
        <w:tc>
          <w:tcPr>
            <w:tcW w:w="1263" w:type="pct"/>
            <w:tcBorders>
              <w:top w:val="nil"/>
              <w:bottom w:val="nil"/>
            </w:tcBorders>
            <w:shd w:val="clear" w:color="auto" w:fill="auto"/>
          </w:tcPr>
          <w:p w:rsidR="0025490C" w:rsidRPr="00E07B1B" w:rsidRDefault="0025490C" w:rsidP="007E3726">
            <w:pPr>
              <w:pStyle w:val="TableText"/>
            </w:pPr>
            <w:r w:rsidRPr="00E07B1B">
              <w:t>Multiparous women with no previous history of GDM had an increased risk of developing GDM (OR 1.30, 95%CI</w:t>
            </w:r>
            <w:r w:rsidR="007E3726">
              <w:br/>
            </w:r>
            <w:r w:rsidRPr="00E07B1B">
              <w:t>1.0</w:t>
            </w:r>
            <w:r>
              <w:t>–</w:t>
            </w:r>
            <w:r w:rsidRPr="00E07B1B">
              <w:t xml:space="preserve">1.69, </w:t>
            </w:r>
            <w:r w:rsidRPr="002B0699">
              <w:rPr>
                <w:i/>
              </w:rPr>
              <w:t>p</w:t>
            </w:r>
            <w:r>
              <w:t xml:space="preserve"> </w:t>
            </w:r>
            <w:r w:rsidRPr="00E07B1B">
              <w:t>=</w:t>
            </w:r>
            <w:r>
              <w:t xml:space="preserve"> </w:t>
            </w:r>
            <w:r w:rsidRPr="00E07B1B">
              <w:t>0.05)</w:t>
            </w:r>
            <w:r>
              <w:t>.</w:t>
            </w:r>
          </w:p>
        </w:tc>
        <w:tc>
          <w:tcPr>
            <w:tcW w:w="436" w:type="pct"/>
            <w:tcBorders>
              <w:top w:val="nil"/>
              <w:bottom w:val="nil"/>
            </w:tcBorders>
            <w:shd w:val="clear" w:color="auto" w:fill="auto"/>
          </w:tcPr>
          <w:p w:rsidR="0025490C" w:rsidRPr="00E07B1B" w:rsidRDefault="0025490C" w:rsidP="00E36057">
            <w:pPr>
              <w:pStyle w:val="TableText"/>
              <w:jc w:val="center"/>
            </w:pPr>
            <w:r w:rsidRPr="00E07B1B">
              <w:t>MEDIUM</w:t>
            </w:r>
          </w:p>
        </w:tc>
      </w:tr>
      <w:tr w:rsidR="0025490C" w:rsidRPr="00E07B1B" w:rsidTr="007E3726">
        <w:trPr>
          <w:cantSplit/>
        </w:trPr>
        <w:tc>
          <w:tcPr>
            <w:tcW w:w="486" w:type="pct"/>
            <w:tcBorders>
              <w:top w:val="nil"/>
              <w:bottom w:val="nil"/>
            </w:tcBorders>
            <w:shd w:val="clear" w:color="auto" w:fill="F2F2F2" w:themeFill="background1" w:themeFillShade="F2"/>
          </w:tcPr>
          <w:p w:rsidR="0025490C" w:rsidRPr="00E07B1B" w:rsidRDefault="0025490C" w:rsidP="00E36057">
            <w:pPr>
              <w:pStyle w:val="TableText"/>
            </w:pPr>
            <w:r w:rsidRPr="00E07B1B">
              <w:t>Cypryk</w:t>
            </w:r>
            <w:r w:rsidR="00E36057">
              <w:br/>
            </w:r>
            <w:r w:rsidRPr="00E07B1B">
              <w:t>(2008)</w:t>
            </w:r>
          </w:p>
        </w:tc>
        <w:tc>
          <w:tcPr>
            <w:tcW w:w="534" w:type="pct"/>
            <w:tcBorders>
              <w:top w:val="nil"/>
              <w:bottom w:val="nil"/>
            </w:tcBorders>
            <w:shd w:val="clear" w:color="auto" w:fill="F2F2F2" w:themeFill="background1" w:themeFillShade="F2"/>
          </w:tcPr>
          <w:p w:rsidR="0025490C" w:rsidRPr="00E07B1B" w:rsidRDefault="0025490C" w:rsidP="00E36057">
            <w:pPr>
              <w:pStyle w:val="TableText"/>
            </w:pPr>
            <w:r w:rsidRPr="00E07B1B">
              <w:t>Poland</w:t>
            </w:r>
            <w:r w:rsidR="00E36057">
              <w:br/>
            </w:r>
            <w:r w:rsidRPr="00E07B1B">
              <w:t>1670</w:t>
            </w:r>
          </w:p>
        </w:tc>
        <w:tc>
          <w:tcPr>
            <w:tcW w:w="582" w:type="pct"/>
            <w:tcBorders>
              <w:top w:val="nil"/>
              <w:bottom w:val="nil"/>
            </w:tcBorders>
            <w:shd w:val="clear" w:color="auto" w:fill="F2F2F2" w:themeFill="background1" w:themeFillShade="F2"/>
          </w:tcPr>
          <w:p w:rsidR="0025490C" w:rsidRPr="00E07B1B" w:rsidRDefault="0025490C" w:rsidP="007B5EEF">
            <w:pPr>
              <w:pStyle w:val="TableText"/>
            </w:pPr>
            <w:r w:rsidRPr="00E07B1B">
              <w:t>Cohort</w:t>
            </w:r>
          </w:p>
        </w:tc>
        <w:tc>
          <w:tcPr>
            <w:tcW w:w="1699" w:type="pct"/>
            <w:tcBorders>
              <w:top w:val="nil"/>
              <w:bottom w:val="nil"/>
            </w:tcBorders>
            <w:shd w:val="clear" w:color="auto" w:fill="F2F2F2" w:themeFill="background1" w:themeFillShade="F2"/>
          </w:tcPr>
          <w:p w:rsidR="0025490C" w:rsidRPr="00E07B1B" w:rsidRDefault="0025490C" w:rsidP="00E36057">
            <w:pPr>
              <w:pStyle w:val="TableText"/>
              <w:ind w:right="142"/>
            </w:pPr>
            <w:r w:rsidRPr="00E07B1B">
              <w:t>GDM diagnosed using WHO and Polish Diabetes Association criteria (no other details)</w:t>
            </w:r>
            <w:r>
              <w:t>.</w:t>
            </w:r>
          </w:p>
        </w:tc>
        <w:tc>
          <w:tcPr>
            <w:tcW w:w="1263" w:type="pct"/>
            <w:tcBorders>
              <w:top w:val="nil"/>
              <w:bottom w:val="nil"/>
            </w:tcBorders>
            <w:shd w:val="clear" w:color="auto" w:fill="F2F2F2" w:themeFill="background1" w:themeFillShade="F2"/>
          </w:tcPr>
          <w:p w:rsidR="0025490C" w:rsidRPr="00E07B1B" w:rsidRDefault="0025490C" w:rsidP="007B5EEF">
            <w:pPr>
              <w:pStyle w:val="TableText"/>
            </w:pPr>
            <w:r w:rsidRPr="00E07B1B">
              <w:t>Adj OR 1.8 (95%CI 1.30</w:t>
            </w:r>
            <w:r>
              <w:t>–</w:t>
            </w:r>
            <w:r w:rsidRPr="00E07B1B">
              <w:t>2.49</w:t>
            </w:r>
            <w:r>
              <w:t>,</w:t>
            </w:r>
            <w:r w:rsidRPr="00E07B1B">
              <w:t xml:space="preserve"> </w:t>
            </w:r>
            <w:r w:rsidRPr="002B0699">
              <w:rPr>
                <w:i/>
              </w:rPr>
              <w:t>p</w:t>
            </w:r>
            <w:r>
              <w:t> </w:t>
            </w:r>
            <w:r w:rsidRPr="00E07B1B">
              <w:t>&lt;</w:t>
            </w:r>
            <w:r>
              <w:t> </w:t>
            </w:r>
            <w:r w:rsidRPr="00E07B1B">
              <w:t>0.001)</w:t>
            </w:r>
            <w:r w:rsidR="00E36057">
              <w:t>.</w:t>
            </w:r>
          </w:p>
        </w:tc>
        <w:tc>
          <w:tcPr>
            <w:tcW w:w="436" w:type="pct"/>
            <w:tcBorders>
              <w:top w:val="nil"/>
              <w:bottom w:val="nil"/>
            </w:tcBorders>
            <w:shd w:val="clear" w:color="auto" w:fill="F2F2F2" w:themeFill="background1" w:themeFillShade="F2"/>
          </w:tcPr>
          <w:p w:rsidR="0025490C" w:rsidRPr="00E07B1B" w:rsidRDefault="0025490C" w:rsidP="00E36057">
            <w:pPr>
              <w:pStyle w:val="TableText"/>
              <w:jc w:val="center"/>
            </w:pPr>
            <w:r w:rsidRPr="00E07B1B">
              <w:t>MEDIUM</w:t>
            </w:r>
          </w:p>
        </w:tc>
      </w:tr>
      <w:tr w:rsidR="0025490C" w:rsidRPr="00E07B1B" w:rsidTr="007E3726">
        <w:trPr>
          <w:cantSplit/>
        </w:trPr>
        <w:tc>
          <w:tcPr>
            <w:tcW w:w="486" w:type="pct"/>
            <w:tcBorders>
              <w:top w:val="nil"/>
              <w:bottom w:val="nil"/>
            </w:tcBorders>
            <w:shd w:val="clear" w:color="auto" w:fill="auto"/>
          </w:tcPr>
          <w:p w:rsidR="0025490C" w:rsidRPr="00E07B1B" w:rsidRDefault="0025490C" w:rsidP="007E3726">
            <w:pPr>
              <w:pStyle w:val="TableText"/>
            </w:pPr>
            <w:r w:rsidRPr="00E07B1B">
              <w:t>Hossein-Nezhad</w:t>
            </w:r>
            <w:r w:rsidR="007E3726">
              <w:br/>
            </w:r>
            <w:r w:rsidRPr="00E07B1B">
              <w:t>(2007)</w:t>
            </w:r>
          </w:p>
        </w:tc>
        <w:tc>
          <w:tcPr>
            <w:tcW w:w="534" w:type="pct"/>
            <w:tcBorders>
              <w:top w:val="nil"/>
              <w:bottom w:val="nil"/>
            </w:tcBorders>
            <w:shd w:val="clear" w:color="auto" w:fill="auto"/>
          </w:tcPr>
          <w:p w:rsidR="0025490C" w:rsidRPr="00E07B1B" w:rsidRDefault="0025490C" w:rsidP="007E3726">
            <w:pPr>
              <w:pStyle w:val="TableText"/>
            </w:pPr>
            <w:r w:rsidRPr="00E07B1B">
              <w:t>Iran</w:t>
            </w:r>
            <w:r w:rsidR="007E3726">
              <w:br/>
            </w:r>
            <w:r w:rsidRPr="00E07B1B">
              <w:t>2416</w:t>
            </w:r>
          </w:p>
        </w:tc>
        <w:tc>
          <w:tcPr>
            <w:tcW w:w="582" w:type="pct"/>
            <w:tcBorders>
              <w:top w:val="nil"/>
              <w:bottom w:val="nil"/>
            </w:tcBorders>
            <w:shd w:val="clear" w:color="auto" w:fill="auto"/>
          </w:tcPr>
          <w:p w:rsidR="0025490C" w:rsidRPr="00E07B1B" w:rsidRDefault="0025490C" w:rsidP="007B5EEF">
            <w:pPr>
              <w:pStyle w:val="TableText"/>
            </w:pPr>
            <w:r w:rsidRPr="00E07B1B">
              <w:t>Cross-sectional</w:t>
            </w:r>
          </w:p>
        </w:tc>
        <w:tc>
          <w:tcPr>
            <w:tcW w:w="1699" w:type="pct"/>
            <w:tcBorders>
              <w:top w:val="nil"/>
              <w:bottom w:val="nil"/>
            </w:tcBorders>
            <w:shd w:val="clear" w:color="auto" w:fill="auto"/>
          </w:tcPr>
          <w:p w:rsidR="0068074A" w:rsidRDefault="0025490C" w:rsidP="00E36057">
            <w:pPr>
              <w:pStyle w:val="TableText"/>
              <w:ind w:right="142"/>
            </w:pPr>
            <w:r w:rsidRPr="00E07B1B">
              <w:t xml:space="preserve">Universal screening </w:t>
            </w:r>
            <w:r>
              <w:t>with</w:t>
            </w:r>
            <w:r w:rsidRPr="00E07B1B">
              <w:t xml:space="preserve"> 50</w:t>
            </w:r>
            <w:r>
              <w:t> </w:t>
            </w:r>
            <w:r w:rsidRPr="00E07B1B">
              <w:t>g</w:t>
            </w:r>
            <w:r>
              <w:t>,</w:t>
            </w:r>
            <w:r w:rsidRPr="00E07B1B">
              <w:t xml:space="preserve"> 1</w:t>
            </w:r>
            <w:r>
              <w:t>-</w:t>
            </w:r>
            <w:r w:rsidRPr="00E07B1B">
              <w:t>hour glucose challenge test at 24</w:t>
            </w:r>
            <w:r>
              <w:t>–</w:t>
            </w:r>
            <w:r w:rsidRPr="00E07B1B">
              <w:t>28 weeks (women with known risk factors were screened at first antenatal visit). If result abnormal (≥</w:t>
            </w:r>
            <w:r>
              <w:t xml:space="preserve"> </w:t>
            </w:r>
            <w:r w:rsidRPr="00E07B1B">
              <w:t>130</w:t>
            </w:r>
            <w:r>
              <w:t xml:space="preserve"> </w:t>
            </w:r>
            <w:r w:rsidRPr="00E07B1B">
              <w:t>mg</w:t>
            </w:r>
            <w:r>
              <w:t>/dL</w:t>
            </w:r>
            <w:r w:rsidRPr="00E07B1B">
              <w:t>)</w:t>
            </w:r>
            <w:r>
              <w:t>,</w:t>
            </w:r>
            <w:r w:rsidRPr="00E07B1B">
              <w:t xml:space="preserve"> then underwent a 100</w:t>
            </w:r>
            <w:r w:rsidR="007E3726">
              <w:t> </w:t>
            </w:r>
            <w:r w:rsidRPr="00E07B1B">
              <w:t>g, 3</w:t>
            </w:r>
            <w:r>
              <w:t>-</w:t>
            </w:r>
            <w:r w:rsidRPr="00E07B1B">
              <w:t>hour OGTT using the Carpenter and Coustan criteria.</w:t>
            </w:r>
          </w:p>
          <w:p w:rsidR="0025490C" w:rsidRPr="00E07B1B" w:rsidRDefault="0025490C" w:rsidP="007E3726">
            <w:pPr>
              <w:pStyle w:val="TableText"/>
              <w:ind w:right="142"/>
            </w:pPr>
            <w:r w:rsidRPr="00E07B1B">
              <w:t>Women divided into four groups</w:t>
            </w:r>
            <w:r>
              <w:t>:</w:t>
            </w:r>
            <w:r w:rsidRPr="00E07B1B">
              <w:t xml:space="preserve"> 1</w:t>
            </w:r>
            <w:r>
              <w:t>.</w:t>
            </w:r>
            <w:r w:rsidRPr="00E07B1B">
              <w:t xml:space="preserve"> GDM</w:t>
            </w:r>
            <w:r>
              <w:t>;</w:t>
            </w:r>
            <w:r w:rsidRPr="00E07B1B">
              <w:t xml:space="preserve"> 2</w:t>
            </w:r>
            <w:r>
              <w:t>.</w:t>
            </w:r>
            <w:r w:rsidR="007E3726">
              <w:t> </w:t>
            </w:r>
            <w:r w:rsidRPr="00E07B1B">
              <w:t>IGT –impaired glucose tolerance</w:t>
            </w:r>
            <w:r>
              <w:t>;</w:t>
            </w:r>
            <w:r w:rsidRPr="00E07B1B">
              <w:t xml:space="preserve"> 3</w:t>
            </w:r>
            <w:r>
              <w:t>.</w:t>
            </w:r>
            <w:r w:rsidRPr="00E07B1B">
              <w:t xml:space="preserve"> IGCT impaired glucose challenge test</w:t>
            </w:r>
            <w:r>
              <w:t>;</w:t>
            </w:r>
            <w:r w:rsidRPr="00E07B1B">
              <w:t xml:space="preserve"> 4</w:t>
            </w:r>
            <w:r>
              <w:t>.</w:t>
            </w:r>
            <w:r w:rsidRPr="00E07B1B">
              <w:t xml:space="preserve"> normal</w:t>
            </w:r>
            <w:r>
              <w:t>.</w:t>
            </w:r>
          </w:p>
        </w:tc>
        <w:tc>
          <w:tcPr>
            <w:tcW w:w="1263" w:type="pct"/>
            <w:tcBorders>
              <w:top w:val="nil"/>
              <w:bottom w:val="nil"/>
            </w:tcBorders>
            <w:shd w:val="clear" w:color="auto" w:fill="auto"/>
          </w:tcPr>
          <w:p w:rsidR="0025490C" w:rsidRPr="00E07B1B" w:rsidRDefault="0025490C" w:rsidP="007E3726">
            <w:pPr>
              <w:pStyle w:val="TableText"/>
            </w:pPr>
            <w:r w:rsidRPr="00E07B1B">
              <w:t>Compared with women with a normal screening test, women with GDM were more likely to be multiparous (adj OR 1.56, 95%CI 1.07</w:t>
            </w:r>
            <w:r>
              <w:t>–</w:t>
            </w:r>
            <w:r w:rsidRPr="00E07B1B">
              <w:t xml:space="preserve">2.31, </w:t>
            </w:r>
            <w:r w:rsidRPr="002B0699">
              <w:rPr>
                <w:i/>
              </w:rPr>
              <w:t>p</w:t>
            </w:r>
            <w:r w:rsidR="007E3726">
              <w:rPr>
                <w:i/>
              </w:rPr>
              <w:t> </w:t>
            </w:r>
            <w:r w:rsidRPr="00E07B1B">
              <w:t>=</w:t>
            </w:r>
            <w:r w:rsidR="007E3726">
              <w:t> </w:t>
            </w:r>
            <w:r w:rsidRPr="00E07B1B">
              <w:t>0.02)</w:t>
            </w:r>
            <w:r>
              <w:t>.</w:t>
            </w:r>
          </w:p>
        </w:tc>
        <w:tc>
          <w:tcPr>
            <w:tcW w:w="436" w:type="pct"/>
            <w:tcBorders>
              <w:top w:val="nil"/>
              <w:bottom w:val="nil"/>
            </w:tcBorders>
            <w:shd w:val="clear" w:color="auto" w:fill="auto"/>
          </w:tcPr>
          <w:p w:rsidR="0025490C" w:rsidRPr="00E07B1B" w:rsidRDefault="0025490C" w:rsidP="00E36057">
            <w:pPr>
              <w:pStyle w:val="TableText"/>
              <w:jc w:val="center"/>
            </w:pPr>
            <w:r w:rsidRPr="00E07B1B">
              <w:t>MEDIUM</w:t>
            </w:r>
          </w:p>
        </w:tc>
      </w:tr>
      <w:tr w:rsidR="0025490C" w:rsidRPr="00E07B1B" w:rsidTr="007E3726">
        <w:trPr>
          <w:cantSplit/>
        </w:trPr>
        <w:tc>
          <w:tcPr>
            <w:tcW w:w="486" w:type="pct"/>
            <w:tcBorders>
              <w:top w:val="nil"/>
              <w:bottom w:val="nil"/>
            </w:tcBorders>
            <w:shd w:val="clear" w:color="auto" w:fill="F2F2F2" w:themeFill="background1" w:themeFillShade="F2"/>
          </w:tcPr>
          <w:p w:rsidR="0025490C" w:rsidRPr="00E07B1B" w:rsidRDefault="0025490C" w:rsidP="007E3726">
            <w:pPr>
              <w:pStyle w:val="TableText"/>
            </w:pPr>
            <w:r w:rsidRPr="00E07B1B">
              <w:t>Al-Kuwari</w:t>
            </w:r>
            <w:r w:rsidR="007E3726">
              <w:br/>
            </w:r>
            <w:r w:rsidRPr="00E07B1B">
              <w:t>(2011)</w:t>
            </w:r>
          </w:p>
        </w:tc>
        <w:tc>
          <w:tcPr>
            <w:tcW w:w="534" w:type="pct"/>
            <w:tcBorders>
              <w:top w:val="nil"/>
              <w:bottom w:val="nil"/>
            </w:tcBorders>
            <w:shd w:val="clear" w:color="auto" w:fill="F2F2F2" w:themeFill="background1" w:themeFillShade="F2"/>
          </w:tcPr>
          <w:p w:rsidR="0025490C" w:rsidRPr="00E07B1B" w:rsidRDefault="0025490C" w:rsidP="007E3726">
            <w:pPr>
              <w:pStyle w:val="TableText"/>
            </w:pPr>
            <w:r w:rsidRPr="00E07B1B">
              <w:t>Qatar</w:t>
            </w:r>
            <w:r w:rsidR="007E3726">
              <w:br/>
            </w:r>
            <w:r w:rsidRPr="00E07B1B">
              <w:t>4295</w:t>
            </w:r>
          </w:p>
        </w:tc>
        <w:tc>
          <w:tcPr>
            <w:tcW w:w="582" w:type="pct"/>
            <w:tcBorders>
              <w:top w:val="nil"/>
              <w:bottom w:val="nil"/>
            </w:tcBorders>
            <w:shd w:val="clear" w:color="auto" w:fill="F2F2F2" w:themeFill="background1" w:themeFillShade="F2"/>
          </w:tcPr>
          <w:p w:rsidR="0025490C" w:rsidRPr="00E07B1B" w:rsidRDefault="0025490C" w:rsidP="007B5EEF">
            <w:pPr>
              <w:pStyle w:val="TableText"/>
            </w:pPr>
            <w:r w:rsidRPr="00E07B1B">
              <w:t>Cross-sectional</w:t>
            </w:r>
          </w:p>
        </w:tc>
        <w:tc>
          <w:tcPr>
            <w:tcW w:w="1699" w:type="pct"/>
            <w:tcBorders>
              <w:top w:val="nil"/>
              <w:bottom w:val="nil"/>
            </w:tcBorders>
            <w:shd w:val="clear" w:color="auto" w:fill="F2F2F2" w:themeFill="background1" w:themeFillShade="F2"/>
          </w:tcPr>
          <w:p w:rsidR="0025490C" w:rsidRDefault="0025490C" w:rsidP="00E36057">
            <w:pPr>
              <w:pStyle w:val="TableText"/>
              <w:ind w:right="142"/>
            </w:pPr>
            <w:r w:rsidRPr="00E07B1B">
              <w:t>1</w:t>
            </w:r>
            <w:r>
              <w:t>-</w:t>
            </w:r>
            <w:r w:rsidRPr="00E07B1B">
              <w:t>hour glucose challenge test (no details)</w:t>
            </w:r>
          </w:p>
          <w:p w:rsidR="0068074A" w:rsidRDefault="0025490C" w:rsidP="007E3726">
            <w:pPr>
              <w:pStyle w:val="TableText"/>
              <w:spacing w:after="30"/>
              <w:ind w:right="142"/>
            </w:pPr>
            <w:r w:rsidRPr="00E07B1B">
              <w:t>If ≥</w:t>
            </w:r>
            <w:r w:rsidR="007E3726">
              <w:t> </w:t>
            </w:r>
            <w:r w:rsidRPr="00E07B1B">
              <w:t>7.8</w:t>
            </w:r>
            <w:r>
              <w:t xml:space="preserve"> </w:t>
            </w:r>
            <w:r w:rsidRPr="00E07B1B">
              <w:t>mmol/L</w:t>
            </w:r>
            <w:r>
              <w:t>,</w:t>
            </w:r>
            <w:r w:rsidRPr="00E07B1B">
              <w:t xml:space="preserve"> then a 7</w:t>
            </w:r>
            <w:r>
              <w:t xml:space="preserve"> </w:t>
            </w:r>
            <w:r w:rsidRPr="00E07B1B">
              <w:t>5g OGTT</w:t>
            </w:r>
            <w:r>
              <w:t>:</w:t>
            </w:r>
          </w:p>
          <w:p w:rsidR="0025490C" w:rsidRPr="00E07B1B" w:rsidRDefault="0025490C" w:rsidP="007E3726">
            <w:pPr>
              <w:pStyle w:val="TableBullet"/>
              <w:spacing w:after="30"/>
              <w:ind w:left="284"/>
            </w:pPr>
            <w:r>
              <w:t>f</w:t>
            </w:r>
            <w:r w:rsidRPr="00E07B1B">
              <w:t>asting &gt; 95 mg</w:t>
            </w:r>
            <w:r>
              <w:t>/dL</w:t>
            </w:r>
          </w:p>
          <w:p w:rsidR="0025490C" w:rsidRPr="00E07B1B" w:rsidRDefault="0025490C" w:rsidP="007E3726">
            <w:pPr>
              <w:pStyle w:val="TableBullet"/>
              <w:spacing w:after="30"/>
              <w:ind w:left="284"/>
            </w:pPr>
            <w:r w:rsidRPr="00E07B1B">
              <w:t>1</w:t>
            </w:r>
            <w:r>
              <w:t>-</w:t>
            </w:r>
            <w:r w:rsidRPr="00E07B1B">
              <w:t>hour &gt;180 mg</w:t>
            </w:r>
            <w:r>
              <w:t>/dL</w:t>
            </w:r>
          </w:p>
          <w:p w:rsidR="0025490C" w:rsidRPr="00E07B1B" w:rsidRDefault="0025490C" w:rsidP="007E3726">
            <w:pPr>
              <w:pStyle w:val="TableBullet"/>
              <w:spacing w:after="30"/>
              <w:ind w:left="284"/>
            </w:pPr>
            <w:r w:rsidRPr="00E07B1B">
              <w:t>2</w:t>
            </w:r>
            <w:r>
              <w:t>-</w:t>
            </w:r>
            <w:r w:rsidRPr="00E07B1B">
              <w:t>hour &gt; 155 mg</w:t>
            </w:r>
            <w:r>
              <w:t>/dL</w:t>
            </w:r>
          </w:p>
          <w:p w:rsidR="0025490C" w:rsidRPr="00E07B1B" w:rsidRDefault="0025490C" w:rsidP="007E3726">
            <w:pPr>
              <w:pStyle w:val="TableBullet"/>
              <w:ind w:left="284"/>
            </w:pPr>
            <w:r w:rsidRPr="00E07B1B">
              <w:t>3</w:t>
            </w:r>
            <w:r>
              <w:t>-</w:t>
            </w:r>
            <w:r w:rsidRPr="00E07B1B">
              <w:t>hour &gt; 140 mg</w:t>
            </w:r>
            <w:r>
              <w:t>/dL.</w:t>
            </w:r>
          </w:p>
        </w:tc>
        <w:tc>
          <w:tcPr>
            <w:tcW w:w="1263" w:type="pct"/>
            <w:tcBorders>
              <w:top w:val="nil"/>
              <w:bottom w:val="nil"/>
            </w:tcBorders>
            <w:shd w:val="clear" w:color="auto" w:fill="F2F2F2" w:themeFill="background1" w:themeFillShade="F2"/>
          </w:tcPr>
          <w:p w:rsidR="0025490C" w:rsidRPr="00E07B1B" w:rsidRDefault="0025490C" w:rsidP="007E3726">
            <w:pPr>
              <w:pStyle w:val="TableText"/>
            </w:pPr>
            <w:r w:rsidRPr="00E07B1B">
              <w:t>≥</w:t>
            </w:r>
            <w:r>
              <w:t xml:space="preserve"> </w:t>
            </w:r>
            <w:r w:rsidRPr="00E07B1B">
              <w:t>4 pregnancies (OR 2.7; 95%CI</w:t>
            </w:r>
            <w:r w:rsidR="007E3726">
              <w:br/>
            </w:r>
            <w:r w:rsidRPr="00E07B1B">
              <w:t>1.7</w:t>
            </w:r>
            <w:r>
              <w:t>–</w:t>
            </w:r>
            <w:r w:rsidRPr="00E07B1B">
              <w:t>4.2)</w:t>
            </w:r>
            <w:r w:rsidR="007E3726">
              <w:t>.</w:t>
            </w:r>
          </w:p>
        </w:tc>
        <w:tc>
          <w:tcPr>
            <w:tcW w:w="436" w:type="pct"/>
            <w:tcBorders>
              <w:top w:val="nil"/>
              <w:bottom w:val="nil"/>
            </w:tcBorders>
            <w:shd w:val="clear" w:color="auto" w:fill="F2F2F2" w:themeFill="background1" w:themeFillShade="F2"/>
          </w:tcPr>
          <w:p w:rsidR="0025490C" w:rsidRPr="00E07B1B" w:rsidRDefault="0025490C" w:rsidP="00E36057">
            <w:pPr>
              <w:pStyle w:val="TableText"/>
              <w:jc w:val="center"/>
            </w:pPr>
            <w:r w:rsidRPr="00E07B1B">
              <w:t>LOW</w:t>
            </w:r>
          </w:p>
        </w:tc>
      </w:tr>
      <w:tr w:rsidR="0025490C" w:rsidRPr="00E07B1B" w:rsidTr="007E3726">
        <w:trPr>
          <w:cantSplit/>
        </w:trPr>
        <w:tc>
          <w:tcPr>
            <w:tcW w:w="486" w:type="pct"/>
            <w:tcBorders>
              <w:top w:val="nil"/>
              <w:bottom w:val="nil"/>
            </w:tcBorders>
            <w:shd w:val="clear" w:color="auto" w:fill="auto"/>
          </w:tcPr>
          <w:p w:rsidR="0025490C" w:rsidRPr="00E07B1B" w:rsidRDefault="0025490C" w:rsidP="007E3726">
            <w:pPr>
              <w:pStyle w:val="TableText"/>
            </w:pPr>
            <w:r w:rsidRPr="00E07B1B">
              <w:t>Kun</w:t>
            </w:r>
            <w:r w:rsidR="007E3726">
              <w:br/>
            </w:r>
            <w:r w:rsidRPr="00E07B1B">
              <w:t>(2011)</w:t>
            </w:r>
          </w:p>
        </w:tc>
        <w:tc>
          <w:tcPr>
            <w:tcW w:w="534" w:type="pct"/>
            <w:tcBorders>
              <w:top w:val="nil"/>
              <w:bottom w:val="nil"/>
            </w:tcBorders>
            <w:shd w:val="clear" w:color="auto" w:fill="auto"/>
          </w:tcPr>
          <w:p w:rsidR="0025490C" w:rsidRPr="00E07B1B" w:rsidRDefault="0025490C" w:rsidP="007E3726">
            <w:pPr>
              <w:pStyle w:val="TableText"/>
            </w:pPr>
            <w:r w:rsidRPr="00E07B1B">
              <w:t>Hungary</w:t>
            </w:r>
            <w:r w:rsidR="007E3726">
              <w:br/>
            </w:r>
            <w:r w:rsidRPr="00E07B1B">
              <w:t>2260</w:t>
            </w:r>
          </w:p>
        </w:tc>
        <w:tc>
          <w:tcPr>
            <w:tcW w:w="582" w:type="pct"/>
            <w:tcBorders>
              <w:top w:val="nil"/>
              <w:bottom w:val="nil"/>
            </w:tcBorders>
            <w:shd w:val="clear" w:color="auto" w:fill="auto"/>
          </w:tcPr>
          <w:p w:rsidR="0025490C" w:rsidRPr="00E07B1B" w:rsidRDefault="0025490C" w:rsidP="007B5EEF">
            <w:pPr>
              <w:pStyle w:val="TableText"/>
            </w:pPr>
            <w:r w:rsidRPr="00E07B1B">
              <w:t>Observational</w:t>
            </w:r>
          </w:p>
        </w:tc>
        <w:tc>
          <w:tcPr>
            <w:tcW w:w="1699" w:type="pct"/>
            <w:tcBorders>
              <w:top w:val="nil"/>
              <w:bottom w:val="nil"/>
            </w:tcBorders>
            <w:shd w:val="clear" w:color="auto" w:fill="auto"/>
          </w:tcPr>
          <w:p w:rsidR="0025490C" w:rsidRPr="00E07B1B" w:rsidRDefault="0025490C" w:rsidP="00E36057">
            <w:pPr>
              <w:pStyle w:val="TableText"/>
              <w:ind w:right="142"/>
            </w:pPr>
            <w:r w:rsidRPr="00E07B1B">
              <w:t>75</w:t>
            </w:r>
            <w:r>
              <w:t xml:space="preserve"> </w:t>
            </w:r>
            <w:r w:rsidRPr="00E07B1B">
              <w:t>g OGTT. 2</w:t>
            </w:r>
            <w:r>
              <w:t>-</w:t>
            </w:r>
            <w:r w:rsidRPr="00E07B1B">
              <w:t>hour post-test.</w:t>
            </w:r>
            <w:r>
              <w:t xml:space="preserve"> </w:t>
            </w:r>
            <w:r w:rsidRPr="00E07B1B">
              <w:t>Diagnosis based on WHO or IADPSG criteria.</w:t>
            </w:r>
          </w:p>
        </w:tc>
        <w:tc>
          <w:tcPr>
            <w:tcW w:w="1263" w:type="pct"/>
            <w:tcBorders>
              <w:top w:val="nil"/>
              <w:bottom w:val="nil"/>
            </w:tcBorders>
            <w:shd w:val="clear" w:color="auto" w:fill="auto"/>
          </w:tcPr>
          <w:p w:rsidR="0025490C" w:rsidRPr="00E07B1B" w:rsidRDefault="0025490C" w:rsidP="007E3726">
            <w:pPr>
              <w:pStyle w:val="TableText"/>
            </w:pPr>
            <w:r w:rsidRPr="00E07B1B">
              <w:t>The more deliveries</w:t>
            </w:r>
            <w:r>
              <w:t xml:space="preserve"> a woman had had,</w:t>
            </w:r>
            <w:r w:rsidRPr="00E07B1B">
              <w:t xml:space="preserve"> the </w:t>
            </w:r>
            <w:r>
              <w:t>higher the</w:t>
            </w:r>
            <w:r w:rsidRPr="00E07B1B">
              <w:t xml:space="preserve"> risk of GDM using both diagnostic criteria (</w:t>
            </w:r>
            <w:r w:rsidRPr="002B0699">
              <w:rPr>
                <w:i/>
              </w:rPr>
              <w:t>p</w:t>
            </w:r>
            <w:r>
              <w:t> </w:t>
            </w:r>
            <w:r w:rsidRPr="00E07B1B">
              <w:t>=</w:t>
            </w:r>
            <w:r>
              <w:t> </w:t>
            </w:r>
            <w:r w:rsidRPr="00E07B1B">
              <w:t>0.002 and</w:t>
            </w:r>
            <w:r w:rsidRPr="002B0699">
              <w:rPr>
                <w:i/>
              </w:rPr>
              <w:t xml:space="preserve"> p</w:t>
            </w:r>
            <w:r w:rsidR="007E3726">
              <w:rPr>
                <w:i/>
              </w:rPr>
              <w:t> </w:t>
            </w:r>
            <w:r w:rsidRPr="00E07B1B">
              <w:t>&lt;</w:t>
            </w:r>
            <w:r w:rsidR="007E3726">
              <w:t> </w:t>
            </w:r>
            <w:r w:rsidRPr="00E07B1B">
              <w:t xml:space="preserve">0.0001 respectively) </w:t>
            </w:r>
            <w:r>
              <w:t xml:space="preserve">for </w:t>
            </w:r>
            <w:r w:rsidRPr="00E07B1B">
              <w:t xml:space="preserve">up to </w:t>
            </w:r>
            <w:r>
              <w:t>three</w:t>
            </w:r>
            <w:r w:rsidRPr="00E07B1B">
              <w:t xml:space="preserve"> deliveries but</w:t>
            </w:r>
            <w:r>
              <w:t xml:space="preserve"> the risk</w:t>
            </w:r>
            <w:r w:rsidRPr="00E07B1B">
              <w:t xml:space="preserve"> decreased risk after that.</w:t>
            </w:r>
          </w:p>
        </w:tc>
        <w:tc>
          <w:tcPr>
            <w:tcW w:w="436" w:type="pct"/>
            <w:tcBorders>
              <w:top w:val="nil"/>
              <w:bottom w:val="nil"/>
            </w:tcBorders>
            <w:shd w:val="clear" w:color="auto" w:fill="auto"/>
          </w:tcPr>
          <w:p w:rsidR="0025490C" w:rsidRPr="00E07B1B" w:rsidRDefault="0025490C" w:rsidP="00E36057">
            <w:pPr>
              <w:pStyle w:val="TableText"/>
              <w:jc w:val="center"/>
            </w:pPr>
            <w:r w:rsidRPr="00E07B1B">
              <w:t>LOW</w:t>
            </w:r>
          </w:p>
        </w:tc>
      </w:tr>
      <w:tr w:rsidR="0025490C" w:rsidRPr="00E07B1B" w:rsidTr="007E3726">
        <w:trPr>
          <w:cantSplit/>
        </w:trPr>
        <w:tc>
          <w:tcPr>
            <w:tcW w:w="486" w:type="pct"/>
            <w:tcBorders>
              <w:top w:val="nil"/>
              <w:bottom w:val="single" w:sz="4" w:space="0" w:color="auto"/>
            </w:tcBorders>
            <w:shd w:val="clear" w:color="auto" w:fill="F2F2F2" w:themeFill="background1" w:themeFillShade="F2"/>
          </w:tcPr>
          <w:p w:rsidR="0025490C" w:rsidRPr="00E07B1B" w:rsidRDefault="0025490C" w:rsidP="007E3726">
            <w:pPr>
              <w:pStyle w:val="TableText"/>
            </w:pPr>
            <w:r w:rsidRPr="00E07B1B">
              <w:t>Hoseini</w:t>
            </w:r>
            <w:r w:rsidR="007E3726">
              <w:br/>
            </w:r>
            <w:r w:rsidRPr="00E07B1B">
              <w:t>(2011)</w:t>
            </w:r>
          </w:p>
        </w:tc>
        <w:tc>
          <w:tcPr>
            <w:tcW w:w="534" w:type="pct"/>
            <w:tcBorders>
              <w:top w:val="nil"/>
              <w:bottom w:val="single" w:sz="4" w:space="0" w:color="auto"/>
            </w:tcBorders>
            <w:shd w:val="clear" w:color="auto" w:fill="F2F2F2" w:themeFill="background1" w:themeFillShade="F2"/>
          </w:tcPr>
          <w:p w:rsidR="0025490C" w:rsidRPr="00E07B1B" w:rsidRDefault="0025490C" w:rsidP="007E3726">
            <w:pPr>
              <w:pStyle w:val="TableText"/>
            </w:pPr>
            <w:r w:rsidRPr="00E07B1B">
              <w:t>Iran</w:t>
            </w:r>
            <w:r w:rsidR="007E3726">
              <w:br/>
            </w:r>
            <w:r w:rsidRPr="00E07B1B">
              <w:t>114 cases</w:t>
            </w:r>
            <w:r>
              <w:t>,</w:t>
            </w:r>
            <w:r w:rsidRPr="00E07B1B">
              <w:t xml:space="preserve"> 113</w:t>
            </w:r>
            <w:r w:rsidR="007E3726">
              <w:t> </w:t>
            </w:r>
            <w:r w:rsidRPr="00E07B1B">
              <w:t>controls</w:t>
            </w:r>
          </w:p>
        </w:tc>
        <w:tc>
          <w:tcPr>
            <w:tcW w:w="582" w:type="pct"/>
            <w:tcBorders>
              <w:top w:val="nil"/>
              <w:bottom w:val="single" w:sz="4" w:space="0" w:color="auto"/>
            </w:tcBorders>
            <w:shd w:val="clear" w:color="auto" w:fill="F2F2F2" w:themeFill="background1" w:themeFillShade="F2"/>
          </w:tcPr>
          <w:p w:rsidR="0025490C" w:rsidRPr="00E07B1B" w:rsidRDefault="0025490C" w:rsidP="007E3726">
            <w:pPr>
              <w:pStyle w:val="TableText"/>
            </w:pPr>
            <w:r w:rsidRPr="00E07B1B">
              <w:t>Retrospective cross</w:t>
            </w:r>
            <w:r>
              <w:t>-</w:t>
            </w:r>
            <w:r w:rsidRPr="00E07B1B">
              <w:t>sectional</w:t>
            </w:r>
          </w:p>
        </w:tc>
        <w:tc>
          <w:tcPr>
            <w:tcW w:w="1699" w:type="pct"/>
            <w:tcBorders>
              <w:top w:val="nil"/>
              <w:bottom w:val="single" w:sz="4" w:space="0" w:color="auto"/>
            </w:tcBorders>
            <w:shd w:val="clear" w:color="auto" w:fill="F2F2F2" w:themeFill="background1" w:themeFillShade="F2"/>
          </w:tcPr>
          <w:p w:rsidR="0025490C" w:rsidRDefault="0025490C" w:rsidP="00E36057">
            <w:pPr>
              <w:pStyle w:val="TableText"/>
              <w:ind w:right="142"/>
            </w:pPr>
            <w:r w:rsidRPr="00E07B1B">
              <w:t>50</w:t>
            </w:r>
            <w:r>
              <w:t xml:space="preserve"> </w:t>
            </w:r>
            <w:r w:rsidRPr="00E07B1B">
              <w:t>g</w:t>
            </w:r>
            <w:r>
              <w:t>,</w:t>
            </w:r>
            <w:r w:rsidRPr="00E07B1B">
              <w:t xml:space="preserve"> 1</w:t>
            </w:r>
            <w:r>
              <w:t>-</w:t>
            </w:r>
            <w:r w:rsidRPr="00E07B1B">
              <w:t xml:space="preserve">hour </w:t>
            </w:r>
            <w:r>
              <w:t>oral g</w:t>
            </w:r>
            <w:r w:rsidRPr="00E07B1B">
              <w:t xml:space="preserve">lucose </w:t>
            </w:r>
            <w:r>
              <w:t>c</w:t>
            </w:r>
            <w:r w:rsidRPr="00E07B1B">
              <w:t xml:space="preserve">hallenge </w:t>
            </w:r>
            <w:r>
              <w:t>t</w:t>
            </w:r>
            <w:r w:rsidRPr="00E07B1B">
              <w:t>est</w:t>
            </w:r>
          </w:p>
          <w:p w:rsidR="0025490C" w:rsidRPr="00E07B1B" w:rsidRDefault="0025490C" w:rsidP="007E3726">
            <w:pPr>
              <w:pStyle w:val="TableText"/>
              <w:spacing w:after="30"/>
              <w:ind w:right="142"/>
            </w:pPr>
            <w:r w:rsidRPr="00E07B1B">
              <w:t>If &gt;</w:t>
            </w:r>
            <w:r>
              <w:t xml:space="preserve"> </w:t>
            </w:r>
            <w:r w:rsidRPr="00E07B1B">
              <w:t>140</w:t>
            </w:r>
            <w:r>
              <w:t xml:space="preserve"> </w:t>
            </w:r>
            <w:r w:rsidRPr="00E07B1B">
              <w:t>mg</w:t>
            </w:r>
            <w:r>
              <w:t>/dL,</w:t>
            </w:r>
            <w:r w:rsidRPr="00E07B1B">
              <w:t xml:space="preserve"> then a 100</w:t>
            </w:r>
            <w:r>
              <w:t xml:space="preserve"> </w:t>
            </w:r>
            <w:r w:rsidRPr="00E07B1B">
              <w:t>g</w:t>
            </w:r>
            <w:r>
              <w:t>,</w:t>
            </w:r>
            <w:r w:rsidRPr="00E07B1B">
              <w:t xml:space="preserve"> 3</w:t>
            </w:r>
            <w:r>
              <w:t>-</w:t>
            </w:r>
            <w:r w:rsidRPr="00E07B1B">
              <w:t>hour OGTT</w:t>
            </w:r>
            <w:r>
              <w:t>,</w:t>
            </w:r>
            <w:r w:rsidRPr="00E07B1B">
              <w:t xml:space="preserve"> with </w:t>
            </w:r>
            <w:r>
              <w:t>two</w:t>
            </w:r>
            <w:r w:rsidRPr="00E07B1B">
              <w:t xml:space="preserve"> or more abnormal readings</w:t>
            </w:r>
            <w:r>
              <w:t xml:space="preserve"> required from:</w:t>
            </w:r>
          </w:p>
          <w:p w:rsidR="0025490C" w:rsidRPr="00E07B1B" w:rsidRDefault="0025490C" w:rsidP="007E3726">
            <w:pPr>
              <w:pStyle w:val="TableBullet"/>
              <w:spacing w:after="30"/>
              <w:ind w:left="284"/>
            </w:pPr>
            <w:r>
              <w:t>f</w:t>
            </w:r>
            <w:r w:rsidRPr="00E07B1B">
              <w:t>asting &gt;</w:t>
            </w:r>
            <w:r>
              <w:t xml:space="preserve"> </w:t>
            </w:r>
            <w:r w:rsidRPr="00E07B1B">
              <w:t>95</w:t>
            </w:r>
            <w:r>
              <w:t xml:space="preserve"> </w:t>
            </w:r>
            <w:r w:rsidRPr="00E07B1B">
              <w:t>mg</w:t>
            </w:r>
            <w:r>
              <w:t>/dL</w:t>
            </w:r>
          </w:p>
          <w:p w:rsidR="0025490C" w:rsidRPr="00E07B1B" w:rsidRDefault="0025490C" w:rsidP="007E3726">
            <w:pPr>
              <w:pStyle w:val="TableBullet"/>
              <w:spacing w:after="30"/>
              <w:ind w:left="284"/>
            </w:pPr>
            <w:r w:rsidRPr="00E07B1B">
              <w:t>1</w:t>
            </w:r>
            <w:r>
              <w:t>-</w:t>
            </w:r>
            <w:r w:rsidRPr="00E07B1B">
              <w:t>hour &gt;</w:t>
            </w:r>
            <w:r>
              <w:t xml:space="preserve"> </w:t>
            </w:r>
            <w:r w:rsidRPr="00E07B1B">
              <w:t>180</w:t>
            </w:r>
            <w:r>
              <w:t xml:space="preserve"> </w:t>
            </w:r>
            <w:r w:rsidRPr="00E07B1B">
              <w:t>mg</w:t>
            </w:r>
            <w:r>
              <w:t>/dL</w:t>
            </w:r>
          </w:p>
          <w:p w:rsidR="0025490C" w:rsidRPr="00E07B1B" w:rsidRDefault="0025490C" w:rsidP="007E3726">
            <w:pPr>
              <w:pStyle w:val="TableBullet"/>
              <w:spacing w:after="30"/>
              <w:ind w:left="284"/>
            </w:pPr>
            <w:r w:rsidRPr="00E07B1B">
              <w:t>2</w:t>
            </w:r>
            <w:r>
              <w:t>-</w:t>
            </w:r>
            <w:r w:rsidRPr="00E07B1B">
              <w:t>hour</w:t>
            </w:r>
            <w:r>
              <w:t xml:space="preserve"> </w:t>
            </w:r>
            <w:r w:rsidRPr="00E07B1B">
              <w:t>&gt; 155</w:t>
            </w:r>
            <w:r>
              <w:t xml:space="preserve"> </w:t>
            </w:r>
            <w:r w:rsidRPr="00E07B1B">
              <w:t>mg</w:t>
            </w:r>
            <w:r>
              <w:t>/dL</w:t>
            </w:r>
          </w:p>
          <w:p w:rsidR="0025490C" w:rsidRPr="00E07B1B" w:rsidRDefault="0025490C" w:rsidP="007E3726">
            <w:pPr>
              <w:pStyle w:val="TableBullet"/>
              <w:ind w:left="284"/>
            </w:pPr>
            <w:r w:rsidRPr="00E07B1B">
              <w:t>3</w:t>
            </w:r>
            <w:r>
              <w:t>-</w:t>
            </w:r>
            <w:r w:rsidRPr="00E07B1B">
              <w:t>hour &gt; 140</w:t>
            </w:r>
            <w:r>
              <w:t xml:space="preserve"> </w:t>
            </w:r>
            <w:r w:rsidRPr="00E07B1B">
              <w:t>mg</w:t>
            </w:r>
            <w:r>
              <w:t>/dL.</w:t>
            </w:r>
          </w:p>
        </w:tc>
        <w:tc>
          <w:tcPr>
            <w:tcW w:w="1263" w:type="pct"/>
            <w:tcBorders>
              <w:top w:val="nil"/>
              <w:bottom w:val="single" w:sz="4" w:space="0" w:color="auto"/>
            </w:tcBorders>
            <w:shd w:val="clear" w:color="auto" w:fill="F2F2F2" w:themeFill="background1" w:themeFillShade="F2"/>
          </w:tcPr>
          <w:p w:rsidR="0025490C" w:rsidRPr="00E07B1B" w:rsidRDefault="0025490C" w:rsidP="007B5EEF">
            <w:pPr>
              <w:pStyle w:val="TableText"/>
            </w:pPr>
            <w:r w:rsidRPr="00E07B1B">
              <w:t>Not significant</w:t>
            </w:r>
            <w:r w:rsidR="007E3726">
              <w:t>.</w:t>
            </w:r>
          </w:p>
        </w:tc>
        <w:tc>
          <w:tcPr>
            <w:tcW w:w="436" w:type="pct"/>
            <w:tcBorders>
              <w:top w:val="nil"/>
              <w:bottom w:val="single" w:sz="4" w:space="0" w:color="auto"/>
            </w:tcBorders>
            <w:shd w:val="clear" w:color="auto" w:fill="F2F2F2" w:themeFill="background1" w:themeFillShade="F2"/>
          </w:tcPr>
          <w:p w:rsidR="0025490C" w:rsidRPr="00E07B1B" w:rsidRDefault="0025490C" w:rsidP="00E36057">
            <w:pPr>
              <w:pStyle w:val="TableText"/>
              <w:jc w:val="center"/>
            </w:pPr>
            <w:r w:rsidRPr="00E07B1B">
              <w:t>LOW</w:t>
            </w:r>
          </w:p>
        </w:tc>
      </w:tr>
    </w:tbl>
    <w:p w:rsidR="0025490C" w:rsidRDefault="0025490C" w:rsidP="0080418E">
      <w:pPr>
        <w:pStyle w:val="Source"/>
        <w:ind w:left="0" w:firstLine="0"/>
      </w:pPr>
      <w:r>
        <w:t xml:space="preserve">Note: </w:t>
      </w:r>
      <w:r w:rsidRPr="00E07B1B">
        <w:t xml:space="preserve">GDM </w:t>
      </w:r>
      <w:r>
        <w:t>=</w:t>
      </w:r>
      <w:r w:rsidRPr="00E07B1B">
        <w:t xml:space="preserve"> </w:t>
      </w:r>
      <w:r>
        <w:t>g</w:t>
      </w:r>
      <w:r w:rsidRPr="00E07B1B">
        <w:t xml:space="preserve">estational diabetes mellitus; IADPSG </w:t>
      </w:r>
      <w:r>
        <w:t>=</w:t>
      </w:r>
      <w:r w:rsidRPr="00E07B1B">
        <w:t xml:space="preserve"> International Association of Diabetes </w:t>
      </w:r>
      <w:r>
        <w:t>and</w:t>
      </w:r>
      <w:r w:rsidRPr="00E07B1B">
        <w:t xml:space="preserve"> Pregnancy Study Group</w:t>
      </w:r>
      <w:r>
        <w:t>s</w:t>
      </w:r>
      <w:r w:rsidRPr="00E07B1B">
        <w:t>;</w:t>
      </w:r>
      <w:r>
        <w:t xml:space="preserve"> </w:t>
      </w:r>
      <w:r w:rsidRPr="00E07B1B">
        <w:t>OGTT</w:t>
      </w:r>
      <w:r>
        <w:t xml:space="preserve"> = o</w:t>
      </w:r>
      <w:r w:rsidRPr="00E07B1B">
        <w:t xml:space="preserve">ral </w:t>
      </w:r>
      <w:r>
        <w:t>g</w:t>
      </w:r>
      <w:r w:rsidRPr="00E07B1B">
        <w:t xml:space="preserve">lucose </w:t>
      </w:r>
      <w:r>
        <w:t>t</w:t>
      </w:r>
      <w:r w:rsidRPr="00E07B1B">
        <w:t xml:space="preserve">olerance </w:t>
      </w:r>
      <w:r>
        <w:t>t</w:t>
      </w:r>
      <w:r w:rsidRPr="00E07B1B">
        <w:t>est</w:t>
      </w:r>
      <w:r>
        <w:t>; OR = odds ratio</w:t>
      </w:r>
      <w:r w:rsidRPr="00E07B1B">
        <w:t xml:space="preserve">; WHO </w:t>
      </w:r>
      <w:r>
        <w:t>=</w:t>
      </w:r>
      <w:r w:rsidRPr="00E07B1B">
        <w:t xml:space="preserve"> World Health Organi</w:t>
      </w:r>
      <w:r>
        <w:t>z</w:t>
      </w:r>
      <w:r w:rsidRPr="00E07B1B">
        <w:t>ation</w:t>
      </w:r>
      <w:bookmarkStart w:id="463" w:name="_Toc358366906"/>
      <w:r w:rsidR="0080418E">
        <w:t>.</w:t>
      </w:r>
    </w:p>
    <w:p w:rsidR="0080418E" w:rsidRPr="0080418E" w:rsidRDefault="0080418E" w:rsidP="0080418E"/>
    <w:p w:rsidR="0025490C" w:rsidRPr="00E07B1B" w:rsidRDefault="0025490C" w:rsidP="0080418E">
      <w:pPr>
        <w:pStyle w:val="Table"/>
      </w:pPr>
      <w:bookmarkStart w:id="464" w:name="_Toc363717786"/>
      <w:bookmarkStart w:id="465" w:name="_Toc403635893"/>
      <w:r w:rsidRPr="00E07B1B">
        <w:t>Table 12</w:t>
      </w:r>
      <w:r w:rsidR="0080418E">
        <w:t>:</w:t>
      </w:r>
      <w:r w:rsidRPr="00E07B1B">
        <w:t xml:space="preserve"> Studies reporting on dietary factors as a risk factor for developing gestational diabetes</w:t>
      </w:r>
      <w:bookmarkEnd w:id="463"/>
      <w:bookmarkEnd w:id="464"/>
      <w:bookmarkEnd w:id="465"/>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419"/>
        <w:gridCol w:w="1559"/>
        <w:gridCol w:w="1700"/>
        <w:gridCol w:w="3402"/>
        <w:gridCol w:w="5245"/>
        <w:gridCol w:w="1276"/>
      </w:tblGrid>
      <w:tr w:rsidR="0025490C" w:rsidRPr="007B5EEF" w:rsidTr="009B6458">
        <w:trPr>
          <w:cantSplit/>
          <w:tblHeader/>
        </w:trPr>
        <w:tc>
          <w:tcPr>
            <w:tcW w:w="486" w:type="pct"/>
            <w:tcBorders>
              <w:bottom w:val="single" w:sz="4" w:space="0" w:color="auto"/>
            </w:tcBorders>
            <w:shd w:val="clear" w:color="auto" w:fill="auto"/>
          </w:tcPr>
          <w:p w:rsidR="0025490C" w:rsidRPr="007B5EEF" w:rsidRDefault="0025490C" w:rsidP="007E3726">
            <w:pPr>
              <w:pStyle w:val="TableText"/>
              <w:keepNext/>
              <w:rPr>
                <w:b/>
              </w:rPr>
            </w:pPr>
            <w:r w:rsidRPr="007B5EEF">
              <w:rPr>
                <w:b/>
              </w:rPr>
              <w:t>Study</w:t>
            </w:r>
          </w:p>
        </w:tc>
        <w:tc>
          <w:tcPr>
            <w:tcW w:w="534" w:type="pct"/>
            <w:tcBorders>
              <w:bottom w:val="single" w:sz="4" w:space="0" w:color="auto"/>
            </w:tcBorders>
            <w:shd w:val="clear" w:color="auto" w:fill="auto"/>
          </w:tcPr>
          <w:p w:rsidR="0025490C" w:rsidRPr="007B5EEF" w:rsidRDefault="0025490C" w:rsidP="007E3726">
            <w:pPr>
              <w:pStyle w:val="TableText"/>
              <w:keepNext/>
              <w:rPr>
                <w:b/>
              </w:rPr>
            </w:pPr>
            <w:r w:rsidRPr="007B5EEF">
              <w:rPr>
                <w:b/>
              </w:rPr>
              <w:t>Country and sample size</w:t>
            </w:r>
          </w:p>
        </w:tc>
        <w:tc>
          <w:tcPr>
            <w:tcW w:w="582" w:type="pct"/>
            <w:tcBorders>
              <w:bottom w:val="single" w:sz="4" w:space="0" w:color="auto"/>
            </w:tcBorders>
            <w:shd w:val="clear" w:color="auto" w:fill="auto"/>
          </w:tcPr>
          <w:p w:rsidR="0025490C" w:rsidRPr="007B5EEF" w:rsidRDefault="0025490C" w:rsidP="007E3726">
            <w:pPr>
              <w:pStyle w:val="TableText"/>
              <w:keepNext/>
              <w:rPr>
                <w:b/>
              </w:rPr>
            </w:pPr>
            <w:r w:rsidRPr="007B5EEF">
              <w:rPr>
                <w:b/>
              </w:rPr>
              <w:t>Study type</w:t>
            </w:r>
          </w:p>
        </w:tc>
        <w:tc>
          <w:tcPr>
            <w:tcW w:w="1165" w:type="pct"/>
            <w:tcBorders>
              <w:bottom w:val="single" w:sz="4" w:space="0" w:color="auto"/>
            </w:tcBorders>
            <w:shd w:val="clear" w:color="auto" w:fill="auto"/>
          </w:tcPr>
          <w:p w:rsidR="0025490C" w:rsidRPr="007B5EEF" w:rsidRDefault="0025490C" w:rsidP="007E3726">
            <w:pPr>
              <w:pStyle w:val="TableText"/>
              <w:keepNext/>
              <w:ind w:right="142"/>
              <w:rPr>
                <w:b/>
              </w:rPr>
            </w:pPr>
            <w:r w:rsidRPr="007B5EEF">
              <w:rPr>
                <w:b/>
              </w:rPr>
              <w:t>Screening/diagnostic criteria</w:t>
            </w:r>
          </w:p>
        </w:tc>
        <w:tc>
          <w:tcPr>
            <w:tcW w:w="1796" w:type="pct"/>
            <w:tcBorders>
              <w:bottom w:val="single" w:sz="4" w:space="0" w:color="auto"/>
            </w:tcBorders>
            <w:shd w:val="clear" w:color="auto" w:fill="auto"/>
          </w:tcPr>
          <w:p w:rsidR="0025490C" w:rsidRPr="007B5EEF" w:rsidRDefault="0025490C" w:rsidP="007E3726">
            <w:pPr>
              <w:pStyle w:val="TableText"/>
              <w:keepNext/>
              <w:rPr>
                <w:b/>
              </w:rPr>
            </w:pPr>
            <w:r w:rsidRPr="007B5EEF">
              <w:rPr>
                <w:b/>
              </w:rPr>
              <w:t>Main results</w:t>
            </w:r>
          </w:p>
        </w:tc>
        <w:tc>
          <w:tcPr>
            <w:tcW w:w="437" w:type="pct"/>
            <w:tcBorders>
              <w:bottom w:val="single" w:sz="4" w:space="0" w:color="auto"/>
            </w:tcBorders>
            <w:shd w:val="clear" w:color="auto" w:fill="auto"/>
          </w:tcPr>
          <w:p w:rsidR="0025490C" w:rsidRPr="007B5EEF" w:rsidRDefault="0025490C" w:rsidP="009B6458">
            <w:pPr>
              <w:pStyle w:val="TableText"/>
              <w:keepNext/>
              <w:jc w:val="center"/>
              <w:rPr>
                <w:b/>
              </w:rPr>
            </w:pPr>
            <w:r w:rsidRPr="007B5EEF">
              <w:rPr>
                <w:b/>
              </w:rPr>
              <w:t>Quality of evidence</w:t>
            </w:r>
          </w:p>
        </w:tc>
      </w:tr>
      <w:tr w:rsidR="0025490C" w:rsidRPr="00E07B1B" w:rsidTr="009B6458">
        <w:trPr>
          <w:cantSplit/>
        </w:trPr>
        <w:tc>
          <w:tcPr>
            <w:tcW w:w="486" w:type="pct"/>
            <w:tcBorders>
              <w:top w:val="single" w:sz="4" w:space="0" w:color="auto"/>
              <w:bottom w:val="nil"/>
            </w:tcBorders>
            <w:shd w:val="clear" w:color="auto" w:fill="F2F2F2" w:themeFill="background1" w:themeFillShade="F2"/>
          </w:tcPr>
          <w:p w:rsidR="0025490C" w:rsidRPr="00E07B1B" w:rsidRDefault="0025490C" w:rsidP="007E3726">
            <w:pPr>
              <w:pStyle w:val="TableText"/>
            </w:pPr>
            <w:r w:rsidRPr="00E07B1B">
              <w:t>Radesky</w:t>
            </w:r>
            <w:r w:rsidR="007E3726">
              <w:br/>
            </w:r>
            <w:r w:rsidRPr="00E07B1B">
              <w:t>(2008</w:t>
            </w:r>
            <w:r w:rsidR="007E3726">
              <w:t>)</w:t>
            </w:r>
          </w:p>
        </w:tc>
        <w:tc>
          <w:tcPr>
            <w:tcW w:w="534" w:type="pct"/>
            <w:tcBorders>
              <w:top w:val="single" w:sz="4" w:space="0" w:color="auto"/>
              <w:bottom w:val="nil"/>
            </w:tcBorders>
            <w:shd w:val="clear" w:color="auto" w:fill="F2F2F2" w:themeFill="background1" w:themeFillShade="F2"/>
          </w:tcPr>
          <w:p w:rsidR="0025490C" w:rsidRPr="00E07B1B" w:rsidRDefault="0025490C" w:rsidP="007E3726">
            <w:pPr>
              <w:pStyle w:val="TableText"/>
            </w:pPr>
            <w:r w:rsidRPr="00E07B1B">
              <w:t>USA</w:t>
            </w:r>
            <w:r w:rsidR="007E3726">
              <w:br/>
            </w:r>
            <w:r w:rsidRPr="00E07B1B">
              <w:t>1733</w:t>
            </w:r>
          </w:p>
        </w:tc>
        <w:tc>
          <w:tcPr>
            <w:tcW w:w="582" w:type="pct"/>
            <w:tcBorders>
              <w:top w:val="single" w:sz="4" w:space="0" w:color="auto"/>
              <w:bottom w:val="nil"/>
            </w:tcBorders>
            <w:shd w:val="clear" w:color="auto" w:fill="F2F2F2" w:themeFill="background1" w:themeFillShade="F2"/>
          </w:tcPr>
          <w:p w:rsidR="0025490C" w:rsidRPr="00E07B1B" w:rsidRDefault="0025490C" w:rsidP="007B5EEF">
            <w:pPr>
              <w:pStyle w:val="TableText"/>
            </w:pPr>
            <w:r w:rsidRPr="00E07B1B">
              <w:t>Prospective cohort</w:t>
            </w:r>
          </w:p>
        </w:tc>
        <w:tc>
          <w:tcPr>
            <w:tcW w:w="1165" w:type="pct"/>
            <w:tcBorders>
              <w:top w:val="single" w:sz="4" w:space="0" w:color="auto"/>
              <w:bottom w:val="nil"/>
            </w:tcBorders>
            <w:shd w:val="clear" w:color="auto" w:fill="F2F2F2" w:themeFill="background1" w:themeFillShade="F2"/>
          </w:tcPr>
          <w:p w:rsidR="0068074A" w:rsidRDefault="0025490C" w:rsidP="007E3726">
            <w:pPr>
              <w:pStyle w:val="TableText"/>
              <w:ind w:right="142"/>
            </w:pPr>
            <w:r w:rsidRPr="00E07B1B">
              <w:t>50</w:t>
            </w:r>
            <w:r>
              <w:t xml:space="preserve"> </w:t>
            </w:r>
            <w:r w:rsidRPr="00E07B1B">
              <w:t>g OGCT</w:t>
            </w:r>
          </w:p>
          <w:p w:rsidR="0025490C" w:rsidRPr="00E07B1B" w:rsidRDefault="0025490C" w:rsidP="009B6458">
            <w:pPr>
              <w:pStyle w:val="TableText"/>
              <w:spacing w:after="30"/>
              <w:ind w:right="142"/>
            </w:pPr>
            <w:r w:rsidRPr="00E07B1B">
              <w:t>If ≥</w:t>
            </w:r>
            <w:r w:rsidR="007E3726">
              <w:t> </w:t>
            </w:r>
            <w:r w:rsidRPr="00E07B1B">
              <w:t>140</w:t>
            </w:r>
            <w:r w:rsidR="007E3726">
              <w:t> </w:t>
            </w:r>
            <w:r w:rsidRPr="00E07B1B">
              <w:t>mg</w:t>
            </w:r>
            <w:r>
              <w:t>/dL</w:t>
            </w:r>
            <w:r w:rsidRPr="00E07B1B">
              <w:t xml:space="preserve"> then 100</w:t>
            </w:r>
            <w:r>
              <w:t xml:space="preserve"> </w:t>
            </w:r>
            <w:r w:rsidRPr="00E07B1B">
              <w:t>g, 3</w:t>
            </w:r>
            <w:r>
              <w:noBreakHyphen/>
            </w:r>
            <w:r w:rsidRPr="00E07B1B">
              <w:t>hour OGTT</w:t>
            </w:r>
            <w:r>
              <w:t>:</w:t>
            </w:r>
          </w:p>
          <w:p w:rsidR="0068074A" w:rsidRDefault="0025490C" w:rsidP="009B6458">
            <w:pPr>
              <w:pStyle w:val="TableBullet"/>
              <w:spacing w:after="30"/>
              <w:ind w:left="284"/>
            </w:pPr>
            <w:r>
              <w:t>f</w:t>
            </w:r>
            <w:r w:rsidRPr="00E07B1B">
              <w:t>asting &gt;</w:t>
            </w:r>
            <w:r>
              <w:t xml:space="preserve"> </w:t>
            </w:r>
            <w:r w:rsidRPr="00E07B1B">
              <w:t>155</w:t>
            </w:r>
            <w:r>
              <w:t xml:space="preserve"> </w:t>
            </w:r>
            <w:r w:rsidRPr="00E07B1B">
              <w:t>mg</w:t>
            </w:r>
            <w:r>
              <w:t>/dL</w:t>
            </w:r>
          </w:p>
          <w:p w:rsidR="0068074A" w:rsidRDefault="0025490C" w:rsidP="009B6458">
            <w:pPr>
              <w:pStyle w:val="TableBullet"/>
              <w:spacing w:after="30"/>
              <w:ind w:left="284"/>
            </w:pPr>
            <w:r w:rsidRPr="00E07B1B">
              <w:t>1</w:t>
            </w:r>
            <w:r>
              <w:t>-</w:t>
            </w:r>
            <w:r w:rsidRPr="00E07B1B">
              <w:t>hour &gt;</w:t>
            </w:r>
            <w:r>
              <w:t xml:space="preserve"> </w:t>
            </w:r>
            <w:r w:rsidRPr="00E07B1B">
              <w:t>180</w:t>
            </w:r>
            <w:r>
              <w:t xml:space="preserve"> </w:t>
            </w:r>
            <w:r w:rsidRPr="00E07B1B">
              <w:t>mg</w:t>
            </w:r>
            <w:r>
              <w:t>/dL</w:t>
            </w:r>
          </w:p>
          <w:p w:rsidR="0068074A" w:rsidRDefault="0025490C" w:rsidP="009B6458">
            <w:pPr>
              <w:pStyle w:val="TableBullet"/>
              <w:spacing w:after="30"/>
              <w:ind w:left="284"/>
            </w:pPr>
            <w:r w:rsidRPr="00E07B1B">
              <w:t>2</w:t>
            </w:r>
            <w:r>
              <w:t>-</w:t>
            </w:r>
            <w:r w:rsidRPr="00E07B1B">
              <w:t>hour &gt; 155</w:t>
            </w:r>
            <w:r>
              <w:t xml:space="preserve"> </w:t>
            </w:r>
            <w:r w:rsidRPr="00E07B1B">
              <w:t>mg</w:t>
            </w:r>
            <w:r>
              <w:t>/dL</w:t>
            </w:r>
          </w:p>
          <w:p w:rsidR="0025490C" w:rsidRPr="00E07B1B" w:rsidRDefault="0025490C" w:rsidP="009B6458">
            <w:pPr>
              <w:pStyle w:val="TableBullet"/>
              <w:ind w:left="284"/>
            </w:pPr>
            <w:r w:rsidRPr="00E07B1B">
              <w:t>3</w:t>
            </w:r>
            <w:r>
              <w:t>-</w:t>
            </w:r>
            <w:r w:rsidRPr="00E07B1B">
              <w:t>hour &gt;</w:t>
            </w:r>
            <w:r>
              <w:t xml:space="preserve"> </w:t>
            </w:r>
            <w:r w:rsidRPr="00E07B1B">
              <w:t>140</w:t>
            </w:r>
            <w:r>
              <w:t xml:space="preserve"> </w:t>
            </w:r>
            <w:r w:rsidRPr="00E07B1B">
              <w:t>mg</w:t>
            </w:r>
            <w:r>
              <w:t>/dL</w:t>
            </w:r>
            <w:r w:rsidRPr="00E07B1B">
              <w:t>.</w:t>
            </w:r>
          </w:p>
        </w:tc>
        <w:tc>
          <w:tcPr>
            <w:tcW w:w="1796" w:type="pct"/>
            <w:tcBorders>
              <w:top w:val="single" w:sz="4" w:space="0" w:color="auto"/>
              <w:bottom w:val="nil"/>
            </w:tcBorders>
            <w:shd w:val="clear" w:color="auto" w:fill="F2F2F2" w:themeFill="background1" w:themeFillShade="F2"/>
          </w:tcPr>
          <w:p w:rsidR="0068074A" w:rsidRDefault="0025490C" w:rsidP="007B5EEF">
            <w:pPr>
              <w:pStyle w:val="TableText"/>
            </w:pPr>
            <w:r w:rsidRPr="00E07B1B">
              <w:t>Intake of n</w:t>
            </w:r>
            <w:r>
              <w:t>-</w:t>
            </w:r>
            <w:r w:rsidRPr="00E07B1B">
              <w:t>3 fatty acids was associated with increased risk of GDM (OR 1.11, 95%CI 1.02</w:t>
            </w:r>
            <w:r>
              <w:t>–</w:t>
            </w:r>
            <w:r w:rsidRPr="00E07B1B">
              <w:t>1.22, per 300</w:t>
            </w:r>
            <w:r w:rsidR="009B6458">
              <w:t> </w:t>
            </w:r>
            <w:r w:rsidRPr="00E07B1B">
              <w:t>mg/day).</w:t>
            </w:r>
          </w:p>
          <w:p w:rsidR="0025490C" w:rsidRDefault="0025490C" w:rsidP="007B5EEF">
            <w:pPr>
              <w:pStyle w:val="TableText"/>
            </w:pPr>
            <w:r w:rsidRPr="00E07B1B">
              <w:t>The increased risk associated with n-3 fatty acid intake was limited to the group of women with pre-pregnancy BMI &lt;</w:t>
            </w:r>
            <w:r>
              <w:t> </w:t>
            </w:r>
            <w:r w:rsidRPr="00E07B1B">
              <w:t>25</w:t>
            </w:r>
            <w:r>
              <w:t> </w:t>
            </w:r>
            <w:r w:rsidRPr="00E07B1B">
              <w:t>kg/m</w:t>
            </w:r>
            <w:r w:rsidRPr="00E07B1B">
              <w:rPr>
                <w:vertAlign w:val="superscript"/>
              </w:rPr>
              <w:t>2</w:t>
            </w:r>
            <w:r w:rsidRPr="00E07B1B">
              <w:t xml:space="preserve"> (adj OR 1.19, 95%CI 1.06</w:t>
            </w:r>
            <w:r>
              <w:t>–</w:t>
            </w:r>
            <w:r w:rsidRPr="00E07B1B">
              <w:t>1.35) per 300</w:t>
            </w:r>
            <w:r w:rsidR="009B6458">
              <w:t> </w:t>
            </w:r>
            <w:r w:rsidRPr="00E07B1B">
              <w:t>g/day compared with women with a BMI of ≥</w:t>
            </w:r>
            <w:r w:rsidR="009B6458">
              <w:t> </w:t>
            </w:r>
            <w:r w:rsidRPr="00E07B1B">
              <w:t>25</w:t>
            </w:r>
            <w:r w:rsidR="009B6458">
              <w:t> </w:t>
            </w:r>
            <w:r w:rsidRPr="00E07B1B">
              <w:t>kg/m</w:t>
            </w:r>
            <w:r w:rsidRPr="00E07B1B">
              <w:rPr>
                <w:vertAlign w:val="superscript"/>
              </w:rPr>
              <w:t>2</w:t>
            </w:r>
            <w:r w:rsidRPr="00E07B1B">
              <w:t xml:space="preserve"> (adj OR 1.03, 95%CI 0.83</w:t>
            </w:r>
            <w:r>
              <w:t>–</w:t>
            </w:r>
            <w:r w:rsidRPr="00E07B1B">
              <w:t>1.27).</w:t>
            </w:r>
          </w:p>
          <w:p w:rsidR="0025490C" w:rsidRPr="002B0699" w:rsidRDefault="0025490C" w:rsidP="007B5EEF">
            <w:pPr>
              <w:pStyle w:val="TableText"/>
            </w:pPr>
            <w:r w:rsidRPr="00E07B1B">
              <w:t>Increased intake of polyunsaturated fats (OR 1.38, 95%CI 1.08</w:t>
            </w:r>
            <w:r>
              <w:t>–</w:t>
            </w:r>
            <w:r w:rsidRPr="00E07B1B">
              <w:t>1.77 per 1% increase in calories) and n-6 fatty acids (OR 1.16, 95%CI 1.02</w:t>
            </w:r>
            <w:r>
              <w:t>–</w:t>
            </w:r>
            <w:r w:rsidRPr="00E07B1B">
              <w:t>1.32 per 1</w:t>
            </w:r>
            <w:r>
              <w:t> </w:t>
            </w:r>
            <w:r w:rsidRPr="00E07B1B">
              <w:t xml:space="preserve">g/day) </w:t>
            </w:r>
            <w:r>
              <w:t>was</w:t>
            </w:r>
            <w:r w:rsidRPr="00E07B1B">
              <w:t xml:space="preserve"> also associated with an increased risk of developing GDM in women with a pre-pregnancy BMI &lt;</w:t>
            </w:r>
            <w:r>
              <w:t xml:space="preserve"> </w:t>
            </w:r>
            <w:r w:rsidRPr="00E07B1B">
              <w:t>25</w:t>
            </w:r>
            <w:r w:rsidR="007E3726">
              <w:t> </w:t>
            </w:r>
            <w:r w:rsidRPr="00E07B1B">
              <w:t>kg/m</w:t>
            </w:r>
            <w:r w:rsidRPr="00E07B1B">
              <w:rPr>
                <w:vertAlign w:val="superscript"/>
              </w:rPr>
              <w:t>2</w:t>
            </w:r>
            <w:r>
              <w:t>.</w:t>
            </w:r>
          </w:p>
        </w:tc>
        <w:tc>
          <w:tcPr>
            <w:tcW w:w="437" w:type="pct"/>
            <w:tcBorders>
              <w:top w:val="single" w:sz="4" w:space="0" w:color="auto"/>
              <w:bottom w:val="nil"/>
            </w:tcBorders>
            <w:shd w:val="clear" w:color="auto" w:fill="F2F2F2" w:themeFill="background1" w:themeFillShade="F2"/>
          </w:tcPr>
          <w:p w:rsidR="0025490C" w:rsidRPr="00E07B1B" w:rsidRDefault="0025490C" w:rsidP="009B6458">
            <w:pPr>
              <w:pStyle w:val="TableText"/>
              <w:jc w:val="center"/>
            </w:pPr>
            <w:r w:rsidRPr="00E07B1B">
              <w:t>HIGH</w:t>
            </w:r>
          </w:p>
        </w:tc>
      </w:tr>
      <w:tr w:rsidR="0025490C" w:rsidRPr="00E07B1B" w:rsidTr="009B6458">
        <w:trPr>
          <w:cantSplit/>
        </w:trPr>
        <w:tc>
          <w:tcPr>
            <w:tcW w:w="486" w:type="pct"/>
            <w:tcBorders>
              <w:top w:val="nil"/>
              <w:bottom w:val="nil"/>
            </w:tcBorders>
            <w:shd w:val="clear" w:color="auto" w:fill="auto"/>
          </w:tcPr>
          <w:p w:rsidR="0025490C" w:rsidRPr="00E07B1B" w:rsidRDefault="0025490C" w:rsidP="007E3726">
            <w:pPr>
              <w:pStyle w:val="TableText"/>
            </w:pPr>
            <w:r w:rsidRPr="00E07B1B">
              <w:t>Bowers</w:t>
            </w:r>
            <w:r w:rsidR="007E3726">
              <w:br/>
            </w:r>
            <w:r w:rsidRPr="00E07B1B">
              <w:t>(2012)</w:t>
            </w:r>
          </w:p>
        </w:tc>
        <w:tc>
          <w:tcPr>
            <w:tcW w:w="534" w:type="pct"/>
            <w:tcBorders>
              <w:top w:val="nil"/>
              <w:bottom w:val="nil"/>
            </w:tcBorders>
            <w:shd w:val="clear" w:color="auto" w:fill="auto"/>
          </w:tcPr>
          <w:p w:rsidR="0025490C" w:rsidRPr="00E07B1B" w:rsidRDefault="0025490C" w:rsidP="007E3726">
            <w:pPr>
              <w:pStyle w:val="TableText"/>
            </w:pPr>
            <w:r w:rsidRPr="00E07B1B">
              <w:t>USA</w:t>
            </w:r>
            <w:r w:rsidR="007E3726">
              <w:br/>
            </w:r>
            <w:r w:rsidRPr="00E07B1B">
              <w:t>13,475</w:t>
            </w:r>
          </w:p>
        </w:tc>
        <w:tc>
          <w:tcPr>
            <w:tcW w:w="582" w:type="pct"/>
            <w:tcBorders>
              <w:top w:val="nil"/>
              <w:bottom w:val="nil"/>
            </w:tcBorders>
            <w:shd w:val="clear" w:color="auto" w:fill="auto"/>
          </w:tcPr>
          <w:p w:rsidR="0025490C" w:rsidRPr="00E07B1B" w:rsidRDefault="0025490C" w:rsidP="007B5EEF">
            <w:pPr>
              <w:pStyle w:val="TableText"/>
            </w:pPr>
            <w:r w:rsidRPr="00E07B1B">
              <w:t>Prospective cohort</w:t>
            </w:r>
          </w:p>
        </w:tc>
        <w:tc>
          <w:tcPr>
            <w:tcW w:w="1165" w:type="pct"/>
            <w:tcBorders>
              <w:top w:val="nil"/>
              <w:bottom w:val="nil"/>
            </w:tcBorders>
            <w:shd w:val="clear" w:color="auto" w:fill="auto"/>
          </w:tcPr>
          <w:p w:rsidR="0025490C" w:rsidRPr="00E07B1B" w:rsidRDefault="0025490C" w:rsidP="007E3726">
            <w:pPr>
              <w:pStyle w:val="TableText"/>
              <w:ind w:right="142"/>
            </w:pPr>
            <w:r w:rsidRPr="00E07B1B">
              <w:t>Self-reported GDM</w:t>
            </w:r>
            <w:r w:rsidR="009B6458">
              <w:t>.</w:t>
            </w:r>
          </w:p>
        </w:tc>
        <w:tc>
          <w:tcPr>
            <w:tcW w:w="1796" w:type="pct"/>
            <w:tcBorders>
              <w:top w:val="nil"/>
              <w:bottom w:val="nil"/>
            </w:tcBorders>
            <w:shd w:val="clear" w:color="auto" w:fill="auto"/>
          </w:tcPr>
          <w:p w:rsidR="0025490C" w:rsidRPr="00E07B1B" w:rsidRDefault="0025490C" w:rsidP="007B5EEF">
            <w:pPr>
              <w:pStyle w:val="TableText"/>
            </w:pPr>
            <w:r w:rsidRPr="00E07B1B">
              <w:t>Individuals in the highest quintile of animal fat intake had a</w:t>
            </w:r>
            <w:r>
              <w:t>n</w:t>
            </w:r>
            <w:r w:rsidRPr="00E07B1B">
              <w:t xml:space="preserve"> approximate</w:t>
            </w:r>
            <w:r>
              <w:t>ly</w:t>
            </w:r>
            <w:r w:rsidRPr="00E07B1B">
              <w:t xml:space="preserve"> 90% increased risk of GDM </w:t>
            </w:r>
            <w:r>
              <w:t>(</w:t>
            </w:r>
            <w:r w:rsidRPr="00E07B1B">
              <w:t>adj RR 1.88, 95%CI 1.36</w:t>
            </w:r>
            <w:r>
              <w:t>–</w:t>
            </w:r>
            <w:r w:rsidRPr="00E07B1B">
              <w:t xml:space="preserve">2.60, </w:t>
            </w:r>
            <w:r w:rsidRPr="002B0699">
              <w:rPr>
                <w:i/>
              </w:rPr>
              <w:t>p</w:t>
            </w:r>
            <w:r>
              <w:t xml:space="preserve"> </w:t>
            </w:r>
            <w:r w:rsidRPr="00E07B1B">
              <w:t>=</w:t>
            </w:r>
            <w:r>
              <w:t xml:space="preserve"> </w:t>
            </w:r>
            <w:r w:rsidRPr="00E07B1B">
              <w:t>0.05</w:t>
            </w:r>
            <w:r>
              <w:t>)</w:t>
            </w:r>
            <w:r w:rsidRPr="00E07B1B">
              <w:t>.</w:t>
            </w:r>
          </w:p>
          <w:p w:rsidR="0025490C" w:rsidRPr="00E07B1B" w:rsidRDefault="0025490C" w:rsidP="009B6458">
            <w:pPr>
              <w:pStyle w:val="TableText"/>
            </w:pPr>
            <w:r w:rsidRPr="00E07B1B">
              <w:t xml:space="preserve">Increased risk of highest compared with the lowest quintiles of cholesterol intake was significantly associated with GDM after </w:t>
            </w:r>
            <w:r>
              <w:t>(</w:t>
            </w:r>
            <w:r w:rsidRPr="00E07B1B">
              <w:t>adj RR 1.45, 95%CI</w:t>
            </w:r>
            <w:r w:rsidR="009B6458">
              <w:t xml:space="preserve"> </w:t>
            </w:r>
            <w:r w:rsidRPr="00E07B1B">
              <w:t>1.11</w:t>
            </w:r>
            <w:r>
              <w:t>–</w:t>
            </w:r>
            <w:r w:rsidRPr="00E07B1B">
              <w:t xml:space="preserve">1.89, </w:t>
            </w:r>
            <w:r w:rsidRPr="002B0699">
              <w:rPr>
                <w:i/>
              </w:rPr>
              <w:t>p</w:t>
            </w:r>
            <w:r>
              <w:t> </w:t>
            </w:r>
            <w:r w:rsidRPr="00E07B1B">
              <w:t>=</w:t>
            </w:r>
            <w:r>
              <w:t> </w:t>
            </w:r>
            <w:r w:rsidRPr="00E07B1B">
              <w:t>0.04</w:t>
            </w:r>
            <w:r>
              <w:t>)</w:t>
            </w:r>
            <w:r w:rsidRPr="00E07B1B">
              <w:t>.</w:t>
            </w:r>
          </w:p>
        </w:tc>
        <w:tc>
          <w:tcPr>
            <w:tcW w:w="437" w:type="pct"/>
            <w:tcBorders>
              <w:top w:val="nil"/>
              <w:bottom w:val="nil"/>
            </w:tcBorders>
            <w:shd w:val="clear" w:color="auto" w:fill="auto"/>
          </w:tcPr>
          <w:p w:rsidR="0025490C" w:rsidRPr="00E07B1B" w:rsidRDefault="0025490C" w:rsidP="009B6458">
            <w:pPr>
              <w:pStyle w:val="TableText"/>
              <w:jc w:val="center"/>
            </w:pPr>
            <w:r w:rsidRPr="00E07B1B">
              <w:t>HIGH</w:t>
            </w:r>
          </w:p>
        </w:tc>
      </w:tr>
      <w:tr w:rsidR="0025490C" w:rsidRPr="00E07B1B" w:rsidTr="009B6458">
        <w:trPr>
          <w:cantSplit/>
        </w:trPr>
        <w:tc>
          <w:tcPr>
            <w:tcW w:w="486" w:type="pct"/>
            <w:tcBorders>
              <w:top w:val="nil"/>
              <w:bottom w:val="nil"/>
            </w:tcBorders>
            <w:shd w:val="clear" w:color="auto" w:fill="F2F2F2" w:themeFill="background1" w:themeFillShade="F2"/>
          </w:tcPr>
          <w:p w:rsidR="0025490C" w:rsidRPr="00E07B1B" w:rsidRDefault="0025490C" w:rsidP="007E3726">
            <w:pPr>
              <w:pStyle w:val="TableText"/>
            </w:pPr>
            <w:r w:rsidRPr="00E07B1B">
              <w:t>Bowers</w:t>
            </w:r>
            <w:r w:rsidR="007E3726">
              <w:br/>
            </w:r>
            <w:r w:rsidRPr="00E07B1B">
              <w:t>(2011)</w:t>
            </w:r>
          </w:p>
        </w:tc>
        <w:tc>
          <w:tcPr>
            <w:tcW w:w="534" w:type="pct"/>
            <w:tcBorders>
              <w:top w:val="nil"/>
              <w:bottom w:val="nil"/>
            </w:tcBorders>
            <w:shd w:val="clear" w:color="auto" w:fill="F2F2F2" w:themeFill="background1" w:themeFillShade="F2"/>
          </w:tcPr>
          <w:p w:rsidR="0025490C" w:rsidRPr="00E07B1B" w:rsidRDefault="0025490C" w:rsidP="007E3726">
            <w:pPr>
              <w:pStyle w:val="TableText"/>
            </w:pPr>
            <w:r w:rsidRPr="00E07B1B">
              <w:t>USA</w:t>
            </w:r>
            <w:r w:rsidR="007E3726">
              <w:br/>
            </w:r>
            <w:r w:rsidRPr="00E07B1B">
              <w:t>13,475</w:t>
            </w:r>
          </w:p>
        </w:tc>
        <w:tc>
          <w:tcPr>
            <w:tcW w:w="582" w:type="pct"/>
            <w:tcBorders>
              <w:top w:val="nil"/>
              <w:bottom w:val="nil"/>
            </w:tcBorders>
            <w:shd w:val="clear" w:color="auto" w:fill="F2F2F2" w:themeFill="background1" w:themeFillShade="F2"/>
          </w:tcPr>
          <w:p w:rsidR="0025490C" w:rsidRPr="00E07B1B" w:rsidRDefault="0025490C" w:rsidP="007B5EEF">
            <w:pPr>
              <w:pStyle w:val="TableText"/>
            </w:pPr>
            <w:r w:rsidRPr="00E07B1B">
              <w:t>Prospective cohort</w:t>
            </w:r>
          </w:p>
        </w:tc>
        <w:tc>
          <w:tcPr>
            <w:tcW w:w="1165" w:type="pct"/>
            <w:tcBorders>
              <w:top w:val="nil"/>
              <w:bottom w:val="nil"/>
            </w:tcBorders>
            <w:shd w:val="clear" w:color="auto" w:fill="F2F2F2" w:themeFill="background1" w:themeFillShade="F2"/>
          </w:tcPr>
          <w:p w:rsidR="0025490C" w:rsidRPr="00E07B1B" w:rsidRDefault="0025490C" w:rsidP="007E3726">
            <w:pPr>
              <w:pStyle w:val="TableText"/>
              <w:ind w:right="142"/>
            </w:pPr>
            <w:r w:rsidRPr="00E07B1B">
              <w:t>Self</w:t>
            </w:r>
            <w:r>
              <w:t>-</w:t>
            </w:r>
            <w:r w:rsidRPr="00E07B1B">
              <w:t>reported diagnosis of GDM</w:t>
            </w:r>
            <w:r w:rsidR="009B6458">
              <w:t>.</w:t>
            </w:r>
          </w:p>
        </w:tc>
        <w:tc>
          <w:tcPr>
            <w:tcW w:w="1796" w:type="pct"/>
            <w:tcBorders>
              <w:top w:val="nil"/>
              <w:bottom w:val="nil"/>
            </w:tcBorders>
            <w:shd w:val="clear" w:color="auto" w:fill="F2F2F2" w:themeFill="background1" w:themeFillShade="F2"/>
          </w:tcPr>
          <w:p w:rsidR="0025490C" w:rsidRPr="00E07B1B" w:rsidRDefault="0025490C" w:rsidP="009B6458">
            <w:pPr>
              <w:pStyle w:val="TableText"/>
            </w:pPr>
            <w:r w:rsidRPr="00E07B1B">
              <w:t>The age</w:t>
            </w:r>
            <w:r>
              <w:t>-</w:t>
            </w:r>
            <w:r w:rsidRPr="00E07B1B">
              <w:t>adjusted RR between extreme quintiles of cumulative heme iron intake was adj RR</w:t>
            </w:r>
            <w:r>
              <w:t xml:space="preserve"> </w:t>
            </w:r>
            <w:r w:rsidRPr="00E07B1B">
              <w:t>2.13 (95%CI</w:t>
            </w:r>
            <w:r w:rsidR="009B6458">
              <w:t> </w:t>
            </w:r>
            <w:r w:rsidRPr="00E07B1B">
              <w:t>1.70</w:t>
            </w:r>
            <w:r>
              <w:t>–</w:t>
            </w:r>
            <w:r w:rsidRPr="00E07B1B">
              <w:t xml:space="preserve">2.67, </w:t>
            </w:r>
            <w:r w:rsidRPr="002B0699">
              <w:rPr>
                <w:i/>
              </w:rPr>
              <w:t>p</w:t>
            </w:r>
            <w:r>
              <w:rPr>
                <w:i/>
              </w:rPr>
              <w:t> </w:t>
            </w:r>
            <w:r w:rsidRPr="00E07B1B">
              <w:t>&lt;</w:t>
            </w:r>
            <w:r>
              <w:t> </w:t>
            </w:r>
            <w:r w:rsidRPr="00E07B1B">
              <w:t>0.0001).</w:t>
            </w:r>
          </w:p>
        </w:tc>
        <w:tc>
          <w:tcPr>
            <w:tcW w:w="437" w:type="pct"/>
            <w:tcBorders>
              <w:top w:val="nil"/>
              <w:bottom w:val="nil"/>
            </w:tcBorders>
            <w:shd w:val="clear" w:color="auto" w:fill="F2F2F2" w:themeFill="background1" w:themeFillShade="F2"/>
          </w:tcPr>
          <w:p w:rsidR="0025490C" w:rsidRPr="00E07B1B" w:rsidRDefault="0025490C" w:rsidP="009B6458">
            <w:pPr>
              <w:pStyle w:val="TableText"/>
              <w:jc w:val="center"/>
            </w:pPr>
            <w:r w:rsidRPr="00E07B1B">
              <w:t>HIGH</w:t>
            </w:r>
          </w:p>
        </w:tc>
      </w:tr>
      <w:tr w:rsidR="0025490C" w:rsidRPr="00E07B1B" w:rsidTr="009B6458">
        <w:trPr>
          <w:cantSplit/>
        </w:trPr>
        <w:tc>
          <w:tcPr>
            <w:tcW w:w="486" w:type="pct"/>
            <w:tcBorders>
              <w:top w:val="nil"/>
              <w:bottom w:val="nil"/>
            </w:tcBorders>
            <w:shd w:val="clear" w:color="auto" w:fill="auto"/>
          </w:tcPr>
          <w:p w:rsidR="0025490C" w:rsidRPr="00E07B1B" w:rsidRDefault="0025490C" w:rsidP="007E3726">
            <w:pPr>
              <w:pStyle w:val="TableText"/>
            </w:pPr>
            <w:r w:rsidRPr="00E07B1B">
              <w:t>Chen</w:t>
            </w:r>
            <w:r w:rsidR="007E3726">
              <w:br/>
            </w:r>
            <w:r w:rsidRPr="00E07B1B">
              <w:t>(2009)</w:t>
            </w:r>
          </w:p>
        </w:tc>
        <w:tc>
          <w:tcPr>
            <w:tcW w:w="534" w:type="pct"/>
            <w:tcBorders>
              <w:top w:val="nil"/>
              <w:bottom w:val="nil"/>
            </w:tcBorders>
            <w:shd w:val="clear" w:color="auto" w:fill="auto"/>
          </w:tcPr>
          <w:p w:rsidR="0025490C" w:rsidRPr="00E07B1B" w:rsidRDefault="0025490C" w:rsidP="007E3726">
            <w:pPr>
              <w:pStyle w:val="TableText"/>
            </w:pPr>
            <w:r w:rsidRPr="00E07B1B">
              <w:t>USA</w:t>
            </w:r>
            <w:r w:rsidR="007E3726">
              <w:br/>
            </w:r>
            <w:r w:rsidRPr="00E07B1B">
              <w:t>13,475</w:t>
            </w:r>
          </w:p>
        </w:tc>
        <w:tc>
          <w:tcPr>
            <w:tcW w:w="582" w:type="pct"/>
            <w:tcBorders>
              <w:top w:val="nil"/>
              <w:bottom w:val="nil"/>
            </w:tcBorders>
            <w:shd w:val="clear" w:color="auto" w:fill="auto"/>
          </w:tcPr>
          <w:p w:rsidR="0025490C" w:rsidRPr="00E07B1B" w:rsidRDefault="0025490C" w:rsidP="007B5EEF">
            <w:pPr>
              <w:pStyle w:val="TableText"/>
            </w:pPr>
            <w:r w:rsidRPr="00E07B1B">
              <w:t>Prospective cohort</w:t>
            </w:r>
          </w:p>
        </w:tc>
        <w:tc>
          <w:tcPr>
            <w:tcW w:w="1165" w:type="pct"/>
            <w:tcBorders>
              <w:top w:val="nil"/>
              <w:bottom w:val="nil"/>
            </w:tcBorders>
            <w:shd w:val="clear" w:color="auto" w:fill="auto"/>
          </w:tcPr>
          <w:p w:rsidR="0025490C" w:rsidRPr="00E07B1B" w:rsidRDefault="0025490C" w:rsidP="007E3726">
            <w:pPr>
              <w:pStyle w:val="TableText"/>
              <w:ind w:right="142"/>
            </w:pPr>
            <w:r w:rsidRPr="00E07B1B">
              <w:t>Self</w:t>
            </w:r>
            <w:r>
              <w:t>-</w:t>
            </w:r>
            <w:r w:rsidRPr="00E07B1B">
              <w:t>reported diagnosis of GDM</w:t>
            </w:r>
            <w:r w:rsidR="009B6458">
              <w:t>.</w:t>
            </w:r>
          </w:p>
        </w:tc>
        <w:tc>
          <w:tcPr>
            <w:tcW w:w="1796" w:type="pct"/>
            <w:tcBorders>
              <w:top w:val="nil"/>
              <w:bottom w:val="nil"/>
            </w:tcBorders>
            <w:shd w:val="clear" w:color="auto" w:fill="auto"/>
          </w:tcPr>
          <w:p w:rsidR="0025490C" w:rsidRPr="00E07B1B" w:rsidRDefault="0025490C" w:rsidP="009B6458">
            <w:pPr>
              <w:pStyle w:val="TableText"/>
            </w:pPr>
            <w:r w:rsidRPr="00E07B1B">
              <w:t>Compared with women who consumed &lt;</w:t>
            </w:r>
            <w:r>
              <w:t> </w:t>
            </w:r>
            <w:r w:rsidRPr="00E07B1B">
              <w:t>1</w:t>
            </w:r>
            <w:r w:rsidR="007E3726">
              <w:t> </w:t>
            </w:r>
            <w:r w:rsidRPr="00E07B1B">
              <w:t>serving/</w:t>
            </w:r>
            <w:r w:rsidR="009B6458">
              <w:t xml:space="preserve"> </w:t>
            </w:r>
            <w:r w:rsidRPr="00E07B1B">
              <w:t>month, those who consumed ≥</w:t>
            </w:r>
            <w:r>
              <w:t> </w:t>
            </w:r>
            <w:r w:rsidRPr="00E07B1B">
              <w:t>5</w:t>
            </w:r>
            <w:r w:rsidR="007E3726">
              <w:t> </w:t>
            </w:r>
            <w:r w:rsidRPr="00E07B1B">
              <w:t>servings/week of sugar-sweetened cola had a 22% increased risk of GDM (RR</w:t>
            </w:r>
            <w:r w:rsidR="009B6458">
              <w:t> </w:t>
            </w:r>
            <w:r w:rsidRPr="00E07B1B">
              <w:t>1.22, 95%CI</w:t>
            </w:r>
            <w:r w:rsidR="009B6458">
              <w:t xml:space="preserve"> </w:t>
            </w:r>
            <w:r w:rsidRPr="00E07B1B">
              <w:t>1.01</w:t>
            </w:r>
            <w:r>
              <w:t>–</w:t>
            </w:r>
            <w:r w:rsidRPr="00E07B1B">
              <w:t>1.47)</w:t>
            </w:r>
            <w:r>
              <w:t>.</w:t>
            </w:r>
          </w:p>
        </w:tc>
        <w:tc>
          <w:tcPr>
            <w:tcW w:w="437" w:type="pct"/>
            <w:tcBorders>
              <w:top w:val="nil"/>
              <w:bottom w:val="nil"/>
            </w:tcBorders>
            <w:shd w:val="clear" w:color="auto" w:fill="auto"/>
          </w:tcPr>
          <w:p w:rsidR="0025490C" w:rsidRPr="00E07B1B" w:rsidRDefault="0025490C" w:rsidP="009B6458">
            <w:pPr>
              <w:pStyle w:val="TableText"/>
              <w:jc w:val="center"/>
            </w:pPr>
            <w:r w:rsidRPr="00E07B1B">
              <w:t>MEDIUM</w:t>
            </w:r>
          </w:p>
        </w:tc>
      </w:tr>
      <w:tr w:rsidR="0025490C" w:rsidRPr="00E07B1B" w:rsidTr="009B6458">
        <w:trPr>
          <w:cantSplit/>
        </w:trPr>
        <w:tc>
          <w:tcPr>
            <w:tcW w:w="486" w:type="pct"/>
            <w:tcBorders>
              <w:top w:val="nil"/>
              <w:bottom w:val="nil"/>
            </w:tcBorders>
            <w:shd w:val="clear" w:color="auto" w:fill="F2F2F2" w:themeFill="background1" w:themeFillShade="F2"/>
          </w:tcPr>
          <w:p w:rsidR="0025490C" w:rsidRPr="00E07B1B" w:rsidRDefault="0025490C" w:rsidP="009B6458">
            <w:pPr>
              <w:pStyle w:val="TableText"/>
            </w:pPr>
            <w:r w:rsidRPr="00E07B1B">
              <w:t>Ley</w:t>
            </w:r>
            <w:r w:rsidR="009B6458">
              <w:br/>
            </w:r>
            <w:r w:rsidRPr="00E07B1B">
              <w:t>(2011)</w:t>
            </w:r>
          </w:p>
        </w:tc>
        <w:tc>
          <w:tcPr>
            <w:tcW w:w="534" w:type="pct"/>
            <w:tcBorders>
              <w:top w:val="nil"/>
              <w:bottom w:val="nil"/>
            </w:tcBorders>
            <w:shd w:val="clear" w:color="auto" w:fill="F2F2F2" w:themeFill="background1" w:themeFillShade="F2"/>
          </w:tcPr>
          <w:p w:rsidR="0025490C" w:rsidRPr="00E07B1B" w:rsidRDefault="0025490C" w:rsidP="009B6458">
            <w:pPr>
              <w:pStyle w:val="TableText"/>
            </w:pPr>
            <w:r w:rsidRPr="00E07B1B">
              <w:t>Canada</w:t>
            </w:r>
            <w:r w:rsidR="009B6458">
              <w:br/>
            </w:r>
            <w:r w:rsidRPr="00E07B1B">
              <w:t>205</w:t>
            </w:r>
          </w:p>
        </w:tc>
        <w:tc>
          <w:tcPr>
            <w:tcW w:w="582" w:type="pct"/>
            <w:tcBorders>
              <w:top w:val="nil"/>
              <w:bottom w:val="nil"/>
            </w:tcBorders>
            <w:shd w:val="clear" w:color="auto" w:fill="F2F2F2" w:themeFill="background1" w:themeFillShade="F2"/>
          </w:tcPr>
          <w:p w:rsidR="0025490C" w:rsidRPr="00E07B1B" w:rsidRDefault="0025490C" w:rsidP="007B5EEF">
            <w:pPr>
              <w:pStyle w:val="TableText"/>
            </w:pPr>
            <w:r w:rsidRPr="00E07B1B">
              <w:t>Cohort</w:t>
            </w:r>
          </w:p>
        </w:tc>
        <w:tc>
          <w:tcPr>
            <w:tcW w:w="1165" w:type="pct"/>
            <w:tcBorders>
              <w:top w:val="nil"/>
              <w:bottom w:val="nil"/>
            </w:tcBorders>
            <w:shd w:val="clear" w:color="auto" w:fill="F2F2F2" w:themeFill="background1" w:themeFillShade="F2"/>
          </w:tcPr>
          <w:p w:rsidR="0025490C" w:rsidRDefault="0025490C" w:rsidP="009B6458">
            <w:pPr>
              <w:pStyle w:val="TableText"/>
              <w:spacing w:after="30"/>
              <w:ind w:right="142"/>
            </w:pPr>
            <w:r w:rsidRPr="00E07B1B">
              <w:t>50</w:t>
            </w:r>
            <w:r>
              <w:t xml:space="preserve"> </w:t>
            </w:r>
            <w:r w:rsidRPr="00E07B1B">
              <w:t>g</w:t>
            </w:r>
            <w:r>
              <w:t>,</w:t>
            </w:r>
            <w:r w:rsidRPr="00E07B1B">
              <w:t xml:space="preserve"> 1</w:t>
            </w:r>
            <w:r>
              <w:t>-</w:t>
            </w:r>
            <w:r w:rsidRPr="00E07B1B">
              <w:t>hour test. If plasma glucose ≥</w:t>
            </w:r>
            <w:r w:rsidR="009B6458">
              <w:t> </w:t>
            </w:r>
            <w:r w:rsidRPr="00E07B1B">
              <w:t>7.8</w:t>
            </w:r>
            <w:r>
              <w:t xml:space="preserve"> </w:t>
            </w:r>
            <w:r w:rsidRPr="00E07B1B">
              <w:t>mmol</w:t>
            </w:r>
            <w:r>
              <w:t>/L,</w:t>
            </w:r>
            <w:r w:rsidRPr="00E07B1B">
              <w:t xml:space="preserve"> then underwent a 100</w:t>
            </w:r>
            <w:r>
              <w:t xml:space="preserve"> </w:t>
            </w:r>
            <w:r w:rsidRPr="00E07B1B">
              <w:t>g, 3</w:t>
            </w:r>
            <w:r>
              <w:t>-</w:t>
            </w:r>
            <w:r w:rsidRPr="00E07B1B">
              <w:t xml:space="preserve">hour OGTT. GDM diagnosed if </w:t>
            </w:r>
            <w:r>
              <w:t>two</w:t>
            </w:r>
            <w:r w:rsidRPr="00E07B1B">
              <w:t xml:space="preserve"> or more abnormal results </w:t>
            </w:r>
            <w:r>
              <w:t>from:</w:t>
            </w:r>
          </w:p>
          <w:p w:rsidR="0025490C" w:rsidRDefault="0025490C" w:rsidP="009B6458">
            <w:pPr>
              <w:pStyle w:val="TableBullet"/>
              <w:spacing w:after="30"/>
              <w:ind w:left="284"/>
            </w:pPr>
            <w:r w:rsidRPr="00E07B1B">
              <w:t>fasting ≥</w:t>
            </w:r>
            <w:r>
              <w:t xml:space="preserve"> </w:t>
            </w:r>
            <w:r w:rsidRPr="00E07B1B">
              <w:t>5.8</w:t>
            </w:r>
            <w:r>
              <w:t xml:space="preserve"> </w:t>
            </w:r>
            <w:r w:rsidRPr="00E07B1B">
              <w:t>mmol</w:t>
            </w:r>
            <w:r>
              <w:t>/L</w:t>
            </w:r>
          </w:p>
          <w:p w:rsidR="0025490C" w:rsidRDefault="0025490C" w:rsidP="009B6458">
            <w:pPr>
              <w:pStyle w:val="TableBullet"/>
              <w:spacing w:after="30"/>
              <w:ind w:left="284"/>
            </w:pPr>
            <w:r w:rsidRPr="00E07B1B">
              <w:t>1</w:t>
            </w:r>
            <w:r>
              <w:t>-</w:t>
            </w:r>
            <w:r w:rsidRPr="00E07B1B">
              <w:t>hour ≥</w:t>
            </w:r>
            <w:r>
              <w:t xml:space="preserve"> </w:t>
            </w:r>
            <w:r w:rsidRPr="00E07B1B">
              <w:t>10.6</w:t>
            </w:r>
            <w:r>
              <w:t xml:space="preserve"> </w:t>
            </w:r>
            <w:r w:rsidRPr="00E07B1B">
              <w:t>mmol</w:t>
            </w:r>
            <w:r>
              <w:t>/L</w:t>
            </w:r>
          </w:p>
          <w:p w:rsidR="0025490C" w:rsidRDefault="0025490C" w:rsidP="009B6458">
            <w:pPr>
              <w:pStyle w:val="TableBullet"/>
              <w:spacing w:after="30"/>
              <w:ind w:left="284"/>
            </w:pPr>
            <w:r w:rsidRPr="00E07B1B">
              <w:t>2</w:t>
            </w:r>
            <w:r>
              <w:t>-</w:t>
            </w:r>
            <w:r w:rsidRPr="00E07B1B">
              <w:t>hour ≥ 9.2</w:t>
            </w:r>
            <w:r>
              <w:t xml:space="preserve"> </w:t>
            </w:r>
            <w:r w:rsidRPr="00E07B1B">
              <w:t>mmol</w:t>
            </w:r>
            <w:r>
              <w:t>/L</w:t>
            </w:r>
          </w:p>
          <w:p w:rsidR="0025490C" w:rsidRPr="00E07B1B" w:rsidRDefault="0025490C" w:rsidP="009B6458">
            <w:pPr>
              <w:pStyle w:val="TableBullet"/>
              <w:ind w:left="284"/>
            </w:pPr>
            <w:r w:rsidRPr="00E07B1B">
              <w:t>3</w:t>
            </w:r>
            <w:r>
              <w:t>-</w:t>
            </w:r>
            <w:r w:rsidRPr="00E07B1B">
              <w:t>hour ≥</w:t>
            </w:r>
            <w:r>
              <w:t xml:space="preserve"> </w:t>
            </w:r>
            <w:r w:rsidRPr="00E07B1B">
              <w:t>8.1 mmol</w:t>
            </w:r>
            <w:r>
              <w:t>/L.</w:t>
            </w:r>
          </w:p>
        </w:tc>
        <w:tc>
          <w:tcPr>
            <w:tcW w:w="1796" w:type="pct"/>
            <w:tcBorders>
              <w:top w:val="nil"/>
              <w:bottom w:val="nil"/>
            </w:tcBorders>
            <w:shd w:val="clear" w:color="auto" w:fill="F2F2F2" w:themeFill="background1" w:themeFillShade="F2"/>
          </w:tcPr>
          <w:p w:rsidR="0025490C" w:rsidRPr="00E07B1B" w:rsidRDefault="0025490C" w:rsidP="007B5EEF">
            <w:pPr>
              <w:pStyle w:val="TableText"/>
            </w:pPr>
            <w:r w:rsidRPr="00E07B1B">
              <w:t>GDM significantly associated with lower carbohydrate (OR per 1-SD change: 0.60; 95%CI: 0.40, 0.90) and higher total fat (OR per 1-SD change: 1.61; 95%CI: 1.06, 2.44) intake distributions as a percentage of energy.</w:t>
            </w:r>
          </w:p>
        </w:tc>
        <w:tc>
          <w:tcPr>
            <w:tcW w:w="437" w:type="pct"/>
            <w:tcBorders>
              <w:top w:val="nil"/>
              <w:bottom w:val="nil"/>
            </w:tcBorders>
            <w:shd w:val="clear" w:color="auto" w:fill="F2F2F2" w:themeFill="background1" w:themeFillShade="F2"/>
          </w:tcPr>
          <w:p w:rsidR="0025490C" w:rsidRPr="00E07B1B" w:rsidRDefault="0025490C" w:rsidP="009B6458">
            <w:pPr>
              <w:pStyle w:val="TableText"/>
              <w:jc w:val="center"/>
            </w:pPr>
            <w:r w:rsidRPr="00E07B1B">
              <w:t>MEDIUM</w:t>
            </w:r>
          </w:p>
        </w:tc>
      </w:tr>
      <w:tr w:rsidR="0025490C" w:rsidRPr="00E07B1B" w:rsidTr="009B6458">
        <w:trPr>
          <w:cantSplit/>
        </w:trPr>
        <w:tc>
          <w:tcPr>
            <w:tcW w:w="486" w:type="pct"/>
            <w:tcBorders>
              <w:top w:val="nil"/>
              <w:bottom w:val="nil"/>
            </w:tcBorders>
            <w:shd w:val="clear" w:color="auto" w:fill="auto"/>
          </w:tcPr>
          <w:p w:rsidR="0025490C" w:rsidRPr="00E07B1B" w:rsidRDefault="0025490C" w:rsidP="009B6458">
            <w:pPr>
              <w:pStyle w:val="TableText"/>
            </w:pPr>
            <w:r w:rsidRPr="00E07B1B">
              <w:t>Ramos-Levi</w:t>
            </w:r>
            <w:r w:rsidR="009B6458">
              <w:br/>
            </w:r>
            <w:r w:rsidRPr="00E07B1B">
              <w:t>(2012)</w:t>
            </w:r>
          </w:p>
        </w:tc>
        <w:tc>
          <w:tcPr>
            <w:tcW w:w="534" w:type="pct"/>
            <w:tcBorders>
              <w:top w:val="nil"/>
              <w:bottom w:val="nil"/>
            </w:tcBorders>
            <w:shd w:val="clear" w:color="auto" w:fill="auto"/>
          </w:tcPr>
          <w:p w:rsidR="0025490C" w:rsidRPr="00E07B1B" w:rsidRDefault="0025490C" w:rsidP="009B6458">
            <w:pPr>
              <w:pStyle w:val="TableText"/>
            </w:pPr>
            <w:r w:rsidRPr="00E07B1B">
              <w:t>Spain</w:t>
            </w:r>
            <w:r w:rsidR="009B6458">
              <w:br/>
            </w:r>
            <w:r w:rsidRPr="00E07B1B">
              <w:t>2194</w:t>
            </w:r>
          </w:p>
        </w:tc>
        <w:tc>
          <w:tcPr>
            <w:tcW w:w="582" w:type="pct"/>
            <w:tcBorders>
              <w:top w:val="nil"/>
              <w:bottom w:val="nil"/>
            </w:tcBorders>
            <w:shd w:val="clear" w:color="auto" w:fill="auto"/>
          </w:tcPr>
          <w:p w:rsidR="0025490C" w:rsidRPr="00E07B1B" w:rsidRDefault="0025490C" w:rsidP="007B5EEF">
            <w:pPr>
              <w:pStyle w:val="TableText"/>
            </w:pPr>
            <w:r w:rsidRPr="00E07B1B">
              <w:t>Observational cohort</w:t>
            </w:r>
          </w:p>
        </w:tc>
        <w:tc>
          <w:tcPr>
            <w:tcW w:w="1165" w:type="pct"/>
            <w:tcBorders>
              <w:top w:val="nil"/>
              <w:bottom w:val="nil"/>
            </w:tcBorders>
            <w:shd w:val="clear" w:color="auto" w:fill="auto"/>
          </w:tcPr>
          <w:p w:rsidR="0025490C" w:rsidRPr="00E07B1B" w:rsidRDefault="0025490C" w:rsidP="007E3726">
            <w:pPr>
              <w:pStyle w:val="TableText"/>
              <w:ind w:right="142"/>
            </w:pPr>
            <w:r w:rsidRPr="00E07B1B">
              <w:t>Screened with ADA criteria</w:t>
            </w:r>
          </w:p>
        </w:tc>
        <w:tc>
          <w:tcPr>
            <w:tcW w:w="1796" w:type="pct"/>
            <w:tcBorders>
              <w:top w:val="nil"/>
              <w:bottom w:val="nil"/>
            </w:tcBorders>
            <w:shd w:val="clear" w:color="auto" w:fill="auto"/>
          </w:tcPr>
          <w:p w:rsidR="0025490C" w:rsidRPr="00E07B1B" w:rsidRDefault="0025490C" w:rsidP="009B6458">
            <w:pPr>
              <w:pStyle w:val="TableText"/>
            </w:pPr>
            <w:r w:rsidRPr="00E07B1B">
              <w:t>High red and processed meat consumption &gt;</w:t>
            </w:r>
            <w:r w:rsidR="009B6458">
              <w:t> </w:t>
            </w:r>
            <w:r w:rsidRPr="00E07B1B">
              <w:t>6</w:t>
            </w:r>
            <w:r w:rsidR="009B6458">
              <w:t> </w:t>
            </w:r>
            <w:r w:rsidRPr="00E07B1B">
              <w:t xml:space="preserve">times/week, </w:t>
            </w:r>
            <w:r>
              <w:t>h</w:t>
            </w:r>
            <w:r w:rsidRPr="00E07B1B">
              <w:t>igh coffee intake (2</w:t>
            </w:r>
            <w:r>
              <w:t>–</w:t>
            </w:r>
            <w:r w:rsidRPr="00E07B1B">
              <w:t>3 times/day), high intake of biscuits and pastries (&gt;</w:t>
            </w:r>
            <w:r>
              <w:t> </w:t>
            </w:r>
            <w:r w:rsidRPr="00E07B1B">
              <w:t>4</w:t>
            </w:r>
            <w:r>
              <w:t> </w:t>
            </w:r>
            <w:r w:rsidRPr="00E07B1B">
              <w:t>times/week), sugary drinks (&gt;</w:t>
            </w:r>
            <w:r>
              <w:t> </w:t>
            </w:r>
            <w:r w:rsidRPr="00E07B1B">
              <w:t>4</w:t>
            </w:r>
            <w:r>
              <w:t> </w:t>
            </w:r>
            <w:r w:rsidRPr="00E07B1B">
              <w:t>servings/ week). No risk data were provided</w:t>
            </w:r>
            <w:r>
              <w:t>.</w:t>
            </w:r>
          </w:p>
        </w:tc>
        <w:tc>
          <w:tcPr>
            <w:tcW w:w="437" w:type="pct"/>
            <w:tcBorders>
              <w:top w:val="nil"/>
              <w:bottom w:val="nil"/>
            </w:tcBorders>
            <w:shd w:val="clear" w:color="auto" w:fill="auto"/>
          </w:tcPr>
          <w:p w:rsidR="0025490C" w:rsidRPr="00E07B1B" w:rsidRDefault="0025490C" w:rsidP="009B6458">
            <w:pPr>
              <w:pStyle w:val="TableText"/>
              <w:jc w:val="center"/>
            </w:pPr>
            <w:r w:rsidRPr="00E07B1B">
              <w:t>LOW</w:t>
            </w:r>
          </w:p>
        </w:tc>
      </w:tr>
      <w:tr w:rsidR="009B6458" w:rsidRPr="00E07B1B" w:rsidTr="009B6458">
        <w:trPr>
          <w:cantSplit/>
        </w:trPr>
        <w:tc>
          <w:tcPr>
            <w:tcW w:w="486" w:type="pct"/>
            <w:vMerge w:val="restart"/>
            <w:tcBorders>
              <w:top w:val="nil"/>
            </w:tcBorders>
            <w:shd w:val="clear" w:color="auto" w:fill="F2F2F2" w:themeFill="background1" w:themeFillShade="F2"/>
          </w:tcPr>
          <w:p w:rsidR="009B6458" w:rsidRPr="00E07B1B" w:rsidRDefault="009B6458" w:rsidP="009B6458">
            <w:pPr>
              <w:pStyle w:val="TableText"/>
            </w:pPr>
            <w:r w:rsidRPr="00E07B1B">
              <w:t>Qiu</w:t>
            </w:r>
            <w:r>
              <w:br/>
            </w:r>
            <w:r w:rsidRPr="00E07B1B">
              <w:t>(2011</w:t>
            </w:r>
            <w:r>
              <w:t>c</w:t>
            </w:r>
            <w:r w:rsidRPr="00E07B1B">
              <w:t>)</w:t>
            </w:r>
          </w:p>
        </w:tc>
        <w:tc>
          <w:tcPr>
            <w:tcW w:w="534" w:type="pct"/>
            <w:vMerge w:val="restart"/>
            <w:tcBorders>
              <w:top w:val="nil"/>
            </w:tcBorders>
            <w:shd w:val="clear" w:color="auto" w:fill="F2F2F2" w:themeFill="background1" w:themeFillShade="F2"/>
          </w:tcPr>
          <w:p w:rsidR="009B6458" w:rsidRPr="00E07B1B" w:rsidRDefault="009B6458" w:rsidP="009B6458">
            <w:pPr>
              <w:pStyle w:val="TableText"/>
            </w:pPr>
            <w:r w:rsidRPr="00E07B1B">
              <w:t>USA</w:t>
            </w:r>
            <w:r>
              <w:br/>
            </w:r>
            <w:r w:rsidRPr="00E07B1B">
              <w:t>Cohort 3158</w:t>
            </w:r>
            <w:r>
              <w:t xml:space="preserve">, </w:t>
            </w:r>
            <w:r w:rsidRPr="00E07B1B">
              <w:t>185</w:t>
            </w:r>
            <w:r>
              <w:t> </w:t>
            </w:r>
            <w:r w:rsidRPr="00E07B1B">
              <w:t>cases</w:t>
            </w:r>
            <w:r>
              <w:t>,</w:t>
            </w:r>
            <w:r w:rsidRPr="00E07B1B">
              <w:t xml:space="preserve"> 411</w:t>
            </w:r>
            <w:r>
              <w:t> </w:t>
            </w:r>
            <w:r w:rsidRPr="00E07B1B">
              <w:t>controls</w:t>
            </w:r>
          </w:p>
        </w:tc>
        <w:tc>
          <w:tcPr>
            <w:tcW w:w="582" w:type="pct"/>
            <w:tcBorders>
              <w:top w:val="nil"/>
              <w:bottom w:val="nil"/>
            </w:tcBorders>
            <w:shd w:val="clear" w:color="auto" w:fill="F2F2F2" w:themeFill="background1" w:themeFillShade="F2"/>
          </w:tcPr>
          <w:p w:rsidR="009B6458" w:rsidRPr="00E07B1B" w:rsidRDefault="009B6458" w:rsidP="009B6458">
            <w:pPr>
              <w:pStyle w:val="TableText"/>
              <w:ind w:left="284" w:hanging="284"/>
            </w:pPr>
            <w:r>
              <w:t>1</w:t>
            </w:r>
            <w:r>
              <w:tab/>
            </w:r>
            <w:r w:rsidRPr="00E07B1B">
              <w:t>Cohort</w:t>
            </w:r>
          </w:p>
        </w:tc>
        <w:tc>
          <w:tcPr>
            <w:tcW w:w="1165" w:type="pct"/>
            <w:tcBorders>
              <w:top w:val="nil"/>
              <w:bottom w:val="nil"/>
            </w:tcBorders>
            <w:shd w:val="clear" w:color="auto" w:fill="F2F2F2" w:themeFill="background1" w:themeFillShade="F2"/>
          </w:tcPr>
          <w:p w:rsidR="009B6458" w:rsidRDefault="009B6458" w:rsidP="009B6458">
            <w:pPr>
              <w:pStyle w:val="TableText"/>
              <w:spacing w:after="30"/>
              <w:ind w:left="284" w:right="142" w:hanging="284"/>
            </w:pPr>
            <w:r w:rsidRPr="00E07B1B">
              <w:t>1</w:t>
            </w:r>
            <w:r>
              <w:tab/>
            </w:r>
            <w:r w:rsidRPr="00E07B1B">
              <w:t>Cohort study</w:t>
            </w:r>
            <w:r>
              <w:t>:</w:t>
            </w:r>
            <w:r w:rsidRPr="00E07B1B">
              <w:t xml:space="preserve"> 50</w:t>
            </w:r>
            <w:r>
              <w:t xml:space="preserve"> </w:t>
            </w:r>
            <w:r w:rsidRPr="00E07B1B">
              <w:t>g</w:t>
            </w:r>
            <w:r>
              <w:t>,</w:t>
            </w:r>
            <w:r w:rsidRPr="00E07B1B">
              <w:t xml:space="preserve"> 1</w:t>
            </w:r>
            <w:r>
              <w:t>-</w:t>
            </w:r>
            <w:r w:rsidRPr="00E07B1B">
              <w:t xml:space="preserve">hour oral glucose challenge test. If result was abnormal </w:t>
            </w:r>
            <w:r>
              <w:t>(</w:t>
            </w:r>
            <w:r w:rsidRPr="00E07B1B">
              <w:t>≥</w:t>
            </w:r>
            <w:r>
              <w:t> </w:t>
            </w:r>
            <w:r w:rsidRPr="00E07B1B">
              <w:t>7.8</w:t>
            </w:r>
            <w:r>
              <w:t> </w:t>
            </w:r>
            <w:r w:rsidRPr="00E07B1B">
              <w:t>mmol/L</w:t>
            </w:r>
            <w:r>
              <w:t>),</w:t>
            </w:r>
            <w:r w:rsidRPr="00E07B1B">
              <w:t xml:space="preserve"> </w:t>
            </w:r>
            <w:r>
              <w:t>it was</w:t>
            </w:r>
            <w:r w:rsidRPr="00E07B1B">
              <w:t xml:space="preserve"> followed </w:t>
            </w:r>
            <w:r>
              <w:t xml:space="preserve">one to two </w:t>
            </w:r>
            <w:r w:rsidRPr="00E07B1B">
              <w:t>weeks later with a 100</w:t>
            </w:r>
            <w:r>
              <w:t xml:space="preserve"> </w:t>
            </w:r>
            <w:r w:rsidRPr="00E07B1B">
              <w:t>g, 3</w:t>
            </w:r>
            <w:r>
              <w:t>-</w:t>
            </w:r>
            <w:r w:rsidRPr="00E07B1B">
              <w:t xml:space="preserve">hour OGTT. </w:t>
            </w:r>
            <w:r>
              <w:t>Two</w:t>
            </w:r>
            <w:r w:rsidRPr="00E07B1B">
              <w:t xml:space="preserve"> or more abnormal results were required for a diagnosis </w:t>
            </w:r>
            <w:r>
              <w:t>from:</w:t>
            </w:r>
          </w:p>
          <w:p w:rsidR="009B6458" w:rsidRDefault="009B6458" w:rsidP="00D06F73">
            <w:pPr>
              <w:pStyle w:val="TableBullet"/>
              <w:spacing w:after="30"/>
              <w:ind w:left="568"/>
            </w:pPr>
            <w:r w:rsidRPr="00E07B1B">
              <w:t>fasting</w:t>
            </w:r>
            <w:r>
              <w:t xml:space="preserve"> </w:t>
            </w:r>
            <w:r w:rsidRPr="00E07B1B">
              <w:t>≥</w:t>
            </w:r>
            <w:r>
              <w:t xml:space="preserve"> </w:t>
            </w:r>
            <w:r w:rsidRPr="00E07B1B">
              <w:t>5.3</w:t>
            </w:r>
            <w:r>
              <w:t xml:space="preserve"> </w:t>
            </w:r>
            <w:r w:rsidRPr="00E07B1B">
              <w:t>mmol/L</w:t>
            </w:r>
          </w:p>
          <w:p w:rsidR="009B6458" w:rsidRDefault="009B6458" w:rsidP="00D06F73">
            <w:pPr>
              <w:pStyle w:val="TableBullet"/>
              <w:spacing w:after="30"/>
              <w:ind w:left="568"/>
            </w:pPr>
            <w:r w:rsidRPr="00E07B1B">
              <w:t>1</w:t>
            </w:r>
            <w:r>
              <w:t>-</w:t>
            </w:r>
            <w:r w:rsidRPr="00E07B1B">
              <w:t>hour</w:t>
            </w:r>
            <w:r>
              <w:t xml:space="preserve"> </w:t>
            </w:r>
            <w:r w:rsidRPr="00E07B1B">
              <w:t>≥</w:t>
            </w:r>
            <w:r>
              <w:t xml:space="preserve"> </w:t>
            </w:r>
            <w:r w:rsidRPr="00E07B1B">
              <w:t>10</w:t>
            </w:r>
            <w:r>
              <w:t xml:space="preserve"> </w:t>
            </w:r>
            <w:r w:rsidRPr="00E07B1B">
              <w:t>mmol/L</w:t>
            </w:r>
          </w:p>
          <w:p w:rsidR="009B6458" w:rsidRDefault="009B6458" w:rsidP="00D06F73">
            <w:pPr>
              <w:pStyle w:val="TableBullet"/>
              <w:spacing w:after="30"/>
              <w:ind w:left="568"/>
            </w:pPr>
            <w:r w:rsidRPr="00E07B1B">
              <w:t>2</w:t>
            </w:r>
            <w:r>
              <w:t>-</w:t>
            </w:r>
            <w:r w:rsidRPr="00E07B1B">
              <w:t>hour</w:t>
            </w:r>
            <w:r>
              <w:t xml:space="preserve"> </w:t>
            </w:r>
            <w:r w:rsidRPr="00E07B1B">
              <w:t>≥</w:t>
            </w:r>
            <w:r>
              <w:t xml:space="preserve"> </w:t>
            </w:r>
            <w:r w:rsidRPr="00E07B1B">
              <w:t>8.6</w:t>
            </w:r>
            <w:r>
              <w:t xml:space="preserve"> </w:t>
            </w:r>
            <w:r w:rsidRPr="00E07B1B">
              <w:t>mmol/L</w:t>
            </w:r>
          </w:p>
          <w:p w:rsidR="009B6458" w:rsidRPr="00E07B1B" w:rsidRDefault="009B6458" w:rsidP="00D06F73">
            <w:pPr>
              <w:pStyle w:val="TableBullet"/>
              <w:ind w:left="568"/>
            </w:pPr>
            <w:r w:rsidRPr="00E07B1B">
              <w:t>3</w:t>
            </w:r>
            <w:r>
              <w:t>-</w:t>
            </w:r>
            <w:r w:rsidRPr="00E07B1B">
              <w:t>hour</w:t>
            </w:r>
            <w:r>
              <w:t xml:space="preserve"> </w:t>
            </w:r>
            <w:r w:rsidRPr="00E07B1B">
              <w:t>≥</w:t>
            </w:r>
            <w:r>
              <w:t xml:space="preserve"> </w:t>
            </w:r>
            <w:r w:rsidRPr="00E07B1B">
              <w:t>7.8</w:t>
            </w:r>
            <w:r>
              <w:t xml:space="preserve"> </w:t>
            </w:r>
            <w:r w:rsidRPr="00E07B1B">
              <w:t>mmol/L</w:t>
            </w:r>
            <w:r>
              <w:t>.</w:t>
            </w:r>
          </w:p>
        </w:tc>
        <w:tc>
          <w:tcPr>
            <w:tcW w:w="1796" w:type="pct"/>
            <w:tcBorders>
              <w:top w:val="nil"/>
              <w:bottom w:val="nil"/>
            </w:tcBorders>
            <w:shd w:val="clear" w:color="auto" w:fill="F2F2F2" w:themeFill="background1" w:themeFillShade="F2"/>
          </w:tcPr>
          <w:p w:rsidR="009B6458" w:rsidRPr="00E07B1B" w:rsidRDefault="009B6458" w:rsidP="009B6458">
            <w:pPr>
              <w:pStyle w:val="TableText"/>
              <w:ind w:left="284" w:hanging="284"/>
            </w:pPr>
            <w:r>
              <w:t>1</w:t>
            </w:r>
            <w:r>
              <w:tab/>
            </w:r>
            <w:r w:rsidRPr="00E07B1B">
              <w:t>Cohort study</w:t>
            </w:r>
            <w:r>
              <w:t>:</w:t>
            </w:r>
            <w:r w:rsidRPr="00E07B1B">
              <w:t xml:space="preserve"> Compared with no egg consumption</w:t>
            </w:r>
            <w:r>
              <w:t>,</w:t>
            </w:r>
            <w:r w:rsidRPr="00E07B1B">
              <w:t xml:space="preserve"> the relative risk of developing GDM increased with increasing egg consumption ≥</w:t>
            </w:r>
            <w:r>
              <w:t xml:space="preserve"> </w:t>
            </w:r>
            <w:r w:rsidRPr="00E07B1B">
              <w:t>10 eggs per week</w:t>
            </w:r>
            <w:r>
              <w:t>:</w:t>
            </w:r>
            <w:r w:rsidRPr="00E07B1B">
              <w:t xml:space="preserve"> adj RR 2.52 (95%CI 1.11</w:t>
            </w:r>
            <w:r>
              <w:t>–</w:t>
            </w:r>
            <w:r w:rsidRPr="00E07B1B">
              <w:t xml:space="preserve">5.75, </w:t>
            </w:r>
            <w:r w:rsidRPr="002B0699">
              <w:rPr>
                <w:i/>
              </w:rPr>
              <w:t>p</w:t>
            </w:r>
            <w:r>
              <w:t xml:space="preserve"> </w:t>
            </w:r>
            <w:r w:rsidRPr="00E07B1B">
              <w:t>=</w:t>
            </w:r>
            <w:r>
              <w:t xml:space="preserve"> </w:t>
            </w:r>
            <w:r w:rsidRPr="00E07B1B">
              <w:t>0.008). Women with high egg consumption ≥</w:t>
            </w:r>
            <w:r>
              <w:t xml:space="preserve"> </w:t>
            </w:r>
            <w:r w:rsidRPr="00E07B1B">
              <w:t>7 eggs had a 1.77 fold increased risk compared with women with low egg consumption (95%CI 1.19</w:t>
            </w:r>
            <w:r>
              <w:t>–</w:t>
            </w:r>
            <w:r w:rsidRPr="00E07B1B">
              <w:t>2.63). The relative risk of developing GDM for women with high cholesterol intake (≥</w:t>
            </w:r>
            <w:r>
              <w:t xml:space="preserve"> </w:t>
            </w:r>
            <w:r w:rsidRPr="00E07B1B">
              <w:t>294</w:t>
            </w:r>
            <w:r>
              <w:t xml:space="preserve"> </w:t>
            </w:r>
            <w:r w:rsidRPr="00E07B1B">
              <w:t>mg/day) versus low cholesterol intake (&lt;</w:t>
            </w:r>
            <w:r>
              <w:t> </w:t>
            </w:r>
            <w:r w:rsidRPr="00E07B1B">
              <w:t>151</w:t>
            </w:r>
            <w:r>
              <w:t xml:space="preserve"> </w:t>
            </w:r>
            <w:r w:rsidRPr="00E07B1B">
              <w:t>mg/day) was 2.35 (95%CI 1.35</w:t>
            </w:r>
            <w:r>
              <w:t>–</w:t>
            </w:r>
            <w:r w:rsidRPr="00E07B1B">
              <w:t>4.09).</w:t>
            </w:r>
          </w:p>
        </w:tc>
        <w:tc>
          <w:tcPr>
            <w:tcW w:w="437" w:type="pct"/>
            <w:tcBorders>
              <w:top w:val="nil"/>
              <w:bottom w:val="nil"/>
            </w:tcBorders>
            <w:shd w:val="clear" w:color="auto" w:fill="F2F2F2" w:themeFill="background1" w:themeFillShade="F2"/>
          </w:tcPr>
          <w:p w:rsidR="009B6458" w:rsidRPr="00E07B1B" w:rsidRDefault="009B6458" w:rsidP="009B6458">
            <w:pPr>
              <w:pStyle w:val="TableText"/>
              <w:jc w:val="center"/>
            </w:pPr>
            <w:r w:rsidRPr="00E07B1B">
              <w:t>MEDIUM</w:t>
            </w:r>
          </w:p>
        </w:tc>
      </w:tr>
      <w:tr w:rsidR="009B6458" w:rsidRPr="00E07B1B" w:rsidTr="009B6458">
        <w:trPr>
          <w:cantSplit/>
        </w:trPr>
        <w:tc>
          <w:tcPr>
            <w:tcW w:w="486" w:type="pct"/>
            <w:vMerge/>
            <w:tcBorders>
              <w:bottom w:val="nil"/>
            </w:tcBorders>
            <w:shd w:val="clear" w:color="auto" w:fill="F2F2F2" w:themeFill="background1" w:themeFillShade="F2"/>
          </w:tcPr>
          <w:p w:rsidR="009B6458" w:rsidRPr="00E07B1B" w:rsidRDefault="009B6458" w:rsidP="007B5EEF">
            <w:pPr>
              <w:pStyle w:val="TableText"/>
            </w:pPr>
          </w:p>
        </w:tc>
        <w:tc>
          <w:tcPr>
            <w:tcW w:w="534" w:type="pct"/>
            <w:vMerge/>
            <w:tcBorders>
              <w:bottom w:val="nil"/>
            </w:tcBorders>
            <w:shd w:val="clear" w:color="auto" w:fill="F2F2F2" w:themeFill="background1" w:themeFillShade="F2"/>
          </w:tcPr>
          <w:p w:rsidR="009B6458" w:rsidRPr="00E07B1B" w:rsidRDefault="009B6458" w:rsidP="007B5EEF">
            <w:pPr>
              <w:pStyle w:val="TableText"/>
            </w:pPr>
          </w:p>
        </w:tc>
        <w:tc>
          <w:tcPr>
            <w:tcW w:w="582" w:type="pct"/>
            <w:tcBorders>
              <w:top w:val="nil"/>
              <w:bottom w:val="nil"/>
            </w:tcBorders>
            <w:shd w:val="clear" w:color="auto" w:fill="F2F2F2" w:themeFill="background1" w:themeFillShade="F2"/>
          </w:tcPr>
          <w:p w:rsidR="009B6458" w:rsidRPr="00E07B1B" w:rsidRDefault="009B6458" w:rsidP="009B6458">
            <w:pPr>
              <w:pStyle w:val="TableText"/>
              <w:ind w:left="284" w:hanging="284"/>
            </w:pPr>
            <w:r>
              <w:t>2</w:t>
            </w:r>
            <w:r>
              <w:tab/>
            </w:r>
            <w:r w:rsidRPr="00E07B1B">
              <w:t xml:space="preserve">Case </w:t>
            </w:r>
            <w:r>
              <w:t>c</w:t>
            </w:r>
            <w:r w:rsidRPr="00E07B1B">
              <w:t>ontrol</w:t>
            </w:r>
          </w:p>
        </w:tc>
        <w:tc>
          <w:tcPr>
            <w:tcW w:w="1165" w:type="pct"/>
            <w:tcBorders>
              <w:top w:val="nil"/>
              <w:bottom w:val="nil"/>
            </w:tcBorders>
            <w:shd w:val="clear" w:color="auto" w:fill="F2F2F2" w:themeFill="background1" w:themeFillShade="F2"/>
          </w:tcPr>
          <w:p w:rsidR="009B6458" w:rsidRPr="00E07B1B" w:rsidRDefault="009B6458" w:rsidP="00D06F73">
            <w:pPr>
              <w:pStyle w:val="TableText"/>
              <w:ind w:left="284" w:right="142" w:hanging="284"/>
            </w:pPr>
            <w:r w:rsidRPr="00E07B1B">
              <w:t>2</w:t>
            </w:r>
            <w:r w:rsidR="00D06F73">
              <w:tab/>
            </w:r>
            <w:r w:rsidRPr="00E07B1B">
              <w:t>Case control study</w:t>
            </w:r>
            <w:r>
              <w:t>:</w:t>
            </w:r>
            <w:r w:rsidRPr="00E07B1B">
              <w:t xml:space="preserve"> </w:t>
            </w:r>
            <w:r>
              <w:t>W</w:t>
            </w:r>
            <w:r w:rsidRPr="00E07B1B">
              <w:t>omen diagnosed using a 3</w:t>
            </w:r>
            <w:r>
              <w:noBreakHyphen/>
            </w:r>
            <w:r w:rsidRPr="00E07B1B">
              <w:t>hour OGTT with National Diabetes Data Group criteria</w:t>
            </w:r>
            <w:r>
              <w:t>.</w:t>
            </w:r>
          </w:p>
        </w:tc>
        <w:tc>
          <w:tcPr>
            <w:tcW w:w="1796" w:type="pct"/>
            <w:tcBorders>
              <w:top w:val="nil"/>
              <w:bottom w:val="nil"/>
            </w:tcBorders>
            <w:shd w:val="clear" w:color="auto" w:fill="F2F2F2" w:themeFill="background1" w:themeFillShade="F2"/>
          </w:tcPr>
          <w:p w:rsidR="009B6458" w:rsidRPr="00E07B1B" w:rsidRDefault="009B6458" w:rsidP="009B6458">
            <w:pPr>
              <w:pStyle w:val="TableText"/>
              <w:ind w:left="284" w:hanging="284"/>
            </w:pPr>
            <w:r>
              <w:t>2</w:t>
            </w:r>
            <w:r>
              <w:tab/>
            </w:r>
            <w:r w:rsidRPr="00E07B1B">
              <w:t>Case control study</w:t>
            </w:r>
            <w:r>
              <w:t>:</w:t>
            </w:r>
            <w:r w:rsidRPr="00E07B1B">
              <w:t xml:space="preserve"> </w:t>
            </w:r>
            <w:r>
              <w:t>T</w:t>
            </w:r>
            <w:r w:rsidRPr="00E07B1B">
              <w:t>he adjusted odds ratio for consuming ≥</w:t>
            </w:r>
            <w:r>
              <w:t xml:space="preserve"> </w:t>
            </w:r>
            <w:r w:rsidRPr="00E07B1B">
              <w:t>7 eggs/week compared with &lt;</w:t>
            </w:r>
            <w:r>
              <w:t> </w:t>
            </w:r>
            <w:r w:rsidRPr="00E07B1B">
              <w:t>7</w:t>
            </w:r>
            <w:r>
              <w:t> </w:t>
            </w:r>
            <w:r w:rsidRPr="00E07B1B">
              <w:t>eggs/week was 2.65 (95%CI 1.48</w:t>
            </w:r>
            <w:r>
              <w:t>–</w:t>
            </w:r>
            <w:r w:rsidRPr="00E07B1B">
              <w:t>4.72).</w:t>
            </w:r>
            <w:r>
              <w:t xml:space="preserve"> </w:t>
            </w:r>
            <w:r w:rsidRPr="00E07B1B">
              <w:t>The odds for developing GDM also increased with increasing cholesterol intake (</w:t>
            </w:r>
            <w:r w:rsidRPr="002B0699">
              <w:rPr>
                <w:i/>
              </w:rPr>
              <w:t>p</w:t>
            </w:r>
            <w:r>
              <w:t xml:space="preserve"> </w:t>
            </w:r>
            <w:r w:rsidRPr="00E07B1B">
              <w:t>=</w:t>
            </w:r>
            <w:r>
              <w:t xml:space="preserve"> </w:t>
            </w:r>
            <w:r w:rsidRPr="00E07B1B">
              <w:t>0.02)</w:t>
            </w:r>
            <w:r>
              <w:t>.</w:t>
            </w:r>
          </w:p>
        </w:tc>
        <w:tc>
          <w:tcPr>
            <w:tcW w:w="437" w:type="pct"/>
            <w:tcBorders>
              <w:top w:val="nil"/>
              <w:bottom w:val="nil"/>
            </w:tcBorders>
            <w:shd w:val="clear" w:color="auto" w:fill="F2F2F2" w:themeFill="background1" w:themeFillShade="F2"/>
          </w:tcPr>
          <w:p w:rsidR="009B6458" w:rsidRPr="00E07B1B" w:rsidRDefault="009B6458" w:rsidP="009B6458">
            <w:pPr>
              <w:pStyle w:val="TableText"/>
              <w:jc w:val="center"/>
            </w:pPr>
          </w:p>
        </w:tc>
      </w:tr>
      <w:tr w:rsidR="0025490C" w:rsidRPr="00E07B1B" w:rsidTr="009B6458">
        <w:trPr>
          <w:cantSplit/>
        </w:trPr>
        <w:tc>
          <w:tcPr>
            <w:tcW w:w="486" w:type="pct"/>
            <w:tcBorders>
              <w:top w:val="nil"/>
              <w:bottom w:val="nil"/>
            </w:tcBorders>
            <w:shd w:val="clear" w:color="auto" w:fill="auto"/>
          </w:tcPr>
          <w:p w:rsidR="0025490C" w:rsidRPr="00E07B1B" w:rsidRDefault="0025490C" w:rsidP="000A176C">
            <w:pPr>
              <w:pStyle w:val="TableText"/>
            </w:pPr>
            <w:r w:rsidRPr="00E07B1B">
              <w:t>Qiu</w:t>
            </w:r>
            <w:r w:rsidR="000A176C">
              <w:br/>
            </w:r>
            <w:r w:rsidRPr="00E07B1B">
              <w:t>(2011</w:t>
            </w:r>
            <w:r>
              <w:t>a</w:t>
            </w:r>
            <w:r w:rsidRPr="00E07B1B">
              <w:t>)</w:t>
            </w:r>
          </w:p>
        </w:tc>
        <w:tc>
          <w:tcPr>
            <w:tcW w:w="534" w:type="pct"/>
            <w:tcBorders>
              <w:top w:val="nil"/>
              <w:bottom w:val="nil"/>
            </w:tcBorders>
            <w:shd w:val="clear" w:color="auto" w:fill="auto"/>
          </w:tcPr>
          <w:p w:rsidR="0025490C" w:rsidRPr="00E07B1B" w:rsidRDefault="0025490C" w:rsidP="000A176C">
            <w:pPr>
              <w:pStyle w:val="TableText"/>
            </w:pPr>
            <w:r w:rsidRPr="00E07B1B">
              <w:t>USA</w:t>
            </w:r>
            <w:r w:rsidR="000A176C">
              <w:br/>
            </w:r>
            <w:r w:rsidRPr="00E07B1B">
              <w:t>3158</w:t>
            </w:r>
          </w:p>
        </w:tc>
        <w:tc>
          <w:tcPr>
            <w:tcW w:w="582" w:type="pct"/>
            <w:tcBorders>
              <w:top w:val="nil"/>
              <w:bottom w:val="nil"/>
            </w:tcBorders>
            <w:shd w:val="clear" w:color="auto" w:fill="auto"/>
          </w:tcPr>
          <w:p w:rsidR="0025490C" w:rsidRPr="00E07B1B" w:rsidRDefault="0025490C" w:rsidP="007B5EEF">
            <w:pPr>
              <w:pStyle w:val="TableText"/>
            </w:pPr>
            <w:r w:rsidRPr="00E07B1B">
              <w:t>Prospective cohort</w:t>
            </w:r>
          </w:p>
        </w:tc>
        <w:tc>
          <w:tcPr>
            <w:tcW w:w="1165" w:type="pct"/>
            <w:tcBorders>
              <w:top w:val="nil"/>
              <w:bottom w:val="nil"/>
            </w:tcBorders>
            <w:shd w:val="clear" w:color="auto" w:fill="auto"/>
          </w:tcPr>
          <w:p w:rsidR="0025490C" w:rsidRPr="00E07B1B" w:rsidRDefault="0025490C" w:rsidP="000A176C">
            <w:pPr>
              <w:pStyle w:val="TableText"/>
              <w:spacing w:after="30"/>
              <w:ind w:right="142"/>
            </w:pPr>
            <w:r w:rsidRPr="00E07B1B">
              <w:t>50</w:t>
            </w:r>
            <w:r>
              <w:t xml:space="preserve"> </w:t>
            </w:r>
            <w:r w:rsidRPr="00E07B1B">
              <w:t>g</w:t>
            </w:r>
            <w:r>
              <w:t>,</w:t>
            </w:r>
            <w:r w:rsidRPr="00E07B1B">
              <w:t xml:space="preserve"> 1</w:t>
            </w:r>
            <w:r>
              <w:t>-</w:t>
            </w:r>
            <w:r w:rsidRPr="00E07B1B">
              <w:t>hour oral glucose challenge (≥</w:t>
            </w:r>
            <w:r>
              <w:t xml:space="preserve"> </w:t>
            </w:r>
            <w:r w:rsidRPr="00E07B1B">
              <w:t>7.8mmol/L). If failed</w:t>
            </w:r>
            <w:r>
              <w:t>,</w:t>
            </w:r>
            <w:r w:rsidRPr="00E07B1B">
              <w:t xml:space="preserve"> received a 100</w:t>
            </w:r>
            <w:r>
              <w:t xml:space="preserve"> </w:t>
            </w:r>
            <w:r w:rsidRPr="00E07B1B">
              <w:t>g</w:t>
            </w:r>
            <w:r>
              <w:t xml:space="preserve">, </w:t>
            </w:r>
            <w:r w:rsidRPr="00E07B1B">
              <w:t>3</w:t>
            </w:r>
            <w:r>
              <w:noBreakHyphen/>
            </w:r>
            <w:r w:rsidRPr="00E07B1B">
              <w:t xml:space="preserve">hour OGTT within </w:t>
            </w:r>
            <w:r>
              <w:t>one to two</w:t>
            </w:r>
            <w:r w:rsidRPr="00E07B1B">
              <w:t xml:space="preserve"> weeks:</w:t>
            </w:r>
          </w:p>
          <w:p w:rsidR="0025490C" w:rsidRPr="00E07B1B" w:rsidRDefault="0025490C" w:rsidP="000A176C">
            <w:pPr>
              <w:pStyle w:val="TableBullet"/>
              <w:spacing w:after="30"/>
              <w:ind w:left="284"/>
            </w:pPr>
            <w:r>
              <w:t>f</w:t>
            </w:r>
            <w:r w:rsidRPr="00E07B1B">
              <w:t>asting ≥</w:t>
            </w:r>
            <w:r>
              <w:t xml:space="preserve"> </w:t>
            </w:r>
            <w:r w:rsidRPr="00E07B1B">
              <w:t>5.3</w:t>
            </w:r>
          </w:p>
          <w:p w:rsidR="0025490C" w:rsidRPr="00E07B1B" w:rsidRDefault="0025490C" w:rsidP="000A176C">
            <w:pPr>
              <w:pStyle w:val="TableBullet"/>
              <w:spacing w:after="30"/>
              <w:ind w:left="284"/>
            </w:pPr>
            <w:r w:rsidRPr="00E07B1B">
              <w:t>1</w:t>
            </w:r>
            <w:r>
              <w:t>-</w:t>
            </w:r>
            <w:r w:rsidRPr="00E07B1B">
              <w:t>hour ≥</w:t>
            </w:r>
            <w:r>
              <w:t xml:space="preserve"> </w:t>
            </w:r>
            <w:r w:rsidRPr="00E07B1B">
              <w:t>10.0</w:t>
            </w:r>
          </w:p>
          <w:p w:rsidR="0025490C" w:rsidRPr="00E07B1B" w:rsidRDefault="0025490C" w:rsidP="000A176C">
            <w:pPr>
              <w:pStyle w:val="TableBullet"/>
              <w:spacing w:after="30"/>
              <w:ind w:left="284"/>
            </w:pPr>
            <w:r w:rsidRPr="00E07B1B">
              <w:t>2</w:t>
            </w:r>
            <w:r>
              <w:t>-</w:t>
            </w:r>
            <w:r w:rsidRPr="00E07B1B">
              <w:t>hour ≥</w:t>
            </w:r>
            <w:r>
              <w:t xml:space="preserve"> </w:t>
            </w:r>
            <w:r w:rsidRPr="00E07B1B">
              <w:t>8.6</w:t>
            </w:r>
          </w:p>
          <w:p w:rsidR="0025490C" w:rsidRPr="00E07B1B" w:rsidRDefault="0025490C" w:rsidP="000A176C">
            <w:pPr>
              <w:pStyle w:val="TableBullet"/>
              <w:ind w:left="284"/>
            </w:pPr>
            <w:r w:rsidRPr="00E07B1B">
              <w:t>3</w:t>
            </w:r>
            <w:r>
              <w:t>-</w:t>
            </w:r>
            <w:r w:rsidRPr="00E07B1B">
              <w:t>hour ≥</w:t>
            </w:r>
            <w:r>
              <w:t xml:space="preserve"> </w:t>
            </w:r>
            <w:r w:rsidRPr="00E07B1B">
              <w:t>7.8mmol/L</w:t>
            </w:r>
            <w:r>
              <w:t>.</w:t>
            </w:r>
          </w:p>
        </w:tc>
        <w:tc>
          <w:tcPr>
            <w:tcW w:w="1796" w:type="pct"/>
            <w:tcBorders>
              <w:top w:val="nil"/>
              <w:bottom w:val="nil"/>
            </w:tcBorders>
            <w:shd w:val="clear" w:color="auto" w:fill="auto"/>
          </w:tcPr>
          <w:p w:rsidR="0025490C" w:rsidRDefault="0025490C" w:rsidP="007B5EEF">
            <w:pPr>
              <w:pStyle w:val="TableText"/>
            </w:pPr>
            <w:r w:rsidRPr="00E07B1B">
              <w:t>Risk increased with increasing levels of heme iron (adj</w:t>
            </w:r>
            <w:r w:rsidR="000A176C">
              <w:t> </w:t>
            </w:r>
            <w:r w:rsidRPr="00E07B1B">
              <w:t>RR</w:t>
            </w:r>
            <w:r w:rsidR="000A176C">
              <w:t> </w:t>
            </w:r>
            <w:r w:rsidRPr="00E07B1B">
              <w:t>2.15; 95%CI 1.09</w:t>
            </w:r>
            <w:r>
              <w:t>–</w:t>
            </w:r>
            <w:r w:rsidRPr="00E07B1B">
              <w:t>4.27</w:t>
            </w:r>
            <w:r>
              <w:t>,</w:t>
            </w:r>
            <w:r w:rsidRPr="00E07B1B">
              <w:t xml:space="preserve"> </w:t>
            </w:r>
            <w:r w:rsidRPr="002B0699">
              <w:rPr>
                <w:i/>
              </w:rPr>
              <w:t>p</w:t>
            </w:r>
            <w:r>
              <w:t xml:space="preserve"> </w:t>
            </w:r>
            <w:r w:rsidRPr="00E07B1B">
              <w:t>=</w:t>
            </w:r>
            <w:r>
              <w:t xml:space="preserve"> </w:t>
            </w:r>
            <w:r w:rsidRPr="00E07B1B">
              <w:t>0.04). Compared with those in the lowest intake decile</w:t>
            </w:r>
            <w:r>
              <w:t>,</w:t>
            </w:r>
            <w:r w:rsidRPr="00E07B1B">
              <w:t xml:space="preserve"> the women in the highest decile of intake were </w:t>
            </w:r>
            <w:r>
              <w:t>three</w:t>
            </w:r>
            <w:r w:rsidRPr="00E07B1B">
              <w:t xml:space="preserve"> times more likely to have GDM (adj RR 3.31; 95%CI 1.02</w:t>
            </w:r>
            <w:r>
              <w:t>–</w:t>
            </w:r>
            <w:r w:rsidRPr="00E07B1B">
              <w:t>10.72).</w:t>
            </w:r>
          </w:p>
          <w:p w:rsidR="0025490C" w:rsidRPr="00E07B1B" w:rsidRDefault="0025490C" w:rsidP="007B5EEF">
            <w:pPr>
              <w:pStyle w:val="TableText"/>
            </w:pPr>
            <w:r w:rsidRPr="00E07B1B">
              <w:t>A 1</w:t>
            </w:r>
            <w:r>
              <w:t xml:space="preserve"> </w:t>
            </w:r>
            <w:r w:rsidRPr="00E07B1B">
              <w:t xml:space="preserve">mg/day increase in heme iron was associated with a minimum of 51% increased risk of GDM </w:t>
            </w:r>
            <w:r>
              <w:t>(</w:t>
            </w:r>
            <w:r w:rsidRPr="00E07B1B">
              <w:t>RR 1.51</w:t>
            </w:r>
            <w:r>
              <w:t>;</w:t>
            </w:r>
            <w:r w:rsidRPr="00E07B1B">
              <w:t xml:space="preserve"> 95%CI 0.99</w:t>
            </w:r>
            <w:r>
              <w:t>–</w:t>
            </w:r>
            <w:r w:rsidRPr="00E07B1B">
              <w:t>2.36)</w:t>
            </w:r>
            <w:r>
              <w:t>.</w:t>
            </w:r>
          </w:p>
        </w:tc>
        <w:tc>
          <w:tcPr>
            <w:tcW w:w="437" w:type="pct"/>
            <w:tcBorders>
              <w:top w:val="nil"/>
              <w:bottom w:val="nil"/>
            </w:tcBorders>
            <w:shd w:val="clear" w:color="auto" w:fill="auto"/>
          </w:tcPr>
          <w:p w:rsidR="0025490C" w:rsidRPr="00E07B1B" w:rsidRDefault="0025490C" w:rsidP="009B6458">
            <w:pPr>
              <w:pStyle w:val="TableText"/>
              <w:jc w:val="center"/>
            </w:pPr>
            <w:r w:rsidRPr="00E07B1B">
              <w:t>MEDIUM</w:t>
            </w:r>
          </w:p>
        </w:tc>
      </w:tr>
      <w:tr w:rsidR="0025490C" w:rsidRPr="00E07B1B" w:rsidTr="009B6458">
        <w:trPr>
          <w:cantSplit/>
        </w:trPr>
        <w:tc>
          <w:tcPr>
            <w:tcW w:w="486" w:type="pct"/>
            <w:tcBorders>
              <w:top w:val="nil"/>
              <w:bottom w:val="nil"/>
            </w:tcBorders>
            <w:shd w:val="clear" w:color="auto" w:fill="F2F2F2" w:themeFill="background1" w:themeFillShade="F2"/>
          </w:tcPr>
          <w:p w:rsidR="0025490C" w:rsidRPr="00E07B1B" w:rsidRDefault="0025490C" w:rsidP="000A176C">
            <w:pPr>
              <w:pStyle w:val="TableText"/>
            </w:pPr>
            <w:r w:rsidRPr="00E07B1B">
              <w:t>Gonzalez-Clemente</w:t>
            </w:r>
            <w:r w:rsidR="000A176C">
              <w:br/>
            </w:r>
            <w:r w:rsidRPr="00E07B1B">
              <w:t>(2007)</w:t>
            </w:r>
          </w:p>
        </w:tc>
        <w:tc>
          <w:tcPr>
            <w:tcW w:w="534" w:type="pct"/>
            <w:tcBorders>
              <w:top w:val="nil"/>
              <w:bottom w:val="nil"/>
            </w:tcBorders>
            <w:shd w:val="clear" w:color="auto" w:fill="F2F2F2" w:themeFill="background1" w:themeFillShade="F2"/>
          </w:tcPr>
          <w:p w:rsidR="0025490C" w:rsidRPr="00E07B1B" w:rsidRDefault="0025490C" w:rsidP="000A176C">
            <w:pPr>
              <w:pStyle w:val="TableText"/>
            </w:pPr>
            <w:r w:rsidRPr="00E07B1B">
              <w:t>Spain</w:t>
            </w:r>
            <w:r w:rsidR="000A176C">
              <w:br/>
            </w:r>
            <w:r w:rsidRPr="00E07B1B">
              <w:t>335</w:t>
            </w:r>
          </w:p>
        </w:tc>
        <w:tc>
          <w:tcPr>
            <w:tcW w:w="582" w:type="pct"/>
            <w:tcBorders>
              <w:top w:val="nil"/>
              <w:bottom w:val="nil"/>
            </w:tcBorders>
            <w:shd w:val="clear" w:color="auto" w:fill="F2F2F2" w:themeFill="background1" w:themeFillShade="F2"/>
          </w:tcPr>
          <w:p w:rsidR="0025490C" w:rsidRPr="00E07B1B" w:rsidRDefault="0025490C" w:rsidP="007B5EEF">
            <w:pPr>
              <w:pStyle w:val="TableText"/>
            </w:pPr>
            <w:r w:rsidRPr="00E07B1B">
              <w:t>Cohort</w:t>
            </w:r>
          </w:p>
        </w:tc>
        <w:tc>
          <w:tcPr>
            <w:tcW w:w="1165" w:type="pct"/>
            <w:tcBorders>
              <w:top w:val="nil"/>
              <w:bottom w:val="nil"/>
            </w:tcBorders>
            <w:shd w:val="clear" w:color="auto" w:fill="F2F2F2" w:themeFill="background1" w:themeFillShade="F2"/>
          </w:tcPr>
          <w:p w:rsidR="0025490C" w:rsidRPr="00E07B1B" w:rsidRDefault="0025490C" w:rsidP="000A176C">
            <w:pPr>
              <w:pStyle w:val="TableText"/>
              <w:ind w:right="142"/>
            </w:pPr>
            <w:r w:rsidRPr="00E07B1B">
              <w:t>50</w:t>
            </w:r>
            <w:r>
              <w:t xml:space="preserve"> </w:t>
            </w:r>
            <w:r w:rsidRPr="00E07B1B">
              <w:t>g, 1</w:t>
            </w:r>
            <w:r>
              <w:t>-</w:t>
            </w:r>
            <w:r w:rsidRPr="00E07B1B">
              <w:t xml:space="preserve">hour test. </w:t>
            </w:r>
            <w:r>
              <w:t>If a</w:t>
            </w:r>
            <w:r w:rsidRPr="00E07B1B">
              <w:t>bnormal value (≥</w:t>
            </w:r>
            <w:r w:rsidR="000A176C">
              <w:t> </w:t>
            </w:r>
            <w:r w:rsidRPr="00E07B1B">
              <w:t>7.8</w:t>
            </w:r>
            <w:r w:rsidR="000A176C">
              <w:t> </w:t>
            </w:r>
            <w:r w:rsidRPr="00E07B1B">
              <w:t>mmol/L), a OGCT of ≥</w:t>
            </w:r>
            <w:r w:rsidR="000A176C">
              <w:t> </w:t>
            </w:r>
            <w:r w:rsidRPr="00E07B1B">
              <w:t>11.1</w:t>
            </w:r>
            <w:r w:rsidR="000A176C">
              <w:t> </w:t>
            </w:r>
            <w:r w:rsidRPr="00E07B1B">
              <w:t>mmol/L was considered diagnostic of GDM. If results abnormal</w:t>
            </w:r>
            <w:r>
              <w:t>,</w:t>
            </w:r>
            <w:r w:rsidRPr="00E07B1B">
              <w:t xml:space="preserve"> women underwent a 100</w:t>
            </w:r>
            <w:r w:rsidR="000A176C">
              <w:t> </w:t>
            </w:r>
            <w:r w:rsidRPr="00E07B1B">
              <w:t>g, 3</w:t>
            </w:r>
            <w:r>
              <w:noBreakHyphen/>
            </w:r>
            <w:r w:rsidRPr="00E07B1B">
              <w:t xml:space="preserve">hour OGTT after </w:t>
            </w:r>
            <w:r>
              <w:t>one to two</w:t>
            </w:r>
            <w:r w:rsidRPr="00E07B1B">
              <w:t xml:space="preserve"> weeks using the criteria of the National Diabetes Data Group</w:t>
            </w:r>
            <w:r>
              <w:t>.</w:t>
            </w:r>
          </w:p>
        </w:tc>
        <w:tc>
          <w:tcPr>
            <w:tcW w:w="1796" w:type="pct"/>
            <w:tcBorders>
              <w:top w:val="nil"/>
              <w:bottom w:val="nil"/>
            </w:tcBorders>
            <w:shd w:val="clear" w:color="auto" w:fill="F2F2F2" w:themeFill="background1" w:themeFillShade="F2"/>
          </w:tcPr>
          <w:p w:rsidR="0068074A" w:rsidRDefault="0025490C" w:rsidP="007B5EEF">
            <w:pPr>
              <w:pStyle w:val="TableText"/>
            </w:pPr>
            <w:r w:rsidRPr="00E07B1B">
              <w:t>Women with GDM had a higher cholesterol intake than women without GDM (145.3 ± 4.5 mg/1000 kcal vs 134.5</w:t>
            </w:r>
            <w:r w:rsidR="000A176C">
              <w:t> </w:t>
            </w:r>
            <w:r w:rsidRPr="00E07B1B">
              <w:t xml:space="preserve">± 1.6 mg/1000 kcal, </w:t>
            </w:r>
            <w:r>
              <w:rPr>
                <w:i/>
                <w:iCs/>
              </w:rPr>
              <w:t>p</w:t>
            </w:r>
            <w:r w:rsidRPr="00E07B1B">
              <w:t xml:space="preserve"> = 0.03).</w:t>
            </w:r>
          </w:p>
          <w:p w:rsidR="0025490C" w:rsidRPr="00E07B1B" w:rsidRDefault="0025490C" w:rsidP="000A176C">
            <w:pPr>
              <w:pStyle w:val="TableText"/>
            </w:pPr>
            <w:r w:rsidRPr="00E07B1B">
              <w:t>Adj OR = 1.88; 95%CI: 1.09–3.23 for each increase of 50</w:t>
            </w:r>
            <w:r w:rsidR="000A176C">
              <w:t> </w:t>
            </w:r>
            <w:r w:rsidRPr="00E07B1B">
              <w:t>mg/1000 kcal . Each 50</w:t>
            </w:r>
            <w:r>
              <w:t xml:space="preserve"> </w:t>
            </w:r>
            <w:r w:rsidRPr="00E07B1B">
              <w:t>mg/1000</w:t>
            </w:r>
            <w:r>
              <w:t xml:space="preserve"> </w:t>
            </w:r>
            <w:r w:rsidRPr="00E07B1B">
              <w:t>kcal increase in cholesterol intake was associated with an increase of 88% in the diagnosis of GDM</w:t>
            </w:r>
            <w:r>
              <w:t>.</w:t>
            </w:r>
          </w:p>
        </w:tc>
        <w:tc>
          <w:tcPr>
            <w:tcW w:w="437" w:type="pct"/>
            <w:tcBorders>
              <w:top w:val="nil"/>
              <w:bottom w:val="nil"/>
            </w:tcBorders>
            <w:shd w:val="clear" w:color="auto" w:fill="F2F2F2" w:themeFill="background1" w:themeFillShade="F2"/>
          </w:tcPr>
          <w:p w:rsidR="0025490C" w:rsidRPr="00E07B1B" w:rsidRDefault="0025490C" w:rsidP="009B6458">
            <w:pPr>
              <w:pStyle w:val="TableText"/>
              <w:jc w:val="center"/>
            </w:pPr>
            <w:r w:rsidRPr="00E07B1B">
              <w:t>MEDIUM</w:t>
            </w:r>
          </w:p>
        </w:tc>
      </w:tr>
      <w:tr w:rsidR="0025490C" w:rsidRPr="00E07B1B" w:rsidTr="009B6458">
        <w:trPr>
          <w:cantSplit/>
        </w:trPr>
        <w:tc>
          <w:tcPr>
            <w:tcW w:w="486" w:type="pct"/>
            <w:tcBorders>
              <w:top w:val="nil"/>
            </w:tcBorders>
            <w:shd w:val="clear" w:color="auto" w:fill="auto"/>
          </w:tcPr>
          <w:p w:rsidR="0025490C" w:rsidRPr="00E07B1B" w:rsidRDefault="0025490C" w:rsidP="000A176C">
            <w:pPr>
              <w:pStyle w:val="TableText"/>
            </w:pPr>
            <w:r w:rsidRPr="00E07B1B">
              <w:t>Afkhami-Ardekani</w:t>
            </w:r>
            <w:r w:rsidR="000A176C">
              <w:br/>
            </w:r>
            <w:r w:rsidRPr="00E07B1B">
              <w:t>(2009)</w:t>
            </w:r>
          </w:p>
        </w:tc>
        <w:tc>
          <w:tcPr>
            <w:tcW w:w="534" w:type="pct"/>
            <w:tcBorders>
              <w:top w:val="nil"/>
            </w:tcBorders>
            <w:shd w:val="clear" w:color="auto" w:fill="auto"/>
          </w:tcPr>
          <w:p w:rsidR="0025490C" w:rsidRPr="00E07B1B" w:rsidRDefault="0025490C" w:rsidP="000A176C">
            <w:pPr>
              <w:pStyle w:val="TableText"/>
            </w:pPr>
            <w:r w:rsidRPr="00E07B1B">
              <w:t>Iran</w:t>
            </w:r>
            <w:r w:rsidR="000A176C">
              <w:br/>
            </w:r>
            <w:r w:rsidRPr="00E07B1B">
              <w:t>34 cases</w:t>
            </w:r>
            <w:r>
              <w:t xml:space="preserve">, </w:t>
            </w:r>
            <w:r w:rsidRPr="00E07B1B">
              <w:t>34</w:t>
            </w:r>
            <w:r w:rsidR="000A176C">
              <w:t> </w:t>
            </w:r>
            <w:r w:rsidRPr="00E07B1B">
              <w:t>controls</w:t>
            </w:r>
          </w:p>
        </w:tc>
        <w:tc>
          <w:tcPr>
            <w:tcW w:w="582" w:type="pct"/>
            <w:tcBorders>
              <w:top w:val="nil"/>
            </w:tcBorders>
            <w:shd w:val="clear" w:color="auto" w:fill="auto"/>
          </w:tcPr>
          <w:p w:rsidR="0025490C" w:rsidRPr="00E07B1B" w:rsidRDefault="0025490C" w:rsidP="007B5EEF">
            <w:pPr>
              <w:pStyle w:val="TableText"/>
            </w:pPr>
            <w:r w:rsidRPr="00E07B1B">
              <w:t>Case control</w:t>
            </w:r>
          </w:p>
        </w:tc>
        <w:tc>
          <w:tcPr>
            <w:tcW w:w="1165" w:type="pct"/>
            <w:tcBorders>
              <w:top w:val="nil"/>
            </w:tcBorders>
            <w:shd w:val="clear" w:color="auto" w:fill="auto"/>
          </w:tcPr>
          <w:p w:rsidR="0025490C" w:rsidRPr="00E07B1B" w:rsidRDefault="0025490C" w:rsidP="000A176C">
            <w:pPr>
              <w:pStyle w:val="TableText"/>
              <w:ind w:right="142"/>
            </w:pPr>
            <w:r w:rsidRPr="00E07B1B">
              <w:t>ADA criteria 100</w:t>
            </w:r>
            <w:r>
              <w:t xml:space="preserve"> </w:t>
            </w:r>
            <w:r w:rsidRPr="00E07B1B">
              <w:t xml:space="preserve">g OGTT with </w:t>
            </w:r>
            <w:r>
              <w:t>two</w:t>
            </w:r>
            <w:r w:rsidRPr="00E07B1B">
              <w:t xml:space="preserve"> or more abnormal values for positive diagnosis.</w:t>
            </w:r>
          </w:p>
        </w:tc>
        <w:tc>
          <w:tcPr>
            <w:tcW w:w="1796" w:type="pct"/>
            <w:tcBorders>
              <w:top w:val="nil"/>
            </w:tcBorders>
            <w:shd w:val="clear" w:color="auto" w:fill="auto"/>
          </w:tcPr>
          <w:p w:rsidR="0025490C" w:rsidRDefault="0025490C" w:rsidP="007B5EEF">
            <w:pPr>
              <w:pStyle w:val="TableText"/>
            </w:pPr>
            <w:r w:rsidRPr="00E07B1B">
              <w:t>Concentrations of serum ferritin (</w:t>
            </w:r>
            <w:r w:rsidRPr="002B0699">
              <w:rPr>
                <w:i/>
              </w:rPr>
              <w:t>p</w:t>
            </w:r>
            <w:r>
              <w:t> </w:t>
            </w:r>
            <w:r w:rsidRPr="00E07B1B">
              <w:t>&lt;</w:t>
            </w:r>
            <w:r>
              <w:t> </w:t>
            </w:r>
            <w:r w:rsidRPr="00E07B1B">
              <w:t>0.001), iron (</w:t>
            </w:r>
            <w:r w:rsidRPr="002B0699">
              <w:rPr>
                <w:i/>
              </w:rPr>
              <w:t>p</w:t>
            </w:r>
            <w:r w:rsidR="000A176C">
              <w:rPr>
                <w:i/>
              </w:rPr>
              <w:t> </w:t>
            </w:r>
            <w:r w:rsidRPr="00E07B1B">
              <w:t>&lt;</w:t>
            </w:r>
            <w:r w:rsidR="000A176C">
              <w:t> </w:t>
            </w:r>
            <w:r w:rsidRPr="00E07B1B">
              <w:t>0.001), transferrin saturation (</w:t>
            </w:r>
            <w:r w:rsidRPr="002B0699">
              <w:rPr>
                <w:i/>
              </w:rPr>
              <w:t>p</w:t>
            </w:r>
            <w:r>
              <w:t xml:space="preserve"> </w:t>
            </w:r>
            <w:r w:rsidRPr="00E07B1B">
              <w:t>&lt;</w:t>
            </w:r>
            <w:r>
              <w:t xml:space="preserve"> </w:t>
            </w:r>
            <w:r w:rsidRPr="00E07B1B">
              <w:t>0.001) and haemoglobin (</w:t>
            </w:r>
            <w:r w:rsidRPr="002B0699">
              <w:rPr>
                <w:i/>
              </w:rPr>
              <w:t>p</w:t>
            </w:r>
            <w:r>
              <w:t> </w:t>
            </w:r>
            <w:r w:rsidRPr="00E07B1B">
              <w:t>&lt;</w:t>
            </w:r>
            <w:r>
              <w:t> </w:t>
            </w:r>
            <w:r w:rsidRPr="00E07B1B">
              <w:t>0.001), mean corpuscular volume (</w:t>
            </w:r>
            <w:r w:rsidRPr="002B0699">
              <w:rPr>
                <w:i/>
              </w:rPr>
              <w:t>p</w:t>
            </w:r>
            <w:r>
              <w:t> </w:t>
            </w:r>
            <w:r w:rsidRPr="00E07B1B">
              <w:t>=</w:t>
            </w:r>
            <w:r>
              <w:t> </w:t>
            </w:r>
            <w:r w:rsidRPr="00E07B1B">
              <w:t>0.001) and mean corpuscular haemoglobin (</w:t>
            </w:r>
            <w:r w:rsidRPr="002B0699">
              <w:rPr>
                <w:i/>
              </w:rPr>
              <w:t>p</w:t>
            </w:r>
            <w:r w:rsidR="000A176C">
              <w:rPr>
                <w:i/>
              </w:rPr>
              <w:t> </w:t>
            </w:r>
            <w:r w:rsidRPr="00E07B1B">
              <w:t>=</w:t>
            </w:r>
            <w:r w:rsidR="000A176C">
              <w:t> </w:t>
            </w:r>
            <w:r w:rsidRPr="00E07B1B">
              <w:t>0.001) were significantly higher in women diagnosed with GDM than controls.</w:t>
            </w:r>
          </w:p>
          <w:p w:rsidR="0025490C" w:rsidRPr="00E07B1B" w:rsidRDefault="0025490C" w:rsidP="007B5EEF">
            <w:pPr>
              <w:pStyle w:val="TableText"/>
            </w:pPr>
            <w:r w:rsidRPr="00E07B1B">
              <w:t>Total iron binding capacity was significantly lower in women with GDM (</w:t>
            </w:r>
            <w:r w:rsidRPr="002B0699">
              <w:rPr>
                <w:i/>
              </w:rPr>
              <w:t>p</w:t>
            </w:r>
            <w:r>
              <w:t> </w:t>
            </w:r>
            <w:r w:rsidRPr="00E07B1B">
              <w:t>&lt;</w:t>
            </w:r>
            <w:r>
              <w:t> </w:t>
            </w:r>
            <w:r w:rsidRPr="00E07B1B">
              <w:t>0.001)</w:t>
            </w:r>
            <w:r>
              <w:t>.</w:t>
            </w:r>
          </w:p>
        </w:tc>
        <w:tc>
          <w:tcPr>
            <w:tcW w:w="437" w:type="pct"/>
            <w:tcBorders>
              <w:top w:val="nil"/>
            </w:tcBorders>
            <w:shd w:val="clear" w:color="auto" w:fill="auto"/>
          </w:tcPr>
          <w:p w:rsidR="0025490C" w:rsidRPr="00E07B1B" w:rsidRDefault="0025490C" w:rsidP="009B6458">
            <w:pPr>
              <w:pStyle w:val="TableText"/>
              <w:jc w:val="center"/>
            </w:pPr>
            <w:r w:rsidRPr="00E07B1B">
              <w:t>LOW</w:t>
            </w:r>
          </w:p>
        </w:tc>
      </w:tr>
    </w:tbl>
    <w:p w:rsidR="0068074A" w:rsidRDefault="0025490C" w:rsidP="0080418E">
      <w:pPr>
        <w:pStyle w:val="Note"/>
        <w:ind w:left="0" w:firstLine="0"/>
      </w:pPr>
      <w:r>
        <w:t xml:space="preserve">Note: </w:t>
      </w:r>
      <w:r w:rsidRPr="00E07B1B">
        <w:t xml:space="preserve">ADA </w:t>
      </w:r>
      <w:r>
        <w:t>=</w:t>
      </w:r>
      <w:r w:rsidRPr="00E07B1B">
        <w:t xml:space="preserve"> American Diabetes Association; BMI </w:t>
      </w:r>
      <w:r>
        <w:t>=</w:t>
      </w:r>
      <w:r w:rsidRPr="00E07B1B">
        <w:t xml:space="preserve"> body mass index;</w:t>
      </w:r>
      <w:r>
        <w:t xml:space="preserve"> CI = confidence interval;</w:t>
      </w:r>
      <w:r w:rsidRPr="00E07B1B">
        <w:t xml:space="preserve"> GDM </w:t>
      </w:r>
      <w:r>
        <w:t>=</w:t>
      </w:r>
      <w:r w:rsidRPr="00E07B1B">
        <w:t xml:space="preserve"> </w:t>
      </w:r>
      <w:r>
        <w:t>g</w:t>
      </w:r>
      <w:r w:rsidRPr="00E07B1B">
        <w:t xml:space="preserve">estational diabetes mellitus; OGCT </w:t>
      </w:r>
      <w:r>
        <w:t>=</w:t>
      </w:r>
      <w:r w:rsidRPr="00E07B1B">
        <w:t xml:space="preserve"> </w:t>
      </w:r>
      <w:r>
        <w:t>o</w:t>
      </w:r>
      <w:r w:rsidRPr="00E07B1B">
        <w:t xml:space="preserve">ral </w:t>
      </w:r>
      <w:bookmarkStart w:id="466" w:name="_Toc358366907"/>
      <w:r>
        <w:t>g</w:t>
      </w:r>
      <w:r w:rsidRPr="00E07B1B">
        <w:t xml:space="preserve">lucose </w:t>
      </w:r>
      <w:r>
        <w:t>c</w:t>
      </w:r>
      <w:r w:rsidRPr="00E07B1B">
        <w:t xml:space="preserve">hallenge </w:t>
      </w:r>
      <w:r>
        <w:t>t</w:t>
      </w:r>
      <w:r w:rsidRPr="00E07B1B">
        <w:t>est;</w:t>
      </w:r>
      <w:r>
        <w:t xml:space="preserve"> </w:t>
      </w:r>
      <w:r w:rsidRPr="00E07B1B">
        <w:t>OGTT</w:t>
      </w:r>
      <w:r>
        <w:t xml:space="preserve"> = </w:t>
      </w:r>
      <w:r w:rsidRPr="00E07B1B">
        <w:t>oral glucose tolerance test</w:t>
      </w:r>
      <w:r>
        <w:t>; OR = odds ratio; RR = risk ratio; SD = standard deviation</w:t>
      </w:r>
      <w:r w:rsidR="0080418E">
        <w:t>.</w:t>
      </w:r>
    </w:p>
    <w:p w:rsidR="0080418E" w:rsidRPr="0080418E" w:rsidRDefault="0080418E" w:rsidP="0080418E"/>
    <w:p w:rsidR="0025490C" w:rsidRPr="00E07B1B" w:rsidRDefault="0025490C" w:rsidP="0080418E">
      <w:pPr>
        <w:pStyle w:val="Table"/>
      </w:pPr>
      <w:bookmarkStart w:id="467" w:name="_Toc363717787"/>
      <w:bookmarkStart w:id="468" w:name="_Toc403635894"/>
      <w:r w:rsidRPr="00E07B1B">
        <w:t>Table 13</w:t>
      </w:r>
      <w:r w:rsidR="0080418E">
        <w:t>:</w:t>
      </w:r>
      <w:r w:rsidRPr="00E07B1B">
        <w:t xml:space="preserve"> Studies reporting on vitamin D as a risk factor for developing gestational diabetes</w:t>
      </w:r>
      <w:bookmarkEnd w:id="466"/>
      <w:bookmarkEnd w:id="467"/>
      <w:bookmarkEnd w:id="468"/>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277"/>
        <w:gridCol w:w="1701"/>
        <w:gridCol w:w="1700"/>
        <w:gridCol w:w="4395"/>
        <w:gridCol w:w="4252"/>
        <w:gridCol w:w="1276"/>
      </w:tblGrid>
      <w:tr w:rsidR="00E06671" w:rsidRPr="007B5EEF" w:rsidTr="00E06671">
        <w:trPr>
          <w:cantSplit/>
          <w:tblHeader/>
        </w:trPr>
        <w:tc>
          <w:tcPr>
            <w:tcW w:w="437" w:type="pct"/>
            <w:tcBorders>
              <w:top w:val="single" w:sz="4" w:space="0" w:color="auto"/>
              <w:bottom w:val="single" w:sz="4" w:space="0" w:color="auto"/>
            </w:tcBorders>
            <w:shd w:val="clear" w:color="auto" w:fill="auto"/>
          </w:tcPr>
          <w:p w:rsidR="0025490C" w:rsidRPr="007B5EEF" w:rsidRDefault="0025490C" w:rsidP="000A176C">
            <w:pPr>
              <w:pStyle w:val="TableText"/>
              <w:keepNext/>
              <w:rPr>
                <w:b/>
              </w:rPr>
            </w:pPr>
            <w:r w:rsidRPr="007B5EEF">
              <w:rPr>
                <w:b/>
              </w:rPr>
              <w:t>Study</w:t>
            </w:r>
          </w:p>
        </w:tc>
        <w:tc>
          <w:tcPr>
            <w:tcW w:w="582" w:type="pct"/>
            <w:tcBorders>
              <w:top w:val="single" w:sz="4" w:space="0" w:color="auto"/>
              <w:bottom w:val="single" w:sz="4" w:space="0" w:color="auto"/>
            </w:tcBorders>
            <w:shd w:val="clear" w:color="auto" w:fill="auto"/>
          </w:tcPr>
          <w:p w:rsidR="0025490C" w:rsidRPr="007B5EEF" w:rsidRDefault="0025490C" w:rsidP="000A176C">
            <w:pPr>
              <w:pStyle w:val="TableText"/>
              <w:keepNext/>
              <w:rPr>
                <w:b/>
              </w:rPr>
            </w:pPr>
            <w:r w:rsidRPr="007B5EEF">
              <w:rPr>
                <w:b/>
              </w:rPr>
              <w:t>Country and sample size</w:t>
            </w:r>
          </w:p>
        </w:tc>
        <w:tc>
          <w:tcPr>
            <w:tcW w:w="582" w:type="pct"/>
            <w:tcBorders>
              <w:top w:val="single" w:sz="4" w:space="0" w:color="auto"/>
              <w:bottom w:val="single" w:sz="4" w:space="0" w:color="auto"/>
            </w:tcBorders>
            <w:shd w:val="clear" w:color="auto" w:fill="auto"/>
          </w:tcPr>
          <w:p w:rsidR="0025490C" w:rsidRPr="007B5EEF" w:rsidRDefault="0025490C" w:rsidP="000A176C">
            <w:pPr>
              <w:pStyle w:val="TableText"/>
              <w:keepNext/>
              <w:rPr>
                <w:b/>
              </w:rPr>
            </w:pPr>
            <w:r w:rsidRPr="007B5EEF">
              <w:rPr>
                <w:b/>
              </w:rPr>
              <w:t>Study type</w:t>
            </w:r>
          </w:p>
        </w:tc>
        <w:tc>
          <w:tcPr>
            <w:tcW w:w="1505" w:type="pct"/>
            <w:tcBorders>
              <w:top w:val="single" w:sz="4" w:space="0" w:color="auto"/>
              <w:bottom w:val="single" w:sz="4" w:space="0" w:color="auto"/>
            </w:tcBorders>
            <w:shd w:val="clear" w:color="auto" w:fill="auto"/>
          </w:tcPr>
          <w:p w:rsidR="0025490C" w:rsidRPr="007B5EEF" w:rsidRDefault="0025490C" w:rsidP="00E06671">
            <w:pPr>
              <w:pStyle w:val="TableText"/>
              <w:keepNext/>
              <w:ind w:right="142"/>
              <w:rPr>
                <w:b/>
              </w:rPr>
            </w:pPr>
            <w:r w:rsidRPr="007B5EEF">
              <w:rPr>
                <w:b/>
              </w:rPr>
              <w:t>Screening/diagnostic criteria</w:t>
            </w:r>
          </w:p>
        </w:tc>
        <w:tc>
          <w:tcPr>
            <w:tcW w:w="1456" w:type="pct"/>
            <w:tcBorders>
              <w:top w:val="single" w:sz="4" w:space="0" w:color="auto"/>
              <w:bottom w:val="single" w:sz="4" w:space="0" w:color="auto"/>
            </w:tcBorders>
            <w:shd w:val="clear" w:color="auto" w:fill="auto"/>
          </w:tcPr>
          <w:p w:rsidR="0025490C" w:rsidRPr="007B5EEF" w:rsidRDefault="0025490C" w:rsidP="000A176C">
            <w:pPr>
              <w:pStyle w:val="TableText"/>
              <w:keepNext/>
              <w:rPr>
                <w:b/>
              </w:rPr>
            </w:pPr>
            <w:r w:rsidRPr="007B5EEF">
              <w:rPr>
                <w:b/>
              </w:rPr>
              <w:t>Main results</w:t>
            </w:r>
          </w:p>
        </w:tc>
        <w:tc>
          <w:tcPr>
            <w:tcW w:w="437" w:type="pct"/>
            <w:tcBorders>
              <w:top w:val="single" w:sz="4" w:space="0" w:color="auto"/>
              <w:bottom w:val="single" w:sz="4" w:space="0" w:color="auto"/>
            </w:tcBorders>
            <w:shd w:val="clear" w:color="auto" w:fill="auto"/>
          </w:tcPr>
          <w:p w:rsidR="0025490C" w:rsidRPr="007B5EEF" w:rsidRDefault="0025490C" w:rsidP="00E06671">
            <w:pPr>
              <w:pStyle w:val="TableText"/>
              <w:keepNext/>
              <w:jc w:val="center"/>
              <w:rPr>
                <w:b/>
              </w:rPr>
            </w:pPr>
            <w:r w:rsidRPr="007B5EEF">
              <w:rPr>
                <w:b/>
              </w:rPr>
              <w:t>Quality of evidence</w:t>
            </w:r>
          </w:p>
        </w:tc>
      </w:tr>
      <w:tr w:rsidR="00E06671" w:rsidRPr="00E07B1B" w:rsidTr="00E06671">
        <w:trPr>
          <w:cantSplit/>
        </w:trPr>
        <w:tc>
          <w:tcPr>
            <w:tcW w:w="437" w:type="pct"/>
            <w:tcBorders>
              <w:top w:val="single" w:sz="4" w:space="0" w:color="auto"/>
              <w:bottom w:val="nil"/>
            </w:tcBorders>
            <w:shd w:val="clear" w:color="auto" w:fill="F2F2F2" w:themeFill="background1" w:themeFillShade="F2"/>
          </w:tcPr>
          <w:p w:rsidR="0025490C" w:rsidRPr="00E07B1B" w:rsidRDefault="0025490C" w:rsidP="00E06671">
            <w:pPr>
              <w:pStyle w:val="TableText"/>
            </w:pPr>
            <w:r w:rsidRPr="00E07B1B">
              <w:t>Poel</w:t>
            </w:r>
            <w:r w:rsidR="00E06671">
              <w:br/>
            </w:r>
            <w:r w:rsidRPr="00E07B1B">
              <w:t>(2012)</w:t>
            </w:r>
          </w:p>
        </w:tc>
        <w:tc>
          <w:tcPr>
            <w:tcW w:w="582" w:type="pct"/>
            <w:tcBorders>
              <w:top w:val="single" w:sz="4" w:space="0" w:color="auto"/>
              <w:bottom w:val="nil"/>
            </w:tcBorders>
            <w:shd w:val="clear" w:color="auto" w:fill="F2F2F2" w:themeFill="background1" w:themeFillShade="F2"/>
          </w:tcPr>
          <w:p w:rsidR="0025490C" w:rsidRPr="00E07B1B" w:rsidRDefault="0025490C" w:rsidP="00E06671">
            <w:pPr>
              <w:pStyle w:val="TableText"/>
            </w:pPr>
            <w:r w:rsidRPr="00E07B1B">
              <w:t>7 studies</w:t>
            </w:r>
            <w:r w:rsidR="00E06671">
              <w:br/>
            </w:r>
            <w:r w:rsidRPr="00E07B1B">
              <w:t>2146</w:t>
            </w:r>
          </w:p>
        </w:tc>
        <w:tc>
          <w:tcPr>
            <w:tcW w:w="582" w:type="pct"/>
            <w:tcBorders>
              <w:top w:val="single" w:sz="4" w:space="0" w:color="auto"/>
              <w:bottom w:val="nil"/>
            </w:tcBorders>
            <w:shd w:val="clear" w:color="auto" w:fill="F2F2F2" w:themeFill="background1" w:themeFillShade="F2"/>
          </w:tcPr>
          <w:p w:rsidR="0025490C" w:rsidRPr="00E07B1B" w:rsidRDefault="0025490C" w:rsidP="007B5EEF">
            <w:pPr>
              <w:pStyle w:val="TableText"/>
            </w:pPr>
            <w:r w:rsidRPr="00E07B1B">
              <w:t>Systematic review of observational studies</w:t>
            </w:r>
          </w:p>
        </w:tc>
        <w:tc>
          <w:tcPr>
            <w:tcW w:w="1505" w:type="pct"/>
            <w:tcBorders>
              <w:top w:val="single" w:sz="4" w:space="0" w:color="auto"/>
              <w:bottom w:val="nil"/>
            </w:tcBorders>
            <w:shd w:val="clear" w:color="auto" w:fill="F2F2F2" w:themeFill="background1" w:themeFillShade="F2"/>
          </w:tcPr>
          <w:p w:rsidR="0025490C" w:rsidRPr="00E07B1B" w:rsidRDefault="0025490C" w:rsidP="00E06671">
            <w:pPr>
              <w:pStyle w:val="TableText"/>
              <w:ind w:right="142"/>
            </w:pPr>
            <w:r w:rsidRPr="00E07B1B">
              <w:t>Reported in individual studies</w:t>
            </w:r>
          </w:p>
        </w:tc>
        <w:tc>
          <w:tcPr>
            <w:tcW w:w="1456" w:type="pct"/>
            <w:tcBorders>
              <w:top w:val="single" w:sz="4" w:space="0" w:color="auto"/>
              <w:bottom w:val="nil"/>
            </w:tcBorders>
            <w:shd w:val="clear" w:color="auto" w:fill="F2F2F2" w:themeFill="background1" w:themeFillShade="F2"/>
          </w:tcPr>
          <w:p w:rsidR="0025490C" w:rsidRDefault="0025490C" w:rsidP="007B5EEF">
            <w:pPr>
              <w:pStyle w:val="TableText"/>
            </w:pPr>
            <w:r w:rsidRPr="00E07B1B">
              <w:t xml:space="preserve">Women with GDM had significantly lower vitamin D levels (MD </w:t>
            </w:r>
            <w:r w:rsidRPr="002B0699">
              <w:rPr>
                <w:vertAlign w:val="superscript"/>
              </w:rPr>
              <w:noBreakHyphen/>
            </w:r>
            <w:r w:rsidRPr="00E07B1B">
              <w:t>5.33</w:t>
            </w:r>
            <w:r>
              <w:t> </w:t>
            </w:r>
            <w:r w:rsidRPr="00E07B1B">
              <w:t>nmol/L,</w:t>
            </w:r>
            <w:r w:rsidR="00E06671">
              <w:br/>
            </w:r>
            <w:r w:rsidRPr="00E07B1B">
              <w:t xml:space="preserve">95%CI </w:t>
            </w:r>
            <w:r w:rsidRPr="002B0699">
              <w:rPr>
                <w:vertAlign w:val="superscript"/>
              </w:rPr>
              <w:t>–</w:t>
            </w:r>
            <w:r w:rsidRPr="00E07B1B">
              <w:t xml:space="preserve">9.7 to </w:t>
            </w:r>
            <w:r w:rsidRPr="002B0699">
              <w:rPr>
                <w:vertAlign w:val="superscript"/>
              </w:rPr>
              <w:t>–</w:t>
            </w:r>
            <w:r w:rsidRPr="00E07B1B">
              <w:t xml:space="preserve">0.9, </w:t>
            </w:r>
            <w:r w:rsidRPr="002B0699">
              <w:rPr>
                <w:i/>
              </w:rPr>
              <w:t>p</w:t>
            </w:r>
            <w:r>
              <w:t> </w:t>
            </w:r>
            <w:r w:rsidRPr="00E07B1B">
              <w:t>=</w:t>
            </w:r>
            <w:r>
              <w:t> </w:t>
            </w:r>
            <w:r w:rsidRPr="00E07B1B">
              <w:t>0.02, I</w:t>
            </w:r>
            <w:r w:rsidRPr="00E07B1B">
              <w:rPr>
                <w:vertAlign w:val="superscript"/>
              </w:rPr>
              <w:t>2</w:t>
            </w:r>
            <w:r>
              <w:rPr>
                <w:vertAlign w:val="superscript"/>
              </w:rPr>
              <w:t> </w:t>
            </w:r>
            <w:r>
              <w:t>= 69%).</w:t>
            </w:r>
          </w:p>
          <w:p w:rsidR="0025490C" w:rsidRPr="00E07B1B" w:rsidRDefault="0025490C" w:rsidP="007B5EEF">
            <w:pPr>
              <w:pStyle w:val="TableText"/>
            </w:pPr>
            <w:r w:rsidRPr="00E07B1B">
              <w:t>Adj OR 1.57 (95%CI 1.11</w:t>
            </w:r>
            <w:r>
              <w:t>–</w:t>
            </w:r>
            <w:r w:rsidRPr="00E07B1B">
              <w:t>2.22, I</w:t>
            </w:r>
            <w:r w:rsidRPr="00E07B1B">
              <w:rPr>
                <w:vertAlign w:val="superscript"/>
              </w:rPr>
              <w:t>2</w:t>
            </w:r>
            <w:r>
              <w:rPr>
                <w:vertAlign w:val="superscript"/>
              </w:rPr>
              <w:t> </w:t>
            </w:r>
            <w:r w:rsidRPr="00E07B1B">
              <w:t>=</w:t>
            </w:r>
            <w:r>
              <w:t> </w:t>
            </w:r>
            <w:r w:rsidRPr="00E07B1B">
              <w:t>17%)</w:t>
            </w:r>
          </w:p>
        </w:tc>
        <w:tc>
          <w:tcPr>
            <w:tcW w:w="437" w:type="pct"/>
            <w:tcBorders>
              <w:top w:val="single" w:sz="4" w:space="0" w:color="auto"/>
              <w:bottom w:val="nil"/>
            </w:tcBorders>
            <w:shd w:val="clear" w:color="auto" w:fill="F2F2F2" w:themeFill="background1" w:themeFillShade="F2"/>
          </w:tcPr>
          <w:p w:rsidR="0025490C" w:rsidRPr="00E07B1B" w:rsidRDefault="0025490C" w:rsidP="00E06671">
            <w:pPr>
              <w:pStyle w:val="TableText"/>
              <w:jc w:val="center"/>
            </w:pPr>
            <w:r w:rsidRPr="00E07B1B">
              <w:t>LOW</w:t>
            </w:r>
          </w:p>
        </w:tc>
      </w:tr>
      <w:tr w:rsidR="00E06671" w:rsidRPr="00E07B1B" w:rsidTr="00E06671">
        <w:trPr>
          <w:cantSplit/>
        </w:trPr>
        <w:tc>
          <w:tcPr>
            <w:tcW w:w="437" w:type="pct"/>
            <w:tcBorders>
              <w:top w:val="nil"/>
              <w:bottom w:val="nil"/>
            </w:tcBorders>
            <w:shd w:val="clear" w:color="auto" w:fill="auto"/>
          </w:tcPr>
          <w:p w:rsidR="0025490C" w:rsidRPr="00E07B1B" w:rsidRDefault="0025490C" w:rsidP="00E06671">
            <w:pPr>
              <w:pStyle w:val="TableText"/>
            </w:pPr>
            <w:r w:rsidRPr="00E07B1B">
              <w:t>Burris</w:t>
            </w:r>
            <w:r w:rsidR="00E06671">
              <w:br/>
            </w:r>
            <w:r w:rsidRPr="00E07B1B">
              <w:t>(</w:t>
            </w:r>
            <w:r w:rsidR="00E06671">
              <w:t>2012)</w:t>
            </w:r>
          </w:p>
        </w:tc>
        <w:tc>
          <w:tcPr>
            <w:tcW w:w="582" w:type="pct"/>
            <w:tcBorders>
              <w:top w:val="nil"/>
              <w:bottom w:val="nil"/>
            </w:tcBorders>
            <w:shd w:val="clear" w:color="auto" w:fill="auto"/>
          </w:tcPr>
          <w:p w:rsidR="0025490C" w:rsidRPr="00E07B1B" w:rsidRDefault="0025490C" w:rsidP="00E06671">
            <w:pPr>
              <w:pStyle w:val="TableText"/>
            </w:pPr>
            <w:r w:rsidRPr="00E07B1B">
              <w:t>USA</w:t>
            </w:r>
            <w:r w:rsidR="00E06671">
              <w:br/>
            </w:r>
            <w:r w:rsidRPr="00E07B1B">
              <w:t>1314</w:t>
            </w:r>
          </w:p>
        </w:tc>
        <w:tc>
          <w:tcPr>
            <w:tcW w:w="582" w:type="pct"/>
            <w:tcBorders>
              <w:top w:val="nil"/>
              <w:bottom w:val="nil"/>
            </w:tcBorders>
            <w:shd w:val="clear" w:color="auto" w:fill="auto"/>
          </w:tcPr>
          <w:p w:rsidR="0025490C" w:rsidRPr="00E07B1B" w:rsidRDefault="0025490C" w:rsidP="007B5EEF">
            <w:pPr>
              <w:pStyle w:val="TableText"/>
            </w:pPr>
            <w:r w:rsidRPr="00E07B1B">
              <w:t>Cohort</w:t>
            </w:r>
          </w:p>
        </w:tc>
        <w:tc>
          <w:tcPr>
            <w:tcW w:w="1505" w:type="pct"/>
            <w:tcBorders>
              <w:top w:val="nil"/>
              <w:bottom w:val="nil"/>
            </w:tcBorders>
            <w:shd w:val="clear" w:color="auto" w:fill="auto"/>
          </w:tcPr>
          <w:p w:rsidR="0025490C" w:rsidRDefault="0025490C" w:rsidP="00E06671">
            <w:pPr>
              <w:pStyle w:val="TableText"/>
              <w:spacing w:after="30"/>
              <w:ind w:right="142"/>
            </w:pPr>
            <w:r w:rsidRPr="00E07B1B">
              <w:t>1</w:t>
            </w:r>
            <w:r>
              <w:t>-</w:t>
            </w:r>
            <w:r w:rsidRPr="00E07B1B">
              <w:t>hour</w:t>
            </w:r>
            <w:r>
              <w:t>,</w:t>
            </w:r>
            <w:r w:rsidRPr="00E07B1B">
              <w:t xml:space="preserve"> 50</w:t>
            </w:r>
            <w:r>
              <w:t xml:space="preserve"> g</w:t>
            </w:r>
            <w:r w:rsidRPr="00E07B1B">
              <w:t xml:space="preserve"> OGCT</w:t>
            </w:r>
            <w:r>
              <w:t>. I</w:t>
            </w:r>
            <w:r w:rsidRPr="00E07B1B">
              <w:t>f value ≥</w:t>
            </w:r>
            <w:r>
              <w:t> </w:t>
            </w:r>
            <w:r w:rsidRPr="00E07B1B">
              <w:t>140</w:t>
            </w:r>
            <w:r>
              <w:t> </w:t>
            </w:r>
            <w:r w:rsidRPr="00E07B1B">
              <w:t>mg</w:t>
            </w:r>
            <w:r>
              <w:t>/dL</w:t>
            </w:r>
            <w:r w:rsidRPr="00E07B1B">
              <w:t xml:space="preserve"> then underwent 3</w:t>
            </w:r>
            <w:r>
              <w:noBreakHyphen/>
            </w:r>
            <w:r w:rsidRPr="00E07B1B">
              <w:t>hour</w:t>
            </w:r>
            <w:r>
              <w:t>,</w:t>
            </w:r>
            <w:r w:rsidRPr="00E07B1B">
              <w:t xml:space="preserve"> 100</w:t>
            </w:r>
            <w:r>
              <w:t xml:space="preserve"> </w:t>
            </w:r>
            <w:r w:rsidRPr="00E07B1B">
              <w:t xml:space="preserve">g OGTT </w:t>
            </w:r>
            <w:r>
              <w:t>with two</w:t>
            </w:r>
            <w:r w:rsidRPr="00E07B1B">
              <w:t xml:space="preserve"> or more abnormal results </w:t>
            </w:r>
            <w:r>
              <w:t>required from:</w:t>
            </w:r>
          </w:p>
          <w:p w:rsidR="0025490C" w:rsidRDefault="0025490C" w:rsidP="00E06671">
            <w:pPr>
              <w:pStyle w:val="TableBullet"/>
              <w:spacing w:after="30"/>
              <w:ind w:left="284" w:right="142"/>
            </w:pPr>
            <w:r w:rsidRPr="00E07B1B">
              <w:t>fasting &gt; 95</w:t>
            </w:r>
            <w:r>
              <w:t xml:space="preserve"> </w:t>
            </w:r>
            <w:r w:rsidRPr="00E07B1B">
              <w:t>mg</w:t>
            </w:r>
            <w:r>
              <w:t>/dL</w:t>
            </w:r>
          </w:p>
          <w:p w:rsidR="0025490C" w:rsidRDefault="0025490C" w:rsidP="00E06671">
            <w:pPr>
              <w:pStyle w:val="TableBullet"/>
              <w:spacing w:after="30"/>
              <w:ind w:left="284" w:right="142"/>
            </w:pPr>
            <w:r w:rsidRPr="00E07B1B">
              <w:t>1</w:t>
            </w:r>
            <w:r>
              <w:t>-</w:t>
            </w:r>
            <w:r w:rsidRPr="00E07B1B">
              <w:t>hour &gt;</w:t>
            </w:r>
            <w:r>
              <w:t xml:space="preserve"> </w:t>
            </w:r>
            <w:r w:rsidRPr="00E07B1B">
              <w:t>180</w:t>
            </w:r>
            <w:r>
              <w:t xml:space="preserve"> </w:t>
            </w:r>
            <w:r w:rsidRPr="00E07B1B">
              <w:t>mg</w:t>
            </w:r>
            <w:r>
              <w:t>/dL</w:t>
            </w:r>
          </w:p>
          <w:p w:rsidR="0025490C" w:rsidRDefault="0025490C" w:rsidP="00E06671">
            <w:pPr>
              <w:pStyle w:val="TableBullet"/>
              <w:spacing w:after="30"/>
              <w:ind w:left="284" w:right="142"/>
            </w:pPr>
            <w:r w:rsidRPr="00E07B1B">
              <w:t>2</w:t>
            </w:r>
            <w:r>
              <w:t>-</w:t>
            </w:r>
            <w:r w:rsidRPr="00E07B1B">
              <w:t xml:space="preserve">hour </w:t>
            </w:r>
            <w:r>
              <w:t xml:space="preserve">&gt; </w:t>
            </w:r>
            <w:r w:rsidRPr="00E07B1B">
              <w:t>155 mg</w:t>
            </w:r>
            <w:r>
              <w:t>/dL</w:t>
            </w:r>
          </w:p>
          <w:p w:rsidR="0025490C" w:rsidRPr="00E07B1B" w:rsidRDefault="0025490C" w:rsidP="00E06671">
            <w:pPr>
              <w:pStyle w:val="TableBullet"/>
              <w:ind w:left="284" w:right="142"/>
            </w:pPr>
            <w:r w:rsidRPr="00E07B1B">
              <w:t>3</w:t>
            </w:r>
            <w:r>
              <w:t>-</w:t>
            </w:r>
            <w:r w:rsidRPr="00E07B1B">
              <w:t xml:space="preserve">hour </w:t>
            </w:r>
            <w:r>
              <w:t xml:space="preserve">&gt; </w:t>
            </w:r>
            <w:r w:rsidRPr="00E07B1B">
              <w:t>140</w:t>
            </w:r>
            <w:r>
              <w:t xml:space="preserve"> </w:t>
            </w:r>
            <w:r w:rsidRPr="00E07B1B">
              <w:t>mg</w:t>
            </w:r>
            <w:r>
              <w:t>/dL</w:t>
            </w:r>
            <w:r w:rsidRPr="00E07B1B">
              <w:t>.</w:t>
            </w:r>
          </w:p>
        </w:tc>
        <w:tc>
          <w:tcPr>
            <w:tcW w:w="1456" w:type="pct"/>
            <w:tcBorders>
              <w:top w:val="nil"/>
              <w:bottom w:val="nil"/>
            </w:tcBorders>
            <w:shd w:val="clear" w:color="auto" w:fill="auto"/>
          </w:tcPr>
          <w:p w:rsidR="0025490C" w:rsidRDefault="0025490C" w:rsidP="007B5EEF">
            <w:pPr>
              <w:pStyle w:val="TableText"/>
            </w:pPr>
            <w:r w:rsidRPr="00E07B1B">
              <w:t>Odds of GDM in women with severe vitamin D deficiency (serum 25 hydroxyvitamin D 25(OH)D &lt;</w:t>
            </w:r>
            <w:r>
              <w:t> </w:t>
            </w:r>
            <w:r w:rsidRPr="00E07B1B">
              <w:t>25</w:t>
            </w:r>
            <w:r>
              <w:t> </w:t>
            </w:r>
            <w:r w:rsidRPr="00E07B1B">
              <w:t>nmol/L) compared with women with normal glucose tolerance</w:t>
            </w:r>
            <w:r>
              <w:t>:</w:t>
            </w:r>
            <w:r w:rsidRPr="00E07B1B">
              <w:t xml:space="preserve"> adj OR 3.1 (95%CI 1.3</w:t>
            </w:r>
            <w:r>
              <w:t>–</w:t>
            </w:r>
            <w:r w:rsidRPr="00E07B1B">
              <w:t>7.4).</w:t>
            </w:r>
          </w:p>
          <w:p w:rsidR="0025490C" w:rsidRPr="00E07B1B" w:rsidRDefault="0025490C" w:rsidP="007B5EEF">
            <w:pPr>
              <w:pStyle w:val="TableText"/>
            </w:pPr>
            <w:r w:rsidRPr="00E07B1B">
              <w:t>Impaired glucose tolerance versus normal glucose tolerance</w:t>
            </w:r>
            <w:r>
              <w:t xml:space="preserve"> </w:t>
            </w:r>
            <w:r w:rsidRPr="00E07B1B">
              <w:t>(adj OR 1.6, 95%CI 0.7</w:t>
            </w:r>
            <w:r>
              <w:t>–</w:t>
            </w:r>
            <w:r w:rsidRPr="00E07B1B">
              <w:t>3.5)</w:t>
            </w:r>
            <w:r w:rsidR="00E06671">
              <w:t>.</w:t>
            </w:r>
          </w:p>
        </w:tc>
        <w:tc>
          <w:tcPr>
            <w:tcW w:w="437" w:type="pct"/>
            <w:tcBorders>
              <w:top w:val="nil"/>
              <w:bottom w:val="nil"/>
            </w:tcBorders>
            <w:shd w:val="clear" w:color="auto" w:fill="auto"/>
          </w:tcPr>
          <w:p w:rsidR="0025490C" w:rsidRPr="00E07B1B" w:rsidRDefault="0025490C" w:rsidP="00E06671">
            <w:pPr>
              <w:pStyle w:val="TableText"/>
              <w:jc w:val="center"/>
            </w:pPr>
            <w:r w:rsidRPr="00E07B1B">
              <w:t>MEDIUM</w:t>
            </w:r>
          </w:p>
        </w:tc>
      </w:tr>
      <w:tr w:rsidR="00E06671" w:rsidRPr="00E07B1B" w:rsidTr="00E06671">
        <w:trPr>
          <w:cantSplit/>
        </w:trPr>
        <w:tc>
          <w:tcPr>
            <w:tcW w:w="437" w:type="pct"/>
            <w:tcBorders>
              <w:top w:val="nil"/>
              <w:bottom w:val="nil"/>
            </w:tcBorders>
            <w:shd w:val="clear" w:color="auto" w:fill="F2F2F2" w:themeFill="background1" w:themeFillShade="F2"/>
          </w:tcPr>
          <w:p w:rsidR="0025490C" w:rsidRPr="00E07B1B" w:rsidRDefault="0025490C" w:rsidP="00E06671">
            <w:pPr>
              <w:pStyle w:val="TableText"/>
            </w:pPr>
            <w:r w:rsidRPr="00E07B1B">
              <w:t>Parlea</w:t>
            </w:r>
            <w:r w:rsidR="00E06671">
              <w:br/>
            </w:r>
            <w:r w:rsidRPr="00E07B1B">
              <w:t>(2012)</w:t>
            </w:r>
          </w:p>
        </w:tc>
        <w:tc>
          <w:tcPr>
            <w:tcW w:w="582" w:type="pct"/>
            <w:tcBorders>
              <w:top w:val="nil"/>
              <w:bottom w:val="nil"/>
            </w:tcBorders>
            <w:shd w:val="clear" w:color="auto" w:fill="F2F2F2" w:themeFill="background1" w:themeFillShade="F2"/>
          </w:tcPr>
          <w:p w:rsidR="0025490C" w:rsidRPr="00E07B1B" w:rsidRDefault="0025490C" w:rsidP="00E06671">
            <w:pPr>
              <w:pStyle w:val="TableText"/>
            </w:pPr>
            <w:r w:rsidRPr="00E07B1B">
              <w:t>Canada</w:t>
            </w:r>
            <w:r w:rsidR="00E06671">
              <w:br/>
            </w:r>
            <w:r w:rsidRPr="00E07B1B">
              <w:t>116 cases</w:t>
            </w:r>
            <w:r>
              <w:t>,</w:t>
            </w:r>
            <w:r w:rsidRPr="00E07B1B">
              <w:t xml:space="preserve"> 219</w:t>
            </w:r>
            <w:r w:rsidR="00E06671">
              <w:t> </w:t>
            </w:r>
            <w:r w:rsidRPr="00E07B1B">
              <w:t>controls</w:t>
            </w:r>
          </w:p>
        </w:tc>
        <w:tc>
          <w:tcPr>
            <w:tcW w:w="582" w:type="pct"/>
            <w:tcBorders>
              <w:top w:val="nil"/>
              <w:bottom w:val="nil"/>
            </w:tcBorders>
            <w:shd w:val="clear" w:color="auto" w:fill="F2F2F2" w:themeFill="background1" w:themeFillShade="F2"/>
          </w:tcPr>
          <w:p w:rsidR="0025490C" w:rsidRPr="00E07B1B" w:rsidRDefault="0025490C" w:rsidP="007B5EEF">
            <w:pPr>
              <w:pStyle w:val="TableText"/>
            </w:pPr>
            <w:r w:rsidRPr="00E07B1B">
              <w:t>Nested case control</w:t>
            </w:r>
          </w:p>
        </w:tc>
        <w:tc>
          <w:tcPr>
            <w:tcW w:w="1505" w:type="pct"/>
            <w:tcBorders>
              <w:top w:val="nil"/>
              <w:bottom w:val="nil"/>
            </w:tcBorders>
            <w:shd w:val="clear" w:color="auto" w:fill="F2F2F2" w:themeFill="background1" w:themeFillShade="F2"/>
          </w:tcPr>
          <w:p w:rsidR="0025490C" w:rsidRPr="002B7E11" w:rsidRDefault="0025490C" w:rsidP="00E06671">
            <w:pPr>
              <w:pStyle w:val="TableText"/>
              <w:ind w:right="142"/>
              <w:rPr>
                <w:spacing w:val="-2"/>
              </w:rPr>
            </w:pPr>
            <w:r w:rsidRPr="002B7E11">
              <w:rPr>
                <w:spacing w:val="-2"/>
              </w:rPr>
              <w:t>50 g, 1-hour OGCT. GDM diagnosed if ≥</w:t>
            </w:r>
            <w:r w:rsidR="00E06671">
              <w:rPr>
                <w:spacing w:val="-2"/>
              </w:rPr>
              <w:t> </w:t>
            </w:r>
            <w:r w:rsidRPr="002B7E11">
              <w:rPr>
                <w:spacing w:val="-2"/>
              </w:rPr>
              <w:t>10.3</w:t>
            </w:r>
            <w:r w:rsidR="00E06671">
              <w:rPr>
                <w:spacing w:val="-2"/>
              </w:rPr>
              <w:t> </w:t>
            </w:r>
            <w:r w:rsidRPr="002B7E11">
              <w:rPr>
                <w:spacing w:val="-2"/>
              </w:rPr>
              <w:t>mmol/L after 1 hour. If levels between 7.8 and 10.2 mmol/L, then underwent a 3</w:t>
            </w:r>
            <w:r w:rsidR="00E06671">
              <w:rPr>
                <w:spacing w:val="-2"/>
              </w:rPr>
              <w:noBreakHyphen/>
            </w:r>
            <w:r w:rsidRPr="002B7E11">
              <w:rPr>
                <w:spacing w:val="-2"/>
              </w:rPr>
              <w:t>hour, 100 g OGTT (fasting ≥ 5.8 mmol/L; 1</w:t>
            </w:r>
            <w:r w:rsidR="00E06671">
              <w:rPr>
                <w:spacing w:val="-2"/>
              </w:rPr>
              <w:t> </w:t>
            </w:r>
            <w:r w:rsidRPr="002B7E11">
              <w:rPr>
                <w:spacing w:val="-2"/>
              </w:rPr>
              <w:t>hour ≥</w:t>
            </w:r>
            <w:r w:rsidR="00E06671">
              <w:rPr>
                <w:spacing w:val="-2"/>
              </w:rPr>
              <w:t> </w:t>
            </w:r>
            <w:r w:rsidRPr="002B7E11">
              <w:rPr>
                <w:spacing w:val="-2"/>
              </w:rPr>
              <w:t>10.6 mmol/L; 2-hour ≥ 9.2 mmol/L; 3-hour ≥ 8.9 mmol/L) or a 2-hour, 75 g OGTT (fasting ≥ 5.3 mmol/L; 1 hour ≥ 10.6 mmol/L; 2</w:t>
            </w:r>
            <w:r w:rsidR="00E06671">
              <w:rPr>
                <w:spacing w:val="-2"/>
              </w:rPr>
              <w:t> </w:t>
            </w:r>
            <w:r w:rsidRPr="002B7E11">
              <w:rPr>
                <w:spacing w:val="-2"/>
              </w:rPr>
              <w:t>hour</w:t>
            </w:r>
            <w:r w:rsidR="00E06671">
              <w:rPr>
                <w:spacing w:val="-2"/>
              </w:rPr>
              <w:t xml:space="preserve"> </w:t>
            </w:r>
            <w:r w:rsidRPr="002B7E11">
              <w:rPr>
                <w:spacing w:val="-2"/>
              </w:rPr>
              <w:t>≥</w:t>
            </w:r>
            <w:r w:rsidR="00E06671">
              <w:rPr>
                <w:spacing w:val="-2"/>
              </w:rPr>
              <w:t> </w:t>
            </w:r>
            <w:r w:rsidRPr="002B7E11">
              <w:rPr>
                <w:spacing w:val="-2"/>
              </w:rPr>
              <w:t>8.9 mmol/L) depending on the physician. Diagnoses if two or more abnormal results.</w:t>
            </w:r>
          </w:p>
        </w:tc>
        <w:tc>
          <w:tcPr>
            <w:tcW w:w="1456" w:type="pct"/>
            <w:tcBorders>
              <w:top w:val="nil"/>
              <w:bottom w:val="nil"/>
            </w:tcBorders>
            <w:shd w:val="clear" w:color="auto" w:fill="F2F2F2" w:themeFill="background1" w:themeFillShade="F2"/>
          </w:tcPr>
          <w:p w:rsidR="0025490C" w:rsidRDefault="0025490C" w:rsidP="007B5EEF">
            <w:pPr>
              <w:pStyle w:val="TableText"/>
            </w:pPr>
            <w:r w:rsidRPr="00E07B1B">
              <w:t>The odds ratio for GDM was lowest for women in the highest quartile of serum 25(OH)D with each of the lower quartiles demonstrating a doubling in the odds. The three lower quartiles were combined.</w:t>
            </w:r>
          </w:p>
          <w:p w:rsidR="0025490C" w:rsidRPr="00E07B1B" w:rsidRDefault="0025490C" w:rsidP="007B5EEF">
            <w:pPr>
              <w:pStyle w:val="TableText"/>
            </w:pPr>
            <w:r w:rsidRPr="00E07B1B">
              <w:t>There was a significant association between vitamin D &lt;</w:t>
            </w:r>
            <w:r>
              <w:t xml:space="preserve"> </w:t>
            </w:r>
            <w:r w:rsidRPr="00E07B1B">
              <w:t>73.5</w:t>
            </w:r>
            <w:r>
              <w:t xml:space="preserve"> </w:t>
            </w:r>
            <w:r w:rsidRPr="00E07B1B">
              <w:t>nmol/L and risk of GDM (adj OR 2.21, 95%CI 1.19</w:t>
            </w:r>
            <w:r>
              <w:t>–</w:t>
            </w:r>
            <w:r w:rsidRPr="00E07B1B">
              <w:t xml:space="preserve">4.13, </w:t>
            </w:r>
            <w:r w:rsidRPr="00447573">
              <w:rPr>
                <w:i/>
              </w:rPr>
              <w:t>p</w:t>
            </w:r>
            <w:r>
              <w:t xml:space="preserve"> </w:t>
            </w:r>
            <w:r w:rsidRPr="00E07B1B">
              <w:t>=</w:t>
            </w:r>
            <w:r>
              <w:t xml:space="preserve"> </w:t>
            </w:r>
            <w:r w:rsidRPr="00E07B1B">
              <w:t>0.001</w:t>
            </w:r>
            <w:r>
              <w:t>).</w:t>
            </w:r>
          </w:p>
        </w:tc>
        <w:tc>
          <w:tcPr>
            <w:tcW w:w="437" w:type="pct"/>
            <w:tcBorders>
              <w:top w:val="nil"/>
              <w:bottom w:val="nil"/>
            </w:tcBorders>
            <w:shd w:val="clear" w:color="auto" w:fill="F2F2F2" w:themeFill="background1" w:themeFillShade="F2"/>
          </w:tcPr>
          <w:p w:rsidR="0025490C" w:rsidRPr="00E07B1B" w:rsidRDefault="0025490C" w:rsidP="00E06671">
            <w:pPr>
              <w:pStyle w:val="TableText"/>
              <w:jc w:val="center"/>
            </w:pPr>
            <w:r w:rsidRPr="00E07B1B">
              <w:t>MEDIUM</w:t>
            </w:r>
          </w:p>
        </w:tc>
      </w:tr>
      <w:tr w:rsidR="00E06671" w:rsidRPr="00E07B1B" w:rsidTr="00E06671">
        <w:trPr>
          <w:cantSplit/>
        </w:trPr>
        <w:tc>
          <w:tcPr>
            <w:tcW w:w="437" w:type="pct"/>
            <w:tcBorders>
              <w:top w:val="nil"/>
            </w:tcBorders>
            <w:shd w:val="clear" w:color="auto" w:fill="auto"/>
          </w:tcPr>
          <w:p w:rsidR="0025490C" w:rsidRPr="00E07B1B" w:rsidRDefault="0025490C" w:rsidP="00E06671">
            <w:pPr>
              <w:pStyle w:val="TableText"/>
            </w:pPr>
            <w:r w:rsidRPr="00E07B1B">
              <w:t>Lau</w:t>
            </w:r>
            <w:r w:rsidR="00E06671">
              <w:br/>
            </w:r>
            <w:r w:rsidRPr="00E07B1B">
              <w:t>(2011)</w:t>
            </w:r>
          </w:p>
        </w:tc>
        <w:tc>
          <w:tcPr>
            <w:tcW w:w="582" w:type="pct"/>
            <w:tcBorders>
              <w:top w:val="nil"/>
            </w:tcBorders>
            <w:shd w:val="clear" w:color="auto" w:fill="auto"/>
          </w:tcPr>
          <w:p w:rsidR="0025490C" w:rsidRPr="00E07B1B" w:rsidRDefault="0025490C" w:rsidP="00E06671">
            <w:pPr>
              <w:pStyle w:val="TableText"/>
            </w:pPr>
            <w:r w:rsidRPr="00E07B1B">
              <w:t>Australia</w:t>
            </w:r>
            <w:r w:rsidR="00E06671">
              <w:br/>
            </w:r>
            <w:r w:rsidRPr="00E07B1B">
              <w:t>147</w:t>
            </w:r>
          </w:p>
        </w:tc>
        <w:tc>
          <w:tcPr>
            <w:tcW w:w="582" w:type="pct"/>
            <w:tcBorders>
              <w:top w:val="nil"/>
            </w:tcBorders>
            <w:shd w:val="clear" w:color="auto" w:fill="auto"/>
          </w:tcPr>
          <w:p w:rsidR="0025490C" w:rsidRPr="00E07B1B" w:rsidRDefault="0025490C" w:rsidP="00E06671">
            <w:pPr>
              <w:pStyle w:val="TableText"/>
            </w:pPr>
            <w:r w:rsidRPr="00E07B1B">
              <w:t>Retrospective cross-sectional</w:t>
            </w:r>
          </w:p>
        </w:tc>
        <w:tc>
          <w:tcPr>
            <w:tcW w:w="1505" w:type="pct"/>
            <w:tcBorders>
              <w:top w:val="nil"/>
            </w:tcBorders>
            <w:shd w:val="clear" w:color="auto" w:fill="auto"/>
          </w:tcPr>
          <w:p w:rsidR="0025490C" w:rsidRPr="00E07B1B" w:rsidRDefault="0025490C" w:rsidP="00E06671">
            <w:pPr>
              <w:pStyle w:val="TableText"/>
              <w:ind w:right="142"/>
            </w:pPr>
            <w:r w:rsidRPr="00E07B1B">
              <w:t>ADIPS criteria. Fasting ≥</w:t>
            </w:r>
            <w:r>
              <w:t> </w:t>
            </w:r>
            <w:r w:rsidRPr="00E07B1B">
              <w:t>5.5</w:t>
            </w:r>
            <w:r>
              <w:t> </w:t>
            </w:r>
            <w:r w:rsidRPr="00E07B1B">
              <w:t>mmol/L, and/or a 2</w:t>
            </w:r>
            <w:r>
              <w:t>-</w:t>
            </w:r>
            <w:r w:rsidRPr="00E07B1B">
              <w:t>hour ≥</w:t>
            </w:r>
            <w:r>
              <w:t xml:space="preserve"> </w:t>
            </w:r>
            <w:r w:rsidRPr="00E07B1B">
              <w:t>8</w:t>
            </w:r>
            <w:r>
              <w:t> </w:t>
            </w:r>
            <w:r w:rsidRPr="00E07B1B">
              <w:t>mmol/L using a 75</w:t>
            </w:r>
            <w:r>
              <w:t> </w:t>
            </w:r>
            <w:r w:rsidRPr="00E07B1B">
              <w:t>g OGTT following a positive 50</w:t>
            </w:r>
            <w:r>
              <w:t> </w:t>
            </w:r>
            <w:r w:rsidRPr="00E07B1B">
              <w:t>g OGCT</w:t>
            </w:r>
            <w:r>
              <w:t>.</w:t>
            </w:r>
          </w:p>
        </w:tc>
        <w:tc>
          <w:tcPr>
            <w:tcW w:w="1456" w:type="pct"/>
            <w:tcBorders>
              <w:top w:val="nil"/>
            </w:tcBorders>
            <w:shd w:val="clear" w:color="auto" w:fill="auto"/>
          </w:tcPr>
          <w:p w:rsidR="0025490C" w:rsidRPr="00F60FBE" w:rsidRDefault="0025490C" w:rsidP="007B5EEF">
            <w:pPr>
              <w:pStyle w:val="TableText"/>
              <w:rPr>
                <w:spacing w:val="-4"/>
              </w:rPr>
            </w:pPr>
            <w:r w:rsidRPr="00F60FBE">
              <w:rPr>
                <w:spacing w:val="-4"/>
              </w:rPr>
              <w:t>25(OH)D levels were inversely associated with fasting and 2-hour blood glucose levels during the OGTT (</w:t>
            </w:r>
            <w:r w:rsidRPr="00447573">
              <w:rPr>
                <w:i/>
                <w:spacing w:val="-4"/>
              </w:rPr>
              <w:t>p</w:t>
            </w:r>
            <w:r w:rsidRPr="00F60FBE">
              <w:rPr>
                <w:spacing w:val="-4"/>
              </w:rPr>
              <w:t> = 0.05). There was also a significant inverse association between 25(OH)D and log[HbA1c].</w:t>
            </w:r>
          </w:p>
          <w:p w:rsidR="0025490C" w:rsidRPr="00E07B1B" w:rsidRDefault="0025490C" w:rsidP="007B5EEF">
            <w:pPr>
              <w:pStyle w:val="TableText"/>
            </w:pPr>
            <w:r w:rsidRPr="00E07B1B">
              <w:t>Compared with women who had 25(OH)D levels</w:t>
            </w:r>
            <w:r>
              <w:t xml:space="preserve"> </w:t>
            </w:r>
            <w:r w:rsidRPr="00E07B1B">
              <w:t>≤ 50</w:t>
            </w:r>
            <w:r>
              <w:t> </w:t>
            </w:r>
            <w:r w:rsidRPr="00E07B1B">
              <w:t>nmol/L, those with 25(OH)D levels of &gt;</w:t>
            </w:r>
            <w:r>
              <w:t xml:space="preserve"> </w:t>
            </w:r>
            <w:r w:rsidRPr="00E07B1B">
              <w:t>50</w:t>
            </w:r>
            <w:r>
              <w:t xml:space="preserve"> </w:t>
            </w:r>
            <w:r w:rsidRPr="00E07B1B">
              <w:t>nmol/L had HbA1c levels that were significantly lower</w:t>
            </w:r>
            <w:r>
              <w:t xml:space="preserve">: </w:t>
            </w:r>
            <w:r w:rsidRPr="00447573">
              <w:rPr>
                <w:vertAlign w:val="superscript"/>
              </w:rPr>
              <w:t>–</w:t>
            </w:r>
            <w:r w:rsidRPr="00E07B1B">
              <w:t xml:space="preserve">0.41% (95%CI </w:t>
            </w:r>
            <w:r w:rsidRPr="00447573">
              <w:rPr>
                <w:vertAlign w:val="superscript"/>
              </w:rPr>
              <w:t>–</w:t>
            </w:r>
            <w:r w:rsidRPr="00E07B1B">
              <w:t xml:space="preserve">0.16% to </w:t>
            </w:r>
            <w:r w:rsidRPr="00447573">
              <w:rPr>
                <w:vertAlign w:val="superscript"/>
              </w:rPr>
              <w:noBreakHyphen/>
            </w:r>
            <w:r w:rsidRPr="00E07B1B">
              <w:t>0.66%</w:t>
            </w:r>
            <w:r>
              <w:t>,</w:t>
            </w:r>
            <w:r w:rsidRPr="00E07B1B">
              <w:t xml:space="preserve"> </w:t>
            </w:r>
            <w:r w:rsidRPr="00447573">
              <w:rPr>
                <w:i/>
              </w:rPr>
              <w:t>p</w:t>
            </w:r>
            <w:r>
              <w:t xml:space="preserve"> </w:t>
            </w:r>
            <w:r w:rsidRPr="00E07B1B">
              <w:t>=</w:t>
            </w:r>
            <w:r>
              <w:t xml:space="preserve"> </w:t>
            </w:r>
            <w:r w:rsidRPr="00E07B1B">
              <w:t>0.001). They also had lower blood glucose readings at fasting (</w:t>
            </w:r>
            <w:r w:rsidRPr="00447573">
              <w:rPr>
                <w:vertAlign w:val="superscript"/>
              </w:rPr>
              <w:noBreakHyphen/>
            </w:r>
            <w:r w:rsidRPr="00E07B1B">
              <w:t>0.4</w:t>
            </w:r>
            <w:r>
              <w:t> </w:t>
            </w:r>
            <w:r w:rsidRPr="00E07B1B">
              <w:t>mmol/L</w:t>
            </w:r>
            <w:r>
              <w:t>,</w:t>
            </w:r>
            <w:r w:rsidRPr="00E07B1B">
              <w:t xml:space="preserve"> 95%CI </w:t>
            </w:r>
            <w:r w:rsidRPr="00447573">
              <w:rPr>
                <w:vertAlign w:val="superscript"/>
              </w:rPr>
              <w:t>–</w:t>
            </w:r>
            <w:r w:rsidRPr="00E07B1B">
              <w:t xml:space="preserve">0.1 to </w:t>
            </w:r>
            <w:r w:rsidRPr="00447573">
              <w:rPr>
                <w:vertAlign w:val="superscript"/>
              </w:rPr>
              <w:t>–</w:t>
            </w:r>
            <w:r w:rsidRPr="00E07B1B">
              <w:t>0.7</w:t>
            </w:r>
            <w:r>
              <w:t xml:space="preserve">, </w:t>
            </w:r>
            <w:r w:rsidRPr="00447573">
              <w:rPr>
                <w:i/>
              </w:rPr>
              <w:t>p</w:t>
            </w:r>
            <w:r>
              <w:t> </w:t>
            </w:r>
            <w:r w:rsidRPr="00E07B1B">
              <w:t>=</w:t>
            </w:r>
            <w:r>
              <w:t> </w:t>
            </w:r>
            <w:r w:rsidRPr="00E07B1B">
              <w:t>0.02) and 1</w:t>
            </w:r>
            <w:r>
              <w:t>-</w:t>
            </w:r>
            <w:r w:rsidRPr="00E07B1B">
              <w:t>hour</w:t>
            </w:r>
            <w:r>
              <w:t xml:space="preserve"> </w:t>
            </w:r>
            <w:r w:rsidRPr="00E07B1B">
              <w:t>(</w:t>
            </w:r>
            <w:r w:rsidRPr="00447573">
              <w:rPr>
                <w:vertAlign w:val="superscript"/>
              </w:rPr>
              <w:noBreakHyphen/>
            </w:r>
            <w:r w:rsidRPr="00E07B1B">
              <w:t>2.4</w:t>
            </w:r>
            <w:r>
              <w:t xml:space="preserve"> </w:t>
            </w:r>
            <w:r w:rsidRPr="00E07B1B">
              <w:t xml:space="preserve">mmol/L 95%CI </w:t>
            </w:r>
            <w:r w:rsidRPr="00447573">
              <w:rPr>
                <w:vertAlign w:val="superscript"/>
              </w:rPr>
              <w:t>–</w:t>
            </w:r>
            <w:r w:rsidRPr="00E07B1B">
              <w:t xml:space="preserve">0.60 to </w:t>
            </w:r>
            <w:r w:rsidRPr="00447573">
              <w:rPr>
                <w:vertAlign w:val="superscript"/>
              </w:rPr>
              <w:t>–</w:t>
            </w:r>
            <w:r w:rsidRPr="00E07B1B">
              <w:t>4.3</w:t>
            </w:r>
            <w:r>
              <w:t>,</w:t>
            </w:r>
            <w:r w:rsidRPr="00E07B1B">
              <w:t xml:space="preserve"> </w:t>
            </w:r>
            <w:r w:rsidRPr="00447573">
              <w:rPr>
                <w:i/>
              </w:rPr>
              <w:t>p</w:t>
            </w:r>
            <w:r>
              <w:t xml:space="preserve"> </w:t>
            </w:r>
            <w:r w:rsidRPr="00E07B1B">
              <w:t>=</w:t>
            </w:r>
            <w:r>
              <w:t xml:space="preserve"> </w:t>
            </w:r>
            <w:r w:rsidRPr="00E07B1B">
              <w:t>0.013) OGTT.</w:t>
            </w:r>
          </w:p>
        </w:tc>
        <w:tc>
          <w:tcPr>
            <w:tcW w:w="437" w:type="pct"/>
            <w:tcBorders>
              <w:top w:val="nil"/>
            </w:tcBorders>
            <w:shd w:val="clear" w:color="auto" w:fill="auto"/>
          </w:tcPr>
          <w:p w:rsidR="0025490C" w:rsidRPr="00E07B1B" w:rsidRDefault="0025490C" w:rsidP="00E06671">
            <w:pPr>
              <w:pStyle w:val="TableText"/>
              <w:jc w:val="center"/>
            </w:pPr>
            <w:r w:rsidRPr="00E07B1B">
              <w:t>LOW</w:t>
            </w:r>
          </w:p>
        </w:tc>
      </w:tr>
    </w:tbl>
    <w:p w:rsidR="0025490C" w:rsidRDefault="0025490C" w:rsidP="0080418E">
      <w:pPr>
        <w:pStyle w:val="Note"/>
        <w:ind w:left="0" w:firstLine="0"/>
      </w:pPr>
      <w:r>
        <w:t xml:space="preserve">Note: </w:t>
      </w:r>
      <w:r w:rsidRPr="00E07B1B">
        <w:t xml:space="preserve">ADIPS </w:t>
      </w:r>
      <w:r>
        <w:t>=</w:t>
      </w:r>
      <w:r w:rsidRPr="00E07B1B">
        <w:t xml:space="preserve"> Australasian Diabetes in Pregnancy Study Group;</w:t>
      </w:r>
      <w:r>
        <w:t xml:space="preserve"> CI = confidence interval;</w:t>
      </w:r>
      <w:r w:rsidRPr="00E07B1B">
        <w:t xml:space="preserve"> GDM </w:t>
      </w:r>
      <w:r>
        <w:t>=</w:t>
      </w:r>
      <w:r w:rsidRPr="00E07B1B">
        <w:t xml:space="preserve"> </w:t>
      </w:r>
      <w:r>
        <w:t>g</w:t>
      </w:r>
      <w:r w:rsidRPr="00E07B1B">
        <w:t xml:space="preserve">estational diabetes mellitus; OGCT </w:t>
      </w:r>
      <w:r>
        <w:t>=</w:t>
      </w:r>
      <w:r w:rsidRPr="00E07B1B">
        <w:t xml:space="preserve"> </w:t>
      </w:r>
      <w:r>
        <w:t>o</w:t>
      </w:r>
      <w:r w:rsidRPr="00E07B1B">
        <w:t xml:space="preserve">ral </w:t>
      </w:r>
      <w:r>
        <w:t>g</w:t>
      </w:r>
      <w:r w:rsidRPr="00E07B1B">
        <w:t xml:space="preserve">lucose </w:t>
      </w:r>
      <w:r>
        <w:t>c</w:t>
      </w:r>
      <w:r w:rsidRPr="00E07B1B">
        <w:t xml:space="preserve">hallenge </w:t>
      </w:r>
      <w:r>
        <w:t>t</w:t>
      </w:r>
      <w:r w:rsidRPr="00E07B1B">
        <w:t>est</w:t>
      </w:r>
      <w:bookmarkStart w:id="469" w:name="_Toc358366908"/>
      <w:r w:rsidRPr="00E07B1B">
        <w:t>; OGTT</w:t>
      </w:r>
      <w:r>
        <w:t xml:space="preserve"> = </w:t>
      </w:r>
      <w:r w:rsidRPr="00E07B1B">
        <w:t>oral glucose tolerance test</w:t>
      </w:r>
      <w:r>
        <w:t>; OR = odds ratio</w:t>
      </w:r>
      <w:r w:rsidR="0080418E">
        <w:t>.</w:t>
      </w:r>
    </w:p>
    <w:p w:rsidR="0080418E" w:rsidRPr="0080418E" w:rsidRDefault="0080418E" w:rsidP="0080418E"/>
    <w:p w:rsidR="0025490C" w:rsidRPr="00E07B1B" w:rsidRDefault="0025490C" w:rsidP="0080418E">
      <w:pPr>
        <w:pStyle w:val="Table"/>
      </w:pPr>
      <w:bookmarkStart w:id="470" w:name="_Toc363717788"/>
      <w:bookmarkStart w:id="471" w:name="_Toc403635895"/>
      <w:r w:rsidRPr="00E07B1B">
        <w:t>Table 14</w:t>
      </w:r>
      <w:r w:rsidR="0080418E">
        <w:t>:</w:t>
      </w:r>
      <w:r w:rsidRPr="00E07B1B">
        <w:t xml:space="preserve"> Studies reporting on maternal history of subfertility as a risk factor for developing gestational diabetes</w:t>
      </w:r>
      <w:bookmarkEnd w:id="469"/>
      <w:bookmarkEnd w:id="470"/>
      <w:bookmarkEnd w:id="471"/>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276"/>
        <w:gridCol w:w="1700"/>
        <w:gridCol w:w="1702"/>
        <w:gridCol w:w="4395"/>
        <w:gridCol w:w="4255"/>
        <w:gridCol w:w="1273"/>
      </w:tblGrid>
      <w:tr w:rsidR="00461E35" w:rsidRPr="007B5EEF" w:rsidTr="00461E35">
        <w:trPr>
          <w:cantSplit/>
          <w:tblHeader/>
        </w:trPr>
        <w:tc>
          <w:tcPr>
            <w:tcW w:w="437" w:type="pct"/>
            <w:tcBorders>
              <w:top w:val="single" w:sz="4" w:space="0" w:color="auto"/>
              <w:bottom w:val="single" w:sz="4" w:space="0" w:color="auto"/>
            </w:tcBorders>
            <w:shd w:val="clear" w:color="auto" w:fill="auto"/>
          </w:tcPr>
          <w:p w:rsidR="0025490C" w:rsidRPr="007B5EEF" w:rsidRDefault="0025490C" w:rsidP="00E06671">
            <w:pPr>
              <w:pStyle w:val="TableText"/>
              <w:keepNext/>
              <w:rPr>
                <w:b/>
              </w:rPr>
            </w:pPr>
            <w:r w:rsidRPr="007B5EEF">
              <w:rPr>
                <w:b/>
              </w:rPr>
              <w:t>Study</w:t>
            </w:r>
          </w:p>
        </w:tc>
        <w:tc>
          <w:tcPr>
            <w:tcW w:w="582" w:type="pct"/>
            <w:tcBorders>
              <w:top w:val="single" w:sz="4" w:space="0" w:color="auto"/>
              <w:bottom w:val="single" w:sz="4" w:space="0" w:color="auto"/>
            </w:tcBorders>
            <w:shd w:val="clear" w:color="auto" w:fill="auto"/>
          </w:tcPr>
          <w:p w:rsidR="0025490C" w:rsidRPr="007B5EEF" w:rsidRDefault="0025490C" w:rsidP="00E06671">
            <w:pPr>
              <w:pStyle w:val="TableText"/>
              <w:keepNext/>
              <w:rPr>
                <w:b/>
              </w:rPr>
            </w:pPr>
            <w:r w:rsidRPr="007B5EEF">
              <w:rPr>
                <w:b/>
              </w:rPr>
              <w:t>Country and sample size</w:t>
            </w:r>
          </w:p>
        </w:tc>
        <w:tc>
          <w:tcPr>
            <w:tcW w:w="583" w:type="pct"/>
            <w:tcBorders>
              <w:top w:val="single" w:sz="4" w:space="0" w:color="auto"/>
              <w:bottom w:val="single" w:sz="4" w:space="0" w:color="auto"/>
            </w:tcBorders>
            <w:shd w:val="clear" w:color="auto" w:fill="auto"/>
          </w:tcPr>
          <w:p w:rsidR="0025490C" w:rsidRPr="007B5EEF" w:rsidRDefault="0025490C" w:rsidP="00461E35">
            <w:pPr>
              <w:pStyle w:val="TableText"/>
              <w:keepNext/>
              <w:ind w:right="142"/>
              <w:rPr>
                <w:b/>
              </w:rPr>
            </w:pPr>
            <w:r w:rsidRPr="007B5EEF">
              <w:rPr>
                <w:b/>
              </w:rPr>
              <w:t>Study type</w:t>
            </w:r>
          </w:p>
        </w:tc>
        <w:tc>
          <w:tcPr>
            <w:tcW w:w="1505" w:type="pct"/>
            <w:tcBorders>
              <w:top w:val="single" w:sz="4" w:space="0" w:color="auto"/>
              <w:bottom w:val="single" w:sz="4" w:space="0" w:color="auto"/>
            </w:tcBorders>
            <w:shd w:val="clear" w:color="auto" w:fill="auto"/>
          </w:tcPr>
          <w:p w:rsidR="0025490C" w:rsidRPr="007B5EEF" w:rsidRDefault="0025490C" w:rsidP="00461E35">
            <w:pPr>
              <w:pStyle w:val="TableText"/>
              <w:keepNext/>
              <w:ind w:right="142"/>
              <w:rPr>
                <w:b/>
              </w:rPr>
            </w:pPr>
            <w:r w:rsidRPr="007B5EEF">
              <w:rPr>
                <w:b/>
              </w:rPr>
              <w:t>Screening/diagnostic criteria</w:t>
            </w:r>
          </w:p>
        </w:tc>
        <w:tc>
          <w:tcPr>
            <w:tcW w:w="1457" w:type="pct"/>
            <w:tcBorders>
              <w:top w:val="single" w:sz="4" w:space="0" w:color="auto"/>
              <w:bottom w:val="single" w:sz="4" w:space="0" w:color="auto"/>
            </w:tcBorders>
            <w:shd w:val="clear" w:color="auto" w:fill="auto"/>
          </w:tcPr>
          <w:p w:rsidR="0025490C" w:rsidRPr="007B5EEF" w:rsidRDefault="0025490C" w:rsidP="00E06671">
            <w:pPr>
              <w:pStyle w:val="TableText"/>
              <w:keepNext/>
              <w:rPr>
                <w:b/>
              </w:rPr>
            </w:pPr>
            <w:r w:rsidRPr="007B5EEF">
              <w:rPr>
                <w:b/>
              </w:rPr>
              <w:t>Main results</w:t>
            </w:r>
          </w:p>
        </w:tc>
        <w:tc>
          <w:tcPr>
            <w:tcW w:w="436" w:type="pct"/>
            <w:tcBorders>
              <w:top w:val="single" w:sz="4" w:space="0" w:color="auto"/>
              <w:bottom w:val="single" w:sz="4" w:space="0" w:color="auto"/>
            </w:tcBorders>
            <w:shd w:val="clear" w:color="auto" w:fill="auto"/>
          </w:tcPr>
          <w:p w:rsidR="0025490C" w:rsidRPr="007B5EEF" w:rsidRDefault="0025490C" w:rsidP="00461E35">
            <w:pPr>
              <w:pStyle w:val="TableText"/>
              <w:keepNext/>
              <w:jc w:val="center"/>
              <w:rPr>
                <w:b/>
              </w:rPr>
            </w:pPr>
            <w:r w:rsidRPr="007B5EEF">
              <w:rPr>
                <w:b/>
              </w:rPr>
              <w:t>Quality of evidence</w:t>
            </w:r>
          </w:p>
        </w:tc>
      </w:tr>
      <w:tr w:rsidR="00461E35" w:rsidRPr="00E07B1B" w:rsidTr="00461E35">
        <w:trPr>
          <w:cantSplit/>
        </w:trPr>
        <w:tc>
          <w:tcPr>
            <w:tcW w:w="437" w:type="pct"/>
            <w:tcBorders>
              <w:top w:val="single" w:sz="4" w:space="0" w:color="auto"/>
              <w:bottom w:val="nil"/>
            </w:tcBorders>
            <w:shd w:val="clear" w:color="auto" w:fill="F2F2F2" w:themeFill="background1" w:themeFillShade="F2"/>
          </w:tcPr>
          <w:p w:rsidR="0025490C" w:rsidRPr="00E07B1B" w:rsidRDefault="0025490C" w:rsidP="00461E35">
            <w:pPr>
              <w:pStyle w:val="TableText"/>
              <w:keepNext/>
            </w:pPr>
            <w:r w:rsidRPr="00E07B1B">
              <w:t>Bhat</w:t>
            </w:r>
            <w:r w:rsidR="00461E35">
              <w:br/>
              <w:t>(2010)</w:t>
            </w:r>
          </w:p>
        </w:tc>
        <w:tc>
          <w:tcPr>
            <w:tcW w:w="582" w:type="pct"/>
            <w:tcBorders>
              <w:top w:val="single" w:sz="4" w:space="0" w:color="auto"/>
              <w:bottom w:val="nil"/>
            </w:tcBorders>
            <w:shd w:val="clear" w:color="auto" w:fill="F2F2F2" w:themeFill="background1" w:themeFillShade="F2"/>
          </w:tcPr>
          <w:p w:rsidR="0025490C" w:rsidRPr="00E07B1B" w:rsidRDefault="0025490C" w:rsidP="00461E35">
            <w:pPr>
              <w:pStyle w:val="TableText"/>
              <w:keepNext/>
            </w:pPr>
            <w:r w:rsidRPr="00E07B1B">
              <w:t>India</w:t>
            </w:r>
            <w:r w:rsidR="00461E35">
              <w:br/>
            </w:r>
            <w:r w:rsidRPr="00E07B1B">
              <w:t>300 cases</w:t>
            </w:r>
            <w:r>
              <w:t>,</w:t>
            </w:r>
            <w:r w:rsidRPr="00E07B1B">
              <w:t xml:space="preserve"> 300</w:t>
            </w:r>
            <w:r w:rsidR="00461E35">
              <w:t> </w:t>
            </w:r>
            <w:r w:rsidRPr="00E07B1B">
              <w:t>controls</w:t>
            </w:r>
          </w:p>
        </w:tc>
        <w:tc>
          <w:tcPr>
            <w:tcW w:w="583" w:type="pct"/>
            <w:tcBorders>
              <w:top w:val="single" w:sz="4" w:space="0" w:color="auto"/>
              <w:bottom w:val="nil"/>
            </w:tcBorders>
            <w:shd w:val="clear" w:color="auto" w:fill="F2F2F2" w:themeFill="background1" w:themeFillShade="F2"/>
          </w:tcPr>
          <w:p w:rsidR="0025490C" w:rsidRPr="00E07B1B" w:rsidRDefault="0025490C" w:rsidP="00461E35">
            <w:pPr>
              <w:pStyle w:val="TableText"/>
              <w:keepNext/>
              <w:ind w:right="142"/>
            </w:pPr>
            <w:r w:rsidRPr="00E07B1B">
              <w:t>Case control</w:t>
            </w:r>
          </w:p>
        </w:tc>
        <w:tc>
          <w:tcPr>
            <w:tcW w:w="1505" w:type="pct"/>
            <w:tcBorders>
              <w:top w:val="single" w:sz="4" w:space="0" w:color="auto"/>
              <w:bottom w:val="nil"/>
            </w:tcBorders>
            <w:shd w:val="clear" w:color="auto" w:fill="F2F2F2" w:themeFill="background1" w:themeFillShade="F2"/>
          </w:tcPr>
          <w:p w:rsidR="0025490C" w:rsidRDefault="0025490C" w:rsidP="00461E35">
            <w:pPr>
              <w:pStyle w:val="TableText"/>
              <w:keepNext/>
              <w:spacing w:after="30"/>
              <w:ind w:right="142"/>
            </w:pPr>
            <w:r w:rsidRPr="00E07B1B">
              <w:t>50</w:t>
            </w:r>
            <w:r>
              <w:t xml:space="preserve"> </w:t>
            </w:r>
            <w:r w:rsidRPr="00E07B1B">
              <w:t>g</w:t>
            </w:r>
            <w:r>
              <w:t xml:space="preserve"> oral glucose challenge test</w:t>
            </w:r>
            <w:r w:rsidRPr="00E07B1B">
              <w:t xml:space="preserve"> at 24</w:t>
            </w:r>
            <w:r>
              <w:t>–</w:t>
            </w:r>
            <w:r w:rsidRPr="00E07B1B">
              <w:t>28 weeks and 32</w:t>
            </w:r>
            <w:r>
              <w:t>–</w:t>
            </w:r>
            <w:r w:rsidRPr="00E07B1B">
              <w:t xml:space="preserve">34 weeks or </w:t>
            </w:r>
            <w:r>
              <w:t xml:space="preserve">after </w:t>
            </w:r>
            <w:r w:rsidRPr="00E07B1B">
              <w:t>development of risk factors. If &gt;</w:t>
            </w:r>
            <w:r w:rsidR="00461E35">
              <w:t> </w:t>
            </w:r>
            <w:r w:rsidRPr="00E07B1B">
              <w:t>130</w:t>
            </w:r>
            <w:r w:rsidR="00461E35">
              <w:t> </w:t>
            </w:r>
            <w:r w:rsidRPr="00E07B1B">
              <w:t>mg</w:t>
            </w:r>
            <w:r>
              <w:t>/dL</w:t>
            </w:r>
            <w:r w:rsidRPr="00E07B1B">
              <w:t xml:space="preserve"> at 1 hour</w:t>
            </w:r>
            <w:r>
              <w:t>,</w:t>
            </w:r>
            <w:r w:rsidRPr="00E07B1B">
              <w:t xml:space="preserve"> GDM confirmed with 100</w:t>
            </w:r>
            <w:r>
              <w:t> </w:t>
            </w:r>
            <w:r w:rsidRPr="00E07B1B">
              <w:t>g OGTT</w:t>
            </w:r>
            <w:r>
              <w:t>, requiring two</w:t>
            </w:r>
            <w:r w:rsidRPr="00E07B1B">
              <w:t xml:space="preserve"> or more abnormal values</w:t>
            </w:r>
            <w:r>
              <w:t xml:space="preserve"> from</w:t>
            </w:r>
            <w:r w:rsidRPr="00E07B1B">
              <w:t>:</w:t>
            </w:r>
          </w:p>
          <w:p w:rsidR="0025490C" w:rsidRDefault="0025490C" w:rsidP="00461E35">
            <w:pPr>
              <w:pStyle w:val="TableBullet"/>
              <w:spacing w:after="30"/>
              <w:ind w:left="284"/>
            </w:pPr>
            <w:r>
              <w:t>f</w:t>
            </w:r>
            <w:r w:rsidRPr="00E07B1B">
              <w:t>asting &gt;</w:t>
            </w:r>
            <w:r>
              <w:t xml:space="preserve"> </w:t>
            </w:r>
            <w:r w:rsidRPr="00E07B1B">
              <w:t>105</w:t>
            </w:r>
            <w:r>
              <w:t xml:space="preserve"> </w:t>
            </w:r>
            <w:r w:rsidRPr="00E07B1B">
              <w:t>mg</w:t>
            </w:r>
            <w:r>
              <w:t>/dL</w:t>
            </w:r>
          </w:p>
          <w:p w:rsidR="0025490C" w:rsidRDefault="0025490C" w:rsidP="00461E35">
            <w:pPr>
              <w:pStyle w:val="TableBullet"/>
              <w:spacing w:after="30"/>
              <w:ind w:left="284"/>
            </w:pPr>
            <w:r w:rsidRPr="00E07B1B">
              <w:t>1-hour &gt;</w:t>
            </w:r>
            <w:r>
              <w:t xml:space="preserve"> </w:t>
            </w:r>
            <w:r w:rsidRPr="00E07B1B">
              <w:t>190</w:t>
            </w:r>
            <w:r>
              <w:t xml:space="preserve"> </w:t>
            </w:r>
            <w:r w:rsidRPr="00E07B1B">
              <w:t>mg</w:t>
            </w:r>
            <w:r>
              <w:t>/dL</w:t>
            </w:r>
          </w:p>
          <w:p w:rsidR="0025490C" w:rsidRDefault="0025490C" w:rsidP="00461E35">
            <w:pPr>
              <w:pStyle w:val="TableBullet"/>
              <w:spacing w:after="30"/>
              <w:ind w:left="284"/>
            </w:pPr>
            <w:r w:rsidRPr="00E07B1B">
              <w:t>2-hour &gt;</w:t>
            </w:r>
            <w:r>
              <w:t xml:space="preserve"> </w:t>
            </w:r>
            <w:r w:rsidRPr="00E07B1B">
              <w:t>165</w:t>
            </w:r>
            <w:r>
              <w:t xml:space="preserve"> </w:t>
            </w:r>
            <w:r w:rsidRPr="00E07B1B">
              <w:t>mg</w:t>
            </w:r>
            <w:r>
              <w:t>/dL</w:t>
            </w:r>
          </w:p>
          <w:p w:rsidR="0025490C" w:rsidRPr="00E07B1B" w:rsidRDefault="0025490C" w:rsidP="00461E35">
            <w:pPr>
              <w:pStyle w:val="TableBullet"/>
              <w:ind w:left="284"/>
            </w:pPr>
            <w:r w:rsidRPr="00E07B1B">
              <w:t>3-hour &gt;</w:t>
            </w:r>
            <w:r>
              <w:t xml:space="preserve"> </w:t>
            </w:r>
            <w:r w:rsidRPr="00E07B1B">
              <w:t>145</w:t>
            </w:r>
            <w:r>
              <w:t xml:space="preserve"> </w:t>
            </w:r>
            <w:r w:rsidRPr="00E07B1B">
              <w:t>mg</w:t>
            </w:r>
            <w:r>
              <w:t>/dL</w:t>
            </w:r>
            <w:r w:rsidRPr="00E07B1B">
              <w:t>.</w:t>
            </w:r>
          </w:p>
        </w:tc>
        <w:tc>
          <w:tcPr>
            <w:tcW w:w="1457" w:type="pct"/>
            <w:tcBorders>
              <w:top w:val="single" w:sz="4" w:space="0" w:color="auto"/>
              <w:bottom w:val="nil"/>
            </w:tcBorders>
            <w:shd w:val="clear" w:color="auto" w:fill="F2F2F2" w:themeFill="background1" w:themeFillShade="F2"/>
          </w:tcPr>
          <w:p w:rsidR="0025490C" w:rsidRPr="00E07B1B" w:rsidRDefault="0025490C" w:rsidP="00E06671">
            <w:pPr>
              <w:pStyle w:val="TableText"/>
              <w:keepNext/>
            </w:pPr>
            <w:r>
              <w:t>A</w:t>
            </w:r>
            <w:r w:rsidRPr="00E07B1B">
              <w:t>dj OR 3.3 (95%CI 1.13</w:t>
            </w:r>
            <w:r>
              <w:t>–</w:t>
            </w:r>
            <w:r w:rsidRPr="00E07B1B">
              <w:t xml:space="preserve">9.55, </w:t>
            </w:r>
            <w:r w:rsidRPr="00447573">
              <w:rPr>
                <w:i/>
              </w:rPr>
              <w:t>p</w:t>
            </w:r>
            <w:r>
              <w:t> </w:t>
            </w:r>
            <w:r w:rsidRPr="00E07B1B">
              <w:t>=</w:t>
            </w:r>
            <w:r>
              <w:t> </w:t>
            </w:r>
            <w:r w:rsidRPr="00E07B1B">
              <w:t>0.03).</w:t>
            </w:r>
          </w:p>
        </w:tc>
        <w:tc>
          <w:tcPr>
            <w:tcW w:w="436" w:type="pct"/>
            <w:tcBorders>
              <w:top w:val="single" w:sz="4" w:space="0" w:color="auto"/>
              <w:bottom w:val="nil"/>
            </w:tcBorders>
            <w:shd w:val="clear" w:color="auto" w:fill="F2F2F2" w:themeFill="background1" w:themeFillShade="F2"/>
          </w:tcPr>
          <w:p w:rsidR="0025490C" w:rsidRPr="00E07B1B" w:rsidRDefault="0025490C" w:rsidP="00461E35">
            <w:pPr>
              <w:pStyle w:val="TableText"/>
              <w:keepNext/>
              <w:jc w:val="center"/>
            </w:pPr>
            <w:r w:rsidRPr="00E07B1B">
              <w:t>MEDIUM</w:t>
            </w:r>
          </w:p>
        </w:tc>
      </w:tr>
      <w:tr w:rsidR="00461E35" w:rsidRPr="00E07B1B" w:rsidTr="00461E35">
        <w:trPr>
          <w:cantSplit/>
        </w:trPr>
        <w:tc>
          <w:tcPr>
            <w:tcW w:w="437" w:type="pct"/>
            <w:tcBorders>
              <w:top w:val="nil"/>
              <w:bottom w:val="nil"/>
            </w:tcBorders>
            <w:shd w:val="clear" w:color="auto" w:fill="auto"/>
          </w:tcPr>
          <w:p w:rsidR="0025490C" w:rsidRPr="00E07B1B" w:rsidRDefault="0025490C" w:rsidP="00461E35">
            <w:pPr>
              <w:pStyle w:val="TableText"/>
            </w:pPr>
            <w:r w:rsidRPr="00E07B1B">
              <w:t>Toulis</w:t>
            </w:r>
            <w:r w:rsidR="00461E35">
              <w:br/>
            </w:r>
            <w:r w:rsidRPr="00E07B1B">
              <w:t>(2009)</w:t>
            </w:r>
          </w:p>
        </w:tc>
        <w:tc>
          <w:tcPr>
            <w:tcW w:w="582" w:type="pct"/>
            <w:tcBorders>
              <w:top w:val="nil"/>
              <w:bottom w:val="nil"/>
            </w:tcBorders>
            <w:shd w:val="clear" w:color="auto" w:fill="auto"/>
          </w:tcPr>
          <w:p w:rsidR="0025490C" w:rsidRPr="00E07B1B" w:rsidRDefault="0025490C" w:rsidP="007B5EEF">
            <w:pPr>
              <w:pStyle w:val="TableText"/>
            </w:pPr>
            <w:r w:rsidRPr="00E07B1B">
              <w:t>2263</w:t>
            </w:r>
          </w:p>
        </w:tc>
        <w:tc>
          <w:tcPr>
            <w:tcW w:w="583" w:type="pct"/>
            <w:tcBorders>
              <w:top w:val="nil"/>
              <w:bottom w:val="nil"/>
            </w:tcBorders>
            <w:shd w:val="clear" w:color="auto" w:fill="auto"/>
          </w:tcPr>
          <w:p w:rsidR="0025490C" w:rsidRPr="00E07B1B" w:rsidRDefault="0025490C" w:rsidP="00461E35">
            <w:pPr>
              <w:pStyle w:val="TableText"/>
              <w:ind w:right="142"/>
            </w:pPr>
            <w:r w:rsidRPr="00E07B1B">
              <w:t>Systematic review of 16</w:t>
            </w:r>
            <w:r w:rsidR="00461E35">
              <w:t> </w:t>
            </w:r>
            <w:r w:rsidRPr="00E07B1B">
              <w:t>observational studies</w:t>
            </w:r>
          </w:p>
        </w:tc>
        <w:tc>
          <w:tcPr>
            <w:tcW w:w="1505" w:type="pct"/>
            <w:tcBorders>
              <w:top w:val="nil"/>
              <w:bottom w:val="nil"/>
            </w:tcBorders>
            <w:shd w:val="clear" w:color="auto" w:fill="auto"/>
          </w:tcPr>
          <w:p w:rsidR="0025490C" w:rsidRDefault="0025490C" w:rsidP="00461E35">
            <w:pPr>
              <w:pStyle w:val="TableText"/>
              <w:ind w:right="142"/>
            </w:pPr>
            <w:r w:rsidRPr="00E07B1B">
              <w:t>Nine studies used the 3</w:t>
            </w:r>
            <w:r>
              <w:t>-</w:t>
            </w:r>
            <w:r w:rsidRPr="00E07B1B">
              <w:t>hour</w:t>
            </w:r>
            <w:r>
              <w:t>,</w:t>
            </w:r>
            <w:r w:rsidRPr="00E07B1B">
              <w:t xml:space="preserve"> 100</w:t>
            </w:r>
            <w:r>
              <w:t> </w:t>
            </w:r>
            <w:r w:rsidRPr="00E07B1B">
              <w:t xml:space="preserve">g OGTT and </w:t>
            </w:r>
            <w:r>
              <w:t>seven</w:t>
            </w:r>
            <w:r w:rsidRPr="00E07B1B">
              <w:t xml:space="preserve"> studies used the 2</w:t>
            </w:r>
            <w:r>
              <w:t>-</w:t>
            </w:r>
            <w:r w:rsidRPr="00E07B1B">
              <w:t>hour</w:t>
            </w:r>
            <w:r>
              <w:t>,</w:t>
            </w:r>
            <w:r w:rsidRPr="00E07B1B">
              <w:t xml:space="preserve"> 75</w:t>
            </w:r>
            <w:r>
              <w:t> </w:t>
            </w:r>
            <w:r w:rsidRPr="00E07B1B">
              <w:t>g OGTT.</w:t>
            </w:r>
          </w:p>
          <w:p w:rsidR="0025490C" w:rsidRPr="00E07B1B" w:rsidRDefault="0025490C" w:rsidP="00461E35">
            <w:pPr>
              <w:pStyle w:val="TableText"/>
              <w:ind w:right="142"/>
            </w:pPr>
            <w:r w:rsidRPr="00E07B1B">
              <w:t xml:space="preserve">Four studies used universal screening, </w:t>
            </w:r>
            <w:r>
              <w:t>three</w:t>
            </w:r>
            <w:r w:rsidRPr="00E07B1B">
              <w:t xml:space="preserve"> specified risk factors and nine used the diagnostic test after a positive challenge test</w:t>
            </w:r>
            <w:r>
              <w:t>.</w:t>
            </w:r>
          </w:p>
        </w:tc>
        <w:tc>
          <w:tcPr>
            <w:tcW w:w="1457" w:type="pct"/>
            <w:tcBorders>
              <w:top w:val="nil"/>
              <w:bottom w:val="nil"/>
            </w:tcBorders>
            <w:shd w:val="clear" w:color="auto" w:fill="auto"/>
          </w:tcPr>
          <w:p w:rsidR="0025490C" w:rsidRDefault="0025490C" w:rsidP="007B5EEF">
            <w:pPr>
              <w:pStyle w:val="TableText"/>
            </w:pPr>
            <w:r w:rsidRPr="00E07B1B">
              <w:t>The incidence of GDM in women with PCOS</w:t>
            </w:r>
            <w:r>
              <w:t xml:space="preserve"> (101 of </w:t>
            </w:r>
            <w:r w:rsidRPr="00E07B1B">
              <w:t>730 women</w:t>
            </w:r>
            <w:r>
              <w:t>)</w:t>
            </w:r>
            <w:r w:rsidRPr="00E07B1B">
              <w:t xml:space="preserve"> was significantly higher than </w:t>
            </w:r>
            <w:r>
              <w:t xml:space="preserve">in </w:t>
            </w:r>
            <w:r w:rsidRPr="00E07B1B">
              <w:t xml:space="preserve">women without PCOS </w:t>
            </w:r>
            <w:r>
              <w:t>(</w:t>
            </w:r>
            <w:r w:rsidRPr="00E07B1B">
              <w:t>284</w:t>
            </w:r>
            <w:r>
              <w:t xml:space="preserve"> of </w:t>
            </w:r>
            <w:r w:rsidRPr="00E07B1B">
              <w:t>4568 women</w:t>
            </w:r>
            <w:r>
              <w:t>):</w:t>
            </w:r>
            <w:r w:rsidRPr="00E07B1B">
              <w:t xml:space="preserve"> OR 2.89 (95%CI 1.68</w:t>
            </w:r>
            <w:r>
              <w:t>–</w:t>
            </w:r>
            <w:r w:rsidRPr="00E07B1B">
              <w:t>4.98, I</w:t>
            </w:r>
            <w:r w:rsidRPr="00E07B1B">
              <w:rPr>
                <w:vertAlign w:val="superscript"/>
              </w:rPr>
              <w:t>2</w:t>
            </w:r>
            <w:r w:rsidR="00461E35">
              <w:rPr>
                <w:vertAlign w:val="superscript"/>
              </w:rPr>
              <w:t> </w:t>
            </w:r>
            <w:r w:rsidRPr="00E07B1B">
              <w:t>=</w:t>
            </w:r>
            <w:r w:rsidR="00461E35">
              <w:t> </w:t>
            </w:r>
            <w:r w:rsidRPr="00E07B1B">
              <w:t>59.3%,</w:t>
            </w:r>
            <w:r>
              <w:t xml:space="preserve"> </w:t>
            </w:r>
            <w:r w:rsidRPr="00447573">
              <w:rPr>
                <w:i/>
              </w:rPr>
              <w:t>p</w:t>
            </w:r>
            <w:r>
              <w:t> </w:t>
            </w:r>
            <w:r w:rsidRPr="00E07B1B">
              <w:t>=</w:t>
            </w:r>
            <w:r>
              <w:t> </w:t>
            </w:r>
            <w:r w:rsidRPr="00E07B1B">
              <w:t>0.0001; 15</w:t>
            </w:r>
            <w:r w:rsidR="00461E35">
              <w:t> </w:t>
            </w:r>
            <w:r w:rsidRPr="00E07B1B">
              <w:t>studies)</w:t>
            </w:r>
            <w:r>
              <w:t>.</w:t>
            </w:r>
          </w:p>
          <w:p w:rsidR="0025490C" w:rsidRPr="00E07B1B" w:rsidRDefault="0025490C" w:rsidP="007B5EEF">
            <w:pPr>
              <w:pStyle w:val="TableText"/>
            </w:pPr>
            <w:r w:rsidRPr="00E07B1B">
              <w:t>The effect was apparent in cohort studies but not case control studies.</w:t>
            </w:r>
          </w:p>
        </w:tc>
        <w:tc>
          <w:tcPr>
            <w:tcW w:w="436" w:type="pct"/>
            <w:tcBorders>
              <w:top w:val="nil"/>
              <w:bottom w:val="nil"/>
            </w:tcBorders>
            <w:shd w:val="clear" w:color="auto" w:fill="auto"/>
          </w:tcPr>
          <w:p w:rsidR="0025490C" w:rsidRPr="00E07B1B" w:rsidRDefault="0025490C" w:rsidP="00461E35">
            <w:pPr>
              <w:pStyle w:val="TableText"/>
              <w:jc w:val="center"/>
            </w:pPr>
            <w:r w:rsidRPr="00E07B1B">
              <w:t>LOW</w:t>
            </w:r>
          </w:p>
        </w:tc>
      </w:tr>
      <w:tr w:rsidR="00461E35" w:rsidRPr="00E07B1B" w:rsidTr="00461E35">
        <w:trPr>
          <w:cantSplit/>
        </w:trPr>
        <w:tc>
          <w:tcPr>
            <w:tcW w:w="437" w:type="pct"/>
            <w:tcBorders>
              <w:top w:val="nil"/>
              <w:bottom w:val="single" w:sz="4" w:space="0" w:color="auto"/>
            </w:tcBorders>
            <w:shd w:val="clear" w:color="auto" w:fill="F2F2F2" w:themeFill="background1" w:themeFillShade="F2"/>
          </w:tcPr>
          <w:p w:rsidR="0025490C" w:rsidRPr="00E07B1B" w:rsidRDefault="0025490C" w:rsidP="00461E35">
            <w:pPr>
              <w:pStyle w:val="TableText"/>
            </w:pPr>
            <w:r w:rsidRPr="00E07B1B">
              <w:t>Reyes-Munoz</w:t>
            </w:r>
            <w:r w:rsidR="00461E35">
              <w:br/>
            </w:r>
            <w:r w:rsidRPr="00E07B1B">
              <w:t>(2012</w:t>
            </w:r>
            <w:r>
              <w:t>b</w:t>
            </w:r>
            <w:r w:rsidRPr="00E07B1B">
              <w:t>)</w:t>
            </w:r>
          </w:p>
        </w:tc>
        <w:tc>
          <w:tcPr>
            <w:tcW w:w="582" w:type="pct"/>
            <w:tcBorders>
              <w:top w:val="nil"/>
              <w:bottom w:val="single" w:sz="4" w:space="0" w:color="auto"/>
            </w:tcBorders>
            <w:shd w:val="clear" w:color="auto" w:fill="F2F2F2" w:themeFill="background1" w:themeFillShade="F2"/>
          </w:tcPr>
          <w:p w:rsidR="0025490C" w:rsidRPr="00E07B1B" w:rsidRDefault="0025490C" w:rsidP="00461E35">
            <w:pPr>
              <w:pStyle w:val="TableText"/>
            </w:pPr>
            <w:r w:rsidRPr="00E07B1B">
              <w:t>Mexico</w:t>
            </w:r>
            <w:r w:rsidR="00461E35">
              <w:br/>
            </w:r>
            <w:r w:rsidRPr="00E07B1B">
              <w:t>104</w:t>
            </w:r>
          </w:p>
        </w:tc>
        <w:tc>
          <w:tcPr>
            <w:tcW w:w="583" w:type="pct"/>
            <w:tcBorders>
              <w:top w:val="nil"/>
              <w:bottom w:val="single" w:sz="4" w:space="0" w:color="auto"/>
            </w:tcBorders>
            <w:shd w:val="clear" w:color="auto" w:fill="F2F2F2" w:themeFill="background1" w:themeFillShade="F2"/>
          </w:tcPr>
          <w:p w:rsidR="0025490C" w:rsidRPr="00E07B1B" w:rsidRDefault="0025490C" w:rsidP="00461E35">
            <w:pPr>
              <w:pStyle w:val="TableText"/>
              <w:ind w:right="142"/>
            </w:pPr>
            <w:r w:rsidRPr="00E07B1B">
              <w:t>Historical cohort</w:t>
            </w:r>
          </w:p>
        </w:tc>
        <w:tc>
          <w:tcPr>
            <w:tcW w:w="1505" w:type="pct"/>
            <w:tcBorders>
              <w:top w:val="nil"/>
              <w:bottom w:val="single" w:sz="4" w:space="0" w:color="auto"/>
            </w:tcBorders>
            <w:shd w:val="clear" w:color="auto" w:fill="F2F2F2" w:themeFill="background1" w:themeFillShade="F2"/>
          </w:tcPr>
          <w:p w:rsidR="0025490C" w:rsidRDefault="0025490C" w:rsidP="00461E35">
            <w:pPr>
              <w:pStyle w:val="TableText"/>
              <w:ind w:right="142"/>
            </w:pPr>
            <w:r w:rsidRPr="00E07B1B">
              <w:t>50</w:t>
            </w:r>
            <w:r>
              <w:t xml:space="preserve"> </w:t>
            </w:r>
            <w:r w:rsidRPr="00E07B1B">
              <w:t>g load of glucose</w:t>
            </w:r>
          </w:p>
          <w:p w:rsidR="0025490C" w:rsidRDefault="0025490C" w:rsidP="00461E35">
            <w:pPr>
              <w:pStyle w:val="TableText"/>
              <w:spacing w:after="30"/>
              <w:ind w:right="142"/>
            </w:pPr>
            <w:r w:rsidRPr="00E07B1B">
              <w:t>Diagnosis based on a 3</w:t>
            </w:r>
            <w:r>
              <w:t>-</w:t>
            </w:r>
            <w:r w:rsidRPr="00E07B1B">
              <w:t>hour, 100</w:t>
            </w:r>
            <w:r>
              <w:t> </w:t>
            </w:r>
            <w:r w:rsidRPr="00E07B1B">
              <w:t>g oral glucose tolerance test performed during the second trimester using ADA criteria:</w:t>
            </w:r>
          </w:p>
          <w:p w:rsidR="0025490C" w:rsidRDefault="0025490C" w:rsidP="00461E35">
            <w:pPr>
              <w:pStyle w:val="TableBullet"/>
              <w:spacing w:after="30"/>
              <w:ind w:left="284"/>
            </w:pPr>
            <w:r w:rsidRPr="00E07B1B">
              <w:t>fasting ≥</w:t>
            </w:r>
            <w:r>
              <w:t xml:space="preserve"> </w:t>
            </w:r>
            <w:r w:rsidRPr="00E07B1B">
              <w:t>95</w:t>
            </w:r>
            <w:r>
              <w:t xml:space="preserve"> </w:t>
            </w:r>
            <w:r w:rsidRPr="00E07B1B">
              <w:t>mg</w:t>
            </w:r>
            <w:r>
              <w:t>/dL</w:t>
            </w:r>
          </w:p>
          <w:p w:rsidR="0025490C" w:rsidRDefault="0025490C" w:rsidP="00461E35">
            <w:pPr>
              <w:pStyle w:val="TableBullet"/>
              <w:spacing w:after="30"/>
              <w:ind w:left="284"/>
            </w:pPr>
            <w:r w:rsidRPr="00E07B1B">
              <w:t>1</w:t>
            </w:r>
            <w:r>
              <w:t>-hour</w:t>
            </w:r>
            <w:r w:rsidRPr="00E07B1B">
              <w:t xml:space="preserve"> ≥ 180</w:t>
            </w:r>
            <w:r>
              <w:t xml:space="preserve"> </w:t>
            </w:r>
            <w:r w:rsidRPr="00E07B1B">
              <w:t>mg</w:t>
            </w:r>
            <w:r>
              <w:t>/dL</w:t>
            </w:r>
          </w:p>
          <w:p w:rsidR="0068074A" w:rsidRDefault="0025490C" w:rsidP="00461E35">
            <w:pPr>
              <w:pStyle w:val="TableBullet"/>
              <w:spacing w:after="30"/>
              <w:ind w:left="284"/>
            </w:pPr>
            <w:r w:rsidRPr="00E07B1B">
              <w:t>2</w:t>
            </w:r>
            <w:r>
              <w:t>-</w:t>
            </w:r>
            <w:r w:rsidRPr="00E07B1B">
              <w:t>hour ≥</w:t>
            </w:r>
            <w:r>
              <w:t xml:space="preserve"> </w:t>
            </w:r>
            <w:r w:rsidRPr="00E07B1B">
              <w:t>155</w:t>
            </w:r>
            <w:r>
              <w:t xml:space="preserve"> </w:t>
            </w:r>
            <w:r w:rsidRPr="00E07B1B">
              <w:t>mg</w:t>
            </w:r>
            <w:r>
              <w:t>/dL</w:t>
            </w:r>
          </w:p>
          <w:p w:rsidR="0068074A" w:rsidRDefault="0025490C" w:rsidP="00461E35">
            <w:pPr>
              <w:pStyle w:val="TableBullet"/>
              <w:ind w:left="284"/>
            </w:pPr>
            <w:r w:rsidRPr="00E07B1B">
              <w:t>3</w:t>
            </w:r>
            <w:r>
              <w:t>-</w:t>
            </w:r>
            <w:r w:rsidRPr="00E07B1B">
              <w:t>hour ≥</w:t>
            </w:r>
            <w:r>
              <w:t xml:space="preserve"> </w:t>
            </w:r>
            <w:r w:rsidRPr="00E07B1B">
              <w:t>140</w:t>
            </w:r>
            <w:r>
              <w:t xml:space="preserve"> </w:t>
            </w:r>
            <w:r w:rsidRPr="00E07B1B">
              <w:t>mg</w:t>
            </w:r>
            <w:r>
              <w:t>/dL</w:t>
            </w:r>
            <w:r w:rsidRPr="00E07B1B">
              <w:t>.</w:t>
            </w:r>
          </w:p>
          <w:p w:rsidR="0025490C" w:rsidRPr="00E07B1B" w:rsidRDefault="0025490C" w:rsidP="00461E35">
            <w:pPr>
              <w:pStyle w:val="TableText"/>
              <w:ind w:right="142"/>
            </w:pPr>
            <w:r w:rsidRPr="00E07B1B">
              <w:t>Women with one impaired value were classified as having impaired glucose tolerance.</w:t>
            </w:r>
          </w:p>
        </w:tc>
        <w:tc>
          <w:tcPr>
            <w:tcW w:w="1457" w:type="pct"/>
            <w:tcBorders>
              <w:top w:val="nil"/>
              <w:bottom w:val="single" w:sz="4" w:space="0" w:color="auto"/>
            </w:tcBorders>
            <w:shd w:val="clear" w:color="auto" w:fill="F2F2F2" w:themeFill="background1" w:themeFillShade="F2"/>
          </w:tcPr>
          <w:p w:rsidR="0025490C" w:rsidRPr="00E07B1B" w:rsidRDefault="0025490C" w:rsidP="007B5EEF">
            <w:pPr>
              <w:pStyle w:val="TableText"/>
            </w:pPr>
            <w:r w:rsidRPr="00E07B1B">
              <w:t xml:space="preserve">The relative risk of developing GDM in women with a history of infertility and PCOS compared with those with no such history was 26.9% </w:t>
            </w:r>
            <w:r>
              <w:t>and</w:t>
            </w:r>
            <w:r w:rsidRPr="00E07B1B">
              <w:t xml:space="preserve"> 9.6% </w:t>
            </w:r>
            <w:r>
              <w:t xml:space="preserve">respectively </w:t>
            </w:r>
            <w:r w:rsidRPr="00E07B1B">
              <w:t>(RR 2.8, 95%CI 1.08</w:t>
            </w:r>
            <w:r>
              <w:t>–</w:t>
            </w:r>
            <w:r w:rsidRPr="00E07B1B">
              <w:t xml:space="preserve">7.2, </w:t>
            </w:r>
            <w:r w:rsidRPr="00447573">
              <w:rPr>
                <w:i/>
              </w:rPr>
              <w:t>p</w:t>
            </w:r>
            <w:r>
              <w:t> </w:t>
            </w:r>
            <w:r w:rsidRPr="00E07B1B">
              <w:t>=</w:t>
            </w:r>
            <w:r>
              <w:t> </w:t>
            </w:r>
            <w:r w:rsidRPr="00E07B1B">
              <w:t>0.02</w:t>
            </w:r>
            <w:r>
              <w:t>).</w:t>
            </w:r>
          </w:p>
        </w:tc>
        <w:tc>
          <w:tcPr>
            <w:tcW w:w="436" w:type="pct"/>
            <w:tcBorders>
              <w:top w:val="nil"/>
              <w:bottom w:val="single" w:sz="4" w:space="0" w:color="auto"/>
            </w:tcBorders>
            <w:shd w:val="clear" w:color="auto" w:fill="F2F2F2" w:themeFill="background1" w:themeFillShade="F2"/>
          </w:tcPr>
          <w:p w:rsidR="0025490C" w:rsidRPr="00E07B1B" w:rsidRDefault="0025490C" w:rsidP="00461E35">
            <w:pPr>
              <w:pStyle w:val="TableText"/>
              <w:jc w:val="center"/>
            </w:pPr>
            <w:r w:rsidRPr="00E07B1B">
              <w:t>LOW</w:t>
            </w:r>
          </w:p>
        </w:tc>
      </w:tr>
    </w:tbl>
    <w:p w:rsidR="0025490C" w:rsidRDefault="0025490C" w:rsidP="0080418E">
      <w:pPr>
        <w:pStyle w:val="Note"/>
        <w:ind w:left="0" w:firstLine="0"/>
      </w:pPr>
      <w:r>
        <w:t xml:space="preserve">Note: </w:t>
      </w:r>
      <w:r w:rsidRPr="00E07B1B">
        <w:t xml:space="preserve">ADA </w:t>
      </w:r>
      <w:r>
        <w:t>=</w:t>
      </w:r>
      <w:r w:rsidRPr="00E07B1B">
        <w:t xml:space="preserve"> American Diabetes Association; </w:t>
      </w:r>
      <w:r>
        <w:t xml:space="preserve">CI = confidence interval; </w:t>
      </w:r>
      <w:r w:rsidRPr="00E07B1B">
        <w:t>GDM</w:t>
      </w:r>
      <w:r>
        <w:t>=</w:t>
      </w:r>
      <w:r w:rsidRPr="00E07B1B">
        <w:t xml:space="preserve"> </w:t>
      </w:r>
      <w:r>
        <w:t>g</w:t>
      </w:r>
      <w:r w:rsidRPr="00E07B1B">
        <w:t>estational diabetes mellitus; OGTT</w:t>
      </w:r>
      <w:r>
        <w:t>= o</w:t>
      </w:r>
      <w:r w:rsidRPr="00E07B1B">
        <w:t xml:space="preserve">ral </w:t>
      </w:r>
      <w:r>
        <w:t>g</w:t>
      </w:r>
      <w:r w:rsidRPr="00E07B1B">
        <w:t xml:space="preserve">lucose </w:t>
      </w:r>
      <w:r>
        <w:t>t</w:t>
      </w:r>
      <w:r w:rsidRPr="00E07B1B">
        <w:t xml:space="preserve">olerance </w:t>
      </w:r>
      <w:r>
        <w:t>t</w:t>
      </w:r>
      <w:r w:rsidRPr="00E07B1B">
        <w:t>est</w:t>
      </w:r>
      <w:r>
        <w:t>; OR = odds ratio</w:t>
      </w:r>
      <w:r w:rsidRPr="00E07B1B">
        <w:t>; PCOS</w:t>
      </w:r>
      <w:r>
        <w:t xml:space="preserve"> = </w:t>
      </w:r>
      <w:r w:rsidRPr="00E07B1B">
        <w:t>polycystic ovary syndrome</w:t>
      </w:r>
      <w:r>
        <w:t>; RR = risk ratio</w:t>
      </w:r>
      <w:r w:rsidR="0080418E">
        <w:t>.</w:t>
      </w:r>
    </w:p>
    <w:p w:rsidR="0080418E" w:rsidRPr="0080418E" w:rsidRDefault="0080418E" w:rsidP="0080418E"/>
    <w:p w:rsidR="0025490C" w:rsidRPr="00E07B1B" w:rsidRDefault="0025490C" w:rsidP="0080418E">
      <w:pPr>
        <w:pStyle w:val="Table"/>
      </w:pPr>
      <w:bookmarkStart w:id="472" w:name="_Toc363717789"/>
      <w:bookmarkStart w:id="473" w:name="_Toc403635896"/>
      <w:r w:rsidRPr="00E07B1B">
        <w:t>Table 15</w:t>
      </w:r>
      <w:r w:rsidR="0080418E">
        <w:t>:</w:t>
      </w:r>
      <w:r w:rsidRPr="00E07B1B">
        <w:t xml:space="preserve"> Recommendations and statements on early screening for diabetes in pregnancy</w:t>
      </w:r>
      <w:bookmarkEnd w:id="472"/>
      <w:bookmarkEnd w:id="473"/>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3369"/>
        <w:gridCol w:w="8397"/>
        <w:gridCol w:w="141"/>
        <w:gridCol w:w="2694"/>
      </w:tblGrid>
      <w:tr w:rsidR="0025490C" w:rsidRPr="007B5EEF" w:rsidTr="006627F7">
        <w:trPr>
          <w:cantSplit/>
          <w:tblHeader/>
        </w:trPr>
        <w:tc>
          <w:tcPr>
            <w:tcW w:w="3369" w:type="dxa"/>
            <w:tcBorders>
              <w:top w:val="single" w:sz="4" w:space="0" w:color="auto"/>
              <w:bottom w:val="single" w:sz="4" w:space="0" w:color="auto"/>
            </w:tcBorders>
            <w:shd w:val="clear" w:color="auto" w:fill="auto"/>
          </w:tcPr>
          <w:p w:rsidR="0025490C" w:rsidRPr="007B5EEF" w:rsidRDefault="0025490C" w:rsidP="007B5EEF">
            <w:pPr>
              <w:pStyle w:val="TableText"/>
              <w:rPr>
                <w:b/>
              </w:rPr>
            </w:pPr>
            <w:r w:rsidRPr="007B5EEF">
              <w:rPr>
                <w:b/>
              </w:rPr>
              <w:t>Reference</w:t>
            </w:r>
          </w:p>
        </w:tc>
        <w:tc>
          <w:tcPr>
            <w:tcW w:w="8538" w:type="dxa"/>
            <w:gridSpan w:val="2"/>
            <w:tcBorders>
              <w:top w:val="single" w:sz="4" w:space="0" w:color="auto"/>
              <w:bottom w:val="single" w:sz="4" w:space="0" w:color="auto"/>
            </w:tcBorders>
            <w:shd w:val="clear" w:color="auto" w:fill="auto"/>
          </w:tcPr>
          <w:p w:rsidR="0025490C" w:rsidRPr="007B5EEF" w:rsidRDefault="0025490C" w:rsidP="006627F7">
            <w:pPr>
              <w:pStyle w:val="TableText"/>
              <w:ind w:right="142"/>
              <w:rPr>
                <w:b/>
              </w:rPr>
            </w:pPr>
            <w:r w:rsidRPr="007B5EEF">
              <w:rPr>
                <w:b/>
              </w:rPr>
              <w:t>Statement/recommendation</w:t>
            </w:r>
          </w:p>
        </w:tc>
        <w:tc>
          <w:tcPr>
            <w:tcW w:w="2694" w:type="dxa"/>
            <w:tcBorders>
              <w:top w:val="single" w:sz="4" w:space="0" w:color="auto"/>
              <w:bottom w:val="single" w:sz="4" w:space="0" w:color="auto"/>
            </w:tcBorders>
            <w:shd w:val="clear" w:color="auto" w:fill="auto"/>
          </w:tcPr>
          <w:p w:rsidR="0025490C" w:rsidRPr="007B5EEF" w:rsidRDefault="0025490C" w:rsidP="007B5EEF">
            <w:pPr>
              <w:pStyle w:val="TableText"/>
              <w:rPr>
                <w:b/>
              </w:rPr>
            </w:pPr>
            <w:r w:rsidRPr="007B5EEF">
              <w:rPr>
                <w:b/>
              </w:rPr>
              <w:t>Other comment</w:t>
            </w:r>
          </w:p>
        </w:tc>
      </w:tr>
      <w:tr w:rsidR="0025490C" w:rsidRPr="00E07B1B" w:rsidTr="006627F7">
        <w:trPr>
          <w:cantSplit/>
        </w:trPr>
        <w:tc>
          <w:tcPr>
            <w:tcW w:w="14601" w:type="dxa"/>
            <w:gridSpan w:val="4"/>
            <w:tcBorders>
              <w:top w:val="single" w:sz="4" w:space="0" w:color="auto"/>
              <w:bottom w:val="nil"/>
            </w:tcBorders>
            <w:shd w:val="clear" w:color="auto" w:fill="F2F2F2" w:themeFill="background1" w:themeFillShade="F2"/>
          </w:tcPr>
          <w:p w:rsidR="0025490C" w:rsidRPr="00E07B1B" w:rsidRDefault="0025490C" w:rsidP="007B5EEF">
            <w:pPr>
              <w:pStyle w:val="TableText"/>
            </w:pPr>
            <w:r w:rsidRPr="00E07B1B">
              <w:t>International documents and reports</w:t>
            </w:r>
          </w:p>
        </w:tc>
      </w:tr>
      <w:tr w:rsidR="0025490C" w:rsidRPr="00E07B1B" w:rsidTr="00230694">
        <w:trPr>
          <w:cantSplit/>
        </w:trPr>
        <w:tc>
          <w:tcPr>
            <w:tcW w:w="3369" w:type="dxa"/>
            <w:tcBorders>
              <w:top w:val="nil"/>
              <w:bottom w:val="nil"/>
            </w:tcBorders>
            <w:shd w:val="clear" w:color="auto" w:fill="auto"/>
          </w:tcPr>
          <w:p w:rsidR="0025490C" w:rsidRPr="00E07B1B" w:rsidRDefault="0025490C" w:rsidP="006627F7">
            <w:pPr>
              <w:pStyle w:val="TableText"/>
            </w:pPr>
            <w:r w:rsidRPr="00E07B1B">
              <w:t>American Diabetes Association</w:t>
            </w:r>
            <w:r w:rsidR="006627F7">
              <w:br/>
            </w:r>
            <w:r>
              <w:t>(</w:t>
            </w:r>
            <w:r w:rsidRPr="00E07B1B">
              <w:t>2013</w:t>
            </w:r>
            <w:r>
              <w:t>)</w:t>
            </w:r>
          </w:p>
        </w:tc>
        <w:tc>
          <w:tcPr>
            <w:tcW w:w="8397" w:type="dxa"/>
            <w:tcBorders>
              <w:top w:val="nil"/>
              <w:bottom w:val="nil"/>
            </w:tcBorders>
            <w:shd w:val="clear" w:color="auto" w:fill="auto"/>
          </w:tcPr>
          <w:p w:rsidR="0025490C" w:rsidRDefault="0025490C" w:rsidP="006627F7">
            <w:pPr>
              <w:pStyle w:val="TableText"/>
              <w:ind w:right="142"/>
            </w:pPr>
            <w:r w:rsidRPr="00E07B1B">
              <w:t xml:space="preserve">Screen for undiagnosed type 2 diabetes at the first prenatal visit in those with </w:t>
            </w:r>
            <w:r>
              <w:t>risk factors</w:t>
            </w:r>
            <w:r w:rsidRPr="00E07B1B">
              <w:t>, using standard diagnostic criteria (grade B)</w:t>
            </w:r>
            <w:r>
              <w:t>.</w:t>
            </w:r>
          </w:p>
          <w:p w:rsidR="0025490C" w:rsidRPr="00E07B1B" w:rsidRDefault="0025490C" w:rsidP="006627F7">
            <w:pPr>
              <w:pStyle w:val="TableText"/>
              <w:ind w:right="142"/>
            </w:pPr>
            <w:r w:rsidRPr="00E07B1B">
              <w:t>The diagnostic criteria include</w:t>
            </w:r>
            <w:r>
              <w:t xml:space="preserve"> any one of the following</w:t>
            </w:r>
            <w:r w:rsidRPr="00E07B1B">
              <w:t>:</w:t>
            </w:r>
          </w:p>
          <w:p w:rsidR="0025490C" w:rsidRPr="00E07B1B" w:rsidRDefault="0025490C" w:rsidP="006627F7">
            <w:pPr>
              <w:pStyle w:val="TableBullet"/>
              <w:ind w:left="284" w:right="142"/>
            </w:pPr>
            <w:r w:rsidRPr="000C632A">
              <w:t>HbA</w:t>
            </w:r>
            <w:r>
              <w:t>1</w:t>
            </w:r>
            <w:r w:rsidRPr="000C632A">
              <w:t>c ≥ 48 mmol/mol (measured in a lab using a certified method and standardised assay</w:t>
            </w:r>
            <w:r>
              <w:t>)</w:t>
            </w:r>
          </w:p>
          <w:p w:rsidR="0025490C" w:rsidRPr="00E07B1B" w:rsidRDefault="0025490C" w:rsidP="006627F7">
            <w:pPr>
              <w:pStyle w:val="TableBullet"/>
              <w:ind w:left="284" w:right="142"/>
            </w:pPr>
            <w:r>
              <w:t>fasting plasma glucose</w:t>
            </w:r>
            <w:r w:rsidRPr="00E07B1B">
              <w:t xml:space="preserve"> ≥ 7 mmol/L; OR</w:t>
            </w:r>
          </w:p>
          <w:p w:rsidR="0068074A" w:rsidRDefault="0025490C" w:rsidP="006627F7">
            <w:pPr>
              <w:pStyle w:val="TableBullet"/>
              <w:ind w:left="284" w:right="142"/>
            </w:pPr>
            <w:r w:rsidRPr="00E07B1B">
              <w:t>2-h</w:t>
            </w:r>
            <w:r>
              <w:t>our</w:t>
            </w:r>
            <w:r w:rsidRPr="00E07B1B">
              <w:t xml:space="preserve"> plasma glucose ≥ 11.1 mmol/L during an oral glucose tolerance test; OR</w:t>
            </w:r>
          </w:p>
          <w:p w:rsidR="0025490C" w:rsidRPr="00E07B1B" w:rsidRDefault="0025490C" w:rsidP="006627F7">
            <w:pPr>
              <w:pStyle w:val="TableBullet"/>
              <w:ind w:left="284" w:right="142"/>
            </w:pPr>
            <w:r>
              <w:t>r</w:t>
            </w:r>
            <w:r w:rsidRPr="00E07B1B">
              <w:t>andom plasma glucose ≥ 11.1 mmol/L (in patient with symptoms of hyperglycaemia)</w:t>
            </w:r>
            <w:r>
              <w:t>.</w:t>
            </w:r>
          </w:p>
        </w:tc>
        <w:tc>
          <w:tcPr>
            <w:tcW w:w="2835" w:type="dxa"/>
            <w:gridSpan w:val="2"/>
            <w:tcBorders>
              <w:top w:val="nil"/>
              <w:bottom w:val="nil"/>
            </w:tcBorders>
            <w:shd w:val="clear" w:color="auto" w:fill="auto"/>
          </w:tcPr>
          <w:p w:rsidR="0025490C" w:rsidRPr="00E07B1B" w:rsidRDefault="0025490C" w:rsidP="007B5EEF">
            <w:pPr>
              <w:pStyle w:val="TableText"/>
            </w:pPr>
          </w:p>
        </w:tc>
      </w:tr>
      <w:tr w:rsidR="0025490C" w:rsidRPr="00E07B1B" w:rsidTr="00230694">
        <w:trPr>
          <w:cantSplit/>
        </w:trPr>
        <w:tc>
          <w:tcPr>
            <w:tcW w:w="3369" w:type="dxa"/>
            <w:tcBorders>
              <w:top w:val="nil"/>
              <w:bottom w:val="nil"/>
            </w:tcBorders>
            <w:shd w:val="clear" w:color="auto" w:fill="F2F2F2" w:themeFill="background1" w:themeFillShade="F2"/>
          </w:tcPr>
          <w:p w:rsidR="0025490C" w:rsidRPr="00E07B1B" w:rsidRDefault="0025490C" w:rsidP="006627F7">
            <w:pPr>
              <w:pStyle w:val="TableText"/>
            </w:pPr>
            <w:r w:rsidRPr="00E07B1B">
              <w:t>Clinical Practice Guideline</w:t>
            </w:r>
            <w:r>
              <w:t>s</w:t>
            </w:r>
            <w:r w:rsidR="006627F7">
              <w:br/>
            </w:r>
            <w:r>
              <w:t>(</w:t>
            </w:r>
            <w:r w:rsidRPr="00E07B1B">
              <w:t>Canadian Diabetes Association 2008</w:t>
            </w:r>
            <w:r>
              <w:t>)</w:t>
            </w:r>
          </w:p>
        </w:tc>
        <w:tc>
          <w:tcPr>
            <w:tcW w:w="8397" w:type="dxa"/>
            <w:tcBorders>
              <w:top w:val="nil"/>
              <w:bottom w:val="nil"/>
            </w:tcBorders>
            <w:shd w:val="clear" w:color="auto" w:fill="F2F2F2" w:themeFill="background1" w:themeFillShade="F2"/>
          </w:tcPr>
          <w:p w:rsidR="0025490C" w:rsidRDefault="0025490C" w:rsidP="006627F7">
            <w:pPr>
              <w:pStyle w:val="TableText"/>
              <w:ind w:right="142"/>
            </w:pPr>
            <w:r w:rsidRPr="00E07B1B">
              <w:t>All pregnant women should be screened for GDM (Grade C, Level 3). For most women, screening should be performed between 24 and 28 weeks</w:t>
            </w:r>
            <w:r w:rsidR="0068074A">
              <w:t>’</w:t>
            </w:r>
            <w:r w:rsidRPr="00E07B1B">
              <w:t xml:space="preserve"> </w:t>
            </w:r>
            <w:r>
              <w:t>gestation (Grade D, Consensus).</w:t>
            </w:r>
          </w:p>
          <w:p w:rsidR="0025490C" w:rsidRPr="00E07B1B" w:rsidRDefault="0025490C" w:rsidP="006627F7">
            <w:pPr>
              <w:pStyle w:val="TableText"/>
              <w:ind w:right="142"/>
            </w:pPr>
            <w:r w:rsidRPr="00E07B1B">
              <w:t xml:space="preserve">Women with multiple </w:t>
            </w:r>
            <w:r>
              <w:t>risk factors</w:t>
            </w:r>
            <w:r w:rsidRPr="00E07B1B">
              <w:t xml:space="preserve"> should be screened during the first trimester and, if negative, should be reassessed during subsequent trimesters (Grade D, Consensus)</w:t>
            </w:r>
            <w:r>
              <w:t>.</w:t>
            </w:r>
          </w:p>
        </w:tc>
        <w:tc>
          <w:tcPr>
            <w:tcW w:w="2835" w:type="dxa"/>
            <w:gridSpan w:val="2"/>
            <w:tcBorders>
              <w:top w:val="nil"/>
              <w:bottom w:val="nil"/>
            </w:tcBorders>
            <w:shd w:val="clear" w:color="auto" w:fill="F2F2F2" w:themeFill="background1" w:themeFillShade="F2"/>
          </w:tcPr>
          <w:p w:rsidR="0025490C" w:rsidRPr="00E07B1B" w:rsidRDefault="0025490C" w:rsidP="007B5EEF">
            <w:pPr>
              <w:pStyle w:val="TableText"/>
            </w:pPr>
          </w:p>
        </w:tc>
      </w:tr>
      <w:tr w:rsidR="0025490C" w:rsidRPr="00E07B1B" w:rsidTr="00230694">
        <w:trPr>
          <w:cantSplit/>
        </w:trPr>
        <w:tc>
          <w:tcPr>
            <w:tcW w:w="3369" w:type="dxa"/>
            <w:tcBorders>
              <w:top w:val="nil"/>
              <w:bottom w:val="nil"/>
            </w:tcBorders>
            <w:shd w:val="clear" w:color="auto" w:fill="auto"/>
          </w:tcPr>
          <w:p w:rsidR="0025490C" w:rsidRPr="00E07B1B" w:rsidRDefault="0025490C" w:rsidP="006627F7">
            <w:pPr>
              <w:pStyle w:val="TableText"/>
            </w:pPr>
            <w:r w:rsidRPr="00E07B1B">
              <w:t xml:space="preserve">Diabetes in </w:t>
            </w:r>
            <w:r>
              <w:t>P</w:t>
            </w:r>
            <w:r w:rsidRPr="00E07B1B">
              <w:t>regnancy</w:t>
            </w:r>
            <w:r w:rsidR="006627F7">
              <w:br/>
            </w:r>
            <w:r>
              <w:t>(NICE 2008)</w:t>
            </w:r>
          </w:p>
        </w:tc>
        <w:tc>
          <w:tcPr>
            <w:tcW w:w="8397" w:type="dxa"/>
            <w:tcBorders>
              <w:top w:val="nil"/>
              <w:bottom w:val="nil"/>
            </w:tcBorders>
            <w:shd w:val="clear" w:color="auto" w:fill="auto"/>
          </w:tcPr>
          <w:p w:rsidR="0025490C" w:rsidRPr="00E07B1B" w:rsidRDefault="0025490C" w:rsidP="006627F7">
            <w:pPr>
              <w:pStyle w:val="TableText"/>
              <w:ind w:right="142"/>
            </w:pPr>
            <w:r w:rsidRPr="00E07B1B">
              <w:t>Women who have had gestational diabetes in a previous pregnancy should be offered early self</w:t>
            </w:r>
            <w:r>
              <w:t>-</w:t>
            </w:r>
            <w:r w:rsidRPr="00E07B1B">
              <w:t>monitoring of blood glucose or</w:t>
            </w:r>
            <w:r>
              <w:t xml:space="preserve"> </w:t>
            </w:r>
            <w:r w:rsidRPr="00E07B1B">
              <w:t>oral glucose tolerance test at 16</w:t>
            </w:r>
            <w:r>
              <w:t>–</w:t>
            </w:r>
            <w:r w:rsidRPr="00E07B1B">
              <w:t>18 weeks and a further oral glucose tolerance test at 28 weeks if the results are normal. Women with any other risk factors should be offered an oral glucose tolerance test at 24</w:t>
            </w:r>
            <w:r>
              <w:t>–</w:t>
            </w:r>
            <w:r w:rsidRPr="00E07B1B">
              <w:t>28 weeks</w:t>
            </w:r>
            <w:r>
              <w:t>.</w:t>
            </w:r>
          </w:p>
        </w:tc>
        <w:tc>
          <w:tcPr>
            <w:tcW w:w="2835" w:type="dxa"/>
            <w:gridSpan w:val="2"/>
            <w:tcBorders>
              <w:top w:val="nil"/>
              <w:bottom w:val="nil"/>
            </w:tcBorders>
            <w:shd w:val="clear" w:color="auto" w:fill="auto"/>
          </w:tcPr>
          <w:p w:rsidR="0025490C" w:rsidRPr="00E07B1B" w:rsidRDefault="0025490C" w:rsidP="007B5EEF">
            <w:pPr>
              <w:pStyle w:val="TableText"/>
            </w:pPr>
            <w:r w:rsidRPr="00E07B1B">
              <w:t>Recommendation ungraded</w:t>
            </w:r>
            <w:r w:rsidR="006627F7">
              <w:t>.</w:t>
            </w:r>
          </w:p>
        </w:tc>
      </w:tr>
      <w:tr w:rsidR="0025490C" w:rsidRPr="00E07B1B" w:rsidTr="00230694">
        <w:trPr>
          <w:cantSplit/>
        </w:trPr>
        <w:tc>
          <w:tcPr>
            <w:tcW w:w="3369" w:type="dxa"/>
            <w:tcBorders>
              <w:top w:val="nil"/>
              <w:bottom w:val="nil"/>
            </w:tcBorders>
            <w:shd w:val="clear" w:color="auto" w:fill="F2F2F2" w:themeFill="background1" w:themeFillShade="F2"/>
          </w:tcPr>
          <w:p w:rsidR="0025490C" w:rsidRPr="00E07B1B" w:rsidRDefault="0025490C" w:rsidP="006627F7">
            <w:pPr>
              <w:pStyle w:val="TableText"/>
            </w:pPr>
            <w:r w:rsidRPr="00E07B1B">
              <w:t xml:space="preserve">Management of </w:t>
            </w:r>
            <w:r>
              <w:t>D</w:t>
            </w:r>
            <w:r w:rsidRPr="00E07B1B">
              <w:t>iabetes</w:t>
            </w:r>
            <w:r w:rsidR="006627F7">
              <w:br/>
            </w:r>
            <w:r>
              <w:t>(SIGN 2010)</w:t>
            </w:r>
          </w:p>
        </w:tc>
        <w:tc>
          <w:tcPr>
            <w:tcW w:w="8397" w:type="dxa"/>
            <w:tcBorders>
              <w:top w:val="nil"/>
              <w:bottom w:val="nil"/>
            </w:tcBorders>
            <w:shd w:val="clear" w:color="auto" w:fill="F2F2F2" w:themeFill="background1" w:themeFillShade="F2"/>
          </w:tcPr>
          <w:p w:rsidR="0025490C" w:rsidRDefault="0025490C" w:rsidP="006627F7">
            <w:pPr>
              <w:pStyle w:val="TableText"/>
              <w:ind w:right="142"/>
            </w:pPr>
            <w:r w:rsidRPr="00E07B1B">
              <w:t>At booking</w:t>
            </w:r>
            <w:r>
              <w:t>,</w:t>
            </w:r>
            <w:r w:rsidRPr="00E07B1B">
              <w:t xml:space="preserve"> all women should be assessed for the presence of risk factors for gestational diabetes (</w:t>
            </w:r>
            <w:r>
              <w:t>g</w:t>
            </w:r>
            <w:r w:rsidRPr="00E07B1B">
              <w:t xml:space="preserve">ood </w:t>
            </w:r>
            <w:r>
              <w:t>p</w:t>
            </w:r>
            <w:r w:rsidRPr="00E07B1B">
              <w:t xml:space="preserve">ractice </w:t>
            </w:r>
            <w:r>
              <w:t>p</w:t>
            </w:r>
            <w:r w:rsidRPr="00E07B1B">
              <w:t>oint)</w:t>
            </w:r>
            <w:r>
              <w:t>.</w:t>
            </w:r>
          </w:p>
          <w:p w:rsidR="0025490C" w:rsidRPr="00E07B1B" w:rsidRDefault="0025490C" w:rsidP="006627F7">
            <w:pPr>
              <w:pStyle w:val="TableText"/>
              <w:ind w:right="142"/>
            </w:pPr>
            <w:r w:rsidRPr="00E07B1B">
              <w:t>All women with risk factors should have HbA1c or fasting glucose measured</w:t>
            </w:r>
            <w:r>
              <w:t>.</w:t>
            </w:r>
          </w:p>
          <w:p w:rsidR="0025490C" w:rsidRPr="00E07B1B" w:rsidRDefault="0025490C" w:rsidP="006627F7">
            <w:pPr>
              <w:pStyle w:val="TableText"/>
              <w:ind w:right="142"/>
            </w:pPr>
            <w:r w:rsidRPr="00E07B1B">
              <w:t>Women in early pregnancy with levels of HbA1c ≥ 48</w:t>
            </w:r>
            <w:r>
              <w:t xml:space="preserve"> </w:t>
            </w:r>
            <w:r w:rsidRPr="00E07B1B">
              <w:t>mmol/mol, fasting ≥ 7.0 mmol</w:t>
            </w:r>
            <w:r>
              <w:t>/L</w:t>
            </w:r>
            <w:r w:rsidRPr="00E07B1B">
              <w:t xml:space="preserve"> or 2</w:t>
            </w:r>
            <w:r w:rsidR="006627F7">
              <w:noBreakHyphen/>
            </w:r>
            <w:r w:rsidRPr="00E07B1B">
              <w:t>hour ≥ 11.1 mmol</w:t>
            </w:r>
            <w:r>
              <w:t>/L</w:t>
            </w:r>
            <w:r w:rsidRPr="00E07B1B">
              <w:t xml:space="preserve"> glucose diagnostic of diabetes should be treated as having pre-existing diabetes</w:t>
            </w:r>
            <w:r>
              <w:t>.</w:t>
            </w:r>
          </w:p>
          <w:p w:rsidR="0025490C" w:rsidRPr="00E07B1B" w:rsidRDefault="0025490C" w:rsidP="006627F7">
            <w:pPr>
              <w:pStyle w:val="TableText"/>
              <w:ind w:right="142"/>
            </w:pPr>
            <w:r w:rsidRPr="00E07B1B">
              <w:t>Women with intermediate levels of glucose (HbA1c 42</w:t>
            </w:r>
            <w:r>
              <w:t>–</w:t>
            </w:r>
            <w:r w:rsidRPr="00E07B1B">
              <w:t>48 mmol/mol), fasting glucose</w:t>
            </w:r>
            <w:r w:rsidR="00171D88">
              <w:t xml:space="preserve"> </w:t>
            </w:r>
            <w:r w:rsidR="006627F7">
              <w:br/>
            </w:r>
            <w:r w:rsidRPr="00E07B1B">
              <w:t>5.1</w:t>
            </w:r>
            <w:r>
              <w:t>–</w:t>
            </w:r>
            <w:r w:rsidRPr="00E07B1B">
              <w:t>6.9 mmol</w:t>
            </w:r>
            <w:r>
              <w:t>/L</w:t>
            </w:r>
            <w:r w:rsidRPr="00E07B1B">
              <w:t xml:space="preserve"> or 2</w:t>
            </w:r>
            <w:r>
              <w:t>-</w:t>
            </w:r>
            <w:r w:rsidRPr="00E07B1B">
              <w:t>hour glucose 8.6</w:t>
            </w:r>
            <w:r>
              <w:t>–</w:t>
            </w:r>
            <w:r w:rsidRPr="00E07B1B">
              <w:t>11.0 mmol</w:t>
            </w:r>
            <w:r>
              <w:t>/L</w:t>
            </w:r>
            <w:r w:rsidRPr="00E07B1B">
              <w:t xml:space="preserve"> should be assessed to determine the need for immediate home glucose monitoring and, if the diagnosis remains unclear, assessed for gestational diabetes by 75 g oral glucose tolerance test at 24</w:t>
            </w:r>
            <w:r>
              <w:t>–</w:t>
            </w:r>
            <w:r w:rsidRPr="00E07B1B">
              <w:t>28 weeks (</w:t>
            </w:r>
            <w:r w:rsidR="006627F7">
              <w:t>g</w:t>
            </w:r>
            <w:r w:rsidRPr="00E07B1B">
              <w:t xml:space="preserve">ood </w:t>
            </w:r>
            <w:r>
              <w:t>p</w:t>
            </w:r>
            <w:r w:rsidRPr="00E07B1B">
              <w:t xml:space="preserve">ractice </w:t>
            </w:r>
            <w:r>
              <w:t>p</w:t>
            </w:r>
            <w:r w:rsidRPr="00E07B1B">
              <w:t>oint)</w:t>
            </w:r>
            <w:r w:rsidR="006627F7">
              <w:t>.</w:t>
            </w:r>
          </w:p>
        </w:tc>
        <w:tc>
          <w:tcPr>
            <w:tcW w:w="2835" w:type="dxa"/>
            <w:gridSpan w:val="2"/>
            <w:tcBorders>
              <w:top w:val="nil"/>
              <w:bottom w:val="nil"/>
            </w:tcBorders>
            <w:shd w:val="clear" w:color="auto" w:fill="F2F2F2" w:themeFill="background1" w:themeFillShade="F2"/>
          </w:tcPr>
          <w:p w:rsidR="0025490C" w:rsidRPr="00E07B1B" w:rsidRDefault="0025490C" w:rsidP="006627F7">
            <w:pPr>
              <w:pStyle w:val="TableText"/>
            </w:pPr>
            <w:r w:rsidRPr="00E07B1B">
              <w:t xml:space="preserve">The SIGN group based </w:t>
            </w:r>
            <w:r>
              <w:t>its</w:t>
            </w:r>
            <w:r w:rsidRPr="00E07B1B">
              <w:t xml:space="preserve"> recommendation on the IADPSG consensus document </w:t>
            </w:r>
            <w:r>
              <w:t xml:space="preserve">(IADPSG </w:t>
            </w:r>
            <w:r w:rsidRPr="00E07B1B">
              <w:t>2010</w:t>
            </w:r>
            <w:r>
              <w:t>)</w:t>
            </w:r>
            <w:r w:rsidRPr="00E07B1B">
              <w:t>.</w:t>
            </w:r>
          </w:p>
        </w:tc>
      </w:tr>
      <w:tr w:rsidR="0025490C" w:rsidRPr="00E07B1B" w:rsidTr="00230694">
        <w:trPr>
          <w:cantSplit/>
        </w:trPr>
        <w:tc>
          <w:tcPr>
            <w:tcW w:w="3369" w:type="dxa"/>
            <w:tcBorders>
              <w:top w:val="nil"/>
              <w:bottom w:val="nil"/>
            </w:tcBorders>
            <w:shd w:val="clear" w:color="auto" w:fill="auto"/>
          </w:tcPr>
          <w:p w:rsidR="0025490C" w:rsidRPr="00E07B1B" w:rsidRDefault="0025490C" w:rsidP="006627F7">
            <w:pPr>
              <w:pStyle w:val="TableText"/>
              <w:keepNext/>
            </w:pPr>
            <w:r w:rsidRPr="00E07B1B">
              <w:t xml:space="preserve">Wisconsin Diabetes Mellitus Essential Care Guidelines </w:t>
            </w:r>
            <w:r>
              <w:t xml:space="preserve">(Wisconsin Department of Health Services </w:t>
            </w:r>
            <w:r w:rsidRPr="00E07B1B">
              <w:t>2012</w:t>
            </w:r>
            <w:r>
              <w:t>)</w:t>
            </w:r>
          </w:p>
        </w:tc>
        <w:tc>
          <w:tcPr>
            <w:tcW w:w="8397" w:type="dxa"/>
            <w:tcBorders>
              <w:top w:val="nil"/>
              <w:bottom w:val="nil"/>
            </w:tcBorders>
            <w:shd w:val="clear" w:color="auto" w:fill="auto"/>
          </w:tcPr>
          <w:p w:rsidR="0025490C" w:rsidRPr="00E07B1B" w:rsidRDefault="0025490C" w:rsidP="00466D32">
            <w:pPr>
              <w:pStyle w:val="TableText"/>
              <w:keepNext/>
              <w:ind w:right="142"/>
            </w:pPr>
            <w:r w:rsidRPr="00E07B1B">
              <w:t>Same recommendations as American Diabetes Association</w:t>
            </w:r>
            <w:r>
              <w:t>.</w:t>
            </w:r>
          </w:p>
        </w:tc>
        <w:tc>
          <w:tcPr>
            <w:tcW w:w="2835" w:type="dxa"/>
            <w:gridSpan w:val="2"/>
            <w:tcBorders>
              <w:top w:val="nil"/>
              <w:bottom w:val="nil"/>
            </w:tcBorders>
            <w:shd w:val="clear" w:color="auto" w:fill="auto"/>
          </w:tcPr>
          <w:p w:rsidR="0025490C" w:rsidRPr="00E07B1B" w:rsidRDefault="0025490C" w:rsidP="006627F7">
            <w:pPr>
              <w:pStyle w:val="TableText"/>
              <w:keepNext/>
            </w:pPr>
          </w:p>
        </w:tc>
      </w:tr>
      <w:tr w:rsidR="0025490C" w:rsidRPr="00E07B1B" w:rsidTr="00230694">
        <w:trPr>
          <w:cantSplit/>
        </w:trPr>
        <w:tc>
          <w:tcPr>
            <w:tcW w:w="3369" w:type="dxa"/>
            <w:tcBorders>
              <w:top w:val="nil"/>
              <w:bottom w:val="nil"/>
            </w:tcBorders>
            <w:shd w:val="clear" w:color="auto" w:fill="F2F2F2" w:themeFill="background1" w:themeFillShade="F2"/>
          </w:tcPr>
          <w:p w:rsidR="0025490C" w:rsidRPr="00E07B1B" w:rsidRDefault="0025490C" w:rsidP="00466D32">
            <w:pPr>
              <w:pStyle w:val="TableText"/>
            </w:pPr>
            <w:r w:rsidRPr="00E07B1B">
              <w:t>Brazilian Consensus Statement: Dysglycemias in pregnancy</w:t>
            </w:r>
            <w:r w:rsidR="00466D32">
              <w:br/>
            </w:r>
            <w:r w:rsidRPr="00E07B1B">
              <w:t>(Negrato 2010)</w:t>
            </w:r>
          </w:p>
        </w:tc>
        <w:tc>
          <w:tcPr>
            <w:tcW w:w="8397" w:type="dxa"/>
            <w:tcBorders>
              <w:top w:val="nil"/>
              <w:bottom w:val="nil"/>
            </w:tcBorders>
            <w:shd w:val="clear" w:color="auto" w:fill="F2F2F2" w:themeFill="background1" w:themeFillShade="F2"/>
          </w:tcPr>
          <w:p w:rsidR="0025490C" w:rsidRPr="00E07B1B" w:rsidRDefault="0025490C" w:rsidP="00466D32">
            <w:pPr>
              <w:pStyle w:val="TableText"/>
              <w:ind w:right="142"/>
            </w:pPr>
            <w:r w:rsidRPr="00E07B1B">
              <w:t>In order to simplify the diagnosis of GDM, a fasting glycaemia must be performed in the first antenatal visit. If glycaemic level is ≥</w:t>
            </w:r>
            <w:r>
              <w:t xml:space="preserve"> </w:t>
            </w:r>
            <w:r w:rsidRPr="00E07B1B">
              <w:t>85</w:t>
            </w:r>
            <w:r>
              <w:t> </w:t>
            </w:r>
            <w:r w:rsidRPr="00E07B1B">
              <w:t>mg</w:t>
            </w:r>
            <w:r>
              <w:t>/dL</w:t>
            </w:r>
            <w:r w:rsidRPr="00E07B1B">
              <w:t xml:space="preserve"> and the patient shows risk factors for GDM, a 75</w:t>
            </w:r>
            <w:r w:rsidR="00466D32">
              <w:t> </w:t>
            </w:r>
            <w:r w:rsidRPr="00E07B1B">
              <w:t xml:space="preserve">g oral glucose tolerance test must be performed. If the test is normal, it must then be repeated between </w:t>
            </w:r>
            <w:r w:rsidRPr="00FC6663">
              <w:t>24</w:t>
            </w:r>
            <w:r w:rsidRPr="006B3928">
              <w:t>th</w:t>
            </w:r>
            <w:r w:rsidRPr="00FC6663">
              <w:t xml:space="preserve"> and 28</w:t>
            </w:r>
            <w:r w:rsidRPr="006B3928">
              <w:t>th</w:t>
            </w:r>
            <w:r w:rsidRPr="00E07B1B">
              <w:t xml:space="preserve"> gestation week (Grade A)</w:t>
            </w:r>
            <w:r>
              <w:t>.</w:t>
            </w:r>
          </w:p>
        </w:tc>
        <w:tc>
          <w:tcPr>
            <w:tcW w:w="2835" w:type="dxa"/>
            <w:gridSpan w:val="2"/>
            <w:tcBorders>
              <w:top w:val="nil"/>
              <w:bottom w:val="nil"/>
            </w:tcBorders>
            <w:shd w:val="clear" w:color="auto" w:fill="F2F2F2" w:themeFill="background1" w:themeFillShade="F2"/>
          </w:tcPr>
          <w:p w:rsidR="0025490C" w:rsidRPr="00E07B1B" w:rsidRDefault="0025490C" w:rsidP="007B5EEF">
            <w:pPr>
              <w:pStyle w:val="TableText"/>
            </w:pPr>
          </w:p>
        </w:tc>
      </w:tr>
      <w:tr w:rsidR="0025490C" w:rsidRPr="00E07B1B" w:rsidTr="00230694">
        <w:trPr>
          <w:cantSplit/>
        </w:trPr>
        <w:tc>
          <w:tcPr>
            <w:tcW w:w="3369" w:type="dxa"/>
            <w:tcBorders>
              <w:top w:val="nil"/>
              <w:bottom w:val="nil"/>
            </w:tcBorders>
            <w:shd w:val="clear" w:color="auto" w:fill="auto"/>
          </w:tcPr>
          <w:p w:rsidR="0025490C" w:rsidRPr="00E07B1B" w:rsidRDefault="0025490C" w:rsidP="00466D32">
            <w:pPr>
              <w:pStyle w:val="TableText"/>
            </w:pPr>
            <w:r w:rsidRPr="00E07B1B">
              <w:t xml:space="preserve">International Association of Diabetes and Pregnancy Study Groups </w:t>
            </w:r>
            <w:r>
              <w:t>Recommendations on</w:t>
            </w:r>
            <w:r w:rsidRPr="00E07B1B">
              <w:t xml:space="preserve"> the Diagnosis and Classification of Hyperglycemia in Pregnancy</w:t>
            </w:r>
            <w:r w:rsidR="00466D32">
              <w:br/>
            </w:r>
            <w:r w:rsidRPr="00E07B1B">
              <w:t>(IADPSG 2010</w:t>
            </w:r>
            <w:r>
              <w:t>)</w:t>
            </w:r>
          </w:p>
        </w:tc>
        <w:tc>
          <w:tcPr>
            <w:tcW w:w="8397" w:type="dxa"/>
            <w:tcBorders>
              <w:top w:val="nil"/>
              <w:bottom w:val="nil"/>
            </w:tcBorders>
            <w:shd w:val="clear" w:color="auto" w:fill="auto"/>
          </w:tcPr>
          <w:p w:rsidR="0068074A" w:rsidRDefault="0025490C" w:rsidP="00466D32">
            <w:pPr>
              <w:pStyle w:val="TableText"/>
              <w:spacing w:after="30"/>
              <w:ind w:right="142"/>
            </w:pPr>
            <w:r w:rsidRPr="00E07B1B">
              <w:t>First prenatal visit: Measure fasting plasma glucose, HbA1c or random plasma glucose on all</w:t>
            </w:r>
            <w:r>
              <w:t xml:space="preserve"> women</w:t>
            </w:r>
            <w:r w:rsidRPr="00E07B1B">
              <w:t xml:space="preserve"> or only high</w:t>
            </w:r>
            <w:r>
              <w:t>-</w:t>
            </w:r>
            <w:r w:rsidRPr="00E07B1B">
              <w:t>risk women. The consensus thresholds were:</w:t>
            </w:r>
          </w:p>
          <w:p w:rsidR="0025490C" w:rsidRPr="00E07B1B" w:rsidRDefault="0025490C" w:rsidP="00466D32">
            <w:pPr>
              <w:pStyle w:val="TableBullet"/>
              <w:spacing w:after="30"/>
              <w:ind w:left="284" w:right="142"/>
            </w:pPr>
            <w:r>
              <w:t>f</w:t>
            </w:r>
            <w:r w:rsidRPr="00E07B1B">
              <w:t>asting plasma glucose ≥ 7.0</w:t>
            </w:r>
            <w:r>
              <w:t xml:space="preserve"> </w:t>
            </w:r>
            <w:r w:rsidRPr="00E07B1B">
              <w:t>mmol/L</w:t>
            </w:r>
          </w:p>
          <w:p w:rsidR="0068074A" w:rsidRDefault="0025490C" w:rsidP="00466D32">
            <w:pPr>
              <w:pStyle w:val="TableBullet"/>
              <w:spacing w:after="30"/>
              <w:ind w:left="284" w:right="142"/>
            </w:pPr>
            <w:r w:rsidRPr="00E07B1B">
              <w:t>HbA1c ≥ 48</w:t>
            </w:r>
            <w:r>
              <w:t xml:space="preserve"> </w:t>
            </w:r>
            <w:r w:rsidRPr="00E07B1B">
              <w:t>mmol/mol or</w:t>
            </w:r>
          </w:p>
          <w:p w:rsidR="0025490C" w:rsidRPr="00E07B1B" w:rsidRDefault="0025490C" w:rsidP="00466D32">
            <w:pPr>
              <w:pStyle w:val="TableBullet"/>
              <w:ind w:left="284" w:right="142"/>
            </w:pPr>
            <w:r>
              <w:t>r</w:t>
            </w:r>
            <w:r w:rsidRPr="00E07B1B">
              <w:t>andom plasma glucose ≥ 11.1</w:t>
            </w:r>
            <w:r>
              <w:t xml:space="preserve"> </w:t>
            </w:r>
            <w:r w:rsidRPr="00E07B1B">
              <w:t>mmol/L.</w:t>
            </w:r>
          </w:p>
          <w:p w:rsidR="0025490C" w:rsidRPr="00E07B1B" w:rsidRDefault="0025490C" w:rsidP="00466D32">
            <w:pPr>
              <w:pStyle w:val="TableText"/>
              <w:ind w:right="142"/>
            </w:pPr>
            <w:r w:rsidRPr="00E07B1B">
              <w:t>If results indicate overt diabetes</w:t>
            </w:r>
            <w:r>
              <w:t>, t</w:t>
            </w:r>
            <w:r w:rsidRPr="00E07B1B">
              <w:t>reatment and follow</w:t>
            </w:r>
            <w:r>
              <w:t>-</w:t>
            </w:r>
            <w:r w:rsidRPr="00E07B1B">
              <w:t>up as for pre-existing diabetes</w:t>
            </w:r>
          </w:p>
          <w:p w:rsidR="0068074A" w:rsidRDefault="0025490C" w:rsidP="00466D32">
            <w:pPr>
              <w:pStyle w:val="TableText"/>
              <w:spacing w:after="30"/>
              <w:ind w:right="142"/>
            </w:pPr>
            <w:r w:rsidRPr="00E07B1B">
              <w:t>If results not diagnostic of overt diabetes and</w:t>
            </w:r>
            <w:r>
              <w:t xml:space="preserve"> f</w:t>
            </w:r>
            <w:r w:rsidRPr="00E07B1B">
              <w:t>asting plasma glucose</w:t>
            </w:r>
            <w:r>
              <w:t xml:space="preserve"> are:</w:t>
            </w:r>
          </w:p>
          <w:p w:rsidR="0025490C" w:rsidRPr="00E07B1B" w:rsidRDefault="0025490C" w:rsidP="00466D32">
            <w:pPr>
              <w:pStyle w:val="TableText"/>
              <w:spacing w:before="0" w:after="30"/>
              <w:ind w:left="284" w:right="142" w:hanging="284"/>
            </w:pPr>
            <w:r w:rsidRPr="00E07B1B">
              <w:t>1</w:t>
            </w:r>
            <w:r>
              <w:t>.</w:t>
            </w:r>
            <w:r>
              <w:tab/>
            </w:r>
            <w:r w:rsidRPr="00E07B1B">
              <w:t>≥ 5.1 mmol</w:t>
            </w:r>
            <w:r>
              <w:t>/L</w:t>
            </w:r>
            <w:r w:rsidRPr="00E07B1B">
              <w:t xml:space="preserve"> but &lt; 7.0 mmol</w:t>
            </w:r>
            <w:r>
              <w:t>/L, d</w:t>
            </w:r>
            <w:r w:rsidRPr="00E07B1B">
              <w:t>iagnose as GDM</w:t>
            </w:r>
            <w:r>
              <w:t xml:space="preserve">, </w:t>
            </w:r>
            <w:r w:rsidRPr="006B3928">
              <w:t>or</w:t>
            </w:r>
          </w:p>
          <w:p w:rsidR="0025490C" w:rsidRPr="00E07B1B" w:rsidRDefault="0025490C" w:rsidP="00466D32">
            <w:pPr>
              <w:pStyle w:val="TableText"/>
              <w:spacing w:before="0"/>
              <w:ind w:left="284" w:right="142" w:hanging="284"/>
            </w:pPr>
            <w:r>
              <w:t>2.</w:t>
            </w:r>
            <w:r>
              <w:tab/>
            </w:r>
            <w:r w:rsidRPr="00E07B1B">
              <w:t>&lt; 5.1 mmol</w:t>
            </w:r>
            <w:r>
              <w:t>/L</w:t>
            </w:r>
            <w:r w:rsidRPr="00E07B1B">
              <w:t xml:space="preserve">, </w:t>
            </w:r>
            <w:r>
              <w:t>t</w:t>
            </w:r>
            <w:r w:rsidRPr="00E07B1B">
              <w:t>est for GDM from 24</w:t>
            </w:r>
            <w:r>
              <w:t>–</w:t>
            </w:r>
            <w:r w:rsidRPr="00E07B1B">
              <w:t>28 weeks</w:t>
            </w:r>
            <w:r w:rsidR="0068074A">
              <w:t>’</w:t>
            </w:r>
            <w:r w:rsidRPr="00E07B1B">
              <w:t xml:space="preserve"> gestation with 75 g oral glucose tolerance test</w:t>
            </w:r>
            <w:r w:rsidR="00230694">
              <w:t>.</w:t>
            </w:r>
          </w:p>
        </w:tc>
        <w:tc>
          <w:tcPr>
            <w:tcW w:w="2835" w:type="dxa"/>
            <w:gridSpan w:val="2"/>
            <w:tcBorders>
              <w:top w:val="nil"/>
              <w:bottom w:val="nil"/>
            </w:tcBorders>
            <w:shd w:val="clear" w:color="auto" w:fill="auto"/>
          </w:tcPr>
          <w:p w:rsidR="0025490C" w:rsidRDefault="0025490C" w:rsidP="007B5EEF">
            <w:pPr>
              <w:pStyle w:val="TableText"/>
            </w:pPr>
            <w:r w:rsidRPr="00E07B1B">
              <w:t>Consensus that it was not feasible to recommend a single test to use exclusively. Concerns about cost and standardisation of A1c testing and haemoglobin variants in some populations.</w:t>
            </w:r>
          </w:p>
          <w:p w:rsidR="0025490C" w:rsidRPr="00E07B1B" w:rsidRDefault="0025490C" w:rsidP="00466D32">
            <w:pPr>
              <w:pStyle w:val="TableText"/>
            </w:pPr>
            <w:r w:rsidRPr="00E07B1B">
              <w:t>It was noted that if enrolment is at 24 weeks</w:t>
            </w:r>
            <w:r w:rsidR="0068074A">
              <w:t>’</w:t>
            </w:r>
            <w:r w:rsidRPr="00E07B1B">
              <w:t xml:space="preserve"> gestation or later and overt diabetes is found, the initial test should be followed by a 75</w:t>
            </w:r>
            <w:r>
              <w:t xml:space="preserve"> </w:t>
            </w:r>
            <w:r w:rsidRPr="00E07B1B">
              <w:t>g</w:t>
            </w:r>
            <w:r>
              <w:t xml:space="preserve"> </w:t>
            </w:r>
            <w:r w:rsidRPr="00E07B1B">
              <w:t>oral glucose tolerance test.</w:t>
            </w:r>
          </w:p>
        </w:tc>
      </w:tr>
      <w:tr w:rsidR="0025490C" w:rsidRPr="00E07B1B" w:rsidTr="00171D88">
        <w:trPr>
          <w:cantSplit/>
        </w:trPr>
        <w:tc>
          <w:tcPr>
            <w:tcW w:w="3369" w:type="dxa"/>
            <w:tcBorders>
              <w:top w:val="nil"/>
              <w:bottom w:val="nil"/>
            </w:tcBorders>
            <w:shd w:val="clear" w:color="auto" w:fill="F2F2F2" w:themeFill="background1" w:themeFillShade="F2"/>
          </w:tcPr>
          <w:p w:rsidR="0025490C" w:rsidRPr="00E07B1B" w:rsidRDefault="0025490C" w:rsidP="007B5EEF">
            <w:pPr>
              <w:pStyle w:val="TableText"/>
            </w:pPr>
            <w:r w:rsidRPr="00E07B1B">
              <w:t>Global Guideline</w:t>
            </w:r>
            <w:r>
              <w:t xml:space="preserve"> on</w:t>
            </w:r>
            <w:r w:rsidRPr="00E07B1B">
              <w:t xml:space="preserve"> Pregnancy and </w:t>
            </w:r>
            <w:r>
              <w:t>D</w:t>
            </w:r>
            <w:r w:rsidRPr="00E07B1B">
              <w:t xml:space="preserve">iabetes </w:t>
            </w:r>
            <w:r>
              <w:t>(</w:t>
            </w:r>
            <w:r w:rsidRPr="00E07B1B">
              <w:t>International Diabetes Federation</w:t>
            </w:r>
            <w:r>
              <w:t xml:space="preserve"> </w:t>
            </w:r>
            <w:r w:rsidRPr="00E07B1B">
              <w:t>2009</w:t>
            </w:r>
            <w:r>
              <w:t>)</w:t>
            </w:r>
          </w:p>
        </w:tc>
        <w:tc>
          <w:tcPr>
            <w:tcW w:w="8397" w:type="dxa"/>
            <w:tcBorders>
              <w:top w:val="nil"/>
              <w:bottom w:val="nil"/>
            </w:tcBorders>
            <w:shd w:val="clear" w:color="auto" w:fill="F2F2F2" w:themeFill="background1" w:themeFillShade="F2"/>
          </w:tcPr>
          <w:p w:rsidR="0025490C" w:rsidRPr="00E07B1B" w:rsidRDefault="0025490C" w:rsidP="00171D88">
            <w:pPr>
              <w:pStyle w:val="TableText"/>
              <w:ind w:right="142"/>
            </w:pPr>
            <w:r w:rsidRPr="00E07B1B">
              <w:t>There is a general consensus that testing should be done at an early stage in pregnancy if risk factors are present, but only poor evidence that interventions initiated at this early stage are helpful.</w:t>
            </w:r>
          </w:p>
        </w:tc>
        <w:tc>
          <w:tcPr>
            <w:tcW w:w="2835" w:type="dxa"/>
            <w:gridSpan w:val="2"/>
            <w:tcBorders>
              <w:top w:val="nil"/>
              <w:bottom w:val="nil"/>
            </w:tcBorders>
            <w:shd w:val="clear" w:color="auto" w:fill="F2F2F2" w:themeFill="background1" w:themeFillShade="F2"/>
          </w:tcPr>
          <w:p w:rsidR="0025490C" w:rsidRPr="00E07B1B" w:rsidRDefault="0025490C" w:rsidP="007B5EEF">
            <w:pPr>
              <w:pStyle w:val="TableText"/>
            </w:pPr>
          </w:p>
        </w:tc>
      </w:tr>
      <w:tr w:rsidR="0025490C" w:rsidRPr="00E07B1B" w:rsidTr="00171D88">
        <w:trPr>
          <w:cantSplit/>
        </w:trPr>
        <w:tc>
          <w:tcPr>
            <w:tcW w:w="3369" w:type="dxa"/>
            <w:tcBorders>
              <w:top w:val="nil"/>
              <w:bottom w:val="nil"/>
            </w:tcBorders>
            <w:shd w:val="clear" w:color="auto" w:fill="auto"/>
          </w:tcPr>
          <w:p w:rsidR="0025490C" w:rsidRPr="00E07B1B" w:rsidRDefault="0025490C" w:rsidP="00171D88">
            <w:pPr>
              <w:pStyle w:val="TableText"/>
              <w:keepNext/>
            </w:pPr>
            <w:r w:rsidRPr="00E07B1B">
              <w:t>Australasian Diabetes in Pregnancy Society: Consensus Guidelines for the Testing and Diagnosis of Gestational Diabetes Mellitus in Australia (Nankervis 2013)</w:t>
            </w:r>
          </w:p>
        </w:tc>
        <w:tc>
          <w:tcPr>
            <w:tcW w:w="8397" w:type="dxa"/>
            <w:tcBorders>
              <w:top w:val="nil"/>
              <w:bottom w:val="nil"/>
            </w:tcBorders>
            <w:shd w:val="clear" w:color="auto" w:fill="auto"/>
          </w:tcPr>
          <w:p w:rsidR="0025490C" w:rsidRPr="00E07B1B" w:rsidRDefault="0025490C" w:rsidP="00171D88">
            <w:pPr>
              <w:pStyle w:val="TableText"/>
              <w:keepNext/>
              <w:ind w:right="142"/>
            </w:pPr>
            <w:r w:rsidRPr="00E07B1B">
              <w:t>Women not known to have pre-existing glucose abnormalities but at high risk of GDM should have a 75 g oral glucose tolerance test at the first opportunity after conception.</w:t>
            </w:r>
          </w:p>
        </w:tc>
        <w:tc>
          <w:tcPr>
            <w:tcW w:w="2835" w:type="dxa"/>
            <w:gridSpan w:val="2"/>
            <w:tcBorders>
              <w:top w:val="nil"/>
              <w:bottom w:val="nil"/>
            </w:tcBorders>
            <w:shd w:val="clear" w:color="auto" w:fill="auto"/>
          </w:tcPr>
          <w:p w:rsidR="0025490C" w:rsidRPr="00E07B1B" w:rsidRDefault="0025490C" w:rsidP="00171D88">
            <w:pPr>
              <w:pStyle w:val="TableText"/>
              <w:keepNext/>
            </w:pPr>
          </w:p>
        </w:tc>
      </w:tr>
      <w:tr w:rsidR="0025490C" w:rsidRPr="00E07B1B" w:rsidTr="00171D88">
        <w:trPr>
          <w:cantSplit/>
        </w:trPr>
        <w:tc>
          <w:tcPr>
            <w:tcW w:w="3369" w:type="dxa"/>
            <w:tcBorders>
              <w:top w:val="nil"/>
              <w:bottom w:val="nil"/>
            </w:tcBorders>
            <w:shd w:val="clear" w:color="auto" w:fill="F2F2F2" w:themeFill="background1" w:themeFillShade="F2"/>
          </w:tcPr>
          <w:p w:rsidR="0025490C" w:rsidRPr="00E07B1B" w:rsidRDefault="0025490C" w:rsidP="007B5EEF">
            <w:pPr>
              <w:pStyle w:val="TableText"/>
            </w:pPr>
            <w:r w:rsidRPr="00E07B1B">
              <w:t>Position statement: Australian Diabetes Society, Royal College of Pathologists of Australia and the Australasian Association of Clinical Biochemists</w:t>
            </w:r>
            <w:r>
              <w:t xml:space="preserve"> (not dated)</w:t>
            </w:r>
          </w:p>
        </w:tc>
        <w:tc>
          <w:tcPr>
            <w:tcW w:w="8397" w:type="dxa"/>
            <w:tcBorders>
              <w:top w:val="nil"/>
              <w:bottom w:val="nil"/>
            </w:tcBorders>
            <w:shd w:val="clear" w:color="auto" w:fill="F2F2F2" w:themeFill="background1" w:themeFillShade="F2"/>
          </w:tcPr>
          <w:p w:rsidR="0025490C" w:rsidRDefault="0025490C" w:rsidP="00171D88">
            <w:pPr>
              <w:pStyle w:val="TableText"/>
              <w:ind w:right="142"/>
            </w:pPr>
            <w:r w:rsidRPr="00E07B1B">
              <w:t xml:space="preserve">Measurement of HbA1c level can be used as a diagnostic test for diabetes (with particular conditions listed), with an HbA1c level </w:t>
            </w:r>
            <w:r>
              <w:t xml:space="preserve">of </w:t>
            </w:r>
            <w:r w:rsidRPr="00E07B1B">
              <w:t>48</w:t>
            </w:r>
            <w:r>
              <w:t> </w:t>
            </w:r>
            <w:r w:rsidRPr="00E07B1B">
              <w:t xml:space="preserve">mmol/mol </w:t>
            </w:r>
            <w:r>
              <w:t>as</w:t>
            </w:r>
            <w:r w:rsidRPr="00E07B1B">
              <w:t xml:space="preserve"> the cut</w:t>
            </w:r>
            <w:r>
              <w:t xml:space="preserve">-off </w:t>
            </w:r>
            <w:r w:rsidRPr="00E07B1B">
              <w:t>point in non-pregnant patients.</w:t>
            </w:r>
          </w:p>
          <w:p w:rsidR="0025490C" w:rsidRPr="00E07B1B" w:rsidRDefault="0025490C" w:rsidP="00171D88">
            <w:pPr>
              <w:pStyle w:val="TableText"/>
              <w:ind w:right="142"/>
            </w:pPr>
            <w:r w:rsidRPr="00E07B1B">
              <w:t>The existing criteria</w:t>
            </w:r>
            <w:r>
              <w:t>,</w:t>
            </w:r>
            <w:r w:rsidRPr="00E07B1B">
              <w:t xml:space="preserve"> based on fasting and random glucose levels and on the oral glucose tolerance test</w:t>
            </w:r>
            <w:r>
              <w:t>,</w:t>
            </w:r>
            <w:r w:rsidRPr="00E07B1B">
              <w:t xml:space="preserve"> remain valid and are the diagnostic tests of choice for gestational diabetes, type</w:t>
            </w:r>
            <w:r w:rsidR="00171D88">
              <w:t> </w:t>
            </w:r>
            <w:r w:rsidRPr="00E07B1B">
              <w:t>1 diabetes and in the presence of conditions that interfere with HbA1c measurement.</w:t>
            </w:r>
          </w:p>
        </w:tc>
        <w:tc>
          <w:tcPr>
            <w:tcW w:w="2835" w:type="dxa"/>
            <w:gridSpan w:val="2"/>
            <w:tcBorders>
              <w:top w:val="nil"/>
              <w:bottom w:val="nil"/>
            </w:tcBorders>
            <w:shd w:val="clear" w:color="auto" w:fill="F2F2F2" w:themeFill="background1" w:themeFillShade="F2"/>
          </w:tcPr>
          <w:p w:rsidR="0025490C" w:rsidRPr="00E07B1B" w:rsidRDefault="0025490C" w:rsidP="007B5EEF">
            <w:pPr>
              <w:pStyle w:val="TableText"/>
            </w:pPr>
            <w:r w:rsidRPr="00E07B1B">
              <w:t>No mention of early screening and HbA1c not recommended for pregnant patients</w:t>
            </w:r>
            <w:r w:rsidR="00171D88">
              <w:t>.</w:t>
            </w:r>
          </w:p>
        </w:tc>
      </w:tr>
      <w:tr w:rsidR="0025490C" w:rsidRPr="00E07B1B" w:rsidTr="00171D88">
        <w:trPr>
          <w:cantSplit/>
        </w:trPr>
        <w:tc>
          <w:tcPr>
            <w:tcW w:w="14601" w:type="dxa"/>
            <w:gridSpan w:val="4"/>
            <w:tcBorders>
              <w:top w:val="nil"/>
              <w:bottom w:val="nil"/>
            </w:tcBorders>
            <w:shd w:val="clear" w:color="auto" w:fill="auto"/>
          </w:tcPr>
          <w:p w:rsidR="0025490C" w:rsidRPr="00E07B1B" w:rsidRDefault="0025490C" w:rsidP="007B5EEF">
            <w:pPr>
              <w:pStyle w:val="TableText"/>
            </w:pPr>
            <w:r w:rsidRPr="00E07B1B">
              <w:t xml:space="preserve">New Zealand </w:t>
            </w:r>
            <w:r>
              <w:t>g</w:t>
            </w:r>
            <w:r w:rsidRPr="00E07B1B">
              <w:t>uidelines and reports</w:t>
            </w:r>
          </w:p>
        </w:tc>
      </w:tr>
      <w:tr w:rsidR="0025490C" w:rsidRPr="00E07B1B" w:rsidTr="00171D88">
        <w:trPr>
          <w:cantSplit/>
        </w:trPr>
        <w:tc>
          <w:tcPr>
            <w:tcW w:w="3369" w:type="dxa"/>
            <w:tcBorders>
              <w:top w:val="nil"/>
              <w:bottom w:val="nil"/>
            </w:tcBorders>
            <w:shd w:val="clear" w:color="auto" w:fill="F2F2F2" w:themeFill="background1" w:themeFillShade="F2"/>
          </w:tcPr>
          <w:p w:rsidR="0025490C" w:rsidRPr="00E07B1B" w:rsidRDefault="0025490C" w:rsidP="007B5EEF">
            <w:pPr>
              <w:pStyle w:val="TableText"/>
            </w:pPr>
            <w:r w:rsidRPr="00E07B1B">
              <w:t>Gestational Diabetes</w:t>
            </w:r>
            <w:r>
              <w:t xml:space="preserve"> Mellitus</w:t>
            </w:r>
            <w:r w:rsidRPr="00E07B1B">
              <w:t xml:space="preserve"> in New Zealand: Technical report </w:t>
            </w:r>
            <w:r>
              <w:t>(</w:t>
            </w:r>
            <w:r w:rsidRPr="00E07B1B">
              <w:t>Gestational Diabetes Mellitus Technical Working Party 2007</w:t>
            </w:r>
            <w:r>
              <w:t>)</w:t>
            </w:r>
          </w:p>
        </w:tc>
        <w:tc>
          <w:tcPr>
            <w:tcW w:w="8538" w:type="dxa"/>
            <w:gridSpan w:val="2"/>
            <w:tcBorders>
              <w:top w:val="nil"/>
              <w:bottom w:val="nil"/>
            </w:tcBorders>
            <w:shd w:val="clear" w:color="auto" w:fill="F2F2F2" w:themeFill="background1" w:themeFillShade="F2"/>
          </w:tcPr>
          <w:p w:rsidR="0025490C" w:rsidRPr="00E07B1B" w:rsidRDefault="0025490C" w:rsidP="00171D88">
            <w:pPr>
              <w:pStyle w:val="TableText"/>
              <w:ind w:right="142"/>
            </w:pPr>
            <w:r w:rsidRPr="00E07B1B">
              <w:t>Women with known impaired fasting glucose or impaired glucose tolerance are considered to have at least a degree of hyperglycaemia that should be managed as GDM (and they may have progressed to type 2 diabetes). They should have a</w:t>
            </w:r>
            <w:r>
              <w:t>n</w:t>
            </w:r>
            <w:r w:rsidRPr="00E07B1B">
              <w:t xml:space="preserve"> HbA1c requested at booking and be directly referred to the diabetes in pregnancy team for management</w:t>
            </w:r>
            <w:r>
              <w:t>.</w:t>
            </w:r>
          </w:p>
          <w:p w:rsidR="0025490C" w:rsidRPr="00E07B1B" w:rsidRDefault="0025490C" w:rsidP="00171D88">
            <w:pPr>
              <w:pStyle w:val="TableText"/>
              <w:ind w:right="142"/>
            </w:pPr>
            <w:r w:rsidRPr="00E07B1B">
              <w:t xml:space="preserve">Women with previous GDM </w:t>
            </w:r>
            <w:r>
              <w:t>and</w:t>
            </w:r>
            <w:r w:rsidRPr="00E07B1B">
              <w:t xml:space="preserve"> </w:t>
            </w:r>
            <w:r w:rsidR="0068074A">
              <w:t>‘</w:t>
            </w:r>
            <w:r w:rsidRPr="00E07B1B">
              <w:t>probably undiagnosed type 2 diabetes</w:t>
            </w:r>
            <w:r w:rsidR="0068074A">
              <w:t>’</w:t>
            </w:r>
            <w:r w:rsidRPr="00E07B1B">
              <w:t xml:space="preserve"> (</w:t>
            </w:r>
            <w:r>
              <w:t>ie, women who h</w:t>
            </w:r>
            <w:r w:rsidRPr="00E07B1B">
              <w:t>ad this diagnosis during pregnancy but never had a postpartum glucose tolerance test or women with symptoms of diabetes or random finger-prick glucose</w:t>
            </w:r>
            <w:r>
              <w:t xml:space="preserve"> </w:t>
            </w:r>
            <w:r w:rsidRPr="00E07B1B">
              <w:t>&gt;</w:t>
            </w:r>
            <w:r>
              <w:t> </w:t>
            </w:r>
            <w:r w:rsidRPr="00E07B1B">
              <w:t>11.1</w:t>
            </w:r>
            <w:r>
              <w:t> </w:t>
            </w:r>
            <w:r w:rsidRPr="00E07B1B">
              <w:t>mmol</w:t>
            </w:r>
            <w:r>
              <w:t>/L</w:t>
            </w:r>
            <w:r w:rsidRPr="00E07B1B">
              <w:t>) should be directly referred to the diabetes in pregnancy team for management and have an HbA1c requested at booking</w:t>
            </w:r>
            <w:r>
              <w:t>.</w:t>
            </w:r>
          </w:p>
          <w:p w:rsidR="0025490C" w:rsidRPr="00E07B1B" w:rsidRDefault="0025490C" w:rsidP="00171D88">
            <w:pPr>
              <w:pStyle w:val="TableText"/>
              <w:ind w:right="142"/>
            </w:pPr>
            <w:r w:rsidRPr="00E07B1B">
              <w:t>Other women with past GDM should have an HbA1c requested at booking (even if this previous non</w:t>
            </w:r>
            <w:r>
              <w:t>-</w:t>
            </w:r>
            <w:r w:rsidRPr="00E07B1B">
              <w:t>pregnant oral glucose tolerance test was normal) and the reasons for this explained. If elevated 42</w:t>
            </w:r>
            <w:r>
              <w:t> </w:t>
            </w:r>
            <w:r w:rsidRPr="00E07B1B">
              <w:t>mmol/mol, the woman should be referred immediately to the diabetes in pregnancy team. If the HbA1c is &lt; 6.0%, an oral glucose tolerance test should be undertaken at the earliest opportunity, typically 14</w:t>
            </w:r>
            <w:r>
              <w:t>–</w:t>
            </w:r>
            <w:r w:rsidRPr="00E07B1B">
              <w:t>16 weeks. If oral glucose tolerance test normal, repeat at 24</w:t>
            </w:r>
            <w:r>
              <w:t>–</w:t>
            </w:r>
            <w:r w:rsidRPr="00E07B1B">
              <w:t>28 weeks (or earlier if clinical suspicion occurs).</w:t>
            </w:r>
          </w:p>
          <w:p w:rsidR="0025490C" w:rsidRPr="00E07B1B" w:rsidRDefault="0025490C" w:rsidP="00171D88">
            <w:pPr>
              <w:pStyle w:val="TableText"/>
              <w:ind w:right="142"/>
            </w:pPr>
            <w:r w:rsidRPr="00E07B1B">
              <w:t>Other high</w:t>
            </w:r>
            <w:r>
              <w:t>-</w:t>
            </w:r>
            <w:r w:rsidRPr="00E07B1B">
              <w:t>risk women: a strategy for screening other high</w:t>
            </w:r>
            <w:r>
              <w:t>-</w:t>
            </w:r>
            <w:r w:rsidRPr="00E07B1B">
              <w:t>risk women (risk factors listed) for underlying type 2 diabetes using an HbA1c instrument at booking should be initiated as a pilot.</w:t>
            </w:r>
          </w:p>
        </w:tc>
        <w:tc>
          <w:tcPr>
            <w:tcW w:w="2694" w:type="dxa"/>
            <w:tcBorders>
              <w:top w:val="nil"/>
              <w:bottom w:val="nil"/>
            </w:tcBorders>
            <w:shd w:val="clear" w:color="auto" w:fill="F2F2F2" w:themeFill="background1" w:themeFillShade="F2"/>
          </w:tcPr>
          <w:p w:rsidR="0025490C" w:rsidRPr="00E07B1B" w:rsidRDefault="0025490C" w:rsidP="007B5EEF">
            <w:pPr>
              <w:pStyle w:val="TableText"/>
            </w:pPr>
          </w:p>
        </w:tc>
      </w:tr>
      <w:tr w:rsidR="0025490C" w:rsidRPr="00E07B1B" w:rsidTr="00171D88">
        <w:trPr>
          <w:cantSplit/>
        </w:trPr>
        <w:tc>
          <w:tcPr>
            <w:tcW w:w="3369" w:type="dxa"/>
            <w:tcBorders>
              <w:top w:val="nil"/>
              <w:bottom w:val="nil"/>
            </w:tcBorders>
            <w:shd w:val="clear" w:color="auto" w:fill="auto"/>
          </w:tcPr>
          <w:p w:rsidR="0025490C" w:rsidRPr="00E07B1B" w:rsidRDefault="0025490C" w:rsidP="00171D88">
            <w:pPr>
              <w:pStyle w:val="TableText"/>
              <w:keepNext/>
            </w:pPr>
            <w:r w:rsidRPr="00E07B1B">
              <w:t xml:space="preserve">HbA1c in Diagnosing Type 2 Diabetes </w:t>
            </w:r>
            <w:r>
              <w:t>(</w:t>
            </w:r>
            <w:r w:rsidRPr="00E07B1B">
              <w:t>New Zealand Society for the Study of Diabetes 2011</w:t>
            </w:r>
            <w:r>
              <w:t>)*</w:t>
            </w:r>
          </w:p>
        </w:tc>
        <w:tc>
          <w:tcPr>
            <w:tcW w:w="8538" w:type="dxa"/>
            <w:gridSpan w:val="2"/>
            <w:tcBorders>
              <w:top w:val="nil"/>
              <w:bottom w:val="nil"/>
            </w:tcBorders>
            <w:shd w:val="clear" w:color="auto" w:fill="auto"/>
          </w:tcPr>
          <w:p w:rsidR="0025490C" w:rsidRPr="00E07B1B" w:rsidRDefault="0025490C" w:rsidP="00171D88">
            <w:pPr>
              <w:pStyle w:val="TableText"/>
              <w:keepNext/>
              <w:ind w:right="142"/>
            </w:pPr>
            <w:r w:rsidRPr="00E07B1B">
              <w:t>HbA1c testing is not currently recommended for diagnosis of diabetes in pregnant women because glucose tolerance is altered in pregnancy; a separate glucose-based diagnostic algorithm is used.</w:t>
            </w:r>
          </w:p>
        </w:tc>
        <w:tc>
          <w:tcPr>
            <w:tcW w:w="2694" w:type="dxa"/>
            <w:tcBorders>
              <w:top w:val="nil"/>
              <w:bottom w:val="nil"/>
            </w:tcBorders>
            <w:shd w:val="clear" w:color="auto" w:fill="auto"/>
          </w:tcPr>
          <w:p w:rsidR="0025490C" w:rsidRPr="00E07B1B" w:rsidRDefault="0025490C" w:rsidP="00171D88">
            <w:pPr>
              <w:pStyle w:val="TableText"/>
              <w:keepNext/>
            </w:pPr>
          </w:p>
        </w:tc>
      </w:tr>
      <w:tr w:rsidR="0025490C" w:rsidRPr="00E07B1B" w:rsidTr="00171D88">
        <w:trPr>
          <w:cantSplit/>
        </w:trPr>
        <w:tc>
          <w:tcPr>
            <w:tcW w:w="3369" w:type="dxa"/>
            <w:tcBorders>
              <w:top w:val="nil"/>
              <w:bottom w:val="single" w:sz="4" w:space="0" w:color="auto"/>
            </w:tcBorders>
            <w:shd w:val="clear" w:color="auto" w:fill="F2F2F2" w:themeFill="background1" w:themeFillShade="F2"/>
          </w:tcPr>
          <w:p w:rsidR="0025490C" w:rsidRPr="00E07B1B" w:rsidRDefault="0025490C" w:rsidP="007B5EEF">
            <w:pPr>
              <w:pStyle w:val="TableText"/>
            </w:pPr>
            <w:r w:rsidRPr="00E07B1B">
              <w:t xml:space="preserve">Diabetes in Pregnancy Guideline </w:t>
            </w:r>
            <w:r>
              <w:t xml:space="preserve">(Auckland District Health Board </w:t>
            </w:r>
            <w:r w:rsidRPr="00E07B1B">
              <w:t>2012</w:t>
            </w:r>
            <w:r>
              <w:t>)</w:t>
            </w:r>
          </w:p>
        </w:tc>
        <w:tc>
          <w:tcPr>
            <w:tcW w:w="8538" w:type="dxa"/>
            <w:gridSpan w:val="2"/>
            <w:tcBorders>
              <w:top w:val="nil"/>
              <w:bottom w:val="single" w:sz="4" w:space="0" w:color="auto"/>
            </w:tcBorders>
            <w:shd w:val="clear" w:color="auto" w:fill="F2F2F2" w:themeFill="background1" w:themeFillShade="F2"/>
          </w:tcPr>
          <w:p w:rsidR="0025490C" w:rsidRDefault="0025490C" w:rsidP="00171D88">
            <w:pPr>
              <w:pStyle w:val="TableText"/>
              <w:ind w:right="142"/>
            </w:pPr>
            <w:r w:rsidRPr="00E07B1B">
              <w:t>Women who have risk factors for unrecognised glucose tolerance</w:t>
            </w:r>
            <w:r>
              <w:t xml:space="preserve"> or </w:t>
            </w:r>
            <w:r w:rsidRPr="00E07B1B">
              <w:t>type 2 diabetes should be tested when they book in early pregnancy (risk factors listed).</w:t>
            </w:r>
          </w:p>
          <w:p w:rsidR="0025490C" w:rsidRPr="00E07B1B" w:rsidRDefault="0025490C" w:rsidP="00171D88">
            <w:pPr>
              <w:pStyle w:val="TableText"/>
              <w:spacing w:after="30"/>
              <w:ind w:right="142"/>
            </w:pPr>
            <w:r>
              <w:t>When</w:t>
            </w:r>
            <w:r w:rsidRPr="00E07B1B">
              <w:t xml:space="preserve"> booking bloods, add HbA1c</w:t>
            </w:r>
            <w:r>
              <w:t>.</w:t>
            </w:r>
          </w:p>
          <w:p w:rsidR="0025490C" w:rsidRPr="00E07B1B" w:rsidRDefault="0025490C" w:rsidP="00171D88">
            <w:pPr>
              <w:pStyle w:val="TableBullet"/>
              <w:spacing w:after="30"/>
              <w:ind w:left="284" w:right="142"/>
            </w:pPr>
            <w:r w:rsidRPr="00E07B1B">
              <w:t>If HbA1c above reference range (42 mmol/mol)</w:t>
            </w:r>
            <w:r>
              <w:t>,</w:t>
            </w:r>
            <w:r w:rsidRPr="00E07B1B">
              <w:t xml:space="preserve"> refer directly to diabetes in pregnancy clinic</w:t>
            </w:r>
            <w:r>
              <w:t>.</w:t>
            </w:r>
          </w:p>
          <w:p w:rsidR="0025490C" w:rsidRPr="00E07B1B" w:rsidRDefault="0025490C" w:rsidP="00171D88">
            <w:pPr>
              <w:pStyle w:val="TableBullet"/>
              <w:spacing w:after="30"/>
              <w:ind w:left="284" w:right="142"/>
            </w:pPr>
            <w:r w:rsidRPr="00E07B1B">
              <w:t>If HbA1c is 38</w:t>
            </w:r>
            <w:r>
              <w:t>–</w:t>
            </w:r>
            <w:r w:rsidRPr="00E07B1B">
              <w:t>41 mmol/mol and/or oral glucose tolerance test is normal but clinical presentation is suggestive of GDM, discuss with clinic</w:t>
            </w:r>
            <w:r>
              <w:t>.</w:t>
            </w:r>
          </w:p>
          <w:p w:rsidR="0025490C" w:rsidRPr="00E07B1B" w:rsidRDefault="0025490C" w:rsidP="00171D88">
            <w:pPr>
              <w:pStyle w:val="TableBullet"/>
              <w:spacing w:after="30"/>
              <w:ind w:left="284" w:right="142"/>
            </w:pPr>
            <w:r w:rsidRPr="00E07B1B">
              <w:t>If HbA1c is normal, still do early 75 g oral glucose tolerance test (16</w:t>
            </w:r>
            <w:r>
              <w:t> </w:t>
            </w:r>
            <w:r w:rsidRPr="00E07B1B">
              <w:t>weeks)</w:t>
            </w:r>
            <w:r>
              <w:t>.</w:t>
            </w:r>
          </w:p>
          <w:p w:rsidR="0025490C" w:rsidRPr="00E07B1B" w:rsidRDefault="0025490C" w:rsidP="00171D88">
            <w:pPr>
              <w:pStyle w:val="TableBullet"/>
              <w:spacing w:after="30"/>
              <w:ind w:left="284" w:right="142"/>
            </w:pPr>
            <w:r w:rsidRPr="00E07B1B">
              <w:t>If oral glucose tolerance test normal, repeat at 24</w:t>
            </w:r>
            <w:r>
              <w:t>–</w:t>
            </w:r>
            <w:r w:rsidRPr="00E07B1B">
              <w:t>28 weeks</w:t>
            </w:r>
            <w:r>
              <w:t>.</w:t>
            </w:r>
          </w:p>
          <w:p w:rsidR="0025490C" w:rsidRPr="00E07B1B" w:rsidRDefault="0025490C" w:rsidP="00171D88">
            <w:pPr>
              <w:pStyle w:val="TableBullet"/>
              <w:ind w:left="284" w:right="142"/>
            </w:pPr>
            <w:r w:rsidRPr="00E07B1B">
              <w:t>Consider further oral glucose tolerance test at 30</w:t>
            </w:r>
            <w:r>
              <w:t>–</w:t>
            </w:r>
            <w:r w:rsidRPr="00E07B1B">
              <w:t>32 weeks.</w:t>
            </w:r>
          </w:p>
          <w:p w:rsidR="0025490C" w:rsidRPr="00E07B1B" w:rsidRDefault="0025490C" w:rsidP="00171D88">
            <w:pPr>
              <w:pStyle w:val="TableText"/>
              <w:ind w:right="142"/>
            </w:pPr>
            <w:r w:rsidRPr="00E07B1B">
              <w:t xml:space="preserve">All women who are not screened in early pregnancy should be offered routine screening for GDM between 24 </w:t>
            </w:r>
            <w:r>
              <w:t>and</w:t>
            </w:r>
            <w:r w:rsidRPr="00E07B1B">
              <w:t xml:space="preserve"> 28 weeks</w:t>
            </w:r>
            <w:r w:rsidR="0068074A">
              <w:t>’</w:t>
            </w:r>
            <w:r w:rsidRPr="00E07B1B">
              <w:t xml:space="preserve"> gestation.</w:t>
            </w:r>
          </w:p>
        </w:tc>
        <w:tc>
          <w:tcPr>
            <w:tcW w:w="2694" w:type="dxa"/>
            <w:tcBorders>
              <w:top w:val="nil"/>
              <w:bottom w:val="single" w:sz="4" w:space="0" w:color="auto"/>
            </w:tcBorders>
            <w:shd w:val="clear" w:color="auto" w:fill="F2F2F2" w:themeFill="background1" w:themeFillShade="F2"/>
          </w:tcPr>
          <w:p w:rsidR="0025490C" w:rsidRPr="00E07B1B" w:rsidRDefault="0025490C" w:rsidP="007B5EEF">
            <w:pPr>
              <w:pStyle w:val="TableText"/>
            </w:pPr>
          </w:p>
        </w:tc>
      </w:tr>
    </w:tbl>
    <w:p w:rsidR="0025490C" w:rsidRDefault="0025490C" w:rsidP="0080418E">
      <w:pPr>
        <w:pStyle w:val="Note"/>
        <w:ind w:left="0" w:firstLine="0"/>
      </w:pPr>
      <w:r>
        <w:t xml:space="preserve">Note: </w:t>
      </w:r>
      <w:r w:rsidRPr="00E07B1B">
        <w:t xml:space="preserve">GDM </w:t>
      </w:r>
      <w:r>
        <w:t>=</w:t>
      </w:r>
      <w:r w:rsidRPr="00E07B1B">
        <w:t xml:space="preserve"> gestational diabetes mellitus</w:t>
      </w:r>
      <w:r>
        <w:t>; IADPSG = International Association of Diabetes and Pregnancy Study Groups; SIGN = Scottish Intercollegiate Guidelines Network</w:t>
      </w:r>
      <w:r w:rsidR="0080418E">
        <w:t>.</w:t>
      </w:r>
    </w:p>
    <w:p w:rsidR="0025490C" w:rsidRDefault="0025490C" w:rsidP="0080418E">
      <w:pPr>
        <w:pStyle w:val="Note"/>
      </w:pPr>
      <w:r w:rsidRPr="00E07B1B">
        <w:t>*</w:t>
      </w:r>
      <w:r w:rsidR="0080418E">
        <w:tab/>
      </w:r>
      <w:r w:rsidRPr="00E07B1B">
        <w:t xml:space="preserve">The </w:t>
      </w:r>
      <w:r>
        <w:t>New Zealand Society for the Study of Diabetes</w:t>
      </w:r>
      <w:r w:rsidRPr="00E07B1B">
        <w:t xml:space="preserve"> position </w:t>
      </w:r>
      <w:r>
        <w:t>s</w:t>
      </w:r>
      <w:r w:rsidRPr="00E07B1B">
        <w:t xml:space="preserve">tatement on the diagnosis of and screening for </w:t>
      </w:r>
      <w:r>
        <w:t>t</w:t>
      </w:r>
      <w:r w:rsidRPr="00E07B1B">
        <w:t>ype 2 diabetes (updated September 2011) (</w:t>
      </w:r>
      <w:hyperlink r:id="rId59" w:history="1">
        <w:r w:rsidRPr="0080418E">
          <w:rPr>
            <w:rStyle w:val="Hyperlink"/>
          </w:rPr>
          <w:t>www.nzssd.org.nz/statements.html</w:t>
        </w:r>
      </w:hyperlink>
      <w:r>
        <w:t>).</w:t>
      </w:r>
    </w:p>
    <w:p w:rsidR="0080418E" w:rsidRPr="0080418E" w:rsidRDefault="0080418E" w:rsidP="0080418E"/>
    <w:p w:rsidR="0080418E" w:rsidRDefault="0080418E" w:rsidP="00C04C3B">
      <w:pPr>
        <w:pStyle w:val="Heading2"/>
        <w:spacing w:before="0" w:after="240"/>
        <w:ind w:left="0" w:firstLine="0"/>
        <w:sectPr w:rsidR="0080418E" w:rsidSect="0080418E">
          <w:footerReference w:type="default" r:id="rId60"/>
          <w:pgSz w:w="16834" w:h="11907" w:orient="landscape" w:code="9"/>
          <w:pgMar w:top="1134" w:right="1134" w:bottom="1134" w:left="1134" w:header="284" w:footer="567" w:gutter="0"/>
          <w:cols w:space="720"/>
          <w:docGrid w:linePitch="299"/>
        </w:sectPr>
      </w:pPr>
      <w:bookmarkStart w:id="474" w:name="_Toc363717791"/>
      <w:bookmarkStart w:id="475" w:name="_Toc402873639"/>
      <w:bookmarkStart w:id="476" w:name="_Toc403469700"/>
    </w:p>
    <w:p w:rsidR="00B54C12" w:rsidRPr="00E07B1B" w:rsidRDefault="00B54C12" w:rsidP="00B54C12">
      <w:pPr>
        <w:pStyle w:val="Table"/>
        <w:spacing w:before="0"/>
      </w:pPr>
      <w:bookmarkStart w:id="477" w:name="_Toc363717790"/>
      <w:bookmarkStart w:id="478" w:name="_Toc403635897"/>
      <w:r w:rsidRPr="00E07B1B">
        <w:t>Table 16</w:t>
      </w:r>
      <w:r>
        <w:t>:</w:t>
      </w:r>
      <w:r w:rsidRPr="00E07B1B">
        <w:t xml:space="preserve"> Diagnostic accuracy of HbA1c test reported in the Burlingame study (2012)</w:t>
      </w:r>
      <w:bookmarkEnd w:id="477"/>
      <w:bookmarkEnd w:id="478"/>
    </w:p>
    <w:tbl>
      <w:tblPr>
        <w:tblW w:w="494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705"/>
        <w:gridCol w:w="990"/>
        <w:gridCol w:w="1487"/>
        <w:gridCol w:w="1487"/>
        <w:gridCol w:w="1843"/>
        <w:gridCol w:w="1843"/>
      </w:tblGrid>
      <w:tr w:rsidR="00B54C12" w:rsidRPr="007B5EEF" w:rsidTr="00B54C12">
        <w:trPr>
          <w:cantSplit/>
        </w:trPr>
        <w:tc>
          <w:tcPr>
            <w:tcW w:w="911" w:type="pct"/>
            <w:tcBorders>
              <w:top w:val="single" w:sz="4" w:space="0" w:color="auto"/>
              <w:bottom w:val="single" w:sz="4" w:space="0" w:color="auto"/>
            </w:tcBorders>
            <w:shd w:val="clear" w:color="auto" w:fill="auto"/>
          </w:tcPr>
          <w:p w:rsidR="00B54C12" w:rsidRPr="007B5EEF" w:rsidRDefault="00B54C12" w:rsidP="000C1845">
            <w:pPr>
              <w:pStyle w:val="TableText"/>
              <w:rPr>
                <w:b/>
              </w:rPr>
            </w:pPr>
            <w:r w:rsidRPr="007B5EEF">
              <w:rPr>
                <w:b/>
              </w:rPr>
              <w:t>Gestational age (weeks)</w:t>
            </w:r>
          </w:p>
        </w:tc>
        <w:tc>
          <w:tcPr>
            <w:tcW w:w="529" w:type="pct"/>
            <w:tcBorders>
              <w:top w:val="single" w:sz="4" w:space="0" w:color="auto"/>
              <w:bottom w:val="single" w:sz="4" w:space="0" w:color="auto"/>
            </w:tcBorders>
            <w:shd w:val="clear" w:color="auto" w:fill="auto"/>
          </w:tcPr>
          <w:p w:rsidR="00B54C12" w:rsidRPr="007B5EEF" w:rsidRDefault="00B54C12" w:rsidP="000C1845">
            <w:pPr>
              <w:pStyle w:val="TableText"/>
              <w:jc w:val="center"/>
              <w:rPr>
                <w:b/>
              </w:rPr>
            </w:pPr>
            <w:r w:rsidRPr="007B5EEF">
              <w:rPr>
                <w:b/>
              </w:rPr>
              <w:t>N</w:t>
            </w:r>
          </w:p>
        </w:tc>
        <w:tc>
          <w:tcPr>
            <w:tcW w:w="795" w:type="pct"/>
            <w:tcBorders>
              <w:top w:val="single" w:sz="4" w:space="0" w:color="auto"/>
              <w:bottom w:val="single" w:sz="4" w:space="0" w:color="auto"/>
            </w:tcBorders>
            <w:shd w:val="clear" w:color="auto" w:fill="auto"/>
          </w:tcPr>
          <w:p w:rsidR="00B54C12" w:rsidRPr="007B5EEF" w:rsidRDefault="00B54C12" w:rsidP="000C1845">
            <w:pPr>
              <w:pStyle w:val="TableText"/>
              <w:jc w:val="center"/>
              <w:rPr>
                <w:b/>
              </w:rPr>
            </w:pPr>
            <w:r w:rsidRPr="007B5EEF">
              <w:rPr>
                <w:b/>
              </w:rPr>
              <w:t>Sensitivity</w:t>
            </w:r>
          </w:p>
        </w:tc>
        <w:tc>
          <w:tcPr>
            <w:tcW w:w="795" w:type="pct"/>
            <w:tcBorders>
              <w:top w:val="single" w:sz="4" w:space="0" w:color="auto"/>
              <w:bottom w:val="single" w:sz="4" w:space="0" w:color="auto"/>
            </w:tcBorders>
            <w:shd w:val="clear" w:color="auto" w:fill="auto"/>
          </w:tcPr>
          <w:p w:rsidR="00B54C12" w:rsidRPr="007B5EEF" w:rsidRDefault="00B54C12" w:rsidP="000C1845">
            <w:pPr>
              <w:pStyle w:val="TableText"/>
              <w:jc w:val="center"/>
              <w:rPr>
                <w:b/>
              </w:rPr>
            </w:pPr>
            <w:r w:rsidRPr="007B5EEF">
              <w:rPr>
                <w:b/>
              </w:rPr>
              <w:t>Specificity</w:t>
            </w:r>
          </w:p>
        </w:tc>
        <w:tc>
          <w:tcPr>
            <w:tcW w:w="985" w:type="pct"/>
            <w:tcBorders>
              <w:top w:val="single" w:sz="4" w:space="0" w:color="auto"/>
              <w:bottom w:val="single" w:sz="4" w:space="0" w:color="auto"/>
            </w:tcBorders>
            <w:shd w:val="clear" w:color="auto" w:fill="auto"/>
          </w:tcPr>
          <w:p w:rsidR="00B54C12" w:rsidRPr="007B5EEF" w:rsidRDefault="00B54C12" w:rsidP="000C1845">
            <w:pPr>
              <w:pStyle w:val="TableText"/>
              <w:jc w:val="center"/>
              <w:rPr>
                <w:b/>
              </w:rPr>
            </w:pPr>
            <w:r w:rsidRPr="007B5EEF">
              <w:rPr>
                <w:b/>
              </w:rPr>
              <w:t>Positive predictive value</w:t>
            </w:r>
          </w:p>
        </w:tc>
        <w:tc>
          <w:tcPr>
            <w:tcW w:w="985" w:type="pct"/>
            <w:tcBorders>
              <w:top w:val="single" w:sz="4" w:space="0" w:color="auto"/>
              <w:bottom w:val="single" w:sz="4" w:space="0" w:color="auto"/>
            </w:tcBorders>
            <w:shd w:val="clear" w:color="auto" w:fill="auto"/>
          </w:tcPr>
          <w:p w:rsidR="00B54C12" w:rsidRPr="007B5EEF" w:rsidRDefault="00B54C12" w:rsidP="000C1845">
            <w:pPr>
              <w:pStyle w:val="TableText"/>
              <w:jc w:val="center"/>
              <w:rPr>
                <w:b/>
              </w:rPr>
            </w:pPr>
            <w:r w:rsidRPr="007B5EEF">
              <w:rPr>
                <w:b/>
              </w:rPr>
              <w:t>Negative predictive value</w:t>
            </w:r>
          </w:p>
        </w:tc>
      </w:tr>
      <w:tr w:rsidR="00B54C12" w:rsidRPr="00E07B1B" w:rsidTr="00B54C12">
        <w:trPr>
          <w:cantSplit/>
        </w:trPr>
        <w:tc>
          <w:tcPr>
            <w:tcW w:w="911" w:type="pct"/>
            <w:tcBorders>
              <w:top w:val="single" w:sz="4" w:space="0" w:color="auto"/>
              <w:bottom w:val="nil"/>
            </w:tcBorders>
            <w:shd w:val="clear" w:color="auto" w:fill="F2F2F2" w:themeFill="background1" w:themeFillShade="F2"/>
          </w:tcPr>
          <w:p w:rsidR="00B54C12" w:rsidRPr="00E07B1B" w:rsidRDefault="00B54C12" w:rsidP="000C1845">
            <w:pPr>
              <w:pStyle w:val="TableText"/>
            </w:pPr>
            <w:r w:rsidRPr="00E07B1B">
              <w:t>0</w:t>
            </w:r>
            <w:r>
              <w:t>–</w:t>
            </w:r>
            <w:r w:rsidRPr="00E07B1B">
              <w:t>23</w:t>
            </w:r>
          </w:p>
        </w:tc>
        <w:tc>
          <w:tcPr>
            <w:tcW w:w="529" w:type="pct"/>
            <w:tcBorders>
              <w:top w:val="single" w:sz="4" w:space="0" w:color="auto"/>
              <w:bottom w:val="nil"/>
            </w:tcBorders>
            <w:shd w:val="clear" w:color="auto" w:fill="F2F2F2" w:themeFill="background1" w:themeFillShade="F2"/>
          </w:tcPr>
          <w:p w:rsidR="00B54C12" w:rsidRPr="00E07B1B" w:rsidRDefault="00B54C12" w:rsidP="00B54C12">
            <w:pPr>
              <w:pStyle w:val="TableText"/>
              <w:tabs>
                <w:tab w:val="decimal" w:pos="506"/>
              </w:tabs>
            </w:pPr>
            <w:r w:rsidRPr="00E07B1B">
              <w:t>53</w:t>
            </w:r>
          </w:p>
        </w:tc>
        <w:tc>
          <w:tcPr>
            <w:tcW w:w="795" w:type="pct"/>
            <w:tcBorders>
              <w:top w:val="single" w:sz="4" w:space="0" w:color="auto"/>
              <w:bottom w:val="nil"/>
            </w:tcBorders>
            <w:shd w:val="clear" w:color="auto" w:fill="F2F2F2" w:themeFill="background1" w:themeFillShade="F2"/>
          </w:tcPr>
          <w:p w:rsidR="00B54C12" w:rsidRPr="00E07B1B" w:rsidRDefault="00B54C12" w:rsidP="00B54C12">
            <w:pPr>
              <w:pStyle w:val="TableText"/>
              <w:tabs>
                <w:tab w:val="decimal" w:pos="367"/>
              </w:tabs>
            </w:pPr>
            <w:r w:rsidRPr="00E07B1B">
              <w:t>40% (2/5)</w:t>
            </w:r>
          </w:p>
        </w:tc>
        <w:tc>
          <w:tcPr>
            <w:tcW w:w="795" w:type="pct"/>
            <w:tcBorders>
              <w:top w:val="single" w:sz="4" w:space="0" w:color="auto"/>
              <w:bottom w:val="nil"/>
            </w:tcBorders>
            <w:shd w:val="clear" w:color="auto" w:fill="F2F2F2" w:themeFill="background1" w:themeFillShade="F2"/>
          </w:tcPr>
          <w:p w:rsidR="00B54C12" w:rsidRPr="00E07B1B" w:rsidRDefault="00B54C12" w:rsidP="00B54C12">
            <w:pPr>
              <w:pStyle w:val="TableText"/>
              <w:tabs>
                <w:tab w:val="decimal" w:pos="297"/>
              </w:tabs>
            </w:pPr>
            <w:r w:rsidRPr="00E07B1B">
              <w:t>6.3% (3/48)</w:t>
            </w:r>
          </w:p>
        </w:tc>
        <w:tc>
          <w:tcPr>
            <w:tcW w:w="985" w:type="pct"/>
            <w:tcBorders>
              <w:top w:val="single" w:sz="4" w:space="0" w:color="auto"/>
              <w:bottom w:val="nil"/>
            </w:tcBorders>
            <w:shd w:val="clear" w:color="auto" w:fill="F2F2F2" w:themeFill="background1" w:themeFillShade="F2"/>
          </w:tcPr>
          <w:p w:rsidR="00B54C12" w:rsidRPr="00E07B1B" w:rsidRDefault="00B54C12" w:rsidP="00B54C12">
            <w:pPr>
              <w:pStyle w:val="TableText"/>
              <w:tabs>
                <w:tab w:val="decimal" w:pos="511"/>
              </w:tabs>
            </w:pPr>
            <w:r w:rsidRPr="00E07B1B">
              <w:t>4.4% (2/47)</w:t>
            </w:r>
          </w:p>
        </w:tc>
        <w:tc>
          <w:tcPr>
            <w:tcW w:w="985" w:type="pct"/>
            <w:tcBorders>
              <w:top w:val="single" w:sz="4" w:space="0" w:color="auto"/>
              <w:bottom w:val="nil"/>
            </w:tcBorders>
            <w:shd w:val="clear" w:color="auto" w:fill="F2F2F2" w:themeFill="background1" w:themeFillShade="F2"/>
          </w:tcPr>
          <w:p w:rsidR="00B54C12" w:rsidRPr="00E07B1B" w:rsidRDefault="00B54C12" w:rsidP="00B54C12">
            <w:pPr>
              <w:pStyle w:val="TableText"/>
              <w:tabs>
                <w:tab w:val="decimal" w:pos="511"/>
              </w:tabs>
            </w:pPr>
            <w:r w:rsidRPr="00E07B1B">
              <w:t>50% (3/6)</w:t>
            </w:r>
          </w:p>
        </w:tc>
      </w:tr>
      <w:tr w:rsidR="00B54C12" w:rsidRPr="00E07B1B" w:rsidTr="00B54C12">
        <w:trPr>
          <w:cantSplit/>
        </w:trPr>
        <w:tc>
          <w:tcPr>
            <w:tcW w:w="911" w:type="pct"/>
            <w:tcBorders>
              <w:top w:val="nil"/>
            </w:tcBorders>
            <w:shd w:val="clear" w:color="auto" w:fill="auto"/>
          </w:tcPr>
          <w:p w:rsidR="00B54C12" w:rsidRPr="00E07B1B" w:rsidRDefault="00B54C12" w:rsidP="000C1845">
            <w:pPr>
              <w:pStyle w:val="TableText"/>
            </w:pPr>
            <w:r w:rsidRPr="00E07B1B">
              <w:rPr>
                <w:rFonts w:cs="Calibri"/>
              </w:rPr>
              <w:t>≥</w:t>
            </w:r>
            <w:r>
              <w:rPr>
                <w:rFonts w:cs="Calibri"/>
              </w:rPr>
              <w:t xml:space="preserve"> </w:t>
            </w:r>
            <w:r w:rsidRPr="00E07B1B">
              <w:t>24</w:t>
            </w:r>
          </w:p>
        </w:tc>
        <w:tc>
          <w:tcPr>
            <w:tcW w:w="529" w:type="pct"/>
            <w:tcBorders>
              <w:top w:val="nil"/>
            </w:tcBorders>
            <w:shd w:val="clear" w:color="auto" w:fill="auto"/>
          </w:tcPr>
          <w:p w:rsidR="00B54C12" w:rsidRPr="00E07B1B" w:rsidRDefault="00B54C12" w:rsidP="00B54C12">
            <w:pPr>
              <w:pStyle w:val="TableText"/>
              <w:tabs>
                <w:tab w:val="decimal" w:pos="506"/>
              </w:tabs>
            </w:pPr>
            <w:r w:rsidRPr="00E07B1B">
              <w:t>350</w:t>
            </w:r>
          </w:p>
        </w:tc>
        <w:tc>
          <w:tcPr>
            <w:tcW w:w="795" w:type="pct"/>
            <w:tcBorders>
              <w:top w:val="nil"/>
            </w:tcBorders>
            <w:shd w:val="clear" w:color="auto" w:fill="auto"/>
          </w:tcPr>
          <w:p w:rsidR="00B54C12" w:rsidRPr="00E07B1B" w:rsidRDefault="00B54C12" w:rsidP="00B54C12">
            <w:pPr>
              <w:pStyle w:val="TableText"/>
              <w:tabs>
                <w:tab w:val="decimal" w:pos="367"/>
              </w:tabs>
            </w:pPr>
            <w:r w:rsidRPr="00E07B1B">
              <w:t>46.2% (12/26)</w:t>
            </w:r>
          </w:p>
        </w:tc>
        <w:tc>
          <w:tcPr>
            <w:tcW w:w="795" w:type="pct"/>
            <w:tcBorders>
              <w:top w:val="nil"/>
            </w:tcBorders>
            <w:shd w:val="clear" w:color="auto" w:fill="auto"/>
          </w:tcPr>
          <w:p w:rsidR="00B54C12" w:rsidRPr="00E07B1B" w:rsidRDefault="00B54C12" w:rsidP="00B54C12">
            <w:pPr>
              <w:pStyle w:val="TableText"/>
              <w:tabs>
                <w:tab w:val="decimal" w:pos="297"/>
              </w:tabs>
            </w:pPr>
            <w:r w:rsidRPr="00E07B1B">
              <w:t>4.6% (15/324)</w:t>
            </w:r>
          </w:p>
        </w:tc>
        <w:tc>
          <w:tcPr>
            <w:tcW w:w="985" w:type="pct"/>
            <w:tcBorders>
              <w:top w:val="nil"/>
            </w:tcBorders>
            <w:shd w:val="clear" w:color="auto" w:fill="auto"/>
          </w:tcPr>
          <w:p w:rsidR="00B54C12" w:rsidRPr="00E07B1B" w:rsidRDefault="00B54C12" w:rsidP="00B54C12">
            <w:pPr>
              <w:pStyle w:val="TableText"/>
              <w:tabs>
                <w:tab w:val="decimal" w:pos="511"/>
              </w:tabs>
            </w:pPr>
            <w:r w:rsidRPr="00E07B1B">
              <w:t>3.7% (12/321)</w:t>
            </w:r>
          </w:p>
        </w:tc>
        <w:tc>
          <w:tcPr>
            <w:tcW w:w="985" w:type="pct"/>
            <w:tcBorders>
              <w:top w:val="nil"/>
            </w:tcBorders>
            <w:shd w:val="clear" w:color="auto" w:fill="auto"/>
          </w:tcPr>
          <w:p w:rsidR="00B54C12" w:rsidRPr="00E07B1B" w:rsidRDefault="00B54C12" w:rsidP="00B54C12">
            <w:pPr>
              <w:pStyle w:val="TableText"/>
              <w:tabs>
                <w:tab w:val="decimal" w:pos="511"/>
              </w:tabs>
            </w:pPr>
            <w:r w:rsidRPr="00E07B1B">
              <w:t>51.7% (15/24)</w:t>
            </w:r>
          </w:p>
        </w:tc>
      </w:tr>
    </w:tbl>
    <w:p w:rsidR="00B54C12" w:rsidRDefault="00B54C12" w:rsidP="00B54C12">
      <w:pPr>
        <w:pStyle w:val="Source"/>
      </w:pPr>
      <w:r w:rsidRPr="006B3928">
        <w:t xml:space="preserve">Source: Burlingame </w:t>
      </w:r>
      <w:r>
        <w:t>et al</w:t>
      </w:r>
      <w:r w:rsidRPr="006B3928">
        <w:t xml:space="preserve"> (2012)</w:t>
      </w:r>
    </w:p>
    <w:p w:rsidR="00B54C12" w:rsidRDefault="00B54C12" w:rsidP="00B54C12"/>
    <w:p w:rsidR="00B54C12" w:rsidRDefault="00B54C12" w:rsidP="00B54C12">
      <w:r>
        <w:br w:type="page"/>
      </w:r>
    </w:p>
    <w:p w:rsidR="0025490C" w:rsidRPr="00E07B1B" w:rsidRDefault="0025490C" w:rsidP="00C04C3B">
      <w:pPr>
        <w:pStyle w:val="Heading2"/>
        <w:spacing w:before="0" w:after="240"/>
        <w:ind w:left="0" w:firstLine="0"/>
      </w:pPr>
      <w:r w:rsidRPr="00E07B1B">
        <w:t>Appendix H</w:t>
      </w:r>
      <w:r>
        <w:t>:</w:t>
      </w:r>
      <w:r w:rsidRPr="00E07B1B">
        <w:t xml:space="preserve"> Screening principles applied to first trimester screening for undiagnosed diabetes</w:t>
      </w:r>
      <w:bookmarkEnd w:id="474"/>
      <w:bookmarkEnd w:id="475"/>
      <w:bookmarkEnd w:id="476"/>
    </w:p>
    <w:p w:rsidR="0025490C" w:rsidRPr="00E07B1B" w:rsidRDefault="0025490C" w:rsidP="005B0769">
      <w:r w:rsidRPr="00E07B1B">
        <w:t>Considering that the evidence to answer questions on screening early in pregnancy with HbA1c is scarce, it is important nevertheless to consider whether the test meets any or all of the criteria for screening originally proposed by the World Health Organization and modified for use in New Zealand (National Health Committee 2003). There are several clinical questions implicit in these criteria and a narrative review of the evidence has been compiled.</w:t>
      </w:r>
    </w:p>
    <w:p w:rsidR="0025490C" w:rsidRPr="00E07B1B" w:rsidRDefault="0025490C" w:rsidP="005B0769"/>
    <w:p w:rsidR="0025490C" w:rsidRPr="00E07B1B" w:rsidRDefault="0025490C" w:rsidP="005B0769">
      <w:r w:rsidRPr="00E07B1B">
        <w:t>The criteria are as follows</w:t>
      </w:r>
      <w:r>
        <w:t>.</w:t>
      </w:r>
    </w:p>
    <w:p w:rsidR="005B0769" w:rsidRPr="00E07B1B" w:rsidRDefault="005B0769" w:rsidP="005B0769">
      <w:pPr>
        <w:pStyle w:val="Box"/>
        <w:ind w:left="851" w:hanging="567"/>
      </w:pPr>
      <w:r>
        <w:t>1.</w:t>
      </w:r>
      <w:r>
        <w:tab/>
      </w:r>
      <w:r w:rsidRPr="00E07B1B">
        <w:t>The condition is a suitable candidate for screening</w:t>
      </w:r>
      <w:r>
        <w:t>.</w:t>
      </w:r>
    </w:p>
    <w:p w:rsidR="005B0769" w:rsidRPr="00E07B1B" w:rsidRDefault="005B0769" w:rsidP="005B0769">
      <w:pPr>
        <w:pStyle w:val="Box"/>
        <w:ind w:left="851" w:hanging="567"/>
      </w:pPr>
      <w:r>
        <w:t>2.</w:t>
      </w:r>
      <w:r>
        <w:tab/>
      </w:r>
      <w:r w:rsidRPr="00E07B1B">
        <w:t>There is a suitable test</w:t>
      </w:r>
      <w:r>
        <w:t>.</w:t>
      </w:r>
    </w:p>
    <w:p w:rsidR="005B0769" w:rsidRPr="00E07B1B" w:rsidRDefault="005B0769" w:rsidP="005B0769">
      <w:pPr>
        <w:pStyle w:val="Box"/>
        <w:ind w:left="851" w:hanging="567"/>
      </w:pPr>
      <w:r>
        <w:t>3.</w:t>
      </w:r>
      <w:r>
        <w:tab/>
      </w:r>
      <w:r w:rsidRPr="00E07B1B">
        <w:t>There is an effective and accessible treatment or intervention for the condition identified through early detection</w:t>
      </w:r>
      <w:r>
        <w:t>.</w:t>
      </w:r>
    </w:p>
    <w:p w:rsidR="005B0769" w:rsidRPr="00E07B1B" w:rsidRDefault="005B0769" w:rsidP="005B0769">
      <w:pPr>
        <w:pStyle w:val="Box"/>
        <w:ind w:left="851" w:hanging="567"/>
      </w:pPr>
      <w:r>
        <w:t>4.</w:t>
      </w:r>
      <w:r>
        <w:tab/>
      </w:r>
      <w:r w:rsidRPr="00E07B1B">
        <w:t>There is high</w:t>
      </w:r>
      <w:r>
        <w:t>-</w:t>
      </w:r>
      <w:r w:rsidRPr="00E07B1B">
        <w:t>quality evidence, ideally from randomised controlled trials, that a screening programme is effective in reducing mortality or morbidity</w:t>
      </w:r>
      <w:r>
        <w:t>.</w:t>
      </w:r>
    </w:p>
    <w:p w:rsidR="005B0769" w:rsidRPr="00E07B1B" w:rsidRDefault="005B0769" w:rsidP="005B0769">
      <w:pPr>
        <w:pStyle w:val="Box"/>
        <w:ind w:left="851" w:hanging="567"/>
      </w:pPr>
      <w:r>
        <w:t>5.</w:t>
      </w:r>
      <w:r>
        <w:tab/>
      </w:r>
      <w:r w:rsidRPr="00E07B1B">
        <w:t>The potential benefit from the screening program</w:t>
      </w:r>
      <w:r>
        <w:t>me</w:t>
      </w:r>
      <w:r w:rsidRPr="00E07B1B">
        <w:t xml:space="preserve"> should outweigh the potential physical and psychological harm (caused by the test, diagnostic procedures and treatment)</w:t>
      </w:r>
      <w:r>
        <w:t>.</w:t>
      </w:r>
    </w:p>
    <w:p w:rsidR="005B0769" w:rsidRPr="00E07B1B" w:rsidRDefault="005B0769" w:rsidP="005B0769">
      <w:pPr>
        <w:pStyle w:val="Box"/>
        <w:ind w:left="851" w:hanging="567"/>
      </w:pPr>
      <w:r>
        <w:t>6.</w:t>
      </w:r>
      <w:r>
        <w:tab/>
      </w:r>
      <w:r w:rsidRPr="00E07B1B">
        <w:t>The health care system will be capable of supporting all necessary elements of the screening pathway, including diagnosis, follow</w:t>
      </w:r>
      <w:r>
        <w:t>-</w:t>
      </w:r>
      <w:r w:rsidRPr="00E07B1B">
        <w:t>up and program</w:t>
      </w:r>
      <w:r>
        <w:t>me</w:t>
      </w:r>
      <w:r w:rsidRPr="00E07B1B">
        <w:t xml:space="preserve"> evaluation</w:t>
      </w:r>
      <w:r>
        <w:t>.</w:t>
      </w:r>
    </w:p>
    <w:p w:rsidR="005B0769" w:rsidRPr="00E07B1B" w:rsidRDefault="005B0769" w:rsidP="005B0769">
      <w:pPr>
        <w:pStyle w:val="Box"/>
        <w:ind w:left="851" w:hanging="567"/>
      </w:pPr>
      <w:r>
        <w:t>7.</w:t>
      </w:r>
      <w:r>
        <w:tab/>
      </w:r>
      <w:r w:rsidRPr="00E07B1B">
        <w:t>There is consideration of social and ethical issues</w:t>
      </w:r>
      <w:r>
        <w:t>.</w:t>
      </w:r>
    </w:p>
    <w:p w:rsidR="005B0769" w:rsidRPr="00E07B1B" w:rsidRDefault="005B0769" w:rsidP="005B0769">
      <w:pPr>
        <w:pStyle w:val="Box"/>
        <w:ind w:left="851" w:hanging="567"/>
      </w:pPr>
      <w:r>
        <w:t>8.</w:t>
      </w:r>
      <w:r>
        <w:tab/>
      </w:r>
      <w:r w:rsidRPr="00E07B1B">
        <w:t>There is consideration of cost</w:t>
      </w:r>
      <w:r>
        <w:t>–</w:t>
      </w:r>
      <w:r w:rsidRPr="00E07B1B">
        <w:t>benefit issues</w:t>
      </w:r>
      <w:r>
        <w:t>.</w:t>
      </w:r>
    </w:p>
    <w:p w:rsidR="0025490C" w:rsidRPr="00E07B1B" w:rsidRDefault="0025490C" w:rsidP="005B0769"/>
    <w:p w:rsidR="0025490C" w:rsidRPr="00E07B1B" w:rsidRDefault="0025490C" w:rsidP="005B0769">
      <w:r w:rsidRPr="00E07B1B">
        <w:t>Taking each of these criteria in turn, HbA1c will be evaluated as a screening test for type 2 diabetes early in pregnancy (prior to 20 weeks).</w:t>
      </w:r>
    </w:p>
    <w:p w:rsidR="0025490C" w:rsidRPr="00E07B1B" w:rsidRDefault="0025490C" w:rsidP="005B0769"/>
    <w:p w:rsidR="0025490C" w:rsidRPr="00E07B1B" w:rsidRDefault="0025490C" w:rsidP="005B0769">
      <w:pPr>
        <w:pStyle w:val="Heading3"/>
        <w:ind w:left="567" w:hanging="567"/>
      </w:pPr>
      <w:bookmarkStart w:id="479" w:name="_Toc363717792"/>
      <w:r>
        <w:t>1</w:t>
      </w:r>
      <w:r w:rsidR="005B0769">
        <w:tab/>
      </w:r>
      <w:r w:rsidRPr="00E07B1B">
        <w:t>The condition is a suitable candidate for screening</w:t>
      </w:r>
      <w:bookmarkEnd w:id="479"/>
    </w:p>
    <w:p w:rsidR="0025490C" w:rsidRPr="00E07B1B" w:rsidRDefault="0025490C" w:rsidP="005B0769">
      <w:r w:rsidRPr="00E07B1B">
        <w:t>Undiagnosed type 2 diabetes is a significant and growing problem in New Zealand. It has been suggested that pregnancy may be playing a major role in the epidemic of type 2 diabetes via intra-uterine fetal programming (Hughes</w:t>
      </w:r>
      <w:r>
        <w:t xml:space="preserve"> </w:t>
      </w:r>
      <w:r w:rsidR="00D562F2">
        <w:t>et al</w:t>
      </w:r>
      <w:r w:rsidRPr="00E07B1B">
        <w:t xml:space="preserve"> 201</w:t>
      </w:r>
      <w:r>
        <w:t>4</w:t>
      </w:r>
      <w:r w:rsidRPr="00E07B1B">
        <w:t xml:space="preserve">). Pregnant women with diabetes produce offspring with an increased risk of diabetes and obesity themselves, leading to a vicious cycle (Fetit </w:t>
      </w:r>
      <w:r w:rsidR="00D562F2">
        <w:t>et al</w:t>
      </w:r>
      <w:r w:rsidRPr="00E07B1B">
        <w:t xml:space="preserve"> 2006; McLean </w:t>
      </w:r>
      <w:r w:rsidR="00D562F2">
        <w:t>et al</w:t>
      </w:r>
      <w:r w:rsidRPr="00E07B1B">
        <w:t xml:space="preserve"> 2006)</w:t>
      </w:r>
      <w:r>
        <w:t>,</w:t>
      </w:r>
      <w:r w:rsidRPr="00E07B1B">
        <w:t xml:space="preserve"> and so early detection and treatment may break this cycle of events. In the general population, an estimated 50% of people with type 2 diabetes (100,000 people in New Zealand) and many more with prediabetes are undiagnosed. Moreover, the incidence of type 2 diabetes in pregnancy appears to be increasing and is now greater than type</w:t>
      </w:r>
      <w:r w:rsidR="005B0769">
        <w:t> </w:t>
      </w:r>
      <w:r w:rsidRPr="00E07B1B">
        <w:t xml:space="preserve">1 diabetes (Cheung </w:t>
      </w:r>
      <w:r w:rsidR="00D562F2">
        <w:t>et al</w:t>
      </w:r>
      <w:r w:rsidRPr="00E07B1B">
        <w:t xml:space="preserve"> 2005; Drury </w:t>
      </w:r>
      <w:r w:rsidR="005B0769">
        <w:t>et al</w:t>
      </w:r>
      <w:r w:rsidRPr="00E07B1B">
        <w:t xml:space="preserve"> 2013).</w:t>
      </w:r>
    </w:p>
    <w:p w:rsidR="0025490C" w:rsidRDefault="0025490C" w:rsidP="005B0769"/>
    <w:p w:rsidR="0025490C" w:rsidRPr="00E07B1B" w:rsidRDefault="0025490C" w:rsidP="005B0769">
      <w:pPr>
        <w:keepLines/>
      </w:pPr>
      <w:r w:rsidRPr="00E07B1B">
        <w:t>Gestational diabetes, which may be detected by screening at 24</w:t>
      </w:r>
      <w:r>
        <w:t>–</w:t>
      </w:r>
      <w:r w:rsidRPr="00E07B1B">
        <w:t>28 weeks</w:t>
      </w:r>
      <w:r w:rsidR="0068074A">
        <w:t>’</w:t>
      </w:r>
      <w:r w:rsidRPr="00E07B1B">
        <w:t xml:space="preserve"> gestation, usually resolves after a woman has given birth, but undiagnosed type 2 diabetes does not. It has been estimated that the proportion of cases with </w:t>
      </w:r>
      <w:r>
        <w:t>gestational diabetes</w:t>
      </w:r>
      <w:r w:rsidRPr="00E07B1B">
        <w:t xml:space="preserve"> corresponding to undiagnosed type 2 diabetes ranges from 8</w:t>
      </w:r>
      <w:r>
        <w:t>–</w:t>
      </w:r>
      <w:r w:rsidRPr="00E07B1B">
        <w:t>15% (Guedj 2010). Thus an early screening program</w:t>
      </w:r>
      <w:r>
        <w:t>me</w:t>
      </w:r>
      <w:r w:rsidRPr="00E07B1B">
        <w:t xml:space="preserve"> to identify possible cases of undiagnosed type 2 diabetes should pick up women earlier when interventions could be considered well before birth.</w:t>
      </w:r>
    </w:p>
    <w:p w:rsidR="0025490C" w:rsidRDefault="0025490C" w:rsidP="005B0769"/>
    <w:p w:rsidR="0025490C" w:rsidRDefault="0025490C" w:rsidP="005B0769">
      <w:r w:rsidRPr="00E07B1B">
        <w:t>This first criterion is met, as undiagnosed type 2 diabetes in pregnancy is important and the prevalence is increasing.</w:t>
      </w:r>
    </w:p>
    <w:p w:rsidR="0025490C" w:rsidRPr="00E07B1B" w:rsidRDefault="0025490C" w:rsidP="005B0769"/>
    <w:p w:rsidR="0025490C" w:rsidRPr="00E07B1B" w:rsidRDefault="0025490C" w:rsidP="005B0769">
      <w:pPr>
        <w:pStyle w:val="Heading3"/>
        <w:ind w:left="567" w:hanging="567"/>
      </w:pPr>
      <w:bookmarkStart w:id="480" w:name="_Toc363717793"/>
      <w:r>
        <w:t>2</w:t>
      </w:r>
      <w:r w:rsidR="005B0769">
        <w:tab/>
      </w:r>
      <w:r w:rsidRPr="00E07B1B">
        <w:t>There is a suitable test</w:t>
      </w:r>
      <w:bookmarkEnd w:id="480"/>
    </w:p>
    <w:p w:rsidR="0025490C" w:rsidRDefault="0025490C" w:rsidP="005B0769">
      <w:r w:rsidRPr="00E07B1B">
        <w:t xml:space="preserve">Previously, HbA1c has not been considered a screening option on the grounds of insensitivity (Scott </w:t>
      </w:r>
      <w:r w:rsidR="00D562F2">
        <w:t>et al</w:t>
      </w:r>
      <w:r w:rsidRPr="00E07B1B">
        <w:t xml:space="preserve"> 2002). However, advances in the measurement of HbA1c have made it a more reliable and standardised test and it is now recommended for diagnosing type 2 diabetes in non</w:t>
      </w:r>
      <w:r>
        <w:t>-</w:t>
      </w:r>
      <w:r w:rsidRPr="00E07B1B">
        <w:t>pregnant patients using a cut</w:t>
      </w:r>
      <w:r>
        <w:t>-off</w:t>
      </w:r>
      <w:r w:rsidRPr="00E07B1B">
        <w:t xml:space="preserve"> point of ≥</w:t>
      </w:r>
      <w:r>
        <w:t> </w:t>
      </w:r>
      <w:r w:rsidRPr="00E07B1B">
        <w:t>48</w:t>
      </w:r>
      <w:r>
        <w:t> </w:t>
      </w:r>
      <w:r w:rsidRPr="00E07B1B">
        <w:t xml:space="preserve">mmol/mol (Braatvedt </w:t>
      </w:r>
      <w:r w:rsidR="00D562F2">
        <w:t>et al</w:t>
      </w:r>
      <w:r w:rsidRPr="00E07B1B">
        <w:t xml:space="preserve"> 2012</w:t>
      </w:r>
      <w:r>
        <w:t xml:space="preserve">; </w:t>
      </w:r>
      <w:r w:rsidRPr="00E07B1B">
        <w:t>American Diabetes Association 2013). Although there is evidence on the use of HbA1c for this purpose, it has not been well evaluated as a screening test in women early in pregnancy.</w:t>
      </w:r>
    </w:p>
    <w:p w:rsidR="0025490C" w:rsidRPr="00E07B1B" w:rsidRDefault="0025490C" w:rsidP="005B0769"/>
    <w:p w:rsidR="0025490C" w:rsidRDefault="0025490C" w:rsidP="005B0769">
      <w:r w:rsidRPr="00E07B1B">
        <w:t xml:space="preserve">Preliminary analyses </w:t>
      </w:r>
      <w:r>
        <w:t>in t</w:t>
      </w:r>
      <w:r w:rsidRPr="00E07B1B">
        <w:t>he recent Hughes study conducted in New Zealand found that the area under the ROC curves for HbA1c for detecting type 2 diabetes was 0.99 (versus 0.81 for random blood glucose). The optimal HbA1c threshold reported by this study for detecting type 2 diabetes was 41</w:t>
      </w:r>
      <w:r>
        <w:t xml:space="preserve"> </w:t>
      </w:r>
      <w:r w:rsidRPr="00E07B1B">
        <w:t xml:space="preserve">mmol/mol, with 100% sensitivity and 97% specificity (Hughes </w:t>
      </w:r>
      <w:r w:rsidR="00D562F2">
        <w:t>et al</w:t>
      </w:r>
      <w:r w:rsidRPr="00E07B1B">
        <w:t xml:space="preserve"> 2013). The positive predictive value in this low prevalence population was 18.8%.</w:t>
      </w:r>
    </w:p>
    <w:p w:rsidR="0025490C" w:rsidRPr="00E07B1B" w:rsidRDefault="0025490C" w:rsidP="005B0769"/>
    <w:p w:rsidR="0068074A" w:rsidRDefault="0025490C" w:rsidP="005B0769">
      <w:r w:rsidRPr="00E07B1B">
        <w:t xml:space="preserve">These findings regarding the performance of the HbA1c test are contradicted by indirect evidence from three cohort studies; these studies were conducted in women </w:t>
      </w:r>
      <w:r>
        <w:t>who had</w:t>
      </w:r>
      <w:r w:rsidRPr="00E07B1B">
        <w:t xml:space="preserve"> previous</w:t>
      </w:r>
      <w:r>
        <w:t>ly had</w:t>
      </w:r>
      <w:r w:rsidRPr="00E07B1B">
        <w:t xml:space="preserve"> </w:t>
      </w:r>
      <w:r>
        <w:t>gestational diabetes and were now</w:t>
      </w:r>
      <w:r w:rsidRPr="00E07B1B">
        <w:t xml:space="preserve"> in the postpartum period. Although there are a number of studies assessing test performance of HbA1c in the general non</w:t>
      </w:r>
      <w:r>
        <w:t>-</w:t>
      </w:r>
      <w:r w:rsidRPr="00E07B1B">
        <w:t xml:space="preserve">pregnant population, indirect evidence from women who are postpartum is most likely to be relevant as this group is in a similar age bracket to women who are newly pregnant. A cohort study with unclear risk of bias of women with a previous diagnosis of </w:t>
      </w:r>
      <w:r>
        <w:t>gestational diabetes</w:t>
      </w:r>
      <w:r w:rsidRPr="00E07B1B">
        <w:t xml:space="preserve"> who were no longer pregnant (at 6</w:t>
      </w:r>
      <w:r w:rsidR="005B0769">
        <w:t> </w:t>
      </w:r>
      <w:r w:rsidRPr="00E07B1B">
        <w:t>weeks to 36 months postpartum) found that HbA1c (at a level ≥</w:t>
      </w:r>
      <w:r>
        <w:t xml:space="preserve"> </w:t>
      </w:r>
      <w:r w:rsidRPr="00E07B1B">
        <w:t>39</w:t>
      </w:r>
      <w:r>
        <w:t xml:space="preserve"> </w:t>
      </w:r>
      <w:r w:rsidRPr="00E07B1B">
        <w:t>mmol/mol) had 65% sensitivity and 68% specificity for identifying elevated fasting plasma or 2</w:t>
      </w:r>
      <w:r>
        <w:t>-</w:t>
      </w:r>
      <w:r w:rsidRPr="00E07B1B">
        <w:t xml:space="preserve">hour oral glucose tolerance test and 75% sensitivity and 62% specificity for elevated fasting plasma glucose alone (Kim </w:t>
      </w:r>
      <w:r w:rsidR="00D562F2">
        <w:t>et al</w:t>
      </w:r>
      <w:r w:rsidRPr="00E07B1B">
        <w:t xml:space="preserve"> 2011). The authors recommended that the agreement between HbA1c and glucose levels was fair for detection of abnormal glucose tolerance among women with histories of </w:t>
      </w:r>
      <w:r>
        <w:t>gestational diabetes</w:t>
      </w:r>
      <w:r w:rsidRPr="00E07B1B">
        <w:t>.</w:t>
      </w:r>
    </w:p>
    <w:p w:rsidR="0025490C" w:rsidRDefault="0025490C" w:rsidP="005B0769"/>
    <w:p w:rsidR="0025490C" w:rsidRPr="00E07B1B" w:rsidRDefault="0025490C" w:rsidP="005B0769">
      <w:r w:rsidRPr="00E07B1B">
        <w:t xml:space="preserve">Another cohort study with low risk of bias evaluated the usefulness of HbA1c for the reassessment of carbohydrate metabolism in postpartum women with a history of </w:t>
      </w:r>
      <w:r>
        <w:t>gestational diabetes</w:t>
      </w:r>
      <w:r w:rsidRPr="00E07B1B">
        <w:t xml:space="preserve"> using levels of 39</w:t>
      </w:r>
      <w:r>
        <w:t>–</w:t>
      </w:r>
      <w:r w:rsidRPr="00E07B1B">
        <w:t>47 mmol/mol to indicate prediabetes and ≥</w:t>
      </w:r>
      <w:r>
        <w:t> </w:t>
      </w:r>
      <w:r w:rsidRPr="00E07B1B">
        <w:t>48</w:t>
      </w:r>
      <w:r>
        <w:t> </w:t>
      </w:r>
      <w:r w:rsidRPr="00E07B1B">
        <w:t xml:space="preserve">mmol/mol to indicate diabetes; it found that neither HbA1c alone </w:t>
      </w:r>
      <w:r>
        <w:t>n</w:t>
      </w:r>
      <w:r w:rsidRPr="00E07B1B">
        <w:t>or HbA1c in combination with fasting plasma glucose provide</w:t>
      </w:r>
      <w:r>
        <w:t>d</w:t>
      </w:r>
      <w:r w:rsidRPr="00E07B1B">
        <w:t xml:space="preserve"> a sensitive and specific diagnosis of abnormal carbohydrate metabolism in women who had had </w:t>
      </w:r>
      <w:r>
        <w:t>gestational diabetes</w:t>
      </w:r>
      <w:r w:rsidRPr="00E07B1B">
        <w:t xml:space="preserve"> (Picon </w:t>
      </w:r>
      <w:r w:rsidR="00D562F2">
        <w:t>et al</w:t>
      </w:r>
      <w:r w:rsidRPr="00E07B1B">
        <w:t xml:space="preserve"> 2012). Another observational study with unclear risk of bias found that the sensitivity and specificity for HbA1c at a threshold of 48</w:t>
      </w:r>
      <w:r>
        <w:t xml:space="preserve"> </w:t>
      </w:r>
      <w:r w:rsidRPr="00E07B1B">
        <w:t xml:space="preserve">mmol/mol to diagnose diabetes </w:t>
      </w:r>
      <w:r>
        <w:t>were</w:t>
      </w:r>
      <w:r w:rsidRPr="00E07B1B">
        <w:t xml:space="preserve"> 16.7% and 100% respectively using the oral glucose tolerance test as a reference standard. However</w:t>
      </w:r>
      <w:r>
        <w:t>,</w:t>
      </w:r>
      <w:r w:rsidRPr="00E07B1B">
        <w:t xml:space="preserve"> the combination of a cut</w:t>
      </w:r>
      <w:r>
        <w:t>-</w:t>
      </w:r>
      <w:r w:rsidRPr="00E07B1B">
        <w:t>off value of 36</w:t>
      </w:r>
      <w:r>
        <w:t xml:space="preserve"> </w:t>
      </w:r>
      <w:r w:rsidRPr="00E07B1B">
        <w:t xml:space="preserve">mmol/mol for HbA1c and fasting plasma glucose identified 95.1% of women with any kind of glucose intolerance (Megia </w:t>
      </w:r>
      <w:r w:rsidR="00D562F2">
        <w:t>et al</w:t>
      </w:r>
      <w:r w:rsidRPr="00E07B1B">
        <w:t xml:space="preserve"> 2012).</w:t>
      </w:r>
    </w:p>
    <w:p w:rsidR="0025490C" w:rsidRDefault="0025490C" w:rsidP="005B0769"/>
    <w:p w:rsidR="0025490C" w:rsidRPr="00E07B1B" w:rsidRDefault="0025490C" w:rsidP="005B0769">
      <w:r w:rsidRPr="00E07B1B">
        <w:t>Other indirect evidence regarding the performance of HbA1c was identified in dissimilar population groups. A study with a population of German participants ranging in age from</w:t>
      </w:r>
      <w:r w:rsidR="005B0769">
        <w:br/>
      </w:r>
      <w:r w:rsidRPr="00E07B1B">
        <w:t>55</w:t>
      </w:r>
      <w:r>
        <w:t>–</w:t>
      </w:r>
      <w:r w:rsidRPr="00E07B1B">
        <w:t>74 years found that the most effective screening strategy in terms of number of cases (54%) was HbA1c ≥</w:t>
      </w:r>
      <w:r>
        <w:t xml:space="preserve"> </w:t>
      </w:r>
      <w:r w:rsidRPr="00E07B1B">
        <w:t>38</w:t>
      </w:r>
      <w:r>
        <w:t xml:space="preserve"> </w:t>
      </w:r>
      <w:r w:rsidRPr="00E07B1B">
        <w:t xml:space="preserve">mmol/mol combined with an oral glucose tolerance test but it was also the most expensive (Icks </w:t>
      </w:r>
      <w:r w:rsidR="00D562F2">
        <w:t>et al</w:t>
      </w:r>
      <w:r w:rsidRPr="00E07B1B">
        <w:t xml:space="preserve"> 2004). The sensitivity was 75.1% and specificity was 56.6%. In a population of 11,247 Australians aged 25 years and over, a threshold of HbA1c ≥</w:t>
      </w:r>
      <w:r>
        <w:t xml:space="preserve"> </w:t>
      </w:r>
      <w:r w:rsidRPr="00E07B1B">
        <w:t>34</w:t>
      </w:r>
      <w:r>
        <w:t xml:space="preserve"> </w:t>
      </w:r>
      <w:r w:rsidRPr="00E07B1B">
        <w:t>mmol/mol in subjects with one risk factor for diabetes resulted in a sensitivity of 78.7% and specificity of 82.8% for diabetes and</w:t>
      </w:r>
      <w:r>
        <w:t xml:space="preserve"> of</w:t>
      </w:r>
      <w:r w:rsidRPr="00E07B1B">
        <w:t xml:space="preserve"> 42.0% and 88.2%</w:t>
      </w:r>
      <w:r>
        <w:t xml:space="preserve"> respectively</w:t>
      </w:r>
      <w:r w:rsidRPr="00E07B1B">
        <w:t xml:space="preserve"> for impaired glucose tolerance or impaired fasting glucose. The positive predictive value</w:t>
      </w:r>
      <w:r>
        <w:t>s</w:t>
      </w:r>
      <w:r w:rsidRPr="00E07B1B">
        <w:t xml:space="preserve"> in this population </w:t>
      </w:r>
      <w:r>
        <w:t>were</w:t>
      </w:r>
      <w:r w:rsidRPr="00E07B1B">
        <w:t xml:space="preserve"> 15.5% and 43.2% respectively (Colagiuri </w:t>
      </w:r>
      <w:r w:rsidR="00D562F2">
        <w:t>et al</w:t>
      </w:r>
      <w:r w:rsidRPr="00E07B1B">
        <w:t xml:space="preserve"> 2004) and 19.5% of Australian adults would require an oral glucose tolerance test. These findings with HbA1c were similar to those using fasting plasma glucose alone (≥</w:t>
      </w:r>
      <w:r>
        <w:t xml:space="preserve"> </w:t>
      </w:r>
      <w:r w:rsidRPr="00E07B1B">
        <w:t>5.5</w:t>
      </w:r>
      <w:r>
        <w:t xml:space="preserve"> </w:t>
      </w:r>
      <w:r w:rsidRPr="00E07B1B">
        <w:t>mmol/L) in a similar population. A South Auckland study among European, Māori and Pacific peoples aged 40</w:t>
      </w:r>
      <w:r>
        <w:t>–</w:t>
      </w:r>
      <w:r w:rsidRPr="00E07B1B">
        <w:t>79 years reported that an HbA1c of ≥</w:t>
      </w:r>
      <w:r>
        <w:t xml:space="preserve"> </w:t>
      </w:r>
      <w:r w:rsidRPr="00E07B1B">
        <w:t>34</w:t>
      </w:r>
      <w:r>
        <w:t xml:space="preserve"> </w:t>
      </w:r>
      <w:r w:rsidRPr="00E07B1B">
        <w:t>mmol/mol was the optimal screening cut</w:t>
      </w:r>
      <w:r>
        <w:t>-</w:t>
      </w:r>
      <w:r w:rsidRPr="00E07B1B">
        <w:t>off with a sensitivity, specificity and positive predictive value for undiagnosed diabetes in those with at least one risk factor of 76.3%, 67.7% and 22.29%, respectively (Simmons</w:t>
      </w:r>
      <w:r>
        <w:t xml:space="preserve"> </w:t>
      </w:r>
      <w:r w:rsidR="00D562F2">
        <w:t>et al</w:t>
      </w:r>
      <w:r w:rsidRPr="00E07B1B">
        <w:t xml:space="preserve"> 2004). Fasting blood glucose had better sensitivity, specificity and positive predictive value than HbA1c.</w:t>
      </w:r>
    </w:p>
    <w:p w:rsidR="0025490C" w:rsidRDefault="0025490C" w:rsidP="005B0769"/>
    <w:p w:rsidR="0025490C" w:rsidRPr="00E07B1B" w:rsidRDefault="0025490C" w:rsidP="005B0769">
      <w:r w:rsidRPr="00E07B1B">
        <w:t>In addition to test performance, there are other issues to consider regarding the appropriateness of the test for screening. It is considered more convenient than fasting plasma glucose as fasting is not required. However, HbA1c may vary with patient</w:t>
      </w:r>
      <w:r w:rsidR="0068074A">
        <w:t>’</w:t>
      </w:r>
      <w:r w:rsidRPr="00E07B1B">
        <w:t>s ethnicity and can inaccurately reflect glycaemia with certain anaemias and haemoglobinopathies (American Diabetes Association 2013).</w:t>
      </w:r>
    </w:p>
    <w:p w:rsidR="0025490C" w:rsidRDefault="0025490C" w:rsidP="005B0769"/>
    <w:p w:rsidR="0068074A" w:rsidRDefault="0025490C" w:rsidP="005B0769">
      <w:r w:rsidRPr="00E07B1B">
        <w:t xml:space="preserve">Thus the evidence behind the test performance of HbA1c is scant and conflicting, possibly because of the different populations assessed. </w:t>
      </w:r>
      <w:r>
        <w:t>In</w:t>
      </w:r>
      <w:r w:rsidRPr="00E07B1B">
        <w:t xml:space="preserve"> regard</w:t>
      </w:r>
      <w:r>
        <w:t xml:space="preserve"> to</w:t>
      </w:r>
      <w:r w:rsidRPr="00E07B1B">
        <w:t xml:space="preserve"> performance of this test in women early in their pregnancy, further confirmation is required from other studies, specifically in pregnant patients. There is insufficient evidence to indicate whether this criterion is met.</w:t>
      </w:r>
    </w:p>
    <w:p w:rsidR="0025490C" w:rsidRPr="00E07B1B" w:rsidRDefault="0025490C" w:rsidP="005B0769"/>
    <w:p w:rsidR="0025490C" w:rsidRPr="00E07B1B" w:rsidRDefault="0025490C" w:rsidP="005B0769">
      <w:pPr>
        <w:pStyle w:val="Heading3"/>
        <w:ind w:left="567" w:hanging="567"/>
      </w:pPr>
      <w:bookmarkStart w:id="481" w:name="_Toc363717794"/>
      <w:r>
        <w:t>3</w:t>
      </w:r>
      <w:r w:rsidR="005B0769">
        <w:tab/>
      </w:r>
      <w:r w:rsidRPr="00E07B1B">
        <w:t>There is an effective and accessible treatment or intervention for the condition identified through early detection</w:t>
      </w:r>
      <w:bookmarkEnd w:id="481"/>
    </w:p>
    <w:p w:rsidR="0068074A" w:rsidRDefault="0025490C" w:rsidP="005B0769">
      <w:r w:rsidRPr="00E07B1B">
        <w:t>Management of type 2 diabetes in pregnancy includes lifestyle interventions (nutrition and exercise), as well as insulin and other drugs. Self</w:t>
      </w:r>
      <w:r>
        <w:t>-</w:t>
      </w:r>
      <w:r w:rsidRPr="00E07B1B">
        <w:t xml:space="preserve">monitoring enables a woman with diabetes to check her blood glucose concentrations. A randomised controlled trial found that women with type 1 or 2 diabetes randomised to continuous glucose monitoring compared </w:t>
      </w:r>
      <w:r>
        <w:t>with</w:t>
      </w:r>
      <w:r w:rsidRPr="00E07B1B">
        <w:t xml:space="preserve"> standard antenatal care had lower mean glycated haemoglobin concentrations at 32</w:t>
      </w:r>
      <w:r>
        <w:t>–</w:t>
      </w:r>
      <w:r w:rsidRPr="00E07B1B">
        <w:t>36 weeks</w:t>
      </w:r>
      <w:r w:rsidR="0068074A">
        <w:t>’</w:t>
      </w:r>
      <w:r w:rsidRPr="00E07B1B">
        <w:t xml:space="preserve"> gestation (5.8% vs 6.4%), decreased mean birthweight scores and reduced risk of macrosomia (Murphy </w:t>
      </w:r>
      <w:r w:rsidR="00D562F2">
        <w:t>et al</w:t>
      </w:r>
      <w:r w:rsidRPr="00E07B1B">
        <w:t xml:space="preserve"> 2008). Another study compared pregnancy outcomes retrospectively in women diagnosed with </w:t>
      </w:r>
      <w:r>
        <w:t>gestational diabetes</w:t>
      </w:r>
      <w:r w:rsidRPr="00E07B1B">
        <w:t xml:space="preserve"> (which included type 2 diabetes) either early (at </w:t>
      </w:r>
      <w:r>
        <w:t xml:space="preserve">the </w:t>
      </w:r>
      <w:r w:rsidRPr="00E07B1B">
        <w:t>time of first antenatal visit) or later (24</w:t>
      </w:r>
      <w:r>
        <w:t>–</w:t>
      </w:r>
      <w:r w:rsidRPr="00E07B1B">
        <w:t>28 weeks</w:t>
      </w:r>
      <w:r w:rsidR="0068074A">
        <w:t>’</w:t>
      </w:r>
      <w:r w:rsidRPr="00E07B1B">
        <w:t xml:space="preserve"> gestation) with an oral glucose tolerance test (Bartha </w:t>
      </w:r>
      <w:r w:rsidR="00D562F2">
        <w:t>et al</w:t>
      </w:r>
      <w:r w:rsidRPr="00E07B1B">
        <w:t xml:space="preserve"> 2003). Early diagnostic testing avoided some diabetes-related complications, such as hydramnios, fetal anomalies and preterm deliveries. In another study, information gathered from continuous glucose monitoring systems altered clinical management decisions in 62% of cases (McLachlan </w:t>
      </w:r>
      <w:r w:rsidR="00D562F2">
        <w:t>et al</w:t>
      </w:r>
      <w:r w:rsidRPr="00E07B1B">
        <w:t xml:space="preserve"> 2007).</w:t>
      </w:r>
    </w:p>
    <w:p w:rsidR="0025490C" w:rsidRPr="00E07B1B" w:rsidRDefault="0025490C" w:rsidP="005B0769"/>
    <w:p w:rsidR="0068074A" w:rsidRDefault="0025490C" w:rsidP="005B0769">
      <w:pPr>
        <w:keepLines/>
      </w:pPr>
      <w:r w:rsidRPr="00E07B1B">
        <w:t>The American Diabetes Association recommends that women with diabetes receive nutrition counselling which involves a carbohydrate</w:t>
      </w:r>
      <w:r>
        <w:t>-</w:t>
      </w:r>
      <w:r w:rsidRPr="00E07B1B">
        <w:t>controlled meal plan with specific dietary recommendations determined and regularly modified by individual assessment (American Diabetes Association 2013). Exercise is also recommended to minimise the complications of diabetes in pregnancy (at least 30 minutes of planned physical activity each day</w:t>
      </w:r>
      <w:r>
        <w:t>)</w:t>
      </w:r>
      <w:r w:rsidRPr="00E07B1B">
        <w:t xml:space="preserve"> (Jovanovic 2004). However, despite efforts to maintain euglycaemia with diet and exercise alone, many women with diabetes discover that hyperglycaemia persists</w:t>
      </w:r>
      <w:r>
        <w:t>,</w:t>
      </w:r>
      <w:r w:rsidRPr="00E07B1B">
        <w:t xml:space="preserve"> necessitating supplemental pharmacological therapy. Fine</w:t>
      </w:r>
      <w:r>
        <w:t>-</w:t>
      </w:r>
      <w:r w:rsidRPr="00E07B1B">
        <w:t>tuned insulin therapy and safe antihypertensive therapy are often required.</w:t>
      </w:r>
    </w:p>
    <w:p w:rsidR="0025490C" w:rsidRPr="00E07B1B" w:rsidRDefault="0025490C" w:rsidP="005B0769"/>
    <w:p w:rsidR="0025490C" w:rsidRDefault="0025490C" w:rsidP="005B0769">
      <w:r w:rsidRPr="00E07B1B">
        <w:t xml:space="preserve">Although there are recommendations for treatment when diabetes is diagnosed in pregnancy, it is still relatively unclear whether earlier treatment leads to improved outcomes and the starting point for screening needs to be taken into account. Most groups recommend </w:t>
      </w:r>
      <w:r>
        <w:t>undertaking</w:t>
      </w:r>
      <w:r w:rsidRPr="00E07B1B">
        <w:t xml:space="preserve"> early screening for undiagnosed type 2 diabetes at the time of the first antenatal visit, but as the timing of the first antenatal visit varies throughout the country, the efficacy of treatment is also likely to vary as it will be instituted at different times throughout gestation. The rationale for early screening is that there will be more time available for intervention, but it is not clear whether these interventions impact significantly on outcomes. Ideally, this should come from randomised controlled trials.</w:t>
      </w:r>
    </w:p>
    <w:p w:rsidR="0025490C" w:rsidRPr="00E07B1B" w:rsidRDefault="0025490C" w:rsidP="005B0769"/>
    <w:p w:rsidR="0025490C" w:rsidRDefault="0025490C" w:rsidP="0025490C">
      <w:r w:rsidRPr="00E07B1B">
        <w:t xml:space="preserve">Thus </w:t>
      </w:r>
      <w:r w:rsidRPr="005B0769">
        <w:t>i</w:t>
      </w:r>
      <w:r w:rsidRPr="00E07B1B">
        <w:t>t is unclear if this criterion is met.</w:t>
      </w:r>
    </w:p>
    <w:p w:rsidR="0025490C" w:rsidRPr="00E07B1B" w:rsidRDefault="0025490C" w:rsidP="005B0769"/>
    <w:p w:rsidR="0025490C" w:rsidRPr="00E07B1B" w:rsidRDefault="0025490C" w:rsidP="005B0769">
      <w:pPr>
        <w:pStyle w:val="Heading3"/>
        <w:ind w:left="567" w:hanging="567"/>
      </w:pPr>
      <w:bookmarkStart w:id="482" w:name="_Toc363717795"/>
      <w:r>
        <w:t>4</w:t>
      </w:r>
      <w:r w:rsidR="005B0769">
        <w:tab/>
      </w:r>
      <w:r w:rsidRPr="00E07B1B">
        <w:t>There is high</w:t>
      </w:r>
      <w:r>
        <w:t>-</w:t>
      </w:r>
      <w:r w:rsidRPr="00E07B1B">
        <w:t>quality evidence, ideally from randomised controlled trials, that a screening programme is effective in reducing mortality or morbidity</w:t>
      </w:r>
      <w:bookmarkEnd w:id="482"/>
    </w:p>
    <w:p w:rsidR="0025490C" w:rsidRDefault="0025490C" w:rsidP="005B0769">
      <w:r w:rsidRPr="00E07B1B">
        <w:t xml:space="preserve">Mortality and morbidity outcomes are increased in pregnant women with unrecognised type 2 diabetes. In Auckland, the perinatal mortality rate was 46.1/1000 among women with type 2 diabetes compared </w:t>
      </w:r>
      <w:r>
        <w:t>with</w:t>
      </w:r>
      <w:r w:rsidRPr="00E07B1B">
        <w:t xml:space="preserve"> 12.1/1000 for both type 1 diabetes and the background population (Cundy </w:t>
      </w:r>
      <w:r w:rsidR="00D562F2">
        <w:t>et al</w:t>
      </w:r>
      <w:r w:rsidRPr="00E07B1B">
        <w:t xml:space="preserve"> 2000). In the subgroup of women with type 2 diabetes that had not been recognised until the woman was pregnant, the perinatal mortality was even higher (56.2/1000). Studies from other countries also confirm the excess mortality in this group of women; one study has reported that the mean perinatal mortality rate is 7.6% (Langer </w:t>
      </w:r>
      <w:r w:rsidR="00D562F2">
        <w:t>et al</w:t>
      </w:r>
      <w:r w:rsidRPr="00E07B1B">
        <w:t xml:space="preserve"> 2010). In addition, the rate of major congenital malformations (cardiac, musculoskeletal, genito-urinary and neurological defects) is considerably higher than in the background population (Cheung </w:t>
      </w:r>
      <w:r w:rsidR="00D562F2">
        <w:t>et al</w:t>
      </w:r>
      <w:r w:rsidRPr="00E07B1B">
        <w:t xml:space="preserve"> 2005; Langer </w:t>
      </w:r>
      <w:r w:rsidR="00D562F2">
        <w:t>et al</w:t>
      </w:r>
      <w:r w:rsidRPr="00E07B1B">
        <w:t xml:space="preserve"> 2010).</w:t>
      </w:r>
    </w:p>
    <w:p w:rsidR="0025490C" w:rsidRPr="00E07B1B" w:rsidRDefault="0025490C" w:rsidP="005B0769"/>
    <w:p w:rsidR="0025490C" w:rsidRDefault="0025490C" w:rsidP="005B0769">
      <w:r w:rsidRPr="00E07B1B">
        <w:t xml:space="preserve">There are no randomised controlled trials comparing screening with no screening in pregnant women and it is unlikely that there will be any undertaken in the future as clinicians may be reluctant to randomise women to a no screening arm. One observational study undertaken in Ontario assessed the impact on </w:t>
      </w:r>
      <w:r>
        <w:t>gestational diabetes</w:t>
      </w:r>
      <w:r w:rsidRPr="00E07B1B">
        <w:t xml:space="preserve"> (which may have included type 2 diabetes) of</w:t>
      </w:r>
      <w:r>
        <w:t xml:space="preserve"> implementing</w:t>
      </w:r>
      <w:r w:rsidRPr="00E07B1B">
        <w:t xml:space="preserve"> screening in some areas and not in others (Wen </w:t>
      </w:r>
      <w:r w:rsidR="00D562F2">
        <w:t>et al</w:t>
      </w:r>
      <w:r w:rsidRPr="00E07B1B">
        <w:t xml:space="preserve"> 2000). Although the prevalence of GDM in the screened areas was increased compared </w:t>
      </w:r>
      <w:r>
        <w:t>with</w:t>
      </w:r>
      <w:r w:rsidRPr="00E07B1B">
        <w:t xml:space="preserve"> unscreened areas, the proportions of macrosomia (based on birthweight alone) were similar at 12.7% and 12.5%</w:t>
      </w:r>
      <w:r>
        <w:t xml:space="preserve"> respectively</w:t>
      </w:r>
      <w:r w:rsidRPr="00E07B1B">
        <w:t xml:space="preserve">. No other studies </w:t>
      </w:r>
      <w:r>
        <w:t>that</w:t>
      </w:r>
      <w:r w:rsidRPr="00E07B1B">
        <w:t xml:space="preserve"> compared screening with no screening in terms of effects on outcomes were identified.</w:t>
      </w:r>
    </w:p>
    <w:p w:rsidR="0025490C" w:rsidRPr="00E07B1B" w:rsidRDefault="0025490C" w:rsidP="005B0769"/>
    <w:p w:rsidR="0025490C" w:rsidRPr="00E07B1B" w:rsidRDefault="0025490C" w:rsidP="005B0769">
      <w:pPr>
        <w:keepLines/>
      </w:pPr>
      <w:r w:rsidRPr="00E07B1B">
        <w:t>Indirect evidence from a UK multicentre cluster randomised trial did not find a significant benefit for screening in 20,184 non</w:t>
      </w:r>
      <w:r>
        <w:t>-</w:t>
      </w:r>
      <w:r w:rsidRPr="00E07B1B">
        <w:t>pregnant participants aged 40</w:t>
      </w:r>
      <w:r>
        <w:t>–</w:t>
      </w:r>
      <w:r w:rsidRPr="00E07B1B">
        <w:t>69 years</w:t>
      </w:r>
      <w:r>
        <w:t xml:space="preserve"> who were</w:t>
      </w:r>
      <w:r w:rsidRPr="00E07B1B">
        <w:t xml:space="preserve"> at high risk of undiagnosed diabetes (Simmons </w:t>
      </w:r>
      <w:r w:rsidR="00D562F2">
        <w:t>et al</w:t>
      </w:r>
      <w:r w:rsidRPr="00E07B1B">
        <w:t xml:space="preserve"> 2012). The trial compared screening followed by intensive treatment, screening followed by routine care</w:t>
      </w:r>
      <w:r>
        <w:t>,</w:t>
      </w:r>
      <w:r w:rsidRPr="00E07B1B">
        <w:t xml:space="preserve"> and no screening. Screening comprised a multistage process including random capillary glucose, HbA1c and fasting capillary blood glucose followed by a diagnostic oral glucose tolerance test if the test was positive. The median follow</w:t>
      </w:r>
      <w:r>
        <w:t>-</w:t>
      </w:r>
      <w:r w:rsidRPr="00E07B1B">
        <w:t>up was 9.6 years. There were no significant reductions in cardiovascular, cancer or diabetes</w:t>
      </w:r>
      <w:r>
        <w:t>-</w:t>
      </w:r>
      <w:r w:rsidRPr="00E07B1B">
        <w:t xml:space="preserve">related mortality associated with screening compared </w:t>
      </w:r>
      <w:r>
        <w:t>with</w:t>
      </w:r>
      <w:r w:rsidRPr="00E07B1B">
        <w:t xml:space="preserve"> no screening (Simmons </w:t>
      </w:r>
      <w:r w:rsidR="00D562F2">
        <w:t>et al</w:t>
      </w:r>
      <w:r w:rsidRPr="00E07B1B">
        <w:t xml:space="preserve"> 2012). However, this strategy was in a non</w:t>
      </w:r>
      <w:r>
        <w:t>-</w:t>
      </w:r>
      <w:r w:rsidRPr="00E07B1B">
        <w:t>pregnant population and could not answer questions on impact of diabetes-related outcomes in pregnancy.</w:t>
      </w:r>
    </w:p>
    <w:p w:rsidR="0025490C" w:rsidRDefault="0025490C" w:rsidP="005B0769"/>
    <w:p w:rsidR="0025490C" w:rsidRDefault="0025490C" w:rsidP="005B0769">
      <w:r w:rsidRPr="00E07B1B">
        <w:t xml:space="preserve">Thus, although rates of morbidity and mortality are increased in women with type 2 diabetes, there is insufficient direct evidence that screening (compared </w:t>
      </w:r>
      <w:r>
        <w:t>with</w:t>
      </w:r>
      <w:r w:rsidRPr="00E07B1B">
        <w:t xml:space="preserve"> no screening) will reduce morbidity or mortality and this criterion is not met.</w:t>
      </w:r>
    </w:p>
    <w:p w:rsidR="0025490C" w:rsidRPr="00E07B1B" w:rsidRDefault="0025490C" w:rsidP="005B0769"/>
    <w:p w:rsidR="0025490C" w:rsidRDefault="0025490C" w:rsidP="005B0769">
      <w:pPr>
        <w:pStyle w:val="Heading3"/>
        <w:ind w:left="567" w:hanging="567"/>
        <w:rPr>
          <w:szCs w:val="24"/>
        </w:rPr>
      </w:pPr>
      <w:bookmarkStart w:id="483" w:name="_Toc363717796"/>
      <w:r>
        <w:t>5</w:t>
      </w:r>
      <w:r w:rsidR="005B0769">
        <w:tab/>
      </w:r>
      <w:r w:rsidRPr="00E07B1B">
        <w:t>The potential benefit from the screening program</w:t>
      </w:r>
      <w:r>
        <w:t>me</w:t>
      </w:r>
      <w:r w:rsidRPr="00E07B1B">
        <w:t xml:space="preserve"> should outweigh the potential physical and psychological harm (caused by the test, diagnostic procedures and treatment)</w:t>
      </w:r>
      <w:bookmarkEnd w:id="483"/>
    </w:p>
    <w:p w:rsidR="0025490C" w:rsidRDefault="0025490C" w:rsidP="005B0769">
      <w:r w:rsidRPr="00E07B1B">
        <w:t xml:space="preserve">The 2007 </w:t>
      </w:r>
      <w:r>
        <w:t>t</w:t>
      </w:r>
      <w:r w:rsidRPr="00E07B1B">
        <w:t xml:space="preserve">echnical </w:t>
      </w:r>
      <w:r>
        <w:t>r</w:t>
      </w:r>
      <w:r w:rsidRPr="00E07B1B">
        <w:t xml:space="preserve">eport on </w:t>
      </w:r>
      <w:r>
        <w:t>gestational diabetes</w:t>
      </w:r>
      <w:r w:rsidRPr="00E07B1B">
        <w:t xml:space="preserve"> in New Zealand reported</w:t>
      </w:r>
      <w:r>
        <w:t xml:space="preserve">, </w:t>
      </w:r>
      <w:r w:rsidR="0068074A">
        <w:t>‘</w:t>
      </w:r>
      <w:r w:rsidRPr="00E07B1B">
        <w:t>As there is no ideal simple, sensitive and specific screening test (as discussed below), it is essential that well women are not exposed to additional investigations that have a significant false positive rate, as this may lead to increased anxiety</w:t>
      </w:r>
      <w:r w:rsidR="0068074A">
        <w:t>’</w:t>
      </w:r>
      <w:r>
        <w:t xml:space="preserve"> </w:t>
      </w:r>
      <w:r w:rsidRPr="00E07B1B">
        <w:t>(Gestational Diabetes Mellitus Technical Working Party 2007). The</w:t>
      </w:r>
      <w:r>
        <w:t xml:space="preserve"> authors</w:t>
      </w:r>
      <w:r w:rsidRPr="00E07B1B">
        <w:t xml:space="preserve"> go on to suggest that it is reasonable to offer a screening test at booking to women who are more likely to have unrecognised type 2 diabetes.</w:t>
      </w:r>
    </w:p>
    <w:p w:rsidR="0025490C" w:rsidRDefault="0025490C" w:rsidP="005B0769"/>
    <w:p w:rsidR="0025490C" w:rsidRDefault="0025490C" w:rsidP="005B0769">
      <w:r w:rsidRPr="00E07B1B">
        <w:t>The addition of an HbA1c blood test at</w:t>
      </w:r>
      <w:r>
        <w:t xml:space="preserve"> the</w:t>
      </w:r>
      <w:r w:rsidRPr="00E07B1B">
        <w:t xml:space="preserve"> first antenatal visit is unlikely to inconvenience women (in comparison </w:t>
      </w:r>
      <w:r>
        <w:t>with</w:t>
      </w:r>
      <w:r w:rsidRPr="00E07B1B">
        <w:t xml:space="preserve"> other screening tests for type 2 diabetes) but other potential harms from screening, in particular the false positive rate, may be considerable. No research was identified to adequately assess the balance of benefits and harms for either all pregnant women or those with risk factors and this criterion has not been met.</w:t>
      </w:r>
    </w:p>
    <w:p w:rsidR="0025490C" w:rsidRPr="00E07B1B" w:rsidRDefault="0025490C" w:rsidP="005B0769"/>
    <w:p w:rsidR="0025490C" w:rsidRPr="00E07B1B" w:rsidRDefault="0025490C" w:rsidP="005B0769">
      <w:pPr>
        <w:pStyle w:val="Heading3"/>
        <w:ind w:left="567" w:hanging="567"/>
      </w:pPr>
      <w:bookmarkStart w:id="484" w:name="_Toc363717797"/>
      <w:r>
        <w:t>6</w:t>
      </w:r>
      <w:r w:rsidR="005B0769">
        <w:tab/>
      </w:r>
      <w:r w:rsidRPr="00E07B1B">
        <w:t>The health care system will be capable of supporting all necessary elements of the screening pathway, including diagnosis, follow</w:t>
      </w:r>
      <w:r>
        <w:t>-</w:t>
      </w:r>
      <w:r w:rsidRPr="00E07B1B">
        <w:t>up and program</w:t>
      </w:r>
      <w:r>
        <w:t>me</w:t>
      </w:r>
      <w:r w:rsidRPr="00E07B1B">
        <w:t xml:space="preserve"> evaluation</w:t>
      </w:r>
      <w:bookmarkEnd w:id="484"/>
    </w:p>
    <w:p w:rsidR="0068074A" w:rsidRDefault="0025490C" w:rsidP="005B0769">
      <w:r w:rsidRPr="00E07B1B">
        <w:t>The adoption of an early screening program</w:t>
      </w:r>
      <w:r>
        <w:t>me</w:t>
      </w:r>
      <w:r w:rsidRPr="00E07B1B">
        <w:t xml:space="preserve"> for type 2 diabetes would result in a larger number of women requiring diabetic services. The current diabetic services for pregnant women diagnosed with type 1, 2 or gestational diabetes may need to be bolstered to be able to deal with increased numbers of women. These women would otherwise have been identified at the 24</w:t>
      </w:r>
      <w:r>
        <w:t>–</w:t>
      </w:r>
      <w:r w:rsidRPr="00E07B1B">
        <w:t>28 week</w:t>
      </w:r>
      <w:r>
        <w:t>s</w:t>
      </w:r>
      <w:r w:rsidR="0068074A">
        <w:t>’</w:t>
      </w:r>
      <w:r w:rsidRPr="00E07B1B">
        <w:t xml:space="preserve"> gestation screening and diagnostic test and would have been referred for treatment later in their pregnancy. Currently, it is not clear whether this criterion is met.</w:t>
      </w:r>
    </w:p>
    <w:p w:rsidR="0025490C" w:rsidRPr="00E07B1B" w:rsidRDefault="0025490C" w:rsidP="005B0769"/>
    <w:p w:rsidR="0025490C" w:rsidRPr="00E07B1B" w:rsidRDefault="0025490C" w:rsidP="005B0769">
      <w:pPr>
        <w:pStyle w:val="Heading3"/>
        <w:ind w:left="567" w:hanging="567"/>
      </w:pPr>
      <w:bookmarkStart w:id="485" w:name="_Toc363717798"/>
      <w:r>
        <w:t>7</w:t>
      </w:r>
      <w:r w:rsidR="005B0769">
        <w:tab/>
      </w:r>
      <w:r w:rsidRPr="00E07B1B">
        <w:t>There is consideration of social and ethical issues</w:t>
      </w:r>
      <w:bookmarkEnd w:id="485"/>
    </w:p>
    <w:p w:rsidR="0025490C" w:rsidRDefault="0025490C" w:rsidP="00D216E2">
      <w:pPr>
        <w:keepNext/>
      </w:pPr>
      <w:r w:rsidRPr="00E07B1B">
        <w:t>The New Zealand report on screening notes that</w:t>
      </w:r>
      <w:r>
        <w:t>:</w:t>
      </w:r>
    </w:p>
    <w:p w:rsidR="00D216E2" w:rsidRDefault="0025490C" w:rsidP="00D216E2">
      <w:pPr>
        <w:pStyle w:val="Quote"/>
        <w:keepLines/>
      </w:pPr>
      <w:r>
        <w:t>P</w:t>
      </w:r>
      <w:r w:rsidRPr="00E07B1B">
        <w:t>otential participants in the screening program</w:t>
      </w:r>
      <w:r>
        <w:t>me</w:t>
      </w:r>
      <w:r w:rsidRPr="00E07B1B">
        <w:t xml:space="preserve"> should be given information that allows them to weigh up the probable benefits and harms, using their own values and preferences. Culturally appropriate, evidence</w:t>
      </w:r>
      <w:r>
        <w:t>-</w:t>
      </w:r>
      <w:r w:rsidRPr="00E07B1B">
        <w:t>based information should be available for people offered screening to assist them in making an informed decision. This information should also explain the consequences of testing, the possibility and importance of false</w:t>
      </w:r>
      <w:r>
        <w:t>-</w:t>
      </w:r>
      <w:r w:rsidRPr="00E07B1B">
        <w:t>negative and false</w:t>
      </w:r>
      <w:r>
        <w:t>-</w:t>
      </w:r>
      <w:r w:rsidRPr="00E07B1B">
        <w:t>positives, investigation and treatment.</w:t>
      </w:r>
    </w:p>
    <w:p w:rsidR="0025490C" w:rsidRDefault="0025490C" w:rsidP="00D216E2">
      <w:pPr>
        <w:pStyle w:val="Quote"/>
        <w:jc w:val="right"/>
      </w:pPr>
      <w:r w:rsidRPr="00E07B1B">
        <w:t>(National Health Committee 2003)</w:t>
      </w:r>
    </w:p>
    <w:p w:rsidR="0025490C" w:rsidRDefault="0025490C" w:rsidP="00D216E2"/>
    <w:p w:rsidR="0025490C" w:rsidRDefault="0025490C" w:rsidP="00D216E2">
      <w:r w:rsidRPr="00E07B1B">
        <w:t>Because of the scarcity of research addressing use of HbA1c, there is insufficient evidence</w:t>
      </w:r>
      <w:r>
        <w:t>-</w:t>
      </w:r>
      <w:r w:rsidRPr="00E07B1B">
        <w:t>based information to share with participants. This criterion is not met.</w:t>
      </w:r>
    </w:p>
    <w:p w:rsidR="0025490C" w:rsidRPr="00E07B1B" w:rsidRDefault="0025490C" w:rsidP="00D216E2"/>
    <w:p w:rsidR="0025490C" w:rsidRPr="00E07B1B" w:rsidRDefault="0025490C" w:rsidP="00D216E2">
      <w:pPr>
        <w:pStyle w:val="Heading3"/>
        <w:ind w:left="567" w:hanging="567"/>
      </w:pPr>
      <w:bookmarkStart w:id="486" w:name="_Toc363717799"/>
      <w:r>
        <w:t>8</w:t>
      </w:r>
      <w:r w:rsidR="00D216E2">
        <w:tab/>
      </w:r>
      <w:r w:rsidRPr="00E07B1B">
        <w:t>There is consideration of cost</w:t>
      </w:r>
      <w:r>
        <w:t>–</w:t>
      </w:r>
      <w:r w:rsidRPr="00E07B1B">
        <w:t>benefit issues</w:t>
      </w:r>
      <w:bookmarkEnd w:id="486"/>
    </w:p>
    <w:p w:rsidR="0025490C" w:rsidRPr="00E07B1B" w:rsidRDefault="0025490C" w:rsidP="00D216E2">
      <w:r w:rsidRPr="00E07B1B">
        <w:t xml:space="preserve">No New Zealand research was identified. The modelling for the National Institute </w:t>
      </w:r>
      <w:r>
        <w:t>for</w:t>
      </w:r>
      <w:r w:rsidRPr="00E07B1B">
        <w:t xml:space="preserve"> Health and </w:t>
      </w:r>
      <w:r>
        <w:t>Care</w:t>
      </w:r>
      <w:r w:rsidRPr="00E07B1B">
        <w:t xml:space="preserve"> Excellence guideline on </w:t>
      </w:r>
      <w:r>
        <w:t>gestational diabetes</w:t>
      </w:r>
      <w:r w:rsidRPr="00E07B1B">
        <w:t xml:space="preserve"> concluded that selective screening for </w:t>
      </w:r>
      <w:r>
        <w:t>gestational diabetes</w:t>
      </w:r>
      <w:r w:rsidRPr="00E07B1B">
        <w:t xml:space="preserve"> (rather than type 2 diabetes) would be cost</w:t>
      </w:r>
      <w:r>
        <w:t>-</w:t>
      </w:r>
      <w:r w:rsidRPr="00E07B1B">
        <w:t xml:space="preserve">effective in the </w:t>
      </w:r>
      <w:r>
        <w:t>United Kingdom</w:t>
      </w:r>
      <w:r w:rsidRPr="00E07B1B">
        <w:t>. The cost</w:t>
      </w:r>
      <w:r>
        <w:t>-</w:t>
      </w:r>
      <w:r w:rsidRPr="00E07B1B">
        <w:t>effectiveness of the program</w:t>
      </w:r>
      <w:r>
        <w:t>me</w:t>
      </w:r>
      <w:r w:rsidRPr="00E07B1B">
        <w:t xml:space="preserve"> would improve if </w:t>
      </w:r>
      <w:r>
        <w:t>gestational diabetes</w:t>
      </w:r>
      <w:r w:rsidRPr="00E07B1B">
        <w:t xml:space="preserve"> became more common, if intervention costs fell, if intervention became more effective and if screening costs fell, but these conclusions are based on screening between 24</w:t>
      </w:r>
      <w:r>
        <w:t>–</w:t>
      </w:r>
      <w:r w:rsidRPr="00E07B1B">
        <w:t xml:space="preserve">28 weeks to identify </w:t>
      </w:r>
      <w:r>
        <w:t>gestational diabetes</w:t>
      </w:r>
      <w:r w:rsidRPr="00E07B1B">
        <w:t xml:space="preserve"> (</w:t>
      </w:r>
      <w:r>
        <w:t>NICE</w:t>
      </w:r>
      <w:r w:rsidRPr="00E07B1B">
        <w:t xml:space="preserve"> 2008). Indirect evidence from a German study in</w:t>
      </w:r>
      <w:r>
        <w:t xml:space="preserve"> a</w:t>
      </w:r>
      <w:r w:rsidRPr="00E07B1B">
        <w:t xml:space="preserve"> non-pregnant older population (55</w:t>
      </w:r>
      <w:r>
        <w:t>–</w:t>
      </w:r>
      <w:r w:rsidRPr="00E07B1B">
        <w:t>74 years)</w:t>
      </w:r>
      <w:r>
        <w:t>,</w:t>
      </w:r>
      <w:r w:rsidRPr="00E07B1B">
        <w:t xml:space="preserve"> where the prevalence of diabetes is likely to be much higher</w:t>
      </w:r>
      <w:r>
        <w:t>,</w:t>
      </w:r>
      <w:r w:rsidRPr="00E07B1B">
        <w:t xml:space="preserve"> suggested that a screening strategy of HbA1c followed by an oral glucose tolerance test was the most expensive option of all screening options</w:t>
      </w:r>
      <w:r>
        <w:t xml:space="preserve"> that were</w:t>
      </w:r>
      <w:r w:rsidRPr="00E07B1B">
        <w:t xml:space="preserve"> compared (Icks </w:t>
      </w:r>
      <w:r w:rsidR="00D562F2">
        <w:t>et al</w:t>
      </w:r>
      <w:r w:rsidRPr="00E07B1B">
        <w:t xml:space="preserve"> 2004). In </w:t>
      </w:r>
      <w:r>
        <w:t>New Zealand</w:t>
      </w:r>
      <w:r w:rsidRPr="00E07B1B">
        <w:t>, the cost of an HbA1c test is currently more than $20 but no cost</w:t>
      </w:r>
      <w:r>
        <w:t>-</w:t>
      </w:r>
      <w:r w:rsidRPr="00E07B1B">
        <w:t>effectiveness analyses have been done in pregnant patients. Thus this criterion is not met.</w:t>
      </w:r>
    </w:p>
    <w:p w:rsidR="0025490C" w:rsidRPr="00E07B1B" w:rsidRDefault="0025490C" w:rsidP="00D216E2"/>
    <w:p w:rsidR="0093633C" w:rsidRDefault="0093633C" w:rsidP="00C04C3B">
      <w:pPr>
        <w:pStyle w:val="Heading2"/>
        <w:spacing w:before="0" w:after="240"/>
        <w:ind w:left="0" w:firstLine="0"/>
        <w:sectPr w:rsidR="0093633C" w:rsidSect="00F26156">
          <w:footerReference w:type="default" r:id="rId61"/>
          <w:pgSz w:w="11907" w:h="16834" w:code="9"/>
          <w:pgMar w:top="851" w:right="1134" w:bottom="1418" w:left="1134" w:header="284" w:footer="567" w:gutter="284"/>
          <w:cols w:space="720"/>
        </w:sectPr>
      </w:pPr>
      <w:bookmarkStart w:id="487" w:name="_Toc363717800"/>
      <w:bookmarkStart w:id="488" w:name="_Toc402873640"/>
      <w:bookmarkStart w:id="489" w:name="_Toc403469701"/>
    </w:p>
    <w:p w:rsidR="0025490C" w:rsidRDefault="00521282" w:rsidP="00C04C3B">
      <w:pPr>
        <w:pStyle w:val="Heading2"/>
        <w:spacing w:before="0" w:after="240"/>
        <w:ind w:left="0" w:firstLine="0"/>
      </w:pPr>
      <w:r>
        <w:t xml:space="preserve">Appendix </w:t>
      </w:r>
      <w:r w:rsidR="00090BC8">
        <w:t>I</w:t>
      </w:r>
      <w:r w:rsidR="0025490C">
        <w:t>: Supporting evidence for</w:t>
      </w:r>
      <w:r w:rsidR="0025490C" w:rsidRPr="00E07B1B">
        <w:t xml:space="preserve"> Chapter</w:t>
      </w:r>
      <w:r w:rsidR="00C04C3B">
        <w:t> </w:t>
      </w:r>
      <w:bookmarkEnd w:id="487"/>
      <w:r w:rsidR="0025490C" w:rsidRPr="00E07B1B">
        <w:t>3</w:t>
      </w:r>
      <w:bookmarkEnd w:id="488"/>
      <w:bookmarkEnd w:id="489"/>
    </w:p>
    <w:p w:rsidR="0025490C" w:rsidRPr="00E07B1B" w:rsidRDefault="0025490C" w:rsidP="00D216E2">
      <w:pPr>
        <w:pStyle w:val="Table"/>
      </w:pPr>
      <w:bookmarkStart w:id="490" w:name="_Toc363717801"/>
      <w:bookmarkStart w:id="491" w:name="_Toc403635898"/>
      <w:r w:rsidRPr="00E07B1B">
        <w:t>Table 17</w:t>
      </w:r>
      <w:r w:rsidR="00B97FDC">
        <w:t>:</w:t>
      </w:r>
      <w:r w:rsidRPr="00E07B1B">
        <w:t xml:space="preserve"> Commonly used screening and diagnostic procedures</w:t>
      </w:r>
      <w:bookmarkEnd w:id="490"/>
      <w:bookmarkEnd w:id="49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459"/>
        <w:gridCol w:w="1085"/>
        <w:gridCol w:w="1559"/>
        <w:gridCol w:w="1418"/>
        <w:gridCol w:w="1843"/>
        <w:gridCol w:w="1559"/>
        <w:gridCol w:w="1559"/>
        <w:gridCol w:w="1559"/>
        <w:gridCol w:w="1560"/>
      </w:tblGrid>
      <w:tr w:rsidR="00EA6C08" w:rsidRPr="008041F2" w:rsidTr="00EA6C08">
        <w:trPr>
          <w:cantSplit/>
          <w:tblHeader/>
        </w:trPr>
        <w:tc>
          <w:tcPr>
            <w:tcW w:w="2459" w:type="dxa"/>
            <w:vMerge w:val="restart"/>
            <w:tcBorders>
              <w:left w:val="nil"/>
              <w:bottom w:val="single" w:sz="4" w:space="0" w:color="auto"/>
              <w:right w:val="nil"/>
            </w:tcBorders>
            <w:shd w:val="clear" w:color="auto" w:fill="auto"/>
          </w:tcPr>
          <w:p w:rsidR="0025490C" w:rsidRPr="008041F2" w:rsidRDefault="0025490C" w:rsidP="008041F2">
            <w:pPr>
              <w:pStyle w:val="TableText"/>
              <w:rPr>
                <w:b/>
              </w:rPr>
            </w:pPr>
            <w:r w:rsidRPr="008041F2">
              <w:rPr>
                <w:b/>
              </w:rPr>
              <w:t>Organisation</w:t>
            </w:r>
          </w:p>
        </w:tc>
        <w:tc>
          <w:tcPr>
            <w:tcW w:w="1085" w:type="dxa"/>
            <w:vMerge w:val="restart"/>
            <w:tcBorders>
              <w:left w:val="nil"/>
              <w:bottom w:val="single" w:sz="4" w:space="0" w:color="auto"/>
              <w:right w:val="nil"/>
            </w:tcBorders>
            <w:shd w:val="clear" w:color="auto" w:fill="auto"/>
          </w:tcPr>
          <w:p w:rsidR="0025490C" w:rsidRPr="008041F2" w:rsidRDefault="0025490C" w:rsidP="00EA6C08">
            <w:pPr>
              <w:pStyle w:val="TableText"/>
              <w:jc w:val="center"/>
              <w:rPr>
                <w:b/>
              </w:rPr>
            </w:pPr>
            <w:r w:rsidRPr="008041F2">
              <w:rPr>
                <w:b/>
              </w:rPr>
              <w:t>Year</w:t>
            </w:r>
          </w:p>
        </w:tc>
        <w:tc>
          <w:tcPr>
            <w:tcW w:w="1559" w:type="dxa"/>
            <w:vMerge w:val="restart"/>
            <w:tcBorders>
              <w:left w:val="nil"/>
              <w:bottom w:val="single" w:sz="4" w:space="0" w:color="auto"/>
              <w:right w:val="nil"/>
            </w:tcBorders>
            <w:shd w:val="clear" w:color="auto" w:fill="auto"/>
          </w:tcPr>
          <w:p w:rsidR="0025490C" w:rsidRPr="008041F2" w:rsidRDefault="0025490C" w:rsidP="008041F2">
            <w:pPr>
              <w:pStyle w:val="TableText"/>
              <w:rPr>
                <w:b/>
              </w:rPr>
            </w:pPr>
            <w:r w:rsidRPr="008041F2">
              <w:rPr>
                <w:b/>
              </w:rPr>
              <w:t>Screening or diagnostic</w:t>
            </w:r>
          </w:p>
        </w:tc>
        <w:tc>
          <w:tcPr>
            <w:tcW w:w="1418" w:type="dxa"/>
            <w:vMerge w:val="restart"/>
            <w:tcBorders>
              <w:left w:val="nil"/>
              <w:bottom w:val="single" w:sz="4" w:space="0" w:color="auto"/>
              <w:right w:val="nil"/>
            </w:tcBorders>
            <w:shd w:val="clear" w:color="auto" w:fill="auto"/>
          </w:tcPr>
          <w:p w:rsidR="0025490C" w:rsidRPr="008041F2" w:rsidRDefault="0025490C" w:rsidP="00EA6C08">
            <w:pPr>
              <w:pStyle w:val="TableText"/>
              <w:jc w:val="center"/>
              <w:rPr>
                <w:b/>
              </w:rPr>
            </w:pPr>
            <w:r w:rsidRPr="008041F2">
              <w:rPr>
                <w:b/>
              </w:rPr>
              <w:t>Testing schedule</w:t>
            </w:r>
          </w:p>
        </w:tc>
        <w:tc>
          <w:tcPr>
            <w:tcW w:w="1843" w:type="dxa"/>
            <w:vMerge w:val="restart"/>
            <w:tcBorders>
              <w:left w:val="nil"/>
              <w:bottom w:val="single" w:sz="4" w:space="0" w:color="auto"/>
              <w:right w:val="nil"/>
            </w:tcBorders>
            <w:shd w:val="clear" w:color="auto" w:fill="auto"/>
          </w:tcPr>
          <w:p w:rsidR="0025490C" w:rsidRPr="008041F2" w:rsidRDefault="0025490C" w:rsidP="00EA6C08">
            <w:pPr>
              <w:pStyle w:val="TableText"/>
              <w:jc w:val="center"/>
              <w:rPr>
                <w:b/>
              </w:rPr>
            </w:pPr>
            <w:r w:rsidRPr="008041F2">
              <w:rPr>
                <w:b/>
              </w:rPr>
              <w:t>Abnormal values required</w:t>
            </w:r>
          </w:p>
        </w:tc>
        <w:tc>
          <w:tcPr>
            <w:tcW w:w="6237" w:type="dxa"/>
            <w:gridSpan w:val="4"/>
            <w:tcBorders>
              <w:left w:val="nil"/>
              <w:bottom w:val="single" w:sz="4" w:space="0" w:color="A6A6A6" w:themeColor="background1" w:themeShade="A6"/>
              <w:right w:val="nil"/>
            </w:tcBorders>
            <w:shd w:val="clear" w:color="auto" w:fill="auto"/>
          </w:tcPr>
          <w:p w:rsidR="0025490C" w:rsidRPr="008041F2" w:rsidRDefault="0025490C" w:rsidP="00291908">
            <w:pPr>
              <w:pStyle w:val="TableText"/>
              <w:jc w:val="center"/>
              <w:rPr>
                <w:b/>
              </w:rPr>
            </w:pPr>
            <w:r w:rsidRPr="008041F2">
              <w:rPr>
                <w:b/>
              </w:rPr>
              <w:t>Threshold equal to or greater than</w:t>
            </w:r>
          </w:p>
        </w:tc>
      </w:tr>
      <w:tr w:rsidR="00EA6C08" w:rsidRPr="00E07B1B" w:rsidTr="00EA6C08">
        <w:trPr>
          <w:cantSplit/>
        </w:trPr>
        <w:tc>
          <w:tcPr>
            <w:tcW w:w="2459" w:type="dxa"/>
            <w:vMerge/>
            <w:tcBorders>
              <w:top w:val="single" w:sz="4" w:space="0" w:color="auto"/>
              <w:left w:val="nil"/>
              <w:bottom w:val="single" w:sz="4" w:space="0" w:color="auto"/>
              <w:right w:val="nil"/>
            </w:tcBorders>
            <w:shd w:val="clear" w:color="auto" w:fill="auto"/>
          </w:tcPr>
          <w:p w:rsidR="0025490C" w:rsidRPr="00E07B1B" w:rsidRDefault="0025490C" w:rsidP="008041F2">
            <w:pPr>
              <w:pStyle w:val="TableText"/>
            </w:pPr>
          </w:p>
        </w:tc>
        <w:tc>
          <w:tcPr>
            <w:tcW w:w="1085" w:type="dxa"/>
            <w:vMerge/>
            <w:tcBorders>
              <w:top w:val="single" w:sz="4" w:space="0" w:color="auto"/>
              <w:left w:val="nil"/>
              <w:bottom w:val="single" w:sz="4" w:space="0" w:color="auto"/>
              <w:right w:val="nil"/>
            </w:tcBorders>
            <w:shd w:val="clear" w:color="auto" w:fill="auto"/>
          </w:tcPr>
          <w:p w:rsidR="0025490C" w:rsidRPr="00E07B1B" w:rsidRDefault="0025490C" w:rsidP="00EA6C08">
            <w:pPr>
              <w:pStyle w:val="TableText"/>
              <w:jc w:val="center"/>
            </w:pPr>
          </w:p>
        </w:tc>
        <w:tc>
          <w:tcPr>
            <w:tcW w:w="1559" w:type="dxa"/>
            <w:vMerge/>
            <w:tcBorders>
              <w:top w:val="single" w:sz="4" w:space="0" w:color="auto"/>
              <w:left w:val="nil"/>
              <w:bottom w:val="single" w:sz="4" w:space="0" w:color="auto"/>
              <w:right w:val="nil"/>
            </w:tcBorders>
            <w:shd w:val="clear" w:color="auto" w:fill="auto"/>
          </w:tcPr>
          <w:p w:rsidR="0025490C" w:rsidRPr="00E07B1B" w:rsidRDefault="0025490C" w:rsidP="008041F2">
            <w:pPr>
              <w:pStyle w:val="TableText"/>
            </w:pPr>
          </w:p>
        </w:tc>
        <w:tc>
          <w:tcPr>
            <w:tcW w:w="1418" w:type="dxa"/>
            <w:vMerge/>
            <w:tcBorders>
              <w:top w:val="single" w:sz="4" w:space="0" w:color="auto"/>
              <w:left w:val="nil"/>
              <w:bottom w:val="single" w:sz="4" w:space="0" w:color="auto"/>
              <w:right w:val="nil"/>
            </w:tcBorders>
            <w:shd w:val="clear" w:color="auto" w:fill="auto"/>
          </w:tcPr>
          <w:p w:rsidR="0025490C" w:rsidRPr="00E07B1B" w:rsidRDefault="0025490C" w:rsidP="008041F2">
            <w:pPr>
              <w:pStyle w:val="TableText"/>
            </w:pPr>
          </w:p>
        </w:tc>
        <w:tc>
          <w:tcPr>
            <w:tcW w:w="1843" w:type="dxa"/>
            <w:vMerge/>
            <w:tcBorders>
              <w:top w:val="single" w:sz="4" w:space="0" w:color="auto"/>
              <w:left w:val="nil"/>
              <w:bottom w:val="single" w:sz="4" w:space="0" w:color="auto"/>
              <w:right w:val="nil"/>
            </w:tcBorders>
            <w:shd w:val="clear" w:color="auto" w:fill="auto"/>
          </w:tcPr>
          <w:p w:rsidR="0025490C" w:rsidRPr="00E07B1B" w:rsidRDefault="0025490C" w:rsidP="008041F2">
            <w:pPr>
              <w:pStyle w:val="TableText"/>
            </w:pPr>
          </w:p>
        </w:tc>
        <w:tc>
          <w:tcPr>
            <w:tcW w:w="1559" w:type="dxa"/>
            <w:tcBorders>
              <w:top w:val="single" w:sz="4" w:space="0" w:color="A6A6A6" w:themeColor="background1" w:themeShade="A6"/>
              <w:left w:val="nil"/>
              <w:bottom w:val="single" w:sz="4" w:space="0" w:color="auto"/>
              <w:right w:val="nil"/>
            </w:tcBorders>
            <w:shd w:val="clear" w:color="auto" w:fill="auto"/>
          </w:tcPr>
          <w:p w:rsidR="0025490C" w:rsidRPr="00291908" w:rsidRDefault="0025490C" w:rsidP="00291908">
            <w:pPr>
              <w:pStyle w:val="TableText"/>
              <w:jc w:val="center"/>
              <w:rPr>
                <w:b/>
              </w:rPr>
            </w:pPr>
            <w:r w:rsidRPr="00291908">
              <w:rPr>
                <w:b/>
              </w:rPr>
              <w:t>Fasting</w:t>
            </w:r>
          </w:p>
        </w:tc>
        <w:tc>
          <w:tcPr>
            <w:tcW w:w="1559" w:type="dxa"/>
            <w:tcBorders>
              <w:top w:val="single" w:sz="4" w:space="0" w:color="A6A6A6" w:themeColor="background1" w:themeShade="A6"/>
              <w:left w:val="nil"/>
              <w:bottom w:val="single" w:sz="4" w:space="0" w:color="auto"/>
              <w:right w:val="nil"/>
            </w:tcBorders>
            <w:shd w:val="clear" w:color="auto" w:fill="auto"/>
          </w:tcPr>
          <w:p w:rsidR="0025490C" w:rsidRPr="00291908" w:rsidRDefault="0025490C" w:rsidP="00291908">
            <w:pPr>
              <w:pStyle w:val="TableText"/>
              <w:jc w:val="center"/>
              <w:rPr>
                <w:b/>
              </w:rPr>
            </w:pPr>
            <w:r w:rsidRPr="00291908">
              <w:rPr>
                <w:b/>
              </w:rPr>
              <w:t>1 hour</w:t>
            </w:r>
          </w:p>
        </w:tc>
        <w:tc>
          <w:tcPr>
            <w:tcW w:w="1559" w:type="dxa"/>
            <w:tcBorders>
              <w:top w:val="single" w:sz="4" w:space="0" w:color="A6A6A6" w:themeColor="background1" w:themeShade="A6"/>
              <w:left w:val="nil"/>
              <w:bottom w:val="single" w:sz="4" w:space="0" w:color="auto"/>
              <w:right w:val="nil"/>
            </w:tcBorders>
            <w:shd w:val="clear" w:color="auto" w:fill="auto"/>
          </w:tcPr>
          <w:p w:rsidR="0025490C" w:rsidRPr="00291908" w:rsidRDefault="0025490C" w:rsidP="00291908">
            <w:pPr>
              <w:pStyle w:val="TableText"/>
              <w:jc w:val="center"/>
              <w:rPr>
                <w:b/>
              </w:rPr>
            </w:pPr>
            <w:r w:rsidRPr="00291908">
              <w:rPr>
                <w:b/>
              </w:rPr>
              <w:t>2 hours</w:t>
            </w:r>
          </w:p>
        </w:tc>
        <w:tc>
          <w:tcPr>
            <w:tcW w:w="1560" w:type="dxa"/>
            <w:tcBorders>
              <w:top w:val="single" w:sz="4" w:space="0" w:color="A6A6A6" w:themeColor="background1" w:themeShade="A6"/>
              <w:left w:val="nil"/>
              <w:bottom w:val="single" w:sz="4" w:space="0" w:color="auto"/>
              <w:right w:val="nil"/>
            </w:tcBorders>
            <w:shd w:val="clear" w:color="auto" w:fill="auto"/>
          </w:tcPr>
          <w:p w:rsidR="0025490C" w:rsidRPr="00291908" w:rsidRDefault="0025490C" w:rsidP="00291908">
            <w:pPr>
              <w:pStyle w:val="TableText"/>
              <w:jc w:val="center"/>
              <w:rPr>
                <w:b/>
              </w:rPr>
            </w:pPr>
            <w:r w:rsidRPr="00291908">
              <w:rPr>
                <w:b/>
              </w:rPr>
              <w:t>3 hours</w:t>
            </w:r>
          </w:p>
        </w:tc>
      </w:tr>
      <w:tr w:rsidR="00291908" w:rsidRPr="00E07B1B" w:rsidTr="00EA6C08">
        <w:trPr>
          <w:cantSplit/>
        </w:trPr>
        <w:tc>
          <w:tcPr>
            <w:tcW w:w="2459" w:type="dxa"/>
            <w:vMerge w:val="restart"/>
            <w:tcBorders>
              <w:top w:val="single" w:sz="4" w:space="0" w:color="auto"/>
              <w:left w:val="nil"/>
              <w:bottom w:val="nil"/>
              <w:right w:val="nil"/>
            </w:tcBorders>
            <w:shd w:val="clear" w:color="auto" w:fill="F2F2F2" w:themeFill="background1" w:themeFillShade="F2"/>
          </w:tcPr>
          <w:p w:rsidR="0025490C" w:rsidRPr="00E07B1B" w:rsidRDefault="0025490C" w:rsidP="008041F2">
            <w:pPr>
              <w:pStyle w:val="TableText"/>
            </w:pPr>
            <w:r w:rsidRPr="00E07B1B">
              <w:t>Australasia</w:t>
            </w:r>
            <w:r w:rsidR="008041F2">
              <w:t>n Diabetes in Pregnancy Society</w:t>
            </w:r>
          </w:p>
        </w:tc>
        <w:tc>
          <w:tcPr>
            <w:tcW w:w="1085" w:type="dxa"/>
            <w:vMerge w:val="restart"/>
            <w:tcBorders>
              <w:top w:val="single" w:sz="4" w:space="0" w:color="auto"/>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2013</w:t>
            </w:r>
          </w:p>
        </w:tc>
        <w:tc>
          <w:tcPr>
            <w:tcW w:w="1559" w:type="dxa"/>
            <w:tcBorders>
              <w:top w:val="single" w:sz="4" w:space="0" w:color="auto"/>
              <w:left w:val="nil"/>
              <w:bottom w:val="nil"/>
              <w:right w:val="nil"/>
            </w:tcBorders>
            <w:shd w:val="clear" w:color="auto" w:fill="F2F2F2" w:themeFill="background1" w:themeFillShade="F2"/>
          </w:tcPr>
          <w:p w:rsidR="0025490C" w:rsidRPr="00E07B1B" w:rsidRDefault="0025490C" w:rsidP="008041F2">
            <w:pPr>
              <w:pStyle w:val="TableText"/>
            </w:pPr>
            <w:r w:rsidRPr="00E07B1B">
              <w:t>Diagnostic</w:t>
            </w:r>
          </w:p>
        </w:tc>
        <w:tc>
          <w:tcPr>
            <w:tcW w:w="1418" w:type="dxa"/>
            <w:tcBorders>
              <w:top w:val="single" w:sz="4" w:space="0" w:color="auto"/>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OGTT</w:t>
            </w:r>
          </w:p>
        </w:tc>
        <w:tc>
          <w:tcPr>
            <w:tcW w:w="1843" w:type="dxa"/>
            <w:tcBorders>
              <w:top w:val="single" w:sz="4" w:space="0" w:color="auto"/>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1</w:t>
            </w:r>
          </w:p>
        </w:tc>
        <w:tc>
          <w:tcPr>
            <w:tcW w:w="1559" w:type="dxa"/>
            <w:tcBorders>
              <w:top w:val="single" w:sz="4" w:space="0" w:color="auto"/>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5.1</w:t>
            </w:r>
            <w:r>
              <w:t xml:space="preserve"> </w:t>
            </w:r>
            <w:r w:rsidRPr="00E07B1B">
              <w:t>mmol/L</w:t>
            </w:r>
          </w:p>
        </w:tc>
        <w:tc>
          <w:tcPr>
            <w:tcW w:w="1559" w:type="dxa"/>
            <w:tcBorders>
              <w:top w:val="single" w:sz="4" w:space="0" w:color="auto"/>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10.0</w:t>
            </w:r>
            <w:r>
              <w:t xml:space="preserve"> </w:t>
            </w:r>
            <w:r w:rsidRPr="00E07B1B">
              <w:t>mmol/L</w:t>
            </w:r>
          </w:p>
        </w:tc>
        <w:tc>
          <w:tcPr>
            <w:tcW w:w="1559" w:type="dxa"/>
            <w:tcBorders>
              <w:top w:val="single" w:sz="4" w:space="0" w:color="auto"/>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8.5</w:t>
            </w:r>
            <w:r>
              <w:t xml:space="preserve"> </w:t>
            </w:r>
            <w:r w:rsidRPr="00E07B1B">
              <w:t>mmol/L</w:t>
            </w:r>
          </w:p>
        </w:tc>
        <w:tc>
          <w:tcPr>
            <w:tcW w:w="1560" w:type="dxa"/>
            <w:tcBorders>
              <w:top w:val="single" w:sz="4" w:space="0" w:color="auto"/>
              <w:left w:val="nil"/>
              <w:bottom w:val="nil"/>
              <w:right w:val="nil"/>
            </w:tcBorders>
            <w:shd w:val="clear" w:color="auto" w:fill="F2F2F2" w:themeFill="background1" w:themeFillShade="F2"/>
          </w:tcPr>
          <w:p w:rsidR="0025490C" w:rsidRPr="00E07B1B" w:rsidRDefault="00EA6C08" w:rsidP="00EA6C08">
            <w:pPr>
              <w:pStyle w:val="TableText"/>
              <w:jc w:val="center"/>
            </w:pPr>
            <w:r>
              <w:t>–</w:t>
            </w:r>
          </w:p>
        </w:tc>
      </w:tr>
      <w:tr w:rsidR="00291908" w:rsidRPr="00E07B1B" w:rsidTr="00EA6C08">
        <w:trPr>
          <w:cantSplit/>
        </w:trPr>
        <w:tc>
          <w:tcPr>
            <w:tcW w:w="2459" w:type="dxa"/>
            <w:vMerge/>
            <w:tcBorders>
              <w:top w:val="nil"/>
              <w:left w:val="nil"/>
              <w:bottom w:val="nil"/>
              <w:right w:val="nil"/>
            </w:tcBorders>
            <w:shd w:val="clear" w:color="auto" w:fill="auto"/>
          </w:tcPr>
          <w:p w:rsidR="0025490C" w:rsidRPr="00E07B1B" w:rsidRDefault="0025490C" w:rsidP="008041F2">
            <w:pPr>
              <w:pStyle w:val="TableText"/>
            </w:pPr>
          </w:p>
        </w:tc>
        <w:tc>
          <w:tcPr>
            <w:tcW w:w="1085" w:type="dxa"/>
            <w:vMerge/>
            <w:tcBorders>
              <w:top w:val="nil"/>
              <w:left w:val="nil"/>
              <w:bottom w:val="nil"/>
              <w:right w:val="nil"/>
            </w:tcBorders>
            <w:shd w:val="clear" w:color="auto" w:fill="auto"/>
          </w:tcPr>
          <w:p w:rsidR="0025490C" w:rsidRPr="00E07B1B" w:rsidRDefault="0025490C" w:rsidP="00EA6C08">
            <w:pPr>
              <w:pStyle w:val="TableText"/>
              <w:jc w:val="center"/>
            </w:pPr>
          </w:p>
        </w:tc>
        <w:tc>
          <w:tcPr>
            <w:tcW w:w="1559" w:type="dxa"/>
            <w:tcBorders>
              <w:top w:val="nil"/>
              <w:left w:val="nil"/>
              <w:bottom w:val="nil"/>
              <w:right w:val="nil"/>
            </w:tcBorders>
            <w:shd w:val="clear" w:color="auto" w:fill="F2F2F2" w:themeFill="background1" w:themeFillShade="F2"/>
          </w:tcPr>
          <w:p w:rsidR="0025490C" w:rsidRPr="00E07B1B" w:rsidRDefault="0025490C" w:rsidP="008041F2">
            <w:pPr>
              <w:pStyle w:val="TableText"/>
            </w:pPr>
            <w:r w:rsidRPr="00E07B1B">
              <w:t>Diagnostic</w:t>
            </w:r>
          </w:p>
        </w:tc>
        <w:tc>
          <w:tcPr>
            <w:tcW w:w="1418"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HbA1c*</w:t>
            </w:r>
          </w:p>
        </w:tc>
        <w:tc>
          <w:tcPr>
            <w:tcW w:w="1843"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na</w:t>
            </w:r>
          </w:p>
        </w:tc>
        <w:tc>
          <w:tcPr>
            <w:tcW w:w="1559"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48</w:t>
            </w:r>
            <w:r>
              <w:t xml:space="preserve"> </w:t>
            </w:r>
            <w:r w:rsidR="00EA6C08">
              <w:t>mmol/mol</w:t>
            </w:r>
          </w:p>
        </w:tc>
        <w:tc>
          <w:tcPr>
            <w:tcW w:w="1559" w:type="dxa"/>
            <w:tcBorders>
              <w:top w:val="nil"/>
              <w:left w:val="nil"/>
              <w:bottom w:val="nil"/>
              <w:right w:val="nil"/>
            </w:tcBorders>
            <w:shd w:val="clear" w:color="auto" w:fill="F2F2F2" w:themeFill="background1" w:themeFillShade="F2"/>
          </w:tcPr>
          <w:p w:rsidR="0025490C" w:rsidRPr="00E07B1B" w:rsidRDefault="00EA6C08" w:rsidP="00EA6C08">
            <w:pPr>
              <w:pStyle w:val="TableText"/>
              <w:jc w:val="center"/>
            </w:pPr>
            <w:r>
              <w:t>–</w:t>
            </w:r>
          </w:p>
        </w:tc>
        <w:tc>
          <w:tcPr>
            <w:tcW w:w="1559" w:type="dxa"/>
            <w:tcBorders>
              <w:top w:val="nil"/>
              <w:left w:val="nil"/>
              <w:bottom w:val="nil"/>
              <w:right w:val="nil"/>
            </w:tcBorders>
            <w:shd w:val="clear" w:color="auto" w:fill="F2F2F2" w:themeFill="background1" w:themeFillShade="F2"/>
          </w:tcPr>
          <w:p w:rsidR="0025490C" w:rsidRPr="00E07B1B" w:rsidRDefault="00EA6C08" w:rsidP="00EA6C08">
            <w:pPr>
              <w:pStyle w:val="TableText"/>
              <w:jc w:val="center"/>
            </w:pPr>
            <w:r>
              <w:t>–</w:t>
            </w:r>
          </w:p>
        </w:tc>
        <w:tc>
          <w:tcPr>
            <w:tcW w:w="1560" w:type="dxa"/>
            <w:tcBorders>
              <w:top w:val="nil"/>
              <w:left w:val="nil"/>
              <w:bottom w:val="nil"/>
              <w:right w:val="nil"/>
            </w:tcBorders>
            <w:shd w:val="clear" w:color="auto" w:fill="F2F2F2" w:themeFill="background1" w:themeFillShade="F2"/>
          </w:tcPr>
          <w:p w:rsidR="0025490C" w:rsidRPr="00E07B1B" w:rsidRDefault="00EA6C08" w:rsidP="00EA6C08">
            <w:pPr>
              <w:pStyle w:val="TableText"/>
              <w:jc w:val="center"/>
            </w:pPr>
            <w:r>
              <w:t>–</w:t>
            </w:r>
          </w:p>
        </w:tc>
      </w:tr>
      <w:tr w:rsidR="00EA6C08" w:rsidRPr="00E07B1B" w:rsidTr="00EA6C08">
        <w:trPr>
          <w:cantSplit/>
        </w:trPr>
        <w:tc>
          <w:tcPr>
            <w:tcW w:w="2459" w:type="dxa"/>
            <w:tcBorders>
              <w:top w:val="nil"/>
              <w:left w:val="nil"/>
              <w:bottom w:val="nil"/>
              <w:right w:val="nil"/>
            </w:tcBorders>
            <w:shd w:val="clear" w:color="auto" w:fill="auto"/>
          </w:tcPr>
          <w:p w:rsidR="0025490C" w:rsidRPr="00E07B1B" w:rsidRDefault="00291908" w:rsidP="008041F2">
            <w:pPr>
              <w:pStyle w:val="TableText"/>
            </w:pPr>
            <w:r>
              <w:t>American Diabetes Association</w:t>
            </w:r>
          </w:p>
        </w:tc>
        <w:tc>
          <w:tcPr>
            <w:tcW w:w="1085" w:type="dxa"/>
            <w:tcBorders>
              <w:top w:val="nil"/>
              <w:left w:val="nil"/>
              <w:bottom w:val="nil"/>
              <w:right w:val="nil"/>
            </w:tcBorders>
            <w:shd w:val="clear" w:color="auto" w:fill="auto"/>
          </w:tcPr>
          <w:p w:rsidR="0025490C" w:rsidRPr="00E07B1B" w:rsidRDefault="0025490C" w:rsidP="00EA6C08">
            <w:pPr>
              <w:pStyle w:val="TableText"/>
              <w:jc w:val="center"/>
            </w:pPr>
            <w:r w:rsidRPr="00E07B1B">
              <w:t>2013</w:t>
            </w:r>
          </w:p>
        </w:tc>
        <w:tc>
          <w:tcPr>
            <w:tcW w:w="1559" w:type="dxa"/>
            <w:tcBorders>
              <w:top w:val="nil"/>
              <w:left w:val="nil"/>
              <w:bottom w:val="nil"/>
              <w:right w:val="nil"/>
            </w:tcBorders>
            <w:shd w:val="clear" w:color="auto" w:fill="auto"/>
          </w:tcPr>
          <w:p w:rsidR="0025490C" w:rsidRPr="00E07B1B" w:rsidRDefault="0025490C" w:rsidP="008041F2">
            <w:pPr>
              <w:pStyle w:val="TableText"/>
            </w:pPr>
            <w:r w:rsidRPr="00E07B1B">
              <w:t>Diagnostic</w:t>
            </w:r>
          </w:p>
        </w:tc>
        <w:tc>
          <w:tcPr>
            <w:tcW w:w="1418" w:type="dxa"/>
            <w:tcBorders>
              <w:top w:val="nil"/>
              <w:left w:val="nil"/>
              <w:bottom w:val="nil"/>
              <w:right w:val="nil"/>
            </w:tcBorders>
            <w:shd w:val="clear" w:color="auto" w:fill="auto"/>
          </w:tcPr>
          <w:p w:rsidR="0025490C" w:rsidRPr="00E07B1B" w:rsidRDefault="0025490C" w:rsidP="00EA6C08">
            <w:pPr>
              <w:pStyle w:val="TableText"/>
              <w:jc w:val="center"/>
            </w:pPr>
            <w:r w:rsidRPr="00E07B1B">
              <w:t>75</w:t>
            </w:r>
            <w:r>
              <w:t xml:space="preserve"> </w:t>
            </w:r>
            <w:r w:rsidRPr="00E07B1B">
              <w:t>g OGTT</w:t>
            </w:r>
          </w:p>
        </w:tc>
        <w:tc>
          <w:tcPr>
            <w:tcW w:w="1843" w:type="dxa"/>
            <w:tcBorders>
              <w:top w:val="nil"/>
              <w:left w:val="nil"/>
              <w:bottom w:val="nil"/>
              <w:right w:val="nil"/>
            </w:tcBorders>
            <w:shd w:val="clear" w:color="auto" w:fill="auto"/>
          </w:tcPr>
          <w:p w:rsidR="0025490C" w:rsidRPr="00E07B1B" w:rsidRDefault="0025490C" w:rsidP="00EA6C08">
            <w:pPr>
              <w:pStyle w:val="TableText"/>
              <w:jc w:val="center"/>
            </w:pPr>
            <w:r w:rsidRPr="00E07B1B">
              <w:t>1</w:t>
            </w:r>
          </w:p>
        </w:tc>
        <w:tc>
          <w:tcPr>
            <w:tcW w:w="1559" w:type="dxa"/>
            <w:tcBorders>
              <w:top w:val="nil"/>
              <w:left w:val="nil"/>
              <w:bottom w:val="nil"/>
              <w:right w:val="nil"/>
            </w:tcBorders>
            <w:shd w:val="clear" w:color="auto" w:fill="auto"/>
          </w:tcPr>
          <w:p w:rsidR="0025490C" w:rsidRPr="00E07B1B" w:rsidRDefault="0025490C" w:rsidP="00EA6C08">
            <w:pPr>
              <w:pStyle w:val="TableText"/>
              <w:jc w:val="center"/>
            </w:pPr>
            <w:r w:rsidRPr="00E07B1B">
              <w:t>5.1</w:t>
            </w:r>
            <w:r>
              <w:t xml:space="preserve"> </w:t>
            </w:r>
            <w:r w:rsidRPr="00E07B1B">
              <w:t>mmol/L</w:t>
            </w:r>
          </w:p>
        </w:tc>
        <w:tc>
          <w:tcPr>
            <w:tcW w:w="1559" w:type="dxa"/>
            <w:tcBorders>
              <w:top w:val="nil"/>
              <w:left w:val="nil"/>
              <w:bottom w:val="nil"/>
              <w:right w:val="nil"/>
            </w:tcBorders>
            <w:shd w:val="clear" w:color="auto" w:fill="auto"/>
          </w:tcPr>
          <w:p w:rsidR="0025490C" w:rsidRPr="00E07B1B" w:rsidRDefault="0025490C" w:rsidP="00EA6C08">
            <w:pPr>
              <w:pStyle w:val="TableText"/>
              <w:jc w:val="center"/>
            </w:pPr>
            <w:r w:rsidRPr="00E07B1B">
              <w:t>10.0</w:t>
            </w:r>
            <w:r>
              <w:t xml:space="preserve"> </w:t>
            </w:r>
            <w:r w:rsidRPr="00E07B1B">
              <w:t>mmol/L</w:t>
            </w:r>
          </w:p>
        </w:tc>
        <w:tc>
          <w:tcPr>
            <w:tcW w:w="1559" w:type="dxa"/>
            <w:tcBorders>
              <w:top w:val="nil"/>
              <w:left w:val="nil"/>
              <w:bottom w:val="nil"/>
              <w:right w:val="nil"/>
            </w:tcBorders>
            <w:shd w:val="clear" w:color="auto" w:fill="auto"/>
          </w:tcPr>
          <w:p w:rsidR="0025490C" w:rsidRPr="00E07B1B" w:rsidRDefault="0025490C" w:rsidP="00EA6C08">
            <w:pPr>
              <w:pStyle w:val="TableText"/>
              <w:jc w:val="center"/>
            </w:pPr>
            <w:r w:rsidRPr="00E07B1B">
              <w:t>8.5</w:t>
            </w:r>
            <w:r>
              <w:t xml:space="preserve"> </w:t>
            </w:r>
            <w:r w:rsidRPr="00E07B1B">
              <w:t>mmol/L</w:t>
            </w:r>
          </w:p>
        </w:tc>
        <w:tc>
          <w:tcPr>
            <w:tcW w:w="1560" w:type="dxa"/>
            <w:tcBorders>
              <w:top w:val="nil"/>
              <w:left w:val="nil"/>
              <w:bottom w:val="nil"/>
              <w:right w:val="nil"/>
            </w:tcBorders>
            <w:shd w:val="clear" w:color="auto" w:fill="auto"/>
          </w:tcPr>
          <w:p w:rsidR="0025490C" w:rsidRPr="00E07B1B" w:rsidRDefault="00EA6C08" w:rsidP="00EA6C08">
            <w:pPr>
              <w:pStyle w:val="TableText"/>
              <w:jc w:val="center"/>
            </w:pPr>
            <w:r>
              <w:t>–</w:t>
            </w:r>
          </w:p>
        </w:tc>
      </w:tr>
      <w:tr w:rsidR="00291908" w:rsidRPr="00E07B1B" w:rsidTr="00EA6C08">
        <w:trPr>
          <w:cantSplit/>
        </w:trPr>
        <w:tc>
          <w:tcPr>
            <w:tcW w:w="2459" w:type="dxa"/>
            <w:vMerge w:val="restart"/>
            <w:tcBorders>
              <w:top w:val="nil"/>
              <w:left w:val="nil"/>
              <w:bottom w:val="nil"/>
              <w:right w:val="nil"/>
            </w:tcBorders>
            <w:shd w:val="clear" w:color="auto" w:fill="F2F2F2" w:themeFill="background1" w:themeFillShade="F2"/>
          </w:tcPr>
          <w:p w:rsidR="0025490C" w:rsidRPr="00E07B1B" w:rsidRDefault="0025490C" w:rsidP="00291908">
            <w:pPr>
              <w:pStyle w:val="TableText"/>
            </w:pPr>
            <w:r w:rsidRPr="00E07B1B">
              <w:t>American College of Obstetricians and Gynecologists</w:t>
            </w:r>
          </w:p>
        </w:tc>
        <w:tc>
          <w:tcPr>
            <w:tcW w:w="1085" w:type="dxa"/>
            <w:vMerge w:val="restart"/>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2013</w:t>
            </w:r>
          </w:p>
        </w:tc>
        <w:tc>
          <w:tcPr>
            <w:tcW w:w="1559" w:type="dxa"/>
            <w:tcBorders>
              <w:top w:val="nil"/>
              <w:left w:val="nil"/>
              <w:bottom w:val="nil"/>
              <w:right w:val="nil"/>
            </w:tcBorders>
            <w:shd w:val="clear" w:color="auto" w:fill="F2F2F2" w:themeFill="background1" w:themeFillShade="F2"/>
          </w:tcPr>
          <w:p w:rsidR="0025490C" w:rsidRPr="00E07B1B" w:rsidRDefault="0025490C" w:rsidP="008041F2">
            <w:pPr>
              <w:pStyle w:val="TableText"/>
            </w:pPr>
            <w:r w:rsidRPr="00E07B1B">
              <w:t>Screening</w:t>
            </w:r>
          </w:p>
        </w:tc>
        <w:tc>
          <w:tcPr>
            <w:tcW w:w="1418"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50</w:t>
            </w:r>
            <w:r>
              <w:t xml:space="preserve"> g</w:t>
            </w:r>
            <w:r w:rsidRPr="00E07B1B">
              <w:t xml:space="preserve"> GCT</w:t>
            </w:r>
          </w:p>
        </w:tc>
        <w:tc>
          <w:tcPr>
            <w:tcW w:w="1843"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1</w:t>
            </w:r>
          </w:p>
        </w:tc>
        <w:tc>
          <w:tcPr>
            <w:tcW w:w="1559" w:type="dxa"/>
            <w:tcBorders>
              <w:top w:val="nil"/>
              <w:left w:val="nil"/>
              <w:bottom w:val="nil"/>
              <w:right w:val="nil"/>
            </w:tcBorders>
            <w:shd w:val="clear" w:color="auto" w:fill="F2F2F2" w:themeFill="background1" w:themeFillShade="F2"/>
          </w:tcPr>
          <w:p w:rsidR="0025490C" w:rsidRPr="00E07B1B" w:rsidRDefault="00EA6C08" w:rsidP="00EA6C08">
            <w:pPr>
              <w:pStyle w:val="TableText"/>
              <w:jc w:val="center"/>
            </w:pPr>
            <w:r>
              <w:t>–</w:t>
            </w:r>
          </w:p>
        </w:tc>
        <w:tc>
          <w:tcPr>
            <w:tcW w:w="1559"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7.2</w:t>
            </w:r>
            <w:r>
              <w:t xml:space="preserve"> </w:t>
            </w:r>
            <w:r w:rsidRPr="00E07B1B">
              <w:t>mmol/L or 7.8</w:t>
            </w:r>
            <w:r>
              <w:t xml:space="preserve"> </w:t>
            </w:r>
            <w:r w:rsidRPr="00E07B1B">
              <w:t>mmol/L</w:t>
            </w:r>
          </w:p>
        </w:tc>
        <w:tc>
          <w:tcPr>
            <w:tcW w:w="1559" w:type="dxa"/>
            <w:tcBorders>
              <w:top w:val="nil"/>
              <w:left w:val="nil"/>
              <w:bottom w:val="nil"/>
              <w:right w:val="nil"/>
            </w:tcBorders>
            <w:shd w:val="clear" w:color="auto" w:fill="F2F2F2" w:themeFill="background1" w:themeFillShade="F2"/>
          </w:tcPr>
          <w:p w:rsidR="0025490C" w:rsidRPr="00E07B1B" w:rsidRDefault="00EA6C08" w:rsidP="00EA6C08">
            <w:pPr>
              <w:pStyle w:val="TableText"/>
              <w:jc w:val="center"/>
            </w:pPr>
            <w:r>
              <w:t>–</w:t>
            </w:r>
          </w:p>
        </w:tc>
        <w:tc>
          <w:tcPr>
            <w:tcW w:w="1560" w:type="dxa"/>
            <w:tcBorders>
              <w:top w:val="nil"/>
              <w:left w:val="nil"/>
              <w:bottom w:val="nil"/>
              <w:right w:val="nil"/>
            </w:tcBorders>
            <w:shd w:val="clear" w:color="auto" w:fill="F2F2F2" w:themeFill="background1" w:themeFillShade="F2"/>
          </w:tcPr>
          <w:p w:rsidR="0025490C" w:rsidRPr="00E07B1B" w:rsidRDefault="00EA6C08" w:rsidP="00EA6C08">
            <w:pPr>
              <w:pStyle w:val="TableText"/>
              <w:jc w:val="center"/>
            </w:pPr>
            <w:r>
              <w:t>–</w:t>
            </w:r>
          </w:p>
        </w:tc>
      </w:tr>
      <w:tr w:rsidR="00291908" w:rsidRPr="00E07B1B" w:rsidTr="00EA6C08">
        <w:trPr>
          <w:cantSplit/>
        </w:trPr>
        <w:tc>
          <w:tcPr>
            <w:tcW w:w="2459" w:type="dxa"/>
            <w:vMerge/>
            <w:tcBorders>
              <w:top w:val="nil"/>
              <w:left w:val="nil"/>
              <w:bottom w:val="nil"/>
              <w:right w:val="nil"/>
            </w:tcBorders>
            <w:shd w:val="clear" w:color="auto" w:fill="auto"/>
          </w:tcPr>
          <w:p w:rsidR="0025490C" w:rsidRPr="00E07B1B" w:rsidRDefault="0025490C" w:rsidP="008041F2">
            <w:pPr>
              <w:pStyle w:val="TableText"/>
            </w:pPr>
          </w:p>
        </w:tc>
        <w:tc>
          <w:tcPr>
            <w:tcW w:w="1085" w:type="dxa"/>
            <w:vMerge/>
            <w:tcBorders>
              <w:top w:val="nil"/>
              <w:left w:val="nil"/>
              <w:bottom w:val="nil"/>
              <w:right w:val="nil"/>
            </w:tcBorders>
            <w:shd w:val="clear" w:color="auto" w:fill="auto"/>
          </w:tcPr>
          <w:p w:rsidR="0025490C" w:rsidRPr="00E07B1B" w:rsidRDefault="0025490C" w:rsidP="00EA6C08">
            <w:pPr>
              <w:pStyle w:val="TableText"/>
              <w:jc w:val="center"/>
            </w:pPr>
          </w:p>
        </w:tc>
        <w:tc>
          <w:tcPr>
            <w:tcW w:w="1559" w:type="dxa"/>
            <w:tcBorders>
              <w:top w:val="nil"/>
              <w:left w:val="nil"/>
              <w:bottom w:val="nil"/>
              <w:right w:val="nil"/>
            </w:tcBorders>
            <w:shd w:val="clear" w:color="auto" w:fill="F2F2F2" w:themeFill="background1" w:themeFillShade="F2"/>
          </w:tcPr>
          <w:p w:rsidR="0025490C" w:rsidRPr="00E07B1B" w:rsidRDefault="0025490C" w:rsidP="008041F2">
            <w:pPr>
              <w:pStyle w:val="TableText"/>
            </w:pPr>
            <w:r w:rsidRPr="00E07B1B">
              <w:t>Diagnostic** (Carpenter and Coustan)</w:t>
            </w:r>
          </w:p>
        </w:tc>
        <w:tc>
          <w:tcPr>
            <w:tcW w:w="1418"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100</w:t>
            </w:r>
            <w:r>
              <w:t xml:space="preserve"> </w:t>
            </w:r>
            <w:r w:rsidRPr="00E07B1B">
              <w:t>g OGTT</w:t>
            </w:r>
          </w:p>
        </w:tc>
        <w:tc>
          <w:tcPr>
            <w:tcW w:w="1843"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2</w:t>
            </w:r>
          </w:p>
        </w:tc>
        <w:tc>
          <w:tcPr>
            <w:tcW w:w="1559"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5.3</w:t>
            </w:r>
            <w:r>
              <w:t xml:space="preserve"> </w:t>
            </w:r>
            <w:r w:rsidRPr="00E07B1B">
              <w:t>mmol/L</w:t>
            </w:r>
          </w:p>
        </w:tc>
        <w:tc>
          <w:tcPr>
            <w:tcW w:w="1559"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10.0</w:t>
            </w:r>
            <w:r>
              <w:t xml:space="preserve"> </w:t>
            </w:r>
            <w:r w:rsidRPr="00E07B1B">
              <w:t>mmol/L</w:t>
            </w:r>
          </w:p>
        </w:tc>
        <w:tc>
          <w:tcPr>
            <w:tcW w:w="1559"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8.6</w:t>
            </w:r>
            <w:r>
              <w:t xml:space="preserve"> </w:t>
            </w:r>
            <w:r w:rsidRPr="00E07B1B">
              <w:t>mmol/L</w:t>
            </w:r>
          </w:p>
        </w:tc>
        <w:tc>
          <w:tcPr>
            <w:tcW w:w="1560"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7.8</w:t>
            </w:r>
            <w:r>
              <w:t xml:space="preserve"> </w:t>
            </w:r>
            <w:r w:rsidRPr="00E07B1B">
              <w:t>mmol/L</w:t>
            </w:r>
          </w:p>
        </w:tc>
      </w:tr>
      <w:tr w:rsidR="00291908" w:rsidRPr="00E07B1B" w:rsidTr="00EA6C08">
        <w:trPr>
          <w:cantSplit/>
        </w:trPr>
        <w:tc>
          <w:tcPr>
            <w:tcW w:w="2459" w:type="dxa"/>
            <w:vMerge/>
            <w:tcBorders>
              <w:top w:val="nil"/>
              <w:left w:val="nil"/>
              <w:bottom w:val="nil"/>
              <w:right w:val="nil"/>
            </w:tcBorders>
            <w:shd w:val="clear" w:color="auto" w:fill="auto"/>
          </w:tcPr>
          <w:p w:rsidR="0025490C" w:rsidRPr="00E07B1B" w:rsidRDefault="0025490C" w:rsidP="008041F2">
            <w:pPr>
              <w:pStyle w:val="TableText"/>
            </w:pPr>
          </w:p>
        </w:tc>
        <w:tc>
          <w:tcPr>
            <w:tcW w:w="1085" w:type="dxa"/>
            <w:vMerge/>
            <w:tcBorders>
              <w:top w:val="nil"/>
              <w:left w:val="nil"/>
              <w:bottom w:val="nil"/>
              <w:right w:val="nil"/>
            </w:tcBorders>
            <w:shd w:val="clear" w:color="auto" w:fill="auto"/>
          </w:tcPr>
          <w:p w:rsidR="0025490C" w:rsidRPr="00E07B1B" w:rsidRDefault="0025490C" w:rsidP="00EA6C08">
            <w:pPr>
              <w:pStyle w:val="TableText"/>
              <w:jc w:val="center"/>
            </w:pPr>
          </w:p>
        </w:tc>
        <w:tc>
          <w:tcPr>
            <w:tcW w:w="1559" w:type="dxa"/>
            <w:tcBorders>
              <w:top w:val="nil"/>
              <w:left w:val="nil"/>
              <w:bottom w:val="nil"/>
              <w:right w:val="nil"/>
            </w:tcBorders>
            <w:shd w:val="clear" w:color="auto" w:fill="F2F2F2" w:themeFill="background1" w:themeFillShade="F2"/>
          </w:tcPr>
          <w:p w:rsidR="0025490C" w:rsidRPr="00E07B1B" w:rsidRDefault="0025490C" w:rsidP="008041F2">
            <w:pPr>
              <w:pStyle w:val="TableText"/>
            </w:pPr>
            <w:r w:rsidRPr="00E07B1B">
              <w:t>Diagnostic** (NDDG)</w:t>
            </w:r>
          </w:p>
        </w:tc>
        <w:tc>
          <w:tcPr>
            <w:tcW w:w="1418"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100</w:t>
            </w:r>
            <w:r>
              <w:t xml:space="preserve"> </w:t>
            </w:r>
            <w:r w:rsidRPr="00E07B1B">
              <w:t>g OGTT</w:t>
            </w:r>
          </w:p>
        </w:tc>
        <w:tc>
          <w:tcPr>
            <w:tcW w:w="1843"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2</w:t>
            </w:r>
          </w:p>
        </w:tc>
        <w:tc>
          <w:tcPr>
            <w:tcW w:w="1559"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5.8</w:t>
            </w:r>
            <w:r>
              <w:t xml:space="preserve"> </w:t>
            </w:r>
            <w:r w:rsidRPr="00E07B1B">
              <w:t>mmol/L</w:t>
            </w:r>
          </w:p>
        </w:tc>
        <w:tc>
          <w:tcPr>
            <w:tcW w:w="1559"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10.6</w:t>
            </w:r>
            <w:r>
              <w:t xml:space="preserve"> </w:t>
            </w:r>
            <w:r w:rsidRPr="00E07B1B">
              <w:t>mmol/L</w:t>
            </w:r>
          </w:p>
        </w:tc>
        <w:tc>
          <w:tcPr>
            <w:tcW w:w="1559"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9.2</w:t>
            </w:r>
            <w:r>
              <w:t xml:space="preserve"> </w:t>
            </w:r>
            <w:r w:rsidRPr="00E07B1B">
              <w:t>mmol/L</w:t>
            </w:r>
          </w:p>
        </w:tc>
        <w:tc>
          <w:tcPr>
            <w:tcW w:w="1560"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8.0</w:t>
            </w:r>
            <w:r>
              <w:t xml:space="preserve"> </w:t>
            </w:r>
            <w:r w:rsidRPr="00E07B1B">
              <w:t>mmol/L</w:t>
            </w:r>
          </w:p>
        </w:tc>
      </w:tr>
      <w:tr w:rsidR="00EA6C08" w:rsidRPr="00E07B1B" w:rsidTr="00EA6C08">
        <w:trPr>
          <w:cantSplit/>
        </w:trPr>
        <w:tc>
          <w:tcPr>
            <w:tcW w:w="2459" w:type="dxa"/>
            <w:tcBorders>
              <w:top w:val="nil"/>
              <w:left w:val="nil"/>
              <w:bottom w:val="nil"/>
              <w:right w:val="nil"/>
            </w:tcBorders>
            <w:shd w:val="clear" w:color="auto" w:fill="auto"/>
          </w:tcPr>
          <w:p w:rsidR="0025490C" w:rsidRPr="00E07B1B" w:rsidRDefault="0025490C" w:rsidP="00291908">
            <w:pPr>
              <w:pStyle w:val="TableText"/>
            </w:pPr>
            <w:r w:rsidRPr="00E07B1B">
              <w:t>International Association of Diabetes and Pregnancy Study Groups</w:t>
            </w:r>
          </w:p>
        </w:tc>
        <w:tc>
          <w:tcPr>
            <w:tcW w:w="1085" w:type="dxa"/>
            <w:tcBorders>
              <w:top w:val="nil"/>
              <w:left w:val="nil"/>
              <w:bottom w:val="nil"/>
              <w:right w:val="nil"/>
            </w:tcBorders>
            <w:shd w:val="clear" w:color="auto" w:fill="auto"/>
          </w:tcPr>
          <w:p w:rsidR="0025490C" w:rsidRPr="00E07B1B" w:rsidRDefault="0025490C" w:rsidP="00EA6C08">
            <w:pPr>
              <w:pStyle w:val="TableText"/>
              <w:jc w:val="center"/>
            </w:pPr>
            <w:r w:rsidRPr="00E07B1B">
              <w:t>2010</w:t>
            </w:r>
          </w:p>
        </w:tc>
        <w:tc>
          <w:tcPr>
            <w:tcW w:w="1559" w:type="dxa"/>
            <w:tcBorders>
              <w:top w:val="nil"/>
              <w:left w:val="nil"/>
              <w:bottom w:val="nil"/>
              <w:right w:val="nil"/>
            </w:tcBorders>
            <w:shd w:val="clear" w:color="auto" w:fill="auto"/>
          </w:tcPr>
          <w:p w:rsidR="0025490C" w:rsidRPr="00E07B1B" w:rsidRDefault="0025490C" w:rsidP="008041F2">
            <w:pPr>
              <w:pStyle w:val="TableText"/>
            </w:pPr>
            <w:r w:rsidRPr="00E07B1B">
              <w:t>Diagnostic</w:t>
            </w:r>
          </w:p>
        </w:tc>
        <w:tc>
          <w:tcPr>
            <w:tcW w:w="1418" w:type="dxa"/>
            <w:tcBorders>
              <w:top w:val="nil"/>
              <w:left w:val="nil"/>
              <w:bottom w:val="nil"/>
              <w:right w:val="nil"/>
            </w:tcBorders>
            <w:shd w:val="clear" w:color="auto" w:fill="auto"/>
          </w:tcPr>
          <w:p w:rsidR="0025490C" w:rsidRPr="00E07B1B" w:rsidRDefault="0025490C" w:rsidP="00EA6C08">
            <w:pPr>
              <w:pStyle w:val="TableText"/>
              <w:jc w:val="center"/>
            </w:pPr>
            <w:r w:rsidRPr="00E07B1B">
              <w:t>75</w:t>
            </w:r>
            <w:r>
              <w:t xml:space="preserve"> </w:t>
            </w:r>
            <w:r w:rsidRPr="00E07B1B">
              <w:t>g OGTT</w:t>
            </w:r>
          </w:p>
        </w:tc>
        <w:tc>
          <w:tcPr>
            <w:tcW w:w="1843" w:type="dxa"/>
            <w:tcBorders>
              <w:top w:val="nil"/>
              <w:left w:val="nil"/>
              <w:bottom w:val="nil"/>
              <w:right w:val="nil"/>
            </w:tcBorders>
            <w:shd w:val="clear" w:color="auto" w:fill="auto"/>
          </w:tcPr>
          <w:p w:rsidR="0025490C" w:rsidRPr="00E07B1B" w:rsidRDefault="0025490C" w:rsidP="00EA6C08">
            <w:pPr>
              <w:pStyle w:val="TableText"/>
              <w:jc w:val="center"/>
            </w:pPr>
            <w:r w:rsidRPr="00E07B1B">
              <w:t>1</w:t>
            </w:r>
          </w:p>
        </w:tc>
        <w:tc>
          <w:tcPr>
            <w:tcW w:w="1559" w:type="dxa"/>
            <w:tcBorders>
              <w:top w:val="nil"/>
              <w:left w:val="nil"/>
              <w:bottom w:val="nil"/>
              <w:right w:val="nil"/>
            </w:tcBorders>
            <w:shd w:val="clear" w:color="auto" w:fill="auto"/>
          </w:tcPr>
          <w:p w:rsidR="0025490C" w:rsidRPr="00E07B1B" w:rsidRDefault="0025490C" w:rsidP="00EA6C08">
            <w:pPr>
              <w:pStyle w:val="TableText"/>
              <w:jc w:val="center"/>
            </w:pPr>
            <w:r w:rsidRPr="00E07B1B">
              <w:t>5.1</w:t>
            </w:r>
            <w:r>
              <w:t xml:space="preserve"> </w:t>
            </w:r>
            <w:r w:rsidRPr="00E07B1B">
              <w:t>mmol/L</w:t>
            </w:r>
          </w:p>
        </w:tc>
        <w:tc>
          <w:tcPr>
            <w:tcW w:w="1559" w:type="dxa"/>
            <w:tcBorders>
              <w:top w:val="nil"/>
              <w:left w:val="nil"/>
              <w:bottom w:val="nil"/>
              <w:right w:val="nil"/>
            </w:tcBorders>
            <w:shd w:val="clear" w:color="auto" w:fill="auto"/>
          </w:tcPr>
          <w:p w:rsidR="0025490C" w:rsidRPr="00E07B1B" w:rsidRDefault="0025490C" w:rsidP="00EA6C08">
            <w:pPr>
              <w:pStyle w:val="TableText"/>
              <w:jc w:val="center"/>
            </w:pPr>
            <w:r w:rsidRPr="00E07B1B">
              <w:t>10.0</w:t>
            </w:r>
            <w:r>
              <w:t xml:space="preserve"> </w:t>
            </w:r>
            <w:r w:rsidRPr="00E07B1B">
              <w:t>mmol/L</w:t>
            </w:r>
          </w:p>
        </w:tc>
        <w:tc>
          <w:tcPr>
            <w:tcW w:w="1559" w:type="dxa"/>
            <w:tcBorders>
              <w:top w:val="nil"/>
              <w:left w:val="nil"/>
              <w:bottom w:val="nil"/>
              <w:right w:val="nil"/>
            </w:tcBorders>
            <w:shd w:val="clear" w:color="auto" w:fill="auto"/>
          </w:tcPr>
          <w:p w:rsidR="0025490C" w:rsidRPr="00E07B1B" w:rsidRDefault="0025490C" w:rsidP="00EA6C08">
            <w:pPr>
              <w:pStyle w:val="TableText"/>
              <w:jc w:val="center"/>
            </w:pPr>
            <w:r w:rsidRPr="00E07B1B">
              <w:t>8.5</w:t>
            </w:r>
            <w:r>
              <w:t xml:space="preserve"> </w:t>
            </w:r>
            <w:r w:rsidRPr="00E07B1B">
              <w:t>mmol/L</w:t>
            </w:r>
          </w:p>
        </w:tc>
        <w:tc>
          <w:tcPr>
            <w:tcW w:w="1560" w:type="dxa"/>
            <w:tcBorders>
              <w:top w:val="nil"/>
              <w:left w:val="nil"/>
              <w:bottom w:val="nil"/>
              <w:right w:val="nil"/>
            </w:tcBorders>
            <w:shd w:val="clear" w:color="auto" w:fill="auto"/>
          </w:tcPr>
          <w:p w:rsidR="0025490C" w:rsidRPr="00E07B1B" w:rsidRDefault="00EA6C08" w:rsidP="00EA6C08">
            <w:pPr>
              <w:pStyle w:val="TableText"/>
              <w:jc w:val="center"/>
            </w:pPr>
            <w:r>
              <w:t>–</w:t>
            </w:r>
          </w:p>
        </w:tc>
      </w:tr>
      <w:tr w:rsidR="00291908" w:rsidRPr="00E07B1B" w:rsidTr="00EA6C08">
        <w:trPr>
          <w:cantSplit/>
        </w:trPr>
        <w:tc>
          <w:tcPr>
            <w:tcW w:w="2459" w:type="dxa"/>
            <w:tcBorders>
              <w:top w:val="nil"/>
              <w:left w:val="nil"/>
              <w:bottom w:val="nil"/>
              <w:right w:val="nil"/>
            </w:tcBorders>
            <w:shd w:val="clear" w:color="auto" w:fill="F2F2F2" w:themeFill="background1" w:themeFillShade="F2"/>
          </w:tcPr>
          <w:p w:rsidR="0025490C" w:rsidRPr="00E07B1B" w:rsidRDefault="0025490C" w:rsidP="00291908">
            <w:pPr>
              <w:pStyle w:val="TableText"/>
            </w:pPr>
            <w:r w:rsidRPr="00E07B1B">
              <w:t>World Health Organi</w:t>
            </w:r>
            <w:r>
              <w:t>z</w:t>
            </w:r>
            <w:r w:rsidRPr="00E07B1B">
              <w:t>ation</w:t>
            </w:r>
          </w:p>
        </w:tc>
        <w:tc>
          <w:tcPr>
            <w:tcW w:w="1085"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1999</w:t>
            </w:r>
          </w:p>
        </w:tc>
        <w:tc>
          <w:tcPr>
            <w:tcW w:w="1559" w:type="dxa"/>
            <w:tcBorders>
              <w:top w:val="nil"/>
              <w:left w:val="nil"/>
              <w:bottom w:val="nil"/>
              <w:right w:val="nil"/>
            </w:tcBorders>
            <w:shd w:val="clear" w:color="auto" w:fill="F2F2F2" w:themeFill="background1" w:themeFillShade="F2"/>
          </w:tcPr>
          <w:p w:rsidR="0025490C" w:rsidRPr="00E07B1B" w:rsidRDefault="0025490C" w:rsidP="008041F2">
            <w:pPr>
              <w:pStyle w:val="TableText"/>
            </w:pPr>
            <w:r w:rsidRPr="00E07B1B">
              <w:t>Diagnostic for diabetes</w:t>
            </w:r>
          </w:p>
        </w:tc>
        <w:tc>
          <w:tcPr>
            <w:tcW w:w="1418"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75</w:t>
            </w:r>
            <w:r>
              <w:t xml:space="preserve"> </w:t>
            </w:r>
            <w:r w:rsidRPr="00E07B1B">
              <w:t>g OGTT</w:t>
            </w:r>
          </w:p>
        </w:tc>
        <w:tc>
          <w:tcPr>
            <w:tcW w:w="1843"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1</w:t>
            </w:r>
          </w:p>
        </w:tc>
        <w:tc>
          <w:tcPr>
            <w:tcW w:w="1559"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7.0</w:t>
            </w:r>
            <w:r>
              <w:t xml:space="preserve"> </w:t>
            </w:r>
            <w:r w:rsidRPr="00E07B1B">
              <w:t>mmol/L</w:t>
            </w:r>
          </w:p>
        </w:tc>
        <w:tc>
          <w:tcPr>
            <w:tcW w:w="1559" w:type="dxa"/>
            <w:tcBorders>
              <w:top w:val="nil"/>
              <w:left w:val="nil"/>
              <w:bottom w:val="nil"/>
              <w:right w:val="nil"/>
            </w:tcBorders>
            <w:shd w:val="clear" w:color="auto" w:fill="F2F2F2" w:themeFill="background1" w:themeFillShade="F2"/>
          </w:tcPr>
          <w:p w:rsidR="0025490C" w:rsidRPr="00E07B1B" w:rsidRDefault="00EA6C08" w:rsidP="00EA6C08">
            <w:pPr>
              <w:pStyle w:val="TableText"/>
              <w:jc w:val="center"/>
            </w:pPr>
            <w:r>
              <w:t>–</w:t>
            </w:r>
          </w:p>
        </w:tc>
        <w:tc>
          <w:tcPr>
            <w:tcW w:w="1559" w:type="dxa"/>
            <w:tcBorders>
              <w:top w:val="nil"/>
              <w:left w:val="nil"/>
              <w:bottom w:val="nil"/>
              <w:right w:val="nil"/>
            </w:tcBorders>
            <w:shd w:val="clear" w:color="auto" w:fill="F2F2F2" w:themeFill="background1" w:themeFillShade="F2"/>
          </w:tcPr>
          <w:p w:rsidR="0025490C" w:rsidRPr="00E07B1B" w:rsidRDefault="0025490C" w:rsidP="00EA6C08">
            <w:pPr>
              <w:pStyle w:val="TableText"/>
              <w:jc w:val="center"/>
            </w:pPr>
            <w:r w:rsidRPr="00E07B1B">
              <w:t>11.1</w:t>
            </w:r>
            <w:r>
              <w:t xml:space="preserve"> </w:t>
            </w:r>
            <w:r w:rsidRPr="00E07B1B">
              <w:t>mmol/L</w:t>
            </w:r>
          </w:p>
        </w:tc>
        <w:tc>
          <w:tcPr>
            <w:tcW w:w="1560" w:type="dxa"/>
            <w:tcBorders>
              <w:top w:val="nil"/>
              <w:left w:val="nil"/>
              <w:bottom w:val="nil"/>
              <w:right w:val="nil"/>
            </w:tcBorders>
            <w:shd w:val="clear" w:color="auto" w:fill="F2F2F2" w:themeFill="background1" w:themeFillShade="F2"/>
          </w:tcPr>
          <w:p w:rsidR="0025490C" w:rsidRPr="00E07B1B" w:rsidRDefault="00EA6C08" w:rsidP="00EA6C08">
            <w:pPr>
              <w:pStyle w:val="TableText"/>
              <w:jc w:val="center"/>
            </w:pPr>
            <w:r>
              <w:t>–</w:t>
            </w:r>
          </w:p>
        </w:tc>
      </w:tr>
      <w:tr w:rsidR="00EA6C08" w:rsidRPr="00E07B1B" w:rsidTr="00EA6C08">
        <w:trPr>
          <w:cantSplit/>
        </w:trPr>
        <w:tc>
          <w:tcPr>
            <w:tcW w:w="2459" w:type="dxa"/>
            <w:vMerge w:val="restart"/>
            <w:tcBorders>
              <w:top w:val="nil"/>
              <w:left w:val="nil"/>
              <w:bottom w:val="nil"/>
              <w:right w:val="nil"/>
            </w:tcBorders>
            <w:shd w:val="clear" w:color="auto" w:fill="auto"/>
          </w:tcPr>
          <w:p w:rsidR="0025490C" w:rsidRPr="00E07B1B" w:rsidRDefault="0025490C" w:rsidP="00291908">
            <w:pPr>
              <w:pStyle w:val="TableText"/>
            </w:pPr>
            <w:r w:rsidRPr="00E07B1B">
              <w:t>Canadian Diabetes Association</w:t>
            </w:r>
          </w:p>
        </w:tc>
        <w:tc>
          <w:tcPr>
            <w:tcW w:w="1085" w:type="dxa"/>
            <w:vMerge w:val="restart"/>
            <w:tcBorders>
              <w:top w:val="nil"/>
              <w:left w:val="nil"/>
              <w:bottom w:val="nil"/>
              <w:right w:val="nil"/>
            </w:tcBorders>
            <w:shd w:val="clear" w:color="auto" w:fill="auto"/>
          </w:tcPr>
          <w:p w:rsidR="0025490C" w:rsidRPr="00E07B1B" w:rsidRDefault="0025490C" w:rsidP="00EA6C08">
            <w:pPr>
              <w:pStyle w:val="TableText"/>
              <w:jc w:val="center"/>
            </w:pPr>
            <w:r w:rsidRPr="00E07B1B">
              <w:t>2008</w:t>
            </w:r>
          </w:p>
        </w:tc>
        <w:tc>
          <w:tcPr>
            <w:tcW w:w="1559" w:type="dxa"/>
            <w:tcBorders>
              <w:top w:val="nil"/>
              <w:left w:val="nil"/>
              <w:bottom w:val="nil"/>
              <w:right w:val="nil"/>
            </w:tcBorders>
            <w:shd w:val="clear" w:color="auto" w:fill="auto"/>
          </w:tcPr>
          <w:p w:rsidR="0025490C" w:rsidRPr="00E07B1B" w:rsidRDefault="0025490C" w:rsidP="008041F2">
            <w:pPr>
              <w:pStyle w:val="TableText"/>
            </w:pPr>
            <w:r w:rsidRPr="00E07B1B">
              <w:t>Screening</w:t>
            </w:r>
          </w:p>
        </w:tc>
        <w:tc>
          <w:tcPr>
            <w:tcW w:w="1418" w:type="dxa"/>
            <w:tcBorders>
              <w:top w:val="nil"/>
              <w:left w:val="nil"/>
              <w:bottom w:val="nil"/>
              <w:right w:val="nil"/>
            </w:tcBorders>
            <w:shd w:val="clear" w:color="auto" w:fill="auto"/>
          </w:tcPr>
          <w:p w:rsidR="0025490C" w:rsidRPr="00E07B1B" w:rsidRDefault="0025490C" w:rsidP="00EA6C08">
            <w:pPr>
              <w:pStyle w:val="TableText"/>
              <w:jc w:val="center"/>
            </w:pPr>
            <w:r w:rsidRPr="00E07B1B">
              <w:t>50</w:t>
            </w:r>
            <w:r>
              <w:t xml:space="preserve"> </w:t>
            </w:r>
            <w:r w:rsidRPr="00E07B1B">
              <w:t>g GCT</w:t>
            </w:r>
          </w:p>
        </w:tc>
        <w:tc>
          <w:tcPr>
            <w:tcW w:w="1843" w:type="dxa"/>
            <w:tcBorders>
              <w:top w:val="nil"/>
              <w:left w:val="nil"/>
              <w:bottom w:val="nil"/>
              <w:right w:val="nil"/>
            </w:tcBorders>
            <w:shd w:val="clear" w:color="auto" w:fill="auto"/>
          </w:tcPr>
          <w:p w:rsidR="0025490C" w:rsidRPr="00E07B1B" w:rsidRDefault="0025490C" w:rsidP="00EA6C08">
            <w:pPr>
              <w:pStyle w:val="TableText"/>
              <w:jc w:val="center"/>
            </w:pPr>
            <w:r w:rsidRPr="00E07B1B">
              <w:t>1</w:t>
            </w:r>
          </w:p>
        </w:tc>
        <w:tc>
          <w:tcPr>
            <w:tcW w:w="1559" w:type="dxa"/>
            <w:tcBorders>
              <w:top w:val="nil"/>
              <w:left w:val="nil"/>
              <w:bottom w:val="nil"/>
              <w:right w:val="nil"/>
            </w:tcBorders>
            <w:shd w:val="clear" w:color="auto" w:fill="auto"/>
          </w:tcPr>
          <w:p w:rsidR="0025490C" w:rsidRPr="00E07B1B" w:rsidRDefault="00EA6C08" w:rsidP="00EA6C08">
            <w:pPr>
              <w:pStyle w:val="TableText"/>
              <w:jc w:val="center"/>
            </w:pPr>
            <w:r>
              <w:t>–</w:t>
            </w:r>
          </w:p>
        </w:tc>
        <w:tc>
          <w:tcPr>
            <w:tcW w:w="1559" w:type="dxa"/>
            <w:tcBorders>
              <w:top w:val="nil"/>
              <w:left w:val="nil"/>
              <w:bottom w:val="nil"/>
              <w:right w:val="nil"/>
            </w:tcBorders>
            <w:shd w:val="clear" w:color="auto" w:fill="auto"/>
          </w:tcPr>
          <w:p w:rsidR="0025490C" w:rsidRPr="00E07B1B" w:rsidRDefault="0025490C" w:rsidP="00EA6C08">
            <w:pPr>
              <w:pStyle w:val="TableText"/>
              <w:jc w:val="center"/>
            </w:pPr>
            <w:r w:rsidRPr="00E07B1B">
              <w:t>7.8</w:t>
            </w:r>
            <w:r>
              <w:t xml:space="preserve"> </w:t>
            </w:r>
            <w:r w:rsidRPr="00E07B1B">
              <w:t>mmol/L</w:t>
            </w:r>
          </w:p>
        </w:tc>
        <w:tc>
          <w:tcPr>
            <w:tcW w:w="1559" w:type="dxa"/>
            <w:tcBorders>
              <w:top w:val="nil"/>
              <w:left w:val="nil"/>
              <w:bottom w:val="nil"/>
              <w:right w:val="nil"/>
            </w:tcBorders>
            <w:shd w:val="clear" w:color="auto" w:fill="auto"/>
          </w:tcPr>
          <w:p w:rsidR="0025490C" w:rsidRPr="00E07B1B" w:rsidRDefault="00EA6C08" w:rsidP="00EA6C08">
            <w:pPr>
              <w:pStyle w:val="TableText"/>
              <w:jc w:val="center"/>
            </w:pPr>
            <w:r>
              <w:t>–</w:t>
            </w:r>
          </w:p>
        </w:tc>
        <w:tc>
          <w:tcPr>
            <w:tcW w:w="1560" w:type="dxa"/>
            <w:tcBorders>
              <w:top w:val="nil"/>
              <w:left w:val="nil"/>
              <w:bottom w:val="nil"/>
              <w:right w:val="nil"/>
            </w:tcBorders>
            <w:shd w:val="clear" w:color="auto" w:fill="auto"/>
          </w:tcPr>
          <w:p w:rsidR="0025490C" w:rsidRPr="00E07B1B" w:rsidRDefault="00EA6C08" w:rsidP="00EA6C08">
            <w:pPr>
              <w:pStyle w:val="TableText"/>
              <w:jc w:val="center"/>
            </w:pPr>
            <w:r>
              <w:t>–</w:t>
            </w:r>
          </w:p>
        </w:tc>
      </w:tr>
      <w:tr w:rsidR="00EA6C08" w:rsidRPr="00E07B1B" w:rsidTr="00EA6C08">
        <w:trPr>
          <w:cantSplit/>
        </w:trPr>
        <w:tc>
          <w:tcPr>
            <w:tcW w:w="2459" w:type="dxa"/>
            <w:vMerge/>
            <w:tcBorders>
              <w:top w:val="nil"/>
              <w:left w:val="nil"/>
              <w:right w:val="nil"/>
            </w:tcBorders>
            <w:shd w:val="clear" w:color="auto" w:fill="auto"/>
          </w:tcPr>
          <w:p w:rsidR="0025490C" w:rsidRPr="00E07B1B" w:rsidRDefault="0025490C" w:rsidP="008041F2">
            <w:pPr>
              <w:pStyle w:val="TableText"/>
            </w:pPr>
          </w:p>
        </w:tc>
        <w:tc>
          <w:tcPr>
            <w:tcW w:w="1085" w:type="dxa"/>
            <w:vMerge/>
            <w:tcBorders>
              <w:top w:val="nil"/>
              <w:left w:val="nil"/>
              <w:right w:val="nil"/>
            </w:tcBorders>
            <w:shd w:val="clear" w:color="auto" w:fill="auto"/>
          </w:tcPr>
          <w:p w:rsidR="0025490C" w:rsidRPr="00E07B1B" w:rsidRDefault="0025490C" w:rsidP="00EA6C08">
            <w:pPr>
              <w:pStyle w:val="TableText"/>
              <w:jc w:val="center"/>
            </w:pPr>
          </w:p>
        </w:tc>
        <w:tc>
          <w:tcPr>
            <w:tcW w:w="1559" w:type="dxa"/>
            <w:tcBorders>
              <w:top w:val="nil"/>
              <w:left w:val="nil"/>
              <w:right w:val="nil"/>
            </w:tcBorders>
            <w:shd w:val="clear" w:color="auto" w:fill="auto"/>
          </w:tcPr>
          <w:p w:rsidR="0025490C" w:rsidRPr="00E07B1B" w:rsidRDefault="0025490C" w:rsidP="008041F2">
            <w:pPr>
              <w:pStyle w:val="TableText"/>
            </w:pPr>
            <w:r w:rsidRPr="00E07B1B">
              <w:t>Diagnostic</w:t>
            </w:r>
          </w:p>
        </w:tc>
        <w:tc>
          <w:tcPr>
            <w:tcW w:w="1418" w:type="dxa"/>
            <w:tcBorders>
              <w:top w:val="nil"/>
              <w:left w:val="nil"/>
              <w:right w:val="nil"/>
            </w:tcBorders>
            <w:shd w:val="clear" w:color="auto" w:fill="auto"/>
          </w:tcPr>
          <w:p w:rsidR="0025490C" w:rsidRPr="00E07B1B" w:rsidRDefault="0025490C" w:rsidP="00EA6C08">
            <w:pPr>
              <w:pStyle w:val="TableText"/>
              <w:jc w:val="center"/>
            </w:pPr>
            <w:r w:rsidRPr="00E07B1B">
              <w:t>75</w:t>
            </w:r>
            <w:r>
              <w:t xml:space="preserve"> </w:t>
            </w:r>
            <w:r w:rsidRPr="00E07B1B">
              <w:t>g OGTT</w:t>
            </w:r>
          </w:p>
        </w:tc>
        <w:tc>
          <w:tcPr>
            <w:tcW w:w="1843" w:type="dxa"/>
            <w:tcBorders>
              <w:top w:val="nil"/>
              <w:left w:val="nil"/>
              <w:right w:val="nil"/>
            </w:tcBorders>
            <w:shd w:val="clear" w:color="auto" w:fill="auto"/>
          </w:tcPr>
          <w:p w:rsidR="0025490C" w:rsidRPr="00E07B1B" w:rsidRDefault="0025490C" w:rsidP="00EA6C08">
            <w:pPr>
              <w:pStyle w:val="TableText"/>
              <w:jc w:val="center"/>
            </w:pPr>
            <w:r w:rsidRPr="00E07B1B">
              <w:t>2</w:t>
            </w:r>
          </w:p>
        </w:tc>
        <w:tc>
          <w:tcPr>
            <w:tcW w:w="1559" w:type="dxa"/>
            <w:tcBorders>
              <w:top w:val="nil"/>
              <w:left w:val="nil"/>
              <w:right w:val="nil"/>
            </w:tcBorders>
            <w:shd w:val="clear" w:color="auto" w:fill="auto"/>
          </w:tcPr>
          <w:p w:rsidR="0025490C" w:rsidRPr="00E07B1B" w:rsidRDefault="0025490C" w:rsidP="00EA6C08">
            <w:pPr>
              <w:pStyle w:val="TableText"/>
              <w:jc w:val="center"/>
            </w:pPr>
            <w:r w:rsidRPr="00E07B1B">
              <w:t>5.3</w:t>
            </w:r>
            <w:r>
              <w:t xml:space="preserve"> </w:t>
            </w:r>
            <w:r w:rsidRPr="00E07B1B">
              <w:t>mmol/L</w:t>
            </w:r>
          </w:p>
        </w:tc>
        <w:tc>
          <w:tcPr>
            <w:tcW w:w="1559" w:type="dxa"/>
            <w:tcBorders>
              <w:top w:val="nil"/>
              <w:left w:val="nil"/>
              <w:right w:val="nil"/>
            </w:tcBorders>
            <w:shd w:val="clear" w:color="auto" w:fill="auto"/>
          </w:tcPr>
          <w:p w:rsidR="0025490C" w:rsidRPr="00E07B1B" w:rsidRDefault="0025490C" w:rsidP="00EA6C08">
            <w:pPr>
              <w:pStyle w:val="TableText"/>
              <w:jc w:val="center"/>
            </w:pPr>
            <w:r w:rsidRPr="00E07B1B">
              <w:t>10.6</w:t>
            </w:r>
            <w:r>
              <w:t xml:space="preserve"> </w:t>
            </w:r>
            <w:r w:rsidRPr="00E07B1B">
              <w:t>mmol/L</w:t>
            </w:r>
          </w:p>
        </w:tc>
        <w:tc>
          <w:tcPr>
            <w:tcW w:w="1559" w:type="dxa"/>
            <w:tcBorders>
              <w:top w:val="nil"/>
              <w:left w:val="nil"/>
              <w:right w:val="nil"/>
            </w:tcBorders>
            <w:shd w:val="clear" w:color="auto" w:fill="auto"/>
          </w:tcPr>
          <w:p w:rsidR="0025490C" w:rsidRPr="00E07B1B" w:rsidRDefault="0025490C" w:rsidP="00EA6C08">
            <w:pPr>
              <w:pStyle w:val="TableText"/>
              <w:jc w:val="center"/>
            </w:pPr>
            <w:r w:rsidRPr="00E07B1B">
              <w:t>8.9</w:t>
            </w:r>
            <w:r>
              <w:t xml:space="preserve"> </w:t>
            </w:r>
            <w:r w:rsidRPr="00E07B1B">
              <w:t>mmol/L</w:t>
            </w:r>
          </w:p>
        </w:tc>
        <w:tc>
          <w:tcPr>
            <w:tcW w:w="1560" w:type="dxa"/>
            <w:tcBorders>
              <w:top w:val="nil"/>
              <w:left w:val="nil"/>
              <w:right w:val="nil"/>
            </w:tcBorders>
            <w:shd w:val="clear" w:color="auto" w:fill="auto"/>
          </w:tcPr>
          <w:p w:rsidR="0025490C" w:rsidRPr="00E07B1B" w:rsidRDefault="00EA6C08" w:rsidP="00EA6C08">
            <w:pPr>
              <w:pStyle w:val="TableText"/>
              <w:jc w:val="center"/>
            </w:pPr>
            <w:r>
              <w:t>–</w:t>
            </w:r>
          </w:p>
        </w:tc>
      </w:tr>
    </w:tbl>
    <w:p w:rsidR="0025490C" w:rsidRPr="00E07B1B" w:rsidRDefault="0025490C" w:rsidP="00291908">
      <w:pPr>
        <w:pStyle w:val="Note"/>
      </w:pPr>
      <w:r>
        <w:t xml:space="preserve">Note: </w:t>
      </w:r>
      <w:r w:rsidRPr="00E07B1B">
        <w:t xml:space="preserve">GCT </w:t>
      </w:r>
      <w:r>
        <w:t>= g</w:t>
      </w:r>
      <w:r w:rsidRPr="00E07B1B">
        <w:t xml:space="preserve">lucose </w:t>
      </w:r>
      <w:r>
        <w:t>c</w:t>
      </w:r>
      <w:r w:rsidRPr="00E07B1B">
        <w:t xml:space="preserve">hallenge </w:t>
      </w:r>
      <w:r>
        <w:t>t</w:t>
      </w:r>
      <w:r w:rsidRPr="00E07B1B">
        <w:t>est</w:t>
      </w:r>
      <w:r>
        <w:t>;</w:t>
      </w:r>
      <w:r w:rsidRPr="00E07B1B">
        <w:t xml:space="preserve"> OGTT </w:t>
      </w:r>
      <w:r>
        <w:t>= o</w:t>
      </w:r>
      <w:r w:rsidRPr="00E07B1B">
        <w:t xml:space="preserve">ral </w:t>
      </w:r>
      <w:r>
        <w:t>g</w:t>
      </w:r>
      <w:r w:rsidRPr="00E07B1B">
        <w:t xml:space="preserve">lucose </w:t>
      </w:r>
      <w:r>
        <w:t>t</w:t>
      </w:r>
      <w:r w:rsidRPr="00E07B1B">
        <w:t xml:space="preserve">olerance </w:t>
      </w:r>
      <w:r>
        <w:t>t</w:t>
      </w:r>
      <w:r w:rsidRPr="00E07B1B">
        <w:t xml:space="preserve">est; NDDG </w:t>
      </w:r>
      <w:r>
        <w:t xml:space="preserve">= </w:t>
      </w:r>
      <w:r w:rsidRPr="00E07B1B">
        <w:t>National Diabetes Data Group</w:t>
      </w:r>
      <w:r w:rsidR="00291908">
        <w:t>.</w:t>
      </w:r>
    </w:p>
    <w:p w:rsidR="0068074A" w:rsidRDefault="0025490C" w:rsidP="00291908">
      <w:pPr>
        <w:pStyle w:val="Note"/>
      </w:pPr>
      <w:r w:rsidRPr="00E07B1B">
        <w:t>*</w:t>
      </w:r>
      <w:r w:rsidR="00291908">
        <w:tab/>
      </w:r>
      <w:r w:rsidRPr="00E07B1B">
        <w:t>In areas where the rate of undiagnosed type 2 diabetes is thought to be high, or in remote areas where the performance of a</w:t>
      </w:r>
      <w:r>
        <w:t>n</w:t>
      </w:r>
      <w:r w:rsidRPr="00E07B1B">
        <w:t xml:space="preserve"> OGTT may be logistically difficult, a measurement of HbA1c can be considered.</w:t>
      </w:r>
    </w:p>
    <w:p w:rsidR="0025490C" w:rsidRPr="00E07B1B" w:rsidRDefault="0025490C" w:rsidP="00291908">
      <w:pPr>
        <w:pStyle w:val="Note"/>
      </w:pPr>
      <w:r w:rsidRPr="00E07B1B">
        <w:t>**</w:t>
      </w:r>
      <w:r w:rsidR="00291908">
        <w:tab/>
      </w:r>
      <w:r>
        <w:t>American College of Obstetricians and Gynecologists</w:t>
      </w:r>
      <w:r w:rsidRPr="00E07B1B">
        <w:t xml:space="preserve"> stipulates that either the Carpenter and Coustan or the National Diabetes Data Group thresholds are appropriate to use.</w:t>
      </w:r>
    </w:p>
    <w:p w:rsidR="00EA6C08" w:rsidRDefault="00EA6C08" w:rsidP="00EA6C08">
      <w:bookmarkStart w:id="492" w:name="_Toc363717802"/>
    </w:p>
    <w:p w:rsidR="0025490C" w:rsidRPr="00E07B1B" w:rsidRDefault="0025490C" w:rsidP="00EA6C08">
      <w:pPr>
        <w:pStyle w:val="Figure"/>
      </w:pPr>
      <w:bookmarkStart w:id="493" w:name="_Toc403636047"/>
      <w:r w:rsidRPr="00E07B1B">
        <w:t xml:space="preserve">Figure </w:t>
      </w:r>
      <w:r w:rsidR="009E3907">
        <w:t>4</w:t>
      </w:r>
      <w:r w:rsidR="00EA6C08">
        <w:t>:</w:t>
      </w:r>
      <w:r w:rsidRPr="00E07B1B">
        <w:t xml:space="preserve"> Sensitivity and specificity: 50</w:t>
      </w:r>
      <w:r>
        <w:t xml:space="preserve"> </w:t>
      </w:r>
      <w:r w:rsidRPr="00E07B1B">
        <w:t>g oral glucose tolerance test by Carpenter and Coustan or American Diabetes Association (2000–2010) criteria</w:t>
      </w:r>
      <w:bookmarkEnd w:id="492"/>
      <w:bookmarkEnd w:id="493"/>
    </w:p>
    <w:p w:rsidR="0025490C" w:rsidRDefault="0025490C" w:rsidP="00EA6C08">
      <w:pPr>
        <w:rPr>
          <w:lang w:eastAsia="ja-JP"/>
        </w:rPr>
      </w:pPr>
      <w:r>
        <w:rPr>
          <w:noProof/>
          <w:lang w:eastAsia="en-NZ"/>
        </w:rPr>
        <w:drawing>
          <wp:inline distT="0" distB="0" distL="0" distR="0" wp14:anchorId="3336349A" wp14:editId="418CB96F">
            <wp:extent cx="5394215" cy="3208713"/>
            <wp:effectExtent l="0" t="0" r="0" b="0"/>
            <wp:docPr id="7" name="Picture 5" descr="Figure 4: Sensitivity and specificity: 50 g oral glucose tolerance test by Carpenter and Coustan or American Diabetes Association (2000–2010) criteria" title="Figure 4: Sensitivity and specificity: 50 g oral glucose tolerance test by Carpenter and Coustan or American Diabetes Association (2000–2010)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95840" cy="3209680"/>
                    </a:xfrm>
                    <a:prstGeom prst="rect">
                      <a:avLst/>
                    </a:prstGeom>
                    <a:noFill/>
                    <a:ln>
                      <a:noFill/>
                    </a:ln>
                  </pic:spPr>
                </pic:pic>
              </a:graphicData>
            </a:graphic>
          </wp:inline>
        </w:drawing>
      </w:r>
    </w:p>
    <w:p w:rsidR="00EA6C08" w:rsidRPr="00E07B1B" w:rsidRDefault="00EA6C08" w:rsidP="00EA6C08">
      <w:pPr>
        <w:rPr>
          <w:lang w:eastAsia="ja-JP"/>
        </w:rPr>
      </w:pPr>
    </w:p>
    <w:tbl>
      <w:tblPr>
        <w:tblW w:w="14601"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4395"/>
        <w:gridCol w:w="1323"/>
        <w:gridCol w:w="1323"/>
        <w:gridCol w:w="1323"/>
        <w:gridCol w:w="3118"/>
        <w:gridCol w:w="1843"/>
        <w:gridCol w:w="1276"/>
      </w:tblGrid>
      <w:tr w:rsidR="00EA6C08" w:rsidRPr="00EA6C08" w:rsidTr="00F328EE">
        <w:trPr>
          <w:cantSplit/>
        </w:trPr>
        <w:tc>
          <w:tcPr>
            <w:tcW w:w="4395" w:type="dxa"/>
            <w:tcBorders>
              <w:top w:val="single" w:sz="4" w:space="0" w:color="auto"/>
              <w:bottom w:val="single" w:sz="4" w:space="0" w:color="auto"/>
            </w:tcBorders>
          </w:tcPr>
          <w:p w:rsidR="0025490C" w:rsidRPr="00F328EE" w:rsidRDefault="0025490C" w:rsidP="00F328EE">
            <w:pPr>
              <w:pStyle w:val="TableText"/>
              <w:rPr>
                <w:b/>
                <w:sz w:val="18"/>
                <w:szCs w:val="18"/>
                <w:lang w:eastAsia="ja-JP"/>
              </w:rPr>
            </w:pPr>
            <w:r w:rsidRPr="00F328EE">
              <w:rPr>
                <w:b/>
                <w:sz w:val="18"/>
                <w:szCs w:val="18"/>
                <w:lang w:eastAsia="ja-JP"/>
              </w:rPr>
              <w:t>50 g oral glucose challenge test and 100</w:t>
            </w:r>
            <w:r w:rsidR="00EA6C08" w:rsidRPr="00F328EE">
              <w:rPr>
                <w:b/>
                <w:sz w:val="18"/>
                <w:szCs w:val="18"/>
                <w:lang w:eastAsia="ja-JP"/>
              </w:rPr>
              <w:t> </w:t>
            </w:r>
            <w:r w:rsidRPr="00F328EE">
              <w:rPr>
                <w:b/>
                <w:sz w:val="18"/>
                <w:szCs w:val="18"/>
                <w:lang w:eastAsia="ja-JP"/>
              </w:rPr>
              <w:t>g, 3</w:t>
            </w:r>
            <w:r w:rsidR="00F328EE">
              <w:rPr>
                <w:b/>
                <w:sz w:val="18"/>
                <w:szCs w:val="18"/>
                <w:lang w:eastAsia="ja-JP"/>
              </w:rPr>
              <w:noBreakHyphen/>
            </w:r>
            <w:r w:rsidRPr="00F328EE">
              <w:rPr>
                <w:b/>
                <w:sz w:val="18"/>
                <w:szCs w:val="18"/>
                <w:lang w:eastAsia="ja-JP"/>
              </w:rPr>
              <w:t>hour oral glucose tolerance test</w:t>
            </w:r>
            <w:r w:rsidR="00F328EE">
              <w:rPr>
                <w:b/>
                <w:sz w:val="18"/>
                <w:szCs w:val="18"/>
                <w:lang w:eastAsia="ja-JP"/>
              </w:rPr>
              <w:br/>
            </w:r>
            <w:r w:rsidRPr="00F328EE">
              <w:rPr>
                <w:b/>
                <w:sz w:val="18"/>
                <w:szCs w:val="18"/>
                <w:lang w:eastAsia="ja-JP"/>
              </w:rPr>
              <w:t>(Carpenter and Coustan criteria)</w:t>
            </w:r>
          </w:p>
        </w:tc>
        <w:tc>
          <w:tcPr>
            <w:tcW w:w="1323" w:type="dxa"/>
            <w:tcBorders>
              <w:top w:val="single" w:sz="4" w:space="0" w:color="auto"/>
              <w:bottom w:val="single" w:sz="4" w:space="0" w:color="auto"/>
            </w:tcBorders>
          </w:tcPr>
          <w:p w:rsidR="0025490C" w:rsidRPr="00F328EE" w:rsidRDefault="0025490C" w:rsidP="00EA6C08">
            <w:pPr>
              <w:pStyle w:val="TableText"/>
              <w:jc w:val="center"/>
              <w:rPr>
                <w:b/>
                <w:sz w:val="18"/>
                <w:szCs w:val="18"/>
                <w:lang w:eastAsia="ja-JP"/>
              </w:rPr>
            </w:pPr>
            <w:r w:rsidRPr="00F328EE">
              <w:rPr>
                <w:b/>
                <w:sz w:val="18"/>
                <w:szCs w:val="18"/>
                <w:lang w:eastAsia="ja-JP"/>
              </w:rPr>
              <w:t>Sensitivity</w:t>
            </w:r>
          </w:p>
        </w:tc>
        <w:tc>
          <w:tcPr>
            <w:tcW w:w="1323" w:type="dxa"/>
            <w:tcBorders>
              <w:top w:val="single" w:sz="4" w:space="0" w:color="auto"/>
              <w:bottom w:val="single" w:sz="4" w:space="0" w:color="auto"/>
            </w:tcBorders>
          </w:tcPr>
          <w:p w:rsidR="0025490C" w:rsidRPr="00F328EE" w:rsidRDefault="0025490C" w:rsidP="00EA6C08">
            <w:pPr>
              <w:pStyle w:val="TableText"/>
              <w:jc w:val="center"/>
              <w:rPr>
                <w:b/>
                <w:sz w:val="18"/>
                <w:szCs w:val="18"/>
                <w:lang w:eastAsia="ja-JP"/>
              </w:rPr>
            </w:pPr>
            <w:r w:rsidRPr="00F328EE">
              <w:rPr>
                <w:b/>
                <w:sz w:val="18"/>
                <w:szCs w:val="18"/>
                <w:lang w:eastAsia="ja-JP"/>
              </w:rPr>
              <w:t>Specificity</w:t>
            </w:r>
          </w:p>
        </w:tc>
        <w:tc>
          <w:tcPr>
            <w:tcW w:w="1323" w:type="dxa"/>
            <w:tcBorders>
              <w:top w:val="single" w:sz="4" w:space="0" w:color="auto"/>
              <w:bottom w:val="single" w:sz="4" w:space="0" w:color="auto"/>
            </w:tcBorders>
          </w:tcPr>
          <w:p w:rsidR="0025490C" w:rsidRPr="00F328EE" w:rsidRDefault="0025490C" w:rsidP="00EA6C08">
            <w:pPr>
              <w:pStyle w:val="TableText"/>
              <w:jc w:val="center"/>
              <w:rPr>
                <w:b/>
                <w:sz w:val="18"/>
                <w:szCs w:val="18"/>
                <w:lang w:eastAsia="ja-JP"/>
              </w:rPr>
            </w:pPr>
            <w:r w:rsidRPr="00F328EE">
              <w:rPr>
                <w:b/>
                <w:sz w:val="18"/>
                <w:szCs w:val="18"/>
                <w:lang w:eastAsia="ja-JP"/>
              </w:rPr>
              <w:t>Prevalence</w:t>
            </w:r>
          </w:p>
        </w:tc>
        <w:tc>
          <w:tcPr>
            <w:tcW w:w="3118" w:type="dxa"/>
            <w:tcBorders>
              <w:top w:val="single" w:sz="4" w:space="0" w:color="auto"/>
              <w:bottom w:val="single" w:sz="4" w:space="0" w:color="auto"/>
            </w:tcBorders>
          </w:tcPr>
          <w:p w:rsidR="0025490C" w:rsidRPr="00F328EE" w:rsidRDefault="0025490C" w:rsidP="00F328EE">
            <w:pPr>
              <w:pStyle w:val="TableText"/>
              <w:jc w:val="center"/>
              <w:rPr>
                <w:b/>
                <w:sz w:val="18"/>
                <w:szCs w:val="18"/>
                <w:lang w:eastAsia="ja-JP"/>
              </w:rPr>
            </w:pPr>
            <w:r w:rsidRPr="00F328EE">
              <w:rPr>
                <w:b/>
                <w:sz w:val="18"/>
                <w:szCs w:val="18"/>
                <w:lang w:eastAsia="ja-JP"/>
              </w:rPr>
              <w:t>Positive predictive value</w:t>
            </w:r>
          </w:p>
        </w:tc>
        <w:tc>
          <w:tcPr>
            <w:tcW w:w="1843" w:type="dxa"/>
            <w:tcBorders>
              <w:top w:val="single" w:sz="4" w:space="0" w:color="auto"/>
              <w:bottom w:val="single" w:sz="4" w:space="0" w:color="auto"/>
            </w:tcBorders>
          </w:tcPr>
          <w:p w:rsidR="0025490C" w:rsidRPr="00F328EE" w:rsidRDefault="0025490C" w:rsidP="00EA6C08">
            <w:pPr>
              <w:pStyle w:val="TableText"/>
              <w:jc w:val="center"/>
              <w:rPr>
                <w:b/>
                <w:sz w:val="18"/>
                <w:szCs w:val="18"/>
                <w:lang w:eastAsia="ja-JP"/>
              </w:rPr>
            </w:pPr>
            <w:r w:rsidRPr="00F328EE">
              <w:rPr>
                <w:b/>
                <w:sz w:val="18"/>
                <w:szCs w:val="18"/>
                <w:lang w:eastAsia="ja-JP"/>
              </w:rPr>
              <w:t>Median negative predictive value</w:t>
            </w:r>
          </w:p>
        </w:tc>
        <w:tc>
          <w:tcPr>
            <w:tcW w:w="1276" w:type="dxa"/>
            <w:tcBorders>
              <w:top w:val="single" w:sz="4" w:space="0" w:color="auto"/>
              <w:bottom w:val="single" w:sz="4" w:space="0" w:color="auto"/>
            </w:tcBorders>
          </w:tcPr>
          <w:p w:rsidR="0025490C" w:rsidRPr="00F328EE" w:rsidRDefault="0025490C" w:rsidP="00EA6C08">
            <w:pPr>
              <w:pStyle w:val="TableText"/>
              <w:jc w:val="center"/>
              <w:rPr>
                <w:b/>
                <w:sz w:val="18"/>
                <w:szCs w:val="18"/>
                <w:lang w:eastAsia="ja-JP"/>
              </w:rPr>
            </w:pPr>
            <w:r w:rsidRPr="00F328EE">
              <w:rPr>
                <w:b/>
                <w:sz w:val="18"/>
                <w:szCs w:val="18"/>
                <w:lang w:eastAsia="ja-JP"/>
              </w:rPr>
              <w:t>Number of studies</w:t>
            </w:r>
          </w:p>
        </w:tc>
      </w:tr>
      <w:tr w:rsidR="00EA6C08" w:rsidRPr="00E07B1B" w:rsidTr="00F328EE">
        <w:trPr>
          <w:cantSplit/>
        </w:trPr>
        <w:tc>
          <w:tcPr>
            <w:tcW w:w="4395" w:type="dxa"/>
            <w:tcBorders>
              <w:top w:val="single" w:sz="4" w:space="0" w:color="auto"/>
              <w:bottom w:val="nil"/>
            </w:tcBorders>
            <w:shd w:val="clear" w:color="auto" w:fill="F2F2F2" w:themeFill="background1" w:themeFillShade="F2"/>
          </w:tcPr>
          <w:p w:rsidR="0025490C" w:rsidRPr="00F328EE" w:rsidRDefault="0025490C" w:rsidP="00EA6C08">
            <w:pPr>
              <w:pStyle w:val="TableText"/>
              <w:rPr>
                <w:sz w:val="18"/>
                <w:szCs w:val="18"/>
                <w:lang w:eastAsia="ja-JP"/>
              </w:rPr>
            </w:pPr>
            <w:r w:rsidRPr="00F328EE">
              <w:rPr>
                <w:sz w:val="18"/>
                <w:szCs w:val="18"/>
                <w:lang w:eastAsia="ja-JP"/>
              </w:rPr>
              <w:t>Threshold ≥ 7.8 mmol/L</w:t>
            </w:r>
          </w:p>
        </w:tc>
        <w:tc>
          <w:tcPr>
            <w:tcW w:w="1323" w:type="dxa"/>
            <w:tcBorders>
              <w:top w:val="single" w:sz="4" w:space="0" w:color="auto"/>
              <w:bottom w:val="nil"/>
            </w:tcBorders>
            <w:shd w:val="clear" w:color="auto" w:fill="F2F2F2" w:themeFill="background1" w:themeFillShade="F2"/>
          </w:tcPr>
          <w:p w:rsidR="0025490C" w:rsidRPr="00F328EE" w:rsidRDefault="0025490C" w:rsidP="00EA6C08">
            <w:pPr>
              <w:pStyle w:val="TableText"/>
              <w:jc w:val="center"/>
              <w:rPr>
                <w:sz w:val="18"/>
                <w:szCs w:val="18"/>
                <w:lang w:eastAsia="ja-JP"/>
              </w:rPr>
            </w:pPr>
            <w:r w:rsidRPr="00F328EE">
              <w:rPr>
                <w:sz w:val="18"/>
                <w:szCs w:val="18"/>
                <w:lang w:eastAsia="ja-JP"/>
              </w:rPr>
              <w:t>85%</w:t>
            </w:r>
          </w:p>
        </w:tc>
        <w:tc>
          <w:tcPr>
            <w:tcW w:w="1323" w:type="dxa"/>
            <w:tcBorders>
              <w:top w:val="single" w:sz="4" w:space="0" w:color="auto"/>
              <w:bottom w:val="nil"/>
            </w:tcBorders>
            <w:shd w:val="clear" w:color="auto" w:fill="F2F2F2" w:themeFill="background1" w:themeFillShade="F2"/>
          </w:tcPr>
          <w:p w:rsidR="0025490C" w:rsidRPr="00F328EE" w:rsidRDefault="0025490C" w:rsidP="00EA6C08">
            <w:pPr>
              <w:pStyle w:val="TableText"/>
              <w:jc w:val="center"/>
              <w:rPr>
                <w:sz w:val="18"/>
                <w:szCs w:val="18"/>
                <w:lang w:eastAsia="ja-JP"/>
              </w:rPr>
            </w:pPr>
            <w:r w:rsidRPr="00F328EE">
              <w:rPr>
                <w:sz w:val="18"/>
                <w:szCs w:val="18"/>
                <w:lang w:eastAsia="ja-JP"/>
              </w:rPr>
              <w:t>86%</w:t>
            </w:r>
          </w:p>
        </w:tc>
        <w:tc>
          <w:tcPr>
            <w:tcW w:w="1323" w:type="dxa"/>
            <w:tcBorders>
              <w:top w:val="single" w:sz="4" w:space="0" w:color="auto"/>
              <w:bottom w:val="nil"/>
            </w:tcBorders>
            <w:shd w:val="clear" w:color="auto" w:fill="F2F2F2" w:themeFill="background1" w:themeFillShade="F2"/>
          </w:tcPr>
          <w:p w:rsidR="0025490C" w:rsidRPr="00F328EE" w:rsidRDefault="0025490C" w:rsidP="00EA6C08">
            <w:pPr>
              <w:pStyle w:val="TableText"/>
              <w:jc w:val="center"/>
              <w:rPr>
                <w:sz w:val="18"/>
                <w:szCs w:val="18"/>
                <w:lang w:eastAsia="ja-JP"/>
              </w:rPr>
            </w:pPr>
            <w:r w:rsidRPr="00F328EE">
              <w:rPr>
                <w:sz w:val="18"/>
                <w:szCs w:val="18"/>
                <w:lang w:eastAsia="ja-JP"/>
              </w:rPr>
              <w:t>3.8% to 31.9%</w:t>
            </w:r>
          </w:p>
        </w:tc>
        <w:tc>
          <w:tcPr>
            <w:tcW w:w="3118" w:type="dxa"/>
            <w:tcBorders>
              <w:top w:val="single" w:sz="4" w:space="0" w:color="auto"/>
              <w:bottom w:val="nil"/>
            </w:tcBorders>
            <w:shd w:val="clear" w:color="auto" w:fill="F2F2F2" w:themeFill="background1" w:themeFillShade="F2"/>
          </w:tcPr>
          <w:p w:rsidR="0025490C" w:rsidRPr="00F328EE" w:rsidRDefault="0025490C" w:rsidP="00F328EE">
            <w:pPr>
              <w:pStyle w:val="TableText"/>
              <w:jc w:val="center"/>
              <w:rPr>
                <w:sz w:val="18"/>
                <w:szCs w:val="18"/>
                <w:lang w:eastAsia="ja-JP"/>
              </w:rPr>
            </w:pPr>
            <w:r w:rsidRPr="00F328EE">
              <w:rPr>
                <w:sz w:val="18"/>
                <w:szCs w:val="18"/>
                <w:lang w:eastAsia="ja-JP"/>
              </w:rPr>
              <w:t>18% to 27% (Prevalence &lt;10%)</w:t>
            </w:r>
          </w:p>
          <w:p w:rsidR="0025490C" w:rsidRPr="00F328EE" w:rsidRDefault="0025490C" w:rsidP="00F328EE">
            <w:pPr>
              <w:pStyle w:val="TableText"/>
              <w:jc w:val="center"/>
              <w:rPr>
                <w:sz w:val="18"/>
                <w:szCs w:val="18"/>
                <w:lang w:eastAsia="ja-JP"/>
              </w:rPr>
            </w:pPr>
            <w:r w:rsidRPr="00F328EE">
              <w:rPr>
                <w:sz w:val="18"/>
                <w:szCs w:val="18"/>
                <w:lang w:eastAsia="ja-JP"/>
              </w:rPr>
              <w:t>32% to 83% (Prevalence ≥10%)</w:t>
            </w:r>
          </w:p>
        </w:tc>
        <w:tc>
          <w:tcPr>
            <w:tcW w:w="1843" w:type="dxa"/>
            <w:tcBorders>
              <w:top w:val="single" w:sz="4" w:space="0" w:color="auto"/>
              <w:bottom w:val="nil"/>
            </w:tcBorders>
            <w:shd w:val="clear" w:color="auto" w:fill="F2F2F2" w:themeFill="background1" w:themeFillShade="F2"/>
          </w:tcPr>
          <w:p w:rsidR="0025490C" w:rsidRPr="00F328EE" w:rsidRDefault="0025490C" w:rsidP="00EA6C08">
            <w:pPr>
              <w:pStyle w:val="TableText"/>
              <w:jc w:val="center"/>
              <w:rPr>
                <w:sz w:val="18"/>
                <w:szCs w:val="18"/>
                <w:lang w:eastAsia="ja-JP"/>
              </w:rPr>
            </w:pPr>
            <w:r w:rsidRPr="00F328EE">
              <w:rPr>
                <w:sz w:val="18"/>
                <w:szCs w:val="18"/>
                <w:lang w:eastAsia="ja-JP"/>
              </w:rPr>
              <w:t>98%</w:t>
            </w:r>
          </w:p>
        </w:tc>
        <w:tc>
          <w:tcPr>
            <w:tcW w:w="1276" w:type="dxa"/>
            <w:tcBorders>
              <w:top w:val="single" w:sz="4" w:space="0" w:color="auto"/>
              <w:bottom w:val="nil"/>
            </w:tcBorders>
            <w:shd w:val="clear" w:color="auto" w:fill="F2F2F2" w:themeFill="background1" w:themeFillShade="F2"/>
          </w:tcPr>
          <w:p w:rsidR="0025490C" w:rsidRPr="00F328EE" w:rsidRDefault="0025490C" w:rsidP="00EA6C08">
            <w:pPr>
              <w:pStyle w:val="TableText"/>
              <w:jc w:val="center"/>
              <w:rPr>
                <w:sz w:val="18"/>
                <w:szCs w:val="18"/>
                <w:lang w:eastAsia="ja-JP"/>
              </w:rPr>
            </w:pPr>
            <w:r w:rsidRPr="00F328EE">
              <w:rPr>
                <w:sz w:val="18"/>
                <w:szCs w:val="18"/>
                <w:lang w:eastAsia="ja-JP"/>
              </w:rPr>
              <w:t>9</w:t>
            </w:r>
          </w:p>
        </w:tc>
      </w:tr>
      <w:tr w:rsidR="00EA6C08" w:rsidRPr="00E07B1B" w:rsidTr="00F328EE">
        <w:trPr>
          <w:cantSplit/>
        </w:trPr>
        <w:tc>
          <w:tcPr>
            <w:tcW w:w="4395" w:type="dxa"/>
            <w:tcBorders>
              <w:top w:val="nil"/>
              <w:bottom w:val="nil"/>
            </w:tcBorders>
          </w:tcPr>
          <w:p w:rsidR="0025490C" w:rsidRPr="00F328EE" w:rsidRDefault="0025490C" w:rsidP="00EA6C08">
            <w:pPr>
              <w:pStyle w:val="TableText"/>
              <w:rPr>
                <w:sz w:val="18"/>
                <w:szCs w:val="18"/>
                <w:lang w:eastAsia="ja-JP"/>
              </w:rPr>
            </w:pPr>
            <w:r w:rsidRPr="00F328EE">
              <w:rPr>
                <w:sz w:val="18"/>
                <w:szCs w:val="18"/>
                <w:lang w:eastAsia="ja-JP"/>
              </w:rPr>
              <w:t>Threshold ≥ 7.2 mmol/L</w:t>
            </w:r>
          </w:p>
        </w:tc>
        <w:tc>
          <w:tcPr>
            <w:tcW w:w="1323" w:type="dxa"/>
            <w:tcBorders>
              <w:top w:val="nil"/>
              <w:bottom w:val="nil"/>
            </w:tcBorders>
          </w:tcPr>
          <w:p w:rsidR="0025490C" w:rsidRPr="00F328EE" w:rsidRDefault="0025490C" w:rsidP="00EA6C08">
            <w:pPr>
              <w:pStyle w:val="TableText"/>
              <w:jc w:val="center"/>
              <w:rPr>
                <w:sz w:val="18"/>
                <w:szCs w:val="18"/>
                <w:lang w:eastAsia="ja-JP"/>
              </w:rPr>
            </w:pPr>
            <w:r w:rsidRPr="00F328EE">
              <w:rPr>
                <w:sz w:val="18"/>
                <w:szCs w:val="18"/>
                <w:lang w:eastAsia="ja-JP"/>
              </w:rPr>
              <w:t>99%</w:t>
            </w:r>
          </w:p>
        </w:tc>
        <w:tc>
          <w:tcPr>
            <w:tcW w:w="1323" w:type="dxa"/>
            <w:tcBorders>
              <w:top w:val="nil"/>
              <w:bottom w:val="nil"/>
            </w:tcBorders>
          </w:tcPr>
          <w:p w:rsidR="0025490C" w:rsidRPr="00F328EE" w:rsidRDefault="0025490C" w:rsidP="00EA6C08">
            <w:pPr>
              <w:pStyle w:val="TableText"/>
              <w:jc w:val="center"/>
              <w:rPr>
                <w:sz w:val="18"/>
                <w:szCs w:val="18"/>
                <w:lang w:eastAsia="ja-JP"/>
              </w:rPr>
            </w:pPr>
            <w:r w:rsidRPr="00F328EE">
              <w:rPr>
                <w:sz w:val="18"/>
                <w:szCs w:val="18"/>
                <w:lang w:eastAsia="ja-JP"/>
              </w:rPr>
              <w:t>77%</w:t>
            </w:r>
          </w:p>
        </w:tc>
        <w:tc>
          <w:tcPr>
            <w:tcW w:w="1323" w:type="dxa"/>
            <w:tcBorders>
              <w:top w:val="nil"/>
              <w:bottom w:val="nil"/>
            </w:tcBorders>
          </w:tcPr>
          <w:p w:rsidR="0025490C" w:rsidRPr="00F328EE" w:rsidRDefault="0025490C" w:rsidP="00EA6C08">
            <w:pPr>
              <w:pStyle w:val="TableText"/>
              <w:jc w:val="center"/>
              <w:rPr>
                <w:sz w:val="18"/>
                <w:szCs w:val="18"/>
                <w:lang w:eastAsia="ja-JP"/>
              </w:rPr>
            </w:pPr>
            <w:r w:rsidRPr="00F328EE">
              <w:rPr>
                <w:sz w:val="18"/>
                <w:szCs w:val="18"/>
                <w:lang w:eastAsia="ja-JP"/>
              </w:rPr>
              <w:t>4.3% to 29.8%</w:t>
            </w:r>
          </w:p>
        </w:tc>
        <w:tc>
          <w:tcPr>
            <w:tcW w:w="3118" w:type="dxa"/>
            <w:tcBorders>
              <w:top w:val="nil"/>
              <w:bottom w:val="nil"/>
            </w:tcBorders>
          </w:tcPr>
          <w:p w:rsidR="0025490C" w:rsidRPr="00F328EE" w:rsidRDefault="0025490C" w:rsidP="00F328EE">
            <w:pPr>
              <w:pStyle w:val="TableText"/>
              <w:jc w:val="center"/>
              <w:rPr>
                <w:sz w:val="18"/>
                <w:szCs w:val="18"/>
                <w:lang w:eastAsia="ja-JP"/>
              </w:rPr>
            </w:pPr>
            <w:r w:rsidRPr="00F328EE">
              <w:rPr>
                <w:sz w:val="18"/>
                <w:szCs w:val="18"/>
                <w:lang w:eastAsia="ja-JP"/>
              </w:rPr>
              <w:t>11% to 27% (Prevalence &lt;10%)</w:t>
            </w:r>
          </w:p>
          <w:p w:rsidR="0025490C" w:rsidRPr="00F328EE" w:rsidRDefault="0025490C" w:rsidP="00F328EE">
            <w:pPr>
              <w:pStyle w:val="TableText"/>
              <w:jc w:val="center"/>
              <w:rPr>
                <w:sz w:val="18"/>
                <w:szCs w:val="18"/>
                <w:lang w:eastAsia="ja-JP"/>
              </w:rPr>
            </w:pPr>
            <w:r w:rsidRPr="00F328EE">
              <w:rPr>
                <w:sz w:val="18"/>
                <w:szCs w:val="18"/>
                <w:lang w:eastAsia="ja-JP"/>
              </w:rPr>
              <w:t>31% to 62% (Prevalence ≥10%)</w:t>
            </w:r>
          </w:p>
        </w:tc>
        <w:tc>
          <w:tcPr>
            <w:tcW w:w="1843" w:type="dxa"/>
            <w:tcBorders>
              <w:top w:val="nil"/>
              <w:bottom w:val="nil"/>
            </w:tcBorders>
          </w:tcPr>
          <w:p w:rsidR="0025490C" w:rsidRPr="00F328EE" w:rsidRDefault="0025490C" w:rsidP="00EA6C08">
            <w:pPr>
              <w:pStyle w:val="TableText"/>
              <w:jc w:val="center"/>
              <w:rPr>
                <w:sz w:val="18"/>
                <w:szCs w:val="18"/>
                <w:lang w:eastAsia="ja-JP"/>
              </w:rPr>
            </w:pPr>
            <w:r w:rsidRPr="00F328EE">
              <w:rPr>
                <w:sz w:val="18"/>
                <w:szCs w:val="18"/>
                <w:lang w:eastAsia="ja-JP"/>
              </w:rPr>
              <w:t>100%</w:t>
            </w:r>
          </w:p>
        </w:tc>
        <w:tc>
          <w:tcPr>
            <w:tcW w:w="1276" w:type="dxa"/>
            <w:tcBorders>
              <w:top w:val="nil"/>
              <w:bottom w:val="nil"/>
            </w:tcBorders>
          </w:tcPr>
          <w:p w:rsidR="0025490C" w:rsidRPr="00F328EE" w:rsidRDefault="0025490C" w:rsidP="00EA6C08">
            <w:pPr>
              <w:pStyle w:val="TableText"/>
              <w:jc w:val="center"/>
              <w:rPr>
                <w:sz w:val="18"/>
                <w:szCs w:val="18"/>
                <w:lang w:eastAsia="ja-JP"/>
              </w:rPr>
            </w:pPr>
            <w:r w:rsidRPr="00F328EE">
              <w:rPr>
                <w:sz w:val="18"/>
                <w:szCs w:val="18"/>
                <w:lang w:eastAsia="ja-JP"/>
              </w:rPr>
              <w:t>6</w:t>
            </w:r>
          </w:p>
        </w:tc>
      </w:tr>
      <w:tr w:rsidR="00EA6C08" w:rsidRPr="00E07B1B" w:rsidTr="00F328EE">
        <w:trPr>
          <w:cantSplit/>
        </w:trPr>
        <w:tc>
          <w:tcPr>
            <w:tcW w:w="4395" w:type="dxa"/>
            <w:tcBorders>
              <w:top w:val="nil"/>
              <w:bottom w:val="single" w:sz="4" w:space="0" w:color="auto"/>
            </w:tcBorders>
            <w:shd w:val="clear" w:color="auto" w:fill="F2F2F2" w:themeFill="background1" w:themeFillShade="F2"/>
          </w:tcPr>
          <w:p w:rsidR="0025490C" w:rsidRPr="00F328EE" w:rsidRDefault="0025490C" w:rsidP="00EA6C08">
            <w:pPr>
              <w:pStyle w:val="TableText"/>
              <w:rPr>
                <w:sz w:val="18"/>
                <w:szCs w:val="18"/>
                <w:lang w:eastAsia="ja-JP"/>
              </w:rPr>
            </w:pPr>
            <w:r w:rsidRPr="00F328EE">
              <w:rPr>
                <w:sz w:val="18"/>
                <w:szCs w:val="18"/>
                <w:lang w:eastAsia="ja-JP"/>
              </w:rPr>
              <w:t>Threshold ≥ 11.1 mmol/L</w:t>
            </w:r>
          </w:p>
        </w:tc>
        <w:tc>
          <w:tcPr>
            <w:tcW w:w="1323" w:type="dxa"/>
            <w:tcBorders>
              <w:top w:val="nil"/>
              <w:bottom w:val="single" w:sz="4" w:space="0" w:color="auto"/>
            </w:tcBorders>
            <w:shd w:val="clear" w:color="auto" w:fill="F2F2F2" w:themeFill="background1" w:themeFillShade="F2"/>
          </w:tcPr>
          <w:p w:rsidR="0025490C" w:rsidRPr="00F328EE" w:rsidRDefault="0025490C" w:rsidP="00EA6C08">
            <w:pPr>
              <w:pStyle w:val="TableText"/>
              <w:jc w:val="center"/>
              <w:rPr>
                <w:sz w:val="18"/>
                <w:szCs w:val="18"/>
                <w:lang w:eastAsia="ja-JP"/>
              </w:rPr>
            </w:pPr>
            <w:r w:rsidRPr="00F328EE">
              <w:rPr>
                <w:sz w:val="18"/>
                <w:szCs w:val="18"/>
                <w:lang w:eastAsia="ja-JP"/>
              </w:rPr>
              <w:t>100%</w:t>
            </w:r>
          </w:p>
        </w:tc>
        <w:tc>
          <w:tcPr>
            <w:tcW w:w="1323" w:type="dxa"/>
            <w:tcBorders>
              <w:top w:val="nil"/>
              <w:bottom w:val="single" w:sz="4" w:space="0" w:color="auto"/>
            </w:tcBorders>
            <w:shd w:val="clear" w:color="auto" w:fill="F2F2F2" w:themeFill="background1" w:themeFillShade="F2"/>
          </w:tcPr>
          <w:p w:rsidR="0025490C" w:rsidRPr="00F328EE" w:rsidRDefault="0025490C" w:rsidP="00EA6C08">
            <w:pPr>
              <w:pStyle w:val="TableText"/>
              <w:jc w:val="center"/>
              <w:rPr>
                <w:sz w:val="18"/>
                <w:szCs w:val="18"/>
                <w:lang w:eastAsia="ja-JP"/>
              </w:rPr>
            </w:pPr>
            <w:r w:rsidRPr="00F328EE">
              <w:rPr>
                <w:sz w:val="18"/>
                <w:szCs w:val="18"/>
                <w:lang w:eastAsia="ja-JP"/>
              </w:rPr>
              <w:t>100%</w:t>
            </w:r>
          </w:p>
        </w:tc>
        <w:tc>
          <w:tcPr>
            <w:tcW w:w="1323" w:type="dxa"/>
            <w:tcBorders>
              <w:top w:val="nil"/>
              <w:bottom w:val="single" w:sz="4" w:space="0" w:color="auto"/>
            </w:tcBorders>
            <w:shd w:val="clear" w:color="auto" w:fill="F2F2F2" w:themeFill="background1" w:themeFillShade="F2"/>
          </w:tcPr>
          <w:p w:rsidR="0025490C" w:rsidRPr="00F328EE" w:rsidRDefault="0025490C" w:rsidP="00EA6C08">
            <w:pPr>
              <w:pStyle w:val="TableText"/>
              <w:jc w:val="center"/>
              <w:rPr>
                <w:sz w:val="18"/>
                <w:szCs w:val="18"/>
                <w:lang w:eastAsia="ja-JP"/>
              </w:rPr>
            </w:pPr>
            <w:r w:rsidRPr="00F328EE">
              <w:rPr>
                <w:sz w:val="18"/>
                <w:szCs w:val="18"/>
                <w:lang w:eastAsia="ja-JP"/>
              </w:rPr>
              <w:t>6.4%</w:t>
            </w:r>
          </w:p>
        </w:tc>
        <w:tc>
          <w:tcPr>
            <w:tcW w:w="3118" w:type="dxa"/>
            <w:tcBorders>
              <w:top w:val="nil"/>
              <w:bottom w:val="single" w:sz="4" w:space="0" w:color="auto"/>
            </w:tcBorders>
            <w:shd w:val="clear" w:color="auto" w:fill="F2F2F2" w:themeFill="background1" w:themeFillShade="F2"/>
          </w:tcPr>
          <w:p w:rsidR="0025490C" w:rsidRPr="00F328EE" w:rsidRDefault="0025490C" w:rsidP="00F328EE">
            <w:pPr>
              <w:pStyle w:val="TableText"/>
              <w:jc w:val="center"/>
              <w:rPr>
                <w:sz w:val="18"/>
                <w:szCs w:val="18"/>
                <w:lang w:eastAsia="ja-JP"/>
              </w:rPr>
            </w:pPr>
            <w:r w:rsidRPr="00F328EE">
              <w:rPr>
                <w:sz w:val="18"/>
                <w:szCs w:val="18"/>
                <w:lang w:eastAsia="ja-JP"/>
              </w:rPr>
              <w:t>100%</w:t>
            </w:r>
          </w:p>
        </w:tc>
        <w:tc>
          <w:tcPr>
            <w:tcW w:w="1843" w:type="dxa"/>
            <w:tcBorders>
              <w:top w:val="nil"/>
              <w:bottom w:val="single" w:sz="4" w:space="0" w:color="auto"/>
            </w:tcBorders>
            <w:shd w:val="clear" w:color="auto" w:fill="F2F2F2" w:themeFill="background1" w:themeFillShade="F2"/>
          </w:tcPr>
          <w:p w:rsidR="0025490C" w:rsidRPr="00F328EE" w:rsidRDefault="0025490C" w:rsidP="00EA6C08">
            <w:pPr>
              <w:pStyle w:val="TableText"/>
              <w:jc w:val="center"/>
              <w:rPr>
                <w:sz w:val="18"/>
                <w:szCs w:val="18"/>
                <w:lang w:eastAsia="ja-JP"/>
              </w:rPr>
            </w:pPr>
            <w:r w:rsidRPr="00F328EE">
              <w:rPr>
                <w:sz w:val="18"/>
                <w:szCs w:val="18"/>
                <w:lang w:eastAsia="ja-JP"/>
              </w:rPr>
              <w:t>100%</w:t>
            </w:r>
          </w:p>
        </w:tc>
        <w:tc>
          <w:tcPr>
            <w:tcW w:w="1276" w:type="dxa"/>
            <w:tcBorders>
              <w:top w:val="nil"/>
              <w:bottom w:val="single" w:sz="4" w:space="0" w:color="auto"/>
            </w:tcBorders>
            <w:shd w:val="clear" w:color="auto" w:fill="F2F2F2" w:themeFill="background1" w:themeFillShade="F2"/>
          </w:tcPr>
          <w:p w:rsidR="0025490C" w:rsidRPr="00F328EE" w:rsidRDefault="0025490C" w:rsidP="00EA6C08">
            <w:pPr>
              <w:pStyle w:val="TableText"/>
              <w:jc w:val="center"/>
              <w:rPr>
                <w:sz w:val="18"/>
                <w:szCs w:val="18"/>
                <w:lang w:eastAsia="ja-JP"/>
              </w:rPr>
            </w:pPr>
            <w:r w:rsidRPr="00F328EE">
              <w:rPr>
                <w:sz w:val="18"/>
                <w:szCs w:val="18"/>
                <w:lang w:eastAsia="ja-JP"/>
              </w:rPr>
              <w:t>1</w:t>
            </w:r>
          </w:p>
        </w:tc>
      </w:tr>
    </w:tbl>
    <w:p w:rsidR="0025490C" w:rsidRDefault="0025490C" w:rsidP="00EA6C08">
      <w:pPr>
        <w:pStyle w:val="Source"/>
        <w:ind w:left="0" w:firstLine="0"/>
        <w:rPr>
          <w:lang w:eastAsia="ja-JP"/>
        </w:rPr>
      </w:pPr>
      <w:r>
        <w:rPr>
          <w:lang w:eastAsia="ja-JP"/>
        </w:rPr>
        <w:t xml:space="preserve">Source: </w:t>
      </w:r>
      <w:r w:rsidRPr="00E07B1B">
        <w:rPr>
          <w:lang w:eastAsia="ja-JP"/>
        </w:rPr>
        <w:t xml:space="preserve">Reproduced from </w:t>
      </w:r>
      <w:r w:rsidRPr="00E07B1B">
        <w:t xml:space="preserve">Hartling L, Dryden DM, Guthrie A, Muise M, Vandermeer B, Aktary WM, Donovan L. 2012. </w:t>
      </w:r>
      <w:r w:rsidRPr="00E07B1B">
        <w:rPr>
          <w:i/>
        </w:rPr>
        <w:t xml:space="preserve">Screening and Diagnosing Gestational Diabetes Mellitus. </w:t>
      </w:r>
      <w:r w:rsidRPr="008534D8">
        <w:t>Evidence Report/Technology Assessment number 210 (Prepared by the University of Alberta Evidence-Based practice Center under contract No 290-2007-10021I</w:t>
      </w:r>
      <w:r>
        <w:t>)</w:t>
      </w:r>
      <w:r w:rsidRPr="007C010A">
        <w:t xml:space="preserve">. </w:t>
      </w:r>
      <w:r w:rsidRPr="00E07B1B">
        <w:t xml:space="preserve">Rockville MD: AHRQ </w:t>
      </w:r>
      <w:r w:rsidRPr="00E07B1B">
        <w:rPr>
          <w:lang w:eastAsia="ja-JP"/>
        </w:rPr>
        <w:t>with permission of the Agency for Healthcare Research and Quality</w:t>
      </w:r>
      <w:r>
        <w:rPr>
          <w:lang w:eastAsia="ja-JP"/>
        </w:rPr>
        <w:t>.</w:t>
      </w:r>
    </w:p>
    <w:p w:rsidR="00EA6C08" w:rsidRPr="00EA6C08" w:rsidRDefault="00EA6C08" w:rsidP="00EA6C08">
      <w:pPr>
        <w:rPr>
          <w:lang w:eastAsia="ja-JP"/>
        </w:rPr>
      </w:pPr>
    </w:p>
    <w:p w:rsidR="0025490C" w:rsidRPr="00E07B1B" w:rsidRDefault="0025490C" w:rsidP="00EA6C08">
      <w:pPr>
        <w:pStyle w:val="Figure"/>
        <w:rPr>
          <w:lang w:eastAsia="ja-JP"/>
        </w:rPr>
      </w:pPr>
      <w:bookmarkStart w:id="494" w:name="_Toc363717803"/>
      <w:bookmarkStart w:id="495" w:name="_Toc403636048"/>
      <w:r w:rsidRPr="00E07B1B">
        <w:rPr>
          <w:lang w:eastAsia="ja-JP"/>
        </w:rPr>
        <w:t xml:space="preserve">Figure </w:t>
      </w:r>
      <w:r w:rsidR="009E3907">
        <w:rPr>
          <w:lang w:eastAsia="ja-JP"/>
        </w:rPr>
        <w:t>5</w:t>
      </w:r>
      <w:r w:rsidR="00EA6C08">
        <w:rPr>
          <w:lang w:eastAsia="ja-JP"/>
        </w:rPr>
        <w:t>:</w:t>
      </w:r>
      <w:r w:rsidRPr="00E07B1B">
        <w:rPr>
          <w:lang w:eastAsia="ja-JP"/>
        </w:rPr>
        <w:t xml:space="preserve"> Forest plot of sensitivity and specificity: </w:t>
      </w:r>
      <w:r w:rsidRPr="00E07B1B">
        <w:t>50</w:t>
      </w:r>
      <w:r>
        <w:t xml:space="preserve"> </w:t>
      </w:r>
      <w:r w:rsidRPr="00E07B1B">
        <w:t>g</w:t>
      </w:r>
      <w:r w:rsidRPr="00E07B1B">
        <w:rPr>
          <w:lang w:eastAsia="ja-JP"/>
        </w:rPr>
        <w:t xml:space="preserve"> oral glucose challenge test by National Diabetes Data Group criteria</w:t>
      </w:r>
      <w:bookmarkEnd w:id="494"/>
      <w:bookmarkEnd w:id="495"/>
    </w:p>
    <w:p w:rsidR="0025490C" w:rsidRDefault="0025490C" w:rsidP="00EA6C08">
      <w:r>
        <w:rPr>
          <w:noProof/>
          <w:lang w:eastAsia="en-NZ"/>
        </w:rPr>
        <w:drawing>
          <wp:inline distT="0" distB="0" distL="0" distR="0" wp14:anchorId="4EB2A7B9" wp14:editId="36D93A3A">
            <wp:extent cx="5396370" cy="2768138"/>
            <wp:effectExtent l="0" t="0" r="0" b="0"/>
            <wp:docPr id="8" name="Picture 4" descr="Figure 5: Forest plot of sensitivity and specificity: 50 g oral glucose challenge test by National Diabetes Data Group criteria" title="Figure 5: Forest plot of sensitivity and specificity: 50 g oral glucose challenge test by National Diabetes Data Group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94191" cy="2767020"/>
                    </a:xfrm>
                    <a:prstGeom prst="rect">
                      <a:avLst/>
                    </a:prstGeom>
                    <a:noFill/>
                    <a:ln>
                      <a:noFill/>
                    </a:ln>
                  </pic:spPr>
                </pic:pic>
              </a:graphicData>
            </a:graphic>
          </wp:inline>
        </w:drawing>
      </w:r>
    </w:p>
    <w:p w:rsidR="00487B97" w:rsidRPr="00487B97" w:rsidRDefault="00487B97" w:rsidP="00EA6C08"/>
    <w:tbl>
      <w:tblPr>
        <w:tblW w:w="14601" w:type="dxa"/>
        <w:tblInd w:w="57" w:type="dxa"/>
        <w:tblBorders>
          <w:top w:val="single" w:sz="4" w:space="0" w:color="auto"/>
          <w:bottom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4111"/>
        <w:gridCol w:w="1559"/>
        <w:gridCol w:w="1559"/>
        <w:gridCol w:w="1560"/>
        <w:gridCol w:w="2835"/>
        <w:gridCol w:w="1701"/>
        <w:gridCol w:w="1276"/>
      </w:tblGrid>
      <w:tr w:rsidR="00487B97" w:rsidRPr="00EA6C08" w:rsidTr="00487B97">
        <w:trPr>
          <w:cantSplit/>
        </w:trPr>
        <w:tc>
          <w:tcPr>
            <w:tcW w:w="4111" w:type="dxa"/>
            <w:tcBorders>
              <w:bottom w:val="single" w:sz="4" w:space="0" w:color="auto"/>
            </w:tcBorders>
          </w:tcPr>
          <w:p w:rsidR="00487B97" w:rsidRPr="00F328EE" w:rsidRDefault="00487B97" w:rsidP="00487B97">
            <w:pPr>
              <w:pStyle w:val="TableText"/>
              <w:rPr>
                <w:b/>
                <w:sz w:val="18"/>
                <w:szCs w:val="18"/>
                <w:lang w:eastAsia="ja-JP"/>
              </w:rPr>
            </w:pPr>
            <w:r w:rsidRPr="00F328EE">
              <w:rPr>
                <w:b/>
                <w:sz w:val="18"/>
                <w:szCs w:val="18"/>
                <w:lang w:eastAsia="ja-JP"/>
              </w:rPr>
              <w:t>50 g oral glucose challenge test and 100 g, 3</w:t>
            </w:r>
            <w:r>
              <w:rPr>
                <w:b/>
                <w:sz w:val="18"/>
                <w:szCs w:val="18"/>
                <w:lang w:eastAsia="ja-JP"/>
              </w:rPr>
              <w:noBreakHyphen/>
            </w:r>
            <w:r w:rsidRPr="00F328EE">
              <w:rPr>
                <w:b/>
                <w:sz w:val="18"/>
                <w:szCs w:val="18"/>
                <w:lang w:eastAsia="ja-JP"/>
              </w:rPr>
              <w:t>hour oral glucose tolerance test</w:t>
            </w:r>
            <w:r>
              <w:rPr>
                <w:b/>
                <w:sz w:val="18"/>
                <w:szCs w:val="18"/>
                <w:lang w:eastAsia="ja-JP"/>
              </w:rPr>
              <w:br/>
            </w:r>
            <w:r w:rsidRPr="00F328EE">
              <w:rPr>
                <w:b/>
                <w:sz w:val="18"/>
                <w:szCs w:val="18"/>
                <w:lang w:eastAsia="ja-JP"/>
              </w:rPr>
              <w:t>(</w:t>
            </w:r>
            <w:r>
              <w:rPr>
                <w:b/>
                <w:sz w:val="18"/>
                <w:szCs w:val="18"/>
                <w:lang w:eastAsia="ja-JP"/>
              </w:rPr>
              <w:t>National Diabetes Data Group</w:t>
            </w:r>
            <w:r w:rsidRPr="00F328EE">
              <w:rPr>
                <w:b/>
                <w:sz w:val="18"/>
                <w:szCs w:val="18"/>
                <w:lang w:eastAsia="ja-JP"/>
              </w:rPr>
              <w:t xml:space="preserve"> criteria)</w:t>
            </w:r>
          </w:p>
        </w:tc>
        <w:tc>
          <w:tcPr>
            <w:tcW w:w="1559" w:type="dxa"/>
            <w:tcBorders>
              <w:bottom w:val="single" w:sz="4" w:space="0" w:color="auto"/>
            </w:tcBorders>
          </w:tcPr>
          <w:p w:rsidR="00487B97" w:rsidRPr="00F328EE" w:rsidRDefault="00487B97" w:rsidP="000C1845">
            <w:pPr>
              <w:pStyle w:val="TableText"/>
              <w:jc w:val="center"/>
              <w:rPr>
                <w:b/>
                <w:sz w:val="18"/>
                <w:szCs w:val="18"/>
                <w:lang w:eastAsia="ja-JP"/>
              </w:rPr>
            </w:pPr>
            <w:r w:rsidRPr="00F328EE">
              <w:rPr>
                <w:b/>
                <w:sz w:val="18"/>
                <w:szCs w:val="18"/>
                <w:lang w:eastAsia="ja-JP"/>
              </w:rPr>
              <w:t>Sensitivity</w:t>
            </w:r>
          </w:p>
        </w:tc>
        <w:tc>
          <w:tcPr>
            <w:tcW w:w="1559" w:type="dxa"/>
            <w:tcBorders>
              <w:bottom w:val="single" w:sz="4" w:space="0" w:color="auto"/>
            </w:tcBorders>
          </w:tcPr>
          <w:p w:rsidR="00487B97" w:rsidRPr="00F328EE" w:rsidRDefault="00487B97" w:rsidP="000C1845">
            <w:pPr>
              <w:pStyle w:val="TableText"/>
              <w:jc w:val="center"/>
              <w:rPr>
                <w:b/>
                <w:sz w:val="18"/>
                <w:szCs w:val="18"/>
                <w:lang w:eastAsia="ja-JP"/>
              </w:rPr>
            </w:pPr>
            <w:r w:rsidRPr="00F328EE">
              <w:rPr>
                <w:b/>
                <w:sz w:val="18"/>
                <w:szCs w:val="18"/>
                <w:lang w:eastAsia="ja-JP"/>
              </w:rPr>
              <w:t>Specificity</w:t>
            </w:r>
          </w:p>
        </w:tc>
        <w:tc>
          <w:tcPr>
            <w:tcW w:w="1560" w:type="dxa"/>
            <w:tcBorders>
              <w:bottom w:val="single" w:sz="4" w:space="0" w:color="auto"/>
            </w:tcBorders>
          </w:tcPr>
          <w:p w:rsidR="00487B97" w:rsidRPr="00F328EE" w:rsidRDefault="00487B97" w:rsidP="000C1845">
            <w:pPr>
              <w:pStyle w:val="TableText"/>
              <w:jc w:val="center"/>
              <w:rPr>
                <w:b/>
                <w:sz w:val="18"/>
                <w:szCs w:val="18"/>
                <w:lang w:eastAsia="ja-JP"/>
              </w:rPr>
            </w:pPr>
            <w:r w:rsidRPr="00F328EE">
              <w:rPr>
                <w:b/>
                <w:sz w:val="18"/>
                <w:szCs w:val="18"/>
                <w:lang w:eastAsia="ja-JP"/>
              </w:rPr>
              <w:t>Prevalence</w:t>
            </w:r>
          </w:p>
        </w:tc>
        <w:tc>
          <w:tcPr>
            <w:tcW w:w="2835" w:type="dxa"/>
            <w:tcBorders>
              <w:bottom w:val="single" w:sz="4" w:space="0" w:color="auto"/>
            </w:tcBorders>
          </w:tcPr>
          <w:p w:rsidR="00487B97" w:rsidRPr="00F328EE" w:rsidRDefault="00487B97" w:rsidP="000C1845">
            <w:pPr>
              <w:pStyle w:val="TableText"/>
              <w:jc w:val="center"/>
              <w:rPr>
                <w:b/>
                <w:sz w:val="18"/>
                <w:szCs w:val="18"/>
                <w:lang w:eastAsia="ja-JP"/>
              </w:rPr>
            </w:pPr>
            <w:r w:rsidRPr="00F328EE">
              <w:rPr>
                <w:b/>
                <w:sz w:val="18"/>
                <w:szCs w:val="18"/>
                <w:lang w:eastAsia="ja-JP"/>
              </w:rPr>
              <w:t>Positive predictive value</w:t>
            </w:r>
          </w:p>
        </w:tc>
        <w:tc>
          <w:tcPr>
            <w:tcW w:w="1701" w:type="dxa"/>
            <w:tcBorders>
              <w:bottom w:val="single" w:sz="4" w:space="0" w:color="auto"/>
            </w:tcBorders>
          </w:tcPr>
          <w:p w:rsidR="00487B97" w:rsidRPr="00F328EE" w:rsidRDefault="00487B97" w:rsidP="000C1845">
            <w:pPr>
              <w:pStyle w:val="TableText"/>
              <w:jc w:val="center"/>
              <w:rPr>
                <w:b/>
                <w:sz w:val="18"/>
                <w:szCs w:val="18"/>
                <w:lang w:eastAsia="ja-JP"/>
              </w:rPr>
            </w:pPr>
            <w:r w:rsidRPr="00F328EE">
              <w:rPr>
                <w:b/>
                <w:sz w:val="18"/>
                <w:szCs w:val="18"/>
                <w:lang w:eastAsia="ja-JP"/>
              </w:rPr>
              <w:t>Median negative predictive value</w:t>
            </w:r>
          </w:p>
        </w:tc>
        <w:tc>
          <w:tcPr>
            <w:tcW w:w="1276" w:type="dxa"/>
            <w:tcBorders>
              <w:bottom w:val="single" w:sz="4" w:space="0" w:color="auto"/>
            </w:tcBorders>
          </w:tcPr>
          <w:p w:rsidR="00487B97" w:rsidRPr="00F328EE" w:rsidRDefault="00487B97" w:rsidP="000C1845">
            <w:pPr>
              <w:pStyle w:val="TableText"/>
              <w:jc w:val="center"/>
              <w:rPr>
                <w:b/>
                <w:sz w:val="18"/>
                <w:szCs w:val="18"/>
                <w:lang w:eastAsia="ja-JP"/>
              </w:rPr>
            </w:pPr>
            <w:r w:rsidRPr="00F328EE">
              <w:rPr>
                <w:b/>
                <w:sz w:val="18"/>
                <w:szCs w:val="18"/>
                <w:lang w:eastAsia="ja-JP"/>
              </w:rPr>
              <w:t>Number of studies</w:t>
            </w:r>
          </w:p>
        </w:tc>
      </w:tr>
      <w:tr w:rsidR="00487B97" w:rsidRPr="00E07B1B" w:rsidTr="00487B97">
        <w:tblPrEx>
          <w:tblBorders>
            <w:top w:val="none" w:sz="0" w:space="0" w:color="auto"/>
            <w:insideH w:val="none" w:sz="0" w:space="0" w:color="auto"/>
          </w:tblBorders>
        </w:tblPrEx>
        <w:trPr>
          <w:cantSplit/>
        </w:trPr>
        <w:tc>
          <w:tcPr>
            <w:tcW w:w="4111" w:type="dxa"/>
            <w:tcBorders>
              <w:top w:val="single" w:sz="4" w:space="0" w:color="auto"/>
              <w:bottom w:val="nil"/>
            </w:tcBorders>
            <w:shd w:val="clear" w:color="auto" w:fill="F2F2F2" w:themeFill="background1" w:themeFillShade="F2"/>
          </w:tcPr>
          <w:p w:rsidR="0025490C" w:rsidRPr="00487B97" w:rsidRDefault="0025490C" w:rsidP="00487B97">
            <w:pPr>
              <w:pStyle w:val="TableText"/>
              <w:rPr>
                <w:sz w:val="18"/>
                <w:lang w:eastAsia="ja-JP"/>
              </w:rPr>
            </w:pPr>
            <w:r w:rsidRPr="00487B97">
              <w:rPr>
                <w:sz w:val="18"/>
                <w:lang w:eastAsia="ja-JP"/>
              </w:rPr>
              <w:t>Threshold ≥ 7.8 mmol/L</w:t>
            </w:r>
          </w:p>
        </w:tc>
        <w:tc>
          <w:tcPr>
            <w:tcW w:w="1559" w:type="dxa"/>
            <w:tcBorders>
              <w:top w:val="single" w:sz="4" w:space="0" w:color="auto"/>
              <w:bottom w:val="nil"/>
            </w:tcBorders>
            <w:shd w:val="clear" w:color="auto" w:fill="F2F2F2" w:themeFill="background1" w:themeFillShade="F2"/>
          </w:tcPr>
          <w:p w:rsidR="0025490C" w:rsidRPr="00487B97" w:rsidRDefault="0025490C" w:rsidP="00487B97">
            <w:pPr>
              <w:pStyle w:val="TableText"/>
              <w:jc w:val="center"/>
              <w:rPr>
                <w:sz w:val="18"/>
                <w:lang w:eastAsia="ja-JP"/>
              </w:rPr>
            </w:pPr>
            <w:r w:rsidRPr="00487B97">
              <w:rPr>
                <w:sz w:val="18"/>
                <w:lang w:eastAsia="ja-JP"/>
              </w:rPr>
              <w:t>85%</w:t>
            </w:r>
          </w:p>
        </w:tc>
        <w:tc>
          <w:tcPr>
            <w:tcW w:w="1559" w:type="dxa"/>
            <w:tcBorders>
              <w:top w:val="single" w:sz="4" w:space="0" w:color="auto"/>
              <w:bottom w:val="nil"/>
            </w:tcBorders>
            <w:shd w:val="clear" w:color="auto" w:fill="F2F2F2" w:themeFill="background1" w:themeFillShade="F2"/>
          </w:tcPr>
          <w:p w:rsidR="0025490C" w:rsidRPr="00487B97" w:rsidRDefault="0025490C" w:rsidP="00487B97">
            <w:pPr>
              <w:pStyle w:val="TableText"/>
              <w:jc w:val="center"/>
              <w:rPr>
                <w:sz w:val="18"/>
                <w:lang w:eastAsia="ja-JP"/>
              </w:rPr>
            </w:pPr>
            <w:r w:rsidRPr="00487B97">
              <w:rPr>
                <w:sz w:val="18"/>
                <w:lang w:eastAsia="ja-JP"/>
              </w:rPr>
              <w:t>83%</w:t>
            </w:r>
          </w:p>
        </w:tc>
        <w:tc>
          <w:tcPr>
            <w:tcW w:w="1560" w:type="dxa"/>
            <w:tcBorders>
              <w:top w:val="single" w:sz="4" w:space="0" w:color="auto"/>
              <w:bottom w:val="nil"/>
            </w:tcBorders>
            <w:shd w:val="clear" w:color="auto" w:fill="F2F2F2" w:themeFill="background1" w:themeFillShade="F2"/>
          </w:tcPr>
          <w:p w:rsidR="0025490C" w:rsidRPr="00487B97" w:rsidRDefault="0025490C" w:rsidP="00487B97">
            <w:pPr>
              <w:pStyle w:val="TableText"/>
              <w:jc w:val="center"/>
              <w:rPr>
                <w:sz w:val="18"/>
                <w:lang w:eastAsia="ja-JP"/>
              </w:rPr>
            </w:pPr>
            <w:r w:rsidRPr="00487B97">
              <w:rPr>
                <w:sz w:val="18"/>
                <w:lang w:eastAsia="ja-JP"/>
              </w:rPr>
              <w:t>1.4% to 45.8%</w:t>
            </w:r>
          </w:p>
        </w:tc>
        <w:tc>
          <w:tcPr>
            <w:tcW w:w="2835" w:type="dxa"/>
            <w:tcBorders>
              <w:top w:val="single" w:sz="4" w:space="0" w:color="auto"/>
              <w:bottom w:val="nil"/>
            </w:tcBorders>
            <w:shd w:val="clear" w:color="auto" w:fill="F2F2F2" w:themeFill="background1" w:themeFillShade="F2"/>
          </w:tcPr>
          <w:p w:rsidR="0025490C" w:rsidRPr="00487B97" w:rsidRDefault="0025490C" w:rsidP="00487B97">
            <w:pPr>
              <w:pStyle w:val="TableText"/>
              <w:jc w:val="center"/>
              <w:rPr>
                <w:sz w:val="18"/>
                <w:lang w:eastAsia="ja-JP"/>
              </w:rPr>
            </w:pPr>
            <w:r w:rsidRPr="00487B97">
              <w:rPr>
                <w:sz w:val="18"/>
                <w:lang w:eastAsia="ja-JP"/>
              </w:rPr>
              <w:t>12% to 39% (Prevalence &lt;10%)</w:t>
            </w:r>
            <w:r w:rsidR="00487B97">
              <w:rPr>
                <w:sz w:val="18"/>
                <w:lang w:eastAsia="ja-JP"/>
              </w:rPr>
              <w:br/>
            </w:r>
            <w:r w:rsidRPr="00487B97">
              <w:rPr>
                <w:sz w:val="18"/>
                <w:lang w:eastAsia="ja-JP"/>
              </w:rPr>
              <w:t>57% (Prevalence ≥10%)*</w:t>
            </w:r>
          </w:p>
        </w:tc>
        <w:tc>
          <w:tcPr>
            <w:tcW w:w="1701" w:type="dxa"/>
            <w:tcBorders>
              <w:top w:val="single" w:sz="4" w:space="0" w:color="auto"/>
              <w:bottom w:val="nil"/>
            </w:tcBorders>
            <w:shd w:val="clear" w:color="auto" w:fill="F2F2F2" w:themeFill="background1" w:themeFillShade="F2"/>
          </w:tcPr>
          <w:p w:rsidR="0025490C" w:rsidRPr="00487B97" w:rsidRDefault="0025490C" w:rsidP="00487B97">
            <w:pPr>
              <w:pStyle w:val="TableText"/>
              <w:jc w:val="center"/>
              <w:rPr>
                <w:sz w:val="18"/>
                <w:lang w:eastAsia="ja-JP"/>
              </w:rPr>
            </w:pPr>
            <w:r w:rsidRPr="00487B97">
              <w:rPr>
                <w:sz w:val="18"/>
                <w:lang w:eastAsia="ja-JP"/>
              </w:rPr>
              <w:t>99%</w:t>
            </w:r>
          </w:p>
        </w:tc>
        <w:tc>
          <w:tcPr>
            <w:tcW w:w="1276" w:type="dxa"/>
            <w:tcBorders>
              <w:top w:val="single" w:sz="4" w:space="0" w:color="auto"/>
              <w:bottom w:val="nil"/>
            </w:tcBorders>
            <w:shd w:val="clear" w:color="auto" w:fill="F2F2F2" w:themeFill="background1" w:themeFillShade="F2"/>
          </w:tcPr>
          <w:p w:rsidR="0025490C" w:rsidRPr="00487B97" w:rsidRDefault="0025490C" w:rsidP="00487B97">
            <w:pPr>
              <w:pStyle w:val="TableText"/>
              <w:jc w:val="center"/>
              <w:rPr>
                <w:sz w:val="18"/>
                <w:lang w:eastAsia="ja-JP"/>
              </w:rPr>
            </w:pPr>
            <w:r w:rsidRPr="00487B97">
              <w:rPr>
                <w:sz w:val="18"/>
                <w:lang w:eastAsia="ja-JP"/>
              </w:rPr>
              <w:t>7</w:t>
            </w:r>
          </w:p>
        </w:tc>
      </w:tr>
      <w:tr w:rsidR="0025490C" w:rsidRPr="00E07B1B" w:rsidTr="00487B97">
        <w:tblPrEx>
          <w:tblBorders>
            <w:top w:val="none" w:sz="0" w:space="0" w:color="auto"/>
            <w:insideH w:val="none" w:sz="0" w:space="0" w:color="auto"/>
          </w:tblBorders>
        </w:tblPrEx>
        <w:trPr>
          <w:cantSplit/>
        </w:trPr>
        <w:tc>
          <w:tcPr>
            <w:tcW w:w="4111" w:type="dxa"/>
            <w:tcBorders>
              <w:top w:val="nil"/>
              <w:bottom w:val="nil"/>
            </w:tcBorders>
          </w:tcPr>
          <w:p w:rsidR="0025490C" w:rsidRPr="00487B97" w:rsidRDefault="0025490C" w:rsidP="00487B97">
            <w:pPr>
              <w:pStyle w:val="TableText"/>
              <w:rPr>
                <w:sz w:val="18"/>
                <w:lang w:eastAsia="ja-JP"/>
              </w:rPr>
            </w:pPr>
            <w:r w:rsidRPr="00487B97">
              <w:rPr>
                <w:sz w:val="18"/>
                <w:lang w:eastAsia="ja-JP"/>
              </w:rPr>
              <w:t>Threshold ≥ 7.2 mmol/L</w:t>
            </w:r>
          </w:p>
        </w:tc>
        <w:tc>
          <w:tcPr>
            <w:tcW w:w="1559" w:type="dxa"/>
            <w:tcBorders>
              <w:top w:val="nil"/>
              <w:bottom w:val="nil"/>
            </w:tcBorders>
          </w:tcPr>
          <w:p w:rsidR="0025490C" w:rsidRPr="00487B97" w:rsidRDefault="0025490C" w:rsidP="00487B97">
            <w:pPr>
              <w:pStyle w:val="TableText"/>
              <w:jc w:val="center"/>
              <w:rPr>
                <w:sz w:val="18"/>
                <w:lang w:eastAsia="ja-JP"/>
              </w:rPr>
            </w:pPr>
            <w:r w:rsidRPr="00487B97">
              <w:rPr>
                <w:sz w:val="18"/>
                <w:lang w:eastAsia="ja-JP"/>
              </w:rPr>
              <w:t>Data not pooled</w:t>
            </w:r>
          </w:p>
        </w:tc>
        <w:tc>
          <w:tcPr>
            <w:tcW w:w="1559" w:type="dxa"/>
            <w:tcBorders>
              <w:top w:val="nil"/>
              <w:bottom w:val="nil"/>
            </w:tcBorders>
          </w:tcPr>
          <w:p w:rsidR="0025490C" w:rsidRPr="00487B97" w:rsidRDefault="0025490C" w:rsidP="00487B97">
            <w:pPr>
              <w:pStyle w:val="TableText"/>
              <w:jc w:val="center"/>
              <w:rPr>
                <w:sz w:val="18"/>
                <w:lang w:eastAsia="ja-JP"/>
              </w:rPr>
            </w:pPr>
            <w:r w:rsidRPr="00487B97">
              <w:rPr>
                <w:sz w:val="18"/>
                <w:lang w:eastAsia="ja-JP"/>
              </w:rPr>
              <w:t>Data not pooled</w:t>
            </w:r>
          </w:p>
        </w:tc>
        <w:tc>
          <w:tcPr>
            <w:tcW w:w="1560" w:type="dxa"/>
            <w:tcBorders>
              <w:top w:val="nil"/>
              <w:bottom w:val="nil"/>
            </w:tcBorders>
          </w:tcPr>
          <w:p w:rsidR="0025490C" w:rsidRPr="00487B97" w:rsidRDefault="0025490C" w:rsidP="00487B97">
            <w:pPr>
              <w:pStyle w:val="TableText"/>
              <w:jc w:val="center"/>
              <w:rPr>
                <w:sz w:val="18"/>
                <w:lang w:eastAsia="ja-JP"/>
              </w:rPr>
            </w:pPr>
            <w:r w:rsidRPr="00487B97">
              <w:rPr>
                <w:sz w:val="18"/>
                <w:lang w:eastAsia="ja-JP"/>
              </w:rPr>
              <w:t>16.7% to 35.3%</w:t>
            </w:r>
          </w:p>
        </w:tc>
        <w:tc>
          <w:tcPr>
            <w:tcW w:w="2835" w:type="dxa"/>
            <w:tcBorders>
              <w:top w:val="nil"/>
              <w:bottom w:val="nil"/>
            </w:tcBorders>
          </w:tcPr>
          <w:p w:rsidR="0025490C" w:rsidRPr="00487B97" w:rsidRDefault="0025490C" w:rsidP="00487B97">
            <w:pPr>
              <w:pStyle w:val="TableText"/>
              <w:jc w:val="center"/>
              <w:rPr>
                <w:sz w:val="18"/>
                <w:lang w:eastAsia="ja-JP"/>
              </w:rPr>
            </w:pPr>
            <w:r w:rsidRPr="00487B97">
              <w:rPr>
                <w:sz w:val="18"/>
                <w:lang w:eastAsia="ja-JP"/>
              </w:rPr>
              <w:t>20% to 75%</w:t>
            </w:r>
          </w:p>
        </w:tc>
        <w:tc>
          <w:tcPr>
            <w:tcW w:w="1701" w:type="dxa"/>
            <w:tcBorders>
              <w:top w:val="nil"/>
              <w:bottom w:val="nil"/>
            </w:tcBorders>
          </w:tcPr>
          <w:p w:rsidR="0025490C" w:rsidRPr="00487B97" w:rsidRDefault="0025490C" w:rsidP="00487B97">
            <w:pPr>
              <w:pStyle w:val="TableText"/>
              <w:jc w:val="center"/>
              <w:rPr>
                <w:sz w:val="18"/>
                <w:lang w:eastAsia="ja-JP"/>
              </w:rPr>
            </w:pPr>
            <w:r w:rsidRPr="00487B97">
              <w:rPr>
                <w:sz w:val="18"/>
                <w:lang w:eastAsia="ja-JP"/>
              </w:rPr>
              <w:t>86% to 95%^</w:t>
            </w:r>
          </w:p>
        </w:tc>
        <w:tc>
          <w:tcPr>
            <w:tcW w:w="1276" w:type="dxa"/>
            <w:tcBorders>
              <w:top w:val="nil"/>
              <w:bottom w:val="nil"/>
            </w:tcBorders>
          </w:tcPr>
          <w:p w:rsidR="0025490C" w:rsidRPr="00487B97" w:rsidRDefault="0025490C" w:rsidP="00487B97">
            <w:pPr>
              <w:pStyle w:val="TableText"/>
              <w:jc w:val="center"/>
              <w:rPr>
                <w:sz w:val="18"/>
                <w:lang w:eastAsia="ja-JP"/>
              </w:rPr>
            </w:pPr>
            <w:r w:rsidRPr="00487B97">
              <w:rPr>
                <w:sz w:val="18"/>
                <w:lang w:eastAsia="ja-JP"/>
              </w:rPr>
              <w:t>3</w:t>
            </w:r>
          </w:p>
        </w:tc>
      </w:tr>
      <w:tr w:rsidR="00487B97" w:rsidRPr="00E07B1B" w:rsidTr="00487B97">
        <w:tblPrEx>
          <w:tblBorders>
            <w:top w:val="none" w:sz="0" w:space="0" w:color="auto"/>
            <w:insideH w:val="none" w:sz="0" w:space="0" w:color="auto"/>
          </w:tblBorders>
        </w:tblPrEx>
        <w:trPr>
          <w:cantSplit/>
        </w:trPr>
        <w:tc>
          <w:tcPr>
            <w:tcW w:w="4111" w:type="dxa"/>
            <w:tcBorders>
              <w:bottom w:val="single" w:sz="4" w:space="0" w:color="auto"/>
            </w:tcBorders>
            <w:shd w:val="clear" w:color="auto" w:fill="F2F2F2" w:themeFill="background1" w:themeFillShade="F2"/>
          </w:tcPr>
          <w:p w:rsidR="0025490C" w:rsidRPr="00487B97" w:rsidRDefault="0025490C" w:rsidP="00487B97">
            <w:pPr>
              <w:pStyle w:val="TableText"/>
              <w:rPr>
                <w:sz w:val="18"/>
                <w:lang w:eastAsia="ja-JP"/>
              </w:rPr>
            </w:pPr>
            <w:r w:rsidRPr="00487B97">
              <w:rPr>
                <w:sz w:val="18"/>
                <w:lang w:eastAsia="ja-JP"/>
              </w:rPr>
              <w:t>Threshold ≥ 11.1 mmol/L</w:t>
            </w:r>
          </w:p>
        </w:tc>
        <w:tc>
          <w:tcPr>
            <w:tcW w:w="1559" w:type="dxa"/>
            <w:tcBorders>
              <w:bottom w:val="single" w:sz="4" w:space="0" w:color="auto"/>
            </w:tcBorders>
            <w:shd w:val="clear" w:color="auto" w:fill="F2F2F2" w:themeFill="background1" w:themeFillShade="F2"/>
          </w:tcPr>
          <w:p w:rsidR="0025490C" w:rsidRPr="00487B97" w:rsidRDefault="0025490C" w:rsidP="00487B97">
            <w:pPr>
              <w:pStyle w:val="TableText"/>
              <w:jc w:val="center"/>
              <w:rPr>
                <w:sz w:val="18"/>
                <w:lang w:eastAsia="ja-JP"/>
              </w:rPr>
            </w:pPr>
            <w:r w:rsidRPr="00487B97">
              <w:rPr>
                <w:sz w:val="18"/>
                <w:lang w:eastAsia="ja-JP"/>
              </w:rPr>
              <w:t>100%</w:t>
            </w:r>
          </w:p>
        </w:tc>
        <w:tc>
          <w:tcPr>
            <w:tcW w:w="1559" w:type="dxa"/>
            <w:tcBorders>
              <w:bottom w:val="single" w:sz="4" w:space="0" w:color="auto"/>
            </w:tcBorders>
            <w:shd w:val="clear" w:color="auto" w:fill="F2F2F2" w:themeFill="background1" w:themeFillShade="F2"/>
          </w:tcPr>
          <w:p w:rsidR="0025490C" w:rsidRPr="00487B97" w:rsidRDefault="0025490C" w:rsidP="00487B97">
            <w:pPr>
              <w:pStyle w:val="TableText"/>
              <w:jc w:val="center"/>
              <w:rPr>
                <w:sz w:val="18"/>
                <w:lang w:eastAsia="ja-JP"/>
              </w:rPr>
            </w:pPr>
            <w:r w:rsidRPr="00487B97">
              <w:rPr>
                <w:sz w:val="18"/>
                <w:lang w:eastAsia="ja-JP"/>
              </w:rPr>
              <w:t>100%</w:t>
            </w:r>
          </w:p>
        </w:tc>
        <w:tc>
          <w:tcPr>
            <w:tcW w:w="1560" w:type="dxa"/>
            <w:tcBorders>
              <w:bottom w:val="single" w:sz="4" w:space="0" w:color="auto"/>
            </w:tcBorders>
            <w:shd w:val="clear" w:color="auto" w:fill="F2F2F2" w:themeFill="background1" w:themeFillShade="F2"/>
          </w:tcPr>
          <w:p w:rsidR="0025490C" w:rsidRPr="00487B97" w:rsidRDefault="0025490C" w:rsidP="00487B97">
            <w:pPr>
              <w:pStyle w:val="TableText"/>
              <w:jc w:val="center"/>
              <w:rPr>
                <w:sz w:val="18"/>
                <w:lang w:eastAsia="ja-JP"/>
              </w:rPr>
            </w:pPr>
            <w:r w:rsidRPr="00487B97">
              <w:rPr>
                <w:sz w:val="18"/>
                <w:lang w:eastAsia="ja-JP"/>
              </w:rPr>
              <w:t>Not stated</w:t>
            </w:r>
          </w:p>
        </w:tc>
        <w:tc>
          <w:tcPr>
            <w:tcW w:w="2835" w:type="dxa"/>
            <w:tcBorders>
              <w:bottom w:val="single" w:sz="4" w:space="0" w:color="auto"/>
            </w:tcBorders>
            <w:shd w:val="clear" w:color="auto" w:fill="F2F2F2" w:themeFill="background1" w:themeFillShade="F2"/>
          </w:tcPr>
          <w:p w:rsidR="0025490C" w:rsidRPr="00487B97" w:rsidRDefault="0025490C" w:rsidP="00487B97">
            <w:pPr>
              <w:pStyle w:val="TableText"/>
              <w:jc w:val="center"/>
              <w:rPr>
                <w:sz w:val="18"/>
                <w:lang w:eastAsia="ja-JP"/>
              </w:rPr>
            </w:pPr>
            <w:r w:rsidRPr="00487B97">
              <w:rPr>
                <w:sz w:val="18"/>
                <w:lang w:eastAsia="ja-JP"/>
              </w:rPr>
              <w:t>100%</w:t>
            </w:r>
          </w:p>
        </w:tc>
        <w:tc>
          <w:tcPr>
            <w:tcW w:w="1701" w:type="dxa"/>
            <w:tcBorders>
              <w:bottom w:val="single" w:sz="4" w:space="0" w:color="auto"/>
            </w:tcBorders>
            <w:shd w:val="clear" w:color="auto" w:fill="F2F2F2" w:themeFill="background1" w:themeFillShade="F2"/>
          </w:tcPr>
          <w:p w:rsidR="0025490C" w:rsidRPr="00487B97" w:rsidRDefault="0025490C" w:rsidP="00487B97">
            <w:pPr>
              <w:pStyle w:val="TableText"/>
              <w:jc w:val="center"/>
              <w:rPr>
                <w:sz w:val="18"/>
                <w:lang w:eastAsia="ja-JP"/>
              </w:rPr>
            </w:pPr>
            <w:r w:rsidRPr="00487B97">
              <w:rPr>
                <w:sz w:val="18"/>
                <w:lang w:eastAsia="ja-JP"/>
              </w:rPr>
              <w:t>100%</w:t>
            </w:r>
          </w:p>
        </w:tc>
        <w:tc>
          <w:tcPr>
            <w:tcW w:w="1276" w:type="dxa"/>
            <w:tcBorders>
              <w:bottom w:val="single" w:sz="4" w:space="0" w:color="auto"/>
            </w:tcBorders>
            <w:shd w:val="clear" w:color="auto" w:fill="F2F2F2" w:themeFill="background1" w:themeFillShade="F2"/>
          </w:tcPr>
          <w:p w:rsidR="0025490C" w:rsidRPr="00487B97" w:rsidRDefault="0025490C" w:rsidP="00487B97">
            <w:pPr>
              <w:pStyle w:val="TableText"/>
              <w:jc w:val="center"/>
              <w:rPr>
                <w:sz w:val="18"/>
                <w:lang w:eastAsia="ja-JP"/>
              </w:rPr>
            </w:pPr>
            <w:r w:rsidRPr="00487B97">
              <w:rPr>
                <w:sz w:val="18"/>
                <w:lang w:eastAsia="ja-JP"/>
              </w:rPr>
              <w:t>1</w:t>
            </w:r>
          </w:p>
        </w:tc>
      </w:tr>
    </w:tbl>
    <w:p w:rsidR="0025490C" w:rsidRPr="00E07B1B" w:rsidRDefault="0025490C" w:rsidP="00F328EE">
      <w:pPr>
        <w:pStyle w:val="Note"/>
        <w:rPr>
          <w:lang w:eastAsia="ja-JP"/>
        </w:rPr>
      </w:pPr>
      <w:r>
        <w:rPr>
          <w:lang w:eastAsia="ja-JP"/>
        </w:rPr>
        <w:t xml:space="preserve">Note: </w:t>
      </w:r>
      <w:r w:rsidRPr="00E07B1B">
        <w:rPr>
          <w:lang w:eastAsia="ja-JP"/>
        </w:rPr>
        <w:t>* reported in one study, ^ range</w:t>
      </w:r>
      <w:r w:rsidR="00F328EE">
        <w:rPr>
          <w:lang w:eastAsia="ja-JP"/>
        </w:rPr>
        <w:t>.</w:t>
      </w:r>
    </w:p>
    <w:p w:rsidR="0025490C" w:rsidRPr="00F328EE" w:rsidRDefault="0025490C" w:rsidP="00F328EE">
      <w:pPr>
        <w:pStyle w:val="Source"/>
        <w:ind w:left="0" w:firstLine="0"/>
      </w:pPr>
      <w:r>
        <w:rPr>
          <w:lang w:eastAsia="ja-JP"/>
        </w:rPr>
        <w:t xml:space="preserve">Source: </w:t>
      </w:r>
      <w:r w:rsidRPr="00E07B1B">
        <w:rPr>
          <w:lang w:eastAsia="ja-JP"/>
        </w:rPr>
        <w:t xml:space="preserve">Reproduced from </w:t>
      </w:r>
      <w:r w:rsidRPr="00E07B1B">
        <w:t xml:space="preserve">Hartling L, Dryden DM, Guthrie A, Muise M, Vandermeer B, Aktary WM, Donovan L. 2012. </w:t>
      </w:r>
      <w:r w:rsidRPr="00E07B1B">
        <w:rPr>
          <w:i/>
        </w:rPr>
        <w:t xml:space="preserve">Screening and Diagnosing Gestational Diabetes Mellitus. </w:t>
      </w:r>
      <w:r w:rsidRPr="008534D8">
        <w:t>Evidence Report/Technology Assessment number 210 (Prepared by the University of Alberta Evidence-Based practice Center under contract No 290-2007-10021I</w:t>
      </w:r>
      <w:r>
        <w:t>)</w:t>
      </w:r>
      <w:r w:rsidRPr="00BC48F8">
        <w:t xml:space="preserve">. </w:t>
      </w:r>
      <w:r w:rsidRPr="00E07B1B">
        <w:t xml:space="preserve">Rockville MD: AHRQ </w:t>
      </w:r>
      <w:r w:rsidRPr="00E07B1B">
        <w:rPr>
          <w:lang w:eastAsia="ja-JP"/>
        </w:rPr>
        <w:t>with permission of the Agency for Healthcare Research and Quality</w:t>
      </w:r>
      <w:r>
        <w:rPr>
          <w:lang w:eastAsia="ja-JP"/>
        </w:rPr>
        <w:t>.</w:t>
      </w:r>
    </w:p>
    <w:p w:rsidR="00F328EE" w:rsidRDefault="00F328EE" w:rsidP="00F328EE">
      <w:pPr>
        <w:rPr>
          <w:lang w:eastAsia="ja-JP"/>
        </w:rPr>
      </w:pPr>
      <w:bookmarkStart w:id="496" w:name="_Toc363717804"/>
    </w:p>
    <w:p w:rsidR="0025490C" w:rsidRPr="00E07B1B" w:rsidRDefault="0025490C" w:rsidP="00F328EE">
      <w:pPr>
        <w:pStyle w:val="Figure"/>
        <w:rPr>
          <w:lang w:eastAsia="ja-JP"/>
        </w:rPr>
      </w:pPr>
      <w:bookmarkStart w:id="497" w:name="_Toc403636049"/>
      <w:r w:rsidRPr="00E07B1B">
        <w:rPr>
          <w:lang w:eastAsia="ja-JP"/>
        </w:rPr>
        <w:t xml:space="preserve">Figure </w:t>
      </w:r>
      <w:r w:rsidR="009E3907">
        <w:rPr>
          <w:lang w:eastAsia="ja-JP"/>
        </w:rPr>
        <w:t>6</w:t>
      </w:r>
      <w:r w:rsidR="00F328EE">
        <w:rPr>
          <w:lang w:eastAsia="ja-JP"/>
        </w:rPr>
        <w:t>:</w:t>
      </w:r>
      <w:r w:rsidRPr="00E07B1B">
        <w:rPr>
          <w:lang w:eastAsia="ja-JP"/>
        </w:rPr>
        <w:t xml:space="preserve"> Forest plot of sensitivity and specificity: 50</w:t>
      </w:r>
      <w:r>
        <w:rPr>
          <w:lang w:eastAsia="ja-JP"/>
        </w:rPr>
        <w:t xml:space="preserve"> </w:t>
      </w:r>
      <w:r w:rsidRPr="00E07B1B">
        <w:rPr>
          <w:lang w:eastAsia="ja-JP"/>
        </w:rPr>
        <w:t>g oral glucose challenge test (different thresholds) by American Diabetes Association (2000–2010) 75</w:t>
      </w:r>
      <w:r>
        <w:rPr>
          <w:lang w:eastAsia="ja-JP"/>
        </w:rPr>
        <w:t xml:space="preserve"> </w:t>
      </w:r>
      <w:r w:rsidRPr="00E07B1B">
        <w:rPr>
          <w:lang w:eastAsia="ja-JP"/>
        </w:rPr>
        <w:t>g criteria</w:t>
      </w:r>
      <w:bookmarkEnd w:id="496"/>
      <w:bookmarkEnd w:id="497"/>
    </w:p>
    <w:p w:rsidR="0025490C" w:rsidRDefault="0025490C" w:rsidP="0025490C">
      <w:pPr>
        <w:autoSpaceDE w:val="0"/>
        <w:autoSpaceDN w:val="0"/>
        <w:adjustRightInd w:val="0"/>
      </w:pPr>
      <w:r>
        <w:rPr>
          <w:rFonts w:cs="Arial"/>
          <w:noProof/>
          <w:szCs w:val="24"/>
          <w:lang w:eastAsia="en-NZ"/>
        </w:rPr>
        <w:drawing>
          <wp:inline distT="0" distB="0" distL="0" distR="0" wp14:anchorId="469B8AA0" wp14:editId="582207DF">
            <wp:extent cx="5405955" cy="1862051"/>
            <wp:effectExtent l="0" t="0" r="4445" b="5080"/>
            <wp:docPr id="9" name="Picture 1" descr="Figure 6: Forest plot of sensitivity and specificity: 50 g oral glucose challenge test (different thresholds) by American Diabetes Association (2000–2010) 75 g criteria" title="Figure 6: Forest plot of sensitivity and specificity: 50 g oral glucose challenge test (different thresholds) by American Diabetes Association (2000–2010) 75 g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09127" cy="1863144"/>
                    </a:xfrm>
                    <a:prstGeom prst="rect">
                      <a:avLst/>
                    </a:prstGeom>
                    <a:noFill/>
                    <a:ln>
                      <a:noFill/>
                    </a:ln>
                  </pic:spPr>
                </pic:pic>
              </a:graphicData>
            </a:graphic>
          </wp:inline>
        </w:drawing>
      </w:r>
    </w:p>
    <w:p w:rsidR="000C1845" w:rsidRPr="000C1845" w:rsidRDefault="000C1845" w:rsidP="0025490C">
      <w:pPr>
        <w:autoSpaceDE w:val="0"/>
        <w:autoSpaceDN w:val="0"/>
        <w:adjustRightInd w:val="0"/>
      </w:pPr>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4111"/>
        <w:gridCol w:w="1559"/>
        <w:gridCol w:w="1560"/>
        <w:gridCol w:w="1559"/>
        <w:gridCol w:w="2835"/>
        <w:gridCol w:w="1701"/>
        <w:gridCol w:w="1276"/>
      </w:tblGrid>
      <w:tr w:rsidR="0025490C" w:rsidRPr="00AF77C6" w:rsidTr="00AF77C6">
        <w:trPr>
          <w:cantSplit/>
        </w:trPr>
        <w:tc>
          <w:tcPr>
            <w:tcW w:w="4111" w:type="dxa"/>
            <w:tcBorders>
              <w:top w:val="single" w:sz="4" w:space="0" w:color="auto"/>
              <w:bottom w:val="single" w:sz="4" w:space="0" w:color="auto"/>
              <w:right w:val="nil"/>
            </w:tcBorders>
          </w:tcPr>
          <w:p w:rsidR="0025490C" w:rsidRPr="00AF77C6" w:rsidRDefault="0025490C" w:rsidP="00AF77C6">
            <w:pPr>
              <w:pStyle w:val="TableText"/>
              <w:rPr>
                <w:b/>
                <w:sz w:val="18"/>
                <w:lang w:eastAsia="ja-JP"/>
              </w:rPr>
            </w:pPr>
            <w:r w:rsidRPr="00AF77C6">
              <w:rPr>
                <w:b/>
                <w:sz w:val="18"/>
                <w:lang w:eastAsia="ja-JP"/>
              </w:rPr>
              <w:t>50 g oral glucose challenge test and 75 g, 2</w:t>
            </w:r>
            <w:r w:rsidR="00AF77C6">
              <w:rPr>
                <w:b/>
                <w:sz w:val="18"/>
                <w:lang w:eastAsia="ja-JP"/>
              </w:rPr>
              <w:noBreakHyphen/>
            </w:r>
            <w:r w:rsidRPr="00AF77C6">
              <w:rPr>
                <w:b/>
                <w:sz w:val="18"/>
                <w:lang w:eastAsia="ja-JP"/>
              </w:rPr>
              <w:t>hour oral glucose tolerance test (American Diabetes Association/Canadian Diabetes Association criteria)</w:t>
            </w:r>
          </w:p>
        </w:tc>
        <w:tc>
          <w:tcPr>
            <w:tcW w:w="1559" w:type="dxa"/>
            <w:tcBorders>
              <w:top w:val="single" w:sz="4" w:space="0" w:color="auto"/>
              <w:left w:val="nil"/>
              <w:bottom w:val="single" w:sz="4" w:space="0" w:color="auto"/>
              <w:right w:val="nil"/>
            </w:tcBorders>
          </w:tcPr>
          <w:p w:rsidR="0025490C" w:rsidRPr="00AF77C6" w:rsidRDefault="0025490C" w:rsidP="00AF77C6">
            <w:pPr>
              <w:pStyle w:val="TableText"/>
              <w:jc w:val="center"/>
              <w:rPr>
                <w:b/>
                <w:sz w:val="18"/>
                <w:lang w:eastAsia="ja-JP"/>
              </w:rPr>
            </w:pPr>
            <w:r w:rsidRPr="00AF77C6">
              <w:rPr>
                <w:b/>
                <w:sz w:val="18"/>
                <w:lang w:eastAsia="ja-JP"/>
              </w:rPr>
              <w:t>Sensitivity</w:t>
            </w:r>
          </w:p>
        </w:tc>
        <w:tc>
          <w:tcPr>
            <w:tcW w:w="1560" w:type="dxa"/>
            <w:tcBorders>
              <w:top w:val="single" w:sz="4" w:space="0" w:color="auto"/>
              <w:left w:val="nil"/>
              <w:bottom w:val="single" w:sz="4" w:space="0" w:color="auto"/>
              <w:right w:val="nil"/>
            </w:tcBorders>
          </w:tcPr>
          <w:p w:rsidR="0025490C" w:rsidRPr="00AF77C6" w:rsidRDefault="0025490C" w:rsidP="00AF77C6">
            <w:pPr>
              <w:pStyle w:val="TableText"/>
              <w:jc w:val="center"/>
              <w:rPr>
                <w:b/>
                <w:sz w:val="18"/>
                <w:lang w:eastAsia="ja-JP"/>
              </w:rPr>
            </w:pPr>
            <w:r w:rsidRPr="00AF77C6">
              <w:rPr>
                <w:b/>
                <w:sz w:val="18"/>
                <w:lang w:eastAsia="ja-JP"/>
              </w:rPr>
              <w:t>Specificity</w:t>
            </w:r>
          </w:p>
        </w:tc>
        <w:tc>
          <w:tcPr>
            <w:tcW w:w="1559" w:type="dxa"/>
            <w:tcBorders>
              <w:top w:val="single" w:sz="4" w:space="0" w:color="auto"/>
              <w:left w:val="nil"/>
              <w:bottom w:val="single" w:sz="4" w:space="0" w:color="auto"/>
              <w:right w:val="nil"/>
            </w:tcBorders>
          </w:tcPr>
          <w:p w:rsidR="0025490C" w:rsidRPr="00AF77C6" w:rsidRDefault="0025490C" w:rsidP="00AF77C6">
            <w:pPr>
              <w:pStyle w:val="TableText"/>
              <w:jc w:val="center"/>
              <w:rPr>
                <w:b/>
                <w:sz w:val="18"/>
                <w:lang w:eastAsia="ja-JP"/>
              </w:rPr>
            </w:pPr>
            <w:r w:rsidRPr="00AF77C6">
              <w:rPr>
                <w:b/>
                <w:sz w:val="18"/>
                <w:lang w:eastAsia="ja-JP"/>
              </w:rPr>
              <w:t>Prevalence</w:t>
            </w:r>
          </w:p>
        </w:tc>
        <w:tc>
          <w:tcPr>
            <w:tcW w:w="2835" w:type="dxa"/>
            <w:tcBorders>
              <w:top w:val="single" w:sz="4" w:space="0" w:color="auto"/>
              <w:left w:val="nil"/>
              <w:bottom w:val="single" w:sz="4" w:space="0" w:color="auto"/>
              <w:right w:val="nil"/>
            </w:tcBorders>
          </w:tcPr>
          <w:p w:rsidR="0025490C" w:rsidRPr="00AF77C6" w:rsidRDefault="0025490C" w:rsidP="00AF77C6">
            <w:pPr>
              <w:pStyle w:val="TableText"/>
              <w:jc w:val="center"/>
              <w:rPr>
                <w:b/>
                <w:sz w:val="18"/>
                <w:lang w:eastAsia="ja-JP"/>
              </w:rPr>
            </w:pPr>
            <w:r w:rsidRPr="00AF77C6">
              <w:rPr>
                <w:b/>
                <w:sz w:val="18"/>
                <w:lang w:eastAsia="ja-JP"/>
              </w:rPr>
              <w:t>Positive predictive value</w:t>
            </w:r>
          </w:p>
        </w:tc>
        <w:tc>
          <w:tcPr>
            <w:tcW w:w="1701" w:type="dxa"/>
            <w:tcBorders>
              <w:top w:val="single" w:sz="4" w:space="0" w:color="auto"/>
              <w:left w:val="nil"/>
              <w:bottom w:val="single" w:sz="4" w:space="0" w:color="auto"/>
              <w:right w:val="nil"/>
            </w:tcBorders>
          </w:tcPr>
          <w:p w:rsidR="0025490C" w:rsidRPr="00AF77C6" w:rsidRDefault="0025490C" w:rsidP="00AF77C6">
            <w:pPr>
              <w:pStyle w:val="TableText"/>
              <w:jc w:val="center"/>
              <w:rPr>
                <w:b/>
                <w:sz w:val="18"/>
                <w:lang w:eastAsia="ja-JP"/>
              </w:rPr>
            </w:pPr>
            <w:r w:rsidRPr="00AF77C6">
              <w:rPr>
                <w:b/>
                <w:sz w:val="18"/>
                <w:lang w:eastAsia="ja-JP"/>
              </w:rPr>
              <w:t>Median negative predictive value</w:t>
            </w:r>
          </w:p>
        </w:tc>
        <w:tc>
          <w:tcPr>
            <w:tcW w:w="1276" w:type="dxa"/>
            <w:tcBorders>
              <w:top w:val="single" w:sz="4" w:space="0" w:color="auto"/>
              <w:left w:val="nil"/>
              <w:bottom w:val="single" w:sz="4" w:space="0" w:color="auto"/>
            </w:tcBorders>
          </w:tcPr>
          <w:p w:rsidR="0025490C" w:rsidRPr="00AF77C6" w:rsidRDefault="0025490C" w:rsidP="00AF77C6">
            <w:pPr>
              <w:pStyle w:val="TableText"/>
              <w:jc w:val="center"/>
              <w:rPr>
                <w:b/>
                <w:sz w:val="18"/>
                <w:lang w:eastAsia="ja-JP"/>
              </w:rPr>
            </w:pPr>
            <w:r w:rsidRPr="00AF77C6">
              <w:rPr>
                <w:b/>
                <w:sz w:val="18"/>
                <w:lang w:eastAsia="ja-JP"/>
              </w:rPr>
              <w:t>Number of studies</w:t>
            </w:r>
          </w:p>
        </w:tc>
      </w:tr>
      <w:tr w:rsidR="0025490C" w:rsidRPr="00E07B1B" w:rsidTr="00AF77C6">
        <w:trPr>
          <w:cantSplit/>
        </w:trPr>
        <w:tc>
          <w:tcPr>
            <w:tcW w:w="4111" w:type="dxa"/>
            <w:tcBorders>
              <w:top w:val="single" w:sz="4" w:space="0" w:color="auto"/>
              <w:bottom w:val="single" w:sz="4" w:space="0" w:color="auto"/>
            </w:tcBorders>
            <w:shd w:val="clear" w:color="auto" w:fill="F2F2F2" w:themeFill="background1" w:themeFillShade="F2"/>
          </w:tcPr>
          <w:p w:rsidR="0025490C" w:rsidRPr="00AF77C6" w:rsidRDefault="0025490C" w:rsidP="00AF77C6">
            <w:pPr>
              <w:pStyle w:val="TableText"/>
              <w:rPr>
                <w:sz w:val="18"/>
                <w:lang w:eastAsia="ja-JP"/>
              </w:rPr>
            </w:pPr>
            <w:r w:rsidRPr="00AF77C6">
              <w:rPr>
                <w:sz w:val="18"/>
                <w:lang w:eastAsia="ja-JP"/>
              </w:rPr>
              <w:t>Various thresholds applied</w:t>
            </w:r>
          </w:p>
        </w:tc>
        <w:tc>
          <w:tcPr>
            <w:tcW w:w="1559" w:type="dxa"/>
            <w:tcBorders>
              <w:top w:val="single" w:sz="4" w:space="0" w:color="auto"/>
              <w:bottom w:val="single" w:sz="4" w:space="0" w:color="auto"/>
            </w:tcBorders>
            <w:shd w:val="clear" w:color="auto" w:fill="F2F2F2" w:themeFill="background1" w:themeFillShade="F2"/>
          </w:tcPr>
          <w:p w:rsidR="0025490C" w:rsidRPr="00AF77C6" w:rsidRDefault="0025490C" w:rsidP="00AF77C6">
            <w:pPr>
              <w:pStyle w:val="TableText"/>
              <w:jc w:val="center"/>
              <w:rPr>
                <w:sz w:val="18"/>
                <w:lang w:eastAsia="ja-JP"/>
              </w:rPr>
            </w:pPr>
            <w:r w:rsidRPr="00AF77C6">
              <w:rPr>
                <w:sz w:val="18"/>
                <w:lang w:eastAsia="ja-JP"/>
              </w:rPr>
              <w:t>86% to 97%</w:t>
            </w:r>
          </w:p>
        </w:tc>
        <w:tc>
          <w:tcPr>
            <w:tcW w:w="1560" w:type="dxa"/>
            <w:tcBorders>
              <w:top w:val="single" w:sz="4" w:space="0" w:color="auto"/>
              <w:bottom w:val="single" w:sz="4" w:space="0" w:color="auto"/>
            </w:tcBorders>
            <w:shd w:val="clear" w:color="auto" w:fill="F2F2F2" w:themeFill="background1" w:themeFillShade="F2"/>
          </w:tcPr>
          <w:p w:rsidR="0025490C" w:rsidRPr="00AF77C6" w:rsidRDefault="0025490C" w:rsidP="00AF77C6">
            <w:pPr>
              <w:pStyle w:val="TableText"/>
              <w:jc w:val="center"/>
              <w:rPr>
                <w:sz w:val="18"/>
                <w:lang w:eastAsia="ja-JP"/>
              </w:rPr>
            </w:pPr>
            <w:r w:rsidRPr="00AF77C6">
              <w:rPr>
                <w:sz w:val="18"/>
                <w:lang w:eastAsia="ja-JP"/>
              </w:rPr>
              <w:t>79% to 87%</w:t>
            </w:r>
          </w:p>
        </w:tc>
        <w:tc>
          <w:tcPr>
            <w:tcW w:w="1559" w:type="dxa"/>
            <w:tcBorders>
              <w:top w:val="single" w:sz="4" w:space="0" w:color="auto"/>
              <w:bottom w:val="single" w:sz="4" w:space="0" w:color="auto"/>
            </w:tcBorders>
            <w:shd w:val="clear" w:color="auto" w:fill="F2F2F2" w:themeFill="background1" w:themeFillShade="F2"/>
          </w:tcPr>
          <w:p w:rsidR="0025490C" w:rsidRPr="00AF77C6" w:rsidRDefault="0025490C" w:rsidP="00AF77C6">
            <w:pPr>
              <w:pStyle w:val="TableText"/>
              <w:jc w:val="center"/>
              <w:rPr>
                <w:sz w:val="18"/>
                <w:lang w:eastAsia="ja-JP"/>
              </w:rPr>
            </w:pPr>
            <w:r w:rsidRPr="00AF77C6">
              <w:rPr>
                <w:sz w:val="18"/>
                <w:lang w:eastAsia="ja-JP"/>
              </w:rPr>
              <w:t>1.6% to 4.1%</w:t>
            </w:r>
          </w:p>
        </w:tc>
        <w:tc>
          <w:tcPr>
            <w:tcW w:w="2835" w:type="dxa"/>
            <w:tcBorders>
              <w:top w:val="single" w:sz="4" w:space="0" w:color="auto"/>
              <w:bottom w:val="single" w:sz="4" w:space="0" w:color="auto"/>
            </w:tcBorders>
            <w:shd w:val="clear" w:color="auto" w:fill="F2F2F2" w:themeFill="background1" w:themeFillShade="F2"/>
          </w:tcPr>
          <w:p w:rsidR="0025490C" w:rsidRPr="00AF77C6" w:rsidRDefault="0025490C" w:rsidP="00AF77C6">
            <w:pPr>
              <w:pStyle w:val="TableText"/>
              <w:jc w:val="center"/>
              <w:rPr>
                <w:sz w:val="18"/>
                <w:lang w:eastAsia="ja-JP"/>
              </w:rPr>
            </w:pPr>
            <w:r w:rsidRPr="00AF77C6">
              <w:rPr>
                <w:sz w:val="18"/>
                <w:lang w:eastAsia="ja-JP"/>
              </w:rPr>
              <w:t>7% to 20%</w:t>
            </w:r>
          </w:p>
        </w:tc>
        <w:tc>
          <w:tcPr>
            <w:tcW w:w="1701" w:type="dxa"/>
            <w:tcBorders>
              <w:top w:val="single" w:sz="4" w:space="0" w:color="auto"/>
              <w:bottom w:val="single" w:sz="4" w:space="0" w:color="auto"/>
            </w:tcBorders>
            <w:shd w:val="clear" w:color="auto" w:fill="F2F2F2" w:themeFill="background1" w:themeFillShade="F2"/>
          </w:tcPr>
          <w:p w:rsidR="0025490C" w:rsidRPr="00AF77C6" w:rsidRDefault="0025490C" w:rsidP="00AF77C6">
            <w:pPr>
              <w:pStyle w:val="TableText"/>
              <w:jc w:val="center"/>
              <w:rPr>
                <w:sz w:val="18"/>
                <w:lang w:eastAsia="ja-JP"/>
              </w:rPr>
            </w:pPr>
            <w:r w:rsidRPr="00AF77C6">
              <w:rPr>
                <w:sz w:val="18"/>
                <w:lang w:eastAsia="ja-JP"/>
              </w:rPr>
              <w:t>99% to 100%</w:t>
            </w:r>
          </w:p>
        </w:tc>
        <w:tc>
          <w:tcPr>
            <w:tcW w:w="1276" w:type="dxa"/>
            <w:tcBorders>
              <w:top w:val="single" w:sz="4" w:space="0" w:color="auto"/>
              <w:bottom w:val="single" w:sz="4" w:space="0" w:color="auto"/>
            </w:tcBorders>
            <w:shd w:val="clear" w:color="auto" w:fill="F2F2F2" w:themeFill="background1" w:themeFillShade="F2"/>
          </w:tcPr>
          <w:p w:rsidR="0025490C" w:rsidRPr="00AF77C6" w:rsidRDefault="0025490C" w:rsidP="00AF77C6">
            <w:pPr>
              <w:pStyle w:val="TableText"/>
              <w:jc w:val="center"/>
              <w:rPr>
                <w:sz w:val="18"/>
                <w:lang w:eastAsia="ja-JP"/>
              </w:rPr>
            </w:pPr>
            <w:r w:rsidRPr="00AF77C6">
              <w:rPr>
                <w:sz w:val="18"/>
                <w:lang w:eastAsia="ja-JP"/>
              </w:rPr>
              <w:t>4</w:t>
            </w:r>
          </w:p>
        </w:tc>
      </w:tr>
    </w:tbl>
    <w:p w:rsidR="0025490C" w:rsidRDefault="0025490C" w:rsidP="00AF77C6">
      <w:pPr>
        <w:pStyle w:val="Source"/>
        <w:ind w:left="0" w:firstLine="0"/>
        <w:rPr>
          <w:lang w:eastAsia="ja-JP"/>
        </w:rPr>
      </w:pPr>
      <w:r w:rsidRPr="00E07B1B">
        <w:rPr>
          <w:lang w:eastAsia="ja-JP"/>
        </w:rPr>
        <w:t xml:space="preserve">Reproduced from </w:t>
      </w:r>
      <w:r w:rsidRPr="00E07B1B">
        <w:t xml:space="preserve">Hartling L, Dryden DM, Guthrie A, Muise M, Vandermeer B, Aktary WM, Donovan L. 2012. </w:t>
      </w:r>
      <w:r w:rsidRPr="00E07B1B">
        <w:rPr>
          <w:i/>
        </w:rPr>
        <w:t xml:space="preserve">Screening and diagnosing Gestational Diabetes Mellitus. </w:t>
      </w:r>
      <w:r w:rsidRPr="008534D8">
        <w:t>Evidence Report/Technology Assessment number 210 (Prepared by the University of Alberta Evidence-Based practice Center under contract No 290-2007-10021I</w:t>
      </w:r>
      <w:r>
        <w:t>)</w:t>
      </w:r>
      <w:r w:rsidRPr="00DB2285">
        <w:t xml:space="preserve">. </w:t>
      </w:r>
      <w:r w:rsidRPr="00E07B1B">
        <w:t xml:space="preserve">Rockville MD: AHRQ </w:t>
      </w:r>
      <w:r w:rsidRPr="00E07B1B">
        <w:rPr>
          <w:lang w:eastAsia="ja-JP"/>
        </w:rPr>
        <w:t>with permission of the Agency for Healthcare Research and Quality</w:t>
      </w:r>
      <w:r>
        <w:rPr>
          <w:lang w:eastAsia="ja-JP"/>
        </w:rPr>
        <w:t>.</w:t>
      </w:r>
    </w:p>
    <w:p w:rsidR="00AF77C6" w:rsidRPr="00AF77C6" w:rsidRDefault="00AF77C6" w:rsidP="00AF77C6">
      <w:pPr>
        <w:rPr>
          <w:lang w:eastAsia="ja-JP"/>
        </w:rPr>
      </w:pPr>
    </w:p>
    <w:p w:rsidR="0025490C" w:rsidRPr="00E07B1B" w:rsidRDefault="0025490C" w:rsidP="00110A7A">
      <w:pPr>
        <w:pStyle w:val="Figure"/>
        <w:rPr>
          <w:lang w:eastAsia="ja-JP"/>
        </w:rPr>
      </w:pPr>
      <w:bookmarkStart w:id="498" w:name="_Toc363717805"/>
      <w:bookmarkStart w:id="499" w:name="_Toc403636050"/>
      <w:r w:rsidRPr="00E07B1B">
        <w:rPr>
          <w:lang w:eastAsia="ja-JP"/>
        </w:rPr>
        <w:t xml:space="preserve">Figure </w:t>
      </w:r>
      <w:r w:rsidR="009E3907">
        <w:rPr>
          <w:lang w:eastAsia="ja-JP"/>
        </w:rPr>
        <w:t>7</w:t>
      </w:r>
      <w:r w:rsidR="00110A7A">
        <w:rPr>
          <w:lang w:eastAsia="ja-JP"/>
        </w:rPr>
        <w:t>:</w:t>
      </w:r>
      <w:r w:rsidRPr="00E07B1B">
        <w:rPr>
          <w:lang w:eastAsia="ja-JP"/>
        </w:rPr>
        <w:t xml:space="preserve"> Forest plot of sensitivity and specificity: 50 g oral glucose challenge test by World Health Organization criteria</w:t>
      </w:r>
      <w:bookmarkEnd w:id="498"/>
      <w:bookmarkEnd w:id="499"/>
    </w:p>
    <w:p w:rsidR="0025490C" w:rsidRDefault="0025490C" w:rsidP="00110A7A">
      <w:pPr>
        <w:keepNext/>
        <w:rPr>
          <w:lang w:eastAsia="ja-JP"/>
        </w:rPr>
      </w:pPr>
      <w:r>
        <w:rPr>
          <w:noProof/>
          <w:lang w:eastAsia="en-NZ"/>
        </w:rPr>
        <w:drawing>
          <wp:inline distT="0" distB="0" distL="0" distR="0" wp14:anchorId="2C94D77F" wp14:editId="651BE2AD">
            <wp:extent cx="5394225" cy="1596044"/>
            <wp:effectExtent l="0" t="0" r="0" b="4445"/>
            <wp:docPr id="10" name="Picture 2" descr="Figure 7: Forest plot of sensitivity and specificity: 50 g oral glucose challenge test by World Health Organization criteria" title="Figure 7: Forest plot of sensitivity and specificity: 50 g oral glucose challenge test by World Health Organization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95465" cy="1596411"/>
                    </a:xfrm>
                    <a:prstGeom prst="rect">
                      <a:avLst/>
                    </a:prstGeom>
                    <a:noFill/>
                    <a:ln>
                      <a:noFill/>
                    </a:ln>
                  </pic:spPr>
                </pic:pic>
              </a:graphicData>
            </a:graphic>
          </wp:inline>
        </w:drawing>
      </w:r>
    </w:p>
    <w:p w:rsidR="00110A7A" w:rsidRPr="00E07B1B" w:rsidRDefault="00110A7A" w:rsidP="00110A7A">
      <w:pPr>
        <w:keepNext/>
        <w:rPr>
          <w:lang w:eastAsia="ja-JP"/>
        </w:rPr>
      </w:pPr>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4111"/>
        <w:gridCol w:w="1559"/>
        <w:gridCol w:w="1560"/>
        <w:gridCol w:w="1559"/>
        <w:gridCol w:w="2835"/>
        <w:gridCol w:w="1701"/>
        <w:gridCol w:w="1276"/>
      </w:tblGrid>
      <w:tr w:rsidR="0025490C" w:rsidRPr="00110A7A" w:rsidTr="00110A7A">
        <w:trPr>
          <w:cantSplit/>
        </w:trPr>
        <w:tc>
          <w:tcPr>
            <w:tcW w:w="4111" w:type="dxa"/>
            <w:tcBorders>
              <w:top w:val="single" w:sz="4" w:space="0" w:color="auto"/>
              <w:bottom w:val="single" w:sz="4" w:space="0" w:color="auto"/>
              <w:right w:val="nil"/>
            </w:tcBorders>
          </w:tcPr>
          <w:p w:rsidR="0025490C" w:rsidRPr="00110A7A" w:rsidRDefault="0025490C" w:rsidP="00110A7A">
            <w:pPr>
              <w:pStyle w:val="TableText"/>
              <w:rPr>
                <w:b/>
                <w:sz w:val="18"/>
                <w:lang w:eastAsia="ja-JP"/>
              </w:rPr>
            </w:pPr>
            <w:r w:rsidRPr="00110A7A">
              <w:rPr>
                <w:b/>
                <w:sz w:val="18"/>
                <w:lang w:eastAsia="ja-JP"/>
              </w:rPr>
              <w:t>50 g oral glucose challenge test and 75 g, 2</w:t>
            </w:r>
            <w:r w:rsidR="00110A7A">
              <w:rPr>
                <w:b/>
                <w:sz w:val="18"/>
                <w:lang w:eastAsia="ja-JP"/>
              </w:rPr>
              <w:noBreakHyphen/>
            </w:r>
            <w:r w:rsidRPr="00110A7A">
              <w:rPr>
                <w:b/>
                <w:sz w:val="18"/>
                <w:lang w:eastAsia="ja-JP"/>
              </w:rPr>
              <w:t>hour oral glucose tolerance test (World Health Organization criteria)</w:t>
            </w:r>
          </w:p>
        </w:tc>
        <w:tc>
          <w:tcPr>
            <w:tcW w:w="1559" w:type="dxa"/>
            <w:tcBorders>
              <w:top w:val="single" w:sz="4" w:space="0" w:color="auto"/>
              <w:left w:val="nil"/>
              <w:bottom w:val="single" w:sz="4" w:space="0" w:color="auto"/>
              <w:right w:val="nil"/>
            </w:tcBorders>
          </w:tcPr>
          <w:p w:rsidR="0025490C" w:rsidRPr="00110A7A" w:rsidRDefault="0025490C" w:rsidP="00110A7A">
            <w:pPr>
              <w:pStyle w:val="TableText"/>
              <w:jc w:val="center"/>
              <w:rPr>
                <w:b/>
                <w:sz w:val="18"/>
                <w:lang w:eastAsia="ja-JP"/>
              </w:rPr>
            </w:pPr>
            <w:r w:rsidRPr="00110A7A">
              <w:rPr>
                <w:b/>
                <w:sz w:val="18"/>
                <w:lang w:eastAsia="ja-JP"/>
              </w:rPr>
              <w:t>Sensitivity</w:t>
            </w:r>
          </w:p>
        </w:tc>
        <w:tc>
          <w:tcPr>
            <w:tcW w:w="1560" w:type="dxa"/>
            <w:tcBorders>
              <w:top w:val="single" w:sz="4" w:space="0" w:color="auto"/>
              <w:left w:val="nil"/>
              <w:bottom w:val="single" w:sz="4" w:space="0" w:color="auto"/>
              <w:right w:val="nil"/>
            </w:tcBorders>
          </w:tcPr>
          <w:p w:rsidR="0025490C" w:rsidRPr="00110A7A" w:rsidRDefault="0025490C" w:rsidP="00110A7A">
            <w:pPr>
              <w:pStyle w:val="TableText"/>
              <w:jc w:val="center"/>
              <w:rPr>
                <w:b/>
                <w:sz w:val="18"/>
                <w:lang w:eastAsia="ja-JP"/>
              </w:rPr>
            </w:pPr>
            <w:r w:rsidRPr="00110A7A">
              <w:rPr>
                <w:b/>
                <w:sz w:val="18"/>
                <w:lang w:eastAsia="ja-JP"/>
              </w:rPr>
              <w:t>Specificity</w:t>
            </w:r>
          </w:p>
        </w:tc>
        <w:tc>
          <w:tcPr>
            <w:tcW w:w="1559" w:type="dxa"/>
            <w:tcBorders>
              <w:top w:val="single" w:sz="4" w:space="0" w:color="auto"/>
              <w:left w:val="nil"/>
              <w:bottom w:val="single" w:sz="4" w:space="0" w:color="auto"/>
              <w:right w:val="nil"/>
            </w:tcBorders>
          </w:tcPr>
          <w:p w:rsidR="0025490C" w:rsidRPr="00110A7A" w:rsidRDefault="0025490C" w:rsidP="00110A7A">
            <w:pPr>
              <w:pStyle w:val="TableText"/>
              <w:jc w:val="center"/>
              <w:rPr>
                <w:b/>
                <w:sz w:val="18"/>
                <w:lang w:eastAsia="ja-JP"/>
              </w:rPr>
            </w:pPr>
            <w:r w:rsidRPr="00110A7A">
              <w:rPr>
                <w:b/>
                <w:sz w:val="18"/>
                <w:lang w:eastAsia="ja-JP"/>
              </w:rPr>
              <w:t>Prevalence</w:t>
            </w:r>
          </w:p>
        </w:tc>
        <w:tc>
          <w:tcPr>
            <w:tcW w:w="2835" w:type="dxa"/>
            <w:tcBorders>
              <w:top w:val="single" w:sz="4" w:space="0" w:color="auto"/>
              <w:left w:val="nil"/>
              <w:bottom w:val="single" w:sz="4" w:space="0" w:color="auto"/>
              <w:right w:val="nil"/>
            </w:tcBorders>
          </w:tcPr>
          <w:p w:rsidR="0025490C" w:rsidRPr="00110A7A" w:rsidRDefault="0025490C" w:rsidP="00110A7A">
            <w:pPr>
              <w:pStyle w:val="TableText"/>
              <w:jc w:val="center"/>
              <w:rPr>
                <w:b/>
                <w:sz w:val="18"/>
                <w:lang w:eastAsia="ja-JP"/>
              </w:rPr>
            </w:pPr>
            <w:r w:rsidRPr="00110A7A">
              <w:rPr>
                <w:b/>
                <w:sz w:val="18"/>
                <w:lang w:eastAsia="ja-JP"/>
              </w:rPr>
              <w:t>Positive predictive value</w:t>
            </w:r>
          </w:p>
        </w:tc>
        <w:tc>
          <w:tcPr>
            <w:tcW w:w="1701" w:type="dxa"/>
            <w:tcBorders>
              <w:top w:val="single" w:sz="4" w:space="0" w:color="auto"/>
              <w:left w:val="nil"/>
              <w:bottom w:val="single" w:sz="4" w:space="0" w:color="auto"/>
              <w:right w:val="nil"/>
            </w:tcBorders>
          </w:tcPr>
          <w:p w:rsidR="0025490C" w:rsidRPr="00110A7A" w:rsidRDefault="0025490C" w:rsidP="00110A7A">
            <w:pPr>
              <w:pStyle w:val="TableText"/>
              <w:jc w:val="center"/>
              <w:rPr>
                <w:b/>
                <w:sz w:val="18"/>
                <w:lang w:eastAsia="ja-JP"/>
              </w:rPr>
            </w:pPr>
            <w:r w:rsidRPr="00110A7A">
              <w:rPr>
                <w:b/>
                <w:sz w:val="18"/>
                <w:lang w:eastAsia="ja-JP"/>
              </w:rPr>
              <w:t>Median negative predictive value</w:t>
            </w:r>
          </w:p>
        </w:tc>
        <w:tc>
          <w:tcPr>
            <w:tcW w:w="1276" w:type="dxa"/>
            <w:tcBorders>
              <w:top w:val="single" w:sz="4" w:space="0" w:color="auto"/>
              <w:left w:val="nil"/>
              <w:bottom w:val="single" w:sz="4" w:space="0" w:color="auto"/>
            </w:tcBorders>
          </w:tcPr>
          <w:p w:rsidR="0025490C" w:rsidRPr="00110A7A" w:rsidRDefault="0025490C" w:rsidP="00110A7A">
            <w:pPr>
              <w:pStyle w:val="TableText"/>
              <w:jc w:val="center"/>
              <w:rPr>
                <w:b/>
                <w:sz w:val="18"/>
                <w:lang w:eastAsia="ja-JP"/>
              </w:rPr>
            </w:pPr>
            <w:r w:rsidRPr="00110A7A">
              <w:rPr>
                <w:b/>
                <w:sz w:val="18"/>
                <w:lang w:eastAsia="ja-JP"/>
              </w:rPr>
              <w:t>Number of studies</w:t>
            </w:r>
          </w:p>
        </w:tc>
      </w:tr>
      <w:tr w:rsidR="00110A7A" w:rsidRPr="00E07B1B" w:rsidTr="00110A7A">
        <w:trPr>
          <w:cantSplit/>
        </w:trPr>
        <w:tc>
          <w:tcPr>
            <w:tcW w:w="4111" w:type="dxa"/>
            <w:tcBorders>
              <w:top w:val="single" w:sz="4" w:space="0" w:color="auto"/>
              <w:bottom w:val="single" w:sz="4" w:space="0" w:color="auto"/>
              <w:right w:val="nil"/>
            </w:tcBorders>
            <w:shd w:val="clear" w:color="auto" w:fill="F2F2F2" w:themeFill="background1" w:themeFillShade="F2"/>
          </w:tcPr>
          <w:p w:rsidR="0025490C" w:rsidRPr="00110A7A" w:rsidRDefault="0025490C" w:rsidP="00110A7A">
            <w:pPr>
              <w:pStyle w:val="TableText"/>
              <w:rPr>
                <w:sz w:val="18"/>
                <w:lang w:eastAsia="ja-JP"/>
              </w:rPr>
            </w:pPr>
            <w:r w:rsidRPr="00110A7A">
              <w:rPr>
                <w:sz w:val="18"/>
                <w:lang w:eastAsia="ja-JP"/>
              </w:rPr>
              <w:t>Threshold ≥ 7.8 mmol/L</w:t>
            </w:r>
          </w:p>
        </w:tc>
        <w:tc>
          <w:tcPr>
            <w:tcW w:w="1559" w:type="dxa"/>
            <w:tcBorders>
              <w:top w:val="single" w:sz="4" w:space="0" w:color="auto"/>
              <w:left w:val="nil"/>
              <w:bottom w:val="single" w:sz="4" w:space="0" w:color="auto"/>
              <w:right w:val="nil"/>
            </w:tcBorders>
            <w:shd w:val="clear" w:color="auto" w:fill="F2F2F2" w:themeFill="background1" w:themeFillShade="F2"/>
          </w:tcPr>
          <w:p w:rsidR="0025490C" w:rsidRPr="00110A7A" w:rsidRDefault="0025490C" w:rsidP="00110A7A">
            <w:pPr>
              <w:pStyle w:val="TableText"/>
              <w:jc w:val="center"/>
              <w:rPr>
                <w:sz w:val="18"/>
                <w:lang w:eastAsia="ja-JP"/>
              </w:rPr>
            </w:pPr>
            <w:r w:rsidRPr="00110A7A">
              <w:rPr>
                <w:sz w:val="18"/>
                <w:lang w:eastAsia="ja-JP"/>
              </w:rPr>
              <w:t>43% to 85%</w:t>
            </w:r>
          </w:p>
        </w:tc>
        <w:tc>
          <w:tcPr>
            <w:tcW w:w="1560" w:type="dxa"/>
            <w:tcBorders>
              <w:top w:val="single" w:sz="4" w:space="0" w:color="auto"/>
              <w:left w:val="nil"/>
              <w:bottom w:val="single" w:sz="4" w:space="0" w:color="auto"/>
              <w:right w:val="nil"/>
            </w:tcBorders>
            <w:shd w:val="clear" w:color="auto" w:fill="F2F2F2" w:themeFill="background1" w:themeFillShade="F2"/>
          </w:tcPr>
          <w:p w:rsidR="0025490C" w:rsidRPr="00110A7A" w:rsidRDefault="0025490C" w:rsidP="00110A7A">
            <w:pPr>
              <w:pStyle w:val="TableText"/>
              <w:jc w:val="center"/>
              <w:rPr>
                <w:sz w:val="18"/>
                <w:lang w:eastAsia="ja-JP"/>
              </w:rPr>
            </w:pPr>
            <w:r w:rsidRPr="00110A7A">
              <w:rPr>
                <w:sz w:val="18"/>
                <w:lang w:eastAsia="ja-JP"/>
              </w:rPr>
              <w:t>73% to 94%</w:t>
            </w:r>
          </w:p>
        </w:tc>
        <w:tc>
          <w:tcPr>
            <w:tcW w:w="1559" w:type="dxa"/>
            <w:tcBorders>
              <w:top w:val="single" w:sz="4" w:space="0" w:color="auto"/>
              <w:left w:val="nil"/>
              <w:bottom w:val="single" w:sz="4" w:space="0" w:color="auto"/>
              <w:right w:val="nil"/>
            </w:tcBorders>
            <w:shd w:val="clear" w:color="auto" w:fill="F2F2F2" w:themeFill="background1" w:themeFillShade="F2"/>
          </w:tcPr>
          <w:p w:rsidR="0025490C" w:rsidRPr="00110A7A" w:rsidRDefault="0025490C" w:rsidP="00110A7A">
            <w:pPr>
              <w:pStyle w:val="TableText"/>
              <w:jc w:val="center"/>
              <w:rPr>
                <w:sz w:val="18"/>
                <w:lang w:eastAsia="ja-JP"/>
              </w:rPr>
            </w:pPr>
            <w:r w:rsidRPr="00110A7A">
              <w:rPr>
                <w:sz w:val="18"/>
                <w:lang w:eastAsia="ja-JP"/>
              </w:rPr>
              <w:t>3.7% to 15.7%</w:t>
            </w:r>
          </w:p>
        </w:tc>
        <w:tc>
          <w:tcPr>
            <w:tcW w:w="2835" w:type="dxa"/>
            <w:tcBorders>
              <w:top w:val="single" w:sz="4" w:space="0" w:color="auto"/>
              <w:left w:val="nil"/>
              <w:bottom w:val="single" w:sz="4" w:space="0" w:color="auto"/>
              <w:right w:val="nil"/>
            </w:tcBorders>
            <w:shd w:val="clear" w:color="auto" w:fill="F2F2F2" w:themeFill="background1" w:themeFillShade="F2"/>
          </w:tcPr>
          <w:p w:rsidR="0025490C" w:rsidRPr="00110A7A" w:rsidRDefault="0025490C" w:rsidP="00110A7A">
            <w:pPr>
              <w:pStyle w:val="TableText"/>
              <w:jc w:val="center"/>
              <w:rPr>
                <w:sz w:val="18"/>
                <w:lang w:eastAsia="ja-JP"/>
              </w:rPr>
            </w:pPr>
            <w:r w:rsidRPr="00110A7A">
              <w:rPr>
                <w:sz w:val="18"/>
                <w:lang w:eastAsia="ja-JP"/>
              </w:rPr>
              <w:t>18% to 20% (Prevalence &lt;10%)</w:t>
            </w:r>
            <w:r w:rsidR="00110A7A">
              <w:rPr>
                <w:sz w:val="18"/>
                <w:lang w:eastAsia="ja-JP"/>
              </w:rPr>
              <w:br/>
            </w:r>
            <w:r w:rsidRPr="00110A7A">
              <w:rPr>
                <w:sz w:val="18"/>
                <w:lang w:eastAsia="ja-JP"/>
              </w:rPr>
              <w:t>58% (Prevalence ≥10%)*</w:t>
            </w:r>
          </w:p>
        </w:tc>
        <w:tc>
          <w:tcPr>
            <w:tcW w:w="1701" w:type="dxa"/>
            <w:tcBorders>
              <w:top w:val="single" w:sz="4" w:space="0" w:color="auto"/>
              <w:left w:val="nil"/>
              <w:bottom w:val="single" w:sz="4" w:space="0" w:color="auto"/>
              <w:right w:val="nil"/>
            </w:tcBorders>
            <w:shd w:val="clear" w:color="auto" w:fill="F2F2F2" w:themeFill="background1" w:themeFillShade="F2"/>
          </w:tcPr>
          <w:p w:rsidR="0025490C" w:rsidRPr="00110A7A" w:rsidRDefault="0025490C" w:rsidP="00110A7A">
            <w:pPr>
              <w:pStyle w:val="TableText"/>
              <w:jc w:val="center"/>
              <w:rPr>
                <w:sz w:val="18"/>
                <w:lang w:eastAsia="ja-JP"/>
              </w:rPr>
            </w:pPr>
            <w:r w:rsidRPr="00110A7A">
              <w:rPr>
                <w:sz w:val="18"/>
                <w:lang w:eastAsia="ja-JP"/>
              </w:rPr>
              <w:t>99%</w:t>
            </w:r>
          </w:p>
        </w:tc>
        <w:tc>
          <w:tcPr>
            <w:tcW w:w="1276" w:type="dxa"/>
            <w:tcBorders>
              <w:top w:val="single" w:sz="4" w:space="0" w:color="auto"/>
              <w:left w:val="nil"/>
              <w:bottom w:val="single" w:sz="4" w:space="0" w:color="auto"/>
            </w:tcBorders>
            <w:shd w:val="clear" w:color="auto" w:fill="F2F2F2" w:themeFill="background1" w:themeFillShade="F2"/>
          </w:tcPr>
          <w:p w:rsidR="0025490C" w:rsidRPr="00110A7A" w:rsidRDefault="0025490C" w:rsidP="00110A7A">
            <w:pPr>
              <w:pStyle w:val="TableText"/>
              <w:jc w:val="center"/>
              <w:rPr>
                <w:sz w:val="18"/>
                <w:lang w:eastAsia="ja-JP"/>
              </w:rPr>
            </w:pPr>
            <w:r w:rsidRPr="00110A7A">
              <w:rPr>
                <w:sz w:val="18"/>
                <w:lang w:eastAsia="ja-JP"/>
              </w:rPr>
              <w:t>3</w:t>
            </w:r>
          </w:p>
        </w:tc>
      </w:tr>
    </w:tbl>
    <w:p w:rsidR="0025490C" w:rsidRPr="00E07B1B" w:rsidRDefault="0025490C" w:rsidP="00110A7A">
      <w:pPr>
        <w:pStyle w:val="Note"/>
        <w:rPr>
          <w:lang w:eastAsia="ja-JP"/>
        </w:rPr>
      </w:pPr>
      <w:r>
        <w:rPr>
          <w:lang w:eastAsia="ja-JP"/>
        </w:rPr>
        <w:t xml:space="preserve">Note: </w:t>
      </w:r>
      <w:r w:rsidRPr="00E07B1B">
        <w:rPr>
          <w:lang w:eastAsia="ja-JP"/>
        </w:rPr>
        <w:t>* one study</w:t>
      </w:r>
    </w:p>
    <w:p w:rsidR="0025490C" w:rsidRPr="00E07B1B" w:rsidRDefault="0025490C" w:rsidP="00110A7A">
      <w:pPr>
        <w:pStyle w:val="Source"/>
        <w:ind w:left="0" w:firstLine="0"/>
        <w:rPr>
          <w:lang w:eastAsia="ja-JP"/>
        </w:rPr>
      </w:pPr>
      <w:r>
        <w:rPr>
          <w:lang w:eastAsia="ja-JP"/>
        </w:rPr>
        <w:t xml:space="preserve">Source: </w:t>
      </w:r>
      <w:r w:rsidRPr="00E07B1B">
        <w:rPr>
          <w:lang w:eastAsia="ja-JP"/>
        </w:rPr>
        <w:t xml:space="preserve">Reproduced from </w:t>
      </w:r>
      <w:r w:rsidRPr="00E07B1B">
        <w:t xml:space="preserve">Hartling L, Dryden DM, Guthrie A, Muise M, Vandermeer B, Aktary WM, Donovan L. 2012. </w:t>
      </w:r>
      <w:r w:rsidRPr="00E07B1B">
        <w:rPr>
          <w:i/>
        </w:rPr>
        <w:t xml:space="preserve">Screening and diagnosing Gestational Diabetes Mellitus. </w:t>
      </w:r>
      <w:r w:rsidRPr="008534D8">
        <w:t>Evidence Report/Technology Assessment number 210 (Prepared by the University of Alberta Evidence-Based practice Center under contract No 290-2007-10021I</w:t>
      </w:r>
      <w:r>
        <w:t>)</w:t>
      </w:r>
      <w:r w:rsidRPr="00DB2285">
        <w:t xml:space="preserve">. </w:t>
      </w:r>
      <w:r w:rsidRPr="00E07B1B">
        <w:t xml:space="preserve">Rockville MD: AHRQ </w:t>
      </w:r>
      <w:r w:rsidRPr="00E07B1B">
        <w:rPr>
          <w:lang w:eastAsia="ja-JP"/>
        </w:rPr>
        <w:t>with permission of the Agency for Healthcare Research and Quality</w:t>
      </w:r>
      <w:r>
        <w:rPr>
          <w:lang w:eastAsia="ja-JP"/>
        </w:rPr>
        <w:t>.</w:t>
      </w:r>
    </w:p>
    <w:p w:rsidR="0025490C" w:rsidRDefault="0025490C" w:rsidP="00110A7A">
      <w:pPr>
        <w:rPr>
          <w:lang w:eastAsia="ja-JP"/>
        </w:rPr>
      </w:pPr>
    </w:p>
    <w:p w:rsidR="0025490C" w:rsidRPr="00E07B1B" w:rsidRDefault="0025490C" w:rsidP="00110A7A">
      <w:pPr>
        <w:pStyle w:val="Figure"/>
        <w:rPr>
          <w:lang w:eastAsia="ja-JP"/>
        </w:rPr>
      </w:pPr>
      <w:bookmarkStart w:id="500" w:name="_Toc363717806"/>
      <w:bookmarkStart w:id="501" w:name="_Toc403636051"/>
      <w:r w:rsidRPr="00E07B1B">
        <w:rPr>
          <w:lang w:eastAsia="ja-JP"/>
        </w:rPr>
        <w:t xml:space="preserve">Figure </w:t>
      </w:r>
      <w:r w:rsidR="009E3907">
        <w:rPr>
          <w:lang w:eastAsia="ja-JP"/>
        </w:rPr>
        <w:t>8</w:t>
      </w:r>
      <w:r w:rsidR="00110A7A">
        <w:rPr>
          <w:lang w:eastAsia="ja-JP"/>
        </w:rPr>
        <w:t>:</w:t>
      </w:r>
      <w:r w:rsidRPr="00E07B1B">
        <w:rPr>
          <w:lang w:eastAsia="ja-JP"/>
        </w:rPr>
        <w:t xml:space="preserve"> Forest plot of sensitivity and specificity: fasting plasma glucose by Carpenter and Coustan/American Diabetes Association</w:t>
      </w:r>
      <w:r w:rsidR="00110A7A">
        <w:rPr>
          <w:lang w:eastAsia="ja-JP"/>
        </w:rPr>
        <w:br/>
      </w:r>
      <w:r w:rsidRPr="00E07B1B">
        <w:rPr>
          <w:lang w:eastAsia="ja-JP"/>
        </w:rPr>
        <w:t>(2000–2010) criteria</w:t>
      </w:r>
      <w:bookmarkEnd w:id="500"/>
      <w:bookmarkEnd w:id="501"/>
    </w:p>
    <w:p w:rsidR="0025490C" w:rsidRDefault="0025490C" w:rsidP="0025490C">
      <w:pPr>
        <w:autoSpaceDE w:val="0"/>
        <w:autoSpaceDN w:val="0"/>
        <w:adjustRightInd w:val="0"/>
        <w:rPr>
          <w:rFonts w:cs="Arial"/>
          <w:szCs w:val="24"/>
          <w:lang w:eastAsia="ja-JP"/>
        </w:rPr>
      </w:pPr>
      <w:r>
        <w:rPr>
          <w:rFonts w:cs="Arial"/>
          <w:noProof/>
          <w:szCs w:val="24"/>
          <w:lang w:eastAsia="en-NZ"/>
        </w:rPr>
        <w:drawing>
          <wp:inline distT="0" distB="0" distL="0" distR="0" wp14:anchorId="79D3E1E2" wp14:editId="508D8F8A">
            <wp:extent cx="4405746" cy="3540490"/>
            <wp:effectExtent l="0" t="0" r="0" b="3175"/>
            <wp:docPr id="11" name="Picture 3" descr="Figure 8: Forest plot of sensitivity and specificity: fasting plasma glucose by Carpenter and Coustan/American Diabetes Association&#10;(2000–2010) criteria&#10;" title="Figure 8: Forest plot of sensitivity and specificity: fasting plasma glucose by Carpenter and Coustan/American Diabete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11060" cy="3544761"/>
                    </a:xfrm>
                    <a:prstGeom prst="rect">
                      <a:avLst/>
                    </a:prstGeom>
                    <a:noFill/>
                    <a:ln>
                      <a:noFill/>
                    </a:ln>
                  </pic:spPr>
                </pic:pic>
              </a:graphicData>
            </a:graphic>
          </wp:inline>
        </w:drawing>
      </w:r>
    </w:p>
    <w:p w:rsidR="00DE42C6" w:rsidRPr="00E07B1B" w:rsidRDefault="00DE42C6" w:rsidP="00DE42C6">
      <w:pPr>
        <w:rPr>
          <w:lang w:eastAsia="ja-JP"/>
        </w:rPr>
      </w:pPr>
    </w:p>
    <w:tbl>
      <w:tblPr>
        <w:tblW w:w="4973" w:type="pct"/>
        <w:tblInd w:w="57" w:type="dxa"/>
        <w:tblBorders>
          <w:top w:val="single" w:sz="4" w:space="0" w:color="auto"/>
          <w:bottom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7512"/>
        <w:gridCol w:w="2362"/>
        <w:gridCol w:w="2362"/>
        <w:gridCol w:w="2365"/>
      </w:tblGrid>
      <w:tr w:rsidR="00DE42C6" w:rsidRPr="00DE42C6" w:rsidTr="00DE42C6">
        <w:trPr>
          <w:cantSplit/>
        </w:trPr>
        <w:tc>
          <w:tcPr>
            <w:tcW w:w="2572" w:type="pct"/>
            <w:tcBorders>
              <w:bottom w:val="single" w:sz="4" w:space="0" w:color="auto"/>
            </w:tcBorders>
            <w:shd w:val="clear" w:color="auto" w:fill="auto"/>
          </w:tcPr>
          <w:p w:rsidR="0025490C" w:rsidRPr="00DE42C6" w:rsidRDefault="0025490C" w:rsidP="00DE42C6">
            <w:pPr>
              <w:pStyle w:val="TableText"/>
              <w:rPr>
                <w:b/>
                <w:lang w:eastAsia="ja-JP"/>
              </w:rPr>
            </w:pPr>
            <w:r w:rsidRPr="00DE42C6">
              <w:rPr>
                <w:b/>
                <w:lang w:eastAsia="ja-JP"/>
              </w:rPr>
              <w:t>Fasting plasma glucose</w:t>
            </w:r>
            <w:r w:rsidR="00DE42C6">
              <w:rPr>
                <w:b/>
                <w:lang w:eastAsia="ja-JP"/>
              </w:rPr>
              <w:br/>
            </w:r>
            <w:r w:rsidRPr="00DE42C6">
              <w:rPr>
                <w:b/>
                <w:lang w:eastAsia="ja-JP"/>
              </w:rPr>
              <w:t>(Carpenter and Coustan and American Diabetes Association criteria)</w:t>
            </w:r>
          </w:p>
        </w:tc>
        <w:tc>
          <w:tcPr>
            <w:tcW w:w="809" w:type="pct"/>
            <w:tcBorders>
              <w:bottom w:val="single" w:sz="4" w:space="0" w:color="auto"/>
            </w:tcBorders>
            <w:shd w:val="clear" w:color="auto" w:fill="auto"/>
          </w:tcPr>
          <w:p w:rsidR="0025490C" w:rsidRPr="00DE42C6" w:rsidRDefault="0025490C" w:rsidP="00DE42C6">
            <w:pPr>
              <w:pStyle w:val="TableText"/>
              <w:jc w:val="center"/>
              <w:rPr>
                <w:b/>
                <w:lang w:eastAsia="ja-JP"/>
              </w:rPr>
            </w:pPr>
            <w:r w:rsidRPr="00DE42C6">
              <w:rPr>
                <w:b/>
                <w:lang w:eastAsia="ja-JP"/>
              </w:rPr>
              <w:t>Sensitivity</w:t>
            </w:r>
          </w:p>
        </w:tc>
        <w:tc>
          <w:tcPr>
            <w:tcW w:w="809" w:type="pct"/>
            <w:tcBorders>
              <w:bottom w:val="single" w:sz="4" w:space="0" w:color="auto"/>
            </w:tcBorders>
            <w:shd w:val="clear" w:color="auto" w:fill="auto"/>
          </w:tcPr>
          <w:p w:rsidR="0025490C" w:rsidRPr="00DE42C6" w:rsidRDefault="0025490C" w:rsidP="00DE42C6">
            <w:pPr>
              <w:pStyle w:val="TableText"/>
              <w:jc w:val="center"/>
              <w:rPr>
                <w:b/>
                <w:lang w:eastAsia="ja-JP"/>
              </w:rPr>
            </w:pPr>
            <w:r w:rsidRPr="00DE42C6">
              <w:rPr>
                <w:b/>
                <w:lang w:eastAsia="ja-JP"/>
              </w:rPr>
              <w:t>Specificity</w:t>
            </w:r>
          </w:p>
        </w:tc>
        <w:tc>
          <w:tcPr>
            <w:tcW w:w="810" w:type="pct"/>
            <w:tcBorders>
              <w:bottom w:val="single" w:sz="4" w:space="0" w:color="auto"/>
            </w:tcBorders>
            <w:shd w:val="clear" w:color="auto" w:fill="auto"/>
          </w:tcPr>
          <w:p w:rsidR="0025490C" w:rsidRPr="00DE42C6" w:rsidRDefault="0025490C" w:rsidP="00DE42C6">
            <w:pPr>
              <w:pStyle w:val="TableText"/>
              <w:jc w:val="center"/>
              <w:rPr>
                <w:b/>
                <w:lang w:eastAsia="ja-JP"/>
              </w:rPr>
            </w:pPr>
            <w:r w:rsidRPr="00DE42C6">
              <w:rPr>
                <w:b/>
                <w:lang w:eastAsia="ja-JP"/>
              </w:rPr>
              <w:t>Number of studies</w:t>
            </w:r>
          </w:p>
        </w:tc>
      </w:tr>
      <w:tr w:rsidR="00DE42C6" w:rsidRPr="007463C6" w:rsidTr="00DE42C6">
        <w:trPr>
          <w:cantSplit/>
        </w:trPr>
        <w:tc>
          <w:tcPr>
            <w:tcW w:w="2572" w:type="pct"/>
            <w:tcBorders>
              <w:bottom w:val="nil"/>
            </w:tcBorders>
            <w:shd w:val="clear" w:color="auto" w:fill="F2F2F2" w:themeFill="background1" w:themeFillShade="F2"/>
          </w:tcPr>
          <w:p w:rsidR="0025490C" w:rsidRPr="007463C6" w:rsidRDefault="0025490C" w:rsidP="00DE42C6">
            <w:pPr>
              <w:pStyle w:val="TableText"/>
              <w:rPr>
                <w:lang w:eastAsia="ja-JP"/>
              </w:rPr>
            </w:pPr>
            <w:r w:rsidRPr="007463C6">
              <w:rPr>
                <w:lang w:eastAsia="ja-JP"/>
              </w:rPr>
              <w:t>Threshold ≥</w:t>
            </w:r>
            <w:r>
              <w:rPr>
                <w:lang w:eastAsia="ja-JP"/>
              </w:rPr>
              <w:t xml:space="preserve"> </w:t>
            </w:r>
            <w:r w:rsidRPr="007463C6">
              <w:rPr>
                <w:lang w:eastAsia="ja-JP"/>
              </w:rPr>
              <w:t>4.7 mmol/L</w:t>
            </w:r>
          </w:p>
        </w:tc>
        <w:tc>
          <w:tcPr>
            <w:tcW w:w="809" w:type="pct"/>
            <w:tcBorders>
              <w:bottom w:val="nil"/>
            </w:tcBorders>
            <w:shd w:val="clear" w:color="auto" w:fill="F2F2F2" w:themeFill="background1" w:themeFillShade="F2"/>
          </w:tcPr>
          <w:p w:rsidR="0025490C" w:rsidRPr="007463C6" w:rsidRDefault="0025490C" w:rsidP="00DE42C6">
            <w:pPr>
              <w:pStyle w:val="TableText"/>
              <w:jc w:val="center"/>
              <w:rPr>
                <w:lang w:eastAsia="ja-JP"/>
              </w:rPr>
            </w:pPr>
            <w:r w:rsidRPr="007463C6">
              <w:rPr>
                <w:lang w:eastAsia="ja-JP"/>
              </w:rPr>
              <w:t>87%</w:t>
            </w:r>
          </w:p>
        </w:tc>
        <w:tc>
          <w:tcPr>
            <w:tcW w:w="809" w:type="pct"/>
            <w:tcBorders>
              <w:bottom w:val="nil"/>
            </w:tcBorders>
            <w:shd w:val="clear" w:color="auto" w:fill="F2F2F2" w:themeFill="background1" w:themeFillShade="F2"/>
          </w:tcPr>
          <w:p w:rsidR="0025490C" w:rsidRPr="007463C6" w:rsidRDefault="0025490C" w:rsidP="00DE42C6">
            <w:pPr>
              <w:pStyle w:val="TableText"/>
              <w:jc w:val="center"/>
              <w:rPr>
                <w:lang w:eastAsia="ja-JP"/>
              </w:rPr>
            </w:pPr>
            <w:r w:rsidRPr="007463C6">
              <w:rPr>
                <w:lang w:eastAsia="ja-JP"/>
              </w:rPr>
              <w:t>52%</w:t>
            </w:r>
          </w:p>
        </w:tc>
        <w:tc>
          <w:tcPr>
            <w:tcW w:w="810" w:type="pct"/>
            <w:tcBorders>
              <w:bottom w:val="nil"/>
            </w:tcBorders>
            <w:shd w:val="clear" w:color="auto" w:fill="F2F2F2" w:themeFill="background1" w:themeFillShade="F2"/>
          </w:tcPr>
          <w:p w:rsidR="0025490C" w:rsidRPr="007463C6" w:rsidRDefault="0025490C" w:rsidP="00DE42C6">
            <w:pPr>
              <w:pStyle w:val="TableText"/>
              <w:jc w:val="center"/>
              <w:rPr>
                <w:lang w:eastAsia="ja-JP"/>
              </w:rPr>
            </w:pPr>
            <w:r w:rsidRPr="007463C6">
              <w:rPr>
                <w:lang w:eastAsia="ja-JP"/>
              </w:rPr>
              <w:t>5</w:t>
            </w:r>
          </w:p>
        </w:tc>
      </w:tr>
      <w:tr w:rsidR="00DE42C6" w:rsidRPr="007463C6" w:rsidTr="00DE42C6">
        <w:trPr>
          <w:cantSplit/>
        </w:trPr>
        <w:tc>
          <w:tcPr>
            <w:tcW w:w="2572" w:type="pct"/>
            <w:tcBorders>
              <w:top w:val="nil"/>
              <w:bottom w:val="nil"/>
            </w:tcBorders>
            <w:shd w:val="clear" w:color="auto" w:fill="auto"/>
          </w:tcPr>
          <w:p w:rsidR="0025490C" w:rsidRPr="007463C6" w:rsidRDefault="0025490C" w:rsidP="00DE42C6">
            <w:pPr>
              <w:pStyle w:val="TableText"/>
              <w:rPr>
                <w:lang w:eastAsia="ja-JP"/>
              </w:rPr>
            </w:pPr>
            <w:r w:rsidRPr="007463C6">
              <w:rPr>
                <w:lang w:eastAsia="ja-JP"/>
              </w:rPr>
              <w:t>Threshold ≥</w:t>
            </w:r>
            <w:r>
              <w:rPr>
                <w:lang w:eastAsia="ja-JP"/>
              </w:rPr>
              <w:t xml:space="preserve"> </w:t>
            </w:r>
            <w:r w:rsidRPr="007463C6">
              <w:rPr>
                <w:lang w:eastAsia="ja-JP"/>
              </w:rPr>
              <w:t>5.0 mmol/L</w:t>
            </w:r>
          </w:p>
        </w:tc>
        <w:tc>
          <w:tcPr>
            <w:tcW w:w="809" w:type="pct"/>
            <w:tcBorders>
              <w:top w:val="nil"/>
              <w:bottom w:val="nil"/>
            </w:tcBorders>
            <w:shd w:val="clear" w:color="auto" w:fill="auto"/>
          </w:tcPr>
          <w:p w:rsidR="0025490C" w:rsidRPr="007463C6" w:rsidRDefault="0025490C" w:rsidP="00DE42C6">
            <w:pPr>
              <w:pStyle w:val="TableText"/>
              <w:jc w:val="center"/>
              <w:rPr>
                <w:lang w:eastAsia="ja-JP"/>
              </w:rPr>
            </w:pPr>
            <w:r w:rsidRPr="007463C6">
              <w:rPr>
                <w:lang w:eastAsia="ja-JP"/>
              </w:rPr>
              <w:t>77%</w:t>
            </w:r>
          </w:p>
        </w:tc>
        <w:tc>
          <w:tcPr>
            <w:tcW w:w="809" w:type="pct"/>
            <w:tcBorders>
              <w:top w:val="nil"/>
              <w:bottom w:val="nil"/>
            </w:tcBorders>
            <w:shd w:val="clear" w:color="auto" w:fill="auto"/>
          </w:tcPr>
          <w:p w:rsidR="0025490C" w:rsidRPr="007463C6" w:rsidRDefault="0025490C" w:rsidP="00DE42C6">
            <w:pPr>
              <w:pStyle w:val="TableText"/>
              <w:jc w:val="center"/>
              <w:rPr>
                <w:lang w:eastAsia="ja-JP"/>
              </w:rPr>
            </w:pPr>
            <w:r w:rsidRPr="007463C6">
              <w:rPr>
                <w:lang w:eastAsia="ja-JP"/>
              </w:rPr>
              <w:t>76%</w:t>
            </w:r>
          </w:p>
        </w:tc>
        <w:tc>
          <w:tcPr>
            <w:tcW w:w="810" w:type="pct"/>
            <w:tcBorders>
              <w:top w:val="nil"/>
              <w:bottom w:val="nil"/>
            </w:tcBorders>
            <w:shd w:val="clear" w:color="auto" w:fill="auto"/>
          </w:tcPr>
          <w:p w:rsidR="0025490C" w:rsidRPr="007463C6" w:rsidRDefault="0025490C" w:rsidP="00DE42C6">
            <w:pPr>
              <w:pStyle w:val="TableText"/>
              <w:jc w:val="center"/>
              <w:rPr>
                <w:lang w:eastAsia="ja-JP"/>
              </w:rPr>
            </w:pPr>
            <w:r w:rsidRPr="007463C6">
              <w:rPr>
                <w:lang w:eastAsia="ja-JP"/>
              </w:rPr>
              <w:t>5</w:t>
            </w:r>
          </w:p>
        </w:tc>
      </w:tr>
      <w:tr w:rsidR="00DE42C6" w:rsidRPr="007463C6" w:rsidTr="00DE42C6">
        <w:trPr>
          <w:cantSplit/>
        </w:trPr>
        <w:tc>
          <w:tcPr>
            <w:tcW w:w="2572" w:type="pct"/>
            <w:tcBorders>
              <w:top w:val="nil"/>
              <w:bottom w:val="nil"/>
            </w:tcBorders>
            <w:shd w:val="clear" w:color="auto" w:fill="F2F2F2" w:themeFill="background1" w:themeFillShade="F2"/>
          </w:tcPr>
          <w:p w:rsidR="0025490C" w:rsidRPr="007463C6" w:rsidRDefault="0025490C" w:rsidP="00DE42C6">
            <w:pPr>
              <w:pStyle w:val="TableText"/>
              <w:rPr>
                <w:lang w:eastAsia="ja-JP"/>
              </w:rPr>
            </w:pPr>
            <w:r w:rsidRPr="007463C6">
              <w:rPr>
                <w:lang w:eastAsia="ja-JP"/>
              </w:rPr>
              <w:t>Threshold ≥</w:t>
            </w:r>
            <w:r>
              <w:rPr>
                <w:lang w:eastAsia="ja-JP"/>
              </w:rPr>
              <w:t xml:space="preserve"> </w:t>
            </w:r>
            <w:r w:rsidRPr="007463C6">
              <w:rPr>
                <w:lang w:eastAsia="ja-JP"/>
              </w:rPr>
              <w:t>5.1 mmol/L</w:t>
            </w:r>
          </w:p>
        </w:tc>
        <w:tc>
          <w:tcPr>
            <w:tcW w:w="809" w:type="pct"/>
            <w:tcBorders>
              <w:top w:val="nil"/>
              <w:bottom w:val="nil"/>
            </w:tcBorders>
            <w:shd w:val="clear" w:color="auto" w:fill="F2F2F2" w:themeFill="background1" w:themeFillShade="F2"/>
          </w:tcPr>
          <w:p w:rsidR="0025490C" w:rsidRPr="007463C6" w:rsidRDefault="0025490C" w:rsidP="00DE42C6">
            <w:pPr>
              <w:pStyle w:val="TableText"/>
              <w:jc w:val="center"/>
              <w:rPr>
                <w:lang w:eastAsia="ja-JP"/>
              </w:rPr>
            </w:pPr>
            <w:r w:rsidRPr="007463C6">
              <w:rPr>
                <w:lang w:eastAsia="ja-JP"/>
              </w:rPr>
              <w:t>76%</w:t>
            </w:r>
          </w:p>
        </w:tc>
        <w:tc>
          <w:tcPr>
            <w:tcW w:w="809" w:type="pct"/>
            <w:tcBorders>
              <w:top w:val="nil"/>
              <w:bottom w:val="nil"/>
            </w:tcBorders>
            <w:shd w:val="clear" w:color="auto" w:fill="F2F2F2" w:themeFill="background1" w:themeFillShade="F2"/>
          </w:tcPr>
          <w:p w:rsidR="0025490C" w:rsidRPr="007463C6" w:rsidRDefault="0025490C" w:rsidP="00DE42C6">
            <w:pPr>
              <w:pStyle w:val="TableText"/>
              <w:jc w:val="center"/>
              <w:rPr>
                <w:lang w:eastAsia="ja-JP"/>
              </w:rPr>
            </w:pPr>
            <w:r w:rsidRPr="007463C6">
              <w:rPr>
                <w:lang w:eastAsia="ja-JP"/>
              </w:rPr>
              <w:t>92%</w:t>
            </w:r>
          </w:p>
        </w:tc>
        <w:tc>
          <w:tcPr>
            <w:tcW w:w="810" w:type="pct"/>
            <w:tcBorders>
              <w:top w:val="nil"/>
              <w:bottom w:val="nil"/>
            </w:tcBorders>
            <w:shd w:val="clear" w:color="auto" w:fill="F2F2F2" w:themeFill="background1" w:themeFillShade="F2"/>
          </w:tcPr>
          <w:p w:rsidR="0025490C" w:rsidRPr="007463C6" w:rsidRDefault="0025490C" w:rsidP="00DE42C6">
            <w:pPr>
              <w:pStyle w:val="TableText"/>
              <w:jc w:val="center"/>
              <w:rPr>
                <w:lang w:eastAsia="ja-JP"/>
              </w:rPr>
            </w:pPr>
            <w:r w:rsidRPr="007463C6">
              <w:rPr>
                <w:lang w:eastAsia="ja-JP"/>
              </w:rPr>
              <w:t>3</w:t>
            </w:r>
          </w:p>
        </w:tc>
      </w:tr>
      <w:tr w:rsidR="00DE42C6" w:rsidRPr="007463C6" w:rsidTr="00DE42C6">
        <w:trPr>
          <w:cantSplit/>
        </w:trPr>
        <w:tc>
          <w:tcPr>
            <w:tcW w:w="2572" w:type="pct"/>
            <w:tcBorders>
              <w:top w:val="nil"/>
            </w:tcBorders>
            <w:shd w:val="clear" w:color="auto" w:fill="auto"/>
          </w:tcPr>
          <w:p w:rsidR="0025490C" w:rsidRPr="007463C6" w:rsidRDefault="0025490C" w:rsidP="00DE42C6">
            <w:pPr>
              <w:pStyle w:val="TableText"/>
              <w:rPr>
                <w:lang w:eastAsia="ja-JP"/>
              </w:rPr>
            </w:pPr>
            <w:r w:rsidRPr="007463C6">
              <w:rPr>
                <w:lang w:eastAsia="ja-JP"/>
              </w:rPr>
              <w:t>Threshold ≥</w:t>
            </w:r>
            <w:r>
              <w:rPr>
                <w:lang w:eastAsia="ja-JP"/>
              </w:rPr>
              <w:t xml:space="preserve"> </w:t>
            </w:r>
            <w:r w:rsidRPr="007463C6">
              <w:rPr>
                <w:lang w:eastAsia="ja-JP"/>
              </w:rPr>
              <w:t>5.3 mmol/L</w:t>
            </w:r>
          </w:p>
        </w:tc>
        <w:tc>
          <w:tcPr>
            <w:tcW w:w="809" w:type="pct"/>
            <w:tcBorders>
              <w:top w:val="nil"/>
            </w:tcBorders>
            <w:shd w:val="clear" w:color="auto" w:fill="auto"/>
          </w:tcPr>
          <w:p w:rsidR="0025490C" w:rsidRPr="007463C6" w:rsidRDefault="0025490C" w:rsidP="00DE42C6">
            <w:pPr>
              <w:pStyle w:val="TableText"/>
              <w:jc w:val="center"/>
              <w:rPr>
                <w:lang w:eastAsia="ja-JP"/>
              </w:rPr>
            </w:pPr>
            <w:r w:rsidRPr="007463C6">
              <w:rPr>
                <w:lang w:eastAsia="ja-JP"/>
              </w:rPr>
              <w:t>54%</w:t>
            </w:r>
          </w:p>
        </w:tc>
        <w:tc>
          <w:tcPr>
            <w:tcW w:w="809" w:type="pct"/>
            <w:tcBorders>
              <w:top w:val="nil"/>
            </w:tcBorders>
            <w:shd w:val="clear" w:color="auto" w:fill="auto"/>
          </w:tcPr>
          <w:p w:rsidR="0025490C" w:rsidRPr="007463C6" w:rsidRDefault="0025490C" w:rsidP="00DE42C6">
            <w:pPr>
              <w:pStyle w:val="TableText"/>
              <w:jc w:val="center"/>
              <w:rPr>
                <w:lang w:eastAsia="ja-JP"/>
              </w:rPr>
            </w:pPr>
            <w:r w:rsidRPr="007463C6">
              <w:rPr>
                <w:lang w:eastAsia="ja-JP"/>
              </w:rPr>
              <w:t>93%</w:t>
            </w:r>
          </w:p>
        </w:tc>
        <w:tc>
          <w:tcPr>
            <w:tcW w:w="810" w:type="pct"/>
            <w:tcBorders>
              <w:top w:val="nil"/>
            </w:tcBorders>
            <w:shd w:val="clear" w:color="auto" w:fill="auto"/>
          </w:tcPr>
          <w:p w:rsidR="0025490C" w:rsidRPr="007463C6" w:rsidRDefault="0025490C" w:rsidP="00DE42C6">
            <w:pPr>
              <w:pStyle w:val="TableText"/>
              <w:jc w:val="center"/>
              <w:rPr>
                <w:lang w:eastAsia="ja-JP"/>
              </w:rPr>
            </w:pPr>
            <w:r w:rsidRPr="007463C6">
              <w:rPr>
                <w:lang w:eastAsia="ja-JP"/>
              </w:rPr>
              <w:t>5</w:t>
            </w:r>
          </w:p>
        </w:tc>
      </w:tr>
    </w:tbl>
    <w:p w:rsidR="0025490C" w:rsidRPr="00E07B1B" w:rsidRDefault="0025490C" w:rsidP="00110A7A">
      <w:pPr>
        <w:pStyle w:val="Source"/>
        <w:ind w:left="0" w:firstLine="0"/>
        <w:rPr>
          <w:lang w:eastAsia="ja-JP"/>
        </w:rPr>
      </w:pPr>
      <w:r>
        <w:rPr>
          <w:lang w:eastAsia="ja-JP"/>
        </w:rPr>
        <w:t>Source:</w:t>
      </w:r>
      <w:r w:rsidRPr="00E07B1B">
        <w:rPr>
          <w:lang w:eastAsia="ja-JP"/>
        </w:rPr>
        <w:t xml:space="preserve"> Reproduced from </w:t>
      </w:r>
      <w:r w:rsidRPr="00E07B1B">
        <w:t xml:space="preserve">Hartling L, Dryden DM, Guthrie A, Muise M, Vandermeer B, Aktary WM, Donovan L. 2012. </w:t>
      </w:r>
      <w:r w:rsidRPr="00E07B1B">
        <w:rPr>
          <w:i/>
        </w:rPr>
        <w:t xml:space="preserve">Screening and Diagnosing Gestational Diabetes Mellitus. </w:t>
      </w:r>
      <w:r w:rsidRPr="008534D8">
        <w:t>Evidence Report/Technology Assessment number 210 (Prepared by the University of Alberta Evidence-Based practice Center under contract No 290-2007-10021I</w:t>
      </w:r>
      <w:r>
        <w:t>)</w:t>
      </w:r>
      <w:r w:rsidRPr="007463C6">
        <w:t xml:space="preserve">. </w:t>
      </w:r>
      <w:r w:rsidRPr="00E07B1B">
        <w:t xml:space="preserve">Rockville MD: AHRQ </w:t>
      </w:r>
      <w:r w:rsidRPr="00E07B1B">
        <w:rPr>
          <w:lang w:eastAsia="ja-JP"/>
        </w:rPr>
        <w:t>with permission of the Agency for Healthcare Research and Quality</w:t>
      </w:r>
      <w:r>
        <w:rPr>
          <w:lang w:eastAsia="ja-JP"/>
        </w:rPr>
        <w:t>.</w:t>
      </w:r>
    </w:p>
    <w:p w:rsidR="0025490C" w:rsidRDefault="0025490C" w:rsidP="00C82FCE">
      <w:pPr>
        <w:pStyle w:val="Figure"/>
        <w:spacing w:before="360"/>
        <w:rPr>
          <w:lang w:eastAsia="ja-JP"/>
        </w:rPr>
      </w:pPr>
      <w:bookmarkStart w:id="502" w:name="_Toc363717807"/>
      <w:bookmarkStart w:id="503" w:name="_Toc403636052"/>
      <w:r w:rsidRPr="00E07B1B">
        <w:rPr>
          <w:lang w:eastAsia="ja-JP"/>
        </w:rPr>
        <w:t xml:space="preserve">Figure </w:t>
      </w:r>
      <w:r w:rsidR="009E3907">
        <w:rPr>
          <w:lang w:eastAsia="ja-JP"/>
        </w:rPr>
        <w:t>9</w:t>
      </w:r>
      <w:r w:rsidR="00110A7A">
        <w:rPr>
          <w:lang w:eastAsia="ja-JP"/>
        </w:rPr>
        <w:t>:</w:t>
      </w:r>
      <w:r w:rsidRPr="00E07B1B">
        <w:rPr>
          <w:lang w:eastAsia="ja-JP"/>
        </w:rPr>
        <w:t xml:space="preserve"> Other screening criteria used to diagnose gestational diabetes</w:t>
      </w:r>
      <w:bookmarkEnd w:id="502"/>
      <w:bookmarkEnd w:id="503"/>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642"/>
        <w:gridCol w:w="3036"/>
        <w:gridCol w:w="1417"/>
        <w:gridCol w:w="1418"/>
        <w:gridCol w:w="1417"/>
        <w:gridCol w:w="1418"/>
        <w:gridCol w:w="1417"/>
        <w:gridCol w:w="1418"/>
        <w:gridCol w:w="1418"/>
      </w:tblGrid>
      <w:tr w:rsidR="00072E9B" w:rsidRPr="0047787A" w:rsidTr="00072E9B">
        <w:trPr>
          <w:cantSplit/>
        </w:trPr>
        <w:tc>
          <w:tcPr>
            <w:tcW w:w="1642" w:type="dxa"/>
            <w:tcBorders>
              <w:top w:val="single" w:sz="4" w:space="0" w:color="auto"/>
              <w:bottom w:val="single" w:sz="4" w:space="0" w:color="auto"/>
            </w:tcBorders>
          </w:tcPr>
          <w:p w:rsidR="0047787A" w:rsidRPr="0047787A" w:rsidRDefault="0047787A" w:rsidP="0047787A">
            <w:pPr>
              <w:pStyle w:val="TableText"/>
              <w:rPr>
                <w:b/>
                <w:lang w:eastAsia="ja-JP"/>
              </w:rPr>
            </w:pPr>
            <w:r>
              <w:rPr>
                <w:b/>
                <w:lang w:eastAsia="ja-JP"/>
              </w:rPr>
              <w:t>Criteria</w:t>
            </w:r>
          </w:p>
        </w:tc>
        <w:tc>
          <w:tcPr>
            <w:tcW w:w="3036" w:type="dxa"/>
            <w:tcBorders>
              <w:top w:val="single" w:sz="4" w:space="0" w:color="auto"/>
              <w:bottom w:val="single" w:sz="4" w:space="0" w:color="auto"/>
            </w:tcBorders>
          </w:tcPr>
          <w:p w:rsidR="0047787A" w:rsidRPr="0047787A" w:rsidRDefault="0047787A" w:rsidP="001A286C">
            <w:pPr>
              <w:pStyle w:val="TableText"/>
              <w:rPr>
                <w:b/>
                <w:lang w:eastAsia="ja-JP"/>
              </w:rPr>
            </w:pPr>
            <w:r>
              <w:rPr>
                <w:b/>
                <w:lang w:eastAsia="ja-JP"/>
              </w:rPr>
              <w:t xml:space="preserve">Author, </w:t>
            </w:r>
            <w:r w:rsidR="001A286C">
              <w:rPr>
                <w:b/>
                <w:lang w:eastAsia="ja-JP"/>
              </w:rPr>
              <w:t>y</w:t>
            </w:r>
            <w:r>
              <w:rPr>
                <w:b/>
                <w:lang w:eastAsia="ja-JP"/>
              </w:rPr>
              <w:t xml:space="preserve">ear, </w:t>
            </w:r>
            <w:r w:rsidR="001A286C">
              <w:rPr>
                <w:b/>
                <w:lang w:eastAsia="ja-JP"/>
              </w:rPr>
              <w:t>c</w:t>
            </w:r>
            <w:r>
              <w:rPr>
                <w:b/>
                <w:lang w:eastAsia="ja-JP"/>
              </w:rPr>
              <w:t>ountry</w:t>
            </w:r>
          </w:p>
        </w:tc>
        <w:tc>
          <w:tcPr>
            <w:tcW w:w="1417" w:type="dxa"/>
            <w:tcBorders>
              <w:top w:val="single" w:sz="4" w:space="0" w:color="auto"/>
              <w:bottom w:val="single" w:sz="4" w:space="0" w:color="auto"/>
            </w:tcBorders>
          </w:tcPr>
          <w:p w:rsidR="0047787A" w:rsidRPr="0047787A" w:rsidRDefault="0047787A" w:rsidP="0047787A">
            <w:pPr>
              <w:pStyle w:val="TableText"/>
              <w:jc w:val="center"/>
              <w:rPr>
                <w:b/>
                <w:lang w:eastAsia="ja-JP"/>
              </w:rPr>
            </w:pPr>
            <w:r>
              <w:rPr>
                <w:b/>
                <w:lang w:eastAsia="ja-JP"/>
              </w:rPr>
              <w:t>N*</w:t>
            </w:r>
          </w:p>
        </w:tc>
        <w:tc>
          <w:tcPr>
            <w:tcW w:w="1418" w:type="dxa"/>
            <w:tcBorders>
              <w:top w:val="single" w:sz="4" w:space="0" w:color="auto"/>
              <w:bottom w:val="single" w:sz="4" w:space="0" w:color="auto"/>
            </w:tcBorders>
          </w:tcPr>
          <w:p w:rsidR="0047787A" w:rsidRPr="0047787A" w:rsidRDefault="0047787A" w:rsidP="0047787A">
            <w:pPr>
              <w:pStyle w:val="TableText"/>
              <w:jc w:val="center"/>
              <w:rPr>
                <w:b/>
                <w:lang w:eastAsia="ja-JP"/>
              </w:rPr>
            </w:pPr>
            <w:r>
              <w:rPr>
                <w:b/>
                <w:lang w:eastAsia="ja-JP"/>
              </w:rPr>
              <w:t>Prevalence</w:t>
            </w:r>
            <w:r>
              <w:rPr>
                <w:b/>
                <w:lang w:eastAsia="ja-JP"/>
              </w:rPr>
              <w:br/>
              <w:t>(%)</w:t>
            </w:r>
          </w:p>
        </w:tc>
        <w:tc>
          <w:tcPr>
            <w:tcW w:w="1417" w:type="dxa"/>
            <w:tcBorders>
              <w:top w:val="single" w:sz="4" w:space="0" w:color="auto"/>
              <w:bottom w:val="single" w:sz="4" w:space="0" w:color="auto"/>
            </w:tcBorders>
          </w:tcPr>
          <w:p w:rsidR="0047787A" w:rsidRPr="0047787A" w:rsidRDefault="0047787A" w:rsidP="0047787A">
            <w:pPr>
              <w:pStyle w:val="TableText"/>
              <w:jc w:val="center"/>
              <w:rPr>
                <w:b/>
                <w:lang w:eastAsia="ja-JP"/>
              </w:rPr>
            </w:pPr>
            <w:r>
              <w:rPr>
                <w:b/>
                <w:lang w:eastAsia="ja-JP"/>
              </w:rPr>
              <w:t>Sn (%)</w:t>
            </w:r>
            <w:r>
              <w:rPr>
                <w:b/>
                <w:lang w:eastAsia="ja-JP"/>
              </w:rPr>
              <w:br/>
              <w:t>(95% CI)</w:t>
            </w:r>
          </w:p>
        </w:tc>
        <w:tc>
          <w:tcPr>
            <w:tcW w:w="1418" w:type="dxa"/>
            <w:tcBorders>
              <w:top w:val="single" w:sz="4" w:space="0" w:color="auto"/>
              <w:bottom w:val="single" w:sz="4" w:space="0" w:color="auto"/>
            </w:tcBorders>
          </w:tcPr>
          <w:p w:rsidR="0047787A" w:rsidRPr="0047787A" w:rsidRDefault="0047787A" w:rsidP="0047787A">
            <w:pPr>
              <w:pStyle w:val="TableText"/>
              <w:jc w:val="center"/>
              <w:rPr>
                <w:b/>
                <w:lang w:eastAsia="ja-JP"/>
              </w:rPr>
            </w:pPr>
            <w:r>
              <w:rPr>
                <w:b/>
                <w:lang w:eastAsia="ja-JP"/>
              </w:rPr>
              <w:t>Sp (%)</w:t>
            </w:r>
            <w:r>
              <w:rPr>
                <w:b/>
                <w:lang w:eastAsia="ja-JP"/>
              </w:rPr>
              <w:br/>
              <w:t>(95% CI)</w:t>
            </w:r>
          </w:p>
        </w:tc>
        <w:tc>
          <w:tcPr>
            <w:tcW w:w="1417" w:type="dxa"/>
            <w:tcBorders>
              <w:top w:val="single" w:sz="4" w:space="0" w:color="auto"/>
              <w:bottom w:val="single" w:sz="4" w:space="0" w:color="auto"/>
            </w:tcBorders>
          </w:tcPr>
          <w:p w:rsidR="0047787A" w:rsidRPr="0047787A" w:rsidRDefault="0047787A" w:rsidP="0047787A">
            <w:pPr>
              <w:pStyle w:val="TableText"/>
              <w:jc w:val="center"/>
              <w:rPr>
                <w:b/>
                <w:lang w:eastAsia="ja-JP"/>
              </w:rPr>
            </w:pPr>
            <w:r>
              <w:rPr>
                <w:b/>
                <w:lang w:eastAsia="ja-JP"/>
              </w:rPr>
              <w:t>PPV</w:t>
            </w:r>
            <w:r>
              <w:rPr>
                <w:b/>
                <w:lang w:eastAsia="ja-JP"/>
              </w:rPr>
              <w:br/>
              <w:t>(95% CI)</w:t>
            </w:r>
          </w:p>
        </w:tc>
        <w:tc>
          <w:tcPr>
            <w:tcW w:w="1418" w:type="dxa"/>
            <w:tcBorders>
              <w:top w:val="single" w:sz="4" w:space="0" w:color="auto"/>
              <w:bottom w:val="single" w:sz="4" w:space="0" w:color="auto"/>
            </w:tcBorders>
          </w:tcPr>
          <w:p w:rsidR="0047787A" w:rsidRPr="0047787A" w:rsidRDefault="0047787A" w:rsidP="0047787A">
            <w:pPr>
              <w:pStyle w:val="TableText"/>
              <w:jc w:val="center"/>
              <w:rPr>
                <w:b/>
                <w:lang w:eastAsia="ja-JP"/>
              </w:rPr>
            </w:pPr>
            <w:r>
              <w:rPr>
                <w:b/>
                <w:lang w:eastAsia="ja-JP"/>
              </w:rPr>
              <w:t>NPV</w:t>
            </w:r>
            <w:r>
              <w:rPr>
                <w:b/>
                <w:lang w:eastAsia="ja-JP"/>
              </w:rPr>
              <w:br/>
              <w:t>(95% CI)</w:t>
            </w:r>
          </w:p>
        </w:tc>
        <w:tc>
          <w:tcPr>
            <w:tcW w:w="1418" w:type="dxa"/>
            <w:tcBorders>
              <w:top w:val="single" w:sz="4" w:space="0" w:color="auto"/>
              <w:bottom w:val="single" w:sz="4" w:space="0" w:color="auto"/>
            </w:tcBorders>
          </w:tcPr>
          <w:p w:rsidR="0047787A" w:rsidRPr="0047787A" w:rsidRDefault="0047787A" w:rsidP="0047787A">
            <w:pPr>
              <w:pStyle w:val="TableText"/>
              <w:jc w:val="center"/>
              <w:rPr>
                <w:b/>
                <w:lang w:eastAsia="ja-JP"/>
              </w:rPr>
            </w:pPr>
            <w:r>
              <w:rPr>
                <w:b/>
                <w:lang w:eastAsia="ja-JP"/>
              </w:rPr>
              <w:t>Accuracy</w:t>
            </w:r>
          </w:p>
        </w:tc>
      </w:tr>
      <w:tr w:rsidR="00072E9B" w:rsidTr="00072E9B">
        <w:trPr>
          <w:cantSplit/>
        </w:trPr>
        <w:tc>
          <w:tcPr>
            <w:tcW w:w="1642" w:type="dxa"/>
            <w:vMerge w:val="restart"/>
            <w:tcBorders>
              <w:top w:val="single" w:sz="4" w:space="0" w:color="auto"/>
              <w:bottom w:val="nil"/>
            </w:tcBorders>
            <w:shd w:val="clear" w:color="auto" w:fill="F2F2F2" w:themeFill="background1" w:themeFillShade="F2"/>
          </w:tcPr>
          <w:p w:rsidR="0047787A" w:rsidRDefault="0047787A" w:rsidP="0047787A">
            <w:pPr>
              <w:pStyle w:val="TableText"/>
              <w:rPr>
                <w:lang w:eastAsia="ja-JP"/>
              </w:rPr>
            </w:pPr>
            <w:r>
              <w:rPr>
                <w:lang w:eastAsia="ja-JP"/>
              </w:rPr>
              <w:t>WHO criteria</w:t>
            </w:r>
          </w:p>
        </w:tc>
        <w:tc>
          <w:tcPr>
            <w:tcW w:w="3036" w:type="dxa"/>
            <w:tcBorders>
              <w:top w:val="single" w:sz="4" w:space="0" w:color="auto"/>
              <w:bottom w:val="nil"/>
            </w:tcBorders>
            <w:shd w:val="clear" w:color="auto" w:fill="F2F2F2" w:themeFill="background1" w:themeFillShade="F2"/>
          </w:tcPr>
          <w:p w:rsidR="0047787A" w:rsidRDefault="0047787A" w:rsidP="0047787A">
            <w:pPr>
              <w:pStyle w:val="TableText"/>
              <w:rPr>
                <w:lang w:eastAsia="ja-JP"/>
              </w:rPr>
            </w:pPr>
            <w:r>
              <w:rPr>
                <w:lang w:eastAsia="ja-JP"/>
              </w:rPr>
              <w:t>Reichelt, 1998, Brazil</w:t>
            </w:r>
          </w:p>
        </w:tc>
        <w:tc>
          <w:tcPr>
            <w:tcW w:w="1417" w:type="dxa"/>
            <w:tcBorders>
              <w:top w:val="single" w:sz="4" w:space="0" w:color="auto"/>
              <w:bottom w:val="nil"/>
            </w:tcBorders>
            <w:shd w:val="clear" w:color="auto" w:fill="F2F2F2" w:themeFill="background1" w:themeFillShade="F2"/>
          </w:tcPr>
          <w:p w:rsidR="0047787A" w:rsidRDefault="0047787A" w:rsidP="0047787A">
            <w:pPr>
              <w:pStyle w:val="TableText"/>
              <w:jc w:val="center"/>
              <w:rPr>
                <w:lang w:eastAsia="ja-JP"/>
              </w:rPr>
            </w:pPr>
            <w:r>
              <w:rPr>
                <w:lang w:eastAsia="ja-JP"/>
              </w:rPr>
              <w:t>4977</w:t>
            </w:r>
          </w:p>
        </w:tc>
        <w:tc>
          <w:tcPr>
            <w:tcW w:w="1418" w:type="dxa"/>
            <w:tcBorders>
              <w:top w:val="single" w:sz="4" w:space="0" w:color="auto"/>
              <w:bottom w:val="nil"/>
            </w:tcBorders>
            <w:shd w:val="clear" w:color="auto" w:fill="F2F2F2" w:themeFill="background1" w:themeFillShade="F2"/>
          </w:tcPr>
          <w:p w:rsidR="0047787A" w:rsidRDefault="0047787A" w:rsidP="0047787A">
            <w:pPr>
              <w:pStyle w:val="TableText"/>
              <w:jc w:val="center"/>
              <w:rPr>
                <w:lang w:eastAsia="ja-JP"/>
              </w:rPr>
            </w:pPr>
            <w:r>
              <w:rPr>
                <w:lang w:eastAsia="ja-JP"/>
              </w:rPr>
              <w:t>0.3</w:t>
            </w:r>
          </w:p>
        </w:tc>
        <w:tc>
          <w:tcPr>
            <w:tcW w:w="1417" w:type="dxa"/>
            <w:tcBorders>
              <w:top w:val="single" w:sz="4" w:space="0" w:color="auto"/>
              <w:bottom w:val="nil"/>
            </w:tcBorders>
            <w:shd w:val="clear" w:color="auto" w:fill="F2F2F2" w:themeFill="background1" w:themeFillShade="F2"/>
          </w:tcPr>
          <w:p w:rsidR="0047787A" w:rsidRDefault="0047787A" w:rsidP="0047787A">
            <w:pPr>
              <w:pStyle w:val="TableText"/>
              <w:jc w:val="center"/>
              <w:rPr>
                <w:lang w:eastAsia="ja-JP"/>
              </w:rPr>
            </w:pPr>
            <w:r>
              <w:rPr>
                <w:lang w:eastAsia="ja-JP"/>
              </w:rPr>
              <w:t>88 (62–98)</w:t>
            </w:r>
          </w:p>
        </w:tc>
        <w:tc>
          <w:tcPr>
            <w:tcW w:w="1418" w:type="dxa"/>
            <w:tcBorders>
              <w:top w:val="single" w:sz="4" w:space="0" w:color="auto"/>
              <w:bottom w:val="nil"/>
            </w:tcBorders>
            <w:shd w:val="clear" w:color="auto" w:fill="F2F2F2" w:themeFill="background1" w:themeFillShade="F2"/>
          </w:tcPr>
          <w:p w:rsidR="0047787A" w:rsidRDefault="0047787A" w:rsidP="0047787A">
            <w:pPr>
              <w:pStyle w:val="TableText"/>
              <w:jc w:val="center"/>
              <w:rPr>
                <w:lang w:eastAsia="ja-JP"/>
              </w:rPr>
            </w:pPr>
            <w:r>
              <w:rPr>
                <w:lang w:eastAsia="ja-JP"/>
              </w:rPr>
              <w:t>78 (77–79)</w:t>
            </w:r>
          </w:p>
        </w:tc>
        <w:tc>
          <w:tcPr>
            <w:tcW w:w="1417" w:type="dxa"/>
            <w:tcBorders>
              <w:top w:val="single" w:sz="4" w:space="0" w:color="auto"/>
              <w:bottom w:val="nil"/>
            </w:tcBorders>
            <w:shd w:val="clear" w:color="auto" w:fill="F2F2F2" w:themeFill="background1" w:themeFillShade="F2"/>
          </w:tcPr>
          <w:p w:rsidR="0047787A" w:rsidRDefault="0047787A" w:rsidP="0047787A">
            <w:pPr>
              <w:pStyle w:val="TableText"/>
              <w:jc w:val="center"/>
              <w:rPr>
                <w:lang w:eastAsia="ja-JP"/>
              </w:rPr>
            </w:pPr>
            <w:r>
              <w:rPr>
                <w:lang w:eastAsia="ja-JP"/>
              </w:rPr>
              <w:t>1.3 (0.8–2.1)</w:t>
            </w:r>
          </w:p>
        </w:tc>
        <w:tc>
          <w:tcPr>
            <w:tcW w:w="1418" w:type="dxa"/>
            <w:tcBorders>
              <w:top w:val="single" w:sz="4" w:space="0" w:color="auto"/>
              <w:bottom w:val="nil"/>
            </w:tcBorders>
            <w:shd w:val="clear" w:color="auto" w:fill="F2F2F2" w:themeFill="background1" w:themeFillShade="F2"/>
          </w:tcPr>
          <w:p w:rsidR="0047787A" w:rsidRDefault="0047787A" w:rsidP="0047787A">
            <w:pPr>
              <w:pStyle w:val="TableText"/>
              <w:jc w:val="center"/>
              <w:rPr>
                <w:lang w:eastAsia="ja-JP"/>
              </w:rPr>
            </w:pPr>
            <w:r>
              <w:rPr>
                <w:lang w:eastAsia="ja-JP"/>
              </w:rPr>
              <w:t>100</w:t>
            </w:r>
          </w:p>
        </w:tc>
        <w:tc>
          <w:tcPr>
            <w:tcW w:w="1418" w:type="dxa"/>
            <w:tcBorders>
              <w:top w:val="single" w:sz="4" w:space="0" w:color="auto"/>
              <w:bottom w:val="nil"/>
            </w:tcBorders>
            <w:shd w:val="clear" w:color="auto" w:fill="F2F2F2" w:themeFill="background1" w:themeFillShade="F2"/>
          </w:tcPr>
          <w:p w:rsidR="0047787A" w:rsidRDefault="0047787A" w:rsidP="0047787A">
            <w:pPr>
              <w:pStyle w:val="TableText"/>
              <w:jc w:val="center"/>
              <w:rPr>
                <w:lang w:eastAsia="ja-JP"/>
              </w:rPr>
            </w:pPr>
            <w:r>
              <w:rPr>
                <w:lang w:eastAsia="ja-JP"/>
              </w:rPr>
              <w:t>78</w:t>
            </w:r>
          </w:p>
        </w:tc>
      </w:tr>
      <w:tr w:rsidR="00072E9B" w:rsidTr="00072E9B">
        <w:trPr>
          <w:cantSplit/>
        </w:trPr>
        <w:tc>
          <w:tcPr>
            <w:tcW w:w="1642" w:type="dxa"/>
            <w:vMerge/>
            <w:tcBorders>
              <w:top w:val="nil"/>
              <w:bottom w:val="nil"/>
            </w:tcBorders>
            <w:shd w:val="clear" w:color="auto" w:fill="F2F2F2" w:themeFill="background1" w:themeFillShade="F2"/>
          </w:tcPr>
          <w:p w:rsidR="0047787A" w:rsidRDefault="0047787A" w:rsidP="0047787A">
            <w:pPr>
              <w:pStyle w:val="TableText"/>
              <w:rPr>
                <w:lang w:eastAsia="ja-JP"/>
              </w:rPr>
            </w:pPr>
          </w:p>
        </w:tc>
        <w:tc>
          <w:tcPr>
            <w:tcW w:w="3036" w:type="dxa"/>
            <w:tcBorders>
              <w:top w:val="nil"/>
              <w:bottom w:val="nil"/>
            </w:tcBorders>
            <w:shd w:val="clear" w:color="auto" w:fill="F2F2F2" w:themeFill="background1" w:themeFillShade="F2"/>
          </w:tcPr>
          <w:p w:rsidR="0047787A" w:rsidRDefault="0047787A" w:rsidP="0047787A">
            <w:pPr>
              <w:pStyle w:val="TableText"/>
              <w:rPr>
                <w:lang w:eastAsia="ja-JP"/>
              </w:rPr>
            </w:pPr>
            <w:r>
              <w:rPr>
                <w:lang w:eastAsia="ja-JP"/>
              </w:rPr>
              <w:t>Wjieyaratne, 2006, Sri Lanka**</w:t>
            </w:r>
          </w:p>
        </w:tc>
        <w:tc>
          <w:tcPr>
            <w:tcW w:w="1417" w:type="dxa"/>
            <w:tcBorders>
              <w:top w:val="nil"/>
              <w:bottom w:val="nil"/>
            </w:tcBorders>
            <w:shd w:val="clear" w:color="auto" w:fill="F2F2F2" w:themeFill="background1" w:themeFillShade="F2"/>
          </w:tcPr>
          <w:p w:rsidR="0047787A" w:rsidRDefault="0047787A" w:rsidP="0047787A">
            <w:pPr>
              <w:pStyle w:val="TableText"/>
              <w:jc w:val="center"/>
              <w:rPr>
                <w:lang w:eastAsia="ja-JP"/>
              </w:rPr>
            </w:pPr>
            <w:r>
              <w:rPr>
                <w:lang w:eastAsia="ja-JP"/>
              </w:rPr>
              <w:t>853</w:t>
            </w:r>
          </w:p>
        </w:tc>
        <w:tc>
          <w:tcPr>
            <w:tcW w:w="1418" w:type="dxa"/>
            <w:tcBorders>
              <w:top w:val="nil"/>
              <w:bottom w:val="nil"/>
            </w:tcBorders>
            <w:shd w:val="clear" w:color="auto" w:fill="F2F2F2" w:themeFill="background1" w:themeFillShade="F2"/>
          </w:tcPr>
          <w:p w:rsidR="0047787A" w:rsidRDefault="0047787A" w:rsidP="0047787A">
            <w:pPr>
              <w:pStyle w:val="TableText"/>
              <w:jc w:val="center"/>
              <w:rPr>
                <w:lang w:eastAsia="ja-JP"/>
              </w:rPr>
            </w:pPr>
            <w:r>
              <w:rPr>
                <w:lang w:eastAsia="ja-JP"/>
              </w:rPr>
              <w:t>16.9</w:t>
            </w:r>
          </w:p>
        </w:tc>
        <w:tc>
          <w:tcPr>
            <w:tcW w:w="1417" w:type="dxa"/>
            <w:tcBorders>
              <w:top w:val="nil"/>
              <w:bottom w:val="nil"/>
            </w:tcBorders>
            <w:shd w:val="clear" w:color="auto" w:fill="F2F2F2" w:themeFill="background1" w:themeFillShade="F2"/>
          </w:tcPr>
          <w:p w:rsidR="0047787A" w:rsidRDefault="0047787A" w:rsidP="0047787A">
            <w:pPr>
              <w:pStyle w:val="TableText"/>
              <w:jc w:val="center"/>
              <w:rPr>
                <w:lang w:eastAsia="ja-JP"/>
              </w:rPr>
            </w:pPr>
            <w:r>
              <w:rPr>
                <w:lang w:eastAsia="ja-JP"/>
              </w:rPr>
              <w:t>92 (87–96)</w:t>
            </w:r>
          </w:p>
        </w:tc>
        <w:tc>
          <w:tcPr>
            <w:tcW w:w="1418" w:type="dxa"/>
            <w:tcBorders>
              <w:top w:val="nil"/>
              <w:bottom w:val="nil"/>
            </w:tcBorders>
            <w:shd w:val="clear" w:color="auto" w:fill="F2F2F2" w:themeFill="background1" w:themeFillShade="F2"/>
          </w:tcPr>
          <w:p w:rsidR="0047787A" w:rsidRDefault="0047787A" w:rsidP="0047787A">
            <w:pPr>
              <w:pStyle w:val="TableText"/>
              <w:jc w:val="center"/>
              <w:rPr>
                <w:lang w:eastAsia="ja-JP"/>
              </w:rPr>
            </w:pPr>
            <w:r>
              <w:rPr>
                <w:lang w:eastAsia="ja-JP"/>
              </w:rPr>
              <w:t>71 68–75)</w:t>
            </w:r>
          </w:p>
        </w:tc>
        <w:tc>
          <w:tcPr>
            <w:tcW w:w="1417" w:type="dxa"/>
            <w:tcBorders>
              <w:top w:val="nil"/>
              <w:bottom w:val="nil"/>
            </w:tcBorders>
            <w:shd w:val="clear" w:color="auto" w:fill="F2F2F2" w:themeFill="background1" w:themeFillShade="F2"/>
          </w:tcPr>
          <w:p w:rsidR="0047787A" w:rsidRDefault="0047787A" w:rsidP="0047787A">
            <w:pPr>
              <w:pStyle w:val="TableText"/>
              <w:jc w:val="center"/>
              <w:rPr>
                <w:lang w:eastAsia="ja-JP"/>
              </w:rPr>
            </w:pPr>
            <w:r>
              <w:rPr>
                <w:lang w:eastAsia="ja-JP"/>
              </w:rPr>
              <w:t>40 (35–45)</w:t>
            </w:r>
          </w:p>
        </w:tc>
        <w:tc>
          <w:tcPr>
            <w:tcW w:w="1418" w:type="dxa"/>
            <w:tcBorders>
              <w:top w:val="nil"/>
              <w:bottom w:val="nil"/>
            </w:tcBorders>
            <w:shd w:val="clear" w:color="auto" w:fill="F2F2F2" w:themeFill="background1" w:themeFillShade="F2"/>
          </w:tcPr>
          <w:p w:rsidR="0047787A" w:rsidRDefault="0047787A" w:rsidP="0047787A">
            <w:pPr>
              <w:pStyle w:val="TableText"/>
              <w:jc w:val="center"/>
              <w:rPr>
                <w:lang w:eastAsia="ja-JP"/>
              </w:rPr>
            </w:pPr>
            <w:r>
              <w:rPr>
                <w:lang w:eastAsia="ja-JP"/>
              </w:rPr>
              <w:t>98 (96–99)</w:t>
            </w:r>
          </w:p>
        </w:tc>
        <w:tc>
          <w:tcPr>
            <w:tcW w:w="1418" w:type="dxa"/>
            <w:tcBorders>
              <w:top w:val="nil"/>
              <w:bottom w:val="nil"/>
            </w:tcBorders>
            <w:shd w:val="clear" w:color="auto" w:fill="F2F2F2" w:themeFill="background1" w:themeFillShade="F2"/>
          </w:tcPr>
          <w:p w:rsidR="0047787A" w:rsidRDefault="0047787A" w:rsidP="0047787A">
            <w:pPr>
              <w:pStyle w:val="TableText"/>
              <w:jc w:val="center"/>
              <w:rPr>
                <w:lang w:eastAsia="ja-JP"/>
              </w:rPr>
            </w:pPr>
            <w:r>
              <w:rPr>
                <w:lang w:eastAsia="ja-JP"/>
              </w:rPr>
              <w:t>75</w:t>
            </w:r>
          </w:p>
        </w:tc>
      </w:tr>
      <w:tr w:rsidR="00072E9B" w:rsidTr="00072E9B">
        <w:trPr>
          <w:cantSplit/>
        </w:trPr>
        <w:tc>
          <w:tcPr>
            <w:tcW w:w="1642" w:type="dxa"/>
            <w:tcBorders>
              <w:top w:val="nil"/>
              <w:bottom w:val="nil"/>
            </w:tcBorders>
          </w:tcPr>
          <w:p w:rsidR="0047787A" w:rsidRDefault="0047787A" w:rsidP="0047787A">
            <w:pPr>
              <w:pStyle w:val="TableText"/>
              <w:rPr>
                <w:lang w:eastAsia="ja-JP"/>
              </w:rPr>
            </w:pPr>
            <w:r>
              <w:rPr>
                <w:lang w:eastAsia="ja-JP"/>
              </w:rPr>
              <w:t>NDDG criteria</w:t>
            </w:r>
          </w:p>
        </w:tc>
        <w:tc>
          <w:tcPr>
            <w:tcW w:w="3036" w:type="dxa"/>
            <w:tcBorders>
              <w:top w:val="nil"/>
              <w:bottom w:val="nil"/>
            </w:tcBorders>
          </w:tcPr>
          <w:p w:rsidR="0047787A" w:rsidRDefault="0047787A" w:rsidP="0047787A">
            <w:pPr>
              <w:pStyle w:val="TableText"/>
              <w:rPr>
                <w:lang w:eastAsia="ja-JP"/>
              </w:rPr>
            </w:pPr>
            <w:r>
              <w:rPr>
                <w:lang w:eastAsia="ja-JP"/>
              </w:rPr>
              <w:t>Kauffman, 2006, US</w:t>
            </w:r>
          </w:p>
        </w:tc>
        <w:tc>
          <w:tcPr>
            <w:tcW w:w="1417" w:type="dxa"/>
            <w:tcBorders>
              <w:top w:val="nil"/>
              <w:bottom w:val="nil"/>
            </w:tcBorders>
          </w:tcPr>
          <w:p w:rsidR="0047787A" w:rsidRDefault="0047787A" w:rsidP="0047787A">
            <w:pPr>
              <w:pStyle w:val="TableText"/>
              <w:jc w:val="center"/>
              <w:rPr>
                <w:lang w:eastAsia="ja-JP"/>
              </w:rPr>
            </w:pPr>
            <w:r>
              <w:rPr>
                <w:lang w:eastAsia="ja-JP"/>
              </w:rPr>
              <w:t>123</w:t>
            </w:r>
          </w:p>
        </w:tc>
        <w:tc>
          <w:tcPr>
            <w:tcW w:w="1418" w:type="dxa"/>
            <w:tcBorders>
              <w:top w:val="nil"/>
              <w:bottom w:val="nil"/>
            </w:tcBorders>
          </w:tcPr>
          <w:p w:rsidR="0047787A" w:rsidRDefault="0047787A" w:rsidP="0047787A">
            <w:pPr>
              <w:pStyle w:val="TableText"/>
              <w:jc w:val="center"/>
              <w:rPr>
                <w:lang w:eastAsia="ja-JP"/>
              </w:rPr>
            </w:pPr>
            <w:r>
              <w:rPr>
                <w:lang w:eastAsia="ja-JP"/>
              </w:rPr>
              <w:t>13.0</w:t>
            </w:r>
          </w:p>
        </w:tc>
        <w:tc>
          <w:tcPr>
            <w:tcW w:w="1417" w:type="dxa"/>
            <w:tcBorders>
              <w:top w:val="nil"/>
              <w:bottom w:val="nil"/>
            </w:tcBorders>
          </w:tcPr>
          <w:p w:rsidR="0047787A" w:rsidRDefault="0047787A" w:rsidP="0047787A">
            <w:pPr>
              <w:pStyle w:val="TableText"/>
              <w:jc w:val="center"/>
              <w:rPr>
                <w:lang w:eastAsia="ja-JP"/>
              </w:rPr>
            </w:pPr>
            <w:r>
              <w:rPr>
                <w:lang w:eastAsia="ja-JP"/>
              </w:rPr>
              <w:t>81 (54–96)</w:t>
            </w:r>
          </w:p>
        </w:tc>
        <w:tc>
          <w:tcPr>
            <w:tcW w:w="1418" w:type="dxa"/>
            <w:tcBorders>
              <w:top w:val="nil"/>
              <w:bottom w:val="nil"/>
            </w:tcBorders>
          </w:tcPr>
          <w:p w:rsidR="0047787A" w:rsidRDefault="0047787A" w:rsidP="0047787A">
            <w:pPr>
              <w:pStyle w:val="TableText"/>
              <w:jc w:val="center"/>
              <w:rPr>
                <w:lang w:eastAsia="ja-JP"/>
              </w:rPr>
            </w:pPr>
            <w:r>
              <w:rPr>
                <w:lang w:eastAsia="ja-JP"/>
              </w:rPr>
              <w:t>88 (80–93)</w:t>
            </w:r>
          </w:p>
        </w:tc>
        <w:tc>
          <w:tcPr>
            <w:tcW w:w="1417" w:type="dxa"/>
            <w:tcBorders>
              <w:top w:val="nil"/>
              <w:bottom w:val="nil"/>
            </w:tcBorders>
          </w:tcPr>
          <w:p w:rsidR="0047787A" w:rsidRDefault="0047787A" w:rsidP="0047787A">
            <w:pPr>
              <w:pStyle w:val="TableText"/>
              <w:jc w:val="center"/>
              <w:rPr>
                <w:lang w:eastAsia="ja-JP"/>
              </w:rPr>
            </w:pPr>
            <w:r>
              <w:rPr>
                <w:lang w:eastAsia="ja-JP"/>
              </w:rPr>
              <w:t>50 (32–68)</w:t>
            </w:r>
          </w:p>
        </w:tc>
        <w:tc>
          <w:tcPr>
            <w:tcW w:w="1418" w:type="dxa"/>
            <w:tcBorders>
              <w:top w:val="nil"/>
              <w:bottom w:val="nil"/>
            </w:tcBorders>
          </w:tcPr>
          <w:p w:rsidR="0047787A" w:rsidRDefault="0047787A" w:rsidP="0047787A">
            <w:pPr>
              <w:pStyle w:val="TableText"/>
              <w:jc w:val="center"/>
              <w:rPr>
                <w:lang w:eastAsia="ja-JP"/>
              </w:rPr>
            </w:pPr>
            <w:r>
              <w:rPr>
                <w:lang w:eastAsia="ja-JP"/>
              </w:rPr>
              <w:t>97 (92–99)</w:t>
            </w:r>
          </w:p>
        </w:tc>
        <w:tc>
          <w:tcPr>
            <w:tcW w:w="1418" w:type="dxa"/>
            <w:tcBorders>
              <w:top w:val="nil"/>
              <w:bottom w:val="nil"/>
            </w:tcBorders>
          </w:tcPr>
          <w:p w:rsidR="0047787A" w:rsidRDefault="0047787A" w:rsidP="0047787A">
            <w:pPr>
              <w:pStyle w:val="TableText"/>
              <w:jc w:val="center"/>
              <w:rPr>
                <w:lang w:eastAsia="ja-JP"/>
              </w:rPr>
            </w:pPr>
            <w:r>
              <w:rPr>
                <w:lang w:eastAsia="ja-JP"/>
              </w:rPr>
              <w:t>87</w:t>
            </w:r>
          </w:p>
        </w:tc>
      </w:tr>
      <w:tr w:rsidR="00072E9B" w:rsidTr="00072E9B">
        <w:trPr>
          <w:cantSplit/>
        </w:trPr>
        <w:tc>
          <w:tcPr>
            <w:tcW w:w="1642" w:type="dxa"/>
            <w:vMerge w:val="restart"/>
            <w:tcBorders>
              <w:top w:val="nil"/>
              <w:bottom w:val="nil"/>
            </w:tcBorders>
            <w:shd w:val="clear" w:color="auto" w:fill="F2F2F2" w:themeFill="background1" w:themeFillShade="F2"/>
          </w:tcPr>
          <w:p w:rsidR="0047787A" w:rsidRDefault="0047787A" w:rsidP="0047787A">
            <w:pPr>
              <w:pStyle w:val="TableText"/>
              <w:rPr>
                <w:lang w:eastAsia="ja-JP"/>
              </w:rPr>
            </w:pPr>
            <w:r>
              <w:rPr>
                <w:lang w:eastAsia="ja-JP"/>
              </w:rPr>
              <w:t>Other diagnostic criteria</w:t>
            </w:r>
          </w:p>
        </w:tc>
        <w:tc>
          <w:tcPr>
            <w:tcW w:w="3036" w:type="dxa"/>
            <w:tcBorders>
              <w:top w:val="nil"/>
              <w:bottom w:val="nil"/>
            </w:tcBorders>
            <w:shd w:val="clear" w:color="auto" w:fill="F2F2F2" w:themeFill="background1" w:themeFillShade="F2"/>
          </w:tcPr>
          <w:p w:rsidR="0047787A" w:rsidRDefault="0047787A" w:rsidP="0047787A">
            <w:pPr>
              <w:pStyle w:val="TableText"/>
              <w:rPr>
                <w:lang w:eastAsia="ja-JP"/>
              </w:rPr>
            </w:pPr>
            <w:r>
              <w:rPr>
                <w:lang w:eastAsia="ja-JP"/>
              </w:rPr>
              <w:t>Maegawa, 2003, Japan</w:t>
            </w:r>
          </w:p>
        </w:tc>
        <w:tc>
          <w:tcPr>
            <w:tcW w:w="1417" w:type="dxa"/>
            <w:tcBorders>
              <w:top w:val="nil"/>
              <w:bottom w:val="nil"/>
            </w:tcBorders>
            <w:shd w:val="clear" w:color="auto" w:fill="F2F2F2" w:themeFill="background1" w:themeFillShade="F2"/>
          </w:tcPr>
          <w:p w:rsidR="0047787A" w:rsidRDefault="0047787A" w:rsidP="001A286C">
            <w:pPr>
              <w:pStyle w:val="TableText"/>
              <w:jc w:val="center"/>
              <w:rPr>
                <w:lang w:eastAsia="ja-JP"/>
              </w:rPr>
            </w:pPr>
            <w:r>
              <w:rPr>
                <w:lang w:eastAsia="ja-JP"/>
              </w:rPr>
              <w:t>749</w:t>
            </w:r>
            <w:r>
              <w:rPr>
                <w:lang w:eastAsia="ja-JP"/>
              </w:rPr>
              <w:br/>
            </w:r>
            <w:r w:rsidRPr="001A286C">
              <w:rPr>
                <w:lang w:eastAsia="ja-JP"/>
              </w:rPr>
              <w:t xml:space="preserve">(1st </w:t>
            </w:r>
            <w:r w:rsidR="001A286C" w:rsidRPr="001A286C">
              <w:rPr>
                <w:lang w:eastAsia="ja-JP"/>
              </w:rPr>
              <w:t>t</w:t>
            </w:r>
            <w:r w:rsidRPr="001A286C">
              <w:rPr>
                <w:lang w:eastAsia="ja-JP"/>
              </w:rPr>
              <w:t>ri)</w:t>
            </w:r>
            <w:r w:rsidRPr="001A286C">
              <w:rPr>
                <w:lang w:eastAsia="ja-JP"/>
              </w:rPr>
              <w:br/>
              <w:t xml:space="preserve">(2nd </w:t>
            </w:r>
            <w:r w:rsidR="001A286C" w:rsidRPr="001A286C">
              <w:rPr>
                <w:lang w:eastAsia="ja-JP"/>
              </w:rPr>
              <w:t>t</w:t>
            </w:r>
            <w:r w:rsidRPr="001A286C">
              <w:rPr>
                <w:lang w:eastAsia="ja-JP"/>
              </w:rPr>
              <w:t>ri)</w:t>
            </w:r>
          </w:p>
        </w:tc>
        <w:tc>
          <w:tcPr>
            <w:tcW w:w="1418" w:type="dxa"/>
            <w:tcBorders>
              <w:top w:val="nil"/>
              <w:bottom w:val="nil"/>
            </w:tcBorders>
            <w:shd w:val="clear" w:color="auto" w:fill="F2F2F2" w:themeFill="background1" w:themeFillShade="F2"/>
          </w:tcPr>
          <w:p w:rsidR="0047787A" w:rsidRDefault="0047787A" w:rsidP="0047787A">
            <w:pPr>
              <w:pStyle w:val="TableText"/>
              <w:jc w:val="center"/>
              <w:rPr>
                <w:lang w:eastAsia="ja-JP"/>
              </w:rPr>
            </w:pPr>
            <w:r>
              <w:rPr>
                <w:lang w:eastAsia="ja-JP"/>
              </w:rPr>
              <w:br/>
              <w:t>1.9</w:t>
            </w:r>
            <w:r>
              <w:rPr>
                <w:lang w:eastAsia="ja-JP"/>
              </w:rPr>
              <w:br/>
              <w:t>2.9</w:t>
            </w:r>
          </w:p>
        </w:tc>
        <w:tc>
          <w:tcPr>
            <w:tcW w:w="1417" w:type="dxa"/>
            <w:tcBorders>
              <w:top w:val="nil"/>
              <w:bottom w:val="nil"/>
            </w:tcBorders>
            <w:shd w:val="clear" w:color="auto" w:fill="F2F2F2" w:themeFill="background1" w:themeFillShade="F2"/>
          </w:tcPr>
          <w:p w:rsidR="0047787A" w:rsidRDefault="0047787A" w:rsidP="0047787A">
            <w:pPr>
              <w:pStyle w:val="TableText"/>
              <w:jc w:val="center"/>
              <w:rPr>
                <w:lang w:eastAsia="ja-JP"/>
              </w:rPr>
            </w:pPr>
            <w:r>
              <w:rPr>
                <w:lang w:eastAsia="ja-JP"/>
              </w:rPr>
              <w:br/>
              <w:t>71 (68–79)</w:t>
            </w:r>
            <w:r>
              <w:rPr>
                <w:lang w:eastAsia="ja-JP"/>
              </w:rPr>
              <w:br/>
              <w:t>77 (72–80)</w:t>
            </w:r>
          </w:p>
        </w:tc>
        <w:tc>
          <w:tcPr>
            <w:tcW w:w="1418" w:type="dxa"/>
            <w:tcBorders>
              <w:top w:val="nil"/>
              <w:bottom w:val="nil"/>
            </w:tcBorders>
            <w:shd w:val="clear" w:color="auto" w:fill="F2F2F2" w:themeFill="background1" w:themeFillShade="F2"/>
          </w:tcPr>
          <w:p w:rsidR="0047787A" w:rsidRDefault="0047787A" w:rsidP="0047787A">
            <w:pPr>
              <w:pStyle w:val="TableText"/>
              <w:jc w:val="center"/>
              <w:rPr>
                <w:lang w:eastAsia="ja-JP"/>
              </w:rPr>
            </w:pPr>
            <w:r>
              <w:rPr>
                <w:lang w:eastAsia="ja-JP"/>
              </w:rPr>
              <w:br/>
              <w:t>83 (78–87)</w:t>
            </w:r>
            <w:r>
              <w:rPr>
                <w:lang w:eastAsia="ja-JP"/>
              </w:rPr>
              <w:br/>
              <w:t>91 (86–94)</w:t>
            </w:r>
          </w:p>
        </w:tc>
        <w:tc>
          <w:tcPr>
            <w:tcW w:w="1417" w:type="dxa"/>
            <w:tcBorders>
              <w:top w:val="nil"/>
              <w:bottom w:val="nil"/>
            </w:tcBorders>
            <w:shd w:val="clear" w:color="auto" w:fill="F2F2F2" w:themeFill="background1" w:themeFillShade="F2"/>
          </w:tcPr>
          <w:p w:rsidR="0047787A" w:rsidRDefault="0047787A" w:rsidP="0047787A">
            <w:pPr>
              <w:pStyle w:val="TableText"/>
              <w:jc w:val="center"/>
              <w:rPr>
                <w:lang w:eastAsia="ja-JP"/>
              </w:rPr>
            </w:pPr>
            <w:r>
              <w:rPr>
                <w:lang w:eastAsia="ja-JP"/>
              </w:rPr>
              <w:br/>
              <w:t>7 (4–13)</w:t>
            </w:r>
            <w:r>
              <w:rPr>
                <w:lang w:eastAsia="ja-JP"/>
              </w:rPr>
              <w:br/>
              <w:t>20 (13–30)</w:t>
            </w:r>
          </w:p>
        </w:tc>
        <w:tc>
          <w:tcPr>
            <w:tcW w:w="1418" w:type="dxa"/>
            <w:tcBorders>
              <w:top w:val="nil"/>
              <w:bottom w:val="nil"/>
            </w:tcBorders>
            <w:shd w:val="clear" w:color="auto" w:fill="F2F2F2" w:themeFill="background1" w:themeFillShade="F2"/>
          </w:tcPr>
          <w:p w:rsidR="0047787A" w:rsidRDefault="0047787A" w:rsidP="0047787A">
            <w:pPr>
              <w:pStyle w:val="TableText"/>
              <w:jc w:val="center"/>
              <w:rPr>
                <w:lang w:eastAsia="ja-JP"/>
              </w:rPr>
            </w:pPr>
            <w:r>
              <w:rPr>
                <w:lang w:eastAsia="ja-JP"/>
              </w:rPr>
              <w:br/>
              <w:t>99 (98–100)</w:t>
            </w:r>
            <w:r>
              <w:rPr>
                <w:lang w:eastAsia="ja-JP"/>
              </w:rPr>
              <w:br/>
              <w:t>99 (98–100)</w:t>
            </w:r>
          </w:p>
        </w:tc>
        <w:tc>
          <w:tcPr>
            <w:tcW w:w="1418" w:type="dxa"/>
            <w:tcBorders>
              <w:top w:val="nil"/>
              <w:bottom w:val="nil"/>
            </w:tcBorders>
            <w:shd w:val="clear" w:color="auto" w:fill="F2F2F2" w:themeFill="background1" w:themeFillShade="F2"/>
          </w:tcPr>
          <w:p w:rsidR="0047787A" w:rsidRDefault="0047787A" w:rsidP="0047787A">
            <w:pPr>
              <w:pStyle w:val="TableText"/>
              <w:jc w:val="center"/>
              <w:rPr>
                <w:lang w:eastAsia="ja-JP"/>
              </w:rPr>
            </w:pPr>
            <w:r>
              <w:rPr>
                <w:lang w:eastAsia="ja-JP"/>
              </w:rPr>
              <w:br/>
              <w:t>82</w:t>
            </w:r>
            <w:r>
              <w:rPr>
                <w:lang w:eastAsia="ja-JP"/>
              </w:rPr>
              <w:br/>
              <w:t>90</w:t>
            </w:r>
          </w:p>
        </w:tc>
      </w:tr>
      <w:tr w:rsidR="00072E9B" w:rsidTr="00072E9B">
        <w:trPr>
          <w:cantSplit/>
        </w:trPr>
        <w:tc>
          <w:tcPr>
            <w:tcW w:w="1642" w:type="dxa"/>
            <w:vMerge/>
            <w:tcBorders>
              <w:top w:val="nil"/>
              <w:bottom w:val="single" w:sz="4" w:space="0" w:color="auto"/>
            </w:tcBorders>
            <w:shd w:val="clear" w:color="auto" w:fill="F2F2F2" w:themeFill="background1" w:themeFillShade="F2"/>
          </w:tcPr>
          <w:p w:rsidR="0047787A" w:rsidRDefault="0047787A" w:rsidP="0047787A">
            <w:pPr>
              <w:pStyle w:val="TableText"/>
              <w:rPr>
                <w:lang w:eastAsia="ja-JP"/>
              </w:rPr>
            </w:pPr>
          </w:p>
        </w:tc>
        <w:tc>
          <w:tcPr>
            <w:tcW w:w="3036" w:type="dxa"/>
            <w:tcBorders>
              <w:top w:val="nil"/>
              <w:bottom w:val="single" w:sz="4" w:space="0" w:color="auto"/>
            </w:tcBorders>
            <w:shd w:val="clear" w:color="auto" w:fill="F2F2F2" w:themeFill="background1" w:themeFillShade="F2"/>
          </w:tcPr>
          <w:p w:rsidR="0047787A" w:rsidRDefault="0047787A" w:rsidP="0047787A">
            <w:pPr>
              <w:pStyle w:val="TableText"/>
              <w:rPr>
                <w:lang w:eastAsia="ja-JP"/>
              </w:rPr>
            </w:pPr>
            <w:r>
              <w:rPr>
                <w:lang w:eastAsia="ja-JP"/>
              </w:rPr>
              <w:t>Rey, 2004, Canada*</w:t>
            </w:r>
          </w:p>
        </w:tc>
        <w:tc>
          <w:tcPr>
            <w:tcW w:w="1417" w:type="dxa"/>
            <w:tcBorders>
              <w:top w:val="nil"/>
              <w:bottom w:val="single" w:sz="4" w:space="0" w:color="auto"/>
            </w:tcBorders>
            <w:shd w:val="clear" w:color="auto" w:fill="F2F2F2" w:themeFill="background1" w:themeFillShade="F2"/>
          </w:tcPr>
          <w:p w:rsidR="0047787A" w:rsidRDefault="0047787A" w:rsidP="0047787A">
            <w:pPr>
              <w:pStyle w:val="TableText"/>
              <w:jc w:val="center"/>
              <w:rPr>
                <w:lang w:eastAsia="ja-JP"/>
              </w:rPr>
            </w:pPr>
            <w:r>
              <w:rPr>
                <w:lang w:eastAsia="ja-JP"/>
              </w:rPr>
              <w:t>122</w:t>
            </w:r>
          </w:p>
        </w:tc>
        <w:tc>
          <w:tcPr>
            <w:tcW w:w="1418" w:type="dxa"/>
            <w:tcBorders>
              <w:top w:val="nil"/>
              <w:bottom w:val="single" w:sz="4" w:space="0" w:color="auto"/>
            </w:tcBorders>
            <w:shd w:val="clear" w:color="auto" w:fill="F2F2F2" w:themeFill="background1" w:themeFillShade="F2"/>
          </w:tcPr>
          <w:p w:rsidR="0047787A" w:rsidRDefault="0047787A" w:rsidP="0047787A">
            <w:pPr>
              <w:pStyle w:val="TableText"/>
              <w:jc w:val="center"/>
              <w:rPr>
                <w:lang w:eastAsia="ja-JP"/>
              </w:rPr>
            </w:pPr>
            <w:r>
              <w:rPr>
                <w:lang w:eastAsia="ja-JP"/>
              </w:rPr>
              <w:t>17.2</w:t>
            </w:r>
          </w:p>
        </w:tc>
        <w:tc>
          <w:tcPr>
            <w:tcW w:w="1417" w:type="dxa"/>
            <w:tcBorders>
              <w:top w:val="nil"/>
              <w:bottom w:val="single" w:sz="4" w:space="0" w:color="auto"/>
            </w:tcBorders>
            <w:shd w:val="clear" w:color="auto" w:fill="F2F2F2" w:themeFill="background1" w:themeFillShade="F2"/>
          </w:tcPr>
          <w:p w:rsidR="0047787A" w:rsidRDefault="0047787A" w:rsidP="0047787A">
            <w:pPr>
              <w:pStyle w:val="TableText"/>
              <w:jc w:val="center"/>
              <w:rPr>
                <w:lang w:eastAsia="ja-JP"/>
              </w:rPr>
            </w:pPr>
            <w:r>
              <w:rPr>
                <w:lang w:eastAsia="ja-JP"/>
              </w:rPr>
              <w:t>90 (70–99)</w:t>
            </w:r>
          </w:p>
        </w:tc>
        <w:tc>
          <w:tcPr>
            <w:tcW w:w="1418" w:type="dxa"/>
            <w:tcBorders>
              <w:top w:val="nil"/>
              <w:bottom w:val="single" w:sz="4" w:space="0" w:color="auto"/>
            </w:tcBorders>
            <w:shd w:val="clear" w:color="auto" w:fill="F2F2F2" w:themeFill="background1" w:themeFillShade="F2"/>
          </w:tcPr>
          <w:p w:rsidR="0047787A" w:rsidRDefault="0047787A" w:rsidP="0047787A">
            <w:pPr>
              <w:pStyle w:val="TableText"/>
              <w:jc w:val="center"/>
              <w:rPr>
                <w:lang w:eastAsia="ja-JP"/>
              </w:rPr>
            </w:pPr>
            <w:r>
              <w:rPr>
                <w:lang w:eastAsia="ja-JP"/>
              </w:rPr>
              <w:t>46 (36–56)</w:t>
            </w:r>
          </w:p>
        </w:tc>
        <w:tc>
          <w:tcPr>
            <w:tcW w:w="1417" w:type="dxa"/>
            <w:tcBorders>
              <w:top w:val="nil"/>
              <w:bottom w:val="single" w:sz="4" w:space="0" w:color="auto"/>
            </w:tcBorders>
            <w:shd w:val="clear" w:color="auto" w:fill="F2F2F2" w:themeFill="background1" w:themeFillShade="F2"/>
          </w:tcPr>
          <w:p w:rsidR="0047787A" w:rsidRDefault="0047787A" w:rsidP="0047787A">
            <w:pPr>
              <w:pStyle w:val="TableText"/>
              <w:jc w:val="center"/>
              <w:rPr>
                <w:lang w:eastAsia="ja-JP"/>
              </w:rPr>
            </w:pPr>
            <w:r>
              <w:rPr>
                <w:lang w:eastAsia="ja-JP"/>
              </w:rPr>
              <w:t>22 (14–31)</w:t>
            </w:r>
          </w:p>
        </w:tc>
        <w:tc>
          <w:tcPr>
            <w:tcW w:w="1418" w:type="dxa"/>
            <w:tcBorders>
              <w:top w:val="nil"/>
              <w:bottom w:val="single" w:sz="4" w:space="0" w:color="auto"/>
            </w:tcBorders>
            <w:shd w:val="clear" w:color="auto" w:fill="F2F2F2" w:themeFill="background1" w:themeFillShade="F2"/>
          </w:tcPr>
          <w:p w:rsidR="0047787A" w:rsidRDefault="0047787A" w:rsidP="0047787A">
            <w:pPr>
              <w:pStyle w:val="TableText"/>
              <w:jc w:val="center"/>
              <w:rPr>
                <w:lang w:eastAsia="ja-JP"/>
              </w:rPr>
            </w:pPr>
            <w:r>
              <w:rPr>
                <w:lang w:eastAsia="ja-JP"/>
              </w:rPr>
              <w:t>94 (82–98)</w:t>
            </w:r>
          </w:p>
        </w:tc>
        <w:tc>
          <w:tcPr>
            <w:tcW w:w="1418" w:type="dxa"/>
            <w:tcBorders>
              <w:top w:val="nil"/>
              <w:bottom w:val="single" w:sz="4" w:space="0" w:color="auto"/>
            </w:tcBorders>
            <w:shd w:val="clear" w:color="auto" w:fill="F2F2F2" w:themeFill="background1" w:themeFillShade="F2"/>
          </w:tcPr>
          <w:p w:rsidR="0047787A" w:rsidRDefault="0047787A" w:rsidP="0047787A">
            <w:pPr>
              <w:pStyle w:val="TableText"/>
              <w:jc w:val="center"/>
              <w:rPr>
                <w:lang w:eastAsia="ja-JP"/>
              </w:rPr>
            </w:pPr>
            <w:r>
              <w:rPr>
                <w:lang w:eastAsia="ja-JP"/>
              </w:rPr>
              <w:t>42</w:t>
            </w:r>
          </w:p>
        </w:tc>
      </w:tr>
    </w:tbl>
    <w:p w:rsidR="0047787A" w:rsidRDefault="0047787A" w:rsidP="0047787A">
      <w:pPr>
        <w:pStyle w:val="Note"/>
        <w:ind w:left="0" w:firstLine="0"/>
        <w:rPr>
          <w:lang w:eastAsia="ja-JP"/>
        </w:rPr>
      </w:pPr>
      <w:r>
        <w:rPr>
          <w:lang w:eastAsia="ja-JP"/>
        </w:rPr>
        <w:t>CI = confidence interval; NDDG = National Diabetes Data Group; NPV = negative predictive value; PPV = positive predictive value; Sn = sensitivity; Sp = specificity; Tri = trimester; WHO = World Health Organization.</w:t>
      </w:r>
    </w:p>
    <w:p w:rsidR="0047787A" w:rsidRDefault="0047787A" w:rsidP="0047787A">
      <w:pPr>
        <w:pStyle w:val="Note"/>
        <w:spacing w:before="40"/>
        <w:rPr>
          <w:lang w:eastAsia="ja-JP"/>
        </w:rPr>
      </w:pPr>
      <w:r>
        <w:rPr>
          <w:lang w:eastAsia="ja-JP"/>
        </w:rPr>
        <w:t>*</w:t>
      </w:r>
      <w:r>
        <w:rPr>
          <w:lang w:eastAsia="ja-JP"/>
        </w:rPr>
        <w:tab/>
        <w:t>Number of women in the analysis.</w:t>
      </w:r>
    </w:p>
    <w:p w:rsidR="0047787A" w:rsidRPr="0047787A" w:rsidRDefault="0047787A" w:rsidP="0047787A">
      <w:pPr>
        <w:pStyle w:val="Note"/>
        <w:spacing w:before="40"/>
        <w:rPr>
          <w:lang w:eastAsia="ja-JP"/>
        </w:rPr>
      </w:pPr>
      <w:r>
        <w:rPr>
          <w:lang w:eastAsia="ja-JP"/>
        </w:rPr>
        <w:t>**</w:t>
      </w:r>
      <w:r>
        <w:rPr>
          <w:lang w:eastAsia="ja-JP"/>
        </w:rPr>
        <w:tab/>
        <w:t>Selective screening practice.</w:t>
      </w:r>
    </w:p>
    <w:p w:rsidR="0025490C" w:rsidRDefault="0025490C" w:rsidP="00110A7A">
      <w:pPr>
        <w:pStyle w:val="Source"/>
        <w:ind w:left="0" w:firstLine="0"/>
        <w:rPr>
          <w:lang w:eastAsia="ja-JP"/>
        </w:rPr>
      </w:pPr>
      <w:r>
        <w:rPr>
          <w:lang w:eastAsia="ja-JP"/>
        </w:rPr>
        <w:t xml:space="preserve">Source: </w:t>
      </w:r>
      <w:r w:rsidRPr="00E07B1B">
        <w:rPr>
          <w:lang w:eastAsia="ja-JP"/>
        </w:rPr>
        <w:t xml:space="preserve">Reproduced from </w:t>
      </w:r>
      <w:r w:rsidRPr="00E07B1B">
        <w:t xml:space="preserve">Hartling L, Dryden DM, Guthrie A, Muise M, Vandermeer B, Aktary WM, Donovan L. 2012. </w:t>
      </w:r>
      <w:r w:rsidRPr="00E07B1B">
        <w:rPr>
          <w:i/>
        </w:rPr>
        <w:t xml:space="preserve">Screening and Diagnosing Gestational Diabetes Mellitus. </w:t>
      </w:r>
      <w:r w:rsidRPr="008534D8">
        <w:t>Evidence Report/Technology Assessment number 210 (Prepared by the University of Alberta Evidence-Based practice Center under contract No 290-2007-10021I</w:t>
      </w:r>
      <w:r>
        <w:t>)</w:t>
      </w:r>
      <w:r w:rsidRPr="001F0B03">
        <w:t xml:space="preserve">. </w:t>
      </w:r>
      <w:r w:rsidRPr="00E07B1B">
        <w:t xml:space="preserve">Rockville MD: AHRQ </w:t>
      </w:r>
      <w:r w:rsidRPr="00E07B1B">
        <w:rPr>
          <w:lang w:eastAsia="ja-JP"/>
        </w:rPr>
        <w:t>with permission of the Agency for Healthcare Research and Quality</w:t>
      </w:r>
      <w:r>
        <w:rPr>
          <w:lang w:eastAsia="ja-JP"/>
        </w:rPr>
        <w:t>.</w:t>
      </w:r>
    </w:p>
    <w:p w:rsidR="00110A7A" w:rsidRPr="00110A7A" w:rsidRDefault="00110A7A" w:rsidP="00110A7A">
      <w:pPr>
        <w:rPr>
          <w:lang w:eastAsia="ja-JP"/>
        </w:rPr>
      </w:pPr>
    </w:p>
    <w:p w:rsidR="0025490C" w:rsidRDefault="0025490C" w:rsidP="00110A7A">
      <w:pPr>
        <w:pStyle w:val="Table"/>
        <w:rPr>
          <w:lang w:eastAsia="ja-JP"/>
        </w:rPr>
      </w:pPr>
      <w:bookmarkStart w:id="504" w:name="_Toc363717808"/>
      <w:bookmarkStart w:id="505" w:name="_Toc403635899"/>
      <w:r w:rsidRPr="00E07B1B">
        <w:rPr>
          <w:lang w:eastAsia="ja-JP"/>
        </w:rPr>
        <w:t>Table 18</w:t>
      </w:r>
      <w:r w:rsidR="00110A7A">
        <w:rPr>
          <w:lang w:eastAsia="ja-JP"/>
        </w:rPr>
        <w:t>:</w:t>
      </w:r>
      <w:r w:rsidRPr="00E07B1B">
        <w:rPr>
          <w:lang w:eastAsia="ja-JP"/>
        </w:rPr>
        <w:t xml:space="preserve"> Prevalence and characteristics of other screening tests by </w:t>
      </w:r>
      <w:r>
        <w:rPr>
          <w:lang w:eastAsia="ja-JP"/>
        </w:rPr>
        <w:t>gestational diabetes</w:t>
      </w:r>
      <w:r w:rsidRPr="00E07B1B">
        <w:rPr>
          <w:lang w:eastAsia="ja-JP"/>
        </w:rPr>
        <w:t xml:space="preserve"> diagnostic criteria</w:t>
      </w:r>
      <w:bookmarkEnd w:id="504"/>
      <w:bookmarkEnd w:id="505"/>
    </w:p>
    <w:tbl>
      <w:tblPr>
        <w:tblStyle w:val="TableGrid"/>
        <w:tblW w:w="1460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60"/>
        <w:gridCol w:w="1701"/>
        <w:gridCol w:w="567"/>
        <w:gridCol w:w="1541"/>
        <w:gridCol w:w="1258"/>
        <w:gridCol w:w="1329"/>
        <w:gridCol w:w="1329"/>
        <w:gridCol w:w="1329"/>
        <w:gridCol w:w="1329"/>
        <w:gridCol w:w="1382"/>
        <w:gridCol w:w="1276"/>
      </w:tblGrid>
      <w:tr w:rsidR="003769A9" w:rsidRPr="00C82FCE" w:rsidTr="00A30F3A">
        <w:trPr>
          <w:cantSplit/>
          <w:tblHeader/>
        </w:trPr>
        <w:tc>
          <w:tcPr>
            <w:tcW w:w="1560" w:type="dxa"/>
            <w:tcBorders>
              <w:top w:val="single" w:sz="4" w:space="0" w:color="auto"/>
              <w:bottom w:val="single" w:sz="4" w:space="0" w:color="auto"/>
            </w:tcBorders>
          </w:tcPr>
          <w:p w:rsidR="001A286C" w:rsidRPr="00C82FCE" w:rsidRDefault="001A286C" w:rsidP="00C82FCE">
            <w:pPr>
              <w:pStyle w:val="TableText"/>
              <w:keepNext/>
              <w:rPr>
                <w:b/>
                <w:lang w:eastAsia="ja-JP"/>
              </w:rPr>
            </w:pPr>
            <w:r w:rsidRPr="00C82FCE">
              <w:rPr>
                <w:b/>
                <w:lang w:eastAsia="ja-JP"/>
              </w:rPr>
              <w:t>Screening test</w:t>
            </w:r>
          </w:p>
        </w:tc>
        <w:tc>
          <w:tcPr>
            <w:tcW w:w="1701" w:type="dxa"/>
            <w:tcBorders>
              <w:top w:val="single" w:sz="4" w:space="0" w:color="auto"/>
              <w:bottom w:val="single" w:sz="4" w:space="0" w:color="auto"/>
            </w:tcBorders>
          </w:tcPr>
          <w:p w:rsidR="001A286C" w:rsidRPr="00C82FCE" w:rsidRDefault="001A286C" w:rsidP="00C82FCE">
            <w:pPr>
              <w:pStyle w:val="TableText"/>
              <w:keepNext/>
              <w:rPr>
                <w:b/>
                <w:lang w:eastAsia="ja-JP"/>
              </w:rPr>
            </w:pPr>
            <w:r w:rsidRPr="00C82FCE">
              <w:rPr>
                <w:b/>
                <w:lang w:eastAsia="ja-JP"/>
              </w:rPr>
              <w:t>Author, year, country</w:t>
            </w:r>
          </w:p>
        </w:tc>
        <w:tc>
          <w:tcPr>
            <w:tcW w:w="567" w:type="dxa"/>
            <w:tcBorders>
              <w:top w:val="single" w:sz="4" w:space="0" w:color="auto"/>
              <w:bottom w:val="single" w:sz="4" w:space="0" w:color="auto"/>
            </w:tcBorders>
          </w:tcPr>
          <w:p w:rsidR="001A286C" w:rsidRPr="00C82FCE" w:rsidRDefault="001A286C" w:rsidP="00C82FCE">
            <w:pPr>
              <w:pStyle w:val="TableText"/>
              <w:keepNext/>
              <w:jc w:val="center"/>
              <w:rPr>
                <w:b/>
                <w:lang w:eastAsia="ja-JP"/>
              </w:rPr>
            </w:pPr>
            <w:r w:rsidRPr="00C82FCE">
              <w:rPr>
                <w:b/>
                <w:lang w:eastAsia="ja-JP"/>
              </w:rPr>
              <w:t>N*</w:t>
            </w:r>
          </w:p>
        </w:tc>
        <w:tc>
          <w:tcPr>
            <w:tcW w:w="1541" w:type="dxa"/>
            <w:tcBorders>
              <w:top w:val="single" w:sz="4" w:space="0" w:color="auto"/>
              <w:bottom w:val="single" w:sz="4" w:space="0" w:color="auto"/>
            </w:tcBorders>
          </w:tcPr>
          <w:p w:rsidR="001A286C" w:rsidRPr="00C82FCE" w:rsidRDefault="001A286C" w:rsidP="00C82FCE">
            <w:pPr>
              <w:pStyle w:val="TableText"/>
              <w:keepNext/>
              <w:jc w:val="center"/>
              <w:rPr>
                <w:b/>
                <w:lang w:eastAsia="ja-JP"/>
              </w:rPr>
            </w:pPr>
            <w:r w:rsidRPr="00C82FCE">
              <w:rPr>
                <w:b/>
                <w:lang w:eastAsia="ja-JP"/>
              </w:rPr>
              <w:t>Index test threshold</w:t>
            </w:r>
          </w:p>
        </w:tc>
        <w:tc>
          <w:tcPr>
            <w:tcW w:w="1258" w:type="dxa"/>
            <w:tcBorders>
              <w:top w:val="single" w:sz="4" w:space="0" w:color="auto"/>
              <w:bottom w:val="single" w:sz="4" w:space="0" w:color="auto"/>
            </w:tcBorders>
          </w:tcPr>
          <w:p w:rsidR="001A286C" w:rsidRPr="00C82FCE" w:rsidRDefault="001A286C" w:rsidP="00C82FCE">
            <w:pPr>
              <w:pStyle w:val="TableText"/>
              <w:keepNext/>
              <w:jc w:val="center"/>
              <w:rPr>
                <w:b/>
                <w:lang w:eastAsia="ja-JP"/>
              </w:rPr>
            </w:pPr>
            <w:r w:rsidRPr="00C82FCE">
              <w:rPr>
                <w:b/>
                <w:lang w:eastAsia="ja-JP"/>
              </w:rPr>
              <w:t>Reference standard</w:t>
            </w:r>
          </w:p>
        </w:tc>
        <w:tc>
          <w:tcPr>
            <w:tcW w:w="1329" w:type="dxa"/>
            <w:tcBorders>
              <w:top w:val="single" w:sz="4" w:space="0" w:color="auto"/>
              <w:bottom w:val="single" w:sz="4" w:space="0" w:color="auto"/>
            </w:tcBorders>
          </w:tcPr>
          <w:p w:rsidR="001A286C" w:rsidRPr="00C82FCE" w:rsidRDefault="001A286C" w:rsidP="00C82FCE">
            <w:pPr>
              <w:pStyle w:val="TableText"/>
              <w:keepNext/>
              <w:jc w:val="center"/>
              <w:rPr>
                <w:b/>
                <w:lang w:eastAsia="ja-JP"/>
              </w:rPr>
            </w:pPr>
            <w:r w:rsidRPr="00C82FCE">
              <w:rPr>
                <w:b/>
                <w:lang w:eastAsia="ja-JP"/>
              </w:rPr>
              <w:t>Prevalence</w:t>
            </w:r>
            <w:r w:rsidRPr="00C82FCE">
              <w:rPr>
                <w:b/>
                <w:lang w:eastAsia="ja-JP"/>
              </w:rPr>
              <w:br/>
              <w:t>(%)</w:t>
            </w:r>
          </w:p>
        </w:tc>
        <w:tc>
          <w:tcPr>
            <w:tcW w:w="1329" w:type="dxa"/>
            <w:tcBorders>
              <w:top w:val="single" w:sz="4" w:space="0" w:color="auto"/>
              <w:bottom w:val="single" w:sz="4" w:space="0" w:color="auto"/>
            </w:tcBorders>
          </w:tcPr>
          <w:p w:rsidR="001A286C" w:rsidRPr="00C82FCE" w:rsidRDefault="001A286C" w:rsidP="00C82FCE">
            <w:pPr>
              <w:pStyle w:val="TableText"/>
              <w:keepNext/>
              <w:jc w:val="center"/>
              <w:rPr>
                <w:b/>
                <w:lang w:eastAsia="ja-JP"/>
              </w:rPr>
            </w:pPr>
            <w:r w:rsidRPr="00C82FCE">
              <w:rPr>
                <w:b/>
                <w:lang w:eastAsia="ja-JP"/>
              </w:rPr>
              <w:t>Sn (%)</w:t>
            </w:r>
            <w:r w:rsidRPr="00C82FCE">
              <w:rPr>
                <w:b/>
                <w:lang w:eastAsia="ja-JP"/>
              </w:rPr>
              <w:br/>
              <w:t>(95% CI)</w:t>
            </w:r>
          </w:p>
        </w:tc>
        <w:tc>
          <w:tcPr>
            <w:tcW w:w="1329" w:type="dxa"/>
            <w:tcBorders>
              <w:top w:val="single" w:sz="4" w:space="0" w:color="auto"/>
              <w:bottom w:val="single" w:sz="4" w:space="0" w:color="auto"/>
            </w:tcBorders>
          </w:tcPr>
          <w:p w:rsidR="001A286C" w:rsidRPr="00C82FCE" w:rsidRDefault="001A286C" w:rsidP="00C82FCE">
            <w:pPr>
              <w:pStyle w:val="TableText"/>
              <w:keepNext/>
              <w:jc w:val="center"/>
              <w:rPr>
                <w:b/>
                <w:lang w:eastAsia="ja-JP"/>
              </w:rPr>
            </w:pPr>
            <w:r w:rsidRPr="00C82FCE">
              <w:rPr>
                <w:b/>
                <w:lang w:eastAsia="ja-JP"/>
              </w:rPr>
              <w:t>Sp (%)</w:t>
            </w:r>
            <w:r w:rsidRPr="00C82FCE">
              <w:rPr>
                <w:b/>
                <w:lang w:eastAsia="ja-JP"/>
              </w:rPr>
              <w:br/>
              <w:t>(95% CI)</w:t>
            </w:r>
          </w:p>
        </w:tc>
        <w:tc>
          <w:tcPr>
            <w:tcW w:w="1329" w:type="dxa"/>
            <w:tcBorders>
              <w:top w:val="single" w:sz="4" w:space="0" w:color="auto"/>
              <w:bottom w:val="single" w:sz="4" w:space="0" w:color="auto"/>
            </w:tcBorders>
          </w:tcPr>
          <w:p w:rsidR="001A286C" w:rsidRPr="00C82FCE" w:rsidRDefault="001A286C" w:rsidP="00C82FCE">
            <w:pPr>
              <w:pStyle w:val="TableText"/>
              <w:keepNext/>
              <w:jc w:val="center"/>
              <w:rPr>
                <w:b/>
                <w:lang w:eastAsia="ja-JP"/>
              </w:rPr>
            </w:pPr>
            <w:r w:rsidRPr="00C82FCE">
              <w:rPr>
                <w:b/>
                <w:lang w:eastAsia="ja-JP"/>
              </w:rPr>
              <w:t>PPV</w:t>
            </w:r>
            <w:r w:rsidRPr="00C82FCE">
              <w:rPr>
                <w:b/>
                <w:lang w:eastAsia="ja-JP"/>
              </w:rPr>
              <w:br/>
              <w:t>(95% CI)</w:t>
            </w:r>
          </w:p>
        </w:tc>
        <w:tc>
          <w:tcPr>
            <w:tcW w:w="1382" w:type="dxa"/>
            <w:tcBorders>
              <w:top w:val="single" w:sz="4" w:space="0" w:color="auto"/>
              <w:bottom w:val="single" w:sz="4" w:space="0" w:color="auto"/>
            </w:tcBorders>
          </w:tcPr>
          <w:p w:rsidR="001A286C" w:rsidRPr="00C82FCE" w:rsidRDefault="001A286C" w:rsidP="00C82FCE">
            <w:pPr>
              <w:pStyle w:val="TableText"/>
              <w:keepNext/>
              <w:jc w:val="center"/>
              <w:rPr>
                <w:b/>
                <w:lang w:eastAsia="ja-JP"/>
              </w:rPr>
            </w:pPr>
            <w:r w:rsidRPr="00C82FCE">
              <w:rPr>
                <w:b/>
                <w:lang w:eastAsia="ja-JP"/>
              </w:rPr>
              <w:t>NPV</w:t>
            </w:r>
            <w:r w:rsidRPr="00C82FCE">
              <w:rPr>
                <w:b/>
                <w:lang w:eastAsia="ja-JP"/>
              </w:rPr>
              <w:br/>
              <w:t>(95% CI)</w:t>
            </w:r>
          </w:p>
        </w:tc>
        <w:tc>
          <w:tcPr>
            <w:tcW w:w="1276" w:type="dxa"/>
            <w:tcBorders>
              <w:top w:val="single" w:sz="4" w:space="0" w:color="auto"/>
              <w:bottom w:val="single" w:sz="4" w:space="0" w:color="auto"/>
            </w:tcBorders>
          </w:tcPr>
          <w:p w:rsidR="001A286C" w:rsidRPr="00C82FCE" w:rsidRDefault="001A286C" w:rsidP="00C82FCE">
            <w:pPr>
              <w:pStyle w:val="TableText"/>
              <w:keepNext/>
              <w:jc w:val="center"/>
              <w:rPr>
                <w:b/>
                <w:lang w:eastAsia="ja-JP"/>
              </w:rPr>
            </w:pPr>
            <w:r w:rsidRPr="00C82FCE">
              <w:rPr>
                <w:b/>
                <w:lang w:eastAsia="ja-JP"/>
              </w:rPr>
              <w:t>Accuracy</w:t>
            </w:r>
            <w:r w:rsidRPr="00C82FCE">
              <w:rPr>
                <w:b/>
                <w:lang w:eastAsia="ja-JP"/>
              </w:rPr>
              <w:br/>
              <w:t>(%)</w:t>
            </w:r>
          </w:p>
        </w:tc>
      </w:tr>
      <w:tr w:rsidR="002079BB" w:rsidRPr="001A286C" w:rsidTr="00A30F3A">
        <w:trPr>
          <w:cantSplit/>
        </w:trPr>
        <w:tc>
          <w:tcPr>
            <w:tcW w:w="1560" w:type="dxa"/>
            <w:vMerge w:val="restart"/>
            <w:tcBorders>
              <w:top w:val="single" w:sz="4" w:space="0" w:color="auto"/>
              <w:bottom w:val="nil"/>
            </w:tcBorders>
            <w:shd w:val="clear" w:color="auto" w:fill="F2F2F2" w:themeFill="background1" w:themeFillShade="F2"/>
          </w:tcPr>
          <w:p w:rsidR="003769A9" w:rsidRPr="001A286C" w:rsidRDefault="003769A9" w:rsidP="00C82FCE">
            <w:pPr>
              <w:pStyle w:val="TableText"/>
              <w:keepNext/>
              <w:rPr>
                <w:b/>
                <w:lang w:eastAsia="ja-JP"/>
              </w:rPr>
            </w:pPr>
            <w:r>
              <w:rPr>
                <w:lang w:eastAsia="ja-JP"/>
              </w:rPr>
              <w:t>HbA1c</w:t>
            </w:r>
          </w:p>
        </w:tc>
        <w:tc>
          <w:tcPr>
            <w:tcW w:w="1701" w:type="dxa"/>
            <w:tcBorders>
              <w:top w:val="single" w:sz="4" w:space="0" w:color="auto"/>
              <w:bottom w:val="nil"/>
            </w:tcBorders>
            <w:shd w:val="clear" w:color="auto" w:fill="F2F2F2" w:themeFill="background1" w:themeFillShade="F2"/>
          </w:tcPr>
          <w:p w:rsidR="003769A9" w:rsidRPr="001A286C" w:rsidRDefault="003769A9" w:rsidP="00C82FCE">
            <w:pPr>
              <w:pStyle w:val="TableText"/>
              <w:keepNext/>
              <w:rPr>
                <w:b/>
                <w:lang w:eastAsia="ja-JP"/>
              </w:rPr>
            </w:pPr>
            <w:r>
              <w:rPr>
                <w:lang w:eastAsia="ja-JP"/>
              </w:rPr>
              <w:t>Uncu, 1995, Turkey</w:t>
            </w:r>
          </w:p>
        </w:tc>
        <w:tc>
          <w:tcPr>
            <w:tcW w:w="567" w:type="dxa"/>
            <w:tcBorders>
              <w:top w:val="single" w:sz="4" w:space="0" w:color="auto"/>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42</w:t>
            </w:r>
          </w:p>
        </w:tc>
        <w:tc>
          <w:tcPr>
            <w:tcW w:w="1541" w:type="dxa"/>
            <w:tcBorders>
              <w:top w:val="single" w:sz="4" w:space="0" w:color="auto"/>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7.2%</w:t>
            </w:r>
          </w:p>
        </w:tc>
        <w:tc>
          <w:tcPr>
            <w:tcW w:w="1258" w:type="dxa"/>
            <w:tcBorders>
              <w:top w:val="single" w:sz="4" w:space="0" w:color="auto"/>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CC</w:t>
            </w:r>
          </w:p>
        </w:tc>
        <w:tc>
          <w:tcPr>
            <w:tcW w:w="1329" w:type="dxa"/>
            <w:tcBorders>
              <w:top w:val="single" w:sz="4" w:space="0" w:color="auto"/>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33.3</w:t>
            </w:r>
          </w:p>
        </w:tc>
        <w:tc>
          <w:tcPr>
            <w:tcW w:w="1329" w:type="dxa"/>
            <w:tcBorders>
              <w:top w:val="single" w:sz="4" w:space="0" w:color="auto"/>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64 (35–87)</w:t>
            </w:r>
          </w:p>
        </w:tc>
        <w:tc>
          <w:tcPr>
            <w:tcW w:w="1329" w:type="dxa"/>
            <w:tcBorders>
              <w:top w:val="single" w:sz="4" w:space="0" w:color="auto"/>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64 (44–81)</w:t>
            </w:r>
          </w:p>
        </w:tc>
        <w:tc>
          <w:tcPr>
            <w:tcW w:w="1329" w:type="dxa"/>
            <w:tcBorders>
              <w:top w:val="single" w:sz="4" w:space="0" w:color="auto"/>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47 (27–68)</w:t>
            </w:r>
          </w:p>
        </w:tc>
        <w:tc>
          <w:tcPr>
            <w:tcW w:w="1382" w:type="dxa"/>
            <w:tcBorders>
              <w:top w:val="single" w:sz="4" w:space="0" w:color="auto"/>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78 (59–87)</w:t>
            </w:r>
          </w:p>
        </w:tc>
        <w:tc>
          <w:tcPr>
            <w:tcW w:w="1276" w:type="dxa"/>
            <w:tcBorders>
              <w:top w:val="single" w:sz="4" w:space="0" w:color="auto"/>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64</w:t>
            </w:r>
          </w:p>
        </w:tc>
      </w:tr>
      <w:tr w:rsidR="002079BB" w:rsidRPr="001A286C" w:rsidTr="00A30F3A">
        <w:trPr>
          <w:cantSplit/>
        </w:trPr>
        <w:tc>
          <w:tcPr>
            <w:tcW w:w="1560" w:type="dxa"/>
            <w:vMerge/>
            <w:tcBorders>
              <w:top w:val="nil"/>
              <w:bottom w:val="nil"/>
            </w:tcBorders>
            <w:shd w:val="clear" w:color="auto" w:fill="F2F2F2" w:themeFill="background1" w:themeFillShade="F2"/>
          </w:tcPr>
          <w:p w:rsidR="003769A9" w:rsidRPr="001A286C" w:rsidRDefault="003769A9" w:rsidP="00C82FCE">
            <w:pPr>
              <w:pStyle w:val="TableText"/>
              <w:keepNext/>
              <w:rPr>
                <w:b/>
                <w:lang w:eastAsia="ja-JP"/>
              </w:rPr>
            </w:pPr>
          </w:p>
        </w:tc>
        <w:tc>
          <w:tcPr>
            <w:tcW w:w="1701" w:type="dxa"/>
            <w:tcBorders>
              <w:top w:val="nil"/>
              <w:bottom w:val="nil"/>
            </w:tcBorders>
            <w:shd w:val="clear" w:color="auto" w:fill="F2F2F2" w:themeFill="background1" w:themeFillShade="F2"/>
          </w:tcPr>
          <w:p w:rsidR="003769A9" w:rsidRPr="001A286C" w:rsidRDefault="003769A9" w:rsidP="00C82FCE">
            <w:pPr>
              <w:pStyle w:val="TableText"/>
              <w:keepNext/>
              <w:rPr>
                <w:b/>
                <w:lang w:eastAsia="ja-JP"/>
              </w:rPr>
            </w:pPr>
            <w:r>
              <w:rPr>
                <w:lang w:eastAsia="ja-JP"/>
              </w:rPr>
              <w:t>Agarwal, 2005, UAE</w:t>
            </w:r>
          </w:p>
        </w:tc>
        <w:tc>
          <w:tcPr>
            <w:tcW w:w="567"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442</w:t>
            </w:r>
          </w:p>
        </w:tc>
        <w:tc>
          <w:tcPr>
            <w:tcW w:w="1541"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7.5%</w:t>
            </w:r>
          </w:p>
        </w:tc>
        <w:tc>
          <w:tcPr>
            <w:tcW w:w="1258"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ADA (75 g)</w:t>
            </w:r>
          </w:p>
        </w:tc>
        <w:tc>
          <w:tcPr>
            <w:tcW w:w="1329"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19.0</w:t>
            </w:r>
          </w:p>
        </w:tc>
        <w:tc>
          <w:tcPr>
            <w:tcW w:w="1329"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82 (72–90)</w:t>
            </w:r>
          </w:p>
        </w:tc>
        <w:tc>
          <w:tcPr>
            <w:tcW w:w="1329"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21 (17–26)</w:t>
            </w:r>
          </w:p>
        </w:tc>
        <w:tc>
          <w:tcPr>
            <w:tcW w:w="1329"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20 (16–24)</w:t>
            </w:r>
          </w:p>
        </w:tc>
        <w:tc>
          <w:tcPr>
            <w:tcW w:w="1382"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83 (75–90)</w:t>
            </w:r>
          </w:p>
        </w:tc>
        <w:tc>
          <w:tcPr>
            <w:tcW w:w="1276"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33</w:t>
            </w:r>
          </w:p>
        </w:tc>
      </w:tr>
      <w:tr w:rsidR="002079BB" w:rsidRPr="001A286C" w:rsidTr="00A30F3A">
        <w:trPr>
          <w:cantSplit/>
        </w:trPr>
        <w:tc>
          <w:tcPr>
            <w:tcW w:w="1560" w:type="dxa"/>
            <w:vMerge/>
            <w:tcBorders>
              <w:top w:val="nil"/>
              <w:bottom w:val="nil"/>
            </w:tcBorders>
            <w:shd w:val="clear" w:color="auto" w:fill="F2F2F2" w:themeFill="background1" w:themeFillShade="F2"/>
          </w:tcPr>
          <w:p w:rsidR="003769A9" w:rsidRPr="001A286C" w:rsidRDefault="003769A9" w:rsidP="00C82FCE">
            <w:pPr>
              <w:pStyle w:val="TableText"/>
              <w:keepNext/>
              <w:rPr>
                <w:b/>
                <w:lang w:eastAsia="ja-JP"/>
              </w:rPr>
            </w:pPr>
          </w:p>
        </w:tc>
        <w:tc>
          <w:tcPr>
            <w:tcW w:w="1701" w:type="dxa"/>
            <w:tcBorders>
              <w:top w:val="nil"/>
              <w:bottom w:val="nil"/>
            </w:tcBorders>
            <w:shd w:val="clear" w:color="auto" w:fill="F2F2F2" w:themeFill="background1" w:themeFillShade="F2"/>
          </w:tcPr>
          <w:p w:rsidR="003769A9" w:rsidRPr="001A286C" w:rsidRDefault="003769A9" w:rsidP="00C82FCE">
            <w:pPr>
              <w:pStyle w:val="TableText"/>
              <w:keepNext/>
              <w:rPr>
                <w:b/>
                <w:lang w:eastAsia="ja-JP"/>
              </w:rPr>
            </w:pPr>
            <w:r>
              <w:rPr>
                <w:lang w:eastAsia="ja-JP"/>
              </w:rPr>
              <w:t>Agarwal, 2001, UAE</w:t>
            </w:r>
          </w:p>
        </w:tc>
        <w:tc>
          <w:tcPr>
            <w:tcW w:w="567"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430</w:t>
            </w:r>
          </w:p>
        </w:tc>
        <w:tc>
          <w:tcPr>
            <w:tcW w:w="1541"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5.0%</w:t>
            </w:r>
          </w:p>
        </w:tc>
        <w:tc>
          <w:tcPr>
            <w:tcW w:w="1258"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CC</w:t>
            </w:r>
          </w:p>
        </w:tc>
        <w:tc>
          <w:tcPr>
            <w:tcW w:w="1329"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26.8</w:t>
            </w:r>
          </w:p>
        </w:tc>
        <w:tc>
          <w:tcPr>
            <w:tcW w:w="1329"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92 (86–96)</w:t>
            </w:r>
          </w:p>
        </w:tc>
        <w:tc>
          <w:tcPr>
            <w:tcW w:w="1329"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28 (23–33)</w:t>
            </w:r>
          </w:p>
        </w:tc>
        <w:tc>
          <w:tcPr>
            <w:tcW w:w="1329"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32 (27–37)</w:t>
            </w:r>
          </w:p>
        </w:tc>
        <w:tc>
          <w:tcPr>
            <w:tcW w:w="1382"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91 (83–95)</w:t>
            </w:r>
          </w:p>
        </w:tc>
        <w:tc>
          <w:tcPr>
            <w:tcW w:w="1276"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45</w:t>
            </w:r>
          </w:p>
        </w:tc>
      </w:tr>
      <w:tr w:rsidR="002079BB" w:rsidRPr="001A286C" w:rsidTr="00A30F3A">
        <w:trPr>
          <w:cantSplit/>
        </w:trPr>
        <w:tc>
          <w:tcPr>
            <w:tcW w:w="1560" w:type="dxa"/>
            <w:vMerge/>
            <w:tcBorders>
              <w:top w:val="nil"/>
              <w:bottom w:val="nil"/>
            </w:tcBorders>
            <w:shd w:val="clear" w:color="auto" w:fill="F2F2F2" w:themeFill="background1" w:themeFillShade="F2"/>
          </w:tcPr>
          <w:p w:rsidR="003769A9" w:rsidRPr="001A286C" w:rsidRDefault="003769A9" w:rsidP="00C82FCE">
            <w:pPr>
              <w:pStyle w:val="TableText"/>
              <w:keepNext/>
              <w:rPr>
                <w:b/>
                <w:lang w:eastAsia="ja-JP"/>
              </w:rPr>
            </w:pPr>
          </w:p>
        </w:tc>
        <w:tc>
          <w:tcPr>
            <w:tcW w:w="1701" w:type="dxa"/>
            <w:tcBorders>
              <w:top w:val="nil"/>
              <w:bottom w:val="nil"/>
            </w:tcBorders>
            <w:shd w:val="clear" w:color="auto" w:fill="F2F2F2" w:themeFill="background1" w:themeFillShade="F2"/>
          </w:tcPr>
          <w:p w:rsidR="003769A9" w:rsidRPr="001A286C" w:rsidRDefault="003769A9" w:rsidP="00C82FCE">
            <w:pPr>
              <w:pStyle w:val="TableText"/>
              <w:keepNext/>
              <w:rPr>
                <w:b/>
                <w:lang w:eastAsia="ja-JP"/>
              </w:rPr>
            </w:pPr>
            <w:r>
              <w:rPr>
                <w:lang w:eastAsia="ja-JP"/>
              </w:rPr>
              <w:t>Rajput, 2011, India</w:t>
            </w:r>
          </w:p>
        </w:tc>
        <w:tc>
          <w:tcPr>
            <w:tcW w:w="567"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607</w:t>
            </w:r>
          </w:p>
        </w:tc>
        <w:tc>
          <w:tcPr>
            <w:tcW w:w="1541"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5.5%</w:t>
            </w:r>
            <w:r>
              <w:rPr>
                <w:lang w:eastAsia="ja-JP"/>
              </w:rPr>
              <w:br/>
              <w:t>5.3%</w:t>
            </w:r>
          </w:p>
        </w:tc>
        <w:tc>
          <w:tcPr>
            <w:tcW w:w="1258"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ADA</w:t>
            </w:r>
            <w:r>
              <w:rPr>
                <w:lang w:eastAsia="ja-JP"/>
              </w:rPr>
              <w:br/>
              <w:t>IADPSG</w:t>
            </w:r>
          </w:p>
        </w:tc>
        <w:tc>
          <w:tcPr>
            <w:tcW w:w="1329"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7.1</w:t>
            </w:r>
            <w:r>
              <w:rPr>
                <w:lang w:eastAsia="ja-JP"/>
              </w:rPr>
              <w:br/>
              <w:t>23.7</w:t>
            </w:r>
          </w:p>
        </w:tc>
        <w:tc>
          <w:tcPr>
            <w:tcW w:w="1329"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86 (72–95)</w:t>
            </w:r>
            <w:r>
              <w:rPr>
                <w:lang w:eastAsia="ja-JP"/>
              </w:rPr>
              <w:br/>
              <w:t>12 (7–18)</w:t>
            </w:r>
          </w:p>
        </w:tc>
        <w:tc>
          <w:tcPr>
            <w:tcW w:w="1329"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61 (57–65)</w:t>
            </w:r>
            <w:r>
              <w:rPr>
                <w:lang w:eastAsia="ja-JP"/>
              </w:rPr>
              <w:br/>
              <w:t>97 (95–98)</w:t>
            </w:r>
          </w:p>
        </w:tc>
        <w:tc>
          <w:tcPr>
            <w:tcW w:w="1329"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15 (11–19)</w:t>
            </w:r>
            <w:r>
              <w:rPr>
                <w:lang w:eastAsia="ja-JP"/>
              </w:rPr>
              <w:br/>
              <w:t>57 (39–73)</w:t>
            </w:r>
          </w:p>
        </w:tc>
        <w:tc>
          <w:tcPr>
            <w:tcW w:w="1382"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98 (96–99)</w:t>
            </w:r>
            <w:r>
              <w:rPr>
                <w:lang w:eastAsia="ja-JP"/>
              </w:rPr>
              <w:br/>
              <w:t>78 (74–82)</w:t>
            </w:r>
          </w:p>
        </w:tc>
        <w:tc>
          <w:tcPr>
            <w:tcW w:w="1276" w:type="dxa"/>
            <w:tcBorders>
              <w:top w:val="nil"/>
              <w:bottom w:val="nil"/>
            </w:tcBorders>
            <w:shd w:val="clear" w:color="auto" w:fill="F2F2F2" w:themeFill="background1" w:themeFillShade="F2"/>
          </w:tcPr>
          <w:p w:rsidR="003769A9" w:rsidRPr="001A286C" w:rsidRDefault="003769A9" w:rsidP="00C82FCE">
            <w:pPr>
              <w:pStyle w:val="TableText"/>
              <w:keepNext/>
              <w:jc w:val="center"/>
              <w:rPr>
                <w:b/>
                <w:lang w:eastAsia="ja-JP"/>
              </w:rPr>
            </w:pPr>
            <w:r>
              <w:rPr>
                <w:lang w:eastAsia="ja-JP"/>
              </w:rPr>
              <w:t>63</w:t>
            </w:r>
            <w:r>
              <w:rPr>
                <w:lang w:eastAsia="ja-JP"/>
              </w:rPr>
              <w:br/>
              <w:t>77</w:t>
            </w:r>
          </w:p>
        </w:tc>
      </w:tr>
      <w:tr w:rsidR="003769A9" w:rsidRPr="001A286C" w:rsidTr="00A30F3A">
        <w:trPr>
          <w:cantSplit/>
        </w:trPr>
        <w:tc>
          <w:tcPr>
            <w:tcW w:w="1560" w:type="dxa"/>
            <w:vMerge w:val="restart"/>
            <w:tcBorders>
              <w:top w:val="nil"/>
            </w:tcBorders>
          </w:tcPr>
          <w:p w:rsidR="003769A9" w:rsidRPr="001A286C" w:rsidRDefault="003769A9" w:rsidP="00C82FCE">
            <w:pPr>
              <w:pStyle w:val="TableText"/>
              <w:rPr>
                <w:b/>
                <w:lang w:eastAsia="ja-JP"/>
              </w:rPr>
            </w:pPr>
            <w:r>
              <w:rPr>
                <w:lang w:eastAsia="ja-JP"/>
              </w:rPr>
              <w:t>Serum fructosamine</w:t>
            </w:r>
          </w:p>
        </w:tc>
        <w:tc>
          <w:tcPr>
            <w:tcW w:w="1701" w:type="dxa"/>
            <w:tcBorders>
              <w:top w:val="nil"/>
            </w:tcBorders>
          </w:tcPr>
          <w:p w:rsidR="003769A9" w:rsidRPr="001A286C" w:rsidRDefault="003769A9" w:rsidP="00C82FCE">
            <w:pPr>
              <w:pStyle w:val="TableText"/>
              <w:rPr>
                <w:b/>
                <w:lang w:eastAsia="ja-JP"/>
              </w:rPr>
            </w:pPr>
            <w:r>
              <w:rPr>
                <w:lang w:eastAsia="ja-JP"/>
              </w:rPr>
              <w:t>Agarwal, 2011, UAE</w:t>
            </w:r>
          </w:p>
        </w:tc>
        <w:tc>
          <w:tcPr>
            <w:tcW w:w="567" w:type="dxa"/>
            <w:tcBorders>
              <w:top w:val="nil"/>
            </w:tcBorders>
          </w:tcPr>
          <w:p w:rsidR="003769A9" w:rsidRPr="001A286C" w:rsidRDefault="003769A9" w:rsidP="00C82FCE">
            <w:pPr>
              <w:pStyle w:val="TableText"/>
              <w:jc w:val="center"/>
              <w:rPr>
                <w:b/>
                <w:lang w:eastAsia="ja-JP"/>
              </w:rPr>
            </w:pPr>
            <w:r>
              <w:rPr>
                <w:lang w:eastAsia="ja-JP"/>
              </w:rPr>
              <w:t>849</w:t>
            </w:r>
          </w:p>
        </w:tc>
        <w:tc>
          <w:tcPr>
            <w:tcW w:w="1541" w:type="dxa"/>
            <w:tcBorders>
              <w:top w:val="nil"/>
            </w:tcBorders>
          </w:tcPr>
          <w:p w:rsidR="003769A9" w:rsidRPr="001A286C" w:rsidRDefault="003769A9" w:rsidP="00C82FCE">
            <w:pPr>
              <w:pStyle w:val="TableText"/>
              <w:jc w:val="center"/>
              <w:rPr>
                <w:b/>
                <w:lang w:eastAsia="ja-JP"/>
              </w:rPr>
            </w:pPr>
            <w:r>
              <w:rPr>
                <w:lang w:eastAsia="ja-JP"/>
              </w:rPr>
              <w:t>≥ 237 µmol/L</w:t>
            </w:r>
          </w:p>
        </w:tc>
        <w:tc>
          <w:tcPr>
            <w:tcW w:w="1258" w:type="dxa"/>
            <w:tcBorders>
              <w:top w:val="nil"/>
            </w:tcBorders>
          </w:tcPr>
          <w:p w:rsidR="003769A9" w:rsidRPr="001A286C" w:rsidRDefault="003769A9" w:rsidP="00C82FCE">
            <w:pPr>
              <w:pStyle w:val="TableText"/>
              <w:jc w:val="center"/>
              <w:rPr>
                <w:b/>
                <w:lang w:eastAsia="ja-JP"/>
              </w:rPr>
            </w:pPr>
            <w:r>
              <w:rPr>
                <w:lang w:eastAsia="ja-JP"/>
              </w:rPr>
              <w:t>ADA (75 g)</w:t>
            </w:r>
          </w:p>
        </w:tc>
        <w:tc>
          <w:tcPr>
            <w:tcW w:w="1329" w:type="dxa"/>
            <w:tcBorders>
              <w:top w:val="nil"/>
            </w:tcBorders>
          </w:tcPr>
          <w:p w:rsidR="003769A9" w:rsidRPr="001A286C" w:rsidRDefault="003769A9" w:rsidP="00C82FCE">
            <w:pPr>
              <w:pStyle w:val="TableText"/>
              <w:jc w:val="center"/>
              <w:rPr>
                <w:b/>
                <w:lang w:eastAsia="ja-JP"/>
              </w:rPr>
            </w:pPr>
            <w:r>
              <w:rPr>
                <w:lang w:eastAsia="ja-JP"/>
              </w:rPr>
              <w:t>13.3</w:t>
            </w:r>
          </w:p>
        </w:tc>
        <w:tc>
          <w:tcPr>
            <w:tcW w:w="1329" w:type="dxa"/>
            <w:tcBorders>
              <w:top w:val="nil"/>
            </w:tcBorders>
          </w:tcPr>
          <w:p w:rsidR="003769A9" w:rsidRPr="001A286C" w:rsidRDefault="00136CD5" w:rsidP="00C82FCE">
            <w:pPr>
              <w:pStyle w:val="TableText"/>
              <w:jc w:val="center"/>
              <w:rPr>
                <w:b/>
                <w:lang w:eastAsia="ja-JP"/>
              </w:rPr>
            </w:pPr>
            <w:r>
              <w:rPr>
                <w:lang w:eastAsia="ja-JP"/>
              </w:rPr>
              <w:t>86 (78–92)</w:t>
            </w:r>
          </w:p>
        </w:tc>
        <w:tc>
          <w:tcPr>
            <w:tcW w:w="1329" w:type="dxa"/>
            <w:tcBorders>
              <w:top w:val="nil"/>
            </w:tcBorders>
          </w:tcPr>
          <w:p w:rsidR="003769A9" w:rsidRPr="001A286C" w:rsidRDefault="00136CD5" w:rsidP="00C82FCE">
            <w:pPr>
              <w:pStyle w:val="TableText"/>
              <w:jc w:val="center"/>
              <w:rPr>
                <w:b/>
                <w:lang w:eastAsia="ja-JP"/>
              </w:rPr>
            </w:pPr>
            <w:r>
              <w:rPr>
                <w:lang w:eastAsia="ja-JP"/>
              </w:rPr>
              <w:t>23 (20–27)</w:t>
            </w:r>
          </w:p>
        </w:tc>
        <w:tc>
          <w:tcPr>
            <w:tcW w:w="1329" w:type="dxa"/>
            <w:tcBorders>
              <w:top w:val="nil"/>
            </w:tcBorders>
          </w:tcPr>
          <w:p w:rsidR="003769A9" w:rsidRPr="001A286C" w:rsidRDefault="00136CD5" w:rsidP="00C82FCE">
            <w:pPr>
              <w:pStyle w:val="TableText"/>
              <w:jc w:val="center"/>
              <w:rPr>
                <w:b/>
                <w:lang w:eastAsia="ja-JP"/>
              </w:rPr>
            </w:pPr>
            <w:r>
              <w:rPr>
                <w:lang w:eastAsia="ja-JP"/>
              </w:rPr>
              <w:t>15 (12–18)</w:t>
            </w:r>
          </w:p>
        </w:tc>
        <w:tc>
          <w:tcPr>
            <w:tcW w:w="1382" w:type="dxa"/>
            <w:tcBorders>
              <w:top w:val="nil"/>
            </w:tcBorders>
          </w:tcPr>
          <w:p w:rsidR="003769A9" w:rsidRPr="001A286C" w:rsidRDefault="00136CD5" w:rsidP="00C82FCE">
            <w:pPr>
              <w:pStyle w:val="TableText"/>
              <w:jc w:val="center"/>
              <w:rPr>
                <w:b/>
                <w:lang w:eastAsia="ja-JP"/>
              </w:rPr>
            </w:pPr>
            <w:r>
              <w:rPr>
                <w:lang w:eastAsia="ja-JP"/>
              </w:rPr>
              <w:t>92 (87–95)</w:t>
            </w:r>
          </w:p>
        </w:tc>
        <w:tc>
          <w:tcPr>
            <w:tcW w:w="1276" w:type="dxa"/>
            <w:tcBorders>
              <w:top w:val="nil"/>
            </w:tcBorders>
          </w:tcPr>
          <w:p w:rsidR="003769A9" w:rsidRPr="001A286C" w:rsidRDefault="00136CD5" w:rsidP="00C82FCE">
            <w:pPr>
              <w:pStyle w:val="TableText"/>
              <w:jc w:val="center"/>
              <w:rPr>
                <w:b/>
                <w:lang w:eastAsia="ja-JP"/>
              </w:rPr>
            </w:pPr>
            <w:r>
              <w:rPr>
                <w:lang w:eastAsia="ja-JP"/>
              </w:rPr>
              <w:t>32</w:t>
            </w:r>
          </w:p>
        </w:tc>
      </w:tr>
      <w:tr w:rsidR="003769A9" w:rsidRPr="001A286C" w:rsidTr="00A30F3A">
        <w:trPr>
          <w:cantSplit/>
        </w:trPr>
        <w:tc>
          <w:tcPr>
            <w:tcW w:w="1560" w:type="dxa"/>
            <w:vMerge/>
          </w:tcPr>
          <w:p w:rsidR="003769A9" w:rsidRPr="001A286C" w:rsidRDefault="003769A9" w:rsidP="00C82FCE">
            <w:pPr>
              <w:pStyle w:val="TableText"/>
              <w:rPr>
                <w:b/>
                <w:lang w:eastAsia="ja-JP"/>
              </w:rPr>
            </w:pPr>
          </w:p>
        </w:tc>
        <w:tc>
          <w:tcPr>
            <w:tcW w:w="1701" w:type="dxa"/>
          </w:tcPr>
          <w:p w:rsidR="003769A9" w:rsidRPr="001A286C" w:rsidRDefault="003769A9" w:rsidP="00C82FCE">
            <w:pPr>
              <w:pStyle w:val="TableText"/>
              <w:rPr>
                <w:b/>
                <w:lang w:eastAsia="ja-JP"/>
              </w:rPr>
            </w:pPr>
            <w:r>
              <w:rPr>
                <w:lang w:eastAsia="ja-JP"/>
              </w:rPr>
              <w:t>Uncu, 1995, Turkey</w:t>
            </w:r>
          </w:p>
        </w:tc>
        <w:tc>
          <w:tcPr>
            <w:tcW w:w="567" w:type="dxa"/>
          </w:tcPr>
          <w:p w:rsidR="003769A9" w:rsidRPr="001A286C" w:rsidRDefault="003769A9" w:rsidP="00C82FCE">
            <w:pPr>
              <w:pStyle w:val="TableText"/>
              <w:jc w:val="center"/>
              <w:rPr>
                <w:b/>
                <w:lang w:eastAsia="ja-JP"/>
              </w:rPr>
            </w:pPr>
            <w:r>
              <w:rPr>
                <w:lang w:eastAsia="ja-JP"/>
              </w:rPr>
              <w:t>42</w:t>
            </w:r>
          </w:p>
        </w:tc>
        <w:tc>
          <w:tcPr>
            <w:tcW w:w="1541" w:type="dxa"/>
          </w:tcPr>
          <w:p w:rsidR="003769A9" w:rsidRPr="001A286C" w:rsidRDefault="003769A9" w:rsidP="00C82FCE">
            <w:pPr>
              <w:pStyle w:val="TableText"/>
              <w:jc w:val="center"/>
              <w:rPr>
                <w:b/>
                <w:lang w:eastAsia="ja-JP"/>
              </w:rPr>
            </w:pPr>
            <w:r>
              <w:rPr>
                <w:lang w:eastAsia="ja-JP"/>
              </w:rPr>
              <w:t>≥ 2.85 mmol/L</w:t>
            </w:r>
          </w:p>
        </w:tc>
        <w:tc>
          <w:tcPr>
            <w:tcW w:w="1258" w:type="dxa"/>
          </w:tcPr>
          <w:p w:rsidR="003769A9" w:rsidRPr="001A286C" w:rsidRDefault="003769A9" w:rsidP="00C82FCE">
            <w:pPr>
              <w:pStyle w:val="TableText"/>
              <w:jc w:val="center"/>
              <w:rPr>
                <w:b/>
                <w:lang w:eastAsia="ja-JP"/>
              </w:rPr>
            </w:pPr>
            <w:r>
              <w:rPr>
                <w:lang w:eastAsia="ja-JP"/>
              </w:rPr>
              <w:t>CC</w:t>
            </w:r>
          </w:p>
        </w:tc>
        <w:tc>
          <w:tcPr>
            <w:tcW w:w="1329" w:type="dxa"/>
          </w:tcPr>
          <w:p w:rsidR="003769A9" w:rsidRPr="001A286C" w:rsidRDefault="003769A9" w:rsidP="00C82FCE">
            <w:pPr>
              <w:pStyle w:val="TableText"/>
              <w:jc w:val="center"/>
              <w:rPr>
                <w:b/>
                <w:lang w:eastAsia="ja-JP"/>
              </w:rPr>
            </w:pPr>
            <w:r>
              <w:rPr>
                <w:lang w:eastAsia="ja-JP"/>
              </w:rPr>
              <w:t>33.3</w:t>
            </w:r>
          </w:p>
        </w:tc>
        <w:tc>
          <w:tcPr>
            <w:tcW w:w="1329" w:type="dxa"/>
          </w:tcPr>
          <w:p w:rsidR="003769A9" w:rsidRPr="001A286C" w:rsidRDefault="00136CD5" w:rsidP="00C82FCE">
            <w:pPr>
              <w:pStyle w:val="TableText"/>
              <w:jc w:val="center"/>
              <w:rPr>
                <w:b/>
                <w:lang w:eastAsia="ja-JP"/>
              </w:rPr>
            </w:pPr>
            <w:r>
              <w:rPr>
                <w:lang w:eastAsia="ja-JP"/>
              </w:rPr>
              <w:t>71 (42–92)</w:t>
            </w:r>
          </w:p>
        </w:tc>
        <w:tc>
          <w:tcPr>
            <w:tcW w:w="1329" w:type="dxa"/>
          </w:tcPr>
          <w:p w:rsidR="003769A9" w:rsidRPr="001A286C" w:rsidRDefault="00136CD5" w:rsidP="00C82FCE">
            <w:pPr>
              <w:pStyle w:val="TableText"/>
              <w:jc w:val="center"/>
              <w:rPr>
                <w:b/>
                <w:lang w:eastAsia="ja-JP"/>
              </w:rPr>
            </w:pPr>
            <w:r>
              <w:rPr>
                <w:lang w:eastAsia="ja-JP"/>
              </w:rPr>
              <w:t>46 (28–66)</w:t>
            </w:r>
          </w:p>
        </w:tc>
        <w:tc>
          <w:tcPr>
            <w:tcW w:w="1329" w:type="dxa"/>
          </w:tcPr>
          <w:p w:rsidR="003769A9" w:rsidRPr="001A286C" w:rsidRDefault="00136CD5" w:rsidP="00C82FCE">
            <w:pPr>
              <w:pStyle w:val="TableText"/>
              <w:jc w:val="center"/>
              <w:rPr>
                <w:b/>
                <w:lang w:eastAsia="ja-JP"/>
              </w:rPr>
            </w:pPr>
            <w:r>
              <w:rPr>
                <w:lang w:eastAsia="ja-JP"/>
              </w:rPr>
              <w:t>40 (23–59)</w:t>
            </w:r>
          </w:p>
        </w:tc>
        <w:tc>
          <w:tcPr>
            <w:tcW w:w="1382" w:type="dxa"/>
          </w:tcPr>
          <w:p w:rsidR="003769A9" w:rsidRPr="001A286C" w:rsidRDefault="00136CD5" w:rsidP="00C82FCE">
            <w:pPr>
              <w:pStyle w:val="TableText"/>
              <w:jc w:val="center"/>
              <w:rPr>
                <w:b/>
                <w:lang w:eastAsia="ja-JP"/>
              </w:rPr>
            </w:pPr>
            <w:r>
              <w:rPr>
                <w:lang w:eastAsia="ja-JP"/>
              </w:rPr>
              <w:t>77 (55–86)</w:t>
            </w:r>
          </w:p>
        </w:tc>
        <w:tc>
          <w:tcPr>
            <w:tcW w:w="1276" w:type="dxa"/>
          </w:tcPr>
          <w:p w:rsidR="003769A9" w:rsidRPr="001A286C" w:rsidRDefault="00136CD5" w:rsidP="00C82FCE">
            <w:pPr>
              <w:pStyle w:val="TableText"/>
              <w:jc w:val="center"/>
              <w:rPr>
                <w:b/>
                <w:lang w:eastAsia="ja-JP"/>
              </w:rPr>
            </w:pPr>
            <w:r>
              <w:rPr>
                <w:lang w:eastAsia="ja-JP"/>
              </w:rPr>
              <w:t>55</w:t>
            </w:r>
          </w:p>
        </w:tc>
      </w:tr>
      <w:tr w:rsidR="003769A9" w:rsidRPr="001A286C" w:rsidTr="00A30F3A">
        <w:trPr>
          <w:cantSplit/>
        </w:trPr>
        <w:tc>
          <w:tcPr>
            <w:tcW w:w="1560" w:type="dxa"/>
            <w:vMerge/>
            <w:tcBorders>
              <w:bottom w:val="nil"/>
            </w:tcBorders>
          </w:tcPr>
          <w:p w:rsidR="003769A9" w:rsidRPr="001A286C" w:rsidRDefault="003769A9" w:rsidP="00C82FCE">
            <w:pPr>
              <w:pStyle w:val="TableText"/>
              <w:rPr>
                <w:b/>
                <w:lang w:eastAsia="ja-JP"/>
              </w:rPr>
            </w:pPr>
          </w:p>
        </w:tc>
        <w:tc>
          <w:tcPr>
            <w:tcW w:w="1701" w:type="dxa"/>
            <w:tcBorders>
              <w:bottom w:val="nil"/>
            </w:tcBorders>
          </w:tcPr>
          <w:p w:rsidR="003769A9" w:rsidRDefault="003769A9" w:rsidP="00C82FCE">
            <w:pPr>
              <w:pStyle w:val="TableText"/>
              <w:rPr>
                <w:b/>
                <w:lang w:eastAsia="ja-JP"/>
              </w:rPr>
            </w:pPr>
            <w:r>
              <w:rPr>
                <w:lang w:eastAsia="ja-JP"/>
              </w:rPr>
              <w:t>Agarwal, 2001, UAE</w:t>
            </w:r>
          </w:p>
        </w:tc>
        <w:tc>
          <w:tcPr>
            <w:tcW w:w="567" w:type="dxa"/>
            <w:tcBorders>
              <w:bottom w:val="nil"/>
            </w:tcBorders>
          </w:tcPr>
          <w:p w:rsidR="003769A9" w:rsidRPr="001A286C" w:rsidRDefault="003769A9" w:rsidP="00C82FCE">
            <w:pPr>
              <w:pStyle w:val="TableText"/>
              <w:jc w:val="center"/>
              <w:rPr>
                <w:b/>
                <w:lang w:eastAsia="ja-JP"/>
              </w:rPr>
            </w:pPr>
            <w:r>
              <w:rPr>
                <w:lang w:eastAsia="ja-JP"/>
              </w:rPr>
              <w:t>430</w:t>
            </w:r>
          </w:p>
        </w:tc>
        <w:tc>
          <w:tcPr>
            <w:tcW w:w="1541" w:type="dxa"/>
            <w:tcBorders>
              <w:bottom w:val="nil"/>
            </w:tcBorders>
          </w:tcPr>
          <w:p w:rsidR="003769A9" w:rsidRPr="001A286C" w:rsidRDefault="003769A9" w:rsidP="00C82FCE">
            <w:pPr>
              <w:pStyle w:val="TableText"/>
              <w:jc w:val="center"/>
              <w:rPr>
                <w:b/>
                <w:lang w:eastAsia="ja-JP"/>
              </w:rPr>
            </w:pPr>
            <w:r>
              <w:rPr>
                <w:lang w:eastAsia="ja-JP"/>
              </w:rPr>
              <w:t>≥ 210 µmol/L</w:t>
            </w:r>
          </w:p>
        </w:tc>
        <w:tc>
          <w:tcPr>
            <w:tcW w:w="1258" w:type="dxa"/>
            <w:tcBorders>
              <w:bottom w:val="nil"/>
            </w:tcBorders>
          </w:tcPr>
          <w:p w:rsidR="003769A9" w:rsidRPr="001A286C" w:rsidRDefault="003769A9" w:rsidP="00C82FCE">
            <w:pPr>
              <w:pStyle w:val="TableText"/>
              <w:jc w:val="center"/>
              <w:rPr>
                <w:b/>
                <w:lang w:eastAsia="ja-JP"/>
              </w:rPr>
            </w:pPr>
            <w:r>
              <w:rPr>
                <w:lang w:eastAsia="ja-JP"/>
              </w:rPr>
              <w:t>CC</w:t>
            </w:r>
          </w:p>
        </w:tc>
        <w:tc>
          <w:tcPr>
            <w:tcW w:w="1329" w:type="dxa"/>
            <w:tcBorders>
              <w:bottom w:val="nil"/>
            </w:tcBorders>
          </w:tcPr>
          <w:p w:rsidR="003769A9" w:rsidRPr="001A286C" w:rsidRDefault="003769A9" w:rsidP="00C82FCE">
            <w:pPr>
              <w:pStyle w:val="TableText"/>
              <w:jc w:val="center"/>
              <w:rPr>
                <w:b/>
                <w:lang w:eastAsia="ja-JP"/>
              </w:rPr>
            </w:pPr>
            <w:r>
              <w:rPr>
                <w:lang w:eastAsia="ja-JP"/>
              </w:rPr>
              <w:t>26.7</w:t>
            </w:r>
          </w:p>
        </w:tc>
        <w:tc>
          <w:tcPr>
            <w:tcW w:w="1329" w:type="dxa"/>
            <w:tcBorders>
              <w:bottom w:val="nil"/>
            </w:tcBorders>
          </w:tcPr>
          <w:p w:rsidR="003769A9" w:rsidRPr="001A286C" w:rsidRDefault="00136CD5" w:rsidP="00C82FCE">
            <w:pPr>
              <w:pStyle w:val="TableText"/>
              <w:jc w:val="center"/>
              <w:rPr>
                <w:b/>
                <w:lang w:eastAsia="ja-JP"/>
              </w:rPr>
            </w:pPr>
            <w:r>
              <w:rPr>
                <w:lang w:eastAsia="ja-JP"/>
              </w:rPr>
              <w:t>92 (86–96)</w:t>
            </w:r>
          </w:p>
        </w:tc>
        <w:tc>
          <w:tcPr>
            <w:tcW w:w="1329" w:type="dxa"/>
            <w:tcBorders>
              <w:bottom w:val="nil"/>
            </w:tcBorders>
          </w:tcPr>
          <w:p w:rsidR="003769A9" w:rsidRPr="001A286C" w:rsidRDefault="00136CD5" w:rsidP="00C82FCE">
            <w:pPr>
              <w:pStyle w:val="TableText"/>
              <w:jc w:val="center"/>
              <w:rPr>
                <w:b/>
                <w:lang w:eastAsia="ja-JP"/>
              </w:rPr>
            </w:pPr>
            <w:r>
              <w:rPr>
                <w:lang w:eastAsia="ja-JP"/>
              </w:rPr>
              <w:t>23 (18–28)</w:t>
            </w:r>
          </w:p>
        </w:tc>
        <w:tc>
          <w:tcPr>
            <w:tcW w:w="1329" w:type="dxa"/>
            <w:tcBorders>
              <w:bottom w:val="nil"/>
            </w:tcBorders>
          </w:tcPr>
          <w:p w:rsidR="003769A9" w:rsidRPr="001A286C" w:rsidRDefault="00136CD5" w:rsidP="00C82FCE">
            <w:pPr>
              <w:pStyle w:val="TableText"/>
              <w:jc w:val="center"/>
              <w:rPr>
                <w:b/>
                <w:lang w:eastAsia="ja-JP"/>
              </w:rPr>
            </w:pPr>
            <w:r>
              <w:rPr>
                <w:lang w:eastAsia="ja-JP"/>
              </w:rPr>
              <w:t>31 (26–36)</w:t>
            </w:r>
          </w:p>
        </w:tc>
        <w:tc>
          <w:tcPr>
            <w:tcW w:w="1382" w:type="dxa"/>
            <w:tcBorders>
              <w:bottom w:val="nil"/>
            </w:tcBorders>
          </w:tcPr>
          <w:p w:rsidR="003769A9" w:rsidRPr="001A286C" w:rsidRDefault="00136CD5" w:rsidP="00C82FCE">
            <w:pPr>
              <w:pStyle w:val="TableText"/>
              <w:jc w:val="center"/>
              <w:rPr>
                <w:b/>
                <w:lang w:eastAsia="ja-JP"/>
              </w:rPr>
            </w:pPr>
            <w:r>
              <w:rPr>
                <w:lang w:eastAsia="ja-JP"/>
              </w:rPr>
              <w:t>89 (81–94)</w:t>
            </w:r>
          </w:p>
        </w:tc>
        <w:tc>
          <w:tcPr>
            <w:tcW w:w="1276" w:type="dxa"/>
            <w:tcBorders>
              <w:bottom w:val="nil"/>
            </w:tcBorders>
          </w:tcPr>
          <w:p w:rsidR="003769A9" w:rsidRPr="001A286C" w:rsidRDefault="00136CD5" w:rsidP="00C82FCE">
            <w:pPr>
              <w:pStyle w:val="TableText"/>
              <w:jc w:val="center"/>
              <w:rPr>
                <w:b/>
                <w:lang w:eastAsia="ja-JP"/>
              </w:rPr>
            </w:pPr>
            <w:r>
              <w:rPr>
                <w:lang w:eastAsia="ja-JP"/>
              </w:rPr>
              <w:t>42</w:t>
            </w:r>
          </w:p>
        </w:tc>
      </w:tr>
      <w:tr w:rsidR="002079BB" w:rsidRPr="001A286C" w:rsidTr="00A30F3A">
        <w:trPr>
          <w:cantSplit/>
        </w:trPr>
        <w:tc>
          <w:tcPr>
            <w:tcW w:w="1560" w:type="dxa"/>
            <w:vMerge w:val="restart"/>
            <w:tcBorders>
              <w:top w:val="nil"/>
              <w:bottom w:val="nil"/>
            </w:tcBorders>
            <w:shd w:val="clear" w:color="auto" w:fill="F2F2F2" w:themeFill="background1" w:themeFillShade="F2"/>
          </w:tcPr>
          <w:p w:rsidR="002079BB" w:rsidRPr="001A286C" w:rsidRDefault="002079BB" w:rsidP="00C82FCE">
            <w:pPr>
              <w:pStyle w:val="TableText"/>
              <w:rPr>
                <w:b/>
                <w:lang w:eastAsia="ja-JP"/>
              </w:rPr>
            </w:pPr>
            <w:r>
              <w:rPr>
                <w:lang w:eastAsia="ja-JP"/>
              </w:rPr>
              <w:t>Fasting plasma insulin</w:t>
            </w:r>
          </w:p>
        </w:tc>
        <w:tc>
          <w:tcPr>
            <w:tcW w:w="1701" w:type="dxa"/>
            <w:tcBorders>
              <w:top w:val="nil"/>
              <w:bottom w:val="nil"/>
            </w:tcBorders>
            <w:shd w:val="clear" w:color="auto" w:fill="F2F2F2" w:themeFill="background1" w:themeFillShade="F2"/>
          </w:tcPr>
          <w:p w:rsidR="002079BB" w:rsidRDefault="002079BB" w:rsidP="00C82FCE">
            <w:pPr>
              <w:pStyle w:val="TableText"/>
              <w:rPr>
                <w:b/>
                <w:lang w:eastAsia="ja-JP"/>
              </w:rPr>
            </w:pPr>
            <w:r>
              <w:rPr>
                <w:lang w:eastAsia="ja-JP"/>
              </w:rPr>
              <w:t>Kauffman, 2006, US</w:t>
            </w:r>
          </w:p>
        </w:tc>
        <w:tc>
          <w:tcPr>
            <w:tcW w:w="567"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123</w:t>
            </w:r>
          </w:p>
        </w:tc>
        <w:tc>
          <w:tcPr>
            <w:tcW w:w="1541"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 93 µmol/L</w:t>
            </w:r>
          </w:p>
        </w:tc>
        <w:tc>
          <w:tcPr>
            <w:tcW w:w="1258"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NDDG</w:t>
            </w:r>
          </w:p>
        </w:tc>
        <w:tc>
          <w:tcPr>
            <w:tcW w:w="1329"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13.0</w:t>
            </w:r>
          </w:p>
        </w:tc>
        <w:tc>
          <w:tcPr>
            <w:tcW w:w="1329"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56 (35–76)</w:t>
            </w:r>
          </w:p>
        </w:tc>
        <w:tc>
          <w:tcPr>
            <w:tcW w:w="1329"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71 (61–80)</w:t>
            </w:r>
          </w:p>
        </w:tc>
        <w:tc>
          <w:tcPr>
            <w:tcW w:w="1329"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33 (21–48)</w:t>
            </w:r>
          </w:p>
        </w:tc>
        <w:tc>
          <w:tcPr>
            <w:tcW w:w="1382"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86 (78–92)</w:t>
            </w:r>
          </w:p>
        </w:tc>
        <w:tc>
          <w:tcPr>
            <w:tcW w:w="1276"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68</w:t>
            </w:r>
          </w:p>
        </w:tc>
      </w:tr>
      <w:tr w:rsidR="002079BB" w:rsidRPr="001A286C" w:rsidTr="00A30F3A">
        <w:trPr>
          <w:cantSplit/>
        </w:trPr>
        <w:tc>
          <w:tcPr>
            <w:tcW w:w="1560" w:type="dxa"/>
            <w:vMerge/>
            <w:tcBorders>
              <w:top w:val="nil"/>
              <w:bottom w:val="nil"/>
            </w:tcBorders>
            <w:shd w:val="clear" w:color="auto" w:fill="F2F2F2" w:themeFill="background1" w:themeFillShade="F2"/>
          </w:tcPr>
          <w:p w:rsidR="002079BB" w:rsidRPr="001A286C" w:rsidRDefault="002079BB" w:rsidP="00C82FCE">
            <w:pPr>
              <w:pStyle w:val="TableText"/>
              <w:rPr>
                <w:b/>
                <w:lang w:eastAsia="ja-JP"/>
              </w:rPr>
            </w:pPr>
          </w:p>
        </w:tc>
        <w:tc>
          <w:tcPr>
            <w:tcW w:w="1701" w:type="dxa"/>
            <w:tcBorders>
              <w:top w:val="nil"/>
              <w:bottom w:val="nil"/>
            </w:tcBorders>
            <w:shd w:val="clear" w:color="auto" w:fill="F2F2F2" w:themeFill="background1" w:themeFillShade="F2"/>
          </w:tcPr>
          <w:p w:rsidR="002079BB" w:rsidRDefault="002079BB" w:rsidP="00C82FCE">
            <w:pPr>
              <w:pStyle w:val="TableText"/>
              <w:rPr>
                <w:b/>
                <w:lang w:eastAsia="ja-JP"/>
              </w:rPr>
            </w:pPr>
            <w:r>
              <w:rPr>
                <w:lang w:eastAsia="ja-JP"/>
              </w:rPr>
              <w:t>Yachi, 2007, Japan</w:t>
            </w:r>
          </w:p>
        </w:tc>
        <w:tc>
          <w:tcPr>
            <w:tcW w:w="567"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509</w:t>
            </w:r>
          </w:p>
        </w:tc>
        <w:tc>
          <w:tcPr>
            <w:tcW w:w="1541"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 3.66 mmol/L</w:t>
            </w:r>
          </w:p>
        </w:tc>
        <w:tc>
          <w:tcPr>
            <w:tcW w:w="1258"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JSOG</w:t>
            </w:r>
            <w:r>
              <w:rPr>
                <w:lang w:eastAsia="ja-JP"/>
              </w:rPr>
              <w:br/>
              <w:t>(10</w:t>
            </w:r>
            <w:r>
              <w:rPr>
                <w:lang w:eastAsia="ja-JP"/>
              </w:rPr>
              <w:noBreakHyphen/>
              <w:t>week)</w:t>
            </w:r>
          </w:p>
        </w:tc>
        <w:tc>
          <w:tcPr>
            <w:tcW w:w="1329"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2.0</w:t>
            </w:r>
          </w:p>
        </w:tc>
        <w:tc>
          <w:tcPr>
            <w:tcW w:w="1329"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48 (43–53)</w:t>
            </w:r>
          </w:p>
        </w:tc>
        <w:tc>
          <w:tcPr>
            <w:tcW w:w="1329"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72 (63–80)</w:t>
            </w:r>
          </w:p>
        </w:tc>
        <w:tc>
          <w:tcPr>
            <w:tcW w:w="1329"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86 (80–90)</w:t>
            </w:r>
          </w:p>
        </w:tc>
        <w:tc>
          <w:tcPr>
            <w:tcW w:w="1382"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29 (24–36)</w:t>
            </w:r>
          </w:p>
        </w:tc>
        <w:tc>
          <w:tcPr>
            <w:tcW w:w="1276" w:type="dxa"/>
            <w:tcBorders>
              <w:top w:val="nil"/>
              <w:bottom w:val="nil"/>
            </w:tcBorders>
            <w:shd w:val="clear" w:color="auto" w:fill="F2F2F2" w:themeFill="background1" w:themeFillShade="F2"/>
          </w:tcPr>
          <w:p w:rsidR="002079BB" w:rsidRPr="001A286C" w:rsidRDefault="002079BB" w:rsidP="00C82FCE">
            <w:pPr>
              <w:pStyle w:val="TableText"/>
              <w:jc w:val="center"/>
              <w:rPr>
                <w:b/>
                <w:lang w:eastAsia="ja-JP"/>
              </w:rPr>
            </w:pPr>
            <w:r>
              <w:rPr>
                <w:lang w:eastAsia="ja-JP"/>
              </w:rPr>
              <w:t>53</w:t>
            </w:r>
          </w:p>
        </w:tc>
      </w:tr>
      <w:tr w:rsidR="002079BB" w:rsidRPr="001A286C" w:rsidTr="00C84C34">
        <w:trPr>
          <w:cantSplit/>
        </w:trPr>
        <w:tc>
          <w:tcPr>
            <w:tcW w:w="1560" w:type="dxa"/>
            <w:tcBorders>
              <w:top w:val="nil"/>
              <w:bottom w:val="nil"/>
            </w:tcBorders>
          </w:tcPr>
          <w:p w:rsidR="002079BB" w:rsidRPr="001A286C" w:rsidRDefault="00A30F3A" w:rsidP="00C82FCE">
            <w:pPr>
              <w:pStyle w:val="TableText"/>
              <w:rPr>
                <w:b/>
                <w:lang w:eastAsia="ja-JP"/>
              </w:rPr>
            </w:pPr>
            <w:r>
              <w:rPr>
                <w:lang w:eastAsia="ja-JP"/>
              </w:rPr>
              <w:t>Author defined (fructosamine/ total protein) – (glucose/100)</w:t>
            </w:r>
          </w:p>
        </w:tc>
        <w:tc>
          <w:tcPr>
            <w:tcW w:w="1701" w:type="dxa"/>
            <w:tcBorders>
              <w:top w:val="nil"/>
              <w:bottom w:val="nil"/>
            </w:tcBorders>
          </w:tcPr>
          <w:p w:rsidR="002079BB" w:rsidRDefault="00A30F3A" w:rsidP="00C82FCE">
            <w:pPr>
              <w:pStyle w:val="TableText"/>
              <w:rPr>
                <w:b/>
                <w:lang w:eastAsia="ja-JP"/>
              </w:rPr>
            </w:pPr>
            <w:r>
              <w:rPr>
                <w:lang w:eastAsia="ja-JP"/>
              </w:rPr>
              <w:t>Perea-Carrasco, 2002, Spain</w:t>
            </w:r>
          </w:p>
        </w:tc>
        <w:tc>
          <w:tcPr>
            <w:tcW w:w="567" w:type="dxa"/>
            <w:tcBorders>
              <w:top w:val="nil"/>
              <w:bottom w:val="nil"/>
            </w:tcBorders>
          </w:tcPr>
          <w:p w:rsidR="002079BB" w:rsidRPr="001A286C" w:rsidRDefault="00A30F3A" w:rsidP="00C82FCE">
            <w:pPr>
              <w:pStyle w:val="TableText"/>
              <w:jc w:val="center"/>
              <w:rPr>
                <w:b/>
                <w:lang w:eastAsia="ja-JP"/>
              </w:rPr>
            </w:pPr>
            <w:r>
              <w:rPr>
                <w:lang w:eastAsia="ja-JP"/>
              </w:rPr>
              <w:t>578</w:t>
            </w:r>
          </w:p>
        </w:tc>
        <w:tc>
          <w:tcPr>
            <w:tcW w:w="1541" w:type="dxa"/>
            <w:tcBorders>
              <w:top w:val="nil"/>
              <w:bottom w:val="nil"/>
            </w:tcBorders>
          </w:tcPr>
          <w:p w:rsidR="002079BB" w:rsidRPr="001A286C" w:rsidRDefault="00A30F3A" w:rsidP="00C82FCE">
            <w:pPr>
              <w:pStyle w:val="TableText"/>
              <w:jc w:val="center"/>
              <w:rPr>
                <w:b/>
                <w:lang w:eastAsia="ja-JP"/>
              </w:rPr>
            </w:pPr>
            <w:r>
              <w:rPr>
                <w:lang w:eastAsia="ja-JP"/>
              </w:rPr>
              <w:t>≥ 27.2</w:t>
            </w:r>
          </w:p>
        </w:tc>
        <w:tc>
          <w:tcPr>
            <w:tcW w:w="1258" w:type="dxa"/>
            <w:tcBorders>
              <w:top w:val="nil"/>
              <w:bottom w:val="nil"/>
            </w:tcBorders>
          </w:tcPr>
          <w:p w:rsidR="002079BB" w:rsidRPr="001A286C" w:rsidRDefault="00A30F3A" w:rsidP="00C82FCE">
            <w:pPr>
              <w:pStyle w:val="TableText"/>
              <w:jc w:val="center"/>
              <w:rPr>
                <w:b/>
                <w:lang w:eastAsia="ja-JP"/>
              </w:rPr>
            </w:pPr>
            <w:r>
              <w:rPr>
                <w:lang w:eastAsia="ja-JP"/>
              </w:rPr>
              <w:t>IWC, 2</w:t>
            </w:r>
          </w:p>
        </w:tc>
        <w:tc>
          <w:tcPr>
            <w:tcW w:w="1329" w:type="dxa"/>
            <w:tcBorders>
              <w:top w:val="nil"/>
              <w:bottom w:val="nil"/>
            </w:tcBorders>
          </w:tcPr>
          <w:p w:rsidR="002079BB" w:rsidRPr="001A286C" w:rsidRDefault="00A30F3A" w:rsidP="00C82FCE">
            <w:pPr>
              <w:pStyle w:val="TableText"/>
              <w:jc w:val="center"/>
              <w:rPr>
                <w:b/>
                <w:lang w:eastAsia="ja-JP"/>
              </w:rPr>
            </w:pPr>
            <w:r>
              <w:rPr>
                <w:lang w:eastAsia="ja-JP"/>
              </w:rPr>
              <w:t>7.0</w:t>
            </w:r>
          </w:p>
        </w:tc>
        <w:tc>
          <w:tcPr>
            <w:tcW w:w="1329" w:type="dxa"/>
            <w:tcBorders>
              <w:top w:val="nil"/>
              <w:bottom w:val="nil"/>
            </w:tcBorders>
          </w:tcPr>
          <w:p w:rsidR="002079BB" w:rsidRPr="001A286C" w:rsidRDefault="00A30F3A" w:rsidP="00C82FCE">
            <w:pPr>
              <w:pStyle w:val="TableText"/>
              <w:jc w:val="center"/>
              <w:rPr>
                <w:b/>
                <w:lang w:eastAsia="ja-JP"/>
              </w:rPr>
            </w:pPr>
            <w:r>
              <w:rPr>
                <w:lang w:eastAsia="ja-JP"/>
              </w:rPr>
              <w:t>98 (90–100)</w:t>
            </w:r>
          </w:p>
        </w:tc>
        <w:tc>
          <w:tcPr>
            <w:tcW w:w="1329" w:type="dxa"/>
            <w:tcBorders>
              <w:top w:val="nil"/>
              <w:bottom w:val="nil"/>
            </w:tcBorders>
          </w:tcPr>
          <w:p w:rsidR="002079BB" w:rsidRPr="001A286C" w:rsidRDefault="00A30F3A" w:rsidP="00C82FCE">
            <w:pPr>
              <w:pStyle w:val="TableText"/>
              <w:jc w:val="center"/>
              <w:rPr>
                <w:b/>
                <w:lang w:eastAsia="ja-JP"/>
              </w:rPr>
            </w:pPr>
            <w:r>
              <w:rPr>
                <w:lang w:eastAsia="ja-JP"/>
              </w:rPr>
              <w:t>89 (86–91)</w:t>
            </w:r>
          </w:p>
        </w:tc>
        <w:tc>
          <w:tcPr>
            <w:tcW w:w="1329" w:type="dxa"/>
            <w:tcBorders>
              <w:top w:val="nil"/>
              <w:bottom w:val="nil"/>
            </w:tcBorders>
          </w:tcPr>
          <w:p w:rsidR="002079BB" w:rsidRPr="001A286C" w:rsidRDefault="00A30F3A" w:rsidP="00C82FCE">
            <w:pPr>
              <w:pStyle w:val="TableText"/>
              <w:jc w:val="center"/>
              <w:rPr>
                <w:b/>
                <w:lang w:eastAsia="ja-JP"/>
              </w:rPr>
            </w:pPr>
            <w:r>
              <w:rPr>
                <w:lang w:eastAsia="ja-JP"/>
              </w:rPr>
              <w:t>44 (35–53)</w:t>
            </w:r>
          </w:p>
        </w:tc>
        <w:tc>
          <w:tcPr>
            <w:tcW w:w="1382" w:type="dxa"/>
            <w:tcBorders>
              <w:top w:val="nil"/>
              <w:bottom w:val="nil"/>
            </w:tcBorders>
          </w:tcPr>
          <w:p w:rsidR="002079BB" w:rsidRPr="001A286C" w:rsidRDefault="00A30F3A" w:rsidP="00C82FCE">
            <w:pPr>
              <w:pStyle w:val="TableText"/>
              <w:jc w:val="center"/>
              <w:rPr>
                <w:b/>
                <w:lang w:eastAsia="ja-JP"/>
              </w:rPr>
            </w:pPr>
            <w:r>
              <w:rPr>
                <w:lang w:eastAsia="ja-JP"/>
              </w:rPr>
              <w:t>100 (99–100)</w:t>
            </w:r>
          </w:p>
        </w:tc>
        <w:tc>
          <w:tcPr>
            <w:tcW w:w="1276" w:type="dxa"/>
            <w:tcBorders>
              <w:top w:val="nil"/>
              <w:bottom w:val="nil"/>
            </w:tcBorders>
          </w:tcPr>
          <w:p w:rsidR="002079BB" w:rsidRPr="001A286C" w:rsidRDefault="00A30F3A" w:rsidP="00C82FCE">
            <w:pPr>
              <w:pStyle w:val="TableText"/>
              <w:jc w:val="center"/>
              <w:rPr>
                <w:b/>
                <w:lang w:eastAsia="ja-JP"/>
              </w:rPr>
            </w:pPr>
            <w:r>
              <w:rPr>
                <w:lang w:eastAsia="ja-JP"/>
              </w:rPr>
              <w:t>90</w:t>
            </w:r>
          </w:p>
        </w:tc>
      </w:tr>
      <w:tr w:rsidR="002B6AB5" w:rsidRPr="001A286C" w:rsidTr="00C84C34">
        <w:trPr>
          <w:cantSplit/>
        </w:trPr>
        <w:tc>
          <w:tcPr>
            <w:tcW w:w="1560" w:type="dxa"/>
            <w:tcBorders>
              <w:top w:val="nil"/>
              <w:bottom w:val="single" w:sz="4" w:space="0" w:color="auto"/>
            </w:tcBorders>
            <w:shd w:val="clear" w:color="auto" w:fill="F2F2F2" w:themeFill="background1" w:themeFillShade="F2"/>
          </w:tcPr>
          <w:p w:rsidR="002079BB" w:rsidRPr="001A286C" w:rsidRDefault="00DA1E47" w:rsidP="00C82FCE">
            <w:pPr>
              <w:pStyle w:val="TableText"/>
              <w:rPr>
                <w:b/>
                <w:lang w:eastAsia="ja-JP"/>
              </w:rPr>
            </w:pPr>
            <w:r>
              <w:rPr>
                <w:lang w:eastAsia="ja-JP"/>
              </w:rPr>
              <w:t>Adiponectin</w:t>
            </w:r>
          </w:p>
        </w:tc>
        <w:tc>
          <w:tcPr>
            <w:tcW w:w="1701" w:type="dxa"/>
            <w:tcBorders>
              <w:top w:val="nil"/>
              <w:bottom w:val="single" w:sz="4" w:space="0" w:color="auto"/>
            </w:tcBorders>
            <w:shd w:val="clear" w:color="auto" w:fill="F2F2F2" w:themeFill="background1" w:themeFillShade="F2"/>
          </w:tcPr>
          <w:p w:rsidR="002079BB" w:rsidRDefault="00DA1E47" w:rsidP="00C82FCE">
            <w:pPr>
              <w:pStyle w:val="TableText"/>
              <w:rPr>
                <w:b/>
                <w:lang w:eastAsia="ja-JP"/>
              </w:rPr>
            </w:pPr>
            <w:r>
              <w:rPr>
                <w:lang w:eastAsia="ja-JP"/>
              </w:rPr>
              <w:t>Weerakiet, 2006, Thailand</w:t>
            </w:r>
          </w:p>
        </w:tc>
        <w:tc>
          <w:tcPr>
            <w:tcW w:w="567" w:type="dxa"/>
            <w:tcBorders>
              <w:top w:val="nil"/>
              <w:bottom w:val="single" w:sz="4" w:space="0" w:color="auto"/>
            </w:tcBorders>
            <w:shd w:val="clear" w:color="auto" w:fill="F2F2F2" w:themeFill="background1" w:themeFillShade="F2"/>
          </w:tcPr>
          <w:p w:rsidR="002079BB" w:rsidRPr="001A286C" w:rsidRDefault="00DA1E47" w:rsidP="00C82FCE">
            <w:pPr>
              <w:pStyle w:val="TableText"/>
              <w:jc w:val="center"/>
              <w:rPr>
                <w:b/>
                <w:lang w:eastAsia="ja-JP"/>
              </w:rPr>
            </w:pPr>
            <w:r>
              <w:rPr>
                <w:lang w:eastAsia="ja-JP"/>
              </w:rPr>
              <w:t>359</w:t>
            </w:r>
          </w:p>
        </w:tc>
        <w:tc>
          <w:tcPr>
            <w:tcW w:w="1541" w:type="dxa"/>
            <w:tcBorders>
              <w:top w:val="nil"/>
              <w:bottom w:val="single" w:sz="4" w:space="0" w:color="auto"/>
            </w:tcBorders>
            <w:shd w:val="clear" w:color="auto" w:fill="F2F2F2" w:themeFill="background1" w:themeFillShade="F2"/>
          </w:tcPr>
          <w:p w:rsidR="002079BB" w:rsidRPr="001A286C" w:rsidRDefault="00DA1E47" w:rsidP="00C82FCE">
            <w:pPr>
              <w:pStyle w:val="TableText"/>
              <w:jc w:val="center"/>
              <w:rPr>
                <w:b/>
                <w:lang w:eastAsia="ja-JP"/>
              </w:rPr>
            </w:pPr>
            <w:r>
              <w:rPr>
                <w:lang w:eastAsia="ja-JP"/>
              </w:rPr>
              <w:t>≥ 10 µg/mL</w:t>
            </w:r>
          </w:p>
        </w:tc>
        <w:tc>
          <w:tcPr>
            <w:tcW w:w="1258" w:type="dxa"/>
            <w:tcBorders>
              <w:top w:val="nil"/>
              <w:bottom w:val="single" w:sz="4" w:space="0" w:color="auto"/>
            </w:tcBorders>
            <w:shd w:val="clear" w:color="auto" w:fill="F2F2F2" w:themeFill="background1" w:themeFillShade="F2"/>
          </w:tcPr>
          <w:p w:rsidR="002079BB" w:rsidRPr="001A286C" w:rsidRDefault="00DA1E47" w:rsidP="00C82FCE">
            <w:pPr>
              <w:pStyle w:val="TableText"/>
              <w:jc w:val="center"/>
              <w:rPr>
                <w:b/>
                <w:lang w:eastAsia="ja-JP"/>
              </w:rPr>
            </w:pPr>
            <w:r>
              <w:rPr>
                <w:lang w:eastAsia="ja-JP"/>
              </w:rPr>
              <w:t>ADA</w:t>
            </w:r>
          </w:p>
        </w:tc>
        <w:tc>
          <w:tcPr>
            <w:tcW w:w="1329" w:type="dxa"/>
            <w:tcBorders>
              <w:top w:val="nil"/>
              <w:bottom w:val="single" w:sz="4" w:space="0" w:color="auto"/>
            </w:tcBorders>
            <w:shd w:val="clear" w:color="auto" w:fill="F2F2F2" w:themeFill="background1" w:themeFillShade="F2"/>
          </w:tcPr>
          <w:p w:rsidR="002079BB" w:rsidRPr="001A286C" w:rsidRDefault="00DA1E47" w:rsidP="00C82FCE">
            <w:pPr>
              <w:pStyle w:val="TableText"/>
              <w:jc w:val="center"/>
              <w:rPr>
                <w:b/>
                <w:lang w:eastAsia="ja-JP"/>
              </w:rPr>
            </w:pPr>
            <w:r>
              <w:rPr>
                <w:lang w:eastAsia="ja-JP"/>
              </w:rPr>
              <w:t>16.7</w:t>
            </w:r>
          </w:p>
        </w:tc>
        <w:tc>
          <w:tcPr>
            <w:tcW w:w="1329" w:type="dxa"/>
            <w:tcBorders>
              <w:top w:val="nil"/>
              <w:bottom w:val="single" w:sz="4" w:space="0" w:color="auto"/>
            </w:tcBorders>
            <w:shd w:val="clear" w:color="auto" w:fill="F2F2F2" w:themeFill="background1" w:themeFillShade="F2"/>
          </w:tcPr>
          <w:p w:rsidR="002079BB" w:rsidRPr="001A286C" w:rsidRDefault="00DA1E47" w:rsidP="00C82FCE">
            <w:pPr>
              <w:pStyle w:val="TableText"/>
              <w:jc w:val="center"/>
              <w:rPr>
                <w:b/>
                <w:lang w:eastAsia="ja-JP"/>
              </w:rPr>
            </w:pPr>
            <w:r>
              <w:rPr>
                <w:lang w:eastAsia="ja-JP"/>
              </w:rPr>
              <w:t>92 (82–97)</w:t>
            </w:r>
          </w:p>
        </w:tc>
        <w:tc>
          <w:tcPr>
            <w:tcW w:w="1329" w:type="dxa"/>
            <w:tcBorders>
              <w:top w:val="nil"/>
              <w:bottom w:val="single" w:sz="4" w:space="0" w:color="auto"/>
            </w:tcBorders>
            <w:shd w:val="clear" w:color="auto" w:fill="F2F2F2" w:themeFill="background1" w:themeFillShade="F2"/>
          </w:tcPr>
          <w:p w:rsidR="002079BB" w:rsidRPr="001A286C" w:rsidRDefault="00DA1E47" w:rsidP="00C82FCE">
            <w:pPr>
              <w:pStyle w:val="TableText"/>
              <w:jc w:val="center"/>
              <w:rPr>
                <w:b/>
                <w:lang w:eastAsia="ja-JP"/>
              </w:rPr>
            </w:pPr>
            <w:r>
              <w:rPr>
                <w:lang w:eastAsia="ja-JP"/>
              </w:rPr>
              <w:t>31 (26–36)</w:t>
            </w:r>
          </w:p>
        </w:tc>
        <w:tc>
          <w:tcPr>
            <w:tcW w:w="1329" w:type="dxa"/>
            <w:tcBorders>
              <w:top w:val="nil"/>
              <w:bottom w:val="single" w:sz="4" w:space="0" w:color="auto"/>
            </w:tcBorders>
            <w:shd w:val="clear" w:color="auto" w:fill="F2F2F2" w:themeFill="background1" w:themeFillShade="F2"/>
          </w:tcPr>
          <w:p w:rsidR="002079BB" w:rsidRPr="001A286C" w:rsidRDefault="00DA1E47" w:rsidP="00C82FCE">
            <w:pPr>
              <w:pStyle w:val="TableText"/>
              <w:jc w:val="center"/>
              <w:rPr>
                <w:b/>
                <w:lang w:eastAsia="ja-JP"/>
              </w:rPr>
            </w:pPr>
            <w:r>
              <w:rPr>
                <w:lang w:eastAsia="ja-JP"/>
              </w:rPr>
              <w:t>18 (14–23)</w:t>
            </w:r>
          </w:p>
        </w:tc>
        <w:tc>
          <w:tcPr>
            <w:tcW w:w="1382" w:type="dxa"/>
            <w:tcBorders>
              <w:top w:val="nil"/>
              <w:bottom w:val="single" w:sz="4" w:space="0" w:color="auto"/>
            </w:tcBorders>
            <w:shd w:val="clear" w:color="auto" w:fill="F2F2F2" w:themeFill="background1" w:themeFillShade="F2"/>
          </w:tcPr>
          <w:p w:rsidR="002079BB" w:rsidRPr="001A286C" w:rsidRDefault="00DA1E47" w:rsidP="00C82FCE">
            <w:pPr>
              <w:pStyle w:val="TableText"/>
              <w:jc w:val="center"/>
              <w:rPr>
                <w:b/>
                <w:lang w:eastAsia="ja-JP"/>
              </w:rPr>
            </w:pPr>
            <w:r>
              <w:rPr>
                <w:lang w:eastAsia="ja-JP"/>
              </w:rPr>
              <w:t>96 (91–98)</w:t>
            </w:r>
          </w:p>
        </w:tc>
        <w:tc>
          <w:tcPr>
            <w:tcW w:w="1276" w:type="dxa"/>
            <w:tcBorders>
              <w:top w:val="nil"/>
              <w:bottom w:val="single" w:sz="4" w:space="0" w:color="auto"/>
            </w:tcBorders>
            <w:shd w:val="clear" w:color="auto" w:fill="F2F2F2" w:themeFill="background1" w:themeFillShade="F2"/>
          </w:tcPr>
          <w:p w:rsidR="002079BB" w:rsidRPr="001A286C" w:rsidRDefault="00DA1E47" w:rsidP="00C82FCE">
            <w:pPr>
              <w:pStyle w:val="TableText"/>
              <w:jc w:val="center"/>
              <w:rPr>
                <w:b/>
                <w:lang w:eastAsia="ja-JP"/>
              </w:rPr>
            </w:pPr>
            <w:r>
              <w:rPr>
                <w:lang w:eastAsia="ja-JP"/>
              </w:rPr>
              <w:t>40</w:t>
            </w:r>
          </w:p>
        </w:tc>
      </w:tr>
      <w:tr w:rsidR="00DA1E47" w:rsidRPr="001A286C" w:rsidTr="00C84C34">
        <w:trPr>
          <w:cantSplit/>
        </w:trPr>
        <w:tc>
          <w:tcPr>
            <w:tcW w:w="1560" w:type="dxa"/>
            <w:vMerge w:val="restart"/>
            <w:tcBorders>
              <w:top w:val="single" w:sz="4" w:space="0" w:color="auto"/>
              <w:bottom w:val="nil"/>
            </w:tcBorders>
          </w:tcPr>
          <w:p w:rsidR="00DA1E47" w:rsidRPr="001A286C" w:rsidRDefault="00DA1E47" w:rsidP="00C82FCE">
            <w:pPr>
              <w:pStyle w:val="TableText"/>
              <w:keepNext/>
              <w:rPr>
                <w:b/>
                <w:lang w:eastAsia="ja-JP"/>
              </w:rPr>
            </w:pPr>
            <w:r>
              <w:rPr>
                <w:lang w:eastAsia="ja-JP"/>
              </w:rPr>
              <w:t>Capillary blood glucose</w:t>
            </w:r>
          </w:p>
        </w:tc>
        <w:tc>
          <w:tcPr>
            <w:tcW w:w="1701" w:type="dxa"/>
            <w:tcBorders>
              <w:top w:val="single" w:sz="4" w:space="0" w:color="auto"/>
            </w:tcBorders>
          </w:tcPr>
          <w:p w:rsidR="00DA1E47" w:rsidRDefault="00DA1E47" w:rsidP="00C82FCE">
            <w:pPr>
              <w:pStyle w:val="TableText"/>
              <w:keepNext/>
              <w:rPr>
                <w:b/>
                <w:lang w:eastAsia="ja-JP"/>
              </w:rPr>
            </w:pPr>
            <w:r>
              <w:rPr>
                <w:lang w:eastAsia="ja-JP"/>
              </w:rPr>
              <w:t>Agarwal, 2008, UAE</w:t>
            </w:r>
          </w:p>
        </w:tc>
        <w:tc>
          <w:tcPr>
            <w:tcW w:w="567" w:type="dxa"/>
            <w:tcBorders>
              <w:top w:val="single" w:sz="4" w:space="0" w:color="auto"/>
            </w:tcBorders>
          </w:tcPr>
          <w:p w:rsidR="00DA1E47" w:rsidRPr="001A286C" w:rsidRDefault="00DA1E47" w:rsidP="00C82FCE">
            <w:pPr>
              <w:pStyle w:val="TableText"/>
              <w:keepNext/>
              <w:jc w:val="center"/>
              <w:rPr>
                <w:b/>
                <w:lang w:eastAsia="ja-JP"/>
              </w:rPr>
            </w:pPr>
            <w:r>
              <w:rPr>
                <w:lang w:eastAsia="ja-JP"/>
              </w:rPr>
              <w:t>1662</w:t>
            </w:r>
          </w:p>
        </w:tc>
        <w:tc>
          <w:tcPr>
            <w:tcW w:w="1541" w:type="dxa"/>
            <w:tcBorders>
              <w:top w:val="single" w:sz="4" w:space="0" w:color="auto"/>
            </w:tcBorders>
          </w:tcPr>
          <w:p w:rsidR="00DA1E47" w:rsidRPr="001A286C" w:rsidRDefault="00C84C34" w:rsidP="00C82FCE">
            <w:pPr>
              <w:pStyle w:val="TableText"/>
              <w:keepNext/>
              <w:jc w:val="center"/>
              <w:rPr>
                <w:b/>
                <w:lang w:eastAsia="ja-JP"/>
              </w:rPr>
            </w:pPr>
            <w:r>
              <w:rPr>
                <w:lang w:eastAsia="ja-JP"/>
              </w:rPr>
              <w:t>≥ 88 mg/dL</w:t>
            </w:r>
          </w:p>
        </w:tc>
        <w:tc>
          <w:tcPr>
            <w:tcW w:w="1258" w:type="dxa"/>
            <w:tcBorders>
              <w:top w:val="single" w:sz="4" w:space="0" w:color="auto"/>
            </w:tcBorders>
          </w:tcPr>
          <w:p w:rsidR="00DA1E47" w:rsidRPr="001A286C" w:rsidRDefault="00C84C34" w:rsidP="00C82FCE">
            <w:pPr>
              <w:pStyle w:val="TableText"/>
              <w:keepNext/>
              <w:jc w:val="center"/>
              <w:rPr>
                <w:b/>
                <w:lang w:eastAsia="ja-JP"/>
              </w:rPr>
            </w:pPr>
            <w:r>
              <w:rPr>
                <w:lang w:eastAsia="ja-JP"/>
              </w:rPr>
              <w:t>ADA (FPG)</w:t>
            </w:r>
          </w:p>
        </w:tc>
        <w:tc>
          <w:tcPr>
            <w:tcW w:w="1329" w:type="dxa"/>
            <w:tcBorders>
              <w:top w:val="single" w:sz="4" w:space="0" w:color="auto"/>
            </w:tcBorders>
          </w:tcPr>
          <w:p w:rsidR="00DA1E47" w:rsidRPr="001A286C" w:rsidRDefault="00C84C34" w:rsidP="00C82FCE">
            <w:pPr>
              <w:pStyle w:val="TableText"/>
              <w:keepNext/>
              <w:jc w:val="center"/>
              <w:rPr>
                <w:b/>
                <w:lang w:eastAsia="ja-JP"/>
              </w:rPr>
            </w:pPr>
            <w:r>
              <w:rPr>
                <w:lang w:eastAsia="ja-JP"/>
              </w:rPr>
              <w:t>11.2</w:t>
            </w:r>
          </w:p>
        </w:tc>
        <w:tc>
          <w:tcPr>
            <w:tcW w:w="1329" w:type="dxa"/>
            <w:tcBorders>
              <w:top w:val="single" w:sz="4" w:space="0" w:color="auto"/>
            </w:tcBorders>
          </w:tcPr>
          <w:p w:rsidR="00DA1E47" w:rsidRPr="001A286C" w:rsidRDefault="00C84C34" w:rsidP="00C82FCE">
            <w:pPr>
              <w:pStyle w:val="TableText"/>
              <w:keepNext/>
              <w:jc w:val="center"/>
              <w:rPr>
                <w:b/>
                <w:lang w:eastAsia="ja-JP"/>
              </w:rPr>
            </w:pPr>
            <w:r>
              <w:rPr>
                <w:lang w:eastAsia="ja-JP"/>
              </w:rPr>
              <w:t>84 (78–89)</w:t>
            </w:r>
          </w:p>
        </w:tc>
        <w:tc>
          <w:tcPr>
            <w:tcW w:w="1329" w:type="dxa"/>
            <w:tcBorders>
              <w:top w:val="single" w:sz="4" w:space="0" w:color="auto"/>
            </w:tcBorders>
          </w:tcPr>
          <w:p w:rsidR="00DA1E47" w:rsidRPr="001A286C" w:rsidRDefault="00C84C34" w:rsidP="00C82FCE">
            <w:pPr>
              <w:pStyle w:val="TableText"/>
              <w:keepNext/>
              <w:jc w:val="center"/>
              <w:rPr>
                <w:b/>
                <w:lang w:eastAsia="ja-JP"/>
              </w:rPr>
            </w:pPr>
            <w:r>
              <w:rPr>
                <w:lang w:eastAsia="ja-JP"/>
              </w:rPr>
              <w:t>75 (73–77)</w:t>
            </w:r>
          </w:p>
        </w:tc>
        <w:tc>
          <w:tcPr>
            <w:tcW w:w="1329" w:type="dxa"/>
            <w:tcBorders>
              <w:top w:val="single" w:sz="4" w:space="0" w:color="auto"/>
            </w:tcBorders>
          </w:tcPr>
          <w:p w:rsidR="00DA1E47" w:rsidRPr="001A286C" w:rsidRDefault="00C84C34" w:rsidP="00C82FCE">
            <w:pPr>
              <w:pStyle w:val="TableText"/>
              <w:keepNext/>
              <w:jc w:val="center"/>
              <w:rPr>
                <w:b/>
                <w:lang w:eastAsia="ja-JP"/>
              </w:rPr>
            </w:pPr>
            <w:r>
              <w:rPr>
                <w:lang w:eastAsia="ja-JP"/>
              </w:rPr>
              <w:t>30 (26–34)</w:t>
            </w:r>
          </w:p>
        </w:tc>
        <w:tc>
          <w:tcPr>
            <w:tcW w:w="1382" w:type="dxa"/>
            <w:tcBorders>
              <w:top w:val="single" w:sz="4" w:space="0" w:color="auto"/>
            </w:tcBorders>
          </w:tcPr>
          <w:p w:rsidR="00DA1E47" w:rsidRPr="001A286C" w:rsidRDefault="00C84C34" w:rsidP="00C82FCE">
            <w:pPr>
              <w:pStyle w:val="TableText"/>
              <w:keepNext/>
              <w:jc w:val="center"/>
              <w:rPr>
                <w:b/>
                <w:lang w:eastAsia="ja-JP"/>
              </w:rPr>
            </w:pPr>
            <w:r>
              <w:rPr>
                <w:lang w:eastAsia="ja-JP"/>
              </w:rPr>
              <w:t>98 (96–98)</w:t>
            </w:r>
          </w:p>
        </w:tc>
        <w:tc>
          <w:tcPr>
            <w:tcW w:w="1276" w:type="dxa"/>
            <w:tcBorders>
              <w:top w:val="single" w:sz="4" w:space="0" w:color="auto"/>
            </w:tcBorders>
          </w:tcPr>
          <w:p w:rsidR="00DA1E47" w:rsidRPr="001A286C" w:rsidRDefault="00C84C34" w:rsidP="00C82FCE">
            <w:pPr>
              <w:pStyle w:val="TableText"/>
              <w:keepNext/>
              <w:jc w:val="center"/>
              <w:rPr>
                <w:b/>
                <w:lang w:eastAsia="ja-JP"/>
              </w:rPr>
            </w:pPr>
            <w:r>
              <w:rPr>
                <w:lang w:eastAsia="ja-JP"/>
              </w:rPr>
              <w:t>76</w:t>
            </w:r>
          </w:p>
        </w:tc>
      </w:tr>
      <w:tr w:rsidR="00DA1E47" w:rsidRPr="001A286C" w:rsidTr="00C84C34">
        <w:trPr>
          <w:cantSplit/>
        </w:trPr>
        <w:tc>
          <w:tcPr>
            <w:tcW w:w="1560" w:type="dxa"/>
            <w:vMerge/>
            <w:tcBorders>
              <w:top w:val="nil"/>
              <w:bottom w:val="nil"/>
            </w:tcBorders>
          </w:tcPr>
          <w:p w:rsidR="00DA1E47" w:rsidRPr="001A286C" w:rsidRDefault="00DA1E47" w:rsidP="00C82FCE">
            <w:pPr>
              <w:pStyle w:val="TableText"/>
              <w:keepNext/>
              <w:rPr>
                <w:b/>
                <w:lang w:eastAsia="ja-JP"/>
              </w:rPr>
            </w:pPr>
          </w:p>
        </w:tc>
        <w:tc>
          <w:tcPr>
            <w:tcW w:w="1701" w:type="dxa"/>
          </w:tcPr>
          <w:p w:rsidR="00DA1E47" w:rsidRPr="001A286C" w:rsidRDefault="00DA1E47" w:rsidP="00C82FCE">
            <w:pPr>
              <w:pStyle w:val="TableText"/>
              <w:keepNext/>
              <w:rPr>
                <w:b/>
                <w:lang w:eastAsia="ja-JP"/>
              </w:rPr>
            </w:pPr>
            <w:r>
              <w:rPr>
                <w:lang w:eastAsia="ja-JP"/>
              </w:rPr>
              <w:t>Balaji, 2012, India</w:t>
            </w:r>
          </w:p>
        </w:tc>
        <w:tc>
          <w:tcPr>
            <w:tcW w:w="567" w:type="dxa"/>
          </w:tcPr>
          <w:p w:rsidR="00DA1E47" w:rsidRPr="001A286C" w:rsidRDefault="00DA1E47" w:rsidP="00C82FCE">
            <w:pPr>
              <w:pStyle w:val="TableText"/>
              <w:keepNext/>
              <w:jc w:val="center"/>
              <w:rPr>
                <w:b/>
                <w:lang w:eastAsia="ja-JP"/>
              </w:rPr>
            </w:pPr>
            <w:r>
              <w:rPr>
                <w:lang w:eastAsia="ja-JP"/>
              </w:rPr>
              <w:t>819</w:t>
            </w:r>
          </w:p>
        </w:tc>
        <w:tc>
          <w:tcPr>
            <w:tcW w:w="1541" w:type="dxa"/>
          </w:tcPr>
          <w:p w:rsidR="00DA1E47" w:rsidRPr="001A286C" w:rsidRDefault="00C84C34" w:rsidP="00C82FCE">
            <w:pPr>
              <w:pStyle w:val="TableText"/>
              <w:keepNext/>
              <w:jc w:val="center"/>
              <w:rPr>
                <w:b/>
                <w:lang w:eastAsia="ja-JP"/>
              </w:rPr>
            </w:pPr>
            <w:r>
              <w:rPr>
                <w:lang w:eastAsia="ja-JP"/>
              </w:rPr>
              <w:t>≥ 140 mg/dL</w:t>
            </w:r>
          </w:p>
        </w:tc>
        <w:tc>
          <w:tcPr>
            <w:tcW w:w="1258" w:type="dxa"/>
          </w:tcPr>
          <w:p w:rsidR="00DA1E47" w:rsidRPr="001A286C" w:rsidRDefault="00C84C34" w:rsidP="00C82FCE">
            <w:pPr>
              <w:pStyle w:val="TableText"/>
              <w:keepNext/>
              <w:jc w:val="center"/>
              <w:rPr>
                <w:b/>
                <w:lang w:eastAsia="ja-JP"/>
              </w:rPr>
            </w:pPr>
            <w:r>
              <w:rPr>
                <w:lang w:eastAsia="ja-JP"/>
              </w:rPr>
              <w:t>WHO</w:t>
            </w:r>
          </w:p>
        </w:tc>
        <w:tc>
          <w:tcPr>
            <w:tcW w:w="1329" w:type="dxa"/>
          </w:tcPr>
          <w:p w:rsidR="00DA1E47" w:rsidRPr="001A286C" w:rsidRDefault="00C84C34" w:rsidP="00C82FCE">
            <w:pPr>
              <w:pStyle w:val="TableText"/>
              <w:keepNext/>
              <w:jc w:val="center"/>
              <w:rPr>
                <w:b/>
                <w:lang w:eastAsia="ja-JP"/>
              </w:rPr>
            </w:pPr>
            <w:r>
              <w:rPr>
                <w:lang w:eastAsia="ja-JP"/>
              </w:rPr>
              <w:t>10.5</w:t>
            </w:r>
          </w:p>
        </w:tc>
        <w:tc>
          <w:tcPr>
            <w:tcW w:w="1329" w:type="dxa"/>
          </w:tcPr>
          <w:p w:rsidR="00DA1E47" w:rsidRPr="001A286C" w:rsidRDefault="00C84C34" w:rsidP="00C82FCE">
            <w:pPr>
              <w:pStyle w:val="TableText"/>
              <w:keepNext/>
              <w:jc w:val="center"/>
              <w:rPr>
                <w:b/>
                <w:lang w:eastAsia="ja-JP"/>
              </w:rPr>
            </w:pPr>
            <w:r>
              <w:rPr>
                <w:lang w:eastAsia="ja-JP"/>
              </w:rPr>
              <w:t>80 (70–88)</w:t>
            </w:r>
          </w:p>
        </w:tc>
        <w:tc>
          <w:tcPr>
            <w:tcW w:w="1329" w:type="dxa"/>
          </w:tcPr>
          <w:p w:rsidR="00DA1E47" w:rsidRPr="001A286C" w:rsidRDefault="00C84C34" w:rsidP="00C82FCE">
            <w:pPr>
              <w:pStyle w:val="TableText"/>
              <w:keepNext/>
              <w:jc w:val="center"/>
              <w:rPr>
                <w:b/>
                <w:lang w:eastAsia="ja-JP"/>
              </w:rPr>
            </w:pPr>
            <w:r>
              <w:rPr>
                <w:lang w:eastAsia="ja-JP"/>
              </w:rPr>
              <w:t>98 (97–99)</w:t>
            </w:r>
          </w:p>
        </w:tc>
        <w:tc>
          <w:tcPr>
            <w:tcW w:w="1329" w:type="dxa"/>
          </w:tcPr>
          <w:p w:rsidR="00DA1E47" w:rsidRPr="001A286C" w:rsidRDefault="00C84C34" w:rsidP="00C82FCE">
            <w:pPr>
              <w:pStyle w:val="TableText"/>
              <w:keepNext/>
              <w:jc w:val="center"/>
              <w:rPr>
                <w:b/>
                <w:lang w:eastAsia="ja-JP"/>
              </w:rPr>
            </w:pPr>
            <w:r>
              <w:rPr>
                <w:lang w:eastAsia="ja-JP"/>
              </w:rPr>
              <w:t>86 (77–92)</w:t>
            </w:r>
          </w:p>
        </w:tc>
        <w:tc>
          <w:tcPr>
            <w:tcW w:w="1382" w:type="dxa"/>
          </w:tcPr>
          <w:p w:rsidR="00DA1E47" w:rsidRPr="001A286C" w:rsidRDefault="00C84C34" w:rsidP="00C82FCE">
            <w:pPr>
              <w:pStyle w:val="TableText"/>
              <w:keepNext/>
              <w:jc w:val="center"/>
              <w:rPr>
                <w:b/>
                <w:lang w:eastAsia="ja-JP"/>
              </w:rPr>
            </w:pPr>
            <w:r>
              <w:rPr>
                <w:lang w:eastAsia="ja-JP"/>
              </w:rPr>
              <w:t>98 (96–99)</w:t>
            </w:r>
          </w:p>
        </w:tc>
        <w:tc>
          <w:tcPr>
            <w:tcW w:w="1276" w:type="dxa"/>
          </w:tcPr>
          <w:p w:rsidR="00DA1E47" w:rsidRPr="001A286C" w:rsidRDefault="00C84C34" w:rsidP="00C82FCE">
            <w:pPr>
              <w:pStyle w:val="TableText"/>
              <w:keepNext/>
              <w:jc w:val="center"/>
              <w:rPr>
                <w:b/>
                <w:lang w:eastAsia="ja-JP"/>
              </w:rPr>
            </w:pPr>
            <w:r>
              <w:rPr>
                <w:lang w:eastAsia="ja-JP"/>
              </w:rPr>
              <w:t>97</w:t>
            </w:r>
          </w:p>
        </w:tc>
      </w:tr>
      <w:tr w:rsidR="00DA1E47" w:rsidRPr="001A286C" w:rsidTr="00C84C34">
        <w:trPr>
          <w:cantSplit/>
        </w:trPr>
        <w:tc>
          <w:tcPr>
            <w:tcW w:w="1560" w:type="dxa"/>
            <w:vMerge/>
            <w:tcBorders>
              <w:top w:val="nil"/>
              <w:bottom w:val="nil"/>
            </w:tcBorders>
          </w:tcPr>
          <w:p w:rsidR="00DA1E47" w:rsidRPr="001A286C" w:rsidRDefault="00DA1E47" w:rsidP="00C82FCE">
            <w:pPr>
              <w:pStyle w:val="TableText"/>
              <w:rPr>
                <w:b/>
                <w:lang w:eastAsia="ja-JP"/>
              </w:rPr>
            </w:pPr>
          </w:p>
        </w:tc>
        <w:tc>
          <w:tcPr>
            <w:tcW w:w="1701" w:type="dxa"/>
            <w:tcBorders>
              <w:bottom w:val="nil"/>
            </w:tcBorders>
          </w:tcPr>
          <w:p w:rsidR="00DA1E47" w:rsidRPr="001A286C" w:rsidRDefault="00DA1E47" w:rsidP="00C82FCE">
            <w:pPr>
              <w:pStyle w:val="TableText"/>
              <w:rPr>
                <w:b/>
                <w:lang w:eastAsia="ja-JP"/>
              </w:rPr>
            </w:pPr>
            <w:r>
              <w:rPr>
                <w:lang w:eastAsia="ja-JP"/>
              </w:rPr>
              <w:t>Wijeyaratne, 2006, Sri Lanka</w:t>
            </w:r>
          </w:p>
        </w:tc>
        <w:tc>
          <w:tcPr>
            <w:tcW w:w="567" w:type="dxa"/>
            <w:tcBorders>
              <w:bottom w:val="nil"/>
            </w:tcBorders>
          </w:tcPr>
          <w:p w:rsidR="00DA1E47" w:rsidRPr="001A286C" w:rsidRDefault="00C84C34" w:rsidP="00C82FCE">
            <w:pPr>
              <w:pStyle w:val="TableText"/>
              <w:jc w:val="center"/>
              <w:rPr>
                <w:b/>
                <w:lang w:eastAsia="ja-JP"/>
              </w:rPr>
            </w:pPr>
            <w:r>
              <w:rPr>
                <w:lang w:eastAsia="ja-JP"/>
              </w:rPr>
              <w:t>853</w:t>
            </w:r>
          </w:p>
        </w:tc>
        <w:tc>
          <w:tcPr>
            <w:tcW w:w="1541" w:type="dxa"/>
            <w:tcBorders>
              <w:bottom w:val="nil"/>
            </w:tcBorders>
          </w:tcPr>
          <w:p w:rsidR="00DA1E47" w:rsidRPr="001A286C" w:rsidRDefault="00C84C34" w:rsidP="00C82FCE">
            <w:pPr>
              <w:pStyle w:val="TableText"/>
              <w:jc w:val="center"/>
              <w:rPr>
                <w:b/>
                <w:lang w:eastAsia="ja-JP"/>
              </w:rPr>
            </w:pPr>
            <w:r>
              <w:rPr>
                <w:lang w:eastAsia="ja-JP"/>
              </w:rPr>
              <w:t>≥ 130 mg/dL</w:t>
            </w:r>
          </w:p>
        </w:tc>
        <w:tc>
          <w:tcPr>
            <w:tcW w:w="1258" w:type="dxa"/>
            <w:tcBorders>
              <w:bottom w:val="nil"/>
            </w:tcBorders>
          </w:tcPr>
          <w:p w:rsidR="00DA1E47" w:rsidRPr="001A286C" w:rsidRDefault="00C84C34" w:rsidP="00C82FCE">
            <w:pPr>
              <w:pStyle w:val="TableText"/>
              <w:jc w:val="center"/>
              <w:rPr>
                <w:b/>
                <w:lang w:eastAsia="ja-JP"/>
              </w:rPr>
            </w:pPr>
            <w:r>
              <w:rPr>
                <w:lang w:eastAsia="ja-JP"/>
              </w:rPr>
              <w:t>WHO</w:t>
            </w:r>
          </w:p>
        </w:tc>
        <w:tc>
          <w:tcPr>
            <w:tcW w:w="1329" w:type="dxa"/>
            <w:tcBorders>
              <w:bottom w:val="nil"/>
            </w:tcBorders>
          </w:tcPr>
          <w:p w:rsidR="00DA1E47" w:rsidRPr="001A286C" w:rsidRDefault="00C84C34" w:rsidP="00C82FCE">
            <w:pPr>
              <w:pStyle w:val="TableText"/>
              <w:jc w:val="center"/>
              <w:rPr>
                <w:b/>
                <w:lang w:eastAsia="ja-JP"/>
              </w:rPr>
            </w:pPr>
            <w:r>
              <w:rPr>
                <w:lang w:eastAsia="ja-JP"/>
              </w:rPr>
              <w:t>16.3</w:t>
            </w:r>
          </w:p>
        </w:tc>
        <w:tc>
          <w:tcPr>
            <w:tcW w:w="1329" w:type="dxa"/>
            <w:tcBorders>
              <w:bottom w:val="nil"/>
            </w:tcBorders>
          </w:tcPr>
          <w:p w:rsidR="00DA1E47" w:rsidRPr="001A286C" w:rsidRDefault="00C84C34" w:rsidP="00C82FCE">
            <w:pPr>
              <w:pStyle w:val="TableText"/>
              <w:jc w:val="center"/>
              <w:rPr>
                <w:b/>
                <w:lang w:eastAsia="ja-JP"/>
              </w:rPr>
            </w:pPr>
            <w:r>
              <w:rPr>
                <w:lang w:eastAsia="ja-JP"/>
              </w:rPr>
              <w:t>63 (54–70)</w:t>
            </w:r>
          </w:p>
        </w:tc>
        <w:tc>
          <w:tcPr>
            <w:tcW w:w="1329" w:type="dxa"/>
            <w:tcBorders>
              <w:bottom w:val="nil"/>
            </w:tcBorders>
          </w:tcPr>
          <w:p w:rsidR="00DA1E47" w:rsidRPr="001A286C" w:rsidRDefault="00C84C34" w:rsidP="00C82FCE">
            <w:pPr>
              <w:pStyle w:val="TableText"/>
              <w:jc w:val="center"/>
              <w:rPr>
                <w:b/>
                <w:lang w:eastAsia="ja-JP"/>
              </w:rPr>
            </w:pPr>
            <w:r>
              <w:rPr>
                <w:lang w:eastAsia="ja-JP"/>
              </w:rPr>
              <w:t>37 (34–41)</w:t>
            </w:r>
          </w:p>
        </w:tc>
        <w:tc>
          <w:tcPr>
            <w:tcW w:w="1329" w:type="dxa"/>
            <w:tcBorders>
              <w:bottom w:val="nil"/>
            </w:tcBorders>
          </w:tcPr>
          <w:p w:rsidR="00DA1E47" w:rsidRPr="001A286C" w:rsidRDefault="00C84C34" w:rsidP="00C82FCE">
            <w:pPr>
              <w:pStyle w:val="TableText"/>
              <w:jc w:val="center"/>
              <w:rPr>
                <w:b/>
                <w:lang w:eastAsia="ja-JP"/>
              </w:rPr>
            </w:pPr>
            <w:r>
              <w:rPr>
                <w:lang w:eastAsia="ja-JP"/>
              </w:rPr>
              <w:t>17 (14–20)</w:t>
            </w:r>
          </w:p>
        </w:tc>
        <w:tc>
          <w:tcPr>
            <w:tcW w:w="1382" w:type="dxa"/>
            <w:tcBorders>
              <w:bottom w:val="nil"/>
            </w:tcBorders>
          </w:tcPr>
          <w:p w:rsidR="00DA1E47" w:rsidRPr="001A286C" w:rsidRDefault="00C84C34" w:rsidP="00C82FCE">
            <w:pPr>
              <w:pStyle w:val="TableText"/>
              <w:jc w:val="center"/>
              <w:rPr>
                <w:b/>
                <w:lang w:eastAsia="ja-JP"/>
              </w:rPr>
            </w:pPr>
            <w:r>
              <w:rPr>
                <w:lang w:eastAsia="ja-JP"/>
              </w:rPr>
              <w:t>83 (79–87)</w:t>
            </w:r>
          </w:p>
        </w:tc>
        <w:tc>
          <w:tcPr>
            <w:tcW w:w="1276" w:type="dxa"/>
            <w:tcBorders>
              <w:bottom w:val="nil"/>
            </w:tcBorders>
          </w:tcPr>
          <w:p w:rsidR="00DA1E47" w:rsidRPr="001A286C" w:rsidRDefault="00C84C34" w:rsidP="00C82FCE">
            <w:pPr>
              <w:pStyle w:val="TableText"/>
              <w:jc w:val="center"/>
              <w:rPr>
                <w:b/>
                <w:lang w:eastAsia="ja-JP"/>
              </w:rPr>
            </w:pPr>
            <w:r>
              <w:rPr>
                <w:lang w:eastAsia="ja-JP"/>
              </w:rPr>
              <w:t>42</w:t>
            </w:r>
          </w:p>
        </w:tc>
      </w:tr>
      <w:tr w:rsidR="00C84C34" w:rsidRPr="001A286C" w:rsidTr="00C84C34">
        <w:trPr>
          <w:cantSplit/>
        </w:trPr>
        <w:tc>
          <w:tcPr>
            <w:tcW w:w="1560" w:type="dxa"/>
            <w:vMerge w:val="restart"/>
            <w:tcBorders>
              <w:top w:val="nil"/>
              <w:bottom w:val="nil"/>
            </w:tcBorders>
            <w:shd w:val="clear" w:color="auto" w:fill="F2F2F2" w:themeFill="background1" w:themeFillShade="F2"/>
          </w:tcPr>
          <w:p w:rsidR="00C84C34" w:rsidRPr="001A286C" w:rsidRDefault="00C84C34" w:rsidP="00C82FCE">
            <w:pPr>
              <w:pStyle w:val="TableText"/>
              <w:rPr>
                <w:b/>
                <w:lang w:eastAsia="ja-JP"/>
              </w:rPr>
            </w:pPr>
            <w:r>
              <w:rPr>
                <w:lang w:eastAsia="ja-JP"/>
              </w:rPr>
              <w:t>Glucose source</w:t>
            </w:r>
          </w:p>
        </w:tc>
        <w:tc>
          <w:tcPr>
            <w:tcW w:w="1701" w:type="dxa"/>
            <w:tcBorders>
              <w:top w:val="nil"/>
              <w:bottom w:val="nil"/>
            </w:tcBorders>
            <w:shd w:val="clear" w:color="auto" w:fill="F2F2F2" w:themeFill="background1" w:themeFillShade="F2"/>
          </w:tcPr>
          <w:p w:rsidR="00C84C34" w:rsidRDefault="00293389" w:rsidP="00C82FCE">
            <w:pPr>
              <w:pStyle w:val="TableText"/>
              <w:rPr>
                <w:b/>
                <w:lang w:eastAsia="ja-JP"/>
              </w:rPr>
            </w:pPr>
            <w:r>
              <w:rPr>
                <w:lang w:eastAsia="ja-JP"/>
              </w:rPr>
              <w:t>Estamian, 2008, Iran</w:t>
            </w:r>
          </w:p>
        </w:tc>
        <w:tc>
          <w:tcPr>
            <w:tcW w:w="567"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138</w:t>
            </w:r>
          </w:p>
        </w:tc>
        <w:tc>
          <w:tcPr>
            <w:tcW w:w="1541"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50 g carb breakfast</w:t>
            </w:r>
          </w:p>
        </w:tc>
        <w:tc>
          <w:tcPr>
            <w:tcW w:w="1258"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ADA</w:t>
            </w:r>
          </w:p>
        </w:tc>
        <w:tc>
          <w:tcPr>
            <w:tcW w:w="1329"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8.6</w:t>
            </w:r>
          </w:p>
        </w:tc>
        <w:tc>
          <w:tcPr>
            <w:tcW w:w="1329"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83 (52–98)</w:t>
            </w:r>
          </w:p>
        </w:tc>
        <w:tc>
          <w:tcPr>
            <w:tcW w:w="1329"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86 (79–91)</w:t>
            </w:r>
          </w:p>
        </w:tc>
        <w:tc>
          <w:tcPr>
            <w:tcW w:w="1329"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36 (20–5)</w:t>
            </w:r>
          </w:p>
        </w:tc>
        <w:tc>
          <w:tcPr>
            <w:tcW w:w="1382"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98 (94–100)</w:t>
            </w:r>
          </w:p>
        </w:tc>
        <w:tc>
          <w:tcPr>
            <w:tcW w:w="1276"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86</w:t>
            </w:r>
          </w:p>
        </w:tc>
      </w:tr>
      <w:tr w:rsidR="00C84C34" w:rsidRPr="001A286C" w:rsidTr="00C84C34">
        <w:trPr>
          <w:cantSplit/>
        </w:trPr>
        <w:tc>
          <w:tcPr>
            <w:tcW w:w="1560" w:type="dxa"/>
            <w:vMerge/>
            <w:tcBorders>
              <w:top w:val="nil"/>
              <w:bottom w:val="nil"/>
            </w:tcBorders>
            <w:shd w:val="clear" w:color="auto" w:fill="F2F2F2" w:themeFill="background1" w:themeFillShade="F2"/>
          </w:tcPr>
          <w:p w:rsidR="00C84C34" w:rsidRPr="001A286C" w:rsidRDefault="00C84C34" w:rsidP="00C82FCE">
            <w:pPr>
              <w:pStyle w:val="TableText"/>
              <w:rPr>
                <w:b/>
                <w:lang w:eastAsia="ja-JP"/>
              </w:rPr>
            </w:pPr>
          </w:p>
        </w:tc>
        <w:tc>
          <w:tcPr>
            <w:tcW w:w="1701" w:type="dxa"/>
            <w:tcBorders>
              <w:top w:val="nil"/>
              <w:bottom w:val="nil"/>
            </w:tcBorders>
            <w:shd w:val="clear" w:color="auto" w:fill="F2F2F2" w:themeFill="background1" w:themeFillShade="F2"/>
          </w:tcPr>
          <w:p w:rsidR="00C84C34" w:rsidRDefault="00293389" w:rsidP="00C82FCE">
            <w:pPr>
              <w:pStyle w:val="TableText"/>
              <w:rPr>
                <w:b/>
                <w:lang w:eastAsia="ja-JP"/>
              </w:rPr>
            </w:pPr>
            <w:r>
              <w:rPr>
                <w:lang w:eastAsia="ja-JP"/>
              </w:rPr>
              <w:t>Lamar, 1999, US</w:t>
            </w:r>
          </w:p>
        </w:tc>
        <w:tc>
          <w:tcPr>
            <w:tcW w:w="567"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136</w:t>
            </w:r>
          </w:p>
        </w:tc>
        <w:tc>
          <w:tcPr>
            <w:tcW w:w="1541"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50 g (28) jelly beans</w:t>
            </w:r>
          </w:p>
        </w:tc>
        <w:tc>
          <w:tcPr>
            <w:tcW w:w="1258"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NDDG</w:t>
            </w:r>
          </w:p>
        </w:tc>
        <w:tc>
          <w:tcPr>
            <w:tcW w:w="1329"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3.7</w:t>
            </w:r>
          </w:p>
        </w:tc>
        <w:tc>
          <w:tcPr>
            <w:tcW w:w="1329"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40 (5–85)</w:t>
            </w:r>
          </w:p>
        </w:tc>
        <w:tc>
          <w:tcPr>
            <w:tcW w:w="1329"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85 (78–91)</w:t>
            </w:r>
          </w:p>
        </w:tc>
        <w:tc>
          <w:tcPr>
            <w:tcW w:w="1329"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9 (3–28)</w:t>
            </w:r>
          </w:p>
        </w:tc>
        <w:tc>
          <w:tcPr>
            <w:tcW w:w="1382"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97 (93–99)</w:t>
            </w:r>
          </w:p>
        </w:tc>
        <w:tc>
          <w:tcPr>
            <w:tcW w:w="1276" w:type="dxa"/>
            <w:tcBorders>
              <w:top w:val="nil"/>
              <w:bottom w:val="nil"/>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83</w:t>
            </w:r>
          </w:p>
        </w:tc>
      </w:tr>
      <w:tr w:rsidR="00C84C34" w:rsidRPr="001A286C" w:rsidTr="00C84C34">
        <w:trPr>
          <w:cantSplit/>
        </w:trPr>
        <w:tc>
          <w:tcPr>
            <w:tcW w:w="1560" w:type="dxa"/>
            <w:vMerge/>
            <w:tcBorders>
              <w:top w:val="nil"/>
              <w:bottom w:val="single" w:sz="4" w:space="0" w:color="auto"/>
            </w:tcBorders>
            <w:shd w:val="clear" w:color="auto" w:fill="F2F2F2" w:themeFill="background1" w:themeFillShade="F2"/>
          </w:tcPr>
          <w:p w:rsidR="00C84C34" w:rsidRPr="001A286C" w:rsidRDefault="00C84C34" w:rsidP="00C82FCE">
            <w:pPr>
              <w:pStyle w:val="TableText"/>
              <w:rPr>
                <w:b/>
                <w:lang w:eastAsia="ja-JP"/>
              </w:rPr>
            </w:pPr>
          </w:p>
        </w:tc>
        <w:tc>
          <w:tcPr>
            <w:tcW w:w="1701" w:type="dxa"/>
            <w:tcBorders>
              <w:top w:val="nil"/>
              <w:bottom w:val="single" w:sz="4" w:space="0" w:color="auto"/>
            </w:tcBorders>
            <w:shd w:val="clear" w:color="auto" w:fill="F2F2F2" w:themeFill="background1" w:themeFillShade="F2"/>
          </w:tcPr>
          <w:p w:rsidR="00C84C34" w:rsidRPr="001A286C" w:rsidRDefault="00293389" w:rsidP="00C82FCE">
            <w:pPr>
              <w:pStyle w:val="TableText"/>
              <w:rPr>
                <w:b/>
                <w:lang w:eastAsia="ja-JP"/>
              </w:rPr>
            </w:pPr>
            <w:r>
              <w:rPr>
                <w:lang w:eastAsia="ja-JP"/>
              </w:rPr>
              <w:t>Rust, 1998, US</w:t>
            </w:r>
          </w:p>
        </w:tc>
        <w:tc>
          <w:tcPr>
            <w:tcW w:w="567" w:type="dxa"/>
            <w:tcBorders>
              <w:top w:val="nil"/>
              <w:bottom w:val="single" w:sz="4" w:space="0" w:color="auto"/>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448</w:t>
            </w:r>
          </w:p>
        </w:tc>
        <w:tc>
          <w:tcPr>
            <w:tcW w:w="1541" w:type="dxa"/>
            <w:tcBorders>
              <w:top w:val="nil"/>
              <w:bottom w:val="single" w:sz="4" w:space="0" w:color="auto"/>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100 g</w:t>
            </w:r>
            <w:r>
              <w:rPr>
                <w:lang w:eastAsia="ja-JP"/>
              </w:rPr>
              <w:br/>
              <w:t>carb meal</w:t>
            </w:r>
          </w:p>
        </w:tc>
        <w:tc>
          <w:tcPr>
            <w:tcW w:w="1258" w:type="dxa"/>
            <w:tcBorders>
              <w:top w:val="nil"/>
              <w:bottom w:val="single" w:sz="4" w:space="0" w:color="auto"/>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ADA (20 week)</w:t>
            </w:r>
          </w:p>
        </w:tc>
        <w:tc>
          <w:tcPr>
            <w:tcW w:w="1329" w:type="dxa"/>
            <w:tcBorders>
              <w:top w:val="nil"/>
              <w:bottom w:val="single" w:sz="4" w:space="0" w:color="auto"/>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3.6</w:t>
            </w:r>
          </w:p>
        </w:tc>
        <w:tc>
          <w:tcPr>
            <w:tcW w:w="1329" w:type="dxa"/>
            <w:tcBorders>
              <w:top w:val="nil"/>
              <w:bottom w:val="single" w:sz="4" w:space="0" w:color="auto"/>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25 (7–52)</w:t>
            </w:r>
          </w:p>
        </w:tc>
        <w:tc>
          <w:tcPr>
            <w:tcW w:w="1329" w:type="dxa"/>
            <w:tcBorders>
              <w:top w:val="nil"/>
              <w:bottom w:val="single" w:sz="4" w:space="0" w:color="auto"/>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98 (96–99)</w:t>
            </w:r>
          </w:p>
        </w:tc>
        <w:tc>
          <w:tcPr>
            <w:tcW w:w="1329" w:type="dxa"/>
            <w:tcBorders>
              <w:top w:val="nil"/>
              <w:bottom w:val="single" w:sz="4" w:space="0" w:color="auto"/>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40 (17–69)</w:t>
            </w:r>
          </w:p>
        </w:tc>
        <w:tc>
          <w:tcPr>
            <w:tcW w:w="1382" w:type="dxa"/>
            <w:tcBorders>
              <w:top w:val="nil"/>
              <w:bottom w:val="single" w:sz="4" w:space="0" w:color="auto"/>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96 (93–98)</w:t>
            </w:r>
          </w:p>
        </w:tc>
        <w:tc>
          <w:tcPr>
            <w:tcW w:w="1276" w:type="dxa"/>
            <w:tcBorders>
              <w:top w:val="nil"/>
              <w:bottom w:val="single" w:sz="4" w:space="0" w:color="auto"/>
            </w:tcBorders>
            <w:shd w:val="clear" w:color="auto" w:fill="F2F2F2" w:themeFill="background1" w:themeFillShade="F2"/>
          </w:tcPr>
          <w:p w:rsidR="00C84C34" w:rsidRPr="001A286C" w:rsidRDefault="00293389" w:rsidP="00C82FCE">
            <w:pPr>
              <w:pStyle w:val="TableText"/>
              <w:jc w:val="center"/>
              <w:rPr>
                <w:b/>
                <w:lang w:eastAsia="ja-JP"/>
              </w:rPr>
            </w:pPr>
            <w:r>
              <w:rPr>
                <w:lang w:eastAsia="ja-JP"/>
              </w:rPr>
              <w:t>94</w:t>
            </w:r>
          </w:p>
        </w:tc>
      </w:tr>
    </w:tbl>
    <w:p w:rsidR="003769A9" w:rsidRDefault="00293389" w:rsidP="00293389">
      <w:pPr>
        <w:pStyle w:val="Note"/>
        <w:ind w:left="0" w:firstLine="0"/>
        <w:rPr>
          <w:lang w:eastAsia="ja-JP"/>
        </w:rPr>
      </w:pPr>
      <w:r>
        <w:rPr>
          <w:lang w:eastAsia="ja-JP"/>
        </w:rPr>
        <w:t>ADA = American Diabetes Association; carb = carbohydrate; CC = Carpenter-Coustan; CI = confidence interval; FPG = fasting plasma glucoase; GDM = gestational diabetes mellitus; HbA1c = glycated haemoglobin; IADPSG = International Association of Diabetes in Pregnancy Study Groups; IWC = International Workshop Conference; JSOG = Japan Society of Obstetrics and Gynecology; NDDG = National Diabetes Data Group; NPV = negative predictive value; PPV = positive predictive value; Sn = sensitivity; Sp = specificity; UAE = United Arab Emirates; WHO = World Health Organization.</w:t>
      </w:r>
    </w:p>
    <w:p w:rsidR="00A30F3A" w:rsidRPr="00E07B1B" w:rsidRDefault="00293389" w:rsidP="00293389">
      <w:pPr>
        <w:pStyle w:val="Note"/>
        <w:rPr>
          <w:lang w:eastAsia="ja-JP"/>
        </w:rPr>
      </w:pPr>
      <w:r>
        <w:rPr>
          <w:lang w:eastAsia="ja-JP"/>
        </w:rPr>
        <w:t>*</w:t>
      </w:r>
      <w:r>
        <w:rPr>
          <w:lang w:eastAsia="ja-JP"/>
        </w:rPr>
        <w:tab/>
        <w:t>Number of women in the analysis.</w:t>
      </w:r>
    </w:p>
    <w:p w:rsidR="0025490C" w:rsidRPr="00E07B1B" w:rsidRDefault="0025490C" w:rsidP="00110A7A">
      <w:pPr>
        <w:pStyle w:val="Source"/>
        <w:ind w:left="0" w:firstLine="0"/>
        <w:rPr>
          <w:lang w:eastAsia="ja-JP"/>
        </w:rPr>
      </w:pPr>
      <w:r>
        <w:rPr>
          <w:lang w:eastAsia="ja-JP"/>
        </w:rPr>
        <w:t xml:space="preserve">Source: </w:t>
      </w:r>
      <w:r w:rsidRPr="00E07B1B">
        <w:rPr>
          <w:lang w:eastAsia="ja-JP"/>
        </w:rPr>
        <w:t xml:space="preserve">Reproduced from </w:t>
      </w:r>
      <w:r w:rsidRPr="00E07B1B">
        <w:t xml:space="preserve">Hartling L, Dryden DM, Guthrie A, Muise M, Vandermeer B, Aktary WM, Donovan L. 2012. </w:t>
      </w:r>
      <w:r w:rsidRPr="00E07B1B">
        <w:rPr>
          <w:i/>
        </w:rPr>
        <w:t xml:space="preserve">Screening and Diagnosing Gestational Diabetes Mellitus. </w:t>
      </w:r>
      <w:r w:rsidRPr="008534D8">
        <w:t>Evidence Report/Technology Assessment number 210 (Prepared by the University of Alberta Evidence-Based practice Center under contract No 290-2007-10021I</w:t>
      </w:r>
      <w:r>
        <w:t>)</w:t>
      </w:r>
      <w:r w:rsidRPr="001F0B03">
        <w:t xml:space="preserve">. </w:t>
      </w:r>
      <w:r w:rsidRPr="00E07B1B">
        <w:t xml:space="preserve">Rockville MD: AHRQ </w:t>
      </w:r>
      <w:r w:rsidRPr="00E07B1B">
        <w:rPr>
          <w:lang w:eastAsia="ja-JP"/>
        </w:rPr>
        <w:t>with permission of the Agency for Healthcare Research and Quality</w:t>
      </w:r>
      <w:r>
        <w:rPr>
          <w:lang w:eastAsia="ja-JP"/>
        </w:rPr>
        <w:t>.</w:t>
      </w:r>
    </w:p>
    <w:p w:rsidR="0093633C" w:rsidRDefault="0093633C" w:rsidP="0093633C">
      <w:pPr>
        <w:rPr>
          <w:lang w:eastAsia="ja-JP"/>
        </w:rPr>
      </w:pPr>
    </w:p>
    <w:p w:rsidR="002079BB" w:rsidRDefault="002079BB" w:rsidP="0093633C">
      <w:pPr>
        <w:rPr>
          <w:lang w:eastAsia="ja-JP"/>
        </w:rPr>
      </w:pPr>
    </w:p>
    <w:p w:rsidR="0093633C" w:rsidRDefault="0093633C" w:rsidP="0093633C">
      <w:pPr>
        <w:rPr>
          <w:lang w:eastAsia="ja-JP"/>
        </w:rPr>
        <w:sectPr w:rsidR="0093633C" w:rsidSect="0093633C">
          <w:footerReference w:type="default" r:id="rId67"/>
          <w:pgSz w:w="16834" w:h="11907" w:orient="landscape" w:code="9"/>
          <w:pgMar w:top="1134" w:right="1134" w:bottom="1134" w:left="1134" w:header="284" w:footer="567" w:gutter="0"/>
          <w:cols w:space="720"/>
          <w:docGrid w:linePitch="299"/>
        </w:sectPr>
      </w:pPr>
    </w:p>
    <w:p w:rsidR="0025490C" w:rsidRPr="00E07B1B" w:rsidRDefault="0025490C" w:rsidP="00363CCF">
      <w:pPr>
        <w:pStyle w:val="Table"/>
      </w:pPr>
      <w:bookmarkStart w:id="506" w:name="_Toc363717809"/>
      <w:bookmarkStart w:id="507" w:name="_Toc403635900"/>
      <w:r w:rsidRPr="00E07B1B">
        <w:t>Table 19</w:t>
      </w:r>
      <w:r w:rsidR="00363CCF">
        <w:t>:</w:t>
      </w:r>
      <w:r w:rsidRPr="00E07B1B">
        <w:t xml:space="preserve"> Effect of prevalence on positive and negative predictive value</w:t>
      </w:r>
      <w:bookmarkEnd w:id="506"/>
      <w:r>
        <w:t>s</w:t>
      </w:r>
      <w:bookmarkEnd w:id="507"/>
    </w:p>
    <w:tbl>
      <w:tblPr>
        <w:tblW w:w="494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3828"/>
        <w:gridCol w:w="1843"/>
        <w:gridCol w:w="1843"/>
        <w:gridCol w:w="1841"/>
      </w:tblGrid>
      <w:tr w:rsidR="004F5FF8" w:rsidRPr="00661DF7" w:rsidTr="004F5FF8">
        <w:trPr>
          <w:cantSplit/>
          <w:tblHeader/>
        </w:trPr>
        <w:tc>
          <w:tcPr>
            <w:tcW w:w="2046" w:type="pct"/>
            <w:tcBorders>
              <w:top w:val="single" w:sz="4" w:space="0" w:color="auto"/>
              <w:bottom w:val="single" w:sz="4" w:space="0" w:color="auto"/>
            </w:tcBorders>
            <w:shd w:val="clear" w:color="auto" w:fill="auto"/>
          </w:tcPr>
          <w:p w:rsidR="0025490C" w:rsidRPr="00661DF7" w:rsidRDefault="0025490C" w:rsidP="00661DF7">
            <w:pPr>
              <w:pStyle w:val="TableText"/>
              <w:rPr>
                <w:b/>
              </w:rPr>
            </w:pPr>
          </w:p>
        </w:tc>
        <w:tc>
          <w:tcPr>
            <w:tcW w:w="985" w:type="pct"/>
            <w:tcBorders>
              <w:top w:val="single" w:sz="4" w:space="0" w:color="auto"/>
              <w:bottom w:val="single" w:sz="4" w:space="0" w:color="auto"/>
            </w:tcBorders>
            <w:shd w:val="clear" w:color="auto" w:fill="auto"/>
          </w:tcPr>
          <w:p w:rsidR="0025490C" w:rsidRPr="00661DF7" w:rsidRDefault="0025490C" w:rsidP="004F5FF8">
            <w:pPr>
              <w:pStyle w:val="TableText"/>
              <w:jc w:val="center"/>
              <w:rPr>
                <w:b/>
                <w:bCs/>
              </w:rPr>
            </w:pPr>
            <w:r w:rsidRPr="00661DF7">
              <w:rPr>
                <w:b/>
                <w:bCs/>
              </w:rPr>
              <w:t>Screening test prevalence</w:t>
            </w:r>
          </w:p>
        </w:tc>
        <w:tc>
          <w:tcPr>
            <w:tcW w:w="985" w:type="pct"/>
            <w:tcBorders>
              <w:top w:val="single" w:sz="4" w:space="0" w:color="auto"/>
              <w:bottom w:val="single" w:sz="4" w:space="0" w:color="auto"/>
            </w:tcBorders>
            <w:shd w:val="clear" w:color="auto" w:fill="auto"/>
          </w:tcPr>
          <w:p w:rsidR="0025490C" w:rsidRPr="00661DF7" w:rsidRDefault="0025490C" w:rsidP="004F5FF8">
            <w:pPr>
              <w:pStyle w:val="TableText"/>
              <w:jc w:val="center"/>
              <w:rPr>
                <w:b/>
                <w:bCs/>
              </w:rPr>
            </w:pPr>
            <w:r w:rsidRPr="00661DF7">
              <w:rPr>
                <w:b/>
                <w:bCs/>
              </w:rPr>
              <w:t>Positive predictive value</w:t>
            </w:r>
          </w:p>
        </w:tc>
        <w:tc>
          <w:tcPr>
            <w:tcW w:w="985" w:type="pct"/>
            <w:tcBorders>
              <w:top w:val="single" w:sz="4" w:space="0" w:color="auto"/>
              <w:bottom w:val="single" w:sz="4" w:space="0" w:color="auto"/>
            </w:tcBorders>
            <w:shd w:val="clear" w:color="auto" w:fill="auto"/>
          </w:tcPr>
          <w:p w:rsidR="0025490C" w:rsidRPr="00661DF7" w:rsidRDefault="0025490C" w:rsidP="004F5FF8">
            <w:pPr>
              <w:pStyle w:val="TableText"/>
              <w:jc w:val="center"/>
              <w:rPr>
                <w:b/>
                <w:bCs/>
              </w:rPr>
            </w:pPr>
            <w:r w:rsidRPr="00661DF7">
              <w:rPr>
                <w:b/>
                <w:bCs/>
              </w:rPr>
              <w:t>Negative predictive value</w:t>
            </w:r>
          </w:p>
        </w:tc>
      </w:tr>
      <w:tr w:rsidR="004F5FF8" w:rsidRPr="00E07B1B" w:rsidTr="004F5FF8">
        <w:trPr>
          <w:cantSplit/>
        </w:trPr>
        <w:tc>
          <w:tcPr>
            <w:tcW w:w="2046" w:type="pct"/>
            <w:vMerge w:val="restart"/>
            <w:tcBorders>
              <w:top w:val="single" w:sz="4" w:space="0" w:color="auto"/>
              <w:bottom w:val="nil"/>
            </w:tcBorders>
            <w:shd w:val="clear" w:color="auto" w:fill="F2F2F2" w:themeFill="background1" w:themeFillShade="F2"/>
          </w:tcPr>
          <w:p w:rsidR="0025490C" w:rsidRPr="00B55D9F" w:rsidRDefault="0025490C" w:rsidP="004F5FF8">
            <w:pPr>
              <w:pStyle w:val="TableText"/>
            </w:pPr>
            <w:r w:rsidRPr="00B55D9F">
              <w:t>50 g OGCT ≥ 140 mg/dL</w:t>
            </w:r>
            <w:r w:rsidR="004F5FF8">
              <w:br/>
            </w:r>
            <w:r w:rsidRPr="00B55D9F">
              <w:t>by CC/ADA (2000–2010)</w:t>
            </w:r>
            <w:r w:rsidR="004F5FF8">
              <w:br/>
            </w:r>
            <w:r w:rsidRPr="00B55D9F">
              <w:t>Sensitivity = 85%</w:t>
            </w:r>
            <w:r w:rsidR="004F5FF8">
              <w:br/>
            </w:r>
            <w:r w:rsidRPr="00B55D9F">
              <w:t>Specificity = 86%</w:t>
            </w:r>
          </w:p>
        </w:tc>
        <w:tc>
          <w:tcPr>
            <w:tcW w:w="985" w:type="pct"/>
            <w:tcBorders>
              <w:top w:val="single" w:sz="4" w:space="0" w:color="auto"/>
              <w:bottom w:val="nil"/>
            </w:tcBorders>
            <w:shd w:val="clear" w:color="auto" w:fill="F2F2F2" w:themeFill="background1" w:themeFillShade="F2"/>
          </w:tcPr>
          <w:p w:rsidR="0025490C" w:rsidRPr="00B55D9F" w:rsidRDefault="0025490C" w:rsidP="004F5FF8">
            <w:pPr>
              <w:pStyle w:val="TableText"/>
              <w:tabs>
                <w:tab w:val="decimal" w:pos="928"/>
              </w:tabs>
            </w:pPr>
            <w:r w:rsidRPr="00B55D9F">
              <w:t>7%</w:t>
            </w:r>
          </w:p>
        </w:tc>
        <w:tc>
          <w:tcPr>
            <w:tcW w:w="985" w:type="pct"/>
            <w:tcBorders>
              <w:top w:val="single" w:sz="4" w:space="0" w:color="auto"/>
              <w:bottom w:val="nil"/>
            </w:tcBorders>
            <w:shd w:val="clear" w:color="auto" w:fill="F2F2F2" w:themeFill="background1" w:themeFillShade="F2"/>
          </w:tcPr>
          <w:p w:rsidR="0025490C" w:rsidRPr="00B55D9F" w:rsidRDefault="0025490C" w:rsidP="004F5FF8">
            <w:pPr>
              <w:pStyle w:val="TableText"/>
              <w:tabs>
                <w:tab w:val="decimal" w:pos="928"/>
              </w:tabs>
            </w:pPr>
            <w:r w:rsidRPr="00B55D9F">
              <w:t>31%</w:t>
            </w:r>
          </w:p>
        </w:tc>
        <w:tc>
          <w:tcPr>
            <w:tcW w:w="985" w:type="pct"/>
            <w:tcBorders>
              <w:top w:val="single" w:sz="4" w:space="0" w:color="auto"/>
              <w:bottom w:val="nil"/>
            </w:tcBorders>
            <w:shd w:val="clear" w:color="auto" w:fill="F2F2F2" w:themeFill="background1" w:themeFillShade="F2"/>
          </w:tcPr>
          <w:p w:rsidR="0025490C" w:rsidRPr="00B55D9F" w:rsidRDefault="0025490C" w:rsidP="004F5FF8">
            <w:pPr>
              <w:pStyle w:val="TableText"/>
              <w:tabs>
                <w:tab w:val="decimal" w:pos="928"/>
              </w:tabs>
            </w:pPr>
            <w:r w:rsidRPr="00B55D9F">
              <w:t>99%</w:t>
            </w:r>
          </w:p>
        </w:tc>
      </w:tr>
      <w:tr w:rsidR="004F5FF8" w:rsidRPr="00E07B1B" w:rsidTr="004F5FF8">
        <w:trPr>
          <w:cantSplit/>
        </w:trPr>
        <w:tc>
          <w:tcPr>
            <w:tcW w:w="2046" w:type="pct"/>
            <w:vMerge/>
            <w:tcBorders>
              <w:top w:val="nil"/>
            </w:tcBorders>
            <w:shd w:val="clear" w:color="auto" w:fill="auto"/>
          </w:tcPr>
          <w:p w:rsidR="0025490C" w:rsidRPr="00B55D9F" w:rsidRDefault="0025490C" w:rsidP="00661DF7">
            <w:pPr>
              <w:pStyle w:val="TableText"/>
            </w:pP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15%</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52%</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97%</w:t>
            </w:r>
          </w:p>
        </w:tc>
      </w:tr>
      <w:tr w:rsidR="004F5FF8" w:rsidRPr="00E07B1B" w:rsidTr="004F5FF8">
        <w:trPr>
          <w:cantSplit/>
        </w:trPr>
        <w:tc>
          <w:tcPr>
            <w:tcW w:w="2046" w:type="pct"/>
            <w:vMerge/>
            <w:shd w:val="clear" w:color="auto" w:fill="auto"/>
          </w:tcPr>
          <w:p w:rsidR="0025490C" w:rsidRPr="00B55D9F" w:rsidRDefault="0025490C" w:rsidP="00661DF7">
            <w:pPr>
              <w:pStyle w:val="TableText"/>
            </w:pP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25%</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67%</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95%</w:t>
            </w:r>
          </w:p>
        </w:tc>
      </w:tr>
      <w:tr w:rsidR="004F5FF8" w:rsidRPr="00E07B1B" w:rsidTr="004F5FF8">
        <w:trPr>
          <w:cantSplit/>
        </w:trPr>
        <w:tc>
          <w:tcPr>
            <w:tcW w:w="2046" w:type="pct"/>
            <w:vMerge w:val="restart"/>
            <w:shd w:val="clear" w:color="auto" w:fill="auto"/>
          </w:tcPr>
          <w:p w:rsidR="0025490C" w:rsidRPr="00B55D9F" w:rsidRDefault="0025490C" w:rsidP="004F5FF8">
            <w:pPr>
              <w:pStyle w:val="TableText"/>
            </w:pPr>
            <w:r w:rsidRPr="00B55D9F">
              <w:t>50 g OGCT ≥ 130 mg/dL</w:t>
            </w:r>
            <w:r w:rsidR="004F5FF8">
              <w:br/>
            </w:r>
            <w:r w:rsidRPr="00B55D9F">
              <w:t>by CC/ADA (2000–2010)</w:t>
            </w:r>
            <w:r w:rsidR="004F5FF8">
              <w:br/>
            </w:r>
            <w:r w:rsidRPr="00B55D9F">
              <w:t>Sensitivity = 99%</w:t>
            </w:r>
            <w:r w:rsidR="004F5FF8">
              <w:br/>
            </w:r>
            <w:r w:rsidRPr="00B55D9F">
              <w:t>Specificity = 77%</w:t>
            </w:r>
          </w:p>
        </w:tc>
        <w:tc>
          <w:tcPr>
            <w:tcW w:w="985" w:type="pct"/>
            <w:tcBorders>
              <w:top w:val="nil"/>
            </w:tcBorders>
            <w:shd w:val="clear" w:color="auto" w:fill="auto"/>
          </w:tcPr>
          <w:p w:rsidR="0025490C" w:rsidRPr="00B55D9F" w:rsidRDefault="0025490C" w:rsidP="004F5FF8">
            <w:pPr>
              <w:pStyle w:val="TableText"/>
              <w:tabs>
                <w:tab w:val="decimal" w:pos="928"/>
              </w:tabs>
            </w:pPr>
            <w:r w:rsidRPr="00B55D9F">
              <w:t>7%</w:t>
            </w:r>
          </w:p>
        </w:tc>
        <w:tc>
          <w:tcPr>
            <w:tcW w:w="985" w:type="pct"/>
            <w:tcBorders>
              <w:top w:val="nil"/>
            </w:tcBorders>
            <w:shd w:val="clear" w:color="auto" w:fill="auto"/>
          </w:tcPr>
          <w:p w:rsidR="0025490C" w:rsidRPr="00B55D9F" w:rsidRDefault="0025490C" w:rsidP="004F5FF8">
            <w:pPr>
              <w:pStyle w:val="TableText"/>
              <w:tabs>
                <w:tab w:val="decimal" w:pos="928"/>
              </w:tabs>
            </w:pPr>
            <w:r w:rsidRPr="00B55D9F">
              <w:t>24%</w:t>
            </w:r>
          </w:p>
        </w:tc>
        <w:tc>
          <w:tcPr>
            <w:tcW w:w="985" w:type="pct"/>
            <w:tcBorders>
              <w:top w:val="nil"/>
            </w:tcBorders>
            <w:shd w:val="clear" w:color="auto" w:fill="auto"/>
          </w:tcPr>
          <w:p w:rsidR="0025490C" w:rsidRPr="00B55D9F" w:rsidRDefault="0025490C" w:rsidP="004F5FF8">
            <w:pPr>
              <w:pStyle w:val="TableText"/>
              <w:tabs>
                <w:tab w:val="decimal" w:pos="928"/>
              </w:tabs>
            </w:pPr>
            <w:r w:rsidRPr="00B55D9F">
              <w:t>100%</w:t>
            </w:r>
          </w:p>
        </w:tc>
      </w:tr>
      <w:tr w:rsidR="004F5FF8" w:rsidRPr="00E07B1B" w:rsidTr="004F5FF8">
        <w:trPr>
          <w:cantSplit/>
        </w:trPr>
        <w:tc>
          <w:tcPr>
            <w:tcW w:w="2046" w:type="pct"/>
            <w:vMerge/>
            <w:shd w:val="clear" w:color="auto" w:fill="auto"/>
          </w:tcPr>
          <w:p w:rsidR="0025490C" w:rsidRPr="00B55D9F" w:rsidRDefault="0025490C" w:rsidP="00661DF7">
            <w:pPr>
              <w:pStyle w:val="TableText"/>
            </w:pPr>
          </w:p>
        </w:tc>
        <w:tc>
          <w:tcPr>
            <w:tcW w:w="985" w:type="pct"/>
            <w:shd w:val="clear" w:color="auto" w:fill="auto"/>
          </w:tcPr>
          <w:p w:rsidR="0025490C" w:rsidRPr="00B55D9F" w:rsidRDefault="0025490C" w:rsidP="004F5FF8">
            <w:pPr>
              <w:pStyle w:val="TableText"/>
              <w:tabs>
                <w:tab w:val="decimal" w:pos="928"/>
              </w:tabs>
            </w:pPr>
            <w:r w:rsidRPr="00B55D9F">
              <w:t>15%</w:t>
            </w:r>
          </w:p>
        </w:tc>
        <w:tc>
          <w:tcPr>
            <w:tcW w:w="985" w:type="pct"/>
            <w:shd w:val="clear" w:color="auto" w:fill="auto"/>
          </w:tcPr>
          <w:p w:rsidR="0025490C" w:rsidRPr="00B55D9F" w:rsidRDefault="0025490C" w:rsidP="004F5FF8">
            <w:pPr>
              <w:pStyle w:val="TableText"/>
              <w:tabs>
                <w:tab w:val="decimal" w:pos="928"/>
              </w:tabs>
            </w:pPr>
            <w:r w:rsidRPr="00B55D9F">
              <w:t>43%</w:t>
            </w:r>
          </w:p>
        </w:tc>
        <w:tc>
          <w:tcPr>
            <w:tcW w:w="985" w:type="pct"/>
            <w:shd w:val="clear" w:color="auto" w:fill="auto"/>
          </w:tcPr>
          <w:p w:rsidR="0025490C" w:rsidRPr="00B55D9F" w:rsidRDefault="0025490C" w:rsidP="004F5FF8">
            <w:pPr>
              <w:pStyle w:val="TableText"/>
              <w:tabs>
                <w:tab w:val="decimal" w:pos="928"/>
              </w:tabs>
            </w:pPr>
            <w:r w:rsidRPr="00B55D9F">
              <w:t>100%</w:t>
            </w:r>
          </w:p>
        </w:tc>
      </w:tr>
      <w:tr w:rsidR="004F5FF8" w:rsidRPr="00E07B1B" w:rsidTr="004F5FF8">
        <w:trPr>
          <w:cantSplit/>
        </w:trPr>
        <w:tc>
          <w:tcPr>
            <w:tcW w:w="2046" w:type="pct"/>
            <w:vMerge/>
            <w:tcBorders>
              <w:bottom w:val="nil"/>
            </w:tcBorders>
            <w:shd w:val="clear" w:color="auto" w:fill="auto"/>
          </w:tcPr>
          <w:p w:rsidR="0025490C" w:rsidRPr="00B55D9F" w:rsidRDefault="0025490C" w:rsidP="00661DF7">
            <w:pPr>
              <w:pStyle w:val="TableText"/>
            </w:pPr>
          </w:p>
        </w:tc>
        <w:tc>
          <w:tcPr>
            <w:tcW w:w="985" w:type="pct"/>
            <w:tcBorders>
              <w:bottom w:val="nil"/>
            </w:tcBorders>
            <w:shd w:val="clear" w:color="auto" w:fill="auto"/>
          </w:tcPr>
          <w:p w:rsidR="0025490C" w:rsidRPr="00B55D9F" w:rsidRDefault="0025490C" w:rsidP="004F5FF8">
            <w:pPr>
              <w:pStyle w:val="TableText"/>
              <w:tabs>
                <w:tab w:val="decimal" w:pos="928"/>
              </w:tabs>
            </w:pPr>
            <w:r w:rsidRPr="00B55D9F">
              <w:t>25%</w:t>
            </w:r>
          </w:p>
        </w:tc>
        <w:tc>
          <w:tcPr>
            <w:tcW w:w="985" w:type="pct"/>
            <w:tcBorders>
              <w:bottom w:val="nil"/>
            </w:tcBorders>
            <w:shd w:val="clear" w:color="auto" w:fill="auto"/>
          </w:tcPr>
          <w:p w:rsidR="0025490C" w:rsidRPr="00B55D9F" w:rsidRDefault="0025490C" w:rsidP="004F5FF8">
            <w:pPr>
              <w:pStyle w:val="TableText"/>
              <w:tabs>
                <w:tab w:val="decimal" w:pos="928"/>
              </w:tabs>
            </w:pPr>
            <w:r w:rsidRPr="00B55D9F">
              <w:t>59%</w:t>
            </w:r>
          </w:p>
        </w:tc>
        <w:tc>
          <w:tcPr>
            <w:tcW w:w="985" w:type="pct"/>
            <w:tcBorders>
              <w:bottom w:val="nil"/>
            </w:tcBorders>
            <w:shd w:val="clear" w:color="auto" w:fill="auto"/>
          </w:tcPr>
          <w:p w:rsidR="0025490C" w:rsidRPr="00B55D9F" w:rsidRDefault="0025490C" w:rsidP="004F5FF8">
            <w:pPr>
              <w:pStyle w:val="TableText"/>
              <w:tabs>
                <w:tab w:val="decimal" w:pos="928"/>
              </w:tabs>
            </w:pPr>
            <w:r w:rsidRPr="00B55D9F">
              <w:t>100%</w:t>
            </w:r>
          </w:p>
        </w:tc>
      </w:tr>
      <w:tr w:rsidR="004F5FF8" w:rsidRPr="00E07B1B" w:rsidTr="004F5FF8">
        <w:trPr>
          <w:cantSplit/>
        </w:trPr>
        <w:tc>
          <w:tcPr>
            <w:tcW w:w="2046" w:type="pct"/>
            <w:vMerge w:val="restart"/>
            <w:tcBorders>
              <w:top w:val="nil"/>
              <w:bottom w:val="nil"/>
            </w:tcBorders>
            <w:shd w:val="clear" w:color="auto" w:fill="F2F2F2" w:themeFill="background1" w:themeFillShade="F2"/>
          </w:tcPr>
          <w:p w:rsidR="0025490C" w:rsidRPr="00B55D9F" w:rsidRDefault="0025490C" w:rsidP="004F5FF8">
            <w:pPr>
              <w:pStyle w:val="TableText"/>
            </w:pPr>
            <w:r w:rsidRPr="00B55D9F">
              <w:t>50 g OGCT ≥ 140 mg/dL</w:t>
            </w:r>
            <w:r w:rsidR="004F5FF8">
              <w:br/>
            </w:r>
            <w:r w:rsidRPr="00B55D9F">
              <w:t>by NDDG</w:t>
            </w:r>
            <w:r w:rsidR="004F5FF8">
              <w:br/>
            </w:r>
            <w:r w:rsidRPr="00B55D9F">
              <w:t>Sensitivity = 85%</w:t>
            </w:r>
            <w:r w:rsidR="004F5FF8">
              <w:br/>
            </w:r>
            <w:r w:rsidRPr="00B55D9F">
              <w:t>Specificity = 83%</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7%</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27%</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99%</w:t>
            </w:r>
          </w:p>
        </w:tc>
      </w:tr>
      <w:tr w:rsidR="004F5FF8" w:rsidRPr="00E07B1B" w:rsidTr="004F5FF8">
        <w:trPr>
          <w:cantSplit/>
        </w:trPr>
        <w:tc>
          <w:tcPr>
            <w:tcW w:w="2046" w:type="pct"/>
            <w:vMerge/>
            <w:tcBorders>
              <w:top w:val="nil"/>
            </w:tcBorders>
            <w:shd w:val="clear" w:color="auto" w:fill="auto"/>
          </w:tcPr>
          <w:p w:rsidR="0025490C" w:rsidRPr="00B55D9F" w:rsidRDefault="0025490C" w:rsidP="00661DF7">
            <w:pPr>
              <w:pStyle w:val="TableText"/>
            </w:pP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15%</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47%</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97%</w:t>
            </w:r>
          </w:p>
        </w:tc>
      </w:tr>
      <w:tr w:rsidR="004F5FF8" w:rsidRPr="00E07B1B" w:rsidTr="004F5FF8">
        <w:trPr>
          <w:cantSplit/>
        </w:trPr>
        <w:tc>
          <w:tcPr>
            <w:tcW w:w="2046" w:type="pct"/>
            <w:vMerge/>
            <w:shd w:val="clear" w:color="auto" w:fill="auto"/>
          </w:tcPr>
          <w:p w:rsidR="0025490C" w:rsidRPr="00B55D9F" w:rsidRDefault="0025490C" w:rsidP="00661DF7">
            <w:pPr>
              <w:pStyle w:val="TableText"/>
            </w:pP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25%</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63%</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94%</w:t>
            </w:r>
          </w:p>
        </w:tc>
      </w:tr>
      <w:tr w:rsidR="004F5FF8" w:rsidRPr="00E07B1B" w:rsidTr="004F5FF8">
        <w:trPr>
          <w:cantSplit/>
        </w:trPr>
        <w:tc>
          <w:tcPr>
            <w:tcW w:w="2046" w:type="pct"/>
            <w:vMerge w:val="restart"/>
            <w:shd w:val="clear" w:color="auto" w:fill="auto"/>
          </w:tcPr>
          <w:p w:rsidR="0025490C" w:rsidRPr="00B55D9F" w:rsidRDefault="0025490C" w:rsidP="004F5FF8">
            <w:pPr>
              <w:pStyle w:val="TableText"/>
            </w:pPr>
            <w:r w:rsidRPr="00B55D9F">
              <w:t>50 g OGCT ≥ 130 mg/dL</w:t>
            </w:r>
            <w:r w:rsidR="004F5FF8">
              <w:br/>
            </w:r>
            <w:r w:rsidRPr="00B55D9F">
              <w:t>by NDDG</w:t>
            </w:r>
            <w:r w:rsidR="004F5FF8">
              <w:br/>
            </w:r>
            <w:r w:rsidRPr="00B55D9F">
              <w:t>Sensitivity = 88%</w:t>
            </w:r>
            <w:r w:rsidR="004F5FF8">
              <w:br/>
            </w:r>
            <w:r w:rsidRPr="00B55D9F">
              <w:t>Specificity = 66%</w:t>
            </w:r>
            <w:r w:rsidR="004F5FF8">
              <w:br/>
            </w:r>
            <w:r w:rsidRPr="00B55D9F">
              <w:t>(median)</w:t>
            </w:r>
          </w:p>
        </w:tc>
        <w:tc>
          <w:tcPr>
            <w:tcW w:w="985" w:type="pct"/>
            <w:tcBorders>
              <w:top w:val="nil"/>
            </w:tcBorders>
            <w:shd w:val="clear" w:color="auto" w:fill="auto"/>
          </w:tcPr>
          <w:p w:rsidR="0025490C" w:rsidRPr="00B55D9F" w:rsidRDefault="0025490C" w:rsidP="004F5FF8">
            <w:pPr>
              <w:pStyle w:val="TableText"/>
              <w:tabs>
                <w:tab w:val="decimal" w:pos="928"/>
              </w:tabs>
            </w:pPr>
            <w:r w:rsidRPr="00B55D9F">
              <w:t>7%</w:t>
            </w:r>
          </w:p>
        </w:tc>
        <w:tc>
          <w:tcPr>
            <w:tcW w:w="985" w:type="pct"/>
            <w:tcBorders>
              <w:top w:val="nil"/>
            </w:tcBorders>
            <w:shd w:val="clear" w:color="auto" w:fill="auto"/>
          </w:tcPr>
          <w:p w:rsidR="0025490C" w:rsidRPr="00B55D9F" w:rsidRDefault="0025490C" w:rsidP="004F5FF8">
            <w:pPr>
              <w:pStyle w:val="TableText"/>
              <w:tabs>
                <w:tab w:val="decimal" w:pos="928"/>
              </w:tabs>
            </w:pPr>
            <w:r w:rsidRPr="00B55D9F">
              <w:t>16%</w:t>
            </w:r>
          </w:p>
        </w:tc>
        <w:tc>
          <w:tcPr>
            <w:tcW w:w="985" w:type="pct"/>
            <w:tcBorders>
              <w:top w:val="nil"/>
            </w:tcBorders>
            <w:shd w:val="clear" w:color="auto" w:fill="auto"/>
          </w:tcPr>
          <w:p w:rsidR="0025490C" w:rsidRPr="00B55D9F" w:rsidRDefault="0025490C" w:rsidP="004F5FF8">
            <w:pPr>
              <w:pStyle w:val="TableText"/>
              <w:tabs>
                <w:tab w:val="decimal" w:pos="928"/>
              </w:tabs>
            </w:pPr>
            <w:r w:rsidRPr="00B55D9F">
              <w:t>99%</w:t>
            </w:r>
          </w:p>
        </w:tc>
      </w:tr>
      <w:tr w:rsidR="004F5FF8" w:rsidRPr="00E07B1B" w:rsidTr="004F5FF8">
        <w:trPr>
          <w:cantSplit/>
        </w:trPr>
        <w:tc>
          <w:tcPr>
            <w:tcW w:w="2046" w:type="pct"/>
            <w:vMerge/>
            <w:shd w:val="clear" w:color="auto" w:fill="auto"/>
          </w:tcPr>
          <w:p w:rsidR="0025490C" w:rsidRPr="00B55D9F" w:rsidRDefault="0025490C" w:rsidP="00661DF7">
            <w:pPr>
              <w:pStyle w:val="TableText"/>
            </w:pPr>
          </w:p>
        </w:tc>
        <w:tc>
          <w:tcPr>
            <w:tcW w:w="985" w:type="pct"/>
            <w:shd w:val="clear" w:color="auto" w:fill="auto"/>
          </w:tcPr>
          <w:p w:rsidR="0025490C" w:rsidRPr="00B55D9F" w:rsidRDefault="0025490C" w:rsidP="004F5FF8">
            <w:pPr>
              <w:pStyle w:val="TableText"/>
              <w:tabs>
                <w:tab w:val="decimal" w:pos="928"/>
              </w:tabs>
            </w:pPr>
            <w:r w:rsidRPr="00B55D9F">
              <w:t>15%</w:t>
            </w:r>
          </w:p>
        </w:tc>
        <w:tc>
          <w:tcPr>
            <w:tcW w:w="985" w:type="pct"/>
            <w:shd w:val="clear" w:color="auto" w:fill="auto"/>
          </w:tcPr>
          <w:p w:rsidR="0025490C" w:rsidRPr="00B55D9F" w:rsidRDefault="0025490C" w:rsidP="004F5FF8">
            <w:pPr>
              <w:pStyle w:val="TableText"/>
              <w:tabs>
                <w:tab w:val="decimal" w:pos="928"/>
              </w:tabs>
            </w:pPr>
            <w:r w:rsidRPr="00B55D9F">
              <w:t>31%</w:t>
            </w:r>
          </w:p>
        </w:tc>
        <w:tc>
          <w:tcPr>
            <w:tcW w:w="985" w:type="pct"/>
            <w:shd w:val="clear" w:color="auto" w:fill="auto"/>
          </w:tcPr>
          <w:p w:rsidR="0025490C" w:rsidRPr="00B55D9F" w:rsidRDefault="0025490C" w:rsidP="004F5FF8">
            <w:pPr>
              <w:pStyle w:val="TableText"/>
              <w:tabs>
                <w:tab w:val="decimal" w:pos="928"/>
              </w:tabs>
            </w:pPr>
            <w:r w:rsidRPr="00B55D9F">
              <w:t>97%</w:t>
            </w:r>
          </w:p>
        </w:tc>
      </w:tr>
      <w:tr w:rsidR="004F5FF8" w:rsidRPr="00E07B1B" w:rsidTr="004F5FF8">
        <w:trPr>
          <w:cantSplit/>
        </w:trPr>
        <w:tc>
          <w:tcPr>
            <w:tcW w:w="2046" w:type="pct"/>
            <w:vMerge/>
            <w:tcBorders>
              <w:bottom w:val="nil"/>
            </w:tcBorders>
            <w:shd w:val="clear" w:color="auto" w:fill="auto"/>
          </w:tcPr>
          <w:p w:rsidR="0025490C" w:rsidRPr="00B55D9F" w:rsidRDefault="0025490C" w:rsidP="00661DF7">
            <w:pPr>
              <w:pStyle w:val="TableText"/>
            </w:pPr>
          </w:p>
        </w:tc>
        <w:tc>
          <w:tcPr>
            <w:tcW w:w="985" w:type="pct"/>
            <w:tcBorders>
              <w:bottom w:val="nil"/>
            </w:tcBorders>
            <w:shd w:val="clear" w:color="auto" w:fill="auto"/>
          </w:tcPr>
          <w:p w:rsidR="0025490C" w:rsidRPr="00B55D9F" w:rsidRDefault="0025490C" w:rsidP="004F5FF8">
            <w:pPr>
              <w:pStyle w:val="TableText"/>
              <w:tabs>
                <w:tab w:val="decimal" w:pos="928"/>
              </w:tabs>
            </w:pPr>
            <w:r w:rsidRPr="00B55D9F">
              <w:t>25%</w:t>
            </w:r>
          </w:p>
        </w:tc>
        <w:tc>
          <w:tcPr>
            <w:tcW w:w="985" w:type="pct"/>
            <w:tcBorders>
              <w:bottom w:val="nil"/>
            </w:tcBorders>
            <w:shd w:val="clear" w:color="auto" w:fill="auto"/>
          </w:tcPr>
          <w:p w:rsidR="0025490C" w:rsidRPr="00B55D9F" w:rsidRDefault="0025490C" w:rsidP="004F5FF8">
            <w:pPr>
              <w:pStyle w:val="TableText"/>
              <w:tabs>
                <w:tab w:val="decimal" w:pos="928"/>
              </w:tabs>
            </w:pPr>
            <w:r w:rsidRPr="00B55D9F">
              <w:t>46%</w:t>
            </w:r>
          </w:p>
        </w:tc>
        <w:tc>
          <w:tcPr>
            <w:tcW w:w="985" w:type="pct"/>
            <w:tcBorders>
              <w:bottom w:val="nil"/>
            </w:tcBorders>
            <w:shd w:val="clear" w:color="auto" w:fill="auto"/>
          </w:tcPr>
          <w:p w:rsidR="0025490C" w:rsidRPr="00B55D9F" w:rsidRDefault="0025490C" w:rsidP="004F5FF8">
            <w:pPr>
              <w:pStyle w:val="TableText"/>
              <w:tabs>
                <w:tab w:val="decimal" w:pos="928"/>
              </w:tabs>
            </w:pPr>
            <w:r w:rsidRPr="00B55D9F">
              <w:t>94%</w:t>
            </w:r>
          </w:p>
        </w:tc>
      </w:tr>
      <w:tr w:rsidR="004F5FF8" w:rsidRPr="00E07B1B" w:rsidTr="004F5FF8">
        <w:trPr>
          <w:cantSplit/>
        </w:trPr>
        <w:tc>
          <w:tcPr>
            <w:tcW w:w="2046" w:type="pct"/>
            <w:vMerge w:val="restart"/>
            <w:tcBorders>
              <w:top w:val="nil"/>
              <w:bottom w:val="nil"/>
            </w:tcBorders>
            <w:shd w:val="clear" w:color="auto" w:fill="F2F2F2" w:themeFill="background1" w:themeFillShade="F2"/>
          </w:tcPr>
          <w:p w:rsidR="0025490C" w:rsidRPr="00B55D9F" w:rsidRDefault="0025490C" w:rsidP="004F5FF8">
            <w:pPr>
              <w:pStyle w:val="TableText"/>
            </w:pPr>
            <w:r w:rsidRPr="00B55D9F">
              <w:t>50 g OGCT ≥ 140 mg/dL</w:t>
            </w:r>
            <w:r w:rsidR="004F5FF8">
              <w:br/>
            </w:r>
            <w:r w:rsidRPr="00B55D9F">
              <w:t>by ADA 75 g</w:t>
            </w:r>
            <w:r w:rsidR="004F5FF8">
              <w:br/>
            </w:r>
            <w:r w:rsidRPr="00B55D9F">
              <w:t>Sensitivity = 88%</w:t>
            </w:r>
            <w:r w:rsidR="004F5FF8">
              <w:br/>
            </w:r>
            <w:r w:rsidRPr="00B55D9F">
              <w:t>Specificity = 84%</w:t>
            </w:r>
            <w:r w:rsidR="004F5FF8">
              <w:br/>
            </w:r>
            <w:r w:rsidRPr="00B55D9F">
              <w:t>(median)</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7%</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29%</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99%</w:t>
            </w:r>
          </w:p>
        </w:tc>
      </w:tr>
      <w:tr w:rsidR="004F5FF8" w:rsidRPr="00E07B1B" w:rsidTr="004F5FF8">
        <w:trPr>
          <w:cantSplit/>
        </w:trPr>
        <w:tc>
          <w:tcPr>
            <w:tcW w:w="2046" w:type="pct"/>
            <w:vMerge/>
            <w:tcBorders>
              <w:top w:val="nil"/>
            </w:tcBorders>
            <w:shd w:val="clear" w:color="auto" w:fill="auto"/>
          </w:tcPr>
          <w:p w:rsidR="0025490C" w:rsidRPr="00B55D9F" w:rsidRDefault="0025490C" w:rsidP="00661DF7">
            <w:pPr>
              <w:pStyle w:val="TableText"/>
            </w:pP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15%</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49%</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98%</w:t>
            </w:r>
          </w:p>
        </w:tc>
      </w:tr>
      <w:tr w:rsidR="004F5FF8" w:rsidRPr="00E07B1B" w:rsidTr="004F5FF8">
        <w:trPr>
          <w:cantSplit/>
        </w:trPr>
        <w:tc>
          <w:tcPr>
            <w:tcW w:w="2046" w:type="pct"/>
            <w:vMerge/>
            <w:shd w:val="clear" w:color="auto" w:fill="auto"/>
          </w:tcPr>
          <w:p w:rsidR="0025490C" w:rsidRPr="00B55D9F" w:rsidRDefault="0025490C" w:rsidP="00661DF7">
            <w:pPr>
              <w:pStyle w:val="TableText"/>
            </w:pPr>
          </w:p>
        </w:tc>
        <w:tc>
          <w:tcPr>
            <w:tcW w:w="985" w:type="pct"/>
            <w:tcBorders>
              <w:top w:val="nil"/>
              <w:bottom w:val="nil"/>
            </w:tcBorders>
            <w:shd w:val="clear" w:color="auto" w:fill="F2F2F2" w:themeFill="background1" w:themeFillShade="F2"/>
          </w:tcPr>
          <w:p w:rsidR="0025490C" w:rsidRPr="00290CB2" w:rsidRDefault="0025490C" w:rsidP="004F5FF8">
            <w:pPr>
              <w:pStyle w:val="TableText"/>
              <w:tabs>
                <w:tab w:val="decimal" w:pos="928"/>
              </w:tabs>
            </w:pPr>
            <w:r w:rsidRPr="00290CB2">
              <w:t>25%</w:t>
            </w:r>
          </w:p>
        </w:tc>
        <w:tc>
          <w:tcPr>
            <w:tcW w:w="985" w:type="pct"/>
            <w:tcBorders>
              <w:top w:val="nil"/>
              <w:bottom w:val="nil"/>
            </w:tcBorders>
            <w:shd w:val="clear" w:color="auto" w:fill="F2F2F2" w:themeFill="background1" w:themeFillShade="F2"/>
          </w:tcPr>
          <w:p w:rsidR="0025490C" w:rsidRPr="00290CB2" w:rsidRDefault="0025490C" w:rsidP="004F5FF8">
            <w:pPr>
              <w:pStyle w:val="TableText"/>
              <w:tabs>
                <w:tab w:val="decimal" w:pos="928"/>
              </w:tabs>
            </w:pPr>
            <w:r w:rsidRPr="00290CB2">
              <w:t>65%</w:t>
            </w:r>
          </w:p>
        </w:tc>
        <w:tc>
          <w:tcPr>
            <w:tcW w:w="985" w:type="pct"/>
            <w:tcBorders>
              <w:top w:val="nil"/>
              <w:bottom w:val="nil"/>
            </w:tcBorders>
            <w:shd w:val="clear" w:color="auto" w:fill="F2F2F2" w:themeFill="background1" w:themeFillShade="F2"/>
          </w:tcPr>
          <w:p w:rsidR="0025490C" w:rsidRPr="00290CB2" w:rsidRDefault="0025490C" w:rsidP="004F5FF8">
            <w:pPr>
              <w:pStyle w:val="TableText"/>
              <w:tabs>
                <w:tab w:val="decimal" w:pos="928"/>
              </w:tabs>
            </w:pPr>
            <w:r w:rsidRPr="00290CB2">
              <w:t>95%</w:t>
            </w:r>
          </w:p>
        </w:tc>
      </w:tr>
      <w:tr w:rsidR="004F5FF8" w:rsidRPr="00E07B1B" w:rsidTr="004F5FF8">
        <w:trPr>
          <w:cantSplit/>
        </w:trPr>
        <w:tc>
          <w:tcPr>
            <w:tcW w:w="2046" w:type="pct"/>
            <w:vMerge w:val="restart"/>
            <w:shd w:val="clear" w:color="auto" w:fill="auto"/>
          </w:tcPr>
          <w:p w:rsidR="0025490C" w:rsidRPr="00B55D9F" w:rsidRDefault="0025490C" w:rsidP="004F5FF8">
            <w:pPr>
              <w:pStyle w:val="TableText"/>
            </w:pPr>
            <w:r w:rsidRPr="00B55D9F">
              <w:t>50 g OGCT ≥ 140 mg/dL</w:t>
            </w:r>
            <w:r w:rsidR="004F5FF8">
              <w:br/>
            </w:r>
            <w:r w:rsidRPr="00B55D9F">
              <w:t>by WHO</w:t>
            </w:r>
            <w:r w:rsidR="004F5FF8">
              <w:br/>
            </w:r>
            <w:r w:rsidRPr="00B55D9F">
              <w:t>Sensitivity = 78%</w:t>
            </w:r>
            <w:r w:rsidR="004F5FF8">
              <w:br/>
            </w:r>
            <w:r w:rsidRPr="00B55D9F">
              <w:t>Specificity = 81%</w:t>
            </w:r>
            <w:r w:rsidR="004F5FF8">
              <w:br/>
            </w:r>
            <w:r w:rsidRPr="00B55D9F">
              <w:t>(median)</w:t>
            </w:r>
          </w:p>
        </w:tc>
        <w:tc>
          <w:tcPr>
            <w:tcW w:w="985" w:type="pct"/>
            <w:tcBorders>
              <w:top w:val="nil"/>
            </w:tcBorders>
            <w:shd w:val="clear" w:color="auto" w:fill="auto"/>
          </w:tcPr>
          <w:p w:rsidR="0025490C" w:rsidRPr="00B55D9F" w:rsidRDefault="0025490C" w:rsidP="004F5FF8">
            <w:pPr>
              <w:pStyle w:val="TableText"/>
              <w:tabs>
                <w:tab w:val="decimal" w:pos="928"/>
              </w:tabs>
            </w:pPr>
            <w:r w:rsidRPr="00B55D9F">
              <w:t>7%</w:t>
            </w:r>
          </w:p>
        </w:tc>
        <w:tc>
          <w:tcPr>
            <w:tcW w:w="985" w:type="pct"/>
            <w:tcBorders>
              <w:top w:val="nil"/>
            </w:tcBorders>
            <w:shd w:val="clear" w:color="auto" w:fill="auto"/>
          </w:tcPr>
          <w:p w:rsidR="0025490C" w:rsidRPr="00B55D9F" w:rsidRDefault="0025490C" w:rsidP="004F5FF8">
            <w:pPr>
              <w:pStyle w:val="TableText"/>
              <w:tabs>
                <w:tab w:val="decimal" w:pos="928"/>
              </w:tabs>
            </w:pPr>
            <w:r w:rsidRPr="00B55D9F">
              <w:t>24%</w:t>
            </w:r>
          </w:p>
        </w:tc>
        <w:tc>
          <w:tcPr>
            <w:tcW w:w="985" w:type="pct"/>
            <w:tcBorders>
              <w:top w:val="nil"/>
            </w:tcBorders>
            <w:shd w:val="clear" w:color="auto" w:fill="auto"/>
          </w:tcPr>
          <w:p w:rsidR="0025490C" w:rsidRPr="00B55D9F" w:rsidRDefault="0025490C" w:rsidP="004F5FF8">
            <w:pPr>
              <w:pStyle w:val="TableText"/>
              <w:tabs>
                <w:tab w:val="decimal" w:pos="928"/>
              </w:tabs>
            </w:pPr>
            <w:r w:rsidRPr="00B55D9F">
              <w:t>98%</w:t>
            </w:r>
          </w:p>
        </w:tc>
      </w:tr>
      <w:tr w:rsidR="004F5FF8" w:rsidRPr="00E07B1B" w:rsidTr="004F5FF8">
        <w:trPr>
          <w:cantSplit/>
        </w:trPr>
        <w:tc>
          <w:tcPr>
            <w:tcW w:w="2046" w:type="pct"/>
            <w:vMerge/>
            <w:shd w:val="clear" w:color="auto" w:fill="auto"/>
          </w:tcPr>
          <w:p w:rsidR="0025490C" w:rsidRPr="00B55D9F" w:rsidRDefault="0025490C" w:rsidP="00661DF7">
            <w:pPr>
              <w:pStyle w:val="TableText"/>
            </w:pPr>
          </w:p>
        </w:tc>
        <w:tc>
          <w:tcPr>
            <w:tcW w:w="985" w:type="pct"/>
            <w:shd w:val="clear" w:color="auto" w:fill="auto"/>
          </w:tcPr>
          <w:p w:rsidR="0025490C" w:rsidRPr="00B55D9F" w:rsidRDefault="0025490C" w:rsidP="004F5FF8">
            <w:pPr>
              <w:pStyle w:val="TableText"/>
              <w:tabs>
                <w:tab w:val="decimal" w:pos="928"/>
              </w:tabs>
            </w:pPr>
            <w:r w:rsidRPr="00B55D9F">
              <w:t>15%</w:t>
            </w:r>
          </w:p>
        </w:tc>
        <w:tc>
          <w:tcPr>
            <w:tcW w:w="985" w:type="pct"/>
            <w:shd w:val="clear" w:color="auto" w:fill="auto"/>
          </w:tcPr>
          <w:p w:rsidR="0025490C" w:rsidRPr="00B55D9F" w:rsidRDefault="0025490C" w:rsidP="004F5FF8">
            <w:pPr>
              <w:pStyle w:val="TableText"/>
              <w:tabs>
                <w:tab w:val="decimal" w:pos="928"/>
              </w:tabs>
            </w:pPr>
            <w:r w:rsidRPr="00B55D9F">
              <w:t>42%</w:t>
            </w:r>
          </w:p>
        </w:tc>
        <w:tc>
          <w:tcPr>
            <w:tcW w:w="985" w:type="pct"/>
            <w:shd w:val="clear" w:color="auto" w:fill="auto"/>
          </w:tcPr>
          <w:p w:rsidR="0025490C" w:rsidRPr="00B55D9F" w:rsidRDefault="0025490C" w:rsidP="004F5FF8">
            <w:pPr>
              <w:pStyle w:val="TableText"/>
              <w:tabs>
                <w:tab w:val="decimal" w:pos="928"/>
              </w:tabs>
            </w:pPr>
            <w:r w:rsidRPr="00B55D9F">
              <w:t>95%</w:t>
            </w:r>
          </w:p>
        </w:tc>
      </w:tr>
      <w:tr w:rsidR="004F5FF8" w:rsidRPr="00E07B1B" w:rsidTr="004F5FF8">
        <w:trPr>
          <w:cantSplit/>
        </w:trPr>
        <w:tc>
          <w:tcPr>
            <w:tcW w:w="2046" w:type="pct"/>
            <w:vMerge/>
            <w:tcBorders>
              <w:bottom w:val="nil"/>
            </w:tcBorders>
            <w:shd w:val="clear" w:color="auto" w:fill="auto"/>
          </w:tcPr>
          <w:p w:rsidR="0025490C" w:rsidRPr="00B55D9F" w:rsidRDefault="0025490C" w:rsidP="00661DF7">
            <w:pPr>
              <w:pStyle w:val="TableText"/>
            </w:pPr>
          </w:p>
        </w:tc>
        <w:tc>
          <w:tcPr>
            <w:tcW w:w="985" w:type="pct"/>
            <w:tcBorders>
              <w:bottom w:val="nil"/>
            </w:tcBorders>
            <w:shd w:val="clear" w:color="auto" w:fill="auto"/>
          </w:tcPr>
          <w:p w:rsidR="0025490C" w:rsidRPr="00B55D9F" w:rsidRDefault="0025490C" w:rsidP="004F5FF8">
            <w:pPr>
              <w:pStyle w:val="TableText"/>
              <w:tabs>
                <w:tab w:val="decimal" w:pos="928"/>
              </w:tabs>
            </w:pPr>
            <w:r w:rsidRPr="00B55D9F">
              <w:t>25%</w:t>
            </w:r>
          </w:p>
        </w:tc>
        <w:tc>
          <w:tcPr>
            <w:tcW w:w="985" w:type="pct"/>
            <w:tcBorders>
              <w:bottom w:val="nil"/>
            </w:tcBorders>
            <w:shd w:val="clear" w:color="auto" w:fill="auto"/>
          </w:tcPr>
          <w:p w:rsidR="0025490C" w:rsidRPr="00B55D9F" w:rsidRDefault="0025490C" w:rsidP="004F5FF8">
            <w:pPr>
              <w:pStyle w:val="TableText"/>
              <w:tabs>
                <w:tab w:val="decimal" w:pos="928"/>
              </w:tabs>
            </w:pPr>
            <w:r w:rsidRPr="00B55D9F">
              <w:t>58%</w:t>
            </w:r>
          </w:p>
        </w:tc>
        <w:tc>
          <w:tcPr>
            <w:tcW w:w="985" w:type="pct"/>
            <w:tcBorders>
              <w:bottom w:val="nil"/>
            </w:tcBorders>
            <w:shd w:val="clear" w:color="auto" w:fill="auto"/>
          </w:tcPr>
          <w:p w:rsidR="0025490C" w:rsidRPr="00B55D9F" w:rsidRDefault="0025490C" w:rsidP="004F5FF8">
            <w:pPr>
              <w:pStyle w:val="TableText"/>
              <w:tabs>
                <w:tab w:val="decimal" w:pos="928"/>
              </w:tabs>
            </w:pPr>
            <w:r w:rsidRPr="00B55D9F">
              <w:t>92%</w:t>
            </w:r>
          </w:p>
        </w:tc>
      </w:tr>
      <w:tr w:rsidR="004F5FF8" w:rsidRPr="00E07B1B" w:rsidTr="004F5FF8">
        <w:trPr>
          <w:cantSplit/>
        </w:trPr>
        <w:tc>
          <w:tcPr>
            <w:tcW w:w="2046" w:type="pct"/>
            <w:vMerge w:val="restart"/>
            <w:tcBorders>
              <w:top w:val="nil"/>
              <w:bottom w:val="nil"/>
            </w:tcBorders>
            <w:shd w:val="clear" w:color="auto" w:fill="F2F2F2" w:themeFill="background1" w:themeFillShade="F2"/>
          </w:tcPr>
          <w:p w:rsidR="0025490C" w:rsidRPr="00B55D9F" w:rsidRDefault="0025490C" w:rsidP="004F5FF8">
            <w:pPr>
              <w:pStyle w:val="TableText"/>
            </w:pPr>
            <w:r w:rsidRPr="00B55D9F">
              <w:t>FPG (≥</w:t>
            </w:r>
            <w:r>
              <w:t xml:space="preserve"> </w:t>
            </w:r>
            <w:r w:rsidRPr="00B55D9F">
              <w:t>85 mg/dL) by</w:t>
            </w:r>
            <w:r w:rsidR="004F5FF8">
              <w:br/>
            </w:r>
            <w:r w:rsidRPr="00B55D9F">
              <w:t>CC/ADA (2000–2010)</w:t>
            </w:r>
            <w:r w:rsidR="004F5FF8">
              <w:br/>
            </w:r>
            <w:r w:rsidRPr="00B55D9F">
              <w:t>Sensitivity = 87%</w:t>
            </w:r>
            <w:r w:rsidR="004F5FF8">
              <w:br/>
            </w:r>
            <w:r w:rsidRPr="00B55D9F">
              <w:t>Specificity = 52%</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7%</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12%</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98%</w:t>
            </w:r>
          </w:p>
        </w:tc>
      </w:tr>
      <w:tr w:rsidR="004F5FF8" w:rsidRPr="00E07B1B" w:rsidTr="004F5FF8">
        <w:trPr>
          <w:cantSplit/>
        </w:trPr>
        <w:tc>
          <w:tcPr>
            <w:tcW w:w="2046" w:type="pct"/>
            <w:vMerge/>
            <w:tcBorders>
              <w:top w:val="nil"/>
              <w:bottom w:val="nil"/>
            </w:tcBorders>
            <w:shd w:val="clear" w:color="auto" w:fill="F2F2F2" w:themeFill="background1" w:themeFillShade="F2"/>
          </w:tcPr>
          <w:p w:rsidR="0025490C" w:rsidRPr="00B55D9F" w:rsidRDefault="0025490C" w:rsidP="00661DF7">
            <w:pPr>
              <w:pStyle w:val="TableText"/>
            </w:pP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15%</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24%</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96%</w:t>
            </w:r>
          </w:p>
        </w:tc>
      </w:tr>
      <w:tr w:rsidR="004F5FF8" w:rsidRPr="00E07B1B" w:rsidTr="004F5FF8">
        <w:trPr>
          <w:cantSplit/>
        </w:trPr>
        <w:tc>
          <w:tcPr>
            <w:tcW w:w="2046" w:type="pct"/>
            <w:vMerge/>
            <w:tcBorders>
              <w:top w:val="nil"/>
              <w:bottom w:val="nil"/>
            </w:tcBorders>
            <w:shd w:val="clear" w:color="auto" w:fill="F2F2F2" w:themeFill="background1" w:themeFillShade="F2"/>
          </w:tcPr>
          <w:p w:rsidR="0025490C" w:rsidRPr="00B55D9F" w:rsidRDefault="0025490C" w:rsidP="00661DF7">
            <w:pPr>
              <w:pStyle w:val="TableText"/>
            </w:pP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25%</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38%</w:t>
            </w:r>
          </w:p>
        </w:tc>
        <w:tc>
          <w:tcPr>
            <w:tcW w:w="985" w:type="pct"/>
            <w:tcBorders>
              <w:top w:val="nil"/>
              <w:bottom w:val="nil"/>
            </w:tcBorders>
            <w:shd w:val="clear" w:color="auto" w:fill="F2F2F2" w:themeFill="background1" w:themeFillShade="F2"/>
          </w:tcPr>
          <w:p w:rsidR="0025490C" w:rsidRPr="00B55D9F" w:rsidRDefault="0025490C" w:rsidP="004F5FF8">
            <w:pPr>
              <w:pStyle w:val="TableText"/>
              <w:tabs>
                <w:tab w:val="decimal" w:pos="928"/>
              </w:tabs>
            </w:pPr>
            <w:r w:rsidRPr="00B55D9F">
              <w:t>92%</w:t>
            </w:r>
          </w:p>
        </w:tc>
      </w:tr>
      <w:tr w:rsidR="004F5FF8" w:rsidRPr="00E07B1B" w:rsidTr="004F5FF8">
        <w:trPr>
          <w:cantSplit/>
        </w:trPr>
        <w:tc>
          <w:tcPr>
            <w:tcW w:w="2046" w:type="pct"/>
            <w:vMerge w:val="restart"/>
            <w:tcBorders>
              <w:top w:val="nil"/>
            </w:tcBorders>
            <w:shd w:val="clear" w:color="auto" w:fill="auto"/>
          </w:tcPr>
          <w:p w:rsidR="0025490C" w:rsidRPr="00B55D9F" w:rsidRDefault="0025490C" w:rsidP="004F5FF8">
            <w:pPr>
              <w:pStyle w:val="TableText"/>
            </w:pPr>
            <w:r w:rsidRPr="00B55D9F">
              <w:t>Risk factor screening by various criteria</w:t>
            </w:r>
            <w:r w:rsidR="004F5FF8">
              <w:br/>
            </w:r>
            <w:r w:rsidRPr="00B55D9F">
              <w:t>Sensitivity = 84%</w:t>
            </w:r>
            <w:r w:rsidR="004F5FF8">
              <w:br/>
            </w:r>
            <w:r w:rsidRPr="00B55D9F">
              <w:t>Specificity = 72%</w:t>
            </w:r>
            <w:r w:rsidR="004F5FF8">
              <w:br/>
            </w:r>
            <w:r w:rsidRPr="00B55D9F">
              <w:t>(median)</w:t>
            </w:r>
          </w:p>
        </w:tc>
        <w:tc>
          <w:tcPr>
            <w:tcW w:w="985" w:type="pct"/>
            <w:tcBorders>
              <w:top w:val="nil"/>
            </w:tcBorders>
            <w:shd w:val="clear" w:color="auto" w:fill="auto"/>
          </w:tcPr>
          <w:p w:rsidR="0025490C" w:rsidRPr="00B55D9F" w:rsidRDefault="0025490C" w:rsidP="004F5FF8">
            <w:pPr>
              <w:pStyle w:val="TableText"/>
              <w:tabs>
                <w:tab w:val="decimal" w:pos="928"/>
              </w:tabs>
            </w:pPr>
            <w:r w:rsidRPr="00B55D9F">
              <w:t>7%</w:t>
            </w:r>
          </w:p>
        </w:tc>
        <w:tc>
          <w:tcPr>
            <w:tcW w:w="985" w:type="pct"/>
            <w:tcBorders>
              <w:top w:val="nil"/>
            </w:tcBorders>
            <w:shd w:val="clear" w:color="auto" w:fill="auto"/>
          </w:tcPr>
          <w:p w:rsidR="0025490C" w:rsidRPr="00B55D9F" w:rsidRDefault="0025490C" w:rsidP="004F5FF8">
            <w:pPr>
              <w:pStyle w:val="TableText"/>
              <w:tabs>
                <w:tab w:val="decimal" w:pos="928"/>
              </w:tabs>
            </w:pPr>
            <w:r w:rsidRPr="00B55D9F">
              <w:t>21%</w:t>
            </w:r>
          </w:p>
        </w:tc>
        <w:tc>
          <w:tcPr>
            <w:tcW w:w="985" w:type="pct"/>
            <w:tcBorders>
              <w:top w:val="nil"/>
            </w:tcBorders>
            <w:shd w:val="clear" w:color="auto" w:fill="auto"/>
          </w:tcPr>
          <w:p w:rsidR="0025490C" w:rsidRPr="00B55D9F" w:rsidRDefault="0025490C" w:rsidP="004F5FF8">
            <w:pPr>
              <w:pStyle w:val="TableText"/>
              <w:tabs>
                <w:tab w:val="decimal" w:pos="928"/>
              </w:tabs>
            </w:pPr>
            <w:r w:rsidRPr="00B55D9F">
              <w:t>98%</w:t>
            </w:r>
          </w:p>
        </w:tc>
      </w:tr>
      <w:tr w:rsidR="004F5FF8" w:rsidRPr="00E07B1B" w:rsidTr="004F5FF8">
        <w:trPr>
          <w:cantSplit/>
        </w:trPr>
        <w:tc>
          <w:tcPr>
            <w:tcW w:w="2046" w:type="pct"/>
            <w:vMerge/>
            <w:shd w:val="clear" w:color="auto" w:fill="auto"/>
          </w:tcPr>
          <w:p w:rsidR="0025490C" w:rsidRPr="00B55D9F" w:rsidRDefault="0025490C" w:rsidP="00661DF7">
            <w:pPr>
              <w:pStyle w:val="TableText"/>
            </w:pPr>
          </w:p>
        </w:tc>
        <w:tc>
          <w:tcPr>
            <w:tcW w:w="985" w:type="pct"/>
            <w:shd w:val="clear" w:color="auto" w:fill="auto"/>
          </w:tcPr>
          <w:p w:rsidR="0025490C" w:rsidRPr="00B55D9F" w:rsidRDefault="0025490C" w:rsidP="004F5FF8">
            <w:pPr>
              <w:pStyle w:val="TableText"/>
              <w:tabs>
                <w:tab w:val="decimal" w:pos="928"/>
              </w:tabs>
            </w:pPr>
            <w:r w:rsidRPr="00B55D9F">
              <w:t>15%</w:t>
            </w:r>
          </w:p>
        </w:tc>
        <w:tc>
          <w:tcPr>
            <w:tcW w:w="985" w:type="pct"/>
            <w:shd w:val="clear" w:color="auto" w:fill="auto"/>
          </w:tcPr>
          <w:p w:rsidR="0025490C" w:rsidRPr="00B55D9F" w:rsidRDefault="0025490C" w:rsidP="004F5FF8">
            <w:pPr>
              <w:pStyle w:val="TableText"/>
              <w:tabs>
                <w:tab w:val="decimal" w:pos="928"/>
              </w:tabs>
            </w:pPr>
            <w:r w:rsidRPr="00B55D9F">
              <w:t>38%</w:t>
            </w:r>
          </w:p>
        </w:tc>
        <w:tc>
          <w:tcPr>
            <w:tcW w:w="985" w:type="pct"/>
            <w:shd w:val="clear" w:color="auto" w:fill="auto"/>
          </w:tcPr>
          <w:p w:rsidR="0025490C" w:rsidRPr="00B55D9F" w:rsidRDefault="0025490C" w:rsidP="004F5FF8">
            <w:pPr>
              <w:pStyle w:val="TableText"/>
              <w:tabs>
                <w:tab w:val="decimal" w:pos="928"/>
              </w:tabs>
            </w:pPr>
            <w:r w:rsidRPr="00B55D9F">
              <w:t>96%</w:t>
            </w:r>
          </w:p>
        </w:tc>
      </w:tr>
      <w:tr w:rsidR="004F5FF8" w:rsidRPr="00E07B1B" w:rsidTr="004F5FF8">
        <w:trPr>
          <w:cantSplit/>
        </w:trPr>
        <w:tc>
          <w:tcPr>
            <w:tcW w:w="2046" w:type="pct"/>
            <w:vMerge/>
            <w:shd w:val="clear" w:color="auto" w:fill="auto"/>
          </w:tcPr>
          <w:p w:rsidR="0025490C" w:rsidRPr="00B55D9F" w:rsidRDefault="0025490C" w:rsidP="00661DF7">
            <w:pPr>
              <w:pStyle w:val="TableText"/>
            </w:pPr>
          </w:p>
        </w:tc>
        <w:tc>
          <w:tcPr>
            <w:tcW w:w="985" w:type="pct"/>
            <w:shd w:val="clear" w:color="auto" w:fill="auto"/>
          </w:tcPr>
          <w:p w:rsidR="0025490C" w:rsidRPr="00B55D9F" w:rsidRDefault="0025490C" w:rsidP="004F5FF8">
            <w:pPr>
              <w:pStyle w:val="TableText"/>
              <w:tabs>
                <w:tab w:val="decimal" w:pos="928"/>
              </w:tabs>
            </w:pPr>
            <w:r w:rsidRPr="00B55D9F">
              <w:t>25%</w:t>
            </w:r>
          </w:p>
        </w:tc>
        <w:tc>
          <w:tcPr>
            <w:tcW w:w="985" w:type="pct"/>
            <w:shd w:val="clear" w:color="auto" w:fill="auto"/>
          </w:tcPr>
          <w:p w:rsidR="0025490C" w:rsidRPr="00B55D9F" w:rsidRDefault="0025490C" w:rsidP="004F5FF8">
            <w:pPr>
              <w:pStyle w:val="TableText"/>
              <w:tabs>
                <w:tab w:val="decimal" w:pos="928"/>
              </w:tabs>
            </w:pPr>
            <w:r w:rsidRPr="00B55D9F">
              <w:t>54%</w:t>
            </w:r>
          </w:p>
        </w:tc>
        <w:tc>
          <w:tcPr>
            <w:tcW w:w="985" w:type="pct"/>
            <w:shd w:val="clear" w:color="auto" w:fill="auto"/>
          </w:tcPr>
          <w:p w:rsidR="0025490C" w:rsidRPr="00B55D9F" w:rsidRDefault="0025490C" w:rsidP="004F5FF8">
            <w:pPr>
              <w:pStyle w:val="TableText"/>
              <w:tabs>
                <w:tab w:val="decimal" w:pos="928"/>
              </w:tabs>
            </w:pPr>
            <w:r w:rsidRPr="00B55D9F">
              <w:t>93%</w:t>
            </w:r>
          </w:p>
        </w:tc>
      </w:tr>
    </w:tbl>
    <w:p w:rsidR="0025490C" w:rsidRPr="00E07B1B" w:rsidRDefault="0025490C" w:rsidP="004F5FF8">
      <w:pPr>
        <w:pStyle w:val="Note"/>
        <w:ind w:left="0" w:firstLine="0"/>
      </w:pPr>
      <w:r w:rsidRPr="00E07B1B">
        <w:t>ADA = American Diabetes Association; CC = Carpenter-Coustan; FPG = fasting plasma glucose;</w:t>
      </w:r>
      <w:r w:rsidR="004F5FF8">
        <w:t xml:space="preserve"> </w:t>
      </w:r>
      <w:r w:rsidRPr="00E07B1B">
        <w:t>NDDG = National Diabetes Data Group; OGCT = oral glucose challenge test; WHO =World Health Organization</w:t>
      </w:r>
      <w:r w:rsidR="004F5FF8">
        <w:t>.</w:t>
      </w:r>
    </w:p>
    <w:p w:rsidR="0025490C" w:rsidRDefault="0025490C" w:rsidP="004F5FF8">
      <w:pPr>
        <w:pStyle w:val="Source"/>
        <w:ind w:left="0" w:firstLine="0"/>
        <w:rPr>
          <w:lang w:eastAsia="ja-JP"/>
        </w:rPr>
      </w:pPr>
      <w:r>
        <w:rPr>
          <w:lang w:eastAsia="ja-JP"/>
        </w:rPr>
        <w:t xml:space="preserve">Source: </w:t>
      </w:r>
      <w:r w:rsidRPr="00E07B1B">
        <w:rPr>
          <w:lang w:eastAsia="ja-JP"/>
        </w:rPr>
        <w:t xml:space="preserve">Reproduced from </w:t>
      </w:r>
      <w:r w:rsidRPr="00E07B1B">
        <w:t xml:space="preserve">Hartling L, Dryden DM, Guthrie A, Muise M, Vandermeer B, Aktary WM, Donovan L. 2012. </w:t>
      </w:r>
      <w:r w:rsidRPr="00E07B1B">
        <w:rPr>
          <w:i/>
        </w:rPr>
        <w:t xml:space="preserve">Screening and Diagnosing Gestational Diabetes Mellitus. </w:t>
      </w:r>
      <w:r w:rsidRPr="008534D8">
        <w:t>Evidence Report/Technology Assessment number 210 (Prepared by the University of Alberta Evidence-Based practice Center under contract No 290-2007-10021I</w:t>
      </w:r>
      <w:r>
        <w:t>)</w:t>
      </w:r>
      <w:r w:rsidRPr="00B55D9F">
        <w:t xml:space="preserve">. </w:t>
      </w:r>
      <w:r w:rsidRPr="00E07B1B">
        <w:t xml:space="preserve">Rockville MD: AHRQ </w:t>
      </w:r>
      <w:r w:rsidRPr="00E07B1B">
        <w:rPr>
          <w:lang w:eastAsia="ja-JP"/>
        </w:rPr>
        <w:t>with permission of the Agency for Healthcare Research and Quality</w:t>
      </w:r>
      <w:r>
        <w:rPr>
          <w:lang w:eastAsia="ja-JP"/>
        </w:rPr>
        <w:t>.</w:t>
      </w:r>
    </w:p>
    <w:p w:rsidR="004F5FF8" w:rsidRPr="004F5FF8" w:rsidRDefault="004F5FF8" w:rsidP="004F5FF8">
      <w:pPr>
        <w:rPr>
          <w:lang w:eastAsia="ja-JP"/>
        </w:rPr>
      </w:pPr>
    </w:p>
    <w:p w:rsidR="0025490C" w:rsidRPr="00E07B1B" w:rsidRDefault="0025490C" w:rsidP="004F5FF8">
      <w:pPr>
        <w:pStyle w:val="Table"/>
        <w:rPr>
          <w:lang w:eastAsia="ja-JP"/>
        </w:rPr>
      </w:pPr>
      <w:bookmarkStart w:id="508" w:name="_Toc363717810"/>
      <w:bookmarkStart w:id="509" w:name="_Toc403635901"/>
      <w:r w:rsidRPr="00E07B1B">
        <w:rPr>
          <w:lang w:eastAsia="ja-JP"/>
        </w:rPr>
        <w:t>Table 20</w:t>
      </w:r>
      <w:r w:rsidR="004F5FF8">
        <w:rPr>
          <w:lang w:eastAsia="ja-JP"/>
        </w:rPr>
        <w:t>:</w:t>
      </w:r>
      <w:r w:rsidRPr="00E07B1B">
        <w:rPr>
          <w:lang w:eastAsia="ja-JP"/>
        </w:rPr>
        <w:t xml:space="preserve"> Changes in prevalence of gestational diabetes based on diagnostic criteria</w:t>
      </w:r>
      <w:bookmarkEnd w:id="508"/>
      <w:bookmarkEnd w:id="509"/>
    </w:p>
    <w:tbl>
      <w:tblPr>
        <w:tblW w:w="494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2268"/>
        <w:gridCol w:w="2694"/>
        <w:gridCol w:w="4393"/>
      </w:tblGrid>
      <w:tr w:rsidR="0025490C" w:rsidRPr="000C3836" w:rsidTr="000C3836">
        <w:trPr>
          <w:cantSplit/>
        </w:trPr>
        <w:tc>
          <w:tcPr>
            <w:tcW w:w="1212" w:type="pct"/>
            <w:tcBorders>
              <w:top w:val="single" w:sz="4" w:space="0" w:color="auto"/>
              <w:bottom w:val="single" w:sz="4" w:space="0" w:color="auto"/>
            </w:tcBorders>
            <w:shd w:val="clear" w:color="auto" w:fill="auto"/>
          </w:tcPr>
          <w:p w:rsidR="0025490C" w:rsidRPr="000C3836" w:rsidRDefault="0025490C" w:rsidP="000C3836">
            <w:pPr>
              <w:pStyle w:val="TableText"/>
              <w:keepNext/>
              <w:rPr>
                <w:b/>
                <w:lang w:eastAsia="ja-JP"/>
              </w:rPr>
            </w:pPr>
            <w:r w:rsidRPr="000C3836">
              <w:rPr>
                <w:b/>
                <w:lang w:eastAsia="ja-JP"/>
              </w:rPr>
              <w:t>Study</w:t>
            </w:r>
          </w:p>
        </w:tc>
        <w:tc>
          <w:tcPr>
            <w:tcW w:w="1440" w:type="pct"/>
            <w:tcBorders>
              <w:top w:val="single" w:sz="4" w:space="0" w:color="auto"/>
              <w:bottom w:val="single" w:sz="4" w:space="0" w:color="auto"/>
            </w:tcBorders>
            <w:shd w:val="clear" w:color="auto" w:fill="auto"/>
          </w:tcPr>
          <w:p w:rsidR="0025490C" w:rsidRPr="000C3836" w:rsidRDefault="0025490C" w:rsidP="000C3836">
            <w:pPr>
              <w:pStyle w:val="TableText"/>
              <w:jc w:val="center"/>
              <w:rPr>
                <w:b/>
                <w:lang w:eastAsia="ja-JP"/>
              </w:rPr>
            </w:pPr>
            <w:r w:rsidRPr="000C3836">
              <w:rPr>
                <w:b/>
                <w:lang w:eastAsia="ja-JP"/>
              </w:rPr>
              <w:t>Number of participants</w:t>
            </w:r>
          </w:p>
        </w:tc>
        <w:tc>
          <w:tcPr>
            <w:tcW w:w="2348" w:type="pct"/>
            <w:tcBorders>
              <w:top w:val="single" w:sz="4" w:space="0" w:color="auto"/>
              <w:bottom w:val="single" w:sz="4" w:space="0" w:color="auto"/>
            </w:tcBorders>
            <w:shd w:val="clear" w:color="auto" w:fill="auto"/>
          </w:tcPr>
          <w:p w:rsidR="0025490C" w:rsidRPr="000C3836" w:rsidRDefault="0025490C" w:rsidP="000C3836">
            <w:pPr>
              <w:pStyle w:val="TableText"/>
              <w:rPr>
                <w:b/>
                <w:lang w:eastAsia="ja-JP"/>
              </w:rPr>
            </w:pPr>
            <w:r w:rsidRPr="000C3836">
              <w:rPr>
                <w:b/>
                <w:lang w:eastAsia="ja-JP"/>
              </w:rPr>
              <w:t>Prevalence (%)</w:t>
            </w:r>
          </w:p>
        </w:tc>
      </w:tr>
      <w:tr w:rsidR="000C3836" w:rsidRPr="00E07B1B" w:rsidTr="000C3836">
        <w:trPr>
          <w:cantSplit/>
        </w:trPr>
        <w:tc>
          <w:tcPr>
            <w:tcW w:w="1212" w:type="pct"/>
            <w:tcBorders>
              <w:top w:val="single" w:sz="4" w:space="0" w:color="auto"/>
              <w:bottom w:val="nil"/>
            </w:tcBorders>
            <w:shd w:val="clear" w:color="auto" w:fill="F2F2F2" w:themeFill="background1" w:themeFillShade="F2"/>
          </w:tcPr>
          <w:p w:rsidR="0025490C" w:rsidRPr="00E07B1B" w:rsidRDefault="0025490C" w:rsidP="000C3836">
            <w:pPr>
              <w:pStyle w:val="TableText"/>
              <w:keepNext/>
              <w:rPr>
                <w:lang w:eastAsia="ja-JP"/>
              </w:rPr>
            </w:pPr>
            <w:r w:rsidRPr="00E07B1B">
              <w:rPr>
                <w:lang w:eastAsia="ja-JP"/>
              </w:rPr>
              <w:t>Moses (2011)</w:t>
            </w:r>
          </w:p>
        </w:tc>
        <w:tc>
          <w:tcPr>
            <w:tcW w:w="1440" w:type="pct"/>
            <w:tcBorders>
              <w:top w:val="single" w:sz="4" w:space="0" w:color="auto"/>
              <w:bottom w:val="nil"/>
            </w:tcBorders>
            <w:shd w:val="clear" w:color="auto" w:fill="F2F2F2" w:themeFill="background1" w:themeFillShade="F2"/>
          </w:tcPr>
          <w:p w:rsidR="0025490C" w:rsidRPr="00E07B1B" w:rsidRDefault="0025490C" w:rsidP="000C3836">
            <w:pPr>
              <w:pStyle w:val="TableText"/>
              <w:tabs>
                <w:tab w:val="decimal" w:pos="1503"/>
              </w:tabs>
              <w:rPr>
                <w:lang w:eastAsia="ja-JP"/>
              </w:rPr>
            </w:pPr>
            <w:r w:rsidRPr="00E07B1B">
              <w:rPr>
                <w:lang w:eastAsia="ja-JP"/>
              </w:rPr>
              <w:t>1272</w:t>
            </w:r>
          </w:p>
        </w:tc>
        <w:tc>
          <w:tcPr>
            <w:tcW w:w="2348" w:type="pct"/>
            <w:tcBorders>
              <w:top w:val="single" w:sz="4" w:space="0" w:color="auto"/>
              <w:bottom w:val="nil"/>
            </w:tcBorders>
            <w:shd w:val="clear" w:color="auto" w:fill="F2F2F2" w:themeFill="background1" w:themeFillShade="F2"/>
          </w:tcPr>
          <w:p w:rsidR="0025490C" w:rsidRPr="00E07B1B" w:rsidRDefault="0025490C" w:rsidP="000C3836">
            <w:pPr>
              <w:pStyle w:val="TableText"/>
              <w:rPr>
                <w:lang w:eastAsia="ja-JP"/>
              </w:rPr>
            </w:pPr>
            <w:r w:rsidRPr="00E07B1B">
              <w:rPr>
                <w:lang w:eastAsia="ja-JP"/>
              </w:rPr>
              <w:t>IADPSG 13% versus ADIPS 9.6%</w:t>
            </w:r>
          </w:p>
        </w:tc>
      </w:tr>
      <w:tr w:rsidR="0025490C" w:rsidRPr="00E07B1B" w:rsidTr="000C3836">
        <w:trPr>
          <w:cantSplit/>
        </w:trPr>
        <w:tc>
          <w:tcPr>
            <w:tcW w:w="1212" w:type="pct"/>
            <w:tcBorders>
              <w:top w:val="nil"/>
              <w:bottom w:val="nil"/>
            </w:tcBorders>
            <w:shd w:val="clear" w:color="auto" w:fill="auto"/>
          </w:tcPr>
          <w:p w:rsidR="0025490C" w:rsidRPr="00E07B1B" w:rsidRDefault="0025490C" w:rsidP="000C3836">
            <w:pPr>
              <w:pStyle w:val="TableText"/>
              <w:keepNext/>
              <w:rPr>
                <w:lang w:eastAsia="ja-JP"/>
              </w:rPr>
            </w:pPr>
            <w:r w:rsidRPr="00E07B1B">
              <w:rPr>
                <w:lang w:eastAsia="ja-JP"/>
              </w:rPr>
              <w:t>Agarwal (2010)</w:t>
            </w:r>
          </w:p>
        </w:tc>
        <w:tc>
          <w:tcPr>
            <w:tcW w:w="1440" w:type="pct"/>
            <w:tcBorders>
              <w:top w:val="nil"/>
              <w:bottom w:val="nil"/>
            </w:tcBorders>
            <w:shd w:val="clear" w:color="auto" w:fill="auto"/>
          </w:tcPr>
          <w:p w:rsidR="0025490C" w:rsidRPr="00E07B1B" w:rsidRDefault="0025490C" w:rsidP="000C3836">
            <w:pPr>
              <w:pStyle w:val="TableText"/>
              <w:tabs>
                <w:tab w:val="decimal" w:pos="1503"/>
              </w:tabs>
              <w:rPr>
                <w:lang w:eastAsia="ja-JP"/>
              </w:rPr>
            </w:pPr>
            <w:r w:rsidRPr="00E07B1B">
              <w:rPr>
                <w:lang w:eastAsia="ja-JP"/>
              </w:rPr>
              <w:t>10,283</w:t>
            </w:r>
          </w:p>
        </w:tc>
        <w:tc>
          <w:tcPr>
            <w:tcW w:w="2348" w:type="pct"/>
            <w:tcBorders>
              <w:top w:val="nil"/>
              <w:bottom w:val="nil"/>
            </w:tcBorders>
            <w:shd w:val="clear" w:color="auto" w:fill="auto"/>
          </w:tcPr>
          <w:p w:rsidR="0025490C" w:rsidRPr="00E07B1B" w:rsidRDefault="0025490C" w:rsidP="000C3836">
            <w:pPr>
              <w:pStyle w:val="TableText"/>
              <w:rPr>
                <w:lang w:eastAsia="ja-JP"/>
              </w:rPr>
            </w:pPr>
            <w:r w:rsidRPr="00E07B1B">
              <w:rPr>
                <w:lang w:eastAsia="ja-JP"/>
              </w:rPr>
              <w:t>IADPSG 37.7% versus ADA 12.9%</w:t>
            </w:r>
          </w:p>
        </w:tc>
      </w:tr>
      <w:tr w:rsidR="000C3836" w:rsidRPr="00E07B1B" w:rsidTr="000C3836">
        <w:trPr>
          <w:cantSplit/>
        </w:trPr>
        <w:tc>
          <w:tcPr>
            <w:tcW w:w="1212" w:type="pct"/>
            <w:tcBorders>
              <w:top w:val="nil"/>
              <w:bottom w:val="nil"/>
            </w:tcBorders>
            <w:shd w:val="clear" w:color="auto" w:fill="F2F2F2" w:themeFill="background1" w:themeFillShade="F2"/>
          </w:tcPr>
          <w:p w:rsidR="0025490C" w:rsidRPr="00E07B1B" w:rsidRDefault="0025490C" w:rsidP="000C3836">
            <w:pPr>
              <w:pStyle w:val="TableText"/>
              <w:rPr>
                <w:lang w:eastAsia="ja-JP"/>
              </w:rPr>
            </w:pPr>
            <w:r w:rsidRPr="00E07B1B">
              <w:rPr>
                <w:lang w:eastAsia="ja-JP"/>
              </w:rPr>
              <w:t>Jenum (2012)</w:t>
            </w:r>
          </w:p>
        </w:tc>
        <w:tc>
          <w:tcPr>
            <w:tcW w:w="1440" w:type="pct"/>
            <w:tcBorders>
              <w:top w:val="nil"/>
              <w:bottom w:val="nil"/>
            </w:tcBorders>
            <w:shd w:val="clear" w:color="auto" w:fill="F2F2F2" w:themeFill="background1" w:themeFillShade="F2"/>
          </w:tcPr>
          <w:p w:rsidR="0025490C" w:rsidRPr="00E07B1B" w:rsidRDefault="0025490C" w:rsidP="000C3836">
            <w:pPr>
              <w:pStyle w:val="TableText"/>
              <w:tabs>
                <w:tab w:val="decimal" w:pos="1503"/>
              </w:tabs>
              <w:rPr>
                <w:lang w:eastAsia="ja-JP"/>
              </w:rPr>
            </w:pPr>
            <w:r w:rsidRPr="00E07B1B">
              <w:rPr>
                <w:lang w:eastAsia="ja-JP"/>
              </w:rPr>
              <w:t>759</w:t>
            </w:r>
          </w:p>
        </w:tc>
        <w:tc>
          <w:tcPr>
            <w:tcW w:w="2348" w:type="pct"/>
            <w:tcBorders>
              <w:top w:val="nil"/>
              <w:bottom w:val="nil"/>
            </w:tcBorders>
            <w:shd w:val="clear" w:color="auto" w:fill="F2F2F2" w:themeFill="background1" w:themeFillShade="F2"/>
          </w:tcPr>
          <w:p w:rsidR="0025490C" w:rsidRPr="00E07B1B" w:rsidRDefault="0025490C" w:rsidP="000C3836">
            <w:pPr>
              <w:pStyle w:val="TableText"/>
              <w:rPr>
                <w:lang w:eastAsia="ja-JP"/>
              </w:rPr>
            </w:pPr>
            <w:r w:rsidRPr="00E07B1B">
              <w:rPr>
                <w:lang w:eastAsia="ja-JP"/>
              </w:rPr>
              <w:t xml:space="preserve">IADPSG 31.5% versus </w:t>
            </w:r>
            <w:r>
              <w:rPr>
                <w:szCs w:val="24"/>
              </w:rPr>
              <w:t>WHO</w:t>
            </w:r>
            <w:r w:rsidRPr="00E07B1B">
              <w:rPr>
                <w:lang w:eastAsia="ja-JP"/>
              </w:rPr>
              <w:t xml:space="preserve"> 13%</w:t>
            </w:r>
          </w:p>
        </w:tc>
      </w:tr>
      <w:tr w:rsidR="0025490C" w:rsidRPr="00E07B1B" w:rsidTr="000C3836">
        <w:trPr>
          <w:cantSplit/>
        </w:trPr>
        <w:tc>
          <w:tcPr>
            <w:tcW w:w="1212" w:type="pct"/>
            <w:tcBorders>
              <w:top w:val="nil"/>
              <w:bottom w:val="nil"/>
            </w:tcBorders>
            <w:shd w:val="clear" w:color="auto" w:fill="auto"/>
          </w:tcPr>
          <w:p w:rsidR="0025490C" w:rsidRPr="00E07B1B" w:rsidRDefault="0025490C" w:rsidP="000C3836">
            <w:pPr>
              <w:pStyle w:val="TableText"/>
              <w:rPr>
                <w:lang w:eastAsia="ja-JP"/>
              </w:rPr>
            </w:pPr>
            <w:r w:rsidRPr="00E07B1B">
              <w:rPr>
                <w:lang w:eastAsia="ja-JP"/>
              </w:rPr>
              <w:t>Somani (2011)</w:t>
            </w:r>
          </w:p>
        </w:tc>
        <w:tc>
          <w:tcPr>
            <w:tcW w:w="1440" w:type="pct"/>
            <w:tcBorders>
              <w:top w:val="nil"/>
              <w:bottom w:val="nil"/>
            </w:tcBorders>
            <w:shd w:val="clear" w:color="auto" w:fill="auto"/>
          </w:tcPr>
          <w:p w:rsidR="0025490C" w:rsidRPr="00E07B1B" w:rsidRDefault="0025490C" w:rsidP="000C3836">
            <w:pPr>
              <w:pStyle w:val="TableText"/>
              <w:tabs>
                <w:tab w:val="decimal" w:pos="1503"/>
              </w:tabs>
              <w:rPr>
                <w:lang w:eastAsia="ja-JP"/>
              </w:rPr>
            </w:pPr>
            <w:r w:rsidRPr="00E07B1B">
              <w:rPr>
                <w:lang w:eastAsia="ja-JP"/>
              </w:rPr>
              <w:t>291</w:t>
            </w:r>
          </w:p>
        </w:tc>
        <w:tc>
          <w:tcPr>
            <w:tcW w:w="2348" w:type="pct"/>
            <w:tcBorders>
              <w:top w:val="nil"/>
              <w:bottom w:val="nil"/>
            </w:tcBorders>
            <w:shd w:val="clear" w:color="auto" w:fill="auto"/>
          </w:tcPr>
          <w:p w:rsidR="0025490C" w:rsidRPr="00E07B1B" w:rsidRDefault="0025490C" w:rsidP="000C3836">
            <w:pPr>
              <w:pStyle w:val="TableText"/>
              <w:rPr>
                <w:lang w:eastAsia="ja-JP"/>
              </w:rPr>
            </w:pPr>
            <w:r>
              <w:rPr>
                <w:szCs w:val="24"/>
              </w:rPr>
              <w:t>WHO</w:t>
            </w:r>
            <w:r w:rsidRPr="00E07B1B">
              <w:rPr>
                <w:lang w:eastAsia="ja-JP"/>
              </w:rPr>
              <w:t xml:space="preserve"> 4.8% versus Carpenter and Coustan 6.4% versus O</w:t>
            </w:r>
            <w:r w:rsidR="0068074A">
              <w:rPr>
                <w:lang w:eastAsia="ja-JP"/>
              </w:rPr>
              <w:t>’</w:t>
            </w:r>
            <w:r w:rsidRPr="00E07B1B">
              <w:rPr>
                <w:lang w:eastAsia="ja-JP"/>
              </w:rPr>
              <w:t>Sullivan 3.5%</w:t>
            </w:r>
          </w:p>
        </w:tc>
      </w:tr>
      <w:tr w:rsidR="000C3836" w:rsidRPr="00E07B1B" w:rsidTr="000C3836">
        <w:trPr>
          <w:cantSplit/>
        </w:trPr>
        <w:tc>
          <w:tcPr>
            <w:tcW w:w="1212" w:type="pct"/>
            <w:tcBorders>
              <w:top w:val="nil"/>
              <w:bottom w:val="single" w:sz="4" w:space="0" w:color="auto"/>
            </w:tcBorders>
            <w:shd w:val="clear" w:color="auto" w:fill="F2F2F2" w:themeFill="background1" w:themeFillShade="F2"/>
          </w:tcPr>
          <w:p w:rsidR="0025490C" w:rsidRPr="00E07B1B" w:rsidRDefault="0025490C" w:rsidP="000C3836">
            <w:pPr>
              <w:pStyle w:val="TableText"/>
              <w:rPr>
                <w:lang w:eastAsia="ja-JP"/>
              </w:rPr>
            </w:pPr>
            <w:r w:rsidRPr="00E07B1B">
              <w:rPr>
                <w:lang w:eastAsia="ja-JP"/>
              </w:rPr>
              <w:t>Karcaaltincaba (2009)</w:t>
            </w:r>
          </w:p>
        </w:tc>
        <w:tc>
          <w:tcPr>
            <w:tcW w:w="1440" w:type="pct"/>
            <w:tcBorders>
              <w:top w:val="nil"/>
              <w:bottom w:val="single" w:sz="4" w:space="0" w:color="auto"/>
            </w:tcBorders>
            <w:shd w:val="clear" w:color="auto" w:fill="F2F2F2" w:themeFill="background1" w:themeFillShade="F2"/>
          </w:tcPr>
          <w:p w:rsidR="0025490C" w:rsidRPr="00E07B1B" w:rsidRDefault="0025490C" w:rsidP="000C3836">
            <w:pPr>
              <w:pStyle w:val="TableText"/>
              <w:tabs>
                <w:tab w:val="decimal" w:pos="1503"/>
              </w:tabs>
              <w:rPr>
                <w:lang w:eastAsia="ja-JP"/>
              </w:rPr>
            </w:pPr>
            <w:r w:rsidRPr="00E07B1B">
              <w:rPr>
                <w:lang w:eastAsia="ja-JP"/>
              </w:rPr>
              <w:t>21,531</w:t>
            </w:r>
          </w:p>
        </w:tc>
        <w:tc>
          <w:tcPr>
            <w:tcW w:w="2348" w:type="pct"/>
            <w:tcBorders>
              <w:top w:val="nil"/>
              <w:bottom w:val="single" w:sz="4" w:space="0" w:color="auto"/>
            </w:tcBorders>
            <w:shd w:val="clear" w:color="auto" w:fill="F2F2F2" w:themeFill="background1" w:themeFillShade="F2"/>
          </w:tcPr>
          <w:p w:rsidR="0025490C" w:rsidRPr="00E07B1B" w:rsidRDefault="0025490C" w:rsidP="000C3836">
            <w:pPr>
              <w:pStyle w:val="TableText"/>
              <w:rPr>
                <w:lang w:eastAsia="ja-JP"/>
              </w:rPr>
            </w:pPr>
            <w:r w:rsidRPr="00E07B1B">
              <w:rPr>
                <w:lang w:eastAsia="ja-JP"/>
              </w:rPr>
              <w:t>Carpenter and Coustan 4.5% versus NDDG 3.2%</w:t>
            </w:r>
          </w:p>
        </w:tc>
      </w:tr>
    </w:tbl>
    <w:p w:rsidR="0025490C" w:rsidRDefault="0025490C" w:rsidP="000C3836">
      <w:pPr>
        <w:pStyle w:val="Note"/>
        <w:ind w:left="0" w:firstLine="0"/>
        <w:rPr>
          <w:lang w:eastAsia="ja-JP"/>
        </w:rPr>
      </w:pPr>
      <w:r>
        <w:rPr>
          <w:lang w:eastAsia="en-NZ"/>
        </w:rPr>
        <w:t xml:space="preserve">Note: </w:t>
      </w:r>
      <w:r w:rsidRPr="00E07B1B">
        <w:rPr>
          <w:lang w:eastAsia="ja-JP"/>
        </w:rPr>
        <w:t xml:space="preserve">ADA </w:t>
      </w:r>
      <w:r>
        <w:rPr>
          <w:lang w:eastAsia="ja-JP"/>
        </w:rPr>
        <w:t xml:space="preserve">= </w:t>
      </w:r>
      <w:r w:rsidRPr="00E07B1B">
        <w:rPr>
          <w:lang w:eastAsia="ja-JP"/>
        </w:rPr>
        <w:t xml:space="preserve">American Diabetes Association; ADIPS </w:t>
      </w:r>
      <w:r>
        <w:rPr>
          <w:lang w:eastAsia="ja-JP"/>
        </w:rPr>
        <w:t>=</w:t>
      </w:r>
      <w:r w:rsidRPr="00E07B1B">
        <w:rPr>
          <w:lang w:eastAsia="ja-JP"/>
        </w:rPr>
        <w:t xml:space="preserve"> Australasian Diabetes in Pregnancy Society; </w:t>
      </w:r>
      <w:r w:rsidRPr="00E07B1B">
        <w:rPr>
          <w:lang w:eastAsia="en-NZ"/>
        </w:rPr>
        <w:t>IADPSG</w:t>
      </w:r>
      <w:r w:rsidR="000C3836">
        <w:rPr>
          <w:lang w:eastAsia="en-NZ"/>
        </w:rPr>
        <w:t> </w:t>
      </w:r>
      <w:r>
        <w:rPr>
          <w:lang w:eastAsia="en-NZ"/>
        </w:rPr>
        <w:t>=</w:t>
      </w:r>
      <w:r w:rsidR="000C3836">
        <w:rPr>
          <w:lang w:eastAsia="en-NZ"/>
        </w:rPr>
        <w:t> </w:t>
      </w:r>
      <w:r w:rsidRPr="00E07B1B">
        <w:rPr>
          <w:lang w:eastAsia="en-NZ"/>
        </w:rPr>
        <w:t xml:space="preserve">International Association of Diabetes </w:t>
      </w:r>
      <w:r>
        <w:rPr>
          <w:lang w:eastAsia="en-NZ"/>
        </w:rPr>
        <w:t>and</w:t>
      </w:r>
      <w:r w:rsidRPr="00E07B1B">
        <w:rPr>
          <w:lang w:eastAsia="en-NZ"/>
        </w:rPr>
        <w:t xml:space="preserve"> Pregnancy Study Groups</w:t>
      </w:r>
      <w:r w:rsidRPr="00E07B1B">
        <w:rPr>
          <w:lang w:eastAsia="ja-JP"/>
        </w:rPr>
        <w:t xml:space="preserve">; NDDG </w:t>
      </w:r>
      <w:r>
        <w:rPr>
          <w:lang w:eastAsia="ja-JP"/>
        </w:rPr>
        <w:t xml:space="preserve">= </w:t>
      </w:r>
      <w:r w:rsidRPr="00E07B1B">
        <w:rPr>
          <w:lang w:eastAsia="ja-JP"/>
        </w:rPr>
        <w:t>National Diabetes Data Group</w:t>
      </w:r>
      <w:r>
        <w:rPr>
          <w:lang w:eastAsia="ja-JP"/>
        </w:rPr>
        <w:t>; WHO = World Health Organization</w:t>
      </w:r>
      <w:r w:rsidR="000C3836">
        <w:rPr>
          <w:lang w:eastAsia="ja-JP"/>
        </w:rPr>
        <w:t>.</w:t>
      </w:r>
    </w:p>
    <w:p w:rsidR="000C3836" w:rsidRPr="000C3836" w:rsidRDefault="000C3836" w:rsidP="000C3836">
      <w:pPr>
        <w:rPr>
          <w:lang w:eastAsia="ja-JP"/>
        </w:rPr>
      </w:pPr>
    </w:p>
    <w:p w:rsidR="0025490C" w:rsidRPr="00E07B1B" w:rsidRDefault="0025490C" w:rsidP="000C3836">
      <w:pPr>
        <w:pStyle w:val="Table"/>
        <w:rPr>
          <w:lang w:eastAsia="en-NZ"/>
        </w:rPr>
      </w:pPr>
      <w:bookmarkStart w:id="510" w:name="_Toc363717811"/>
      <w:bookmarkStart w:id="511" w:name="_Toc403635902"/>
      <w:r w:rsidRPr="00E07B1B">
        <w:rPr>
          <w:lang w:eastAsia="en-NZ"/>
        </w:rPr>
        <w:t>Table 21</w:t>
      </w:r>
      <w:r w:rsidR="000C3836">
        <w:rPr>
          <w:lang w:eastAsia="en-NZ"/>
        </w:rPr>
        <w:t>:</w:t>
      </w:r>
      <w:r w:rsidRPr="00E07B1B">
        <w:rPr>
          <w:lang w:eastAsia="en-NZ"/>
        </w:rPr>
        <w:t xml:space="preserve"> Outcomes for women who would have been diagnosed with gestational diabetes using the </w:t>
      </w:r>
      <w:r w:rsidRPr="00E07B1B">
        <w:t xml:space="preserve">International Association of Diabetes </w:t>
      </w:r>
      <w:r>
        <w:t>and</w:t>
      </w:r>
      <w:r w:rsidRPr="00E07B1B">
        <w:t xml:space="preserve"> Pregnancy Study Groups</w:t>
      </w:r>
      <w:r w:rsidR="0068074A">
        <w:t>’</w:t>
      </w:r>
      <w:r w:rsidRPr="00E07B1B">
        <w:rPr>
          <w:iCs/>
          <w:lang w:eastAsia="en-NZ"/>
        </w:rPr>
        <w:t xml:space="preserve"> </w:t>
      </w:r>
      <w:r w:rsidRPr="00E07B1B">
        <w:rPr>
          <w:lang w:eastAsia="en-NZ"/>
        </w:rPr>
        <w:t xml:space="preserve">criteria compared </w:t>
      </w:r>
      <w:r>
        <w:rPr>
          <w:lang w:eastAsia="en-NZ"/>
        </w:rPr>
        <w:t>with</w:t>
      </w:r>
      <w:r w:rsidRPr="00E07B1B">
        <w:rPr>
          <w:lang w:eastAsia="en-NZ"/>
        </w:rPr>
        <w:t xml:space="preserve"> </w:t>
      </w:r>
      <w:r>
        <w:rPr>
          <w:lang w:eastAsia="en-NZ"/>
        </w:rPr>
        <w:t xml:space="preserve">outcomes for </w:t>
      </w:r>
      <w:r w:rsidRPr="00E07B1B">
        <w:rPr>
          <w:lang w:eastAsia="en-NZ"/>
        </w:rPr>
        <w:t>women without gestational diabetes</w:t>
      </w:r>
      <w:bookmarkEnd w:id="510"/>
      <w:bookmarkEnd w:id="511"/>
    </w:p>
    <w:tbl>
      <w:tblPr>
        <w:tblW w:w="494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383"/>
        <w:gridCol w:w="2294"/>
        <w:gridCol w:w="2419"/>
        <w:gridCol w:w="3259"/>
      </w:tblGrid>
      <w:tr w:rsidR="0025490C" w:rsidRPr="000C3836" w:rsidTr="00704470">
        <w:trPr>
          <w:cantSplit/>
          <w:tblHeader/>
        </w:trPr>
        <w:tc>
          <w:tcPr>
            <w:tcW w:w="739" w:type="pct"/>
            <w:tcBorders>
              <w:top w:val="single" w:sz="4" w:space="0" w:color="auto"/>
              <w:bottom w:val="single" w:sz="4" w:space="0" w:color="auto"/>
            </w:tcBorders>
            <w:shd w:val="clear" w:color="auto" w:fill="auto"/>
          </w:tcPr>
          <w:p w:rsidR="0025490C" w:rsidRPr="000C3836" w:rsidRDefault="0025490C" w:rsidP="000C3836">
            <w:pPr>
              <w:pStyle w:val="TableText"/>
              <w:rPr>
                <w:b/>
                <w:lang w:eastAsia="en-NZ"/>
              </w:rPr>
            </w:pPr>
            <w:r w:rsidRPr="000C3836">
              <w:rPr>
                <w:b/>
                <w:lang w:eastAsia="en-NZ"/>
              </w:rPr>
              <w:t>Reference</w:t>
            </w:r>
          </w:p>
        </w:tc>
        <w:tc>
          <w:tcPr>
            <w:tcW w:w="1226" w:type="pct"/>
            <w:tcBorders>
              <w:top w:val="single" w:sz="4" w:space="0" w:color="auto"/>
              <w:bottom w:val="single" w:sz="4" w:space="0" w:color="auto"/>
            </w:tcBorders>
            <w:shd w:val="clear" w:color="auto" w:fill="auto"/>
          </w:tcPr>
          <w:p w:rsidR="0025490C" w:rsidRPr="000C3836" w:rsidRDefault="0025490C" w:rsidP="000C3836">
            <w:pPr>
              <w:pStyle w:val="TableText"/>
              <w:rPr>
                <w:b/>
                <w:lang w:eastAsia="en-NZ"/>
              </w:rPr>
            </w:pPr>
            <w:r w:rsidRPr="000C3836">
              <w:rPr>
                <w:b/>
                <w:lang w:eastAsia="en-NZ"/>
              </w:rPr>
              <w:t>IADPSG criteria compared with:</w:t>
            </w:r>
          </w:p>
        </w:tc>
        <w:tc>
          <w:tcPr>
            <w:tcW w:w="1293" w:type="pct"/>
            <w:tcBorders>
              <w:top w:val="single" w:sz="4" w:space="0" w:color="auto"/>
              <w:bottom w:val="single" w:sz="4" w:space="0" w:color="auto"/>
            </w:tcBorders>
            <w:shd w:val="clear" w:color="auto" w:fill="auto"/>
          </w:tcPr>
          <w:p w:rsidR="0025490C" w:rsidRPr="000C3836" w:rsidRDefault="0025490C" w:rsidP="000C3836">
            <w:pPr>
              <w:pStyle w:val="TableText"/>
              <w:rPr>
                <w:b/>
                <w:lang w:eastAsia="en-NZ"/>
              </w:rPr>
            </w:pPr>
            <w:r w:rsidRPr="000C3836">
              <w:rPr>
                <w:b/>
                <w:lang w:eastAsia="en-NZ"/>
              </w:rPr>
              <w:t>n</w:t>
            </w:r>
          </w:p>
        </w:tc>
        <w:tc>
          <w:tcPr>
            <w:tcW w:w="1742" w:type="pct"/>
            <w:tcBorders>
              <w:top w:val="single" w:sz="4" w:space="0" w:color="auto"/>
              <w:bottom w:val="single" w:sz="4" w:space="0" w:color="auto"/>
            </w:tcBorders>
            <w:shd w:val="clear" w:color="auto" w:fill="auto"/>
          </w:tcPr>
          <w:p w:rsidR="0025490C" w:rsidRPr="000C3836" w:rsidRDefault="0025490C" w:rsidP="000C3836">
            <w:pPr>
              <w:pStyle w:val="TableText"/>
              <w:rPr>
                <w:b/>
                <w:lang w:eastAsia="en-NZ"/>
              </w:rPr>
            </w:pPr>
            <w:r w:rsidRPr="000C3836">
              <w:rPr>
                <w:b/>
                <w:lang w:eastAsia="en-NZ"/>
              </w:rPr>
              <w:t>Significant results</w:t>
            </w:r>
          </w:p>
        </w:tc>
      </w:tr>
      <w:tr w:rsidR="00704470" w:rsidRPr="00E07B1B" w:rsidTr="00704470">
        <w:trPr>
          <w:cantSplit/>
        </w:trPr>
        <w:tc>
          <w:tcPr>
            <w:tcW w:w="739" w:type="pct"/>
            <w:tcBorders>
              <w:top w:val="single" w:sz="4" w:space="0" w:color="auto"/>
              <w:bottom w:val="nil"/>
            </w:tcBorders>
            <w:shd w:val="clear" w:color="auto" w:fill="F2F2F2" w:themeFill="background1" w:themeFillShade="F2"/>
          </w:tcPr>
          <w:p w:rsidR="0025490C" w:rsidRPr="00E07B1B" w:rsidRDefault="0025490C" w:rsidP="000C3836">
            <w:pPr>
              <w:pStyle w:val="TableText"/>
              <w:rPr>
                <w:lang w:eastAsia="en-NZ"/>
              </w:rPr>
            </w:pPr>
            <w:r w:rsidRPr="00E07B1B">
              <w:rPr>
                <w:lang w:eastAsia="en-NZ"/>
              </w:rPr>
              <w:t>O</w:t>
            </w:r>
            <w:r w:rsidR="0068074A">
              <w:rPr>
                <w:lang w:eastAsia="en-NZ"/>
              </w:rPr>
              <w:t>’</w:t>
            </w:r>
            <w:r w:rsidRPr="00E07B1B">
              <w:rPr>
                <w:lang w:eastAsia="en-NZ"/>
              </w:rPr>
              <w:t xml:space="preserve">Sullivan </w:t>
            </w:r>
            <w:r>
              <w:rPr>
                <w:lang w:eastAsia="en-NZ"/>
              </w:rPr>
              <w:t>(</w:t>
            </w:r>
            <w:r w:rsidRPr="00E07B1B">
              <w:rPr>
                <w:lang w:eastAsia="en-NZ"/>
              </w:rPr>
              <w:t>2011</w:t>
            </w:r>
            <w:r>
              <w:rPr>
                <w:lang w:eastAsia="en-NZ"/>
              </w:rPr>
              <w:t>)</w:t>
            </w:r>
          </w:p>
        </w:tc>
        <w:tc>
          <w:tcPr>
            <w:tcW w:w="1226" w:type="pct"/>
            <w:tcBorders>
              <w:top w:val="single" w:sz="4" w:space="0" w:color="auto"/>
              <w:bottom w:val="nil"/>
            </w:tcBorders>
            <w:shd w:val="clear" w:color="auto" w:fill="F2F2F2" w:themeFill="background1" w:themeFillShade="F2"/>
          </w:tcPr>
          <w:p w:rsidR="0025490C" w:rsidRPr="00E07B1B" w:rsidRDefault="0025490C" w:rsidP="000C3836">
            <w:pPr>
              <w:pStyle w:val="TableText"/>
              <w:rPr>
                <w:lang w:eastAsia="en-NZ"/>
              </w:rPr>
            </w:pPr>
            <w:r w:rsidRPr="00E07B1B">
              <w:rPr>
                <w:lang w:eastAsia="en-NZ"/>
              </w:rPr>
              <w:t>World Health Organization</w:t>
            </w:r>
          </w:p>
        </w:tc>
        <w:tc>
          <w:tcPr>
            <w:tcW w:w="1293" w:type="pct"/>
            <w:tcBorders>
              <w:top w:val="single" w:sz="4" w:space="0" w:color="auto"/>
              <w:bottom w:val="nil"/>
            </w:tcBorders>
            <w:shd w:val="clear" w:color="auto" w:fill="F2F2F2" w:themeFill="background1" w:themeFillShade="F2"/>
          </w:tcPr>
          <w:p w:rsidR="0025490C" w:rsidRPr="00E07B1B" w:rsidRDefault="0025490C" w:rsidP="000C3836">
            <w:pPr>
              <w:pStyle w:val="TableText"/>
              <w:rPr>
                <w:lang w:eastAsia="en-NZ"/>
              </w:rPr>
            </w:pPr>
            <w:r w:rsidRPr="00E07B1B">
              <w:rPr>
                <w:lang w:eastAsia="en-NZ"/>
              </w:rPr>
              <w:t>258 newly diagnosed by IADPSG criteria vs. women with no GDM</w:t>
            </w:r>
          </w:p>
        </w:tc>
        <w:tc>
          <w:tcPr>
            <w:tcW w:w="1742" w:type="pct"/>
            <w:tcBorders>
              <w:top w:val="single" w:sz="4" w:space="0" w:color="auto"/>
              <w:bottom w:val="nil"/>
            </w:tcBorders>
            <w:shd w:val="clear" w:color="auto" w:fill="F2F2F2" w:themeFill="background1" w:themeFillShade="F2"/>
          </w:tcPr>
          <w:p w:rsidR="0025490C" w:rsidRDefault="0025490C" w:rsidP="000C3836">
            <w:pPr>
              <w:pStyle w:val="TableText"/>
              <w:rPr>
                <w:lang w:eastAsia="en-NZ"/>
              </w:rPr>
            </w:pPr>
            <w:r w:rsidRPr="00E07B1B">
              <w:rPr>
                <w:lang w:eastAsia="en-NZ"/>
              </w:rPr>
              <w:t xml:space="preserve">Gestational hypertension (15% vs 7.5%, </w:t>
            </w:r>
            <w:r w:rsidRPr="009712F2">
              <w:rPr>
                <w:i/>
                <w:lang w:eastAsia="en-NZ"/>
              </w:rPr>
              <w:t>p</w:t>
            </w:r>
            <w:r>
              <w:rPr>
                <w:lang w:eastAsia="en-NZ"/>
              </w:rPr>
              <w:t xml:space="preserve"> </w:t>
            </w:r>
            <w:r w:rsidRPr="00E07B1B">
              <w:rPr>
                <w:lang w:eastAsia="en-NZ"/>
              </w:rPr>
              <w:t>&lt;</w:t>
            </w:r>
            <w:r>
              <w:rPr>
                <w:lang w:eastAsia="en-NZ"/>
              </w:rPr>
              <w:t xml:space="preserve"> </w:t>
            </w:r>
            <w:r w:rsidRPr="00E07B1B">
              <w:rPr>
                <w:lang w:eastAsia="en-NZ"/>
              </w:rPr>
              <w:t>0.0001)</w:t>
            </w:r>
          </w:p>
          <w:p w:rsidR="0025490C" w:rsidRDefault="0025490C" w:rsidP="000C3836">
            <w:pPr>
              <w:pStyle w:val="TableText"/>
              <w:rPr>
                <w:lang w:eastAsia="en-NZ"/>
              </w:rPr>
            </w:pPr>
            <w:r w:rsidRPr="00E07B1B">
              <w:rPr>
                <w:lang w:eastAsia="en-NZ"/>
              </w:rPr>
              <w:t xml:space="preserve">Pre-eclampsia (7.1% vs 4.0%, </w:t>
            </w:r>
            <w:r w:rsidRPr="009712F2">
              <w:rPr>
                <w:i/>
                <w:lang w:eastAsia="en-NZ"/>
              </w:rPr>
              <w:t>p</w:t>
            </w:r>
            <w:r>
              <w:rPr>
                <w:lang w:eastAsia="en-NZ"/>
              </w:rPr>
              <w:t> </w:t>
            </w:r>
            <w:r w:rsidRPr="00E07B1B">
              <w:rPr>
                <w:lang w:eastAsia="en-NZ"/>
              </w:rPr>
              <w:t>=</w:t>
            </w:r>
            <w:r>
              <w:rPr>
                <w:lang w:eastAsia="en-NZ"/>
              </w:rPr>
              <w:t> </w:t>
            </w:r>
            <w:r w:rsidRPr="00E07B1B">
              <w:rPr>
                <w:lang w:eastAsia="en-NZ"/>
              </w:rPr>
              <w:t>0.03)</w:t>
            </w:r>
          </w:p>
          <w:p w:rsidR="0025490C" w:rsidRDefault="0025490C" w:rsidP="000C3836">
            <w:pPr>
              <w:pStyle w:val="TableText"/>
              <w:rPr>
                <w:lang w:eastAsia="en-NZ"/>
              </w:rPr>
            </w:pPr>
            <w:r w:rsidRPr="00E07B1B">
              <w:rPr>
                <w:lang w:eastAsia="en-NZ"/>
              </w:rPr>
              <w:t xml:space="preserve">Caesarean section (35.2% vs 24.9%, </w:t>
            </w:r>
            <w:r w:rsidRPr="009712F2">
              <w:rPr>
                <w:i/>
                <w:lang w:eastAsia="en-NZ"/>
              </w:rPr>
              <w:t>p</w:t>
            </w:r>
            <w:r w:rsidR="00704470">
              <w:rPr>
                <w:i/>
                <w:lang w:eastAsia="en-NZ"/>
              </w:rPr>
              <w:t> </w:t>
            </w:r>
            <w:r w:rsidRPr="00E07B1B">
              <w:rPr>
                <w:lang w:eastAsia="en-NZ"/>
              </w:rPr>
              <w:t>&lt;</w:t>
            </w:r>
            <w:r>
              <w:rPr>
                <w:lang w:eastAsia="en-NZ"/>
              </w:rPr>
              <w:t xml:space="preserve"> </w:t>
            </w:r>
            <w:r w:rsidRPr="00E07B1B">
              <w:rPr>
                <w:lang w:eastAsia="en-NZ"/>
              </w:rPr>
              <w:t>0.0001)</w:t>
            </w:r>
          </w:p>
          <w:p w:rsidR="0025490C" w:rsidRDefault="0025490C" w:rsidP="000C3836">
            <w:pPr>
              <w:pStyle w:val="TableText"/>
              <w:rPr>
                <w:lang w:eastAsia="en-NZ"/>
              </w:rPr>
            </w:pPr>
            <w:r w:rsidRPr="00E07B1B">
              <w:rPr>
                <w:lang w:eastAsia="en-NZ"/>
              </w:rPr>
              <w:t xml:space="preserve">Macrosomia (28.8% vs 17.0%, </w:t>
            </w:r>
            <w:r w:rsidRPr="009712F2">
              <w:rPr>
                <w:i/>
                <w:lang w:eastAsia="en-NZ"/>
              </w:rPr>
              <w:t>p</w:t>
            </w:r>
            <w:r w:rsidR="00704470">
              <w:rPr>
                <w:i/>
                <w:lang w:eastAsia="en-NZ"/>
              </w:rPr>
              <w:t> </w:t>
            </w:r>
            <w:r w:rsidRPr="00E07B1B">
              <w:rPr>
                <w:lang w:eastAsia="en-NZ"/>
              </w:rPr>
              <w:t>=</w:t>
            </w:r>
            <w:r w:rsidR="00704470">
              <w:rPr>
                <w:lang w:eastAsia="en-NZ"/>
              </w:rPr>
              <w:t> </w:t>
            </w:r>
            <w:r w:rsidRPr="00E07B1B">
              <w:rPr>
                <w:lang w:eastAsia="en-NZ"/>
              </w:rPr>
              <w:t>0.02)</w:t>
            </w:r>
          </w:p>
          <w:p w:rsidR="0068074A" w:rsidRDefault="0025490C" w:rsidP="000C3836">
            <w:pPr>
              <w:pStyle w:val="TableText"/>
              <w:rPr>
                <w:lang w:eastAsia="en-NZ"/>
              </w:rPr>
            </w:pPr>
            <w:r w:rsidRPr="00E07B1B">
              <w:rPr>
                <w:lang w:eastAsia="en-NZ"/>
              </w:rPr>
              <w:t xml:space="preserve">LGA (26.8% vs 16.2%, </w:t>
            </w:r>
            <w:r w:rsidRPr="009712F2">
              <w:rPr>
                <w:i/>
                <w:lang w:eastAsia="en-NZ"/>
              </w:rPr>
              <w:t>p</w:t>
            </w:r>
            <w:r>
              <w:rPr>
                <w:lang w:eastAsia="en-NZ"/>
              </w:rPr>
              <w:t> </w:t>
            </w:r>
            <w:r w:rsidRPr="00E07B1B">
              <w:rPr>
                <w:lang w:eastAsia="en-NZ"/>
              </w:rPr>
              <w:t>&lt;</w:t>
            </w:r>
            <w:r>
              <w:rPr>
                <w:lang w:eastAsia="en-NZ"/>
              </w:rPr>
              <w:t> </w:t>
            </w:r>
            <w:r w:rsidRPr="00E07B1B">
              <w:rPr>
                <w:lang w:eastAsia="en-NZ"/>
              </w:rPr>
              <w:t>0.0001)</w:t>
            </w:r>
          </w:p>
          <w:p w:rsidR="0025490C" w:rsidRPr="00E07B1B" w:rsidRDefault="0025490C" w:rsidP="00704470">
            <w:pPr>
              <w:pStyle w:val="TableText"/>
              <w:rPr>
                <w:lang w:eastAsia="en-NZ"/>
              </w:rPr>
            </w:pPr>
            <w:r w:rsidRPr="00E07B1B">
              <w:rPr>
                <w:lang w:eastAsia="en-NZ"/>
              </w:rPr>
              <w:t xml:space="preserve">NICU admission (16.5% vs 9.1%, </w:t>
            </w:r>
            <w:r w:rsidRPr="009712F2">
              <w:rPr>
                <w:i/>
                <w:lang w:eastAsia="en-NZ"/>
              </w:rPr>
              <w:t>p</w:t>
            </w:r>
            <w:r w:rsidR="00704470">
              <w:rPr>
                <w:i/>
                <w:lang w:eastAsia="en-NZ"/>
              </w:rPr>
              <w:t> </w:t>
            </w:r>
            <w:r w:rsidRPr="00E07B1B">
              <w:rPr>
                <w:lang w:eastAsia="en-NZ"/>
              </w:rPr>
              <w:t>&lt;</w:t>
            </w:r>
            <w:r w:rsidR="00704470">
              <w:rPr>
                <w:lang w:eastAsia="en-NZ"/>
              </w:rPr>
              <w:t> </w:t>
            </w:r>
            <w:r w:rsidRPr="00E07B1B">
              <w:rPr>
                <w:lang w:eastAsia="en-NZ"/>
              </w:rPr>
              <w:t>0.0001)</w:t>
            </w:r>
          </w:p>
        </w:tc>
      </w:tr>
      <w:tr w:rsidR="0025490C" w:rsidRPr="00E07B1B" w:rsidTr="00704470">
        <w:trPr>
          <w:cantSplit/>
        </w:trPr>
        <w:tc>
          <w:tcPr>
            <w:tcW w:w="739" w:type="pct"/>
            <w:tcBorders>
              <w:top w:val="nil"/>
              <w:bottom w:val="nil"/>
            </w:tcBorders>
            <w:shd w:val="clear" w:color="auto" w:fill="auto"/>
          </w:tcPr>
          <w:p w:rsidR="0025490C" w:rsidRPr="00E07B1B" w:rsidRDefault="0025490C" w:rsidP="000C3836">
            <w:pPr>
              <w:pStyle w:val="TableText"/>
              <w:rPr>
                <w:lang w:eastAsia="en-NZ"/>
              </w:rPr>
            </w:pPr>
            <w:r w:rsidRPr="00E07B1B">
              <w:rPr>
                <w:lang w:eastAsia="en-NZ"/>
              </w:rPr>
              <w:t xml:space="preserve">Lapolla </w:t>
            </w:r>
            <w:r>
              <w:rPr>
                <w:lang w:eastAsia="en-NZ"/>
              </w:rPr>
              <w:t>(2012)</w:t>
            </w:r>
          </w:p>
        </w:tc>
        <w:tc>
          <w:tcPr>
            <w:tcW w:w="1226" w:type="pct"/>
            <w:tcBorders>
              <w:top w:val="nil"/>
              <w:bottom w:val="nil"/>
            </w:tcBorders>
            <w:shd w:val="clear" w:color="auto" w:fill="auto"/>
          </w:tcPr>
          <w:p w:rsidR="0025490C" w:rsidRPr="00E07B1B" w:rsidRDefault="0025490C" w:rsidP="000C3836">
            <w:pPr>
              <w:pStyle w:val="TableText"/>
              <w:rPr>
                <w:lang w:eastAsia="en-NZ"/>
              </w:rPr>
            </w:pPr>
            <w:r>
              <w:rPr>
                <w:lang w:eastAsia="en-NZ"/>
              </w:rPr>
              <w:t>Four</w:t>
            </w:r>
            <w:r w:rsidRPr="00E07B1B">
              <w:rPr>
                <w:lang w:eastAsia="en-NZ"/>
              </w:rPr>
              <w:t>th International Workshop</w:t>
            </w:r>
            <w:r>
              <w:rPr>
                <w:lang w:eastAsia="en-NZ"/>
              </w:rPr>
              <w:t>–</w:t>
            </w:r>
            <w:r w:rsidRPr="00E07B1B">
              <w:rPr>
                <w:lang w:eastAsia="en-NZ"/>
              </w:rPr>
              <w:t xml:space="preserve">Conference on </w:t>
            </w:r>
            <w:r>
              <w:rPr>
                <w:lang w:eastAsia="en-NZ"/>
              </w:rPr>
              <w:t>G</w:t>
            </w:r>
            <w:r w:rsidRPr="00E07B1B">
              <w:rPr>
                <w:lang w:eastAsia="en-NZ"/>
              </w:rPr>
              <w:t xml:space="preserve">estational </w:t>
            </w:r>
            <w:r>
              <w:rPr>
                <w:lang w:eastAsia="en-NZ"/>
              </w:rPr>
              <w:t>D</w:t>
            </w:r>
            <w:r w:rsidRPr="00E07B1B">
              <w:rPr>
                <w:lang w:eastAsia="en-NZ"/>
              </w:rPr>
              <w:t>iabetes</w:t>
            </w:r>
            <w:r>
              <w:rPr>
                <w:lang w:eastAsia="en-NZ"/>
              </w:rPr>
              <w:t xml:space="preserve"> Mellitus</w:t>
            </w:r>
            <w:r w:rsidRPr="00E07B1B">
              <w:rPr>
                <w:lang w:eastAsia="en-NZ"/>
              </w:rPr>
              <w:t xml:space="preserve"> criteria</w:t>
            </w:r>
          </w:p>
        </w:tc>
        <w:tc>
          <w:tcPr>
            <w:tcW w:w="1293" w:type="pct"/>
            <w:tcBorders>
              <w:top w:val="nil"/>
              <w:bottom w:val="nil"/>
            </w:tcBorders>
            <w:shd w:val="clear" w:color="auto" w:fill="auto"/>
          </w:tcPr>
          <w:p w:rsidR="0025490C" w:rsidRPr="00E07B1B" w:rsidRDefault="0025490C" w:rsidP="000C3836">
            <w:pPr>
              <w:pStyle w:val="TableText"/>
              <w:rPr>
                <w:lang w:eastAsia="en-NZ"/>
              </w:rPr>
            </w:pPr>
            <w:r w:rsidRPr="00E07B1B">
              <w:rPr>
                <w:lang w:eastAsia="en-NZ"/>
              </w:rPr>
              <w:t>112 newly diagnosed by IADPSG criteria vs 1815 women with no GDM</w:t>
            </w:r>
          </w:p>
        </w:tc>
        <w:tc>
          <w:tcPr>
            <w:tcW w:w="1742" w:type="pct"/>
            <w:tcBorders>
              <w:top w:val="nil"/>
              <w:bottom w:val="nil"/>
            </w:tcBorders>
            <w:shd w:val="clear" w:color="auto" w:fill="auto"/>
          </w:tcPr>
          <w:p w:rsidR="0025490C" w:rsidRDefault="0025490C" w:rsidP="000C3836">
            <w:pPr>
              <w:pStyle w:val="TableText"/>
              <w:rPr>
                <w:lang w:eastAsia="en-NZ"/>
              </w:rPr>
            </w:pPr>
            <w:r w:rsidRPr="00E07B1B">
              <w:rPr>
                <w:lang w:eastAsia="en-NZ"/>
              </w:rPr>
              <w:t>Caesarean section: 43.6% vs 31.1% (</w:t>
            </w:r>
            <w:r w:rsidRPr="009712F2">
              <w:rPr>
                <w:i/>
                <w:lang w:eastAsia="en-NZ"/>
              </w:rPr>
              <w:t>p</w:t>
            </w:r>
            <w:r w:rsidR="00704470">
              <w:rPr>
                <w:i/>
                <w:lang w:eastAsia="en-NZ"/>
              </w:rPr>
              <w:t> </w:t>
            </w:r>
            <w:r w:rsidRPr="00E07B1B">
              <w:rPr>
                <w:lang w:eastAsia="en-NZ"/>
              </w:rPr>
              <w:t>&lt;</w:t>
            </w:r>
            <w:r w:rsidR="00704470">
              <w:rPr>
                <w:lang w:eastAsia="en-NZ"/>
              </w:rPr>
              <w:t> </w:t>
            </w:r>
            <w:r w:rsidRPr="00E07B1B">
              <w:rPr>
                <w:lang w:eastAsia="en-NZ"/>
              </w:rPr>
              <w:t>0.01)</w:t>
            </w:r>
          </w:p>
          <w:p w:rsidR="0025490C" w:rsidRPr="00E07B1B" w:rsidRDefault="0025490C" w:rsidP="000C3836">
            <w:pPr>
              <w:pStyle w:val="TableText"/>
              <w:rPr>
                <w:lang w:eastAsia="en-NZ"/>
              </w:rPr>
            </w:pPr>
            <w:r w:rsidRPr="00E07B1B">
              <w:rPr>
                <w:lang w:eastAsia="en-NZ"/>
              </w:rPr>
              <w:t>Fetal morbidity: 16.5% vs. 7.3%</w:t>
            </w:r>
            <w:r>
              <w:rPr>
                <w:lang w:eastAsia="en-NZ"/>
              </w:rPr>
              <w:t xml:space="preserve"> </w:t>
            </w:r>
            <w:r w:rsidRPr="00E07B1B">
              <w:rPr>
                <w:lang w:eastAsia="en-NZ"/>
              </w:rPr>
              <w:t>(</w:t>
            </w:r>
            <w:r w:rsidRPr="009712F2">
              <w:rPr>
                <w:i/>
                <w:lang w:eastAsia="en-NZ"/>
              </w:rPr>
              <w:t>p</w:t>
            </w:r>
            <w:r>
              <w:rPr>
                <w:lang w:eastAsia="en-NZ"/>
              </w:rPr>
              <w:t> </w:t>
            </w:r>
            <w:r w:rsidRPr="00E07B1B">
              <w:rPr>
                <w:lang w:eastAsia="en-NZ"/>
              </w:rPr>
              <w:t>&lt;</w:t>
            </w:r>
            <w:r>
              <w:rPr>
                <w:lang w:eastAsia="en-NZ"/>
              </w:rPr>
              <w:t> </w:t>
            </w:r>
            <w:r w:rsidRPr="00E07B1B">
              <w:rPr>
                <w:lang w:eastAsia="en-NZ"/>
              </w:rPr>
              <w:t>0.001)</w:t>
            </w:r>
          </w:p>
        </w:tc>
      </w:tr>
      <w:tr w:rsidR="00704470" w:rsidRPr="00E07B1B" w:rsidTr="00704470">
        <w:trPr>
          <w:cantSplit/>
        </w:trPr>
        <w:tc>
          <w:tcPr>
            <w:tcW w:w="739" w:type="pct"/>
            <w:tcBorders>
              <w:top w:val="nil"/>
              <w:bottom w:val="nil"/>
            </w:tcBorders>
            <w:shd w:val="clear" w:color="auto" w:fill="F2F2F2" w:themeFill="background1" w:themeFillShade="F2"/>
          </w:tcPr>
          <w:p w:rsidR="0025490C" w:rsidRPr="00E07B1B" w:rsidRDefault="0025490C" w:rsidP="000C3836">
            <w:pPr>
              <w:pStyle w:val="TableText"/>
              <w:rPr>
                <w:lang w:eastAsia="en-NZ"/>
              </w:rPr>
            </w:pPr>
            <w:r w:rsidRPr="00E07B1B">
              <w:rPr>
                <w:lang w:eastAsia="en-NZ"/>
              </w:rPr>
              <w:t xml:space="preserve">Morikawa </w:t>
            </w:r>
            <w:r>
              <w:rPr>
                <w:lang w:eastAsia="en-NZ"/>
              </w:rPr>
              <w:t>(</w:t>
            </w:r>
            <w:r w:rsidRPr="00E07B1B">
              <w:rPr>
                <w:lang w:eastAsia="en-NZ"/>
              </w:rPr>
              <w:t>2010</w:t>
            </w:r>
            <w:r>
              <w:rPr>
                <w:lang w:eastAsia="en-NZ"/>
              </w:rPr>
              <w:t>)</w:t>
            </w:r>
          </w:p>
        </w:tc>
        <w:tc>
          <w:tcPr>
            <w:tcW w:w="1226" w:type="pct"/>
            <w:tcBorders>
              <w:top w:val="nil"/>
              <w:bottom w:val="nil"/>
            </w:tcBorders>
            <w:shd w:val="clear" w:color="auto" w:fill="F2F2F2" w:themeFill="background1" w:themeFillShade="F2"/>
          </w:tcPr>
          <w:p w:rsidR="0025490C" w:rsidRPr="00E07B1B" w:rsidRDefault="0025490C" w:rsidP="000C3836">
            <w:pPr>
              <w:pStyle w:val="TableText"/>
              <w:rPr>
                <w:lang w:eastAsia="en-NZ"/>
              </w:rPr>
            </w:pPr>
            <w:r w:rsidRPr="00E07B1B">
              <w:rPr>
                <w:lang w:eastAsia="en-NZ"/>
              </w:rPr>
              <w:t>Japan Society of Obstetrics and Gynaecology criteria</w:t>
            </w:r>
          </w:p>
        </w:tc>
        <w:tc>
          <w:tcPr>
            <w:tcW w:w="1293" w:type="pct"/>
            <w:tcBorders>
              <w:top w:val="nil"/>
              <w:bottom w:val="nil"/>
            </w:tcBorders>
            <w:shd w:val="clear" w:color="auto" w:fill="F2F2F2" w:themeFill="background1" w:themeFillShade="F2"/>
          </w:tcPr>
          <w:p w:rsidR="0025490C" w:rsidRPr="00E07B1B" w:rsidRDefault="0025490C" w:rsidP="000C3836">
            <w:pPr>
              <w:pStyle w:val="TableText"/>
              <w:rPr>
                <w:lang w:eastAsia="en-NZ"/>
              </w:rPr>
            </w:pPr>
            <w:r w:rsidRPr="00E07B1B">
              <w:rPr>
                <w:lang w:eastAsia="en-NZ"/>
              </w:rPr>
              <w:t>43 newly diagnosed by IADPSG criteria vs 160 women with no GDM</w:t>
            </w:r>
          </w:p>
        </w:tc>
        <w:tc>
          <w:tcPr>
            <w:tcW w:w="1742" w:type="pct"/>
            <w:tcBorders>
              <w:top w:val="nil"/>
              <w:bottom w:val="nil"/>
            </w:tcBorders>
            <w:shd w:val="clear" w:color="auto" w:fill="F2F2F2" w:themeFill="background1" w:themeFillShade="F2"/>
          </w:tcPr>
          <w:p w:rsidR="0025490C" w:rsidRPr="00E07B1B" w:rsidRDefault="0025490C" w:rsidP="000C3836">
            <w:pPr>
              <w:pStyle w:val="TableText"/>
              <w:rPr>
                <w:lang w:eastAsia="en-NZ"/>
              </w:rPr>
            </w:pPr>
            <w:r w:rsidRPr="00E07B1B">
              <w:rPr>
                <w:lang w:eastAsia="en-NZ"/>
              </w:rPr>
              <w:t>Macrosomia (≥</w:t>
            </w:r>
            <w:r>
              <w:rPr>
                <w:lang w:eastAsia="en-NZ"/>
              </w:rPr>
              <w:t xml:space="preserve"> </w:t>
            </w:r>
            <w:r w:rsidRPr="00E07B1B">
              <w:rPr>
                <w:lang w:eastAsia="en-NZ"/>
              </w:rPr>
              <w:t>3600</w:t>
            </w:r>
            <w:r>
              <w:rPr>
                <w:lang w:eastAsia="en-NZ"/>
              </w:rPr>
              <w:t xml:space="preserve"> </w:t>
            </w:r>
            <w:r w:rsidRPr="00E07B1B">
              <w:rPr>
                <w:lang w:eastAsia="en-NZ"/>
              </w:rPr>
              <w:t>g): 14% vs 3.8% (</w:t>
            </w:r>
            <w:r w:rsidRPr="00081136">
              <w:rPr>
                <w:i/>
                <w:lang w:eastAsia="en-NZ"/>
              </w:rPr>
              <w:t>p</w:t>
            </w:r>
            <w:r w:rsidRPr="00E07B1B">
              <w:rPr>
                <w:lang w:eastAsia="en-NZ"/>
              </w:rPr>
              <w:t xml:space="preserve"> = 0.02)</w:t>
            </w:r>
          </w:p>
        </w:tc>
      </w:tr>
      <w:tr w:rsidR="0025490C" w:rsidRPr="00E07B1B" w:rsidTr="00704470">
        <w:trPr>
          <w:cantSplit/>
        </w:trPr>
        <w:tc>
          <w:tcPr>
            <w:tcW w:w="739" w:type="pct"/>
            <w:tcBorders>
              <w:top w:val="nil"/>
              <w:bottom w:val="nil"/>
            </w:tcBorders>
            <w:shd w:val="clear" w:color="auto" w:fill="auto"/>
          </w:tcPr>
          <w:p w:rsidR="0025490C" w:rsidRPr="00E07B1B" w:rsidRDefault="0025490C" w:rsidP="000C3836">
            <w:pPr>
              <w:pStyle w:val="TableText"/>
              <w:rPr>
                <w:lang w:eastAsia="en-NZ"/>
              </w:rPr>
            </w:pPr>
            <w:r w:rsidRPr="00E07B1B">
              <w:rPr>
                <w:lang w:eastAsia="en-NZ"/>
              </w:rPr>
              <w:t xml:space="preserve">Benhalima </w:t>
            </w:r>
            <w:r>
              <w:rPr>
                <w:lang w:eastAsia="en-NZ"/>
              </w:rPr>
              <w:t>(</w:t>
            </w:r>
            <w:r w:rsidRPr="00E07B1B">
              <w:rPr>
                <w:lang w:eastAsia="en-NZ"/>
              </w:rPr>
              <w:t>2013</w:t>
            </w:r>
            <w:r>
              <w:rPr>
                <w:lang w:eastAsia="en-NZ"/>
              </w:rPr>
              <w:t>)</w:t>
            </w:r>
          </w:p>
        </w:tc>
        <w:tc>
          <w:tcPr>
            <w:tcW w:w="1226" w:type="pct"/>
            <w:tcBorders>
              <w:top w:val="nil"/>
              <w:bottom w:val="nil"/>
            </w:tcBorders>
            <w:shd w:val="clear" w:color="auto" w:fill="auto"/>
          </w:tcPr>
          <w:p w:rsidR="0025490C" w:rsidRPr="00E07B1B" w:rsidRDefault="0025490C" w:rsidP="000C3836">
            <w:pPr>
              <w:pStyle w:val="TableText"/>
              <w:rPr>
                <w:lang w:eastAsia="en-NZ"/>
              </w:rPr>
            </w:pPr>
            <w:r w:rsidRPr="00E07B1B">
              <w:rPr>
                <w:lang w:eastAsia="en-NZ"/>
              </w:rPr>
              <w:t>Carpenter and Coustan criteria</w:t>
            </w:r>
          </w:p>
        </w:tc>
        <w:tc>
          <w:tcPr>
            <w:tcW w:w="1293" w:type="pct"/>
            <w:tcBorders>
              <w:top w:val="nil"/>
              <w:bottom w:val="nil"/>
            </w:tcBorders>
            <w:shd w:val="clear" w:color="auto" w:fill="auto"/>
          </w:tcPr>
          <w:p w:rsidR="0025490C" w:rsidRPr="00E07B1B" w:rsidRDefault="0025490C" w:rsidP="000C3836">
            <w:pPr>
              <w:pStyle w:val="TableText"/>
              <w:rPr>
                <w:lang w:eastAsia="en-NZ"/>
              </w:rPr>
            </w:pPr>
            <w:r w:rsidRPr="00E07B1B">
              <w:rPr>
                <w:lang w:eastAsia="en-NZ"/>
              </w:rPr>
              <w:t>160 newly diagnosed by IADPSG criteria vs 6345 women with no GDM</w:t>
            </w:r>
          </w:p>
        </w:tc>
        <w:tc>
          <w:tcPr>
            <w:tcW w:w="1742" w:type="pct"/>
            <w:tcBorders>
              <w:top w:val="nil"/>
              <w:bottom w:val="nil"/>
            </w:tcBorders>
            <w:shd w:val="clear" w:color="auto" w:fill="auto"/>
          </w:tcPr>
          <w:p w:rsidR="0025490C" w:rsidRDefault="0025490C" w:rsidP="000C3836">
            <w:pPr>
              <w:pStyle w:val="TableText"/>
              <w:rPr>
                <w:lang w:eastAsia="en-NZ"/>
              </w:rPr>
            </w:pPr>
            <w:r w:rsidRPr="00E07B1B">
              <w:rPr>
                <w:lang w:eastAsia="en-NZ"/>
              </w:rPr>
              <w:t>Caesarean section: 30.5% vs 23.3% (</w:t>
            </w:r>
            <w:r w:rsidRPr="00081136">
              <w:rPr>
                <w:i/>
                <w:lang w:eastAsia="en-NZ"/>
              </w:rPr>
              <w:t>p</w:t>
            </w:r>
            <w:r w:rsidR="00704470">
              <w:rPr>
                <w:i/>
                <w:lang w:eastAsia="en-NZ"/>
              </w:rPr>
              <w:t> </w:t>
            </w:r>
            <w:r w:rsidRPr="00E07B1B">
              <w:rPr>
                <w:lang w:eastAsia="en-NZ"/>
              </w:rPr>
              <w:t>=</w:t>
            </w:r>
            <w:r w:rsidR="00704470">
              <w:rPr>
                <w:lang w:eastAsia="en-NZ"/>
              </w:rPr>
              <w:t> </w:t>
            </w:r>
            <w:r w:rsidRPr="00E07B1B">
              <w:rPr>
                <w:lang w:eastAsia="en-NZ"/>
              </w:rPr>
              <w:t>0.001)</w:t>
            </w:r>
          </w:p>
          <w:p w:rsidR="0025490C" w:rsidRPr="00E07B1B" w:rsidRDefault="0025490C" w:rsidP="00704470">
            <w:pPr>
              <w:pStyle w:val="TableText"/>
              <w:rPr>
                <w:lang w:eastAsia="en-NZ"/>
              </w:rPr>
            </w:pPr>
            <w:r w:rsidRPr="00E07B1B">
              <w:rPr>
                <w:lang w:eastAsia="en-NZ"/>
              </w:rPr>
              <w:t>Shoulder dystocia: 3.9% vs 1.4% (</w:t>
            </w:r>
            <w:r w:rsidRPr="00081136">
              <w:rPr>
                <w:i/>
                <w:lang w:eastAsia="en-NZ"/>
              </w:rPr>
              <w:t>p</w:t>
            </w:r>
            <w:r w:rsidR="00704470">
              <w:rPr>
                <w:i/>
                <w:lang w:eastAsia="en-NZ"/>
              </w:rPr>
              <w:t> </w:t>
            </w:r>
            <w:r w:rsidRPr="00E07B1B">
              <w:rPr>
                <w:lang w:eastAsia="en-NZ"/>
              </w:rPr>
              <w:t>=</w:t>
            </w:r>
            <w:r w:rsidR="00704470">
              <w:rPr>
                <w:lang w:eastAsia="en-NZ"/>
              </w:rPr>
              <w:t> 0.007)</w:t>
            </w:r>
          </w:p>
        </w:tc>
      </w:tr>
      <w:tr w:rsidR="00704470" w:rsidRPr="00E07B1B" w:rsidTr="00704470">
        <w:trPr>
          <w:cantSplit/>
        </w:trPr>
        <w:tc>
          <w:tcPr>
            <w:tcW w:w="739" w:type="pct"/>
            <w:tcBorders>
              <w:top w:val="nil"/>
              <w:bottom w:val="single" w:sz="4" w:space="0" w:color="auto"/>
            </w:tcBorders>
            <w:shd w:val="clear" w:color="auto" w:fill="F2F2F2" w:themeFill="background1" w:themeFillShade="F2"/>
          </w:tcPr>
          <w:p w:rsidR="0025490C" w:rsidRPr="00E07B1B" w:rsidRDefault="0025490C" w:rsidP="000C3836">
            <w:pPr>
              <w:pStyle w:val="TableText"/>
              <w:rPr>
                <w:lang w:eastAsia="en-NZ"/>
              </w:rPr>
            </w:pPr>
            <w:r w:rsidRPr="00E07B1B">
              <w:rPr>
                <w:lang w:eastAsia="en-NZ"/>
              </w:rPr>
              <w:t xml:space="preserve">Bodmer-Roy </w:t>
            </w:r>
            <w:r>
              <w:rPr>
                <w:lang w:eastAsia="en-NZ"/>
              </w:rPr>
              <w:t>(</w:t>
            </w:r>
            <w:r w:rsidRPr="00E07B1B">
              <w:rPr>
                <w:lang w:eastAsia="en-NZ"/>
              </w:rPr>
              <w:t>2012</w:t>
            </w:r>
            <w:r>
              <w:rPr>
                <w:lang w:eastAsia="en-NZ"/>
              </w:rPr>
              <w:t>)</w:t>
            </w:r>
          </w:p>
        </w:tc>
        <w:tc>
          <w:tcPr>
            <w:tcW w:w="1226" w:type="pct"/>
            <w:tcBorders>
              <w:top w:val="nil"/>
              <w:bottom w:val="single" w:sz="4" w:space="0" w:color="auto"/>
            </w:tcBorders>
            <w:shd w:val="clear" w:color="auto" w:fill="F2F2F2" w:themeFill="background1" w:themeFillShade="F2"/>
          </w:tcPr>
          <w:p w:rsidR="0025490C" w:rsidRPr="00E07B1B" w:rsidRDefault="0025490C" w:rsidP="000C3836">
            <w:pPr>
              <w:pStyle w:val="TableText"/>
              <w:rPr>
                <w:lang w:eastAsia="en-NZ"/>
              </w:rPr>
            </w:pPr>
            <w:r w:rsidRPr="00E07B1B">
              <w:rPr>
                <w:lang w:eastAsia="en-NZ"/>
              </w:rPr>
              <w:t>Canadian Diabetes Association</w:t>
            </w:r>
            <w:r>
              <w:rPr>
                <w:lang w:eastAsia="en-NZ"/>
              </w:rPr>
              <w:t xml:space="preserve"> </w:t>
            </w:r>
            <w:r w:rsidRPr="00E07B1B">
              <w:rPr>
                <w:lang w:eastAsia="en-NZ"/>
              </w:rPr>
              <w:t>criteria</w:t>
            </w:r>
          </w:p>
        </w:tc>
        <w:tc>
          <w:tcPr>
            <w:tcW w:w="1293" w:type="pct"/>
            <w:tcBorders>
              <w:top w:val="nil"/>
              <w:bottom w:val="single" w:sz="4" w:space="0" w:color="auto"/>
            </w:tcBorders>
            <w:shd w:val="clear" w:color="auto" w:fill="F2F2F2" w:themeFill="background1" w:themeFillShade="F2"/>
          </w:tcPr>
          <w:p w:rsidR="0025490C" w:rsidRPr="00E07B1B" w:rsidRDefault="0025490C" w:rsidP="000C3836">
            <w:pPr>
              <w:pStyle w:val="TableText"/>
              <w:rPr>
                <w:lang w:eastAsia="en-NZ"/>
              </w:rPr>
            </w:pPr>
            <w:r w:rsidRPr="00E07B1B">
              <w:rPr>
                <w:lang w:eastAsia="en-NZ"/>
              </w:rPr>
              <w:t>186 newly diagnosed by IADPSG criteria vs 372 women with no GDM</w:t>
            </w:r>
          </w:p>
        </w:tc>
        <w:tc>
          <w:tcPr>
            <w:tcW w:w="1742" w:type="pct"/>
            <w:tcBorders>
              <w:top w:val="nil"/>
              <w:bottom w:val="single" w:sz="4" w:space="0" w:color="auto"/>
            </w:tcBorders>
            <w:shd w:val="clear" w:color="auto" w:fill="F2F2F2" w:themeFill="background1" w:themeFillShade="F2"/>
          </w:tcPr>
          <w:p w:rsidR="0025490C" w:rsidRPr="00E07B1B" w:rsidRDefault="00704470" w:rsidP="000C3836">
            <w:pPr>
              <w:pStyle w:val="TableText"/>
              <w:rPr>
                <w:lang w:eastAsia="en-NZ"/>
              </w:rPr>
            </w:pPr>
            <w:r>
              <w:rPr>
                <w:lang w:eastAsia="en-NZ"/>
              </w:rPr>
              <w:t>No significant differences</w:t>
            </w:r>
          </w:p>
        </w:tc>
      </w:tr>
    </w:tbl>
    <w:p w:rsidR="0025490C" w:rsidRDefault="0025490C" w:rsidP="00704470">
      <w:pPr>
        <w:pStyle w:val="Note"/>
        <w:ind w:left="0" w:firstLine="0"/>
        <w:rPr>
          <w:lang w:eastAsia="en-NZ"/>
        </w:rPr>
      </w:pPr>
      <w:r>
        <w:rPr>
          <w:lang w:eastAsia="en-NZ"/>
        </w:rPr>
        <w:t xml:space="preserve">Note: </w:t>
      </w:r>
      <w:r w:rsidRPr="00E07B1B">
        <w:rPr>
          <w:lang w:eastAsia="en-NZ"/>
        </w:rPr>
        <w:t xml:space="preserve">GDM </w:t>
      </w:r>
      <w:r>
        <w:rPr>
          <w:lang w:eastAsia="en-NZ"/>
        </w:rPr>
        <w:t>=</w:t>
      </w:r>
      <w:r w:rsidRPr="00E07B1B">
        <w:rPr>
          <w:lang w:eastAsia="en-NZ"/>
        </w:rPr>
        <w:t xml:space="preserve"> gestational diabetes mellitus;</w:t>
      </w:r>
      <w:r>
        <w:rPr>
          <w:lang w:eastAsia="en-NZ"/>
        </w:rPr>
        <w:t xml:space="preserve"> </w:t>
      </w:r>
      <w:r w:rsidRPr="00E07B1B">
        <w:rPr>
          <w:lang w:eastAsia="en-NZ"/>
        </w:rPr>
        <w:t>IADPSG</w:t>
      </w:r>
      <w:r>
        <w:rPr>
          <w:lang w:eastAsia="en-NZ"/>
        </w:rPr>
        <w:t xml:space="preserve"> = </w:t>
      </w:r>
      <w:r w:rsidRPr="00E07B1B">
        <w:rPr>
          <w:lang w:eastAsia="en-NZ"/>
        </w:rPr>
        <w:t>-International</w:t>
      </w:r>
      <w:r>
        <w:rPr>
          <w:lang w:eastAsia="en-NZ"/>
        </w:rPr>
        <w:t xml:space="preserve"> </w:t>
      </w:r>
      <w:r w:rsidRPr="00E07B1B">
        <w:rPr>
          <w:lang w:eastAsia="en-NZ"/>
        </w:rPr>
        <w:t xml:space="preserve">Association of Diabetes </w:t>
      </w:r>
      <w:r>
        <w:rPr>
          <w:lang w:eastAsia="en-NZ"/>
        </w:rPr>
        <w:t>and</w:t>
      </w:r>
      <w:r w:rsidRPr="00E07B1B">
        <w:rPr>
          <w:lang w:eastAsia="en-NZ"/>
        </w:rPr>
        <w:t xml:space="preserve"> Pregnancy Study</w:t>
      </w:r>
      <w:r>
        <w:rPr>
          <w:lang w:eastAsia="en-NZ"/>
        </w:rPr>
        <w:t xml:space="preserve"> Groups</w:t>
      </w:r>
      <w:r w:rsidRPr="00E07B1B">
        <w:rPr>
          <w:lang w:eastAsia="en-NZ"/>
        </w:rPr>
        <w:t xml:space="preserve">, LGA </w:t>
      </w:r>
      <w:r>
        <w:rPr>
          <w:lang w:eastAsia="en-NZ"/>
        </w:rPr>
        <w:t>=</w:t>
      </w:r>
      <w:r w:rsidRPr="00E07B1B">
        <w:rPr>
          <w:lang w:eastAsia="en-NZ"/>
        </w:rPr>
        <w:t xml:space="preserve"> large for gestational age; NICU </w:t>
      </w:r>
      <w:r>
        <w:rPr>
          <w:lang w:eastAsia="en-NZ"/>
        </w:rPr>
        <w:t>=</w:t>
      </w:r>
      <w:r w:rsidRPr="00E07B1B">
        <w:rPr>
          <w:lang w:eastAsia="en-NZ"/>
        </w:rPr>
        <w:t xml:space="preserve"> </w:t>
      </w:r>
      <w:r>
        <w:rPr>
          <w:lang w:eastAsia="en-NZ"/>
        </w:rPr>
        <w:t>n</w:t>
      </w:r>
      <w:r w:rsidRPr="00E07B1B">
        <w:rPr>
          <w:lang w:eastAsia="en-NZ"/>
        </w:rPr>
        <w:t>eonatal intensive care unit</w:t>
      </w:r>
      <w:r w:rsidR="00704470">
        <w:rPr>
          <w:lang w:eastAsia="en-NZ"/>
        </w:rPr>
        <w:t>.</w:t>
      </w:r>
    </w:p>
    <w:p w:rsidR="00704470" w:rsidRPr="00704470" w:rsidRDefault="00704470" w:rsidP="00704470">
      <w:pPr>
        <w:rPr>
          <w:lang w:eastAsia="en-NZ"/>
        </w:rPr>
      </w:pPr>
    </w:p>
    <w:p w:rsidR="0025490C" w:rsidRPr="00E07B1B" w:rsidRDefault="0025490C" w:rsidP="00704470">
      <w:pPr>
        <w:pStyle w:val="Table"/>
      </w:pPr>
      <w:bookmarkStart w:id="512" w:name="_Toc363717812"/>
      <w:bookmarkStart w:id="513" w:name="_Toc403635903"/>
      <w:r w:rsidRPr="00E07B1B">
        <w:t>Table 22</w:t>
      </w:r>
      <w:r w:rsidR="00704470">
        <w:t>:</w:t>
      </w:r>
      <w:r w:rsidRPr="00E07B1B">
        <w:t xml:space="preserve"> </w:t>
      </w:r>
      <w:r w:rsidRPr="00E07B1B">
        <w:rPr>
          <w:lang w:eastAsia="en-NZ"/>
        </w:rPr>
        <w:t xml:space="preserve">Outcomes for women who would have been diagnosed with gestational diabetes using the </w:t>
      </w:r>
      <w:r w:rsidRPr="00E07B1B">
        <w:t xml:space="preserve">Carpenter and Coustan </w:t>
      </w:r>
      <w:r w:rsidRPr="00E07B1B">
        <w:rPr>
          <w:lang w:eastAsia="en-NZ"/>
        </w:rPr>
        <w:t xml:space="preserve">criteria compared </w:t>
      </w:r>
      <w:r>
        <w:rPr>
          <w:lang w:eastAsia="en-NZ"/>
        </w:rPr>
        <w:t>with</w:t>
      </w:r>
      <w:r w:rsidRPr="00E07B1B">
        <w:rPr>
          <w:lang w:eastAsia="en-NZ"/>
        </w:rPr>
        <w:t xml:space="preserve"> </w:t>
      </w:r>
      <w:r>
        <w:rPr>
          <w:lang w:eastAsia="en-NZ"/>
        </w:rPr>
        <w:t xml:space="preserve">outcomes for </w:t>
      </w:r>
      <w:r w:rsidRPr="00E07B1B">
        <w:rPr>
          <w:lang w:eastAsia="en-NZ"/>
        </w:rPr>
        <w:t>women diagnosed with gestational diabetes using the National Diabetes Data Group criteria</w:t>
      </w:r>
      <w:bookmarkEnd w:id="512"/>
      <w:bookmarkEnd w:id="513"/>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809"/>
        <w:gridCol w:w="2927"/>
        <w:gridCol w:w="4620"/>
      </w:tblGrid>
      <w:tr w:rsidR="0025490C" w:rsidRPr="00AB1098" w:rsidTr="00AB1098">
        <w:trPr>
          <w:cantSplit/>
          <w:tblHeader/>
        </w:trPr>
        <w:tc>
          <w:tcPr>
            <w:tcW w:w="1809" w:type="dxa"/>
            <w:tcBorders>
              <w:top w:val="single" w:sz="4" w:space="0" w:color="auto"/>
              <w:bottom w:val="single" w:sz="4" w:space="0" w:color="auto"/>
            </w:tcBorders>
            <w:shd w:val="clear" w:color="auto" w:fill="auto"/>
          </w:tcPr>
          <w:p w:rsidR="0025490C" w:rsidRPr="00AB1098" w:rsidRDefault="0025490C" w:rsidP="00AB1098">
            <w:pPr>
              <w:pStyle w:val="TableText"/>
              <w:rPr>
                <w:b/>
              </w:rPr>
            </w:pPr>
            <w:r w:rsidRPr="00AB1098">
              <w:rPr>
                <w:b/>
              </w:rPr>
              <w:t>Reference</w:t>
            </w:r>
          </w:p>
        </w:tc>
        <w:tc>
          <w:tcPr>
            <w:tcW w:w="2927" w:type="dxa"/>
            <w:tcBorders>
              <w:top w:val="single" w:sz="4" w:space="0" w:color="auto"/>
              <w:bottom w:val="single" w:sz="4" w:space="0" w:color="auto"/>
            </w:tcBorders>
            <w:shd w:val="clear" w:color="auto" w:fill="auto"/>
          </w:tcPr>
          <w:p w:rsidR="0025490C" w:rsidRPr="00AB1098" w:rsidRDefault="0025490C" w:rsidP="00AB1098">
            <w:pPr>
              <w:pStyle w:val="TableText"/>
              <w:rPr>
                <w:b/>
              </w:rPr>
            </w:pPr>
            <w:r w:rsidRPr="00AB1098">
              <w:rPr>
                <w:b/>
              </w:rPr>
              <w:t>Participants</w:t>
            </w:r>
          </w:p>
        </w:tc>
        <w:tc>
          <w:tcPr>
            <w:tcW w:w="4620" w:type="dxa"/>
            <w:tcBorders>
              <w:top w:val="single" w:sz="4" w:space="0" w:color="auto"/>
              <w:bottom w:val="single" w:sz="4" w:space="0" w:color="auto"/>
            </w:tcBorders>
            <w:shd w:val="clear" w:color="auto" w:fill="auto"/>
          </w:tcPr>
          <w:p w:rsidR="0068074A" w:rsidRPr="00AB1098" w:rsidRDefault="0025490C" w:rsidP="00AB1098">
            <w:pPr>
              <w:pStyle w:val="TableText"/>
              <w:rPr>
                <w:b/>
              </w:rPr>
            </w:pPr>
            <w:r w:rsidRPr="00AB1098">
              <w:rPr>
                <w:b/>
              </w:rPr>
              <w:t>Outcomes reported using criteria of Carpenter and Coustan versus National Diabetes Data Group</w:t>
            </w:r>
          </w:p>
          <w:p w:rsidR="0025490C" w:rsidRPr="00AB1098" w:rsidRDefault="0025490C" w:rsidP="00AB1098">
            <w:pPr>
              <w:pStyle w:val="TableText"/>
              <w:rPr>
                <w:b/>
              </w:rPr>
            </w:pPr>
            <w:r w:rsidRPr="00AB1098">
              <w:rPr>
                <w:b/>
              </w:rPr>
              <w:t>Risk estimate (95% confidence interval)</w:t>
            </w:r>
          </w:p>
        </w:tc>
      </w:tr>
      <w:tr w:rsidR="0025490C" w:rsidRPr="00E07B1B" w:rsidTr="00AB1098">
        <w:trPr>
          <w:cantSplit/>
        </w:trPr>
        <w:tc>
          <w:tcPr>
            <w:tcW w:w="1809" w:type="dxa"/>
            <w:tcBorders>
              <w:top w:val="single" w:sz="4" w:space="0" w:color="auto"/>
              <w:bottom w:val="nil"/>
            </w:tcBorders>
            <w:shd w:val="clear" w:color="auto" w:fill="F2F2F2" w:themeFill="background1" w:themeFillShade="F2"/>
          </w:tcPr>
          <w:p w:rsidR="0025490C" w:rsidRPr="00E07B1B" w:rsidRDefault="0025490C" w:rsidP="00AB1098">
            <w:pPr>
              <w:pStyle w:val="TableText"/>
            </w:pPr>
            <w:r w:rsidRPr="00E07B1B">
              <w:t>Berggren (2011)</w:t>
            </w:r>
          </w:p>
        </w:tc>
        <w:tc>
          <w:tcPr>
            <w:tcW w:w="2927" w:type="dxa"/>
            <w:tcBorders>
              <w:top w:val="single" w:sz="4" w:space="0" w:color="auto"/>
              <w:bottom w:val="nil"/>
            </w:tcBorders>
            <w:shd w:val="clear" w:color="auto" w:fill="F2F2F2" w:themeFill="background1" w:themeFillShade="F2"/>
          </w:tcPr>
          <w:p w:rsidR="0025490C" w:rsidRDefault="0025490C" w:rsidP="00AB1098">
            <w:pPr>
              <w:pStyle w:val="TableText"/>
            </w:pPr>
            <w:r w:rsidRPr="00E07B1B">
              <w:t>Total 33,179 screened</w:t>
            </w:r>
          </w:p>
          <w:p w:rsidR="0025490C" w:rsidRDefault="0025490C" w:rsidP="00AB1098">
            <w:pPr>
              <w:pStyle w:val="TableText"/>
            </w:pPr>
            <w:r w:rsidRPr="00E07B1B">
              <w:t>Diagnosed by CC = 1542</w:t>
            </w:r>
          </w:p>
          <w:p w:rsidR="0025490C" w:rsidRPr="00E07B1B" w:rsidRDefault="0025490C" w:rsidP="00AB1098">
            <w:pPr>
              <w:pStyle w:val="TableText"/>
            </w:pPr>
            <w:r w:rsidRPr="00E07B1B">
              <w:t>Diagnosed by NDDG = 1082</w:t>
            </w:r>
          </w:p>
        </w:tc>
        <w:tc>
          <w:tcPr>
            <w:tcW w:w="4620" w:type="dxa"/>
            <w:tcBorders>
              <w:top w:val="single" w:sz="4" w:space="0" w:color="auto"/>
              <w:bottom w:val="nil"/>
            </w:tcBorders>
            <w:shd w:val="clear" w:color="auto" w:fill="F2F2F2" w:themeFill="background1" w:themeFillShade="F2"/>
          </w:tcPr>
          <w:p w:rsidR="0025490C" w:rsidRDefault="0025490C" w:rsidP="00AB1098">
            <w:pPr>
              <w:pStyle w:val="TableText"/>
            </w:pPr>
            <w:r w:rsidRPr="00E07B1B">
              <w:t>Gestational hypertension aPR 1.54 (1.01</w:t>
            </w:r>
            <w:r>
              <w:t>–</w:t>
            </w:r>
            <w:r w:rsidRPr="00E07B1B">
              <w:t>2.37)</w:t>
            </w:r>
          </w:p>
          <w:p w:rsidR="0025490C" w:rsidRDefault="0025490C" w:rsidP="00AB1098">
            <w:pPr>
              <w:pStyle w:val="TableText"/>
            </w:pPr>
            <w:r w:rsidRPr="00E07B1B">
              <w:t>Pre-eclampsia</w:t>
            </w:r>
            <w:r>
              <w:t xml:space="preserve"> </w:t>
            </w:r>
            <w:r w:rsidRPr="00E07B1B">
              <w:t>aPR 1.70 (1.23</w:t>
            </w:r>
            <w:r>
              <w:t>–</w:t>
            </w:r>
            <w:r w:rsidRPr="00E07B1B">
              <w:t>2.35)</w:t>
            </w:r>
          </w:p>
          <w:p w:rsidR="0025490C" w:rsidRDefault="0025490C" w:rsidP="00AB1098">
            <w:pPr>
              <w:pStyle w:val="TableText"/>
            </w:pPr>
            <w:r w:rsidRPr="00E07B1B">
              <w:t>Caesarean section aPR 1.16 (1.</w:t>
            </w:r>
            <w:r>
              <w:t>0</w:t>
            </w:r>
            <w:r w:rsidRPr="00E07B1B">
              <w:t>4</w:t>
            </w:r>
            <w:r>
              <w:t>–</w:t>
            </w:r>
            <w:r w:rsidRPr="00E07B1B">
              <w:t>1.30)</w:t>
            </w:r>
          </w:p>
          <w:p w:rsidR="0025490C" w:rsidRDefault="0025490C" w:rsidP="00AB1098">
            <w:pPr>
              <w:pStyle w:val="TableText"/>
            </w:pPr>
            <w:r w:rsidRPr="00E07B1B">
              <w:t>Macrosomia &gt;</w:t>
            </w:r>
            <w:r>
              <w:t xml:space="preserve"> </w:t>
            </w:r>
            <w:r w:rsidRPr="00E07B1B">
              <w:t>4000</w:t>
            </w:r>
            <w:r>
              <w:t xml:space="preserve"> </w:t>
            </w:r>
            <w:r w:rsidRPr="00E07B1B">
              <w:t>g aPR 1.25 (1.01</w:t>
            </w:r>
            <w:r>
              <w:t>–</w:t>
            </w:r>
            <w:r w:rsidRPr="00E07B1B">
              <w:t>1.56)</w:t>
            </w:r>
          </w:p>
          <w:p w:rsidR="0025490C" w:rsidRPr="00E07B1B" w:rsidRDefault="0025490C" w:rsidP="00AB1098">
            <w:pPr>
              <w:pStyle w:val="TableText"/>
            </w:pPr>
            <w:r w:rsidRPr="00E07B1B">
              <w:t>Admission to and length of stay in NICU &gt;</w:t>
            </w:r>
            <w:r w:rsidR="00AB1098">
              <w:t> </w:t>
            </w:r>
            <w:r w:rsidRPr="00E07B1B">
              <w:t>48</w:t>
            </w:r>
            <w:r w:rsidR="00AB1098">
              <w:t> </w:t>
            </w:r>
            <w:r w:rsidRPr="00E07B1B">
              <w:t>hours</w:t>
            </w:r>
            <w:r>
              <w:t>,</w:t>
            </w:r>
            <w:r w:rsidRPr="00E07B1B">
              <w:t xml:space="preserve"> NS</w:t>
            </w:r>
          </w:p>
        </w:tc>
      </w:tr>
      <w:tr w:rsidR="0025490C" w:rsidRPr="00E07B1B" w:rsidTr="00AB1098">
        <w:trPr>
          <w:cantSplit/>
        </w:trPr>
        <w:tc>
          <w:tcPr>
            <w:tcW w:w="1809" w:type="dxa"/>
            <w:tcBorders>
              <w:top w:val="nil"/>
            </w:tcBorders>
            <w:shd w:val="clear" w:color="auto" w:fill="auto"/>
          </w:tcPr>
          <w:p w:rsidR="0025490C" w:rsidRPr="00E07B1B" w:rsidRDefault="0025490C" w:rsidP="00AB1098">
            <w:pPr>
              <w:pStyle w:val="TableText"/>
            </w:pPr>
            <w:r w:rsidRPr="00E07B1B">
              <w:t>Cheng (2009)</w:t>
            </w:r>
          </w:p>
        </w:tc>
        <w:tc>
          <w:tcPr>
            <w:tcW w:w="2927" w:type="dxa"/>
            <w:tcBorders>
              <w:top w:val="nil"/>
            </w:tcBorders>
            <w:shd w:val="clear" w:color="auto" w:fill="auto"/>
          </w:tcPr>
          <w:p w:rsidR="0025490C" w:rsidRDefault="0025490C" w:rsidP="00AB1098">
            <w:pPr>
              <w:pStyle w:val="TableText"/>
            </w:pPr>
            <w:r w:rsidRPr="00E07B1B">
              <w:t>Total 14,693 screened</w:t>
            </w:r>
          </w:p>
          <w:p w:rsidR="0025490C" w:rsidRDefault="0025490C" w:rsidP="00AB1098">
            <w:pPr>
              <w:pStyle w:val="TableText"/>
            </w:pPr>
            <w:r w:rsidRPr="00E07B1B">
              <w:t>Diagnosed by CC = 753</w:t>
            </w:r>
          </w:p>
          <w:p w:rsidR="0025490C" w:rsidRPr="00E07B1B" w:rsidRDefault="0025490C" w:rsidP="00AB1098">
            <w:pPr>
              <w:pStyle w:val="TableText"/>
            </w:pPr>
            <w:r w:rsidRPr="00E07B1B">
              <w:t>Diagnosed by NDDG = 480</w:t>
            </w:r>
          </w:p>
        </w:tc>
        <w:tc>
          <w:tcPr>
            <w:tcW w:w="4620" w:type="dxa"/>
            <w:tcBorders>
              <w:top w:val="nil"/>
            </w:tcBorders>
            <w:shd w:val="clear" w:color="auto" w:fill="auto"/>
          </w:tcPr>
          <w:p w:rsidR="0025490C" w:rsidRDefault="0025490C" w:rsidP="00AB1098">
            <w:pPr>
              <w:pStyle w:val="TableText"/>
            </w:pPr>
            <w:r w:rsidRPr="00E07B1B">
              <w:t>Caesarean section OR 1.44 (1.01</w:t>
            </w:r>
            <w:r>
              <w:t>–</w:t>
            </w:r>
            <w:r w:rsidRPr="00E07B1B">
              <w:t>2.07)</w:t>
            </w:r>
          </w:p>
          <w:p w:rsidR="0025490C" w:rsidRDefault="0025490C" w:rsidP="00AB1098">
            <w:pPr>
              <w:pStyle w:val="TableText"/>
            </w:pPr>
            <w:r w:rsidRPr="00E07B1B">
              <w:t>Operative vaginal delivery OR</w:t>
            </w:r>
            <w:r>
              <w:t xml:space="preserve"> </w:t>
            </w:r>
            <w:r w:rsidRPr="00E07B1B">
              <w:t>1.72 (1.20</w:t>
            </w:r>
            <w:r>
              <w:t>–</w:t>
            </w:r>
            <w:r w:rsidRPr="00E07B1B">
              <w:t>2.46)</w:t>
            </w:r>
          </w:p>
          <w:p w:rsidR="0025490C" w:rsidRDefault="0025490C" w:rsidP="00AB1098">
            <w:pPr>
              <w:pStyle w:val="TableText"/>
            </w:pPr>
            <w:r w:rsidRPr="00E07B1B">
              <w:t>Birthweight &gt;</w:t>
            </w:r>
            <w:r>
              <w:t xml:space="preserve"> </w:t>
            </w:r>
            <w:r w:rsidRPr="00E07B1B">
              <w:t>4500</w:t>
            </w:r>
            <w:r>
              <w:t xml:space="preserve"> </w:t>
            </w:r>
            <w:r w:rsidRPr="00E07B1B">
              <w:t>g OR 4.47 (2.26</w:t>
            </w:r>
            <w:r>
              <w:t>–</w:t>
            </w:r>
            <w:r w:rsidRPr="00E07B1B">
              <w:t>8.86)</w:t>
            </w:r>
          </w:p>
          <w:p w:rsidR="0025490C" w:rsidRPr="00E07B1B" w:rsidRDefault="0025490C" w:rsidP="00AB1098">
            <w:pPr>
              <w:pStyle w:val="TableText"/>
            </w:pPr>
            <w:r w:rsidRPr="00E07B1B">
              <w:t>Shoulder dystocia OR 2.24 (1.03</w:t>
            </w:r>
            <w:r>
              <w:t>–</w:t>
            </w:r>
            <w:r w:rsidRPr="00E07B1B">
              <w:t>4.88)</w:t>
            </w:r>
          </w:p>
        </w:tc>
      </w:tr>
    </w:tbl>
    <w:p w:rsidR="0025490C" w:rsidRDefault="0025490C" w:rsidP="00AB1098">
      <w:pPr>
        <w:pStyle w:val="Note"/>
        <w:ind w:left="0" w:firstLine="0"/>
      </w:pPr>
      <w:r>
        <w:t xml:space="preserve">Note: </w:t>
      </w:r>
      <w:r w:rsidRPr="00E07B1B">
        <w:t xml:space="preserve">aPR </w:t>
      </w:r>
      <w:r>
        <w:t xml:space="preserve">= </w:t>
      </w:r>
      <w:r w:rsidRPr="00E07B1B">
        <w:t>adjusted prevalence ratio;</w:t>
      </w:r>
      <w:r w:rsidR="0068074A">
        <w:t xml:space="preserve"> </w:t>
      </w:r>
      <w:r w:rsidRPr="00E07B1B">
        <w:t xml:space="preserve">CC </w:t>
      </w:r>
      <w:r>
        <w:t xml:space="preserve">= </w:t>
      </w:r>
      <w:r w:rsidRPr="00E07B1B">
        <w:t xml:space="preserve">Carpenter and Coustan; NDDG </w:t>
      </w:r>
      <w:r>
        <w:t>=</w:t>
      </w:r>
      <w:r w:rsidRPr="00E07B1B">
        <w:t xml:space="preserve"> National Diabetes Data Group;</w:t>
      </w:r>
      <w:r>
        <w:t xml:space="preserve"> </w:t>
      </w:r>
      <w:r w:rsidRPr="00E07B1B">
        <w:t>NICU</w:t>
      </w:r>
      <w:r>
        <w:t xml:space="preserve"> =</w:t>
      </w:r>
      <w:r w:rsidRPr="00E07B1B">
        <w:t xml:space="preserve"> neonatal intensive care unit; NS </w:t>
      </w:r>
      <w:r>
        <w:t xml:space="preserve">= </w:t>
      </w:r>
      <w:r w:rsidRPr="00E07B1B">
        <w:t xml:space="preserve">not significant; OR </w:t>
      </w:r>
      <w:r>
        <w:t>=</w:t>
      </w:r>
      <w:r w:rsidRPr="00E07B1B">
        <w:t xml:space="preserve"> odds rati</w:t>
      </w:r>
      <w:r>
        <w:t>o</w:t>
      </w:r>
      <w:r w:rsidR="00AB1098">
        <w:t>.</w:t>
      </w:r>
    </w:p>
    <w:p w:rsidR="00AB1098" w:rsidRPr="00AB1098" w:rsidRDefault="00AB1098" w:rsidP="00AB1098"/>
    <w:p w:rsidR="0025490C" w:rsidRPr="00E07B1B" w:rsidRDefault="0025490C" w:rsidP="00AB1098">
      <w:pPr>
        <w:pStyle w:val="Table"/>
      </w:pPr>
      <w:bookmarkStart w:id="514" w:name="_Toc363717813"/>
      <w:bookmarkStart w:id="515" w:name="_Toc403635904"/>
      <w:r w:rsidRPr="00E07B1B">
        <w:t>Table 23</w:t>
      </w:r>
      <w:r w:rsidR="00AB1098">
        <w:t>:</w:t>
      </w:r>
      <w:r w:rsidRPr="00E07B1B">
        <w:t xml:space="preserve"> Maternal and infant outcomes according to the presence or absence of </w:t>
      </w:r>
      <w:r>
        <w:t>gestational diabetes</w:t>
      </w:r>
      <w:r w:rsidRPr="00E07B1B">
        <w:t xml:space="preserve"> and/or at least one risk factor</w:t>
      </w:r>
      <w:bookmarkEnd w:id="514"/>
      <w:bookmarkEnd w:id="515"/>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27"/>
        <w:gridCol w:w="1091"/>
        <w:gridCol w:w="1091"/>
        <w:gridCol w:w="1091"/>
        <w:gridCol w:w="1091"/>
        <w:gridCol w:w="1332"/>
        <w:gridCol w:w="1332"/>
      </w:tblGrid>
      <w:tr w:rsidR="00104566" w:rsidRPr="00AB1098" w:rsidTr="00104566">
        <w:trPr>
          <w:cantSplit/>
        </w:trPr>
        <w:tc>
          <w:tcPr>
            <w:tcW w:w="1244" w:type="pct"/>
            <w:vMerge w:val="restart"/>
            <w:tcBorders>
              <w:left w:val="nil"/>
              <w:bottom w:val="nil"/>
              <w:right w:val="nil"/>
            </w:tcBorders>
            <w:shd w:val="clear" w:color="auto" w:fill="auto"/>
          </w:tcPr>
          <w:p w:rsidR="0025490C" w:rsidRPr="00AB1098" w:rsidRDefault="0025490C" w:rsidP="00AB1098">
            <w:pPr>
              <w:pStyle w:val="TableText"/>
              <w:rPr>
                <w:b/>
              </w:rPr>
            </w:pPr>
          </w:p>
        </w:tc>
        <w:tc>
          <w:tcPr>
            <w:tcW w:w="1166" w:type="pct"/>
            <w:gridSpan w:val="2"/>
            <w:tcBorders>
              <w:left w:val="nil"/>
              <w:bottom w:val="single" w:sz="4" w:space="0" w:color="A6A6A6" w:themeColor="background1" w:themeShade="A6"/>
              <w:right w:val="single" w:sz="4" w:space="0" w:color="A6A6A6" w:themeColor="background1" w:themeShade="A6"/>
            </w:tcBorders>
            <w:shd w:val="clear" w:color="auto" w:fill="auto"/>
          </w:tcPr>
          <w:p w:rsidR="0025490C" w:rsidRPr="00AB1098" w:rsidRDefault="0025490C" w:rsidP="00104566">
            <w:pPr>
              <w:pStyle w:val="TableText"/>
              <w:jc w:val="center"/>
              <w:rPr>
                <w:b/>
              </w:rPr>
            </w:pPr>
            <w:r w:rsidRPr="00AB1098">
              <w:rPr>
                <w:b/>
              </w:rPr>
              <w:t>No GDM</w:t>
            </w:r>
          </w:p>
        </w:tc>
        <w:tc>
          <w:tcPr>
            <w:tcW w:w="1166" w:type="pct"/>
            <w:gridSpan w:val="2"/>
            <w:tcBorders>
              <w:left w:val="single" w:sz="4" w:space="0" w:color="A6A6A6" w:themeColor="background1" w:themeShade="A6"/>
              <w:bottom w:val="single" w:sz="4" w:space="0" w:color="A6A6A6" w:themeColor="background1" w:themeShade="A6"/>
              <w:right w:val="nil"/>
            </w:tcBorders>
            <w:shd w:val="clear" w:color="auto" w:fill="auto"/>
          </w:tcPr>
          <w:p w:rsidR="0025490C" w:rsidRPr="00AB1098" w:rsidRDefault="0025490C" w:rsidP="00104566">
            <w:pPr>
              <w:pStyle w:val="TableText"/>
              <w:jc w:val="center"/>
              <w:rPr>
                <w:b/>
              </w:rPr>
            </w:pPr>
            <w:r w:rsidRPr="00AB1098">
              <w:rPr>
                <w:b/>
              </w:rPr>
              <w:t>GDM</w:t>
            </w:r>
          </w:p>
        </w:tc>
        <w:tc>
          <w:tcPr>
            <w:tcW w:w="712" w:type="pct"/>
            <w:vMerge w:val="restart"/>
            <w:tcBorders>
              <w:left w:val="nil"/>
              <w:bottom w:val="nil"/>
              <w:right w:val="nil"/>
            </w:tcBorders>
            <w:shd w:val="clear" w:color="auto" w:fill="auto"/>
          </w:tcPr>
          <w:p w:rsidR="0025490C" w:rsidRPr="00AB1098" w:rsidRDefault="0025490C" w:rsidP="00104566">
            <w:pPr>
              <w:pStyle w:val="TableText"/>
              <w:jc w:val="center"/>
              <w:rPr>
                <w:b/>
              </w:rPr>
            </w:pPr>
            <w:r w:rsidRPr="00AB1098">
              <w:rPr>
                <w:b/>
              </w:rPr>
              <w:t>GDM effect (</w:t>
            </w:r>
            <w:r w:rsidRPr="00AB1098">
              <w:rPr>
                <w:b/>
                <w:i/>
              </w:rPr>
              <w:t>p</w:t>
            </w:r>
            <w:r w:rsidR="00AB1098">
              <w:rPr>
                <w:b/>
                <w:i/>
              </w:rPr>
              <w:noBreakHyphen/>
            </w:r>
            <w:r w:rsidRPr="00AB1098">
              <w:rPr>
                <w:b/>
              </w:rPr>
              <w:t>value)</w:t>
            </w:r>
          </w:p>
        </w:tc>
        <w:tc>
          <w:tcPr>
            <w:tcW w:w="712" w:type="pct"/>
            <w:vMerge w:val="restart"/>
            <w:tcBorders>
              <w:left w:val="nil"/>
              <w:bottom w:val="nil"/>
              <w:right w:val="nil"/>
            </w:tcBorders>
            <w:shd w:val="clear" w:color="auto" w:fill="auto"/>
          </w:tcPr>
          <w:p w:rsidR="0025490C" w:rsidRPr="00AB1098" w:rsidRDefault="0025490C" w:rsidP="00104566">
            <w:pPr>
              <w:pStyle w:val="TableText"/>
              <w:jc w:val="center"/>
              <w:rPr>
                <w:b/>
              </w:rPr>
            </w:pPr>
            <w:r w:rsidRPr="00AB1098">
              <w:rPr>
                <w:b/>
              </w:rPr>
              <w:t>Risk factor effect (</w:t>
            </w:r>
            <w:r w:rsidRPr="00AB1098">
              <w:rPr>
                <w:b/>
                <w:i/>
              </w:rPr>
              <w:t>p</w:t>
            </w:r>
            <w:r w:rsidR="00AB1098">
              <w:rPr>
                <w:b/>
                <w:i/>
              </w:rPr>
              <w:noBreakHyphen/>
            </w:r>
            <w:r w:rsidRPr="00AB1098">
              <w:rPr>
                <w:b/>
              </w:rPr>
              <w:t>value)</w:t>
            </w:r>
          </w:p>
        </w:tc>
      </w:tr>
      <w:tr w:rsidR="00104566" w:rsidRPr="00AB1098" w:rsidTr="00104566">
        <w:trPr>
          <w:cantSplit/>
        </w:trPr>
        <w:tc>
          <w:tcPr>
            <w:tcW w:w="1244" w:type="pct"/>
            <w:vMerge/>
            <w:tcBorders>
              <w:top w:val="nil"/>
              <w:left w:val="nil"/>
              <w:bottom w:val="single" w:sz="4" w:space="0" w:color="auto"/>
              <w:right w:val="nil"/>
            </w:tcBorders>
            <w:shd w:val="clear" w:color="auto" w:fill="auto"/>
          </w:tcPr>
          <w:p w:rsidR="0025490C" w:rsidRPr="00AB1098" w:rsidRDefault="0025490C" w:rsidP="00AB1098">
            <w:pPr>
              <w:pStyle w:val="TableText"/>
              <w:rPr>
                <w:b/>
              </w:rPr>
            </w:pPr>
          </w:p>
        </w:tc>
        <w:tc>
          <w:tcPr>
            <w:tcW w:w="583" w:type="pct"/>
            <w:tcBorders>
              <w:top w:val="single" w:sz="4" w:space="0" w:color="A6A6A6" w:themeColor="background1" w:themeShade="A6"/>
              <w:left w:val="nil"/>
              <w:bottom w:val="single" w:sz="4" w:space="0" w:color="auto"/>
              <w:right w:val="nil"/>
            </w:tcBorders>
            <w:shd w:val="clear" w:color="auto" w:fill="auto"/>
          </w:tcPr>
          <w:p w:rsidR="0025490C" w:rsidRPr="00AB1098" w:rsidRDefault="0025490C" w:rsidP="00104566">
            <w:pPr>
              <w:pStyle w:val="TableText"/>
              <w:jc w:val="center"/>
              <w:rPr>
                <w:b/>
              </w:rPr>
            </w:pPr>
            <w:r w:rsidRPr="00AB1098">
              <w:rPr>
                <w:b/>
              </w:rPr>
              <w:t>No risk factors (%)</w:t>
            </w:r>
          </w:p>
        </w:tc>
        <w:tc>
          <w:tcPr>
            <w:tcW w:w="583" w:type="pct"/>
            <w:tcBorders>
              <w:top w:val="single" w:sz="4" w:space="0" w:color="A6A6A6" w:themeColor="background1" w:themeShade="A6"/>
              <w:left w:val="nil"/>
              <w:bottom w:val="single" w:sz="4" w:space="0" w:color="auto"/>
              <w:right w:val="single" w:sz="4" w:space="0" w:color="A6A6A6" w:themeColor="background1" w:themeShade="A6"/>
            </w:tcBorders>
            <w:shd w:val="clear" w:color="auto" w:fill="auto"/>
          </w:tcPr>
          <w:p w:rsidR="0025490C" w:rsidRPr="00AB1098" w:rsidRDefault="0025490C" w:rsidP="00104566">
            <w:pPr>
              <w:pStyle w:val="TableText"/>
              <w:jc w:val="center"/>
              <w:rPr>
                <w:b/>
              </w:rPr>
            </w:pPr>
            <w:r w:rsidRPr="00AB1098">
              <w:rPr>
                <w:b/>
              </w:rPr>
              <w:t>Risk factors (%)</w:t>
            </w:r>
          </w:p>
        </w:tc>
        <w:tc>
          <w:tcPr>
            <w:tcW w:w="583" w:type="pct"/>
            <w:tcBorders>
              <w:top w:val="single" w:sz="4" w:space="0" w:color="A6A6A6" w:themeColor="background1" w:themeShade="A6"/>
              <w:left w:val="single" w:sz="4" w:space="0" w:color="A6A6A6" w:themeColor="background1" w:themeShade="A6"/>
              <w:bottom w:val="single" w:sz="4" w:space="0" w:color="auto"/>
              <w:right w:val="nil"/>
            </w:tcBorders>
            <w:shd w:val="clear" w:color="auto" w:fill="auto"/>
          </w:tcPr>
          <w:p w:rsidR="0025490C" w:rsidRPr="00AB1098" w:rsidRDefault="0025490C" w:rsidP="00104566">
            <w:pPr>
              <w:pStyle w:val="TableText"/>
              <w:jc w:val="center"/>
              <w:rPr>
                <w:b/>
              </w:rPr>
            </w:pPr>
            <w:r w:rsidRPr="00AB1098">
              <w:rPr>
                <w:b/>
              </w:rPr>
              <w:t>No risk factors (%)</w:t>
            </w:r>
          </w:p>
        </w:tc>
        <w:tc>
          <w:tcPr>
            <w:tcW w:w="583" w:type="pct"/>
            <w:tcBorders>
              <w:top w:val="single" w:sz="4" w:space="0" w:color="A6A6A6" w:themeColor="background1" w:themeShade="A6"/>
              <w:left w:val="nil"/>
              <w:bottom w:val="single" w:sz="4" w:space="0" w:color="auto"/>
              <w:right w:val="nil"/>
            </w:tcBorders>
            <w:shd w:val="clear" w:color="auto" w:fill="auto"/>
          </w:tcPr>
          <w:p w:rsidR="0025490C" w:rsidRPr="00AB1098" w:rsidRDefault="0025490C" w:rsidP="00104566">
            <w:pPr>
              <w:pStyle w:val="TableText"/>
              <w:jc w:val="center"/>
              <w:rPr>
                <w:b/>
              </w:rPr>
            </w:pPr>
            <w:r w:rsidRPr="00AB1098">
              <w:rPr>
                <w:b/>
              </w:rPr>
              <w:t>Risk factors (%)</w:t>
            </w:r>
          </w:p>
        </w:tc>
        <w:tc>
          <w:tcPr>
            <w:tcW w:w="712" w:type="pct"/>
            <w:vMerge/>
            <w:tcBorders>
              <w:top w:val="nil"/>
              <w:left w:val="nil"/>
              <w:bottom w:val="single" w:sz="4" w:space="0" w:color="auto"/>
              <w:right w:val="nil"/>
            </w:tcBorders>
            <w:shd w:val="clear" w:color="auto" w:fill="auto"/>
          </w:tcPr>
          <w:p w:rsidR="0025490C" w:rsidRPr="00AB1098" w:rsidRDefault="0025490C" w:rsidP="00AB1098">
            <w:pPr>
              <w:pStyle w:val="TableText"/>
              <w:rPr>
                <w:b/>
              </w:rPr>
            </w:pPr>
          </w:p>
        </w:tc>
        <w:tc>
          <w:tcPr>
            <w:tcW w:w="712" w:type="pct"/>
            <w:vMerge/>
            <w:tcBorders>
              <w:top w:val="nil"/>
              <w:left w:val="nil"/>
              <w:bottom w:val="single" w:sz="4" w:space="0" w:color="auto"/>
              <w:right w:val="nil"/>
            </w:tcBorders>
            <w:shd w:val="clear" w:color="auto" w:fill="auto"/>
          </w:tcPr>
          <w:p w:rsidR="0025490C" w:rsidRPr="00AB1098" w:rsidRDefault="0025490C" w:rsidP="00AB1098">
            <w:pPr>
              <w:pStyle w:val="TableText"/>
              <w:rPr>
                <w:b/>
              </w:rPr>
            </w:pPr>
          </w:p>
        </w:tc>
      </w:tr>
      <w:tr w:rsidR="008D12F6" w:rsidRPr="00E07B1B" w:rsidTr="00104566">
        <w:trPr>
          <w:cantSplit/>
        </w:trPr>
        <w:tc>
          <w:tcPr>
            <w:tcW w:w="1244" w:type="pct"/>
            <w:tcBorders>
              <w:top w:val="single" w:sz="4" w:space="0" w:color="auto"/>
              <w:left w:val="nil"/>
              <w:bottom w:val="nil"/>
              <w:right w:val="nil"/>
            </w:tcBorders>
            <w:shd w:val="clear" w:color="auto" w:fill="F2F2F2" w:themeFill="background1" w:themeFillShade="F2"/>
          </w:tcPr>
          <w:p w:rsidR="0025490C" w:rsidRPr="00E07B1B" w:rsidRDefault="0025490C" w:rsidP="00AB1098">
            <w:pPr>
              <w:pStyle w:val="TableText"/>
            </w:pPr>
            <w:r w:rsidRPr="00E07B1B">
              <w:t>GDM</w:t>
            </w:r>
            <w:r>
              <w:t>-</w:t>
            </w:r>
            <w:r w:rsidRPr="00E07B1B">
              <w:t>related events</w:t>
            </w:r>
          </w:p>
        </w:tc>
        <w:tc>
          <w:tcPr>
            <w:tcW w:w="583" w:type="pct"/>
            <w:tcBorders>
              <w:top w:val="single" w:sz="4" w:space="0" w:color="auto"/>
              <w:left w:val="nil"/>
              <w:bottom w:val="nil"/>
              <w:right w:val="nil"/>
            </w:tcBorders>
            <w:shd w:val="clear" w:color="auto" w:fill="F2F2F2" w:themeFill="background1" w:themeFillShade="F2"/>
          </w:tcPr>
          <w:p w:rsidR="0025490C" w:rsidRPr="00E07B1B" w:rsidRDefault="0025490C" w:rsidP="00104566">
            <w:pPr>
              <w:pStyle w:val="TableText"/>
              <w:tabs>
                <w:tab w:val="decimal" w:pos="496"/>
              </w:tabs>
            </w:pPr>
            <w:r w:rsidRPr="00E07B1B">
              <w:t>8.8</w:t>
            </w:r>
          </w:p>
        </w:tc>
        <w:tc>
          <w:tcPr>
            <w:tcW w:w="583" w:type="pct"/>
            <w:tcBorders>
              <w:top w:val="single" w:sz="4" w:space="0" w:color="auto"/>
              <w:left w:val="nil"/>
              <w:bottom w:val="nil"/>
              <w:right w:val="single" w:sz="4" w:space="0" w:color="A6A6A6" w:themeColor="background1" w:themeShade="A6"/>
            </w:tcBorders>
            <w:shd w:val="clear" w:color="auto" w:fill="F2F2F2" w:themeFill="background1" w:themeFillShade="F2"/>
          </w:tcPr>
          <w:p w:rsidR="0025490C" w:rsidRPr="00E07B1B" w:rsidRDefault="0025490C" w:rsidP="00104566">
            <w:pPr>
              <w:pStyle w:val="TableText"/>
              <w:tabs>
                <w:tab w:val="decimal" w:pos="496"/>
              </w:tabs>
            </w:pPr>
            <w:r w:rsidRPr="00E07B1B">
              <w:t>11.1</w:t>
            </w:r>
          </w:p>
        </w:tc>
        <w:tc>
          <w:tcPr>
            <w:tcW w:w="583" w:type="pct"/>
            <w:tcBorders>
              <w:top w:val="single" w:sz="4" w:space="0" w:color="auto"/>
              <w:left w:val="single" w:sz="4" w:space="0" w:color="A6A6A6" w:themeColor="background1" w:themeShade="A6"/>
              <w:bottom w:val="nil"/>
              <w:right w:val="nil"/>
            </w:tcBorders>
            <w:shd w:val="clear" w:color="auto" w:fill="F2F2F2" w:themeFill="background1" w:themeFillShade="F2"/>
          </w:tcPr>
          <w:p w:rsidR="0025490C" w:rsidRPr="00E07B1B" w:rsidRDefault="0025490C" w:rsidP="00104566">
            <w:pPr>
              <w:pStyle w:val="TableText"/>
              <w:tabs>
                <w:tab w:val="decimal" w:pos="496"/>
              </w:tabs>
            </w:pPr>
            <w:r w:rsidRPr="00E07B1B">
              <w:t>16.7</w:t>
            </w:r>
          </w:p>
        </w:tc>
        <w:tc>
          <w:tcPr>
            <w:tcW w:w="583" w:type="pct"/>
            <w:tcBorders>
              <w:top w:val="single" w:sz="4" w:space="0" w:color="auto"/>
              <w:left w:val="nil"/>
              <w:bottom w:val="nil"/>
              <w:right w:val="nil"/>
            </w:tcBorders>
            <w:shd w:val="clear" w:color="auto" w:fill="F2F2F2" w:themeFill="background1" w:themeFillShade="F2"/>
          </w:tcPr>
          <w:p w:rsidR="0025490C" w:rsidRPr="00E07B1B" w:rsidRDefault="0025490C" w:rsidP="00104566">
            <w:pPr>
              <w:pStyle w:val="TableText"/>
              <w:tabs>
                <w:tab w:val="decimal" w:pos="496"/>
              </w:tabs>
            </w:pPr>
            <w:r w:rsidRPr="00E07B1B">
              <w:t>18.2</w:t>
            </w:r>
          </w:p>
        </w:tc>
        <w:tc>
          <w:tcPr>
            <w:tcW w:w="712" w:type="pct"/>
            <w:tcBorders>
              <w:top w:val="single" w:sz="4" w:space="0" w:color="auto"/>
              <w:left w:val="nil"/>
              <w:bottom w:val="nil"/>
              <w:right w:val="nil"/>
            </w:tcBorders>
            <w:shd w:val="clear" w:color="auto" w:fill="F2F2F2" w:themeFill="background1" w:themeFillShade="F2"/>
          </w:tcPr>
          <w:p w:rsidR="0025490C" w:rsidRPr="00E07B1B" w:rsidRDefault="0025490C" w:rsidP="00104566">
            <w:pPr>
              <w:pStyle w:val="TableText"/>
              <w:tabs>
                <w:tab w:val="decimal" w:pos="482"/>
              </w:tabs>
            </w:pPr>
            <w:r w:rsidRPr="00E07B1B">
              <w:t>&lt;</w:t>
            </w:r>
            <w:r>
              <w:t xml:space="preserve"> </w:t>
            </w:r>
            <w:r w:rsidRPr="00E07B1B">
              <w:t>0.0001</w:t>
            </w:r>
          </w:p>
        </w:tc>
        <w:tc>
          <w:tcPr>
            <w:tcW w:w="712" w:type="pct"/>
            <w:tcBorders>
              <w:top w:val="single" w:sz="4" w:space="0" w:color="auto"/>
              <w:left w:val="nil"/>
              <w:bottom w:val="nil"/>
              <w:right w:val="nil"/>
            </w:tcBorders>
            <w:shd w:val="clear" w:color="auto" w:fill="F2F2F2" w:themeFill="background1" w:themeFillShade="F2"/>
          </w:tcPr>
          <w:p w:rsidR="0025490C" w:rsidRPr="00E07B1B" w:rsidRDefault="0025490C" w:rsidP="00104566">
            <w:pPr>
              <w:pStyle w:val="TableText"/>
              <w:tabs>
                <w:tab w:val="decimal" w:pos="482"/>
              </w:tabs>
            </w:pPr>
            <w:r w:rsidRPr="00E07B1B">
              <w:t>&lt;</w:t>
            </w:r>
            <w:r>
              <w:t xml:space="preserve"> </w:t>
            </w:r>
            <w:r w:rsidRPr="00E07B1B">
              <w:t>0.0001</w:t>
            </w:r>
          </w:p>
        </w:tc>
      </w:tr>
      <w:tr w:rsidR="00104566" w:rsidRPr="00E07B1B" w:rsidTr="00104566">
        <w:trPr>
          <w:cantSplit/>
        </w:trPr>
        <w:tc>
          <w:tcPr>
            <w:tcW w:w="1244" w:type="pct"/>
            <w:tcBorders>
              <w:top w:val="nil"/>
              <w:left w:val="nil"/>
              <w:bottom w:val="nil"/>
              <w:right w:val="nil"/>
            </w:tcBorders>
            <w:shd w:val="clear" w:color="auto" w:fill="auto"/>
          </w:tcPr>
          <w:p w:rsidR="0025490C" w:rsidRPr="00E07B1B" w:rsidRDefault="0025490C" w:rsidP="00AB1098">
            <w:pPr>
              <w:pStyle w:val="TableText"/>
            </w:pPr>
            <w:r w:rsidRPr="00E07B1B">
              <w:t>Pre-eclampsia</w:t>
            </w:r>
          </w:p>
        </w:tc>
        <w:tc>
          <w:tcPr>
            <w:tcW w:w="583" w:type="pct"/>
            <w:tcBorders>
              <w:top w:val="nil"/>
              <w:left w:val="nil"/>
              <w:bottom w:val="nil"/>
              <w:right w:val="nil"/>
            </w:tcBorders>
            <w:shd w:val="clear" w:color="auto" w:fill="auto"/>
          </w:tcPr>
          <w:p w:rsidR="0025490C" w:rsidRPr="00E07B1B" w:rsidRDefault="0025490C" w:rsidP="00104566">
            <w:pPr>
              <w:pStyle w:val="TableText"/>
              <w:tabs>
                <w:tab w:val="decimal" w:pos="496"/>
              </w:tabs>
            </w:pPr>
            <w:r w:rsidRPr="00E07B1B">
              <w:t>1.9</w:t>
            </w:r>
          </w:p>
        </w:tc>
        <w:tc>
          <w:tcPr>
            <w:tcW w:w="583" w:type="pct"/>
            <w:tcBorders>
              <w:top w:val="nil"/>
              <w:left w:val="nil"/>
              <w:bottom w:val="nil"/>
              <w:right w:val="single" w:sz="4" w:space="0" w:color="A6A6A6" w:themeColor="background1" w:themeShade="A6"/>
            </w:tcBorders>
            <w:shd w:val="clear" w:color="auto" w:fill="auto"/>
          </w:tcPr>
          <w:p w:rsidR="0025490C" w:rsidRPr="00E07B1B" w:rsidRDefault="0025490C" w:rsidP="00104566">
            <w:pPr>
              <w:pStyle w:val="TableText"/>
              <w:tabs>
                <w:tab w:val="decimal" w:pos="496"/>
              </w:tabs>
            </w:pPr>
            <w:r w:rsidRPr="00E07B1B">
              <w:t>2.2</w:t>
            </w:r>
          </w:p>
        </w:tc>
        <w:tc>
          <w:tcPr>
            <w:tcW w:w="583" w:type="pct"/>
            <w:tcBorders>
              <w:top w:val="nil"/>
              <w:left w:val="single" w:sz="4" w:space="0" w:color="A6A6A6" w:themeColor="background1" w:themeShade="A6"/>
              <w:bottom w:val="nil"/>
              <w:right w:val="nil"/>
            </w:tcBorders>
            <w:shd w:val="clear" w:color="auto" w:fill="auto"/>
          </w:tcPr>
          <w:p w:rsidR="0025490C" w:rsidRPr="00E07B1B" w:rsidRDefault="0025490C" w:rsidP="00104566">
            <w:pPr>
              <w:pStyle w:val="TableText"/>
              <w:tabs>
                <w:tab w:val="decimal" w:pos="496"/>
              </w:tabs>
            </w:pPr>
            <w:r w:rsidRPr="00E07B1B">
              <w:t>3.2</w:t>
            </w:r>
          </w:p>
        </w:tc>
        <w:tc>
          <w:tcPr>
            <w:tcW w:w="583" w:type="pct"/>
            <w:tcBorders>
              <w:top w:val="nil"/>
              <w:left w:val="nil"/>
              <w:bottom w:val="nil"/>
              <w:right w:val="nil"/>
            </w:tcBorders>
            <w:shd w:val="clear" w:color="auto" w:fill="auto"/>
          </w:tcPr>
          <w:p w:rsidR="0025490C" w:rsidRPr="00E07B1B" w:rsidRDefault="0025490C" w:rsidP="00104566">
            <w:pPr>
              <w:pStyle w:val="TableText"/>
              <w:tabs>
                <w:tab w:val="decimal" w:pos="496"/>
              </w:tabs>
            </w:pPr>
            <w:r w:rsidRPr="00E07B1B">
              <w:t>3.1</w:t>
            </w:r>
          </w:p>
        </w:tc>
        <w:tc>
          <w:tcPr>
            <w:tcW w:w="712" w:type="pct"/>
            <w:tcBorders>
              <w:top w:val="nil"/>
              <w:left w:val="nil"/>
              <w:bottom w:val="nil"/>
              <w:right w:val="nil"/>
            </w:tcBorders>
            <w:shd w:val="clear" w:color="auto" w:fill="auto"/>
          </w:tcPr>
          <w:p w:rsidR="0025490C" w:rsidRPr="00E07B1B" w:rsidRDefault="0025490C" w:rsidP="00104566">
            <w:pPr>
              <w:pStyle w:val="TableText"/>
              <w:tabs>
                <w:tab w:val="decimal" w:pos="482"/>
              </w:tabs>
            </w:pPr>
            <w:r w:rsidRPr="00E07B1B">
              <w:t>&lt;</w:t>
            </w:r>
            <w:r>
              <w:t xml:space="preserve"> </w:t>
            </w:r>
            <w:r w:rsidRPr="00E07B1B">
              <w:t>0.05</w:t>
            </w:r>
          </w:p>
        </w:tc>
        <w:tc>
          <w:tcPr>
            <w:tcW w:w="712" w:type="pct"/>
            <w:tcBorders>
              <w:top w:val="nil"/>
              <w:left w:val="nil"/>
              <w:bottom w:val="nil"/>
              <w:right w:val="nil"/>
            </w:tcBorders>
            <w:shd w:val="clear" w:color="auto" w:fill="auto"/>
          </w:tcPr>
          <w:p w:rsidR="0025490C" w:rsidRPr="00E07B1B" w:rsidRDefault="0025490C" w:rsidP="00104566">
            <w:pPr>
              <w:pStyle w:val="TableText"/>
              <w:tabs>
                <w:tab w:val="decimal" w:pos="482"/>
              </w:tabs>
            </w:pPr>
            <w:r w:rsidRPr="00E07B1B">
              <w:t>NS</w:t>
            </w:r>
          </w:p>
        </w:tc>
      </w:tr>
      <w:tr w:rsidR="008D12F6" w:rsidRPr="00E07B1B" w:rsidTr="00104566">
        <w:trPr>
          <w:cantSplit/>
        </w:trPr>
        <w:tc>
          <w:tcPr>
            <w:tcW w:w="1244" w:type="pct"/>
            <w:tcBorders>
              <w:top w:val="nil"/>
              <w:left w:val="nil"/>
              <w:bottom w:val="nil"/>
              <w:right w:val="nil"/>
            </w:tcBorders>
            <w:shd w:val="clear" w:color="auto" w:fill="F2F2F2" w:themeFill="background1" w:themeFillShade="F2"/>
          </w:tcPr>
          <w:p w:rsidR="0025490C" w:rsidRPr="00E07B1B" w:rsidRDefault="0025490C" w:rsidP="00AB1098">
            <w:pPr>
              <w:pStyle w:val="TableText"/>
            </w:pPr>
            <w:r w:rsidRPr="00E07B1B">
              <w:t>Large for gestational age</w:t>
            </w:r>
          </w:p>
        </w:tc>
        <w:tc>
          <w:tcPr>
            <w:tcW w:w="583" w:type="pct"/>
            <w:tcBorders>
              <w:top w:val="nil"/>
              <w:left w:val="nil"/>
              <w:bottom w:val="nil"/>
              <w:right w:val="nil"/>
            </w:tcBorders>
            <w:shd w:val="clear" w:color="auto" w:fill="F2F2F2" w:themeFill="background1" w:themeFillShade="F2"/>
          </w:tcPr>
          <w:p w:rsidR="0025490C" w:rsidRPr="00E07B1B" w:rsidRDefault="0025490C" w:rsidP="00104566">
            <w:pPr>
              <w:pStyle w:val="TableText"/>
              <w:tabs>
                <w:tab w:val="decimal" w:pos="496"/>
              </w:tabs>
            </w:pPr>
            <w:r w:rsidRPr="00E07B1B">
              <w:t>6.0</w:t>
            </w:r>
          </w:p>
        </w:tc>
        <w:tc>
          <w:tcPr>
            <w:tcW w:w="583" w:type="pct"/>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104566">
            <w:pPr>
              <w:pStyle w:val="TableText"/>
              <w:tabs>
                <w:tab w:val="decimal" w:pos="496"/>
              </w:tabs>
            </w:pPr>
            <w:r w:rsidRPr="00E07B1B">
              <w:t>8.2</w:t>
            </w:r>
          </w:p>
        </w:tc>
        <w:tc>
          <w:tcPr>
            <w:tcW w:w="583" w:type="pct"/>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04566">
            <w:pPr>
              <w:pStyle w:val="TableText"/>
              <w:tabs>
                <w:tab w:val="decimal" w:pos="496"/>
              </w:tabs>
            </w:pPr>
            <w:r w:rsidRPr="00E07B1B">
              <w:t>12.2</w:t>
            </w:r>
          </w:p>
        </w:tc>
        <w:tc>
          <w:tcPr>
            <w:tcW w:w="583" w:type="pct"/>
            <w:tcBorders>
              <w:top w:val="nil"/>
              <w:left w:val="nil"/>
              <w:bottom w:val="nil"/>
              <w:right w:val="nil"/>
            </w:tcBorders>
            <w:shd w:val="clear" w:color="auto" w:fill="F2F2F2" w:themeFill="background1" w:themeFillShade="F2"/>
          </w:tcPr>
          <w:p w:rsidR="0025490C" w:rsidRPr="00E07B1B" w:rsidRDefault="0025490C" w:rsidP="00104566">
            <w:pPr>
              <w:pStyle w:val="TableText"/>
              <w:tabs>
                <w:tab w:val="decimal" w:pos="496"/>
              </w:tabs>
            </w:pPr>
            <w:r w:rsidRPr="00E07B1B">
              <w:t>14.9</w:t>
            </w:r>
          </w:p>
        </w:tc>
        <w:tc>
          <w:tcPr>
            <w:tcW w:w="712" w:type="pct"/>
            <w:tcBorders>
              <w:top w:val="nil"/>
              <w:left w:val="nil"/>
              <w:bottom w:val="nil"/>
              <w:right w:val="nil"/>
            </w:tcBorders>
            <w:shd w:val="clear" w:color="auto" w:fill="F2F2F2" w:themeFill="background1" w:themeFillShade="F2"/>
          </w:tcPr>
          <w:p w:rsidR="0025490C" w:rsidRPr="00E07B1B" w:rsidRDefault="0025490C" w:rsidP="00104566">
            <w:pPr>
              <w:pStyle w:val="TableText"/>
              <w:tabs>
                <w:tab w:val="decimal" w:pos="482"/>
              </w:tabs>
            </w:pPr>
            <w:r w:rsidRPr="00E07B1B">
              <w:t>&lt;</w:t>
            </w:r>
            <w:r>
              <w:t xml:space="preserve"> </w:t>
            </w:r>
            <w:r w:rsidRPr="00E07B1B">
              <w:t>0.0001</w:t>
            </w:r>
          </w:p>
        </w:tc>
        <w:tc>
          <w:tcPr>
            <w:tcW w:w="712" w:type="pct"/>
            <w:tcBorders>
              <w:top w:val="nil"/>
              <w:left w:val="nil"/>
              <w:bottom w:val="nil"/>
              <w:right w:val="nil"/>
            </w:tcBorders>
            <w:shd w:val="clear" w:color="auto" w:fill="F2F2F2" w:themeFill="background1" w:themeFillShade="F2"/>
          </w:tcPr>
          <w:p w:rsidR="0025490C" w:rsidRPr="00E07B1B" w:rsidRDefault="0025490C" w:rsidP="00104566">
            <w:pPr>
              <w:pStyle w:val="TableText"/>
              <w:tabs>
                <w:tab w:val="decimal" w:pos="482"/>
              </w:tabs>
            </w:pPr>
            <w:r w:rsidRPr="00E07B1B">
              <w:t>&lt;</w:t>
            </w:r>
            <w:r>
              <w:t xml:space="preserve"> </w:t>
            </w:r>
            <w:r w:rsidRPr="00E07B1B">
              <w:t>0.0001</w:t>
            </w:r>
          </w:p>
        </w:tc>
      </w:tr>
      <w:tr w:rsidR="00104566" w:rsidRPr="00E07B1B" w:rsidTr="00104566">
        <w:trPr>
          <w:cantSplit/>
        </w:trPr>
        <w:tc>
          <w:tcPr>
            <w:tcW w:w="1244" w:type="pct"/>
            <w:tcBorders>
              <w:top w:val="nil"/>
              <w:left w:val="nil"/>
              <w:bottom w:val="nil"/>
              <w:right w:val="nil"/>
            </w:tcBorders>
            <w:shd w:val="clear" w:color="auto" w:fill="auto"/>
          </w:tcPr>
          <w:p w:rsidR="0025490C" w:rsidRPr="00E07B1B" w:rsidRDefault="0025490C" w:rsidP="00AB1098">
            <w:pPr>
              <w:pStyle w:val="TableText"/>
            </w:pPr>
            <w:r w:rsidRPr="00E07B1B">
              <w:t>Shoulder dystocia</w:t>
            </w:r>
          </w:p>
        </w:tc>
        <w:tc>
          <w:tcPr>
            <w:tcW w:w="583" w:type="pct"/>
            <w:tcBorders>
              <w:top w:val="nil"/>
              <w:left w:val="nil"/>
              <w:bottom w:val="nil"/>
              <w:right w:val="nil"/>
            </w:tcBorders>
            <w:shd w:val="clear" w:color="auto" w:fill="auto"/>
          </w:tcPr>
          <w:p w:rsidR="0025490C" w:rsidRPr="00E07B1B" w:rsidRDefault="0025490C" w:rsidP="00104566">
            <w:pPr>
              <w:pStyle w:val="TableText"/>
              <w:tabs>
                <w:tab w:val="decimal" w:pos="496"/>
              </w:tabs>
            </w:pPr>
            <w:r w:rsidRPr="00E07B1B">
              <w:t>1.3</w:t>
            </w:r>
          </w:p>
        </w:tc>
        <w:tc>
          <w:tcPr>
            <w:tcW w:w="583" w:type="pct"/>
            <w:tcBorders>
              <w:top w:val="nil"/>
              <w:left w:val="nil"/>
              <w:bottom w:val="nil"/>
              <w:right w:val="single" w:sz="4" w:space="0" w:color="A6A6A6" w:themeColor="background1" w:themeShade="A6"/>
            </w:tcBorders>
            <w:shd w:val="clear" w:color="auto" w:fill="auto"/>
          </w:tcPr>
          <w:p w:rsidR="0025490C" w:rsidRPr="00E07B1B" w:rsidRDefault="0025490C" w:rsidP="00104566">
            <w:pPr>
              <w:pStyle w:val="TableText"/>
              <w:tabs>
                <w:tab w:val="decimal" w:pos="496"/>
              </w:tabs>
            </w:pPr>
            <w:r w:rsidRPr="00E07B1B">
              <w:t>1.5</w:t>
            </w:r>
          </w:p>
        </w:tc>
        <w:tc>
          <w:tcPr>
            <w:tcW w:w="583" w:type="pct"/>
            <w:tcBorders>
              <w:top w:val="nil"/>
              <w:left w:val="single" w:sz="4" w:space="0" w:color="A6A6A6" w:themeColor="background1" w:themeShade="A6"/>
              <w:bottom w:val="nil"/>
              <w:right w:val="nil"/>
            </w:tcBorders>
            <w:shd w:val="clear" w:color="auto" w:fill="auto"/>
          </w:tcPr>
          <w:p w:rsidR="0025490C" w:rsidRPr="00E07B1B" w:rsidRDefault="0025490C" w:rsidP="00104566">
            <w:pPr>
              <w:pStyle w:val="TableText"/>
              <w:tabs>
                <w:tab w:val="decimal" w:pos="496"/>
              </w:tabs>
            </w:pPr>
            <w:r w:rsidRPr="00E07B1B">
              <w:t>2.4</w:t>
            </w:r>
          </w:p>
        </w:tc>
        <w:tc>
          <w:tcPr>
            <w:tcW w:w="583" w:type="pct"/>
            <w:tcBorders>
              <w:top w:val="nil"/>
              <w:left w:val="nil"/>
              <w:bottom w:val="nil"/>
              <w:right w:val="nil"/>
            </w:tcBorders>
            <w:shd w:val="clear" w:color="auto" w:fill="auto"/>
          </w:tcPr>
          <w:p w:rsidR="0025490C" w:rsidRPr="00E07B1B" w:rsidRDefault="0025490C" w:rsidP="00104566">
            <w:pPr>
              <w:pStyle w:val="TableText"/>
              <w:tabs>
                <w:tab w:val="decimal" w:pos="496"/>
              </w:tabs>
            </w:pPr>
            <w:r w:rsidRPr="00E07B1B">
              <w:t>1.7</w:t>
            </w:r>
          </w:p>
        </w:tc>
        <w:tc>
          <w:tcPr>
            <w:tcW w:w="712" w:type="pct"/>
            <w:tcBorders>
              <w:top w:val="nil"/>
              <w:left w:val="nil"/>
              <w:bottom w:val="nil"/>
              <w:right w:val="nil"/>
            </w:tcBorders>
            <w:shd w:val="clear" w:color="auto" w:fill="auto"/>
          </w:tcPr>
          <w:p w:rsidR="0025490C" w:rsidRPr="00E07B1B" w:rsidRDefault="0025490C" w:rsidP="00104566">
            <w:pPr>
              <w:pStyle w:val="TableText"/>
              <w:tabs>
                <w:tab w:val="decimal" w:pos="482"/>
              </w:tabs>
            </w:pPr>
            <w:r w:rsidRPr="00E07B1B">
              <w:t>&lt;</w:t>
            </w:r>
            <w:r>
              <w:t xml:space="preserve"> </w:t>
            </w:r>
            <w:r w:rsidRPr="00E07B1B">
              <w:t>0.01</w:t>
            </w:r>
          </w:p>
        </w:tc>
        <w:tc>
          <w:tcPr>
            <w:tcW w:w="712" w:type="pct"/>
            <w:tcBorders>
              <w:top w:val="nil"/>
              <w:left w:val="nil"/>
              <w:bottom w:val="nil"/>
              <w:right w:val="nil"/>
            </w:tcBorders>
            <w:shd w:val="clear" w:color="auto" w:fill="auto"/>
          </w:tcPr>
          <w:p w:rsidR="0025490C" w:rsidRPr="00E07B1B" w:rsidRDefault="0025490C" w:rsidP="00104566">
            <w:pPr>
              <w:pStyle w:val="TableText"/>
              <w:tabs>
                <w:tab w:val="decimal" w:pos="482"/>
              </w:tabs>
            </w:pPr>
            <w:r w:rsidRPr="00E07B1B">
              <w:t>NS</w:t>
            </w:r>
          </w:p>
        </w:tc>
      </w:tr>
      <w:tr w:rsidR="008D12F6" w:rsidRPr="00E07B1B" w:rsidTr="00104566">
        <w:trPr>
          <w:cantSplit/>
        </w:trPr>
        <w:tc>
          <w:tcPr>
            <w:tcW w:w="1244" w:type="pct"/>
            <w:tcBorders>
              <w:top w:val="nil"/>
              <w:left w:val="nil"/>
              <w:bottom w:val="nil"/>
              <w:right w:val="nil"/>
            </w:tcBorders>
            <w:shd w:val="clear" w:color="auto" w:fill="F2F2F2" w:themeFill="background1" w:themeFillShade="F2"/>
          </w:tcPr>
          <w:p w:rsidR="0025490C" w:rsidRPr="00E07B1B" w:rsidRDefault="0025490C" w:rsidP="00AB1098">
            <w:pPr>
              <w:pStyle w:val="TableText"/>
            </w:pPr>
            <w:r w:rsidRPr="00E07B1B">
              <w:t>Caesarean section</w:t>
            </w:r>
          </w:p>
        </w:tc>
        <w:tc>
          <w:tcPr>
            <w:tcW w:w="583" w:type="pct"/>
            <w:tcBorders>
              <w:top w:val="nil"/>
              <w:left w:val="nil"/>
              <w:bottom w:val="nil"/>
              <w:right w:val="nil"/>
            </w:tcBorders>
            <w:shd w:val="clear" w:color="auto" w:fill="F2F2F2" w:themeFill="background1" w:themeFillShade="F2"/>
          </w:tcPr>
          <w:p w:rsidR="0025490C" w:rsidRPr="00E07B1B" w:rsidRDefault="0025490C" w:rsidP="00104566">
            <w:pPr>
              <w:pStyle w:val="TableText"/>
              <w:tabs>
                <w:tab w:val="decimal" w:pos="496"/>
              </w:tabs>
            </w:pPr>
            <w:r w:rsidRPr="00E07B1B">
              <w:t>19.7</w:t>
            </w:r>
          </w:p>
        </w:tc>
        <w:tc>
          <w:tcPr>
            <w:tcW w:w="583" w:type="pct"/>
            <w:tcBorders>
              <w:top w:val="nil"/>
              <w:left w:val="nil"/>
              <w:bottom w:val="nil"/>
              <w:right w:val="single" w:sz="4" w:space="0" w:color="A6A6A6" w:themeColor="background1" w:themeShade="A6"/>
            </w:tcBorders>
            <w:shd w:val="clear" w:color="auto" w:fill="F2F2F2" w:themeFill="background1" w:themeFillShade="F2"/>
          </w:tcPr>
          <w:p w:rsidR="0025490C" w:rsidRPr="00E07B1B" w:rsidRDefault="0025490C" w:rsidP="00104566">
            <w:pPr>
              <w:pStyle w:val="TableText"/>
              <w:tabs>
                <w:tab w:val="decimal" w:pos="496"/>
              </w:tabs>
            </w:pPr>
            <w:r w:rsidRPr="00E07B1B">
              <w:t>20.6</w:t>
            </w:r>
          </w:p>
        </w:tc>
        <w:tc>
          <w:tcPr>
            <w:tcW w:w="583" w:type="pct"/>
            <w:tcBorders>
              <w:top w:val="nil"/>
              <w:left w:val="single" w:sz="4" w:space="0" w:color="A6A6A6" w:themeColor="background1" w:themeShade="A6"/>
              <w:bottom w:val="nil"/>
              <w:right w:val="nil"/>
            </w:tcBorders>
            <w:shd w:val="clear" w:color="auto" w:fill="F2F2F2" w:themeFill="background1" w:themeFillShade="F2"/>
          </w:tcPr>
          <w:p w:rsidR="0025490C" w:rsidRPr="00E07B1B" w:rsidRDefault="0025490C" w:rsidP="00104566">
            <w:pPr>
              <w:pStyle w:val="TableText"/>
              <w:tabs>
                <w:tab w:val="decimal" w:pos="496"/>
              </w:tabs>
            </w:pPr>
            <w:r w:rsidRPr="00E07B1B">
              <w:t>28.0</w:t>
            </w:r>
          </w:p>
        </w:tc>
        <w:tc>
          <w:tcPr>
            <w:tcW w:w="583" w:type="pct"/>
            <w:tcBorders>
              <w:top w:val="nil"/>
              <w:left w:val="nil"/>
              <w:bottom w:val="nil"/>
              <w:right w:val="nil"/>
            </w:tcBorders>
            <w:shd w:val="clear" w:color="auto" w:fill="F2F2F2" w:themeFill="background1" w:themeFillShade="F2"/>
          </w:tcPr>
          <w:p w:rsidR="0025490C" w:rsidRPr="00E07B1B" w:rsidRDefault="0025490C" w:rsidP="00104566">
            <w:pPr>
              <w:pStyle w:val="TableText"/>
              <w:tabs>
                <w:tab w:val="decimal" w:pos="496"/>
              </w:tabs>
            </w:pPr>
            <w:r w:rsidRPr="00E07B1B">
              <w:t>27.4</w:t>
            </w:r>
          </w:p>
        </w:tc>
        <w:tc>
          <w:tcPr>
            <w:tcW w:w="712" w:type="pct"/>
            <w:tcBorders>
              <w:top w:val="nil"/>
              <w:left w:val="nil"/>
              <w:bottom w:val="nil"/>
              <w:right w:val="nil"/>
            </w:tcBorders>
            <w:shd w:val="clear" w:color="auto" w:fill="F2F2F2" w:themeFill="background1" w:themeFillShade="F2"/>
          </w:tcPr>
          <w:p w:rsidR="0025490C" w:rsidRPr="00E07B1B" w:rsidRDefault="0025490C" w:rsidP="00104566">
            <w:pPr>
              <w:pStyle w:val="TableText"/>
              <w:tabs>
                <w:tab w:val="decimal" w:pos="482"/>
              </w:tabs>
            </w:pPr>
            <w:r w:rsidRPr="00E07B1B">
              <w:t>&lt;</w:t>
            </w:r>
            <w:r>
              <w:t xml:space="preserve"> </w:t>
            </w:r>
            <w:r w:rsidRPr="00E07B1B">
              <w:t>0.0001</w:t>
            </w:r>
          </w:p>
        </w:tc>
        <w:tc>
          <w:tcPr>
            <w:tcW w:w="712" w:type="pct"/>
            <w:tcBorders>
              <w:top w:val="nil"/>
              <w:left w:val="nil"/>
              <w:bottom w:val="nil"/>
              <w:right w:val="nil"/>
            </w:tcBorders>
            <w:shd w:val="clear" w:color="auto" w:fill="F2F2F2" w:themeFill="background1" w:themeFillShade="F2"/>
          </w:tcPr>
          <w:p w:rsidR="0025490C" w:rsidRPr="00E07B1B" w:rsidRDefault="0025490C" w:rsidP="00104566">
            <w:pPr>
              <w:pStyle w:val="TableText"/>
              <w:tabs>
                <w:tab w:val="decimal" w:pos="482"/>
              </w:tabs>
            </w:pPr>
            <w:r w:rsidRPr="00E07B1B">
              <w:t>NS</w:t>
            </w:r>
          </w:p>
        </w:tc>
      </w:tr>
      <w:tr w:rsidR="00104566" w:rsidRPr="00E07B1B" w:rsidTr="00104566">
        <w:trPr>
          <w:cantSplit/>
        </w:trPr>
        <w:tc>
          <w:tcPr>
            <w:tcW w:w="1244" w:type="pct"/>
            <w:tcBorders>
              <w:top w:val="nil"/>
              <w:left w:val="nil"/>
              <w:bottom w:val="nil"/>
              <w:right w:val="nil"/>
            </w:tcBorders>
            <w:shd w:val="clear" w:color="auto" w:fill="auto"/>
          </w:tcPr>
          <w:p w:rsidR="0025490C" w:rsidRPr="00E07B1B" w:rsidRDefault="0025490C" w:rsidP="00AB1098">
            <w:pPr>
              <w:pStyle w:val="TableText"/>
            </w:pPr>
            <w:r w:rsidRPr="00E07B1B">
              <w:t>Preterm delivery</w:t>
            </w:r>
          </w:p>
        </w:tc>
        <w:tc>
          <w:tcPr>
            <w:tcW w:w="583" w:type="pct"/>
            <w:tcBorders>
              <w:top w:val="nil"/>
              <w:left w:val="nil"/>
              <w:bottom w:val="nil"/>
              <w:right w:val="nil"/>
            </w:tcBorders>
            <w:shd w:val="clear" w:color="auto" w:fill="auto"/>
          </w:tcPr>
          <w:p w:rsidR="0025490C" w:rsidRPr="00E07B1B" w:rsidRDefault="0025490C" w:rsidP="00104566">
            <w:pPr>
              <w:pStyle w:val="TableText"/>
              <w:tabs>
                <w:tab w:val="decimal" w:pos="496"/>
              </w:tabs>
            </w:pPr>
            <w:r w:rsidRPr="00E07B1B">
              <w:t>8.3</w:t>
            </w:r>
          </w:p>
        </w:tc>
        <w:tc>
          <w:tcPr>
            <w:tcW w:w="583" w:type="pct"/>
            <w:tcBorders>
              <w:top w:val="nil"/>
              <w:left w:val="nil"/>
              <w:bottom w:val="nil"/>
              <w:right w:val="single" w:sz="4" w:space="0" w:color="A6A6A6" w:themeColor="background1" w:themeShade="A6"/>
            </w:tcBorders>
            <w:shd w:val="clear" w:color="auto" w:fill="auto"/>
          </w:tcPr>
          <w:p w:rsidR="0025490C" w:rsidRPr="00E07B1B" w:rsidRDefault="0025490C" w:rsidP="00104566">
            <w:pPr>
              <w:pStyle w:val="TableText"/>
              <w:tabs>
                <w:tab w:val="decimal" w:pos="496"/>
              </w:tabs>
            </w:pPr>
            <w:r w:rsidRPr="00E07B1B">
              <w:t>8.0</w:t>
            </w:r>
          </w:p>
        </w:tc>
        <w:tc>
          <w:tcPr>
            <w:tcW w:w="583" w:type="pct"/>
            <w:tcBorders>
              <w:top w:val="nil"/>
              <w:left w:val="single" w:sz="4" w:space="0" w:color="A6A6A6" w:themeColor="background1" w:themeShade="A6"/>
              <w:bottom w:val="nil"/>
              <w:right w:val="nil"/>
            </w:tcBorders>
            <w:shd w:val="clear" w:color="auto" w:fill="auto"/>
          </w:tcPr>
          <w:p w:rsidR="0025490C" w:rsidRPr="00E07B1B" w:rsidRDefault="0025490C" w:rsidP="00104566">
            <w:pPr>
              <w:pStyle w:val="TableText"/>
              <w:tabs>
                <w:tab w:val="decimal" w:pos="496"/>
              </w:tabs>
            </w:pPr>
            <w:r w:rsidRPr="00E07B1B">
              <w:t>9.0</w:t>
            </w:r>
          </w:p>
        </w:tc>
        <w:tc>
          <w:tcPr>
            <w:tcW w:w="583" w:type="pct"/>
            <w:tcBorders>
              <w:top w:val="nil"/>
              <w:left w:val="nil"/>
              <w:bottom w:val="nil"/>
              <w:right w:val="nil"/>
            </w:tcBorders>
            <w:shd w:val="clear" w:color="auto" w:fill="auto"/>
          </w:tcPr>
          <w:p w:rsidR="0025490C" w:rsidRPr="00E07B1B" w:rsidRDefault="0025490C" w:rsidP="00104566">
            <w:pPr>
              <w:pStyle w:val="TableText"/>
              <w:tabs>
                <w:tab w:val="decimal" w:pos="496"/>
              </w:tabs>
            </w:pPr>
            <w:r w:rsidRPr="00E07B1B">
              <w:t>7.9</w:t>
            </w:r>
          </w:p>
        </w:tc>
        <w:tc>
          <w:tcPr>
            <w:tcW w:w="712" w:type="pct"/>
            <w:tcBorders>
              <w:top w:val="nil"/>
              <w:left w:val="nil"/>
              <w:bottom w:val="nil"/>
              <w:right w:val="nil"/>
            </w:tcBorders>
            <w:shd w:val="clear" w:color="auto" w:fill="auto"/>
          </w:tcPr>
          <w:p w:rsidR="0025490C" w:rsidRPr="00E07B1B" w:rsidRDefault="0025490C" w:rsidP="00104566">
            <w:pPr>
              <w:pStyle w:val="TableText"/>
              <w:tabs>
                <w:tab w:val="decimal" w:pos="482"/>
              </w:tabs>
            </w:pPr>
            <w:r w:rsidRPr="00E07B1B">
              <w:t>NS</w:t>
            </w:r>
          </w:p>
        </w:tc>
        <w:tc>
          <w:tcPr>
            <w:tcW w:w="712" w:type="pct"/>
            <w:tcBorders>
              <w:top w:val="nil"/>
              <w:left w:val="nil"/>
              <w:bottom w:val="nil"/>
              <w:right w:val="nil"/>
            </w:tcBorders>
            <w:shd w:val="clear" w:color="auto" w:fill="auto"/>
          </w:tcPr>
          <w:p w:rsidR="0025490C" w:rsidRPr="00E07B1B" w:rsidRDefault="0025490C" w:rsidP="00104566">
            <w:pPr>
              <w:pStyle w:val="TableText"/>
              <w:tabs>
                <w:tab w:val="decimal" w:pos="482"/>
              </w:tabs>
            </w:pPr>
            <w:r w:rsidRPr="00E07B1B">
              <w:t>NS</w:t>
            </w:r>
          </w:p>
        </w:tc>
      </w:tr>
      <w:tr w:rsidR="008D12F6" w:rsidRPr="00E07B1B" w:rsidTr="00104566">
        <w:trPr>
          <w:cantSplit/>
        </w:trPr>
        <w:tc>
          <w:tcPr>
            <w:tcW w:w="1244" w:type="pct"/>
            <w:tcBorders>
              <w:top w:val="nil"/>
              <w:left w:val="nil"/>
              <w:right w:val="nil"/>
            </w:tcBorders>
            <w:shd w:val="clear" w:color="auto" w:fill="F2F2F2" w:themeFill="background1" w:themeFillShade="F2"/>
          </w:tcPr>
          <w:p w:rsidR="0025490C" w:rsidRPr="00E07B1B" w:rsidRDefault="0025490C" w:rsidP="00AB1098">
            <w:pPr>
              <w:pStyle w:val="TableText"/>
            </w:pPr>
            <w:r w:rsidRPr="00E07B1B">
              <w:t>Intrauterine, fetal or neonatal death</w:t>
            </w:r>
          </w:p>
        </w:tc>
        <w:tc>
          <w:tcPr>
            <w:tcW w:w="583" w:type="pct"/>
            <w:tcBorders>
              <w:top w:val="nil"/>
              <w:left w:val="nil"/>
              <w:right w:val="nil"/>
            </w:tcBorders>
            <w:shd w:val="clear" w:color="auto" w:fill="F2F2F2" w:themeFill="background1" w:themeFillShade="F2"/>
          </w:tcPr>
          <w:p w:rsidR="0025490C" w:rsidRPr="00E07B1B" w:rsidRDefault="0025490C" w:rsidP="00104566">
            <w:pPr>
              <w:pStyle w:val="TableText"/>
              <w:tabs>
                <w:tab w:val="decimal" w:pos="496"/>
              </w:tabs>
            </w:pPr>
            <w:r w:rsidRPr="00E07B1B">
              <w:t>1.2</w:t>
            </w:r>
          </w:p>
        </w:tc>
        <w:tc>
          <w:tcPr>
            <w:tcW w:w="583" w:type="pct"/>
            <w:tcBorders>
              <w:top w:val="nil"/>
              <w:left w:val="nil"/>
              <w:right w:val="single" w:sz="4" w:space="0" w:color="A6A6A6" w:themeColor="background1" w:themeShade="A6"/>
            </w:tcBorders>
            <w:shd w:val="clear" w:color="auto" w:fill="F2F2F2" w:themeFill="background1" w:themeFillShade="F2"/>
          </w:tcPr>
          <w:p w:rsidR="0025490C" w:rsidRPr="00E07B1B" w:rsidRDefault="0025490C" w:rsidP="00104566">
            <w:pPr>
              <w:pStyle w:val="TableText"/>
              <w:tabs>
                <w:tab w:val="decimal" w:pos="496"/>
              </w:tabs>
            </w:pPr>
            <w:r w:rsidRPr="00E07B1B">
              <w:t>1.1</w:t>
            </w:r>
          </w:p>
        </w:tc>
        <w:tc>
          <w:tcPr>
            <w:tcW w:w="583" w:type="pct"/>
            <w:tcBorders>
              <w:top w:val="nil"/>
              <w:left w:val="single" w:sz="4" w:space="0" w:color="A6A6A6" w:themeColor="background1" w:themeShade="A6"/>
              <w:right w:val="nil"/>
            </w:tcBorders>
            <w:shd w:val="clear" w:color="auto" w:fill="F2F2F2" w:themeFill="background1" w:themeFillShade="F2"/>
          </w:tcPr>
          <w:p w:rsidR="0025490C" w:rsidRPr="00E07B1B" w:rsidRDefault="0025490C" w:rsidP="00104566">
            <w:pPr>
              <w:pStyle w:val="TableText"/>
              <w:tabs>
                <w:tab w:val="decimal" w:pos="496"/>
              </w:tabs>
            </w:pPr>
            <w:r w:rsidRPr="00E07B1B">
              <w:t>0.7</w:t>
            </w:r>
          </w:p>
        </w:tc>
        <w:tc>
          <w:tcPr>
            <w:tcW w:w="583" w:type="pct"/>
            <w:tcBorders>
              <w:top w:val="nil"/>
              <w:left w:val="nil"/>
              <w:right w:val="nil"/>
            </w:tcBorders>
            <w:shd w:val="clear" w:color="auto" w:fill="F2F2F2" w:themeFill="background1" w:themeFillShade="F2"/>
          </w:tcPr>
          <w:p w:rsidR="0025490C" w:rsidRPr="00E07B1B" w:rsidRDefault="0025490C" w:rsidP="00104566">
            <w:pPr>
              <w:pStyle w:val="TableText"/>
              <w:tabs>
                <w:tab w:val="decimal" w:pos="496"/>
              </w:tabs>
            </w:pPr>
            <w:r w:rsidRPr="00E07B1B">
              <w:t>0.5</w:t>
            </w:r>
          </w:p>
        </w:tc>
        <w:tc>
          <w:tcPr>
            <w:tcW w:w="712" w:type="pct"/>
            <w:tcBorders>
              <w:top w:val="nil"/>
              <w:left w:val="nil"/>
              <w:right w:val="nil"/>
            </w:tcBorders>
            <w:shd w:val="clear" w:color="auto" w:fill="F2F2F2" w:themeFill="background1" w:themeFillShade="F2"/>
          </w:tcPr>
          <w:p w:rsidR="0025490C" w:rsidRPr="00E07B1B" w:rsidRDefault="0025490C" w:rsidP="00104566">
            <w:pPr>
              <w:pStyle w:val="TableText"/>
              <w:tabs>
                <w:tab w:val="decimal" w:pos="482"/>
              </w:tabs>
            </w:pPr>
            <w:r w:rsidRPr="00E07B1B">
              <w:t>NS</w:t>
            </w:r>
          </w:p>
        </w:tc>
        <w:tc>
          <w:tcPr>
            <w:tcW w:w="712" w:type="pct"/>
            <w:tcBorders>
              <w:top w:val="nil"/>
              <w:left w:val="nil"/>
              <w:right w:val="nil"/>
            </w:tcBorders>
            <w:shd w:val="clear" w:color="auto" w:fill="F2F2F2" w:themeFill="background1" w:themeFillShade="F2"/>
          </w:tcPr>
          <w:p w:rsidR="0025490C" w:rsidRPr="00E07B1B" w:rsidRDefault="0025490C" w:rsidP="00104566">
            <w:pPr>
              <w:pStyle w:val="TableText"/>
              <w:tabs>
                <w:tab w:val="decimal" w:pos="482"/>
              </w:tabs>
            </w:pPr>
            <w:r w:rsidRPr="00E07B1B">
              <w:t>NS</w:t>
            </w:r>
          </w:p>
        </w:tc>
      </w:tr>
    </w:tbl>
    <w:p w:rsidR="0068074A" w:rsidRDefault="0025490C" w:rsidP="00AB1098">
      <w:pPr>
        <w:pStyle w:val="Note"/>
      </w:pPr>
      <w:r>
        <w:t xml:space="preserve">Note: </w:t>
      </w:r>
      <w:r w:rsidRPr="00E07B1B">
        <w:t xml:space="preserve">GDM </w:t>
      </w:r>
      <w:r>
        <w:t>=</w:t>
      </w:r>
      <w:r w:rsidRPr="00E07B1B">
        <w:t xml:space="preserve"> gestational diabetes mellitus</w:t>
      </w:r>
      <w:r>
        <w:t>; NS = not significant</w:t>
      </w:r>
      <w:r w:rsidR="00AB1098">
        <w:t>.</w:t>
      </w:r>
    </w:p>
    <w:p w:rsidR="0068074A" w:rsidRDefault="0025490C" w:rsidP="00AB1098">
      <w:pPr>
        <w:pStyle w:val="Note"/>
      </w:pPr>
      <w:r w:rsidRPr="00E07B1B">
        <w:t>There were no significant interactions between GDM effect and risk factor effect.</w:t>
      </w:r>
    </w:p>
    <w:p w:rsidR="0025490C" w:rsidRDefault="0025490C" w:rsidP="00AB1098">
      <w:pPr>
        <w:pStyle w:val="Source"/>
      </w:pPr>
      <w:r w:rsidRPr="00E07B1B">
        <w:t>Source: Cosson</w:t>
      </w:r>
      <w:r>
        <w:t xml:space="preserve"> </w:t>
      </w:r>
      <w:r w:rsidR="00D562F2">
        <w:t>et al</w:t>
      </w:r>
      <w:r w:rsidRPr="00E07B1B">
        <w:t xml:space="preserve"> </w:t>
      </w:r>
      <w:r>
        <w:t>(</w:t>
      </w:r>
      <w:r w:rsidRPr="00E07B1B">
        <w:t>2013</w:t>
      </w:r>
      <w:r>
        <w:t>)</w:t>
      </w:r>
    </w:p>
    <w:p w:rsidR="00AB1098" w:rsidRPr="00AB1098" w:rsidRDefault="00AB1098" w:rsidP="00AB1098"/>
    <w:p w:rsidR="0025490C" w:rsidRPr="00E07B1B" w:rsidRDefault="0025490C" w:rsidP="00C04C3B">
      <w:pPr>
        <w:pStyle w:val="Heading2"/>
        <w:spacing w:before="0" w:after="240"/>
        <w:ind w:left="0" w:firstLine="0"/>
      </w:pPr>
      <w:r w:rsidRPr="00E07B1B">
        <w:br w:type="page"/>
      </w:r>
      <w:bookmarkStart w:id="516" w:name="_Toc363717814"/>
      <w:bookmarkStart w:id="517" w:name="_Toc402873641"/>
      <w:bookmarkStart w:id="518" w:name="_Toc403469702"/>
      <w:r w:rsidRPr="00E07B1B">
        <w:t>Appendix J</w:t>
      </w:r>
      <w:r>
        <w:t>: Supporting evidence for</w:t>
      </w:r>
      <w:r w:rsidRPr="00E07B1B">
        <w:t xml:space="preserve"> Chapter</w:t>
      </w:r>
      <w:r w:rsidR="00C04C3B">
        <w:t> </w:t>
      </w:r>
      <w:bookmarkEnd w:id="516"/>
      <w:r w:rsidRPr="00E07B1B">
        <w:t>4</w:t>
      </w:r>
      <w:bookmarkEnd w:id="517"/>
      <w:bookmarkEnd w:id="518"/>
    </w:p>
    <w:p w:rsidR="0025490C" w:rsidRPr="00E07B1B" w:rsidRDefault="0025490C" w:rsidP="00104566">
      <w:pPr>
        <w:pStyle w:val="Table"/>
      </w:pPr>
      <w:bookmarkStart w:id="519" w:name="_Toc363717815"/>
      <w:bookmarkStart w:id="520" w:name="_Toc403635905"/>
      <w:r w:rsidRPr="00E07B1B">
        <w:t>Table 24</w:t>
      </w:r>
      <w:r w:rsidR="00104566">
        <w:t>:</w:t>
      </w:r>
      <w:r w:rsidRPr="00E07B1B">
        <w:t xml:space="preserve"> Table of effects: </w:t>
      </w:r>
      <w:r w:rsidR="00AB6313">
        <w:t>d</w:t>
      </w:r>
      <w:r w:rsidRPr="00E07B1B">
        <w:t>ietary interventions to prevent gestational diabetes</w:t>
      </w:r>
      <w:bookmarkEnd w:id="519"/>
      <w:bookmarkEnd w:id="520"/>
    </w:p>
    <w:tbl>
      <w:tblPr>
        <w:tblW w:w="494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278"/>
        <w:gridCol w:w="2410"/>
        <w:gridCol w:w="1276"/>
        <w:gridCol w:w="2125"/>
        <w:gridCol w:w="2266"/>
      </w:tblGrid>
      <w:tr w:rsidR="00E278A0" w:rsidRPr="00E278A0" w:rsidTr="00AB6313">
        <w:trPr>
          <w:cantSplit/>
        </w:trPr>
        <w:tc>
          <w:tcPr>
            <w:tcW w:w="683" w:type="pct"/>
            <w:tcBorders>
              <w:top w:val="single" w:sz="4" w:space="0" w:color="auto"/>
              <w:bottom w:val="single" w:sz="4" w:space="0" w:color="auto"/>
              <w:right w:val="nil"/>
            </w:tcBorders>
            <w:shd w:val="clear" w:color="auto" w:fill="auto"/>
          </w:tcPr>
          <w:p w:rsidR="0025490C" w:rsidRPr="00E278A0" w:rsidRDefault="0025490C" w:rsidP="00E278A0">
            <w:pPr>
              <w:pStyle w:val="TableText"/>
              <w:rPr>
                <w:b/>
              </w:rPr>
            </w:pPr>
            <w:r w:rsidRPr="00E278A0">
              <w:rPr>
                <w:b/>
              </w:rPr>
              <w:t>Outcome</w:t>
            </w:r>
          </w:p>
        </w:tc>
        <w:tc>
          <w:tcPr>
            <w:tcW w:w="1288" w:type="pct"/>
            <w:tcBorders>
              <w:top w:val="single" w:sz="4" w:space="0" w:color="auto"/>
              <w:left w:val="nil"/>
              <w:bottom w:val="single" w:sz="4" w:space="0" w:color="auto"/>
              <w:right w:val="nil"/>
            </w:tcBorders>
            <w:shd w:val="clear" w:color="auto" w:fill="auto"/>
          </w:tcPr>
          <w:p w:rsidR="0025490C" w:rsidRPr="00E278A0" w:rsidRDefault="0025490C" w:rsidP="00AB6313">
            <w:pPr>
              <w:pStyle w:val="TableText"/>
              <w:jc w:val="center"/>
              <w:rPr>
                <w:b/>
              </w:rPr>
            </w:pPr>
            <w:r w:rsidRPr="00E278A0">
              <w:rPr>
                <w:b/>
              </w:rPr>
              <w:t>Number of studies and definitions</w:t>
            </w:r>
          </w:p>
        </w:tc>
        <w:tc>
          <w:tcPr>
            <w:tcW w:w="682" w:type="pct"/>
            <w:tcBorders>
              <w:top w:val="single" w:sz="4" w:space="0" w:color="auto"/>
              <w:left w:val="nil"/>
              <w:bottom w:val="single" w:sz="4" w:space="0" w:color="auto"/>
              <w:right w:val="nil"/>
            </w:tcBorders>
            <w:shd w:val="clear" w:color="auto" w:fill="auto"/>
          </w:tcPr>
          <w:p w:rsidR="0025490C" w:rsidRPr="00E278A0" w:rsidRDefault="0025490C" w:rsidP="00AB6313">
            <w:pPr>
              <w:pStyle w:val="TableText"/>
              <w:jc w:val="center"/>
              <w:rPr>
                <w:b/>
              </w:rPr>
            </w:pPr>
            <w:r w:rsidRPr="00E278A0">
              <w:rPr>
                <w:b/>
              </w:rPr>
              <w:t>Author</w:t>
            </w:r>
          </w:p>
        </w:tc>
        <w:tc>
          <w:tcPr>
            <w:tcW w:w="1136" w:type="pct"/>
            <w:tcBorders>
              <w:top w:val="single" w:sz="4" w:space="0" w:color="auto"/>
              <w:left w:val="nil"/>
              <w:bottom w:val="single" w:sz="4" w:space="0" w:color="auto"/>
              <w:right w:val="nil"/>
            </w:tcBorders>
            <w:shd w:val="clear" w:color="auto" w:fill="auto"/>
          </w:tcPr>
          <w:p w:rsidR="0025490C" w:rsidRPr="00E278A0" w:rsidRDefault="0025490C" w:rsidP="00AB6313">
            <w:pPr>
              <w:pStyle w:val="TableText"/>
              <w:jc w:val="center"/>
              <w:rPr>
                <w:b/>
              </w:rPr>
            </w:pPr>
            <w:r w:rsidRPr="00E278A0">
              <w:rPr>
                <w:b/>
              </w:rPr>
              <w:t>Number of participants</w:t>
            </w:r>
          </w:p>
        </w:tc>
        <w:tc>
          <w:tcPr>
            <w:tcW w:w="1212" w:type="pct"/>
            <w:tcBorders>
              <w:top w:val="single" w:sz="4" w:space="0" w:color="auto"/>
              <w:left w:val="nil"/>
              <w:bottom w:val="single" w:sz="4" w:space="0" w:color="auto"/>
            </w:tcBorders>
            <w:shd w:val="clear" w:color="auto" w:fill="auto"/>
          </w:tcPr>
          <w:p w:rsidR="0025490C" w:rsidRPr="00E278A0" w:rsidRDefault="0025490C" w:rsidP="00AB6313">
            <w:pPr>
              <w:pStyle w:val="TableText"/>
              <w:jc w:val="center"/>
              <w:rPr>
                <w:b/>
              </w:rPr>
            </w:pPr>
            <w:r w:rsidRPr="00E278A0">
              <w:rPr>
                <w:b/>
              </w:rPr>
              <w:t>Effect size (95% confidence interval) for diagnosis of gestational diabetes</w:t>
            </w:r>
          </w:p>
        </w:tc>
      </w:tr>
      <w:tr w:rsidR="00AB6313" w:rsidRPr="00E07B1B" w:rsidTr="00AB6313">
        <w:trPr>
          <w:cantSplit/>
        </w:trPr>
        <w:tc>
          <w:tcPr>
            <w:tcW w:w="683" w:type="pct"/>
            <w:vMerge w:val="restart"/>
            <w:tcBorders>
              <w:top w:val="single" w:sz="4" w:space="0" w:color="auto"/>
              <w:right w:val="nil"/>
            </w:tcBorders>
            <w:shd w:val="clear" w:color="auto" w:fill="auto"/>
          </w:tcPr>
          <w:p w:rsidR="00E278A0" w:rsidRPr="00E07B1B" w:rsidRDefault="00E278A0" w:rsidP="00E278A0">
            <w:pPr>
              <w:pStyle w:val="TableText"/>
            </w:pPr>
            <w:r w:rsidRPr="00E07B1B">
              <w:t>Diagnosis of GDM</w:t>
            </w:r>
          </w:p>
        </w:tc>
        <w:tc>
          <w:tcPr>
            <w:tcW w:w="1288" w:type="pct"/>
            <w:tcBorders>
              <w:top w:val="single" w:sz="4" w:space="0" w:color="auto"/>
              <w:left w:val="nil"/>
              <w:bottom w:val="nil"/>
              <w:right w:val="nil"/>
            </w:tcBorders>
            <w:shd w:val="clear" w:color="auto" w:fill="F2F2F2" w:themeFill="background1" w:themeFillShade="F2"/>
          </w:tcPr>
          <w:p w:rsidR="00E278A0" w:rsidRPr="00E07B1B" w:rsidRDefault="00E278A0" w:rsidP="00E278A0">
            <w:pPr>
              <w:pStyle w:val="TableText"/>
            </w:pPr>
            <w:r w:rsidRPr="00E07B1B">
              <w:t>7 trials</w:t>
            </w:r>
            <w:r>
              <w:br/>
            </w:r>
            <w:r w:rsidRPr="00E07B1B">
              <w:t>Various</w:t>
            </w:r>
          </w:p>
        </w:tc>
        <w:tc>
          <w:tcPr>
            <w:tcW w:w="682" w:type="pct"/>
            <w:tcBorders>
              <w:top w:val="single" w:sz="4" w:space="0" w:color="auto"/>
              <w:left w:val="nil"/>
              <w:bottom w:val="nil"/>
              <w:right w:val="nil"/>
            </w:tcBorders>
            <w:shd w:val="clear" w:color="auto" w:fill="F2F2F2" w:themeFill="background1" w:themeFillShade="F2"/>
          </w:tcPr>
          <w:p w:rsidR="00E278A0" w:rsidRPr="00E07B1B" w:rsidRDefault="00E278A0" w:rsidP="00E278A0">
            <w:pPr>
              <w:pStyle w:val="TableText"/>
            </w:pPr>
            <w:r w:rsidRPr="00E07B1B">
              <w:t>Oostdam</w:t>
            </w:r>
            <w:r>
              <w:br/>
              <w:t>(</w:t>
            </w:r>
            <w:r w:rsidRPr="00E07B1B">
              <w:t>2011</w:t>
            </w:r>
            <w:r>
              <w:t>)</w:t>
            </w:r>
          </w:p>
        </w:tc>
        <w:tc>
          <w:tcPr>
            <w:tcW w:w="1136" w:type="pct"/>
            <w:tcBorders>
              <w:top w:val="single" w:sz="4" w:space="0" w:color="auto"/>
              <w:left w:val="nil"/>
              <w:bottom w:val="nil"/>
              <w:right w:val="nil"/>
            </w:tcBorders>
            <w:shd w:val="clear" w:color="auto" w:fill="F2F2F2" w:themeFill="background1" w:themeFillShade="F2"/>
          </w:tcPr>
          <w:p w:rsidR="00E278A0" w:rsidRPr="00E07B1B" w:rsidRDefault="00E278A0" w:rsidP="00E278A0">
            <w:pPr>
              <w:pStyle w:val="TableText"/>
            </w:pPr>
            <w:r w:rsidRPr="00E07B1B">
              <w:t>813</w:t>
            </w:r>
            <w:r>
              <w:br/>
            </w:r>
            <w:r w:rsidRPr="00E07B1B">
              <w:t>Pregnant women</w:t>
            </w:r>
          </w:p>
        </w:tc>
        <w:tc>
          <w:tcPr>
            <w:tcW w:w="1212" w:type="pct"/>
            <w:tcBorders>
              <w:top w:val="single" w:sz="4" w:space="0" w:color="auto"/>
              <w:left w:val="nil"/>
              <w:bottom w:val="nil"/>
            </w:tcBorders>
            <w:shd w:val="clear" w:color="auto" w:fill="F2F2F2" w:themeFill="background1" w:themeFillShade="F2"/>
          </w:tcPr>
          <w:p w:rsidR="00E278A0" w:rsidRPr="00E07B1B" w:rsidRDefault="00E278A0" w:rsidP="00E278A0">
            <w:pPr>
              <w:pStyle w:val="TableText"/>
            </w:pPr>
            <w:r w:rsidRPr="00E07B1B">
              <w:t xml:space="preserve">RD </w:t>
            </w:r>
            <w:r w:rsidRPr="008F165D">
              <w:rPr>
                <w:vertAlign w:val="superscript"/>
              </w:rPr>
              <w:t>–</w:t>
            </w:r>
            <w:r w:rsidRPr="00E07B1B">
              <w:t>0.05</w:t>
            </w:r>
            <w:r>
              <w:br/>
              <w:t>(</w:t>
            </w:r>
            <w:r w:rsidRPr="008F165D">
              <w:rPr>
                <w:vertAlign w:val="superscript"/>
              </w:rPr>
              <w:t>–</w:t>
            </w:r>
            <w:r w:rsidRPr="00E07B1B">
              <w:t xml:space="preserve">0.10 to </w:t>
            </w:r>
            <w:r w:rsidRPr="008F165D">
              <w:rPr>
                <w:vertAlign w:val="superscript"/>
              </w:rPr>
              <w:t>–</w:t>
            </w:r>
            <w:r w:rsidRPr="00E07B1B">
              <w:t>0.01</w:t>
            </w:r>
            <w:r>
              <w:t>)</w:t>
            </w:r>
          </w:p>
        </w:tc>
      </w:tr>
      <w:tr w:rsidR="00AB6313" w:rsidRPr="00E07B1B" w:rsidTr="00AB6313">
        <w:trPr>
          <w:cantSplit/>
        </w:trPr>
        <w:tc>
          <w:tcPr>
            <w:tcW w:w="683" w:type="pct"/>
            <w:vMerge/>
            <w:tcBorders>
              <w:right w:val="nil"/>
            </w:tcBorders>
            <w:shd w:val="clear" w:color="auto" w:fill="auto"/>
          </w:tcPr>
          <w:p w:rsidR="00E278A0" w:rsidRPr="00E07B1B" w:rsidRDefault="00E278A0" w:rsidP="00E278A0">
            <w:pPr>
              <w:pStyle w:val="TableText"/>
            </w:pPr>
          </w:p>
        </w:tc>
        <w:tc>
          <w:tcPr>
            <w:tcW w:w="1288" w:type="pct"/>
            <w:tcBorders>
              <w:top w:val="nil"/>
              <w:left w:val="nil"/>
              <w:bottom w:val="nil"/>
              <w:right w:val="nil"/>
            </w:tcBorders>
            <w:shd w:val="clear" w:color="auto" w:fill="auto"/>
          </w:tcPr>
          <w:p w:rsidR="00E278A0" w:rsidRPr="00E07B1B" w:rsidRDefault="00E278A0" w:rsidP="00E278A0">
            <w:pPr>
              <w:pStyle w:val="TableText"/>
            </w:pPr>
            <w:r w:rsidRPr="00E07B1B">
              <w:t>1 trial</w:t>
            </w:r>
            <w:r>
              <w:br/>
            </w:r>
            <w:r w:rsidRPr="00E07B1B">
              <w:t xml:space="preserve">Carpenter </w:t>
            </w:r>
            <w:r>
              <w:t>and</w:t>
            </w:r>
            <w:r w:rsidRPr="00E07B1B">
              <w:t xml:space="preserve"> Coustan</w:t>
            </w:r>
            <w:r>
              <w:t>,</w:t>
            </w:r>
            <w:r w:rsidRPr="00E07B1B">
              <w:t xml:space="preserve"> and American Diabetes Association criteria</w:t>
            </w:r>
          </w:p>
        </w:tc>
        <w:tc>
          <w:tcPr>
            <w:tcW w:w="682" w:type="pct"/>
            <w:tcBorders>
              <w:top w:val="nil"/>
              <w:left w:val="nil"/>
              <w:bottom w:val="nil"/>
              <w:right w:val="nil"/>
            </w:tcBorders>
            <w:shd w:val="clear" w:color="auto" w:fill="auto"/>
          </w:tcPr>
          <w:p w:rsidR="00E278A0" w:rsidRPr="00E07B1B" w:rsidRDefault="00E278A0" w:rsidP="00E278A0">
            <w:pPr>
              <w:pStyle w:val="TableText"/>
            </w:pPr>
            <w:r w:rsidRPr="00E07B1B">
              <w:t>Walsh</w:t>
            </w:r>
            <w:r>
              <w:br/>
              <w:t>(</w:t>
            </w:r>
            <w:r w:rsidRPr="00E07B1B">
              <w:t>2012</w:t>
            </w:r>
            <w:r>
              <w:t>)</w:t>
            </w:r>
          </w:p>
        </w:tc>
        <w:tc>
          <w:tcPr>
            <w:tcW w:w="1136" w:type="pct"/>
            <w:tcBorders>
              <w:top w:val="nil"/>
              <w:left w:val="nil"/>
              <w:bottom w:val="nil"/>
              <w:right w:val="nil"/>
            </w:tcBorders>
            <w:shd w:val="clear" w:color="auto" w:fill="auto"/>
          </w:tcPr>
          <w:p w:rsidR="00E278A0" w:rsidRPr="00E07B1B" w:rsidRDefault="00E278A0" w:rsidP="00E278A0">
            <w:pPr>
              <w:pStyle w:val="TableText"/>
            </w:pPr>
            <w:r w:rsidRPr="00E07B1B">
              <w:t>759</w:t>
            </w:r>
            <w:r>
              <w:br/>
            </w:r>
            <w:r w:rsidRPr="00E07B1B">
              <w:t>Pregnant women with history of delivering a macrosomic infant</w:t>
            </w:r>
          </w:p>
        </w:tc>
        <w:tc>
          <w:tcPr>
            <w:tcW w:w="1212" w:type="pct"/>
            <w:tcBorders>
              <w:top w:val="nil"/>
              <w:left w:val="nil"/>
              <w:bottom w:val="nil"/>
            </w:tcBorders>
            <w:shd w:val="clear" w:color="auto" w:fill="auto"/>
          </w:tcPr>
          <w:p w:rsidR="00E278A0" w:rsidRPr="00E07B1B" w:rsidRDefault="00E278A0" w:rsidP="00E278A0">
            <w:pPr>
              <w:pStyle w:val="TableText"/>
            </w:pPr>
            <w:r w:rsidRPr="00E07B1B">
              <w:t xml:space="preserve">Not </w:t>
            </w:r>
            <w:r>
              <w:t>s</w:t>
            </w:r>
            <w:r w:rsidRPr="00E07B1B">
              <w:t>ignificant</w:t>
            </w:r>
          </w:p>
        </w:tc>
      </w:tr>
      <w:tr w:rsidR="00AB6313" w:rsidRPr="00E07B1B" w:rsidTr="00AB6313">
        <w:trPr>
          <w:cantSplit/>
        </w:trPr>
        <w:tc>
          <w:tcPr>
            <w:tcW w:w="683" w:type="pct"/>
            <w:vMerge/>
            <w:tcBorders>
              <w:right w:val="nil"/>
            </w:tcBorders>
            <w:shd w:val="clear" w:color="auto" w:fill="auto"/>
          </w:tcPr>
          <w:p w:rsidR="00E278A0" w:rsidRPr="00E07B1B" w:rsidRDefault="00E278A0" w:rsidP="00E278A0">
            <w:pPr>
              <w:pStyle w:val="TableText"/>
            </w:pPr>
          </w:p>
        </w:tc>
        <w:tc>
          <w:tcPr>
            <w:tcW w:w="1288" w:type="pct"/>
            <w:tcBorders>
              <w:top w:val="nil"/>
              <w:left w:val="nil"/>
              <w:bottom w:val="nil"/>
              <w:right w:val="nil"/>
            </w:tcBorders>
            <w:shd w:val="clear" w:color="auto" w:fill="F2F2F2" w:themeFill="background1" w:themeFillShade="F2"/>
          </w:tcPr>
          <w:p w:rsidR="00E278A0" w:rsidRPr="00E07B1B" w:rsidRDefault="00E278A0" w:rsidP="00E278A0">
            <w:pPr>
              <w:pStyle w:val="TableText"/>
            </w:pPr>
            <w:r w:rsidRPr="00E07B1B">
              <w:t>1 trial</w:t>
            </w:r>
            <w:r>
              <w:br/>
            </w:r>
            <w:r w:rsidRPr="00E07B1B">
              <w:t>2-hour</w:t>
            </w:r>
            <w:r>
              <w:t>,</w:t>
            </w:r>
            <w:r w:rsidRPr="00E07B1B">
              <w:t xml:space="preserve"> 75</w:t>
            </w:r>
            <w:r>
              <w:t xml:space="preserve"> </w:t>
            </w:r>
            <w:r w:rsidRPr="00E07B1B">
              <w:t>g oral glucose tolerance test</w:t>
            </w:r>
          </w:p>
        </w:tc>
        <w:tc>
          <w:tcPr>
            <w:tcW w:w="682" w:type="pct"/>
            <w:tcBorders>
              <w:top w:val="nil"/>
              <w:left w:val="nil"/>
              <w:bottom w:val="nil"/>
              <w:right w:val="nil"/>
            </w:tcBorders>
            <w:shd w:val="clear" w:color="auto" w:fill="F2F2F2" w:themeFill="background1" w:themeFillShade="F2"/>
          </w:tcPr>
          <w:p w:rsidR="00E278A0" w:rsidRPr="00E07B1B" w:rsidRDefault="00E278A0" w:rsidP="00E278A0">
            <w:pPr>
              <w:pStyle w:val="TableText"/>
            </w:pPr>
            <w:r w:rsidRPr="00E07B1B">
              <w:t>Quinlivan</w:t>
            </w:r>
            <w:r>
              <w:br/>
              <w:t>(</w:t>
            </w:r>
            <w:r w:rsidRPr="00E07B1B">
              <w:t>2011</w:t>
            </w:r>
            <w:r>
              <w:t>)</w:t>
            </w:r>
          </w:p>
        </w:tc>
        <w:tc>
          <w:tcPr>
            <w:tcW w:w="1136" w:type="pct"/>
            <w:tcBorders>
              <w:top w:val="nil"/>
              <w:left w:val="nil"/>
              <w:bottom w:val="nil"/>
              <w:right w:val="nil"/>
            </w:tcBorders>
            <w:shd w:val="clear" w:color="auto" w:fill="F2F2F2" w:themeFill="background1" w:themeFillShade="F2"/>
          </w:tcPr>
          <w:p w:rsidR="00E278A0" w:rsidRPr="00E07B1B" w:rsidRDefault="00E278A0" w:rsidP="00E278A0">
            <w:pPr>
              <w:pStyle w:val="TableText"/>
            </w:pPr>
            <w:r w:rsidRPr="00E07B1B">
              <w:t>124</w:t>
            </w:r>
            <w:r>
              <w:br/>
            </w:r>
            <w:r w:rsidRPr="00E07B1B">
              <w:t>Obese or overweight pregnant women</w:t>
            </w:r>
          </w:p>
        </w:tc>
        <w:tc>
          <w:tcPr>
            <w:tcW w:w="1212" w:type="pct"/>
            <w:tcBorders>
              <w:top w:val="nil"/>
              <w:left w:val="nil"/>
              <w:bottom w:val="nil"/>
            </w:tcBorders>
            <w:shd w:val="clear" w:color="auto" w:fill="F2F2F2" w:themeFill="background1" w:themeFillShade="F2"/>
          </w:tcPr>
          <w:p w:rsidR="00E278A0" w:rsidRPr="00E07B1B" w:rsidRDefault="00E278A0" w:rsidP="00E278A0">
            <w:pPr>
              <w:pStyle w:val="TableText"/>
            </w:pPr>
            <w:r w:rsidRPr="00E07B1B">
              <w:t>OR 0.17</w:t>
            </w:r>
            <w:r>
              <w:t xml:space="preserve"> (</w:t>
            </w:r>
            <w:r w:rsidRPr="00E07B1B">
              <w:t>0.03</w:t>
            </w:r>
            <w:r>
              <w:t>–</w:t>
            </w:r>
            <w:r w:rsidRPr="00E07B1B">
              <w:t>0.95</w:t>
            </w:r>
            <w:r>
              <w:t>)</w:t>
            </w:r>
            <w:r>
              <w:br/>
            </w:r>
            <w:r w:rsidRPr="00E07B1B">
              <w:t>6% versus 29%</w:t>
            </w:r>
          </w:p>
        </w:tc>
      </w:tr>
      <w:tr w:rsidR="00AB6313" w:rsidRPr="00E07B1B" w:rsidTr="00AB6313">
        <w:trPr>
          <w:cantSplit/>
        </w:trPr>
        <w:tc>
          <w:tcPr>
            <w:tcW w:w="683" w:type="pct"/>
            <w:vMerge/>
            <w:tcBorders>
              <w:right w:val="nil"/>
            </w:tcBorders>
            <w:shd w:val="clear" w:color="auto" w:fill="auto"/>
          </w:tcPr>
          <w:p w:rsidR="00E278A0" w:rsidRPr="00E07B1B" w:rsidRDefault="00E278A0" w:rsidP="00E278A0">
            <w:pPr>
              <w:pStyle w:val="TableText"/>
            </w:pPr>
          </w:p>
        </w:tc>
        <w:tc>
          <w:tcPr>
            <w:tcW w:w="1288" w:type="pct"/>
            <w:tcBorders>
              <w:top w:val="nil"/>
              <w:left w:val="nil"/>
              <w:bottom w:val="single" w:sz="4" w:space="0" w:color="auto"/>
              <w:right w:val="nil"/>
            </w:tcBorders>
            <w:shd w:val="clear" w:color="auto" w:fill="auto"/>
          </w:tcPr>
          <w:p w:rsidR="00E278A0" w:rsidRPr="00E07B1B" w:rsidRDefault="00E278A0" w:rsidP="00E278A0">
            <w:pPr>
              <w:pStyle w:val="TableText"/>
            </w:pPr>
            <w:r w:rsidRPr="00E07B1B">
              <w:t>1 trial (probiotics)</w:t>
            </w:r>
          </w:p>
        </w:tc>
        <w:tc>
          <w:tcPr>
            <w:tcW w:w="682" w:type="pct"/>
            <w:tcBorders>
              <w:top w:val="nil"/>
              <w:left w:val="nil"/>
              <w:bottom w:val="single" w:sz="4" w:space="0" w:color="auto"/>
              <w:right w:val="nil"/>
            </w:tcBorders>
            <w:shd w:val="clear" w:color="auto" w:fill="auto"/>
          </w:tcPr>
          <w:p w:rsidR="00E278A0" w:rsidRPr="00E07B1B" w:rsidRDefault="00E278A0" w:rsidP="00E278A0">
            <w:pPr>
              <w:pStyle w:val="TableText"/>
            </w:pPr>
            <w:r w:rsidRPr="00E07B1B">
              <w:t>Oostdam</w:t>
            </w:r>
            <w:r>
              <w:br/>
              <w:t>(</w:t>
            </w:r>
            <w:r w:rsidRPr="00E07B1B">
              <w:t>2011</w:t>
            </w:r>
            <w:r>
              <w:t>)</w:t>
            </w:r>
          </w:p>
        </w:tc>
        <w:tc>
          <w:tcPr>
            <w:tcW w:w="1136" w:type="pct"/>
            <w:tcBorders>
              <w:top w:val="nil"/>
              <w:left w:val="nil"/>
              <w:bottom w:val="single" w:sz="4" w:space="0" w:color="auto"/>
              <w:right w:val="nil"/>
            </w:tcBorders>
            <w:shd w:val="clear" w:color="auto" w:fill="auto"/>
          </w:tcPr>
          <w:p w:rsidR="00E278A0" w:rsidRPr="00E07B1B" w:rsidRDefault="00E278A0" w:rsidP="00E278A0">
            <w:pPr>
              <w:pStyle w:val="TableText"/>
            </w:pPr>
            <w:r w:rsidRPr="00E07B1B">
              <w:t>256</w:t>
            </w:r>
            <w:r>
              <w:br/>
            </w:r>
            <w:r w:rsidRPr="00E07B1B">
              <w:t>Pregnant women</w:t>
            </w:r>
          </w:p>
        </w:tc>
        <w:tc>
          <w:tcPr>
            <w:tcW w:w="1212" w:type="pct"/>
            <w:tcBorders>
              <w:top w:val="nil"/>
              <w:left w:val="nil"/>
            </w:tcBorders>
            <w:shd w:val="clear" w:color="auto" w:fill="auto"/>
          </w:tcPr>
          <w:p w:rsidR="00E278A0" w:rsidRPr="00E07B1B" w:rsidRDefault="00E278A0" w:rsidP="00E278A0">
            <w:pPr>
              <w:pStyle w:val="TableText"/>
            </w:pPr>
            <w:r w:rsidRPr="00E07B1B">
              <w:t>OR 0.27</w:t>
            </w:r>
            <w:r>
              <w:t xml:space="preserve"> (</w:t>
            </w:r>
            <w:r w:rsidRPr="00E07B1B">
              <w:t>0.11</w:t>
            </w:r>
            <w:r>
              <w:t>–</w:t>
            </w:r>
            <w:r w:rsidRPr="00E07B1B">
              <w:t>0.62</w:t>
            </w:r>
            <w:r>
              <w:t>)</w:t>
            </w:r>
          </w:p>
        </w:tc>
      </w:tr>
    </w:tbl>
    <w:p w:rsidR="0025490C" w:rsidRDefault="0025490C" w:rsidP="00E278A0">
      <w:pPr>
        <w:pStyle w:val="Note"/>
      </w:pPr>
      <w:bookmarkStart w:id="521" w:name="_Toc363717816"/>
      <w:r w:rsidRPr="008F165D">
        <w:t xml:space="preserve">Note: </w:t>
      </w:r>
      <w:r>
        <w:t>GDM = gestational diabetes mellitus; OR = odds ratio; RD = risk difference</w:t>
      </w:r>
      <w:r w:rsidR="00E278A0">
        <w:t>.</w:t>
      </w:r>
    </w:p>
    <w:p w:rsidR="00E278A0" w:rsidRPr="00E278A0" w:rsidRDefault="00E278A0" w:rsidP="00E278A0"/>
    <w:p w:rsidR="0025490C" w:rsidRPr="00E07B1B" w:rsidRDefault="0025490C" w:rsidP="00AB6313">
      <w:pPr>
        <w:pStyle w:val="Table"/>
      </w:pPr>
      <w:bookmarkStart w:id="522" w:name="_Toc403635906"/>
      <w:r w:rsidRPr="00E07B1B">
        <w:t>Table 25</w:t>
      </w:r>
      <w:r w:rsidR="00AB6313">
        <w:t>:</w:t>
      </w:r>
      <w:r w:rsidRPr="00E07B1B">
        <w:t xml:space="preserve"> Table of effects: </w:t>
      </w:r>
      <w:r w:rsidR="00AB6313">
        <w:t>e</w:t>
      </w:r>
      <w:r w:rsidRPr="00E07B1B">
        <w:t>xercise interventions to prevent gestational diabetes</w:t>
      </w:r>
      <w:bookmarkEnd w:id="521"/>
      <w:bookmarkEnd w:id="522"/>
    </w:p>
    <w:tbl>
      <w:tblPr>
        <w:tblW w:w="494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278"/>
        <w:gridCol w:w="2412"/>
        <w:gridCol w:w="1274"/>
        <w:gridCol w:w="2125"/>
        <w:gridCol w:w="2266"/>
      </w:tblGrid>
      <w:tr w:rsidR="00AB6313" w:rsidRPr="00AB6313" w:rsidTr="00AB6313">
        <w:trPr>
          <w:cantSplit/>
        </w:trPr>
        <w:tc>
          <w:tcPr>
            <w:tcW w:w="683" w:type="pct"/>
            <w:tcBorders>
              <w:top w:val="single" w:sz="4" w:space="0" w:color="auto"/>
              <w:bottom w:val="single" w:sz="4" w:space="0" w:color="auto"/>
              <w:right w:val="nil"/>
            </w:tcBorders>
            <w:shd w:val="clear" w:color="auto" w:fill="auto"/>
          </w:tcPr>
          <w:p w:rsidR="0025490C" w:rsidRPr="00AB6313" w:rsidRDefault="00AB6313" w:rsidP="00AB6313">
            <w:pPr>
              <w:pStyle w:val="TableText"/>
              <w:rPr>
                <w:b/>
              </w:rPr>
            </w:pPr>
            <w:r w:rsidRPr="00AB6313">
              <w:rPr>
                <w:b/>
              </w:rPr>
              <w:t>Outcome</w:t>
            </w:r>
          </w:p>
        </w:tc>
        <w:tc>
          <w:tcPr>
            <w:tcW w:w="1289" w:type="pct"/>
            <w:tcBorders>
              <w:top w:val="single" w:sz="4" w:space="0" w:color="auto"/>
              <w:left w:val="nil"/>
              <w:bottom w:val="single" w:sz="4" w:space="0" w:color="auto"/>
              <w:right w:val="nil"/>
            </w:tcBorders>
            <w:shd w:val="clear" w:color="auto" w:fill="auto"/>
          </w:tcPr>
          <w:p w:rsidR="0025490C" w:rsidRPr="00AB6313" w:rsidRDefault="0025490C" w:rsidP="00AB6313">
            <w:pPr>
              <w:pStyle w:val="TableText"/>
              <w:jc w:val="center"/>
              <w:rPr>
                <w:b/>
              </w:rPr>
            </w:pPr>
            <w:r w:rsidRPr="00AB6313">
              <w:rPr>
                <w:b/>
              </w:rPr>
              <w:t>Number of studies and definitions</w:t>
            </w:r>
          </w:p>
        </w:tc>
        <w:tc>
          <w:tcPr>
            <w:tcW w:w="681" w:type="pct"/>
            <w:tcBorders>
              <w:top w:val="single" w:sz="4" w:space="0" w:color="auto"/>
              <w:left w:val="nil"/>
              <w:bottom w:val="single" w:sz="4" w:space="0" w:color="auto"/>
              <w:right w:val="nil"/>
            </w:tcBorders>
            <w:shd w:val="clear" w:color="auto" w:fill="auto"/>
          </w:tcPr>
          <w:p w:rsidR="0025490C" w:rsidRPr="00AB6313" w:rsidRDefault="0025490C" w:rsidP="00AB6313">
            <w:pPr>
              <w:pStyle w:val="TableText"/>
              <w:jc w:val="center"/>
              <w:rPr>
                <w:b/>
              </w:rPr>
            </w:pPr>
            <w:r w:rsidRPr="00AB6313">
              <w:rPr>
                <w:b/>
              </w:rPr>
              <w:t>Author</w:t>
            </w:r>
          </w:p>
        </w:tc>
        <w:tc>
          <w:tcPr>
            <w:tcW w:w="1136" w:type="pct"/>
            <w:tcBorders>
              <w:top w:val="single" w:sz="4" w:space="0" w:color="auto"/>
              <w:left w:val="nil"/>
              <w:bottom w:val="single" w:sz="4" w:space="0" w:color="auto"/>
              <w:right w:val="nil"/>
            </w:tcBorders>
            <w:shd w:val="clear" w:color="auto" w:fill="auto"/>
          </w:tcPr>
          <w:p w:rsidR="0025490C" w:rsidRPr="00AB6313" w:rsidRDefault="0025490C" w:rsidP="00AB6313">
            <w:pPr>
              <w:pStyle w:val="TableText"/>
              <w:jc w:val="center"/>
              <w:rPr>
                <w:b/>
              </w:rPr>
            </w:pPr>
            <w:r w:rsidRPr="00AB6313">
              <w:rPr>
                <w:b/>
              </w:rPr>
              <w:t>Number of participants</w:t>
            </w:r>
          </w:p>
        </w:tc>
        <w:tc>
          <w:tcPr>
            <w:tcW w:w="1212" w:type="pct"/>
            <w:tcBorders>
              <w:top w:val="single" w:sz="4" w:space="0" w:color="auto"/>
              <w:left w:val="nil"/>
              <w:bottom w:val="single" w:sz="4" w:space="0" w:color="auto"/>
            </w:tcBorders>
            <w:shd w:val="clear" w:color="auto" w:fill="auto"/>
          </w:tcPr>
          <w:p w:rsidR="0025490C" w:rsidRPr="00AB6313" w:rsidRDefault="0025490C" w:rsidP="00AB6313">
            <w:pPr>
              <w:pStyle w:val="TableText"/>
              <w:jc w:val="center"/>
              <w:rPr>
                <w:b/>
              </w:rPr>
            </w:pPr>
            <w:r w:rsidRPr="00AB6313">
              <w:rPr>
                <w:b/>
              </w:rPr>
              <w:t>Effect size (95% confidence interval) for diagnosis of gestational diabetes</w:t>
            </w:r>
          </w:p>
        </w:tc>
      </w:tr>
      <w:tr w:rsidR="00AB6313" w:rsidRPr="00E07B1B" w:rsidTr="00AB6313">
        <w:trPr>
          <w:cantSplit/>
        </w:trPr>
        <w:tc>
          <w:tcPr>
            <w:tcW w:w="683" w:type="pct"/>
            <w:tcBorders>
              <w:top w:val="single" w:sz="4" w:space="0" w:color="auto"/>
              <w:right w:val="nil"/>
            </w:tcBorders>
            <w:shd w:val="clear" w:color="auto" w:fill="auto"/>
          </w:tcPr>
          <w:p w:rsidR="0025490C" w:rsidRPr="00E07B1B" w:rsidRDefault="0025490C" w:rsidP="00AB6313">
            <w:pPr>
              <w:pStyle w:val="TableText"/>
            </w:pPr>
            <w:r w:rsidRPr="00E07B1B">
              <w:t>Diagnosis of GDM</w:t>
            </w:r>
          </w:p>
        </w:tc>
        <w:tc>
          <w:tcPr>
            <w:tcW w:w="1289" w:type="pct"/>
            <w:tcBorders>
              <w:top w:val="single" w:sz="4" w:space="0" w:color="auto"/>
              <w:left w:val="nil"/>
              <w:bottom w:val="nil"/>
              <w:right w:val="nil"/>
            </w:tcBorders>
            <w:shd w:val="clear" w:color="auto" w:fill="F2F2F2" w:themeFill="background1" w:themeFillShade="F2"/>
          </w:tcPr>
          <w:p w:rsidR="0025490C" w:rsidRPr="00E07B1B" w:rsidRDefault="0025490C" w:rsidP="00AB6313">
            <w:pPr>
              <w:pStyle w:val="TableText"/>
            </w:pPr>
            <w:r w:rsidRPr="00E07B1B">
              <w:t>3 trials</w:t>
            </w:r>
            <w:r w:rsidR="00AB6313">
              <w:br/>
            </w:r>
            <w:r w:rsidRPr="00E07B1B">
              <w:t>Various</w:t>
            </w:r>
          </w:p>
        </w:tc>
        <w:tc>
          <w:tcPr>
            <w:tcW w:w="681" w:type="pct"/>
            <w:tcBorders>
              <w:top w:val="single" w:sz="4" w:space="0" w:color="auto"/>
              <w:left w:val="nil"/>
              <w:bottom w:val="nil"/>
              <w:right w:val="nil"/>
            </w:tcBorders>
            <w:shd w:val="clear" w:color="auto" w:fill="F2F2F2" w:themeFill="background1" w:themeFillShade="F2"/>
          </w:tcPr>
          <w:p w:rsidR="0025490C" w:rsidRPr="00E07B1B" w:rsidRDefault="0025490C" w:rsidP="00AB6313">
            <w:pPr>
              <w:pStyle w:val="TableText"/>
            </w:pPr>
            <w:r w:rsidRPr="00E07B1B">
              <w:t>Han</w:t>
            </w:r>
            <w:r w:rsidR="00AB6313">
              <w:br/>
            </w:r>
            <w:r>
              <w:t>(</w:t>
            </w:r>
            <w:r w:rsidRPr="00E07B1B">
              <w:t>2012</w:t>
            </w:r>
            <w:r>
              <w:t>)</w:t>
            </w:r>
          </w:p>
        </w:tc>
        <w:tc>
          <w:tcPr>
            <w:tcW w:w="1136" w:type="pct"/>
            <w:tcBorders>
              <w:top w:val="single" w:sz="4" w:space="0" w:color="auto"/>
              <w:left w:val="nil"/>
              <w:bottom w:val="nil"/>
              <w:right w:val="nil"/>
            </w:tcBorders>
            <w:shd w:val="clear" w:color="auto" w:fill="F2F2F2" w:themeFill="background1" w:themeFillShade="F2"/>
          </w:tcPr>
          <w:p w:rsidR="0025490C" w:rsidRPr="00E07B1B" w:rsidRDefault="0025490C" w:rsidP="00AB6313">
            <w:pPr>
              <w:pStyle w:val="TableText"/>
            </w:pPr>
            <w:r w:rsidRPr="00E07B1B">
              <w:t>826</w:t>
            </w:r>
            <w:r w:rsidR="00AB6313">
              <w:br/>
            </w:r>
            <w:r w:rsidRPr="00E07B1B">
              <w:t>Pregnant women</w:t>
            </w:r>
          </w:p>
        </w:tc>
        <w:tc>
          <w:tcPr>
            <w:tcW w:w="1212" w:type="pct"/>
            <w:tcBorders>
              <w:top w:val="single" w:sz="4" w:space="0" w:color="auto"/>
              <w:left w:val="nil"/>
              <w:bottom w:val="nil"/>
            </w:tcBorders>
            <w:shd w:val="clear" w:color="auto" w:fill="F2F2F2" w:themeFill="background1" w:themeFillShade="F2"/>
          </w:tcPr>
          <w:p w:rsidR="0025490C" w:rsidRPr="00E07B1B" w:rsidRDefault="0025490C" w:rsidP="00AB6313">
            <w:pPr>
              <w:pStyle w:val="TableText"/>
            </w:pPr>
            <w:r w:rsidRPr="00E07B1B">
              <w:t>1</w:t>
            </w:r>
            <w:r>
              <w:t>.</w:t>
            </w:r>
            <w:r w:rsidRPr="00E07B1B">
              <w:t xml:space="preserve">10 </w:t>
            </w:r>
            <w:r>
              <w:t>(</w:t>
            </w:r>
            <w:r w:rsidRPr="00E07B1B">
              <w:t>0.66</w:t>
            </w:r>
            <w:r>
              <w:t>–</w:t>
            </w:r>
            <w:r w:rsidRPr="00E07B1B">
              <w:t>1.84</w:t>
            </w:r>
            <w:r>
              <w:t>)</w:t>
            </w:r>
            <w:r w:rsidRPr="00E07B1B">
              <w:t>, NS</w:t>
            </w:r>
          </w:p>
        </w:tc>
      </w:tr>
      <w:tr w:rsidR="00AB6313" w:rsidRPr="00E07B1B" w:rsidTr="00AB6313">
        <w:trPr>
          <w:cantSplit/>
        </w:trPr>
        <w:tc>
          <w:tcPr>
            <w:tcW w:w="683" w:type="pct"/>
            <w:tcBorders>
              <w:right w:val="nil"/>
            </w:tcBorders>
            <w:shd w:val="clear" w:color="auto" w:fill="auto"/>
          </w:tcPr>
          <w:p w:rsidR="0025490C" w:rsidRPr="00E07B1B" w:rsidRDefault="0025490C" w:rsidP="00AB6313">
            <w:pPr>
              <w:pStyle w:val="TableText"/>
            </w:pPr>
          </w:p>
        </w:tc>
        <w:tc>
          <w:tcPr>
            <w:tcW w:w="1289" w:type="pct"/>
            <w:tcBorders>
              <w:top w:val="nil"/>
              <w:left w:val="nil"/>
              <w:bottom w:val="nil"/>
              <w:right w:val="nil"/>
            </w:tcBorders>
            <w:shd w:val="clear" w:color="auto" w:fill="auto"/>
          </w:tcPr>
          <w:p w:rsidR="0025490C" w:rsidRPr="00E07B1B" w:rsidRDefault="0025490C" w:rsidP="00AB6313">
            <w:pPr>
              <w:pStyle w:val="TableText"/>
            </w:pPr>
            <w:r w:rsidRPr="00E07B1B">
              <w:t>3 trials</w:t>
            </w:r>
            <w:r w:rsidR="00AB6313">
              <w:br/>
            </w:r>
            <w:r w:rsidRPr="00E07B1B">
              <w:t>Various</w:t>
            </w:r>
          </w:p>
        </w:tc>
        <w:tc>
          <w:tcPr>
            <w:tcW w:w="681" w:type="pct"/>
            <w:tcBorders>
              <w:top w:val="nil"/>
              <w:left w:val="nil"/>
              <w:bottom w:val="nil"/>
              <w:right w:val="nil"/>
            </w:tcBorders>
            <w:shd w:val="clear" w:color="auto" w:fill="auto"/>
          </w:tcPr>
          <w:p w:rsidR="0025490C" w:rsidRPr="00E07B1B" w:rsidRDefault="0025490C" w:rsidP="00AB6313">
            <w:pPr>
              <w:pStyle w:val="TableText"/>
            </w:pPr>
            <w:r w:rsidRPr="00E07B1B">
              <w:t>Oostdam</w:t>
            </w:r>
            <w:r w:rsidR="00AB6313">
              <w:br/>
            </w:r>
            <w:r>
              <w:t>(</w:t>
            </w:r>
            <w:r w:rsidRPr="00E07B1B">
              <w:t>2011</w:t>
            </w:r>
            <w:r>
              <w:t>)</w:t>
            </w:r>
          </w:p>
        </w:tc>
        <w:tc>
          <w:tcPr>
            <w:tcW w:w="1136" w:type="pct"/>
            <w:tcBorders>
              <w:top w:val="nil"/>
              <w:left w:val="nil"/>
              <w:bottom w:val="nil"/>
              <w:right w:val="nil"/>
            </w:tcBorders>
            <w:shd w:val="clear" w:color="auto" w:fill="auto"/>
          </w:tcPr>
          <w:p w:rsidR="0025490C" w:rsidRPr="00E07B1B" w:rsidRDefault="0025490C" w:rsidP="00AB6313">
            <w:pPr>
              <w:pStyle w:val="TableText"/>
            </w:pPr>
            <w:r w:rsidRPr="00E07B1B">
              <w:t>238</w:t>
            </w:r>
            <w:r w:rsidR="00AB6313">
              <w:br/>
            </w:r>
            <w:r w:rsidRPr="00E07B1B">
              <w:t>Pregnant women</w:t>
            </w:r>
          </w:p>
        </w:tc>
        <w:tc>
          <w:tcPr>
            <w:tcW w:w="1212" w:type="pct"/>
            <w:tcBorders>
              <w:top w:val="nil"/>
              <w:left w:val="nil"/>
              <w:bottom w:val="nil"/>
            </w:tcBorders>
            <w:shd w:val="clear" w:color="auto" w:fill="auto"/>
          </w:tcPr>
          <w:p w:rsidR="0025490C" w:rsidRPr="00E07B1B" w:rsidRDefault="0025490C" w:rsidP="00AB6313">
            <w:pPr>
              <w:pStyle w:val="TableText"/>
            </w:pPr>
            <w:r w:rsidRPr="00E07B1B">
              <w:t xml:space="preserve">RD </w:t>
            </w:r>
            <w:r w:rsidRPr="008F165D">
              <w:rPr>
                <w:vertAlign w:val="superscript"/>
              </w:rPr>
              <w:t>–</w:t>
            </w:r>
            <w:r w:rsidRPr="00E07B1B">
              <w:t>0.05</w:t>
            </w:r>
            <w:r w:rsidR="00AB6313">
              <w:br/>
            </w:r>
            <w:r>
              <w:t>(</w:t>
            </w:r>
            <w:r w:rsidRPr="008F165D">
              <w:rPr>
                <w:vertAlign w:val="superscript"/>
              </w:rPr>
              <w:t>–</w:t>
            </w:r>
            <w:r w:rsidRPr="00E07B1B">
              <w:t>0.20 to 0.10</w:t>
            </w:r>
            <w:r>
              <w:t xml:space="preserve">), </w:t>
            </w:r>
            <w:r w:rsidRPr="00E07B1B">
              <w:t>NS</w:t>
            </w:r>
          </w:p>
        </w:tc>
      </w:tr>
      <w:tr w:rsidR="00AB6313" w:rsidRPr="00E07B1B" w:rsidTr="00AB6313">
        <w:trPr>
          <w:cantSplit/>
        </w:trPr>
        <w:tc>
          <w:tcPr>
            <w:tcW w:w="683" w:type="pct"/>
            <w:tcBorders>
              <w:right w:val="nil"/>
            </w:tcBorders>
            <w:shd w:val="clear" w:color="auto" w:fill="auto"/>
          </w:tcPr>
          <w:p w:rsidR="0025490C" w:rsidRPr="00E07B1B" w:rsidRDefault="0025490C" w:rsidP="00AB6313">
            <w:pPr>
              <w:pStyle w:val="TableText"/>
            </w:pPr>
          </w:p>
        </w:tc>
        <w:tc>
          <w:tcPr>
            <w:tcW w:w="1289" w:type="pct"/>
            <w:tcBorders>
              <w:top w:val="nil"/>
              <w:left w:val="nil"/>
              <w:bottom w:val="single" w:sz="4" w:space="0" w:color="auto"/>
              <w:right w:val="nil"/>
            </w:tcBorders>
            <w:shd w:val="clear" w:color="auto" w:fill="F2F2F2" w:themeFill="background1" w:themeFillShade="F2"/>
          </w:tcPr>
          <w:p w:rsidR="0025490C" w:rsidRDefault="0025490C" w:rsidP="00AB6313">
            <w:pPr>
              <w:pStyle w:val="TableText"/>
            </w:pPr>
            <w:r w:rsidRPr="00E07B1B">
              <w:t>1 trial</w:t>
            </w:r>
            <w:r w:rsidR="00AB6313">
              <w:br/>
            </w:r>
            <w:r w:rsidRPr="00E07B1B">
              <w:t>2</w:t>
            </w:r>
            <w:r>
              <w:t>-hour</w:t>
            </w:r>
            <w:r w:rsidRPr="00E07B1B">
              <w:t xml:space="preserve"> OGTT</w:t>
            </w:r>
            <w:r>
              <w:t xml:space="preserve"> </w:t>
            </w:r>
            <w:r w:rsidRPr="00E07B1B">
              <w:t>at 24</w:t>
            </w:r>
            <w:r>
              <w:t>–</w:t>
            </w:r>
            <w:r w:rsidRPr="00E07B1B">
              <w:t>26 week</w:t>
            </w:r>
            <w:r>
              <w:t>s</w:t>
            </w:r>
          </w:p>
          <w:p w:rsidR="0025490C" w:rsidRPr="00E07B1B" w:rsidRDefault="0025490C" w:rsidP="00AB6313">
            <w:pPr>
              <w:pStyle w:val="TableText"/>
            </w:pPr>
            <w:r w:rsidRPr="00E07B1B">
              <w:t xml:space="preserve">WHO </w:t>
            </w:r>
            <w:r w:rsidR="00AB6313">
              <w:t>and</w:t>
            </w:r>
            <w:r w:rsidRPr="00E07B1B">
              <w:t xml:space="preserve"> IADPSG</w:t>
            </w:r>
            <w:r>
              <w:t xml:space="preserve"> </w:t>
            </w:r>
            <w:r w:rsidRPr="00E07B1B">
              <w:t>criteria applied</w:t>
            </w:r>
          </w:p>
        </w:tc>
        <w:tc>
          <w:tcPr>
            <w:tcW w:w="681" w:type="pct"/>
            <w:tcBorders>
              <w:top w:val="nil"/>
              <w:left w:val="nil"/>
              <w:bottom w:val="single" w:sz="4" w:space="0" w:color="auto"/>
              <w:right w:val="nil"/>
            </w:tcBorders>
            <w:shd w:val="clear" w:color="auto" w:fill="F2F2F2" w:themeFill="background1" w:themeFillShade="F2"/>
          </w:tcPr>
          <w:p w:rsidR="0025490C" w:rsidRPr="00E07B1B" w:rsidRDefault="0025490C" w:rsidP="00AB6313">
            <w:pPr>
              <w:pStyle w:val="TableText"/>
            </w:pPr>
            <w:r w:rsidRPr="00E07B1B">
              <w:t>Barakat</w:t>
            </w:r>
            <w:r w:rsidR="00AB6313">
              <w:br/>
            </w:r>
            <w:r>
              <w:t>(</w:t>
            </w:r>
            <w:r w:rsidRPr="00E07B1B">
              <w:t>2013</w:t>
            </w:r>
            <w:r>
              <w:t>)</w:t>
            </w:r>
          </w:p>
        </w:tc>
        <w:tc>
          <w:tcPr>
            <w:tcW w:w="1136" w:type="pct"/>
            <w:tcBorders>
              <w:top w:val="nil"/>
              <w:left w:val="nil"/>
              <w:bottom w:val="single" w:sz="4" w:space="0" w:color="auto"/>
              <w:right w:val="nil"/>
            </w:tcBorders>
            <w:shd w:val="clear" w:color="auto" w:fill="F2F2F2" w:themeFill="background1" w:themeFillShade="F2"/>
          </w:tcPr>
          <w:p w:rsidR="0025490C" w:rsidRPr="00E07B1B" w:rsidRDefault="0025490C" w:rsidP="00AB6313">
            <w:pPr>
              <w:pStyle w:val="TableText"/>
            </w:pPr>
            <w:r w:rsidRPr="00E07B1B">
              <w:t>428</w:t>
            </w:r>
            <w:r w:rsidR="00AB6313">
              <w:br/>
            </w:r>
            <w:r w:rsidRPr="00E07B1B">
              <w:t>Sedentary</w:t>
            </w:r>
            <w:r>
              <w:t>*</w:t>
            </w:r>
          </w:p>
        </w:tc>
        <w:tc>
          <w:tcPr>
            <w:tcW w:w="1212" w:type="pct"/>
            <w:tcBorders>
              <w:top w:val="nil"/>
              <w:left w:val="nil"/>
              <w:bottom w:val="single" w:sz="4" w:space="0" w:color="auto"/>
            </w:tcBorders>
            <w:shd w:val="clear" w:color="auto" w:fill="F2F2F2" w:themeFill="background1" w:themeFillShade="F2"/>
          </w:tcPr>
          <w:p w:rsidR="0025490C" w:rsidRPr="00E07B1B" w:rsidRDefault="0025490C" w:rsidP="00AB6313">
            <w:pPr>
              <w:pStyle w:val="TableText"/>
            </w:pPr>
            <w:r w:rsidRPr="00E07B1B">
              <w:t>OR 0.84</w:t>
            </w:r>
            <w:r>
              <w:t xml:space="preserve"> (</w:t>
            </w:r>
            <w:r w:rsidRPr="00E07B1B">
              <w:t>0.50</w:t>
            </w:r>
            <w:r>
              <w:t>–</w:t>
            </w:r>
            <w:r w:rsidRPr="00E07B1B">
              <w:t>1.40</w:t>
            </w:r>
            <w:r>
              <w:t>)</w:t>
            </w:r>
          </w:p>
        </w:tc>
      </w:tr>
    </w:tbl>
    <w:p w:rsidR="0025490C" w:rsidRPr="00E07B1B" w:rsidRDefault="0025490C" w:rsidP="00AB6313">
      <w:pPr>
        <w:pStyle w:val="Note"/>
        <w:ind w:left="0" w:firstLine="0"/>
        <w:rPr>
          <w:rFonts w:cs="Arial"/>
          <w:sz w:val="16"/>
          <w:szCs w:val="16"/>
        </w:rPr>
      </w:pPr>
      <w:r w:rsidRPr="001E7D78">
        <w:t xml:space="preserve">Note: </w:t>
      </w:r>
      <w:r>
        <w:t>GDM = gestational diabetes mellitus; IADPS =</w:t>
      </w:r>
      <w:r w:rsidRPr="003A5B52">
        <w:rPr>
          <w:rFonts w:cs="Arial"/>
        </w:rPr>
        <w:t xml:space="preserve"> </w:t>
      </w:r>
      <w:r w:rsidRPr="00A5585F">
        <w:rPr>
          <w:rFonts w:cs="Arial"/>
        </w:rPr>
        <w:t>International Association for Diabetes and Pregnancy Study Groups</w:t>
      </w:r>
      <w:r>
        <w:rPr>
          <w:rFonts w:cs="Arial"/>
        </w:rPr>
        <w:t>; NS = not significant;</w:t>
      </w:r>
      <w:r>
        <w:t xml:space="preserve"> OGTT = oral glucose tolerance test; OR = odds ratio; RD =risk difference; WHO =</w:t>
      </w:r>
      <w:r w:rsidR="0068074A">
        <w:t xml:space="preserve"> </w:t>
      </w:r>
      <w:r w:rsidRPr="00CF73A1">
        <w:rPr>
          <w:rFonts w:cs="Arial"/>
        </w:rPr>
        <w:t>World Health Organization</w:t>
      </w:r>
      <w:r w:rsidR="00AB6313">
        <w:rPr>
          <w:rFonts w:cs="Arial"/>
        </w:rPr>
        <w:t>.</w:t>
      </w:r>
    </w:p>
    <w:p w:rsidR="0025490C" w:rsidRPr="00CF73A1" w:rsidRDefault="0025490C" w:rsidP="00AB6313">
      <w:pPr>
        <w:pStyle w:val="Note"/>
      </w:pPr>
      <w:r>
        <w:t>*</w:t>
      </w:r>
      <w:r w:rsidR="00AB6313">
        <w:tab/>
      </w:r>
      <w:r>
        <w:t>Defined as n</w:t>
      </w:r>
      <w:r w:rsidRPr="00CF73A1">
        <w:t>ot exercising &gt;</w:t>
      </w:r>
      <w:r>
        <w:t xml:space="preserve"> </w:t>
      </w:r>
      <w:r w:rsidRPr="00CF73A1">
        <w:t>20 min on &gt;</w:t>
      </w:r>
      <w:r>
        <w:t xml:space="preserve"> </w:t>
      </w:r>
      <w:r w:rsidRPr="00CF73A1">
        <w:t>3 days/week</w:t>
      </w:r>
      <w:r w:rsidR="00AB6313">
        <w:t>.</w:t>
      </w:r>
    </w:p>
    <w:p w:rsidR="0025490C" w:rsidRPr="00E07B1B" w:rsidRDefault="0025490C" w:rsidP="00AB6313">
      <w:pPr>
        <w:rPr>
          <w:rFonts w:eastAsia="MS Gothic"/>
        </w:rPr>
      </w:pPr>
    </w:p>
    <w:p w:rsidR="00AB6313" w:rsidRDefault="00AB6313" w:rsidP="00AB6313">
      <w:pPr>
        <w:pStyle w:val="Table"/>
        <w:sectPr w:rsidR="00AB6313" w:rsidSect="00F26156">
          <w:footerReference w:type="default" r:id="rId68"/>
          <w:pgSz w:w="11907" w:h="16834" w:code="9"/>
          <w:pgMar w:top="851" w:right="1134" w:bottom="1418" w:left="1134" w:header="284" w:footer="567" w:gutter="284"/>
          <w:cols w:space="720"/>
        </w:sectPr>
      </w:pPr>
      <w:bookmarkStart w:id="523" w:name="_Toc363717817"/>
    </w:p>
    <w:p w:rsidR="0025490C" w:rsidRPr="00E07B1B" w:rsidRDefault="0025490C" w:rsidP="00AB6313">
      <w:pPr>
        <w:pStyle w:val="Table"/>
        <w:spacing w:before="0"/>
      </w:pPr>
      <w:bookmarkStart w:id="524" w:name="_Toc403635907"/>
      <w:r w:rsidRPr="00E07B1B">
        <w:t>Table 26</w:t>
      </w:r>
      <w:r w:rsidR="00AB6313">
        <w:t>:</w:t>
      </w:r>
      <w:r w:rsidRPr="00E07B1B">
        <w:t xml:space="preserve"> Table of effects: </w:t>
      </w:r>
      <w:r w:rsidR="00AB6313">
        <w:t>d</w:t>
      </w:r>
      <w:r w:rsidRPr="00E07B1B">
        <w:t>ietary and exercise interventions to prevent gestational diabetes</w:t>
      </w:r>
      <w:bookmarkEnd w:id="523"/>
      <w:bookmarkEnd w:id="524"/>
    </w:p>
    <w:tbl>
      <w:tblPr>
        <w:tblW w:w="14601"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276"/>
        <w:gridCol w:w="2410"/>
        <w:gridCol w:w="1276"/>
        <w:gridCol w:w="3827"/>
        <w:gridCol w:w="1843"/>
        <w:gridCol w:w="3969"/>
      </w:tblGrid>
      <w:tr w:rsidR="00AB6313" w:rsidRPr="00AB6313" w:rsidTr="00D61331">
        <w:trPr>
          <w:cantSplit/>
          <w:tblHeader/>
        </w:trPr>
        <w:tc>
          <w:tcPr>
            <w:tcW w:w="1276" w:type="dxa"/>
            <w:tcBorders>
              <w:top w:val="single" w:sz="4" w:space="0" w:color="auto"/>
              <w:bottom w:val="single" w:sz="4" w:space="0" w:color="auto"/>
              <w:right w:val="nil"/>
            </w:tcBorders>
            <w:shd w:val="clear" w:color="auto" w:fill="auto"/>
          </w:tcPr>
          <w:p w:rsidR="0025490C" w:rsidRPr="00AB6313" w:rsidRDefault="00AB6313" w:rsidP="00AB6313">
            <w:pPr>
              <w:pStyle w:val="TableText"/>
              <w:rPr>
                <w:b/>
              </w:rPr>
            </w:pPr>
            <w:r w:rsidRPr="00AB6313">
              <w:rPr>
                <w:b/>
              </w:rPr>
              <w:t>Outcome</w:t>
            </w:r>
          </w:p>
        </w:tc>
        <w:tc>
          <w:tcPr>
            <w:tcW w:w="2410" w:type="dxa"/>
            <w:tcBorders>
              <w:top w:val="single" w:sz="4" w:space="0" w:color="auto"/>
              <w:left w:val="nil"/>
              <w:bottom w:val="single" w:sz="4" w:space="0" w:color="auto"/>
              <w:right w:val="nil"/>
            </w:tcBorders>
            <w:shd w:val="clear" w:color="auto" w:fill="auto"/>
          </w:tcPr>
          <w:p w:rsidR="0025490C" w:rsidRPr="00AB6313" w:rsidRDefault="0025490C" w:rsidP="00D61331">
            <w:pPr>
              <w:pStyle w:val="TableText"/>
              <w:jc w:val="center"/>
              <w:rPr>
                <w:b/>
              </w:rPr>
            </w:pPr>
            <w:r w:rsidRPr="00AB6313">
              <w:rPr>
                <w:b/>
              </w:rPr>
              <w:t>Number of studies and definitions</w:t>
            </w:r>
          </w:p>
        </w:tc>
        <w:tc>
          <w:tcPr>
            <w:tcW w:w="1276" w:type="dxa"/>
            <w:tcBorders>
              <w:top w:val="single" w:sz="4" w:space="0" w:color="auto"/>
              <w:left w:val="nil"/>
              <w:bottom w:val="single" w:sz="4" w:space="0" w:color="auto"/>
              <w:right w:val="nil"/>
            </w:tcBorders>
            <w:shd w:val="clear" w:color="auto" w:fill="auto"/>
          </w:tcPr>
          <w:p w:rsidR="0025490C" w:rsidRPr="00AB6313" w:rsidRDefault="0025490C" w:rsidP="00D61331">
            <w:pPr>
              <w:pStyle w:val="TableText"/>
              <w:jc w:val="center"/>
              <w:rPr>
                <w:b/>
              </w:rPr>
            </w:pPr>
            <w:r w:rsidRPr="00AB6313">
              <w:rPr>
                <w:b/>
              </w:rPr>
              <w:t>Reference</w:t>
            </w:r>
          </w:p>
        </w:tc>
        <w:tc>
          <w:tcPr>
            <w:tcW w:w="3827" w:type="dxa"/>
            <w:tcBorders>
              <w:top w:val="single" w:sz="4" w:space="0" w:color="auto"/>
              <w:left w:val="nil"/>
              <w:bottom w:val="single" w:sz="4" w:space="0" w:color="auto"/>
              <w:right w:val="nil"/>
            </w:tcBorders>
            <w:shd w:val="clear" w:color="auto" w:fill="auto"/>
          </w:tcPr>
          <w:p w:rsidR="0025490C" w:rsidRPr="00AB6313" w:rsidRDefault="0025490C" w:rsidP="00D61331">
            <w:pPr>
              <w:pStyle w:val="TableText"/>
              <w:jc w:val="center"/>
              <w:rPr>
                <w:b/>
              </w:rPr>
            </w:pPr>
            <w:r w:rsidRPr="00AB6313">
              <w:rPr>
                <w:b/>
              </w:rPr>
              <w:t>Type of intervention</w:t>
            </w:r>
          </w:p>
        </w:tc>
        <w:tc>
          <w:tcPr>
            <w:tcW w:w="1843" w:type="dxa"/>
            <w:tcBorders>
              <w:top w:val="single" w:sz="4" w:space="0" w:color="auto"/>
              <w:left w:val="nil"/>
              <w:bottom w:val="single" w:sz="4" w:space="0" w:color="auto"/>
            </w:tcBorders>
            <w:shd w:val="clear" w:color="auto" w:fill="auto"/>
          </w:tcPr>
          <w:p w:rsidR="0025490C" w:rsidRPr="00AB6313" w:rsidRDefault="00AB6313" w:rsidP="00D61331">
            <w:pPr>
              <w:pStyle w:val="TableText"/>
              <w:jc w:val="center"/>
              <w:rPr>
                <w:b/>
              </w:rPr>
            </w:pPr>
            <w:r>
              <w:rPr>
                <w:b/>
              </w:rPr>
              <w:t>Number of participants</w:t>
            </w:r>
          </w:p>
        </w:tc>
        <w:tc>
          <w:tcPr>
            <w:tcW w:w="3969" w:type="dxa"/>
            <w:tcBorders>
              <w:top w:val="single" w:sz="4" w:space="0" w:color="auto"/>
              <w:bottom w:val="single" w:sz="4" w:space="0" w:color="auto"/>
            </w:tcBorders>
            <w:shd w:val="clear" w:color="auto" w:fill="auto"/>
          </w:tcPr>
          <w:p w:rsidR="0025490C" w:rsidRPr="00AB6313" w:rsidRDefault="0025490C" w:rsidP="00D61331">
            <w:pPr>
              <w:pStyle w:val="TableText"/>
              <w:jc w:val="center"/>
              <w:rPr>
                <w:b/>
              </w:rPr>
            </w:pPr>
            <w:r w:rsidRPr="00AB6313">
              <w:rPr>
                <w:b/>
              </w:rPr>
              <w:t>Effect size (95% confidence interval) for diagnosis of gestational diabetes</w:t>
            </w:r>
          </w:p>
        </w:tc>
      </w:tr>
      <w:tr w:rsidR="00AB6313" w:rsidRPr="00EB255E" w:rsidTr="00D61331">
        <w:trPr>
          <w:cantSplit/>
        </w:trPr>
        <w:tc>
          <w:tcPr>
            <w:tcW w:w="1276" w:type="dxa"/>
            <w:vMerge w:val="restart"/>
            <w:tcBorders>
              <w:top w:val="single" w:sz="4" w:space="0" w:color="auto"/>
              <w:right w:val="nil"/>
            </w:tcBorders>
            <w:shd w:val="clear" w:color="auto" w:fill="auto"/>
          </w:tcPr>
          <w:p w:rsidR="0025490C" w:rsidRPr="00EB255E" w:rsidRDefault="0025490C" w:rsidP="00AB6313">
            <w:pPr>
              <w:pStyle w:val="TableText"/>
            </w:pPr>
            <w:r w:rsidRPr="00EB255E">
              <w:t>Diagnosis of gestational diabetes</w:t>
            </w:r>
          </w:p>
        </w:tc>
        <w:tc>
          <w:tcPr>
            <w:tcW w:w="2410" w:type="dxa"/>
            <w:tcBorders>
              <w:top w:val="single" w:sz="4" w:space="0" w:color="auto"/>
              <w:left w:val="nil"/>
              <w:bottom w:val="nil"/>
              <w:right w:val="nil"/>
            </w:tcBorders>
            <w:shd w:val="clear" w:color="auto" w:fill="F2F2F2" w:themeFill="background1" w:themeFillShade="F2"/>
          </w:tcPr>
          <w:p w:rsidR="0025490C" w:rsidRPr="00EB255E" w:rsidRDefault="0025490C" w:rsidP="00D61331">
            <w:pPr>
              <w:pStyle w:val="TableText"/>
            </w:pPr>
            <w:r w:rsidRPr="00EB255E">
              <w:t>1 trial</w:t>
            </w:r>
            <w:r w:rsidR="00D61331">
              <w:br/>
            </w:r>
            <w:r w:rsidRPr="00EB255E">
              <w:t>1</w:t>
            </w:r>
            <w:r>
              <w:t>-hour</w:t>
            </w:r>
            <w:r w:rsidRPr="00EB255E">
              <w:t xml:space="preserve"> OGTT</w:t>
            </w:r>
          </w:p>
        </w:tc>
        <w:tc>
          <w:tcPr>
            <w:tcW w:w="1276" w:type="dxa"/>
            <w:tcBorders>
              <w:top w:val="single" w:sz="4" w:space="0" w:color="auto"/>
              <w:left w:val="nil"/>
              <w:bottom w:val="nil"/>
              <w:right w:val="nil"/>
            </w:tcBorders>
            <w:shd w:val="clear" w:color="auto" w:fill="F2F2F2" w:themeFill="background1" w:themeFillShade="F2"/>
          </w:tcPr>
          <w:p w:rsidR="0025490C" w:rsidRPr="00EB255E" w:rsidRDefault="0025490C" w:rsidP="00D61331">
            <w:pPr>
              <w:pStyle w:val="TableText"/>
              <w:jc w:val="center"/>
            </w:pPr>
            <w:r w:rsidRPr="00EB255E">
              <w:t>Hui</w:t>
            </w:r>
            <w:r w:rsidR="00D61331">
              <w:br/>
            </w:r>
            <w:r>
              <w:t>(</w:t>
            </w:r>
            <w:r w:rsidRPr="00EB255E">
              <w:t>2012</w:t>
            </w:r>
            <w:r>
              <w:t>)</w:t>
            </w:r>
          </w:p>
        </w:tc>
        <w:tc>
          <w:tcPr>
            <w:tcW w:w="3827" w:type="dxa"/>
            <w:tcBorders>
              <w:top w:val="single" w:sz="4" w:space="0" w:color="auto"/>
              <w:left w:val="nil"/>
              <w:bottom w:val="nil"/>
              <w:right w:val="nil"/>
            </w:tcBorders>
            <w:shd w:val="clear" w:color="auto" w:fill="F2F2F2" w:themeFill="background1" w:themeFillShade="F2"/>
          </w:tcPr>
          <w:p w:rsidR="0025490C" w:rsidRPr="00EB255E" w:rsidRDefault="0025490C" w:rsidP="00AB6313">
            <w:pPr>
              <w:pStyle w:val="TableText"/>
            </w:pPr>
            <w:r w:rsidRPr="00EB255E">
              <w:t>Combined dietary and exercise, community</w:t>
            </w:r>
            <w:r>
              <w:t>-</w:t>
            </w:r>
            <w:r w:rsidRPr="00EB255E">
              <w:t>based versus usual care</w:t>
            </w:r>
          </w:p>
        </w:tc>
        <w:tc>
          <w:tcPr>
            <w:tcW w:w="1843" w:type="dxa"/>
            <w:tcBorders>
              <w:top w:val="single" w:sz="4" w:space="0" w:color="auto"/>
              <w:left w:val="nil"/>
              <w:bottom w:val="nil"/>
            </w:tcBorders>
            <w:shd w:val="clear" w:color="auto" w:fill="F2F2F2" w:themeFill="background1" w:themeFillShade="F2"/>
          </w:tcPr>
          <w:p w:rsidR="0025490C" w:rsidRPr="00EB255E" w:rsidRDefault="0025490C" w:rsidP="00D61331">
            <w:pPr>
              <w:pStyle w:val="TableText"/>
            </w:pPr>
            <w:r w:rsidRPr="00EB255E">
              <w:t>190</w:t>
            </w:r>
            <w:r w:rsidR="00D61331">
              <w:br/>
            </w:r>
            <w:r w:rsidRPr="00EB255E">
              <w:t>Pregnant women &lt;</w:t>
            </w:r>
            <w:r>
              <w:t> </w:t>
            </w:r>
            <w:r w:rsidRPr="00EB255E">
              <w:t>26 weeks</w:t>
            </w:r>
          </w:p>
        </w:tc>
        <w:tc>
          <w:tcPr>
            <w:tcW w:w="3969" w:type="dxa"/>
            <w:tcBorders>
              <w:top w:val="single" w:sz="4" w:space="0" w:color="auto"/>
              <w:bottom w:val="nil"/>
            </w:tcBorders>
            <w:shd w:val="clear" w:color="auto" w:fill="F2F2F2" w:themeFill="background1" w:themeFillShade="F2"/>
          </w:tcPr>
          <w:p w:rsidR="0025490C" w:rsidRPr="00EB255E" w:rsidRDefault="0025490C" w:rsidP="00D61331">
            <w:pPr>
              <w:pStyle w:val="TableText"/>
            </w:pPr>
            <w:r w:rsidRPr="00EB255E">
              <w:t>Incidence of GDM 1.8% in the intervention arm</w:t>
            </w:r>
            <w:r>
              <w:t xml:space="preserve"> compared</w:t>
            </w:r>
            <w:r w:rsidRPr="00EB255E">
              <w:t xml:space="preserve"> with 3% in the control arm</w:t>
            </w:r>
            <w:r w:rsidR="00D61331">
              <w:br/>
            </w:r>
            <w:r w:rsidRPr="00EB255E">
              <w:t>NS</w:t>
            </w:r>
          </w:p>
        </w:tc>
      </w:tr>
      <w:tr w:rsidR="00AB6313" w:rsidRPr="00EB255E" w:rsidTr="00D61331">
        <w:trPr>
          <w:cantSplit/>
        </w:trPr>
        <w:tc>
          <w:tcPr>
            <w:tcW w:w="1276" w:type="dxa"/>
            <w:vMerge/>
            <w:tcBorders>
              <w:right w:val="nil"/>
            </w:tcBorders>
            <w:shd w:val="clear" w:color="auto" w:fill="auto"/>
          </w:tcPr>
          <w:p w:rsidR="0025490C" w:rsidRPr="00EB255E" w:rsidRDefault="0025490C" w:rsidP="00AB6313">
            <w:pPr>
              <w:pStyle w:val="TableText"/>
            </w:pPr>
          </w:p>
        </w:tc>
        <w:tc>
          <w:tcPr>
            <w:tcW w:w="2410" w:type="dxa"/>
            <w:tcBorders>
              <w:top w:val="nil"/>
              <w:left w:val="nil"/>
              <w:bottom w:val="nil"/>
              <w:right w:val="nil"/>
            </w:tcBorders>
            <w:shd w:val="clear" w:color="auto" w:fill="auto"/>
          </w:tcPr>
          <w:p w:rsidR="0025490C" w:rsidRPr="00EB255E" w:rsidRDefault="0025490C" w:rsidP="00D61331">
            <w:pPr>
              <w:pStyle w:val="TableText"/>
            </w:pPr>
            <w:r w:rsidRPr="00EB255E">
              <w:t>1 trial</w:t>
            </w:r>
            <w:r w:rsidR="00D61331">
              <w:br/>
            </w:r>
            <w:r w:rsidRPr="00EB255E">
              <w:t>2-hour OGTT</w:t>
            </w:r>
            <w:r w:rsidR="00D61331">
              <w:br/>
            </w:r>
            <w:r w:rsidRPr="00EB255E">
              <w:t>26</w:t>
            </w:r>
            <w:r>
              <w:t>–</w:t>
            </w:r>
            <w:r w:rsidRPr="00EB255E">
              <w:t>28 weeks</w:t>
            </w:r>
          </w:p>
        </w:tc>
        <w:tc>
          <w:tcPr>
            <w:tcW w:w="1276" w:type="dxa"/>
            <w:tcBorders>
              <w:top w:val="nil"/>
              <w:left w:val="nil"/>
              <w:bottom w:val="nil"/>
              <w:right w:val="nil"/>
            </w:tcBorders>
            <w:shd w:val="clear" w:color="auto" w:fill="auto"/>
          </w:tcPr>
          <w:p w:rsidR="0025490C" w:rsidRPr="00EB255E" w:rsidRDefault="0025490C" w:rsidP="00D61331">
            <w:pPr>
              <w:pStyle w:val="TableText"/>
              <w:jc w:val="center"/>
            </w:pPr>
            <w:r w:rsidRPr="00EB255E">
              <w:t>Luoto</w:t>
            </w:r>
            <w:r w:rsidR="00D61331">
              <w:br/>
            </w:r>
            <w:r>
              <w:t>(</w:t>
            </w:r>
            <w:r w:rsidRPr="00EB255E">
              <w:t>2011</w:t>
            </w:r>
            <w:r>
              <w:t>)</w:t>
            </w:r>
          </w:p>
        </w:tc>
        <w:tc>
          <w:tcPr>
            <w:tcW w:w="3827" w:type="dxa"/>
            <w:tcBorders>
              <w:top w:val="nil"/>
              <w:left w:val="nil"/>
              <w:bottom w:val="nil"/>
              <w:right w:val="nil"/>
            </w:tcBorders>
            <w:shd w:val="clear" w:color="auto" w:fill="auto"/>
          </w:tcPr>
          <w:p w:rsidR="0025490C" w:rsidRPr="00EB255E" w:rsidRDefault="0025490C" w:rsidP="00AB6313">
            <w:pPr>
              <w:pStyle w:val="TableText"/>
            </w:pPr>
            <w:r w:rsidRPr="00EB255E">
              <w:t>Intensified counse</w:t>
            </w:r>
            <w:r>
              <w:t>l</w:t>
            </w:r>
            <w:r w:rsidRPr="00EB255E">
              <w:t>ling on physical activity versus usual care</w:t>
            </w:r>
          </w:p>
        </w:tc>
        <w:tc>
          <w:tcPr>
            <w:tcW w:w="1843" w:type="dxa"/>
            <w:tcBorders>
              <w:top w:val="nil"/>
              <w:left w:val="nil"/>
              <w:bottom w:val="nil"/>
            </w:tcBorders>
            <w:shd w:val="clear" w:color="auto" w:fill="auto"/>
          </w:tcPr>
          <w:p w:rsidR="0025490C" w:rsidRPr="00EB255E" w:rsidRDefault="0025490C" w:rsidP="00D61331">
            <w:pPr>
              <w:pStyle w:val="TableText"/>
            </w:pPr>
            <w:r w:rsidRPr="00EB255E">
              <w:t>399</w:t>
            </w:r>
            <w:r w:rsidR="00D61331">
              <w:br/>
            </w:r>
            <w:r w:rsidRPr="00EB255E">
              <w:t>High risk of GDM</w:t>
            </w:r>
          </w:p>
        </w:tc>
        <w:tc>
          <w:tcPr>
            <w:tcW w:w="3969" w:type="dxa"/>
            <w:tcBorders>
              <w:top w:val="nil"/>
              <w:bottom w:val="nil"/>
            </w:tcBorders>
            <w:shd w:val="clear" w:color="auto" w:fill="auto"/>
          </w:tcPr>
          <w:p w:rsidR="0025490C" w:rsidRPr="00EB255E" w:rsidRDefault="0025490C" w:rsidP="00D61331">
            <w:pPr>
              <w:pStyle w:val="TableText"/>
            </w:pPr>
            <w:r>
              <w:t xml:space="preserve">Absolute effect size </w:t>
            </w:r>
            <w:r w:rsidRPr="00EB255E">
              <w:t xml:space="preserve">1.36 </w:t>
            </w:r>
            <w:r>
              <w:t>(</w:t>
            </w:r>
            <w:r w:rsidRPr="00EB255E">
              <w:t>0.71</w:t>
            </w:r>
            <w:r>
              <w:t>–</w:t>
            </w:r>
            <w:r w:rsidRPr="00EB255E">
              <w:t>2.62</w:t>
            </w:r>
            <w:r>
              <w:t>),</w:t>
            </w:r>
            <w:r w:rsidRPr="00EB255E">
              <w:t xml:space="preserve"> NS</w:t>
            </w:r>
          </w:p>
        </w:tc>
      </w:tr>
      <w:tr w:rsidR="00AB6313" w:rsidRPr="00EB255E" w:rsidTr="00D61331">
        <w:trPr>
          <w:cantSplit/>
        </w:trPr>
        <w:tc>
          <w:tcPr>
            <w:tcW w:w="1276" w:type="dxa"/>
            <w:vMerge/>
            <w:tcBorders>
              <w:right w:val="nil"/>
            </w:tcBorders>
            <w:shd w:val="clear" w:color="auto" w:fill="auto"/>
          </w:tcPr>
          <w:p w:rsidR="0025490C" w:rsidRPr="00EB255E" w:rsidRDefault="0025490C" w:rsidP="00AB6313">
            <w:pPr>
              <w:pStyle w:val="TableText"/>
            </w:pPr>
          </w:p>
        </w:tc>
        <w:tc>
          <w:tcPr>
            <w:tcW w:w="2410" w:type="dxa"/>
            <w:tcBorders>
              <w:top w:val="nil"/>
              <w:left w:val="nil"/>
              <w:bottom w:val="nil"/>
              <w:right w:val="nil"/>
            </w:tcBorders>
            <w:shd w:val="clear" w:color="auto" w:fill="F2F2F2" w:themeFill="background1" w:themeFillShade="F2"/>
          </w:tcPr>
          <w:p w:rsidR="0025490C" w:rsidRPr="00EB255E" w:rsidRDefault="0025490C" w:rsidP="00D61331">
            <w:pPr>
              <w:pStyle w:val="TableText"/>
            </w:pPr>
            <w:r w:rsidRPr="00EB255E">
              <w:t>1 trial</w:t>
            </w:r>
            <w:r w:rsidR="00D61331">
              <w:br/>
            </w:r>
            <w:r w:rsidRPr="00EB255E">
              <w:t>2-hour OGTT</w:t>
            </w:r>
            <w:r w:rsidR="00D61331">
              <w:br/>
            </w:r>
            <w:r w:rsidRPr="00EB255E">
              <w:t>Modified WHO criteria</w:t>
            </w:r>
          </w:p>
        </w:tc>
        <w:tc>
          <w:tcPr>
            <w:tcW w:w="1276" w:type="dxa"/>
            <w:tcBorders>
              <w:top w:val="nil"/>
              <w:left w:val="nil"/>
              <w:bottom w:val="nil"/>
              <w:right w:val="nil"/>
            </w:tcBorders>
            <w:shd w:val="clear" w:color="auto" w:fill="F2F2F2" w:themeFill="background1" w:themeFillShade="F2"/>
          </w:tcPr>
          <w:p w:rsidR="0025490C" w:rsidRPr="00EB255E" w:rsidRDefault="0025490C" w:rsidP="00D61331">
            <w:pPr>
              <w:pStyle w:val="TableText"/>
              <w:jc w:val="center"/>
            </w:pPr>
            <w:r w:rsidRPr="00EB255E">
              <w:t>Korpi-Hyovalti</w:t>
            </w:r>
            <w:r w:rsidR="00D61331">
              <w:br/>
            </w:r>
            <w:r>
              <w:t>(</w:t>
            </w:r>
            <w:r w:rsidRPr="00EB255E">
              <w:t>2011</w:t>
            </w:r>
            <w:r>
              <w:t>)</w:t>
            </w:r>
          </w:p>
        </w:tc>
        <w:tc>
          <w:tcPr>
            <w:tcW w:w="3827" w:type="dxa"/>
            <w:tcBorders>
              <w:top w:val="nil"/>
              <w:left w:val="nil"/>
              <w:bottom w:val="nil"/>
              <w:right w:val="nil"/>
            </w:tcBorders>
            <w:shd w:val="clear" w:color="auto" w:fill="F2F2F2" w:themeFill="background1" w:themeFillShade="F2"/>
          </w:tcPr>
          <w:p w:rsidR="0025490C" w:rsidRPr="00EB255E" w:rsidRDefault="0025490C" w:rsidP="00AB6313">
            <w:pPr>
              <w:pStyle w:val="TableText"/>
            </w:pPr>
            <w:r w:rsidRPr="00EB255E">
              <w:t>Individualised dietary and exercise advice versus usual care</w:t>
            </w:r>
          </w:p>
        </w:tc>
        <w:tc>
          <w:tcPr>
            <w:tcW w:w="1843" w:type="dxa"/>
            <w:tcBorders>
              <w:top w:val="nil"/>
              <w:left w:val="nil"/>
              <w:bottom w:val="nil"/>
            </w:tcBorders>
            <w:shd w:val="clear" w:color="auto" w:fill="F2F2F2" w:themeFill="background1" w:themeFillShade="F2"/>
          </w:tcPr>
          <w:p w:rsidR="0025490C" w:rsidRPr="00EB255E" w:rsidRDefault="0025490C" w:rsidP="00D61331">
            <w:pPr>
              <w:pStyle w:val="TableText"/>
            </w:pPr>
            <w:r w:rsidRPr="00EB255E">
              <w:t>54</w:t>
            </w:r>
            <w:r w:rsidR="00D61331">
              <w:br/>
            </w:r>
            <w:r w:rsidRPr="00EB255E">
              <w:t>High risk of GDM</w:t>
            </w:r>
          </w:p>
        </w:tc>
        <w:tc>
          <w:tcPr>
            <w:tcW w:w="3969" w:type="dxa"/>
            <w:tcBorders>
              <w:top w:val="nil"/>
              <w:bottom w:val="nil"/>
            </w:tcBorders>
            <w:shd w:val="clear" w:color="auto" w:fill="F2F2F2" w:themeFill="background1" w:themeFillShade="F2"/>
          </w:tcPr>
          <w:p w:rsidR="0025490C" w:rsidRPr="00EB255E" w:rsidRDefault="0025490C" w:rsidP="00D61331">
            <w:pPr>
              <w:pStyle w:val="TableText"/>
            </w:pPr>
            <w:r w:rsidRPr="00EB255E">
              <w:t xml:space="preserve">Incidence of GDM 11.1% in the intervention arm </w:t>
            </w:r>
            <w:r>
              <w:t xml:space="preserve">compared </w:t>
            </w:r>
            <w:r w:rsidRPr="00EB255E">
              <w:t>with 3.7% in the control arm</w:t>
            </w:r>
            <w:r w:rsidR="00D61331">
              <w:br/>
            </w:r>
            <w:r w:rsidRPr="00EB255E">
              <w:t>NS</w:t>
            </w:r>
          </w:p>
        </w:tc>
      </w:tr>
      <w:tr w:rsidR="00AB6313" w:rsidRPr="00EB255E" w:rsidTr="00D61331">
        <w:trPr>
          <w:cantSplit/>
        </w:trPr>
        <w:tc>
          <w:tcPr>
            <w:tcW w:w="1276" w:type="dxa"/>
            <w:vMerge/>
            <w:tcBorders>
              <w:right w:val="nil"/>
            </w:tcBorders>
            <w:shd w:val="clear" w:color="auto" w:fill="auto"/>
          </w:tcPr>
          <w:p w:rsidR="0025490C" w:rsidRPr="00EB255E" w:rsidRDefault="0025490C" w:rsidP="00AB6313">
            <w:pPr>
              <w:pStyle w:val="TableText"/>
            </w:pPr>
          </w:p>
        </w:tc>
        <w:tc>
          <w:tcPr>
            <w:tcW w:w="2410" w:type="dxa"/>
            <w:tcBorders>
              <w:top w:val="nil"/>
              <w:left w:val="nil"/>
              <w:bottom w:val="nil"/>
              <w:right w:val="nil"/>
            </w:tcBorders>
            <w:shd w:val="clear" w:color="auto" w:fill="auto"/>
          </w:tcPr>
          <w:p w:rsidR="0025490C" w:rsidRPr="00EB255E" w:rsidRDefault="0025490C" w:rsidP="00D61331">
            <w:pPr>
              <w:pStyle w:val="TableText"/>
            </w:pPr>
            <w:r w:rsidRPr="00EB255E">
              <w:t>1 trial</w:t>
            </w:r>
            <w:r w:rsidR="00D61331">
              <w:br/>
            </w:r>
            <w:r w:rsidRPr="00EB255E">
              <w:t>Not reported</w:t>
            </w:r>
          </w:p>
        </w:tc>
        <w:tc>
          <w:tcPr>
            <w:tcW w:w="1276" w:type="dxa"/>
            <w:tcBorders>
              <w:top w:val="nil"/>
              <w:left w:val="nil"/>
              <w:bottom w:val="nil"/>
              <w:right w:val="nil"/>
            </w:tcBorders>
            <w:shd w:val="clear" w:color="auto" w:fill="auto"/>
          </w:tcPr>
          <w:p w:rsidR="0025490C" w:rsidRPr="00EB255E" w:rsidRDefault="0025490C" w:rsidP="00D61331">
            <w:pPr>
              <w:pStyle w:val="TableText"/>
              <w:jc w:val="center"/>
            </w:pPr>
            <w:r w:rsidRPr="00EB255E">
              <w:t>Phelan</w:t>
            </w:r>
            <w:r w:rsidR="00D61331">
              <w:br/>
            </w:r>
            <w:r>
              <w:t>(</w:t>
            </w:r>
            <w:r w:rsidRPr="00EB255E">
              <w:t>2011</w:t>
            </w:r>
            <w:r>
              <w:t>)</w:t>
            </w:r>
          </w:p>
        </w:tc>
        <w:tc>
          <w:tcPr>
            <w:tcW w:w="3827" w:type="dxa"/>
            <w:tcBorders>
              <w:top w:val="nil"/>
              <w:left w:val="nil"/>
              <w:bottom w:val="nil"/>
              <w:right w:val="nil"/>
            </w:tcBorders>
            <w:shd w:val="clear" w:color="auto" w:fill="auto"/>
          </w:tcPr>
          <w:p w:rsidR="0025490C" w:rsidRPr="00EB255E" w:rsidRDefault="0025490C" w:rsidP="00AB6313">
            <w:pPr>
              <w:pStyle w:val="TableText"/>
            </w:pPr>
            <w:r w:rsidRPr="00EB255E">
              <w:t>Exercise and nutrition information and behavioural counselling versus usual care</w:t>
            </w:r>
          </w:p>
        </w:tc>
        <w:tc>
          <w:tcPr>
            <w:tcW w:w="1843" w:type="dxa"/>
            <w:tcBorders>
              <w:top w:val="nil"/>
              <w:left w:val="nil"/>
              <w:bottom w:val="nil"/>
            </w:tcBorders>
            <w:shd w:val="clear" w:color="auto" w:fill="auto"/>
          </w:tcPr>
          <w:p w:rsidR="0025490C" w:rsidRPr="00EB255E" w:rsidRDefault="0025490C" w:rsidP="00D61331">
            <w:pPr>
              <w:pStyle w:val="TableText"/>
            </w:pPr>
            <w:r w:rsidRPr="00EB255E">
              <w:t>401</w:t>
            </w:r>
            <w:r w:rsidR="00D61331">
              <w:br/>
            </w:r>
            <w:r w:rsidRPr="00EB255E">
              <w:t>Pregnant women</w:t>
            </w:r>
          </w:p>
        </w:tc>
        <w:tc>
          <w:tcPr>
            <w:tcW w:w="3969" w:type="dxa"/>
            <w:tcBorders>
              <w:top w:val="nil"/>
              <w:bottom w:val="nil"/>
            </w:tcBorders>
            <w:shd w:val="clear" w:color="auto" w:fill="auto"/>
          </w:tcPr>
          <w:p w:rsidR="0025490C" w:rsidRPr="00EB255E" w:rsidRDefault="0025490C" w:rsidP="00AB6313">
            <w:pPr>
              <w:pStyle w:val="TableText"/>
            </w:pPr>
            <w:r w:rsidRPr="00EB255E">
              <w:t xml:space="preserve">OR 1.77 </w:t>
            </w:r>
            <w:r>
              <w:t>(</w:t>
            </w:r>
            <w:r w:rsidRPr="00EB255E">
              <w:t>0.65</w:t>
            </w:r>
            <w:r>
              <w:t>–</w:t>
            </w:r>
            <w:r w:rsidRPr="00EB255E">
              <w:t>4.82</w:t>
            </w:r>
            <w:r>
              <w:t xml:space="preserve">), </w:t>
            </w:r>
            <w:r w:rsidRPr="00EB255E">
              <w:t>NS</w:t>
            </w:r>
          </w:p>
        </w:tc>
      </w:tr>
      <w:tr w:rsidR="00AB6313" w:rsidRPr="00EB255E" w:rsidTr="00D61331">
        <w:trPr>
          <w:cantSplit/>
        </w:trPr>
        <w:tc>
          <w:tcPr>
            <w:tcW w:w="1276" w:type="dxa"/>
            <w:vMerge/>
            <w:tcBorders>
              <w:right w:val="nil"/>
            </w:tcBorders>
            <w:shd w:val="clear" w:color="auto" w:fill="auto"/>
          </w:tcPr>
          <w:p w:rsidR="0025490C" w:rsidRPr="00EB255E" w:rsidRDefault="0025490C" w:rsidP="00AB6313">
            <w:pPr>
              <w:pStyle w:val="TableText"/>
            </w:pPr>
          </w:p>
        </w:tc>
        <w:tc>
          <w:tcPr>
            <w:tcW w:w="2410" w:type="dxa"/>
            <w:tcBorders>
              <w:top w:val="nil"/>
              <w:left w:val="nil"/>
              <w:bottom w:val="nil"/>
              <w:right w:val="nil"/>
            </w:tcBorders>
            <w:shd w:val="clear" w:color="auto" w:fill="F2F2F2" w:themeFill="background1" w:themeFillShade="F2"/>
          </w:tcPr>
          <w:p w:rsidR="0025490C" w:rsidRPr="00EB255E" w:rsidRDefault="0025490C" w:rsidP="00D61331">
            <w:pPr>
              <w:pStyle w:val="TableText"/>
            </w:pPr>
            <w:r w:rsidRPr="00EB255E">
              <w:t>1 trial</w:t>
            </w:r>
            <w:r w:rsidR="00D61331">
              <w:br/>
            </w:r>
            <w:r w:rsidRPr="00EB255E">
              <w:t>2-h</w:t>
            </w:r>
            <w:r>
              <w:t>ou</w:t>
            </w:r>
            <w:r w:rsidRPr="00EB255E">
              <w:t>r OGTT capillary blood glucose was ≥</w:t>
            </w:r>
            <w:r>
              <w:t> </w:t>
            </w:r>
            <w:r w:rsidRPr="00EB255E">
              <w:t>9</w:t>
            </w:r>
            <w:r>
              <w:t> </w:t>
            </w:r>
            <w:r w:rsidRPr="00EB255E">
              <w:t>mmol/L</w:t>
            </w:r>
          </w:p>
        </w:tc>
        <w:tc>
          <w:tcPr>
            <w:tcW w:w="1276" w:type="dxa"/>
            <w:tcBorders>
              <w:top w:val="nil"/>
              <w:left w:val="nil"/>
              <w:bottom w:val="nil"/>
              <w:right w:val="nil"/>
            </w:tcBorders>
            <w:shd w:val="clear" w:color="auto" w:fill="F2F2F2" w:themeFill="background1" w:themeFillShade="F2"/>
          </w:tcPr>
          <w:p w:rsidR="0025490C" w:rsidRPr="00EB255E" w:rsidRDefault="0025490C" w:rsidP="00D61331">
            <w:pPr>
              <w:pStyle w:val="TableText"/>
              <w:jc w:val="center"/>
            </w:pPr>
            <w:r w:rsidRPr="00EB255E">
              <w:t>Vinter</w:t>
            </w:r>
            <w:r w:rsidR="00D61331">
              <w:br/>
            </w:r>
            <w:r>
              <w:t>(</w:t>
            </w:r>
            <w:r w:rsidRPr="00EB255E">
              <w:t>2011</w:t>
            </w:r>
            <w:r>
              <w:t>)</w:t>
            </w:r>
          </w:p>
        </w:tc>
        <w:tc>
          <w:tcPr>
            <w:tcW w:w="3827" w:type="dxa"/>
            <w:tcBorders>
              <w:top w:val="nil"/>
              <w:left w:val="nil"/>
              <w:bottom w:val="nil"/>
              <w:right w:val="nil"/>
            </w:tcBorders>
            <w:shd w:val="clear" w:color="auto" w:fill="F2F2F2" w:themeFill="background1" w:themeFillShade="F2"/>
          </w:tcPr>
          <w:p w:rsidR="0025490C" w:rsidRPr="00EB255E" w:rsidRDefault="0025490C" w:rsidP="00AB6313">
            <w:pPr>
              <w:pStyle w:val="TableText"/>
            </w:pPr>
            <w:r>
              <w:t>Four</w:t>
            </w:r>
            <w:r w:rsidRPr="00EB255E">
              <w:t xml:space="preserve"> dietary advice sessions, exercise advice, pedometer and aerobic exercise classes versus usual care</w:t>
            </w:r>
          </w:p>
        </w:tc>
        <w:tc>
          <w:tcPr>
            <w:tcW w:w="1843" w:type="dxa"/>
            <w:tcBorders>
              <w:top w:val="nil"/>
              <w:left w:val="nil"/>
              <w:bottom w:val="nil"/>
            </w:tcBorders>
            <w:shd w:val="clear" w:color="auto" w:fill="F2F2F2" w:themeFill="background1" w:themeFillShade="F2"/>
          </w:tcPr>
          <w:p w:rsidR="0025490C" w:rsidRPr="00EB255E" w:rsidRDefault="0025490C" w:rsidP="00D61331">
            <w:pPr>
              <w:pStyle w:val="TableText"/>
            </w:pPr>
            <w:r w:rsidRPr="00EB255E">
              <w:t>304</w:t>
            </w:r>
            <w:r w:rsidR="00D61331">
              <w:br/>
            </w:r>
            <w:r w:rsidRPr="00EB255E">
              <w:t>Obese pregnant women</w:t>
            </w:r>
          </w:p>
        </w:tc>
        <w:tc>
          <w:tcPr>
            <w:tcW w:w="3969" w:type="dxa"/>
            <w:tcBorders>
              <w:top w:val="nil"/>
              <w:bottom w:val="nil"/>
            </w:tcBorders>
            <w:shd w:val="clear" w:color="auto" w:fill="F2F2F2" w:themeFill="background1" w:themeFillShade="F2"/>
          </w:tcPr>
          <w:p w:rsidR="0025490C" w:rsidRPr="00EB255E" w:rsidRDefault="0025490C" w:rsidP="00AB6313">
            <w:pPr>
              <w:pStyle w:val="TableText"/>
            </w:pPr>
            <w:r w:rsidRPr="00EB255E">
              <w:t>Incidence of GDM 6% in the intervention arm compared with 5.2% in the control group (</w:t>
            </w:r>
            <w:r>
              <w:rPr>
                <w:i/>
              </w:rPr>
              <w:t>p </w:t>
            </w:r>
            <w:r w:rsidRPr="00EB255E">
              <w:t>=</w:t>
            </w:r>
            <w:r>
              <w:t> </w:t>
            </w:r>
            <w:r w:rsidRPr="00EB255E">
              <w:t>0.760)</w:t>
            </w:r>
          </w:p>
        </w:tc>
      </w:tr>
      <w:tr w:rsidR="00AB6313" w:rsidRPr="00EB255E" w:rsidTr="00D61331">
        <w:trPr>
          <w:cantSplit/>
        </w:trPr>
        <w:tc>
          <w:tcPr>
            <w:tcW w:w="1276" w:type="dxa"/>
            <w:tcBorders>
              <w:right w:val="nil"/>
            </w:tcBorders>
            <w:shd w:val="clear" w:color="auto" w:fill="auto"/>
          </w:tcPr>
          <w:p w:rsidR="0025490C" w:rsidRPr="00EB255E" w:rsidRDefault="0025490C" w:rsidP="00AB6313">
            <w:pPr>
              <w:pStyle w:val="TableText"/>
              <w:rPr>
                <w:highlight w:val="green"/>
              </w:rPr>
            </w:pPr>
            <w:r w:rsidRPr="00EB255E">
              <w:t>Large for gestational age</w:t>
            </w:r>
          </w:p>
        </w:tc>
        <w:tc>
          <w:tcPr>
            <w:tcW w:w="2410" w:type="dxa"/>
            <w:tcBorders>
              <w:top w:val="nil"/>
              <w:left w:val="nil"/>
              <w:bottom w:val="single" w:sz="4" w:space="0" w:color="auto"/>
              <w:right w:val="nil"/>
            </w:tcBorders>
            <w:shd w:val="clear" w:color="auto" w:fill="auto"/>
          </w:tcPr>
          <w:p w:rsidR="0025490C" w:rsidRPr="00EB255E" w:rsidRDefault="0025490C" w:rsidP="00D61331">
            <w:pPr>
              <w:pStyle w:val="TableText"/>
              <w:rPr>
                <w:highlight w:val="green"/>
              </w:rPr>
            </w:pPr>
            <w:r w:rsidRPr="00EB255E">
              <w:t>1 trial</w:t>
            </w:r>
            <w:r w:rsidR="00D61331">
              <w:br/>
            </w:r>
            <w:r w:rsidRPr="00FC6663">
              <w:rPr>
                <w:spacing w:val="-2"/>
              </w:rPr>
              <w:t>Birthweight above the 90</w:t>
            </w:r>
            <w:r w:rsidRPr="008F165D">
              <w:rPr>
                <w:spacing w:val="-2"/>
              </w:rPr>
              <w:t>th</w:t>
            </w:r>
            <w:r w:rsidRPr="00FC6663">
              <w:rPr>
                <w:spacing w:val="-2"/>
              </w:rPr>
              <w:t xml:space="preserve"> percentile adjusted gestational age</w:t>
            </w:r>
          </w:p>
        </w:tc>
        <w:tc>
          <w:tcPr>
            <w:tcW w:w="1276" w:type="dxa"/>
            <w:tcBorders>
              <w:top w:val="nil"/>
              <w:left w:val="nil"/>
              <w:bottom w:val="single" w:sz="4" w:space="0" w:color="auto"/>
              <w:right w:val="nil"/>
            </w:tcBorders>
            <w:shd w:val="clear" w:color="auto" w:fill="auto"/>
          </w:tcPr>
          <w:p w:rsidR="0025490C" w:rsidRPr="00EB255E" w:rsidRDefault="0025490C" w:rsidP="00D61331">
            <w:pPr>
              <w:pStyle w:val="TableText"/>
              <w:jc w:val="center"/>
            </w:pPr>
            <w:r w:rsidRPr="00EB255E">
              <w:t>Luoto</w:t>
            </w:r>
            <w:r w:rsidR="00D61331">
              <w:br/>
            </w:r>
            <w:r>
              <w:t>(</w:t>
            </w:r>
            <w:r w:rsidRPr="00EB255E">
              <w:t>2011</w:t>
            </w:r>
            <w:r>
              <w:t>)</w:t>
            </w:r>
          </w:p>
        </w:tc>
        <w:tc>
          <w:tcPr>
            <w:tcW w:w="3827" w:type="dxa"/>
            <w:tcBorders>
              <w:top w:val="nil"/>
              <w:left w:val="nil"/>
              <w:bottom w:val="single" w:sz="4" w:space="0" w:color="auto"/>
              <w:right w:val="nil"/>
            </w:tcBorders>
            <w:shd w:val="clear" w:color="auto" w:fill="auto"/>
          </w:tcPr>
          <w:p w:rsidR="0025490C" w:rsidRPr="00EB255E" w:rsidRDefault="0025490C" w:rsidP="00AB6313">
            <w:pPr>
              <w:pStyle w:val="TableText"/>
            </w:pPr>
            <w:r w:rsidRPr="00EB255E">
              <w:t>Intensified counse</w:t>
            </w:r>
            <w:r>
              <w:t>l</w:t>
            </w:r>
            <w:r w:rsidRPr="00EB255E">
              <w:t>ling on physical activity versus usual care</w:t>
            </w:r>
          </w:p>
        </w:tc>
        <w:tc>
          <w:tcPr>
            <w:tcW w:w="1843" w:type="dxa"/>
            <w:tcBorders>
              <w:top w:val="nil"/>
              <w:left w:val="nil"/>
              <w:bottom w:val="single" w:sz="4" w:space="0" w:color="auto"/>
            </w:tcBorders>
            <w:shd w:val="clear" w:color="auto" w:fill="auto"/>
          </w:tcPr>
          <w:p w:rsidR="0025490C" w:rsidRPr="00EB255E" w:rsidRDefault="0025490C" w:rsidP="00D61331">
            <w:pPr>
              <w:pStyle w:val="TableText"/>
              <w:rPr>
                <w:highlight w:val="green"/>
              </w:rPr>
            </w:pPr>
            <w:r w:rsidRPr="00EB255E">
              <w:t>399</w:t>
            </w:r>
            <w:r w:rsidR="00D61331">
              <w:br/>
            </w:r>
            <w:r w:rsidRPr="00EB255E">
              <w:t>High risk of GDM</w:t>
            </w:r>
          </w:p>
        </w:tc>
        <w:tc>
          <w:tcPr>
            <w:tcW w:w="3969" w:type="dxa"/>
            <w:tcBorders>
              <w:top w:val="nil"/>
            </w:tcBorders>
            <w:shd w:val="clear" w:color="auto" w:fill="auto"/>
          </w:tcPr>
          <w:p w:rsidR="0025490C" w:rsidRPr="00EB255E" w:rsidRDefault="0025490C" w:rsidP="00D61331">
            <w:pPr>
              <w:pStyle w:val="TableText"/>
            </w:pPr>
            <w:r>
              <w:t xml:space="preserve">Absolute effect size </w:t>
            </w:r>
            <w:r w:rsidRPr="00EB255E">
              <w:t xml:space="preserve">0.58 </w:t>
            </w:r>
            <w:r>
              <w:t>(</w:t>
            </w:r>
            <w:r w:rsidRPr="00EB255E">
              <w:t>0.34</w:t>
            </w:r>
            <w:r>
              <w:t>–</w:t>
            </w:r>
            <w:r w:rsidRPr="00EB255E">
              <w:t>1.02</w:t>
            </w:r>
            <w:r>
              <w:t>)</w:t>
            </w:r>
          </w:p>
        </w:tc>
      </w:tr>
    </w:tbl>
    <w:p w:rsidR="0025490C" w:rsidRDefault="0025490C" w:rsidP="00AB6313">
      <w:pPr>
        <w:pStyle w:val="Note"/>
        <w:ind w:left="0" w:firstLine="0"/>
      </w:pPr>
      <w:r w:rsidRPr="008F165D">
        <w:t>Note:</w:t>
      </w:r>
      <w:r>
        <w:t xml:space="preserve"> GDM = gestational diabetes mellitus; NS = not significant; OGTT = oral glucose tolerance test</w:t>
      </w:r>
      <w:r>
        <w:rPr>
          <w:rFonts w:cs="Arial"/>
          <w:szCs w:val="18"/>
        </w:rPr>
        <w:t>; OR = odds ratio</w:t>
      </w:r>
      <w:r>
        <w:t>; WHO = World Health Organization</w:t>
      </w:r>
      <w:r w:rsidR="00AB6313">
        <w:t>.</w:t>
      </w:r>
    </w:p>
    <w:p w:rsidR="00AB6313" w:rsidRDefault="00AB6313" w:rsidP="00AB6313"/>
    <w:p w:rsidR="00853A74" w:rsidRDefault="00853A74">
      <w:pPr>
        <w:spacing w:line="240" w:lineRule="auto"/>
      </w:pPr>
      <w:r>
        <w:br w:type="page"/>
      </w:r>
    </w:p>
    <w:p w:rsidR="00853A74" w:rsidRPr="00E07B1B" w:rsidRDefault="00853A74" w:rsidP="00853A74">
      <w:pPr>
        <w:pStyle w:val="Heading2"/>
        <w:spacing w:before="0" w:after="240"/>
        <w:ind w:left="0" w:firstLine="0"/>
      </w:pPr>
      <w:r w:rsidRPr="00E07B1B">
        <w:t>Appendix K</w:t>
      </w:r>
      <w:r>
        <w:t>: Supporting evidence for</w:t>
      </w:r>
      <w:r w:rsidRPr="00E07B1B">
        <w:t xml:space="preserve"> Chapter</w:t>
      </w:r>
      <w:r>
        <w:t> </w:t>
      </w:r>
      <w:r w:rsidRPr="00E07B1B">
        <w:t>5</w:t>
      </w:r>
    </w:p>
    <w:p w:rsidR="00853A74" w:rsidRPr="00E07B1B" w:rsidRDefault="00853A74" w:rsidP="00853A74">
      <w:pPr>
        <w:pStyle w:val="Table"/>
      </w:pPr>
      <w:bookmarkStart w:id="525" w:name="_Toc363717819"/>
      <w:bookmarkStart w:id="526" w:name="_Toc403635908"/>
      <w:r w:rsidRPr="00E07B1B">
        <w:t>Table 27</w:t>
      </w:r>
      <w:r>
        <w:t>:</w:t>
      </w:r>
      <w:r w:rsidRPr="00E07B1B">
        <w:t xml:space="preserve"> Details of screening/diagnostic criteria of interventions providing specific packages of treatment for women diagnosed with gestational diabetes</w:t>
      </w:r>
      <w:bookmarkEnd w:id="525"/>
      <w:bookmarkEnd w:id="526"/>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2061"/>
        <w:gridCol w:w="4803"/>
        <w:gridCol w:w="1548"/>
        <w:gridCol w:w="1548"/>
        <w:gridCol w:w="1548"/>
        <w:gridCol w:w="1548"/>
        <w:gridCol w:w="1545"/>
      </w:tblGrid>
      <w:tr w:rsidR="00853A74" w:rsidRPr="00853A74" w:rsidTr="00853A74">
        <w:trPr>
          <w:cantSplit/>
        </w:trPr>
        <w:tc>
          <w:tcPr>
            <w:tcW w:w="706" w:type="pct"/>
            <w:tcBorders>
              <w:top w:val="single" w:sz="4" w:space="0" w:color="auto"/>
              <w:bottom w:val="single" w:sz="4" w:space="0" w:color="auto"/>
            </w:tcBorders>
            <w:shd w:val="clear" w:color="auto" w:fill="auto"/>
          </w:tcPr>
          <w:p w:rsidR="00853A74" w:rsidRPr="00853A74" w:rsidRDefault="00853A74" w:rsidP="00853A74">
            <w:pPr>
              <w:pStyle w:val="TableText"/>
              <w:rPr>
                <w:b/>
              </w:rPr>
            </w:pPr>
            <w:r w:rsidRPr="00853A74">
              <w:rPr>
                <w:b/>
              </w:rPr>
              <w:t>Reference</w:t>
            </w:r>
          </w:p>
        </w:tc>
        <w:tc>
          <w:tcPr>
            <w:tcW w:w="1645" w:type="pct"/>
            <w:tcBorders>
              <w:top w:val="single" w:sz="4" w:space="0" w:color="auto"/>
              <w:bottom w:val="single" w:sz="4" w:space="0" w:color="auto"/>
            </w:tcBorders>
            <w:shd w:val="clear" w:color="auto" w:fill="auto"/>
          </w:tcPr>
          <w:p w:rsidR="00853A74" w:rsidRPr="00853A74" w:rsidRDefault="00853A74" w:rsidP="00853A74">
            <w:pPr>
              <w:pStyle w:val="TableText"/>
              <w:rPr>
                <w:b/>
              </w:rPr>
            </w:pPr>
            <w:r w:rsidRPr="00853A74">
              <w:rPr>
                <w:b/>
              </w:rPr>
              <w:t>Screening</w:t>
            </w:r>
          </w:p>
        </w:tc>
        <w:tc>
          <w:tcPr>
            <w:tcW w:w="530" w:type="pct"/>
            <w:tcBorders>
              <w:top w:val="single" w:sz="4" w:space="0" w:color="auto"/>
              <w:bottom w:val="single" w:sz="4" w:space="0" w:color="auto"/>
            </w:tcBorders>
            <w:shd w:val="clear" w:color="auto" w:fill="auto"/>
          </w:tcPr>
          <w:p w:rsidR="00853A74" w:rsidRPr="00853A74" w:rsidRDefault="00853A74" w:rsidP="00853A74">
            <w:pPr>
              <w:pStyle w:val="TableText"/>
              <w:jc w:val="center"/>
              <w:rPr>
                <w:b/>
              </w:rPr>
            </w:pPr>
            <w:r w:rsidRPr="00853A74">
              <w:rPr>
                <w:b/>
              </w:rPr>
              <w:t>Loading dose of sugar</w:t>
            </w:r>
          </w:p>
        </w:tc>
        <w:tc>
          <w:tcPr>
            <w:tcW w:w="530" w:type="pct"/>
            <w:tcBorders>
              <w:top w:val="single" w:sz="4" w:space="0" w:color="auto"/>
              <w:bottom w:val="single" w:sz="4" w:space="0" w:color="auto"/>
            </w:tcBorders>
            <w:shd w:val="clear" w:color="auto" w:fill="auto"/>
          </w:tcPr>
          <w:p w:rsidR="00853A74" w:rsidRPr="00853A74" w:rsidRDefault="00853A74" w:rsidP="00853A74">
            <w:pPr>
              <w:pStyle w:val="TableText"/>
              <w:jc w:val="center"/>
              <w:rPr>
                <w:b/>
              </w:rPr>
            </w:pPr>
            <w:r w:rsidRPr="00853A74">
              <w:rPr>
                <w:b/>
              </w:rPr>
              <w:t>Fasting (mmol/L)</w:t>
            </w:r>
          </w:p>
        </w:tc>
        <w:tc>
          <w:tcPr>
            <w:tcW w:w="530" w:type="pct"/>
            <w:tcBorders>
              <w:top w:val="single" w:sz="4" w:space="0" w:color="auto"/>
              <w:bottom w:val="single" w:sz="4" w:space="0" w:color="auto"/>
            </w:tcBorders>
            <w:shd w:val="clear" w:color="auto" w:fill="auto"/>
          </w:tcPr>
          <w:p w:rsidR="00853A74" w:rsidRPr="00853A74" w:rsidRDefault="00853A74" w:rsidP="00853A74">
            <w:pPr>
              <w:pStyle w:val="TableText"/>
              <w:jc w:val="center"/>
              <w:rPr>
                <w:b/>
              </w:rPr>
            </w:pPr>
            <w:r w:rsidRPr="00853A74">
              <w:rPr>
                <w:b/>
              </w:rPr>
              <w:t>1-hour (mmol/L)</w:t>
            </w:r>
          </w:p>
        </w:tc>
        <w:tc>
          <w:tcPr>
            <w:tcW w:w="530" w:type="pct"/>
            <w:tcBorders>
              <w:top w:val="single" w:sz="4" w:space="0" w:color="auto"/>
              <w:bottom w:val="single" w:sz="4" w:space="0" w:color="auto"/>
            </w:tcBorders>
            <w:shd w:val="clear" w:color="auto" w:fill="auto"/>
          </w:tcPr>
          <w:p w:rsidR="00853A74" w:rsidRPr="00853A74" w:rsidRDefault="00853A74" w:rsidP="00853A74">
            <w:pPr>
              <w:pStyle w:val="TableText"/>
              <w:jc w:val="center"/>
              <w:rPr>
                <w:b/>
              </w:rPr>
            </w:pPr>
            <w:r w:rsidRPr="00853A74">
              <w:rPr>
                <w:b/>
              </w:rPr>
              <w:t>2-hour (mmol/L)</w:t>
            </w:r>
          </w:p>
        </w:tc>
        <w:tc>
          <w:tcPr>
            <w:tcW w:w="530" w:type="pct"/>
            <w:tcBorders>
              <w:top w:val="single" w:sz="4" w:space="0" w:color="auto"/>
              <w:bottom w:val="single" w:sz="4" w:space="0" w:color="auto"/>
            </w:tcBorders>
            <w:shd w:val="clear" w:color="auto" w:fill="auto"/>
          </w:tcPr>
          <w:p w:rsidR="00853A74" w:rsidRPr="00853A74" w:rsidRDefault="00853A74" w:rsidP="00853A74">
            <w:pPr>
              <w:pStyle w:val="TableText"/>
              <w:jc w:val="center"/>
              <w:rPr>
                <w:b/>
              </w:rPr>
            </w:pPr>
            <w:r w:rsidRPr="00853A74">
              <w:rPr>
                <w:b/>
              </w:rPr>
              <w:t>3-hour (mmol/L)</w:t>
            </w:r>
          </w:p>
        </w:tc>
      </w:tr>
      <w:tr w:rsidR="00853A74" w:rsidRPr="00E07B1B" w:rsidTr="00853A74">
        <w:trPr>
          <w:cantSplit/>
        </w:trPr>
        <w:tc>
          <w:tcPr>
            <w:tcW w:w="706" w:type="pct"/>
            <w:tcBorders>
              <w:top w:val="single" w:sz="4" w:space="0" w:color="auto"/>
              <w:bottom w:val="nil"/>
            </w:tcBorders>
            <w:shd w:val="clear" w:color="auto" w:fill="F2F2F2" w:themeFill="background1" w:themeFillShade="F2"/>
          </w:tcPr>
          <w:p w:rsidR="00853A74" w:rsidRPr="00603E21" w:rsidRDefault="00853A74" w:rsidP="00853A74">
            <w:pPr>
              <w:pStyle w:val="TableText"/>
            </w:pPr>
            <w:r w:rsidRPr="00603E21">
              <w:t>Ferrara (2011)</w:t>
            </w:r>
          </w:p>
        </w:tc>
        <w:tc>
          <w:tcPr>
            <w:tcW w:w="1645" w:type="pct"/>
            <w:tcBorders>
              <w:top w:val="single" w:sz="4" w:space="0" w:color="auto"/>
              <w:bottom w:val="nil"/>
            </w:tcBorders>
            <w:shd w:val="clear" w:color="auto" w:fill="F2F2F2" w:themeFill="background1" w:themeFillShade="F2"/>
          </w:tcPr>
          <w:p w:rsidR="00853A74" w:rsidRPr="00603E21" w:rsidRDefault="00853A74" w:rsidP="00853A74">
            <w:pPr>
              <w:pStyle w:val="TableText"/>
            </w:pPr>
            <w:r w:rsidRPr="00603E21">
              <w:t>50</w:t>
            </w:r>
            <w:r>
              <w:t xml:space="preserve"> </w:t>
            </w:r>
            <w:r w:rsidRPr="00603E21">
              <w:t>g oral glucose challenge test</w:t>
            </w:r>
          </w:p>
        </w:tc>
        <w:tc>
          <w:tcPr>
            <w:tcW w:w="530" w:type="pct"/>
            <w:tcBorders>
              <w:top w:val="single" w:sz="4" w:space="0" w:color="auto"/>
              <w:bottom w:val="nil"/>
            </w:tcBorders>
            <w:shd w:val="clear" w:color="auto" w:fill="F2F2F2" w:themeFill="background1" w:themeFillShade="F2"/>
          </w:tcPr>
          <w:p w:rsidR="00853A74" w:rsidRPr="00603E21" w:rsidRDefault="00853A74" w:rsidP="00853A74">
            <w:pPr>
              <w:pStyle w:val="TableText"/>
              <w:jc w:val="center"/>
            </w:pPr>
            <w:r w:rsidRPr="00603E21">
              <w:t>100</w:t>
            </w:r>
            <w:r>
              <w:t xml:space="preserve"> </w:t>
            </w:r>
            <w:r w:rsidRPr="00603E21">
              <w:t>g</w:t>
            </w:r>
          </w:p>
        </w:tc>
        <w:tc>
          <w:tcPr>
            <w:tcW w:w="530" w:type="pct"/>
            <w:tcBorders>
              <w:top w:val="single" w:sz="4" w:space="0" w:color="auto"/>
              <w:bottom w:val="nil"/>
            </w:tcBorders>
            <w:shd w:val="clear" w:color="auto" w:fill="F2F2F2" w:themeFill="background1" w:themeFillShade="F2"/>
          </w:tcPr>
          <w:p w:rsidR="00853A74" w:rsidRPr="00603E21" w:rsidRDefault="00853A74" w:rsidP="00853A74">
            <w:pPr>
              <w:pStyle w:val="TableText"/>
              <w:jc w:val="center"/>
            </w:pPr>
            <w:r w:rsidRPr="00603E21">
              <w:t>≥</w:t>
            </w:r>
            <w:r>
              <w:t xml:space="preserve"> </w:t>
            </w:r>
            <w:r w:rsidRPr="00603E21">
              <w:t>5.1</w:t>
            </w:r>
          </w:p>
        </w:tc>
        <w:tc>
          <w:tcPr>
            <w:tcW w:w="530" w:type="pct"/>
            <w:tcBorders>
              <w:top w:val="single" w:sz="4" w:space="0" w:color="auto"/>
              <w:bottom w:val="nil"/>
            </w:tcBorders>
            <w:shd w:val="clear" w:color="auto" w:fill="F2F2F2" w:themeFill="background1" w:themeFillShade="F2"/>
          </w:tcPr>
          <w:p w:rsidR="00853A74" w:rsidRPr="00603E21" w:rsidRDefault="00853A74" w:rsidP="00853A74">
            <w:pPr>
              <w:pStyle w:val="TableText"/>
              <w:jc w:val="center"/>
            </w:pPr>
            <w:r w:rsidRPr="00603E21">
              <w:t>≥</w:t>
            </w:r>
            <w:r>
              <w:t xml:space="preserve"> </w:t>
            </w:r>
            <w:r w:rsidRPr="00603E21">
              <w:t>10.0</w:t>
            </w:r>
          </w:p>
        </w:tc>
        <w:tc>
          <w:tcPr>
            <w:tcW w:w="530" w:type="pct"/>
            <w:tcBorders>
              <w:top w:val="single" w:sz="4" w:space="0" w:color="auto"/>
              <w:bottom w:val="nil"/>
            </w:tcBorders>
            <w:shd w:val="clear" w:color="auto" w:fill="F2F2F2" w:themeFill="background1" w:themeFillShade="F2"/>
          </w:tcPr>
          <w:p w:rsidR="00853A74" w:rsidRPr="00603E21" w:rsidRDefault="00853A74" w:rsidP="00853A74">
            <w:pPr>
              <w:pStyle w:val="TableText"/>
              <w:jc w:val="center"/>
            </w:pPr>
            <w:r w:rsidRPr="00603E21">
              <w:t>≥</w:t>
            </w:r>
            <w:r>
              <w:t xml:space="preserve"> </w:t>
            </w:r>
            <w:r w:rsidRPr="00603E21">
              <w:t>8.5</w:t>
            </w:r>
          </w:p>
        </w:tc>
        <w:tc>
          <w:tcPr>
            <w:tcW w:w="530" w:type="pct"/>
            <w:tcBorders>
              <w:top w:val="single" w:sz="4" w:space="0" w:color="auto"/>
              <w:bottom w:val="nil"/>
            </w:tcBorders>
            <w:shd w:val="clear" w:color="auto" w:fill="F2F2F2" w:themeFill="background1" w:themeFillShade="F2"/>
          </w:tcPr>
          <w:p w:rsidR="00853A74" w:rsidRPr="00603E21" w:rsidRDefault="00853A74" w:rsidP="00853A74">
            <w:pPr>
              <w:pStyle w:val="TableText"/>
              <w:jc w:val="center"/>
            </w:pPr>
            <w:r>
              <w:t>–</w:t>
            </w:r>
          </w:p>
        </w:tc>
      </w:tr>
      <w:tr w:rsidR="00853A74" w:rsidRPr="00E07B1B" w:rsidTr="00853A74">
        <w:trPr>
          <w:cantSplit/>
        </w:trPr>
        <w:tc>
          <w:tcPr>
            <w:tcW w:w="706" w:type="pct"/>
            <w:tcBorders>
              <w:top w:val="nil"/>
              <w:bottom w:val="nil"/>
            </w:tcBorders>
            <w:shd w:val="clear" w:color="auto" w:fill="auto"/>
          </w:tcPr>
          <w:p w:rsidR="00853A74" w:rsidRPr="00603E21" w:rsidRDefault="00853A74" w:rsidP="00853A74">
            <w:pPr>
              <w:pStyle w:val="TableText"/>
            </w:pPr>
            <w:r w:rsidRPr="00603E21">
              <w:t>Landon (2009)</w:t>
            </w:r>
            <w:r w:rsidRPr="00603E21">
              <w:rPr>
                <w:vertAlign w:val="superscript"/>
              </w:rPr>
              <w:t>$</w:t>
            </w:r>
          </w:p>
        </w:tc>
        <w:tc>
          <w:tcPr>
            <w:tcW w:w="1645" w:type="pct"/>
            <w:tcBorders>
              <w:top w:val="nil"/>
              <w:bottom w:val="nil"/>
            </w:tcBorders>
            <w:shd w:val="clear" w:color="auto" w:fill="auto"/>
          </w:tcPr>
          <w:p w:rsidR="00853A74" w:rsidRPr="00603E21" w:rsidRDefault="00853A74" w:rsidP="00853A74">
            <w:pPr>
              <w:pStyle w:val="TableText"/>
            </w:pPr>
            <w:r w:rsidRPr="00603E21">
              <w:t>50</w:t>
            </w:r>
            <w:r>
              <w:t xml:space="preserve"> </w:t>
            </w:r>
            <w:r w:rsidRPr="00603E21">
              <w:t>g</w:t>
            </w:r>
            <w:r>
              <w:t>,</w:t>
            </w:r>
            <w:r w:rsidRPr="00603E21">
              <w:t xml:space="preserve"> 1</w:t>
            </w:r>
            <w:r>
              <w:t>-</w:t>
            </w:r>
            <w:r w:rsidRPr="00603E21">
              <w:t xml:space="preserve">hour oral glucose challenge test (values between 7.5 </w:t>
            </w:r>
            <w:r>
              <w:t>and</w:t>
            </w:r>
            <w:r w:rsidRPr="00603E21">
              <w:t xml:space="preserve"> 11.1</w:t>
            </w:r>
            <w:r>
              <w:t xml:space="preserve"> </w:t>
            </w:r>
            <w:r w:rsidRPr="00603E21">
              <w:t>mmol/L)</w:t>
            </w:r>
          </w:p>
        </w:tc>
        <w:tc>
          <w:tcPr>
            <w:tcW w:w="530" w:type="pct"/>
            <w:tcBorders>
              <w:top w:val="nil"/>
              <w:bottom w:val="nil"/>
            </w:tcBorders>
            <w:shd w:val="clear" w:color="auto" w:fill="auto"/>
          </w:tcPr>
          <w:p w:rsidR="00853A74" w:rsidRPr="00603E21" w:rsidRDefault="00853A74" w:rsidP="00853A74">
            <w:pPr>
              <w:pStyle w:val="TableText"/>
              <w:jc w:val="center"/>
            </w:pPr>
            <w:r w:rsidRPr="00603E21">
              <w:t>100</w:t>
            </w:r>
            <w:r>
              <w:t xml:space="preserve"> </w:t>
            </w:r>
            <w:r w:rsidRPr="00603E21">
              <w:t>g</w:t>
            </w:r>
          </w:p>
        </w:tc>
        <w:tc>
          <w:tcPr>
            <w:tcW w:w="530" w:type="pct"/>
            <w:tcBorders>
              <w:top w:val="nil"/>
              <w:bottom w:val="nil"/>
            </w:tcBorders>
            <w:shd w:val="clear" w:color="auto" w:fill="auto"/>
          </w:tcPr>
          <w:p w:rsidR="00853A74" w:rsidRPr="00603E21" w:rsidRDefault="00853A74" w:rsidP="00853A74">
            <w:pPr>
              <w:pStyle w:val="TableText"/>
              <w:jc w:val="center"/>
            </w:pPr>
            <w:r w:rsidRPr="00603E21">
              <w:t>&lt;</w:t>
            </w:r>
            <w:r>
              <w:t xml:space="preserve"> </w:t>
            </w:r>
            <w:r w:rsidRPr="00603E21">
              <w:t>5.3</w:t>
            </w:r>
          </w:p>
        </w:tc>
        <w:tc>
          <w:tcPr>
            <w:tcW w:w="530" w:type="pct"/>
            <w:tcBorders>
              <w:top w:val="nil"/>
              <w:bottom w:val="nil"/>
            </w:tcBorders>
            <w:shd w:val="clear" w:color="auto" w:fill="auto"/>
          </w:tcPr>
          <w:p w:rsidR="00853A74" w:rsidRPr="00603E21" w:rsidRDefault="00853A74" w:rsidP="00853A74">
            <w:pPr>
              <w:pStyle w:val="TableText"/>
              <w:jc w:val="center"/>
            </w:pPr>
            <w:r w:rsidRPr="00603E21">
              <w:t>&gt;</w:t>
            </w:r>
            <w:r>
              <w:t xml:space="preserve"> </w:t>
            </w:r>
            <w:r w:rsidRPr="00603E21">
              <w:t>10</w:t>
            </w:r>
          </w:p>
        </w:tc>
        <w:tc>
          <w:tcPr>
            <w:tcW w:w="530" w:type="pct"/>
            <w:tcBorders>
              <w:top w:val="nil"/>
              <w:bottom w:val="nil"/>
            </w:tcBorders>
            <w:shd w:val="clear" w:color="auto" w:fill="auto"/>
          </w:tcPr>
          <w:p w:rsidR="00853A74" w:rsidRPr="00603E21" w:rsidRDefault="00853A74" w:rsidP="00853A74">
            <w:pPr>
              <w:pStyle w:val="TableText"/>
              <w:jc w:val="center"/>
            </w:pPr>
            <w:r w:rsidRPr="00603E21">
              <w:t>&gt;</w:t>
            </w:r>
            <w:r>
              <w:t xml:space="preserve"> </w:t>
            </w:r>
            <w:r w:rsidRPr="00603E21">
              <w:t>8.6</w:t>
            </w:r>
          </w:p>
        </w:tc>
        <w:tc>
          <w:tcPr>
            <w:tcW w:w="530" w:type="pct"/>
            <w:tcBorders>
              <w:top w:val="nil"/>
              <w:bottom w:val="nil"/>
            </w:tcBorders>
            <w:shd w:val="clear" w:color="auto" w:fill="auto"/>
          </w:tcPr>
          <w:p w:rsidR="00853A74" w:rsidRPr="00603E21" w:rsidRDefault="00853A74" w:rsidP="00853A74">
            <w:pPr>
              <w:pStyle w:val="TableText"/>
              <w:jc w:val="center"/>
            </w:pPr>
            <w:r w:rsidRPr="00603E21">
              <w:t>&gt;</w:t>
            </w:r>
            <w:r>
              <w:t xml:space="preserve"> </w:t>
            </w:r>
            <w:r w:rsidRPr="00603E21">
              <w:t>7.8</w:t>
            </w:r>
          </w:p>
        </w:tc>
      </w:tr>
      <w:tr w:rsidR="00853A74" w:rsidRPr="00E07B1B" w:rsidTr="00853A74">
        <w:trPr>
          <w:cantSplit/>
        </w:trPr>
        <w:tc>
          <w:tcPr>
            <w:tcW w:w="706" w:type="pct"/>
            <w:tcBorders>
              <w:top w:val="nil"/>
              <w:bottom w:val="nil"/>
            </w:tcBorders>
            <w:shd w:val="clear" w:color="auto" w:fill="F2F2F2" w:themeFill="background1" w:themeFillShade="F2"/>
          </w:tcPr>
          <w:p w:rsidR="00853A74" w:rsidRPr="00603E21" w:rsidRDefault="00853A74" w:rsidP="00853A74">
            <w:pPr>
              <w:pStyle w:val="TableText"/>
            </w:pPr>
            <w:r w:rsidRPr="00EF0C42">
              <w:t>Elnour (2008)</w:t>
            </w:r>
          </w:p>
        </w:tc>
        <w:tc>
          <w:tcPr>
            <w:tcW w:w="1645" w:type="pct"/>
            <w:tcBorders>
              <w:top w:val="nil"/>
              <w:bottom w:val="nil"/>
            </w:tcBorders>
            <w:shd w:val="clear" w:color="auto" w:fill="F2F2F2" w:themeFill="background1" w:themeFillShade="F2"/>
          </w:tcPr>
          <w:p w:rsidR="00853A74" w:rsidRPr="00603E21" w:rsidRDefault="00853A74" w:rsidP="00853A74">
            <w:pPr>
              <w:pStyle w:val="TableText"/>
              <w:rPr>
                <w:lang w:eastAsia="en-NZ"/>
              </w:rPr>
            </w:pPr>
            <w:r w:rsidRPr="00603E21">
              <w:t>50</w:t>
            </w:r>
            <w:r>
              <w:t xml:space="preserve"> </w:t>
            </w:r>
            <w:r w:rsidRPr="00603E21">
              <w:t>g</w:t>
            </w:r>
            <w:r>
              <w:t>,</w:t>
            </w:r>
            <w:r w:rsidRPr="00603E21">
              <w:t xml:space="preserve"> 1</w:t>
            </w:r>
            <w:r>
              <w:t>-</w:t>
            </w:r>
            <w:r w:rsidRPr="00603E21">
              <w:t>hour oral glucose challenge test with cut</w:t>
            </w:r>
            <w:r>
              <w:t>-</w:t>
            </w:r>
            <w:r w:rsidRPr="00603E21">
              <w:t xml:space="preserve">off of </w:t>
            </w:r>
            <w:r w:rsidRPr="00603E21">
              <w:rPr>
                <w:lang w:eastAsia="en-NZ"/>
              </w:rPr>
              <w:t>serum glucose &gt;</w:t>
            </w:r>
            <w:r>
              <w:rPr>
                <w:lang w:eastAsia="en-NZ"/>
              </w:rPr>
              <w:t> </w:t>
            </w:r>
            <w:r w:rsidRPr="00603E21">
              <w:rPr>
                <w:lang w:eastAsia="en-NZ"/>
              </w:rPr>
              <w:t>7.2</w:t>
            </w:r>
            <w:r>
              <w:rPr>
                <w:lang w:eastAsia="en-NZ"/>
              </w:rPr>
              <w:t> </w:t>
            </w:r>
            <w:r w:rsidRPr="00603E21">
              <w:rPr>
                <w:lang w:eastAsia="en-NZ"/>
              </w:rPr>
              <w:t>mmol/L; plasma glucose &gt;</w:t>
            </w:r>
            <w:r>
              <w:rPr>
                <w:lang w:eastAsia="en-NZ"/>
              </w:rPr>
              <w:t> </w:t>
            </w:r>
            <w:r w:rsidRPr="00603E21">
              <w:rPr>
                <w:lang w:eastAsia="en-NZ"/>
              </w:rPr>
              <w:t>7.8</w:t>
            </w:r>
            <w:r>
              <w:rPr>
                <w:lang w:eastAsia="en-NZ"/>
              </w:rPr>
              <w:t xml:space="preserve"> </w:t>
            </w:r>
            <w:r w:rsidRPr="00603E21">
              <w:rPr>
                <w:lang w:eastAsia="en-NZ"/>
              </w:rPr>
              <w:t>mmol/L or risk factors</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pPr>
            <w:r w:rsidRPr="00603E21">
              <w:t>100</w:t>
            </w:r>
            <w:r>
              <w:t xml:space="preserve"> </w:t>
            </w:r>
            <w:r w:rsidRPr="00603E21">
              <w:t>g</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rPr>
                <w:lang w:eastAsia="en-NZ"/>
              </w:rPr>
            </w:pPr>
            <w:r w:rsidRPr="00603E21">
              <w:t>≥</w:t>
            </w:r>
            <w:r>
              <w:t xml:space="preserve"> </w:t>
            </w:r>
            <w:r w:rsidRPr="00603E21">
              <w:rPr>
                <w:lang w:eastAsia="en-NZ"/>
              </w:rPr>
              <w:t>5.3</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rPr>
                <w:lang w:eastAsia="en-NZ"/>
              </w:rPr>
            </w:pPr>
            <w:r w:rsidRPr="00603E21">
              <w:t>≥</w:t>
            </w:r>
            <w:r>
              <w:t xml:space="preserve"> </w:t>
            </w:r>
            <w:r w:rsidRPr="00603E21">
              <w:rPr>
                <w:lang w:eastAsia="en-NZ"/>
              </w:rPr>
              <w:t>10</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pPr>
            <w:r w:rsidRPr="00603E21">
              <w:t>≥</w:t>
            </w:r>
            <w:r>
              <w:t xml:space="preserve"> </w:t>
            </w:r>
            <w:r w:rsidRPr="00603E21">
              <w:t>8.7</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pPr>
            <w:r w:rsidRPr="00603E21">
              <w:t>≥</w:t>
            </w:r>
            <w:r>
              <w:t xml:space="preserve"> </w:t>
            </w:r>
            <w:r w:rsidRPr="00603E21">
              <w:t>7.8</w:t>
            </w:r>
          </w:p>
        </w:tc>
      </w:tr>
      <w:tr w:rsidR="00853A74" w:rsidRPr="00E07B1B" w:rsidTr="00853A74">
        <w:trPr>
          <w:cantSplit/>
        </w:trPr>
        <w:tc>
          <w:tcPr>
            <w:tcW w:w="706" w:type="pct"/>
            <w:tcBorders>
              <w:top w:val="nil"/>
              <w:bottom w:val="nil"/>
            </w:tcBorders>
            <w:shd w:val="clear" w:color="auto" w:fill="auto"/>
          </w:tcPr>
          <w:p w:rsidR="00853A74" w:rsidRPr="00603E21" w:rsidRDefault="00853A74" w:rsidP="00853A74">
            <w:pPr>
              <w:pStyle w:val="TableText"/>
            </w:pPr>
            <w:r w:rsidRPr="00603E21">
              <w:t>Crowther (2005)</w:t>
            </w:r>
            <w:r>
              <w:t>#</w:t>
            </w:r>
          </w:p>
        </w:tc>
        <w:tc>
          <w:tcPr>
            <w:tcW w:w="1645" w:type="pct"/>
            <w:tcBorders>
              <w:top w:val="nil"/>
              <w:bottom w:val="nil"/>
            </w:tcBorders>
            <w:shd w:val="clear" w:color="auto" w:fill="auto"/>
          </w:tcPr>
          <w:p w:rsidR="00853A74" w:rsidRPr="00603E21" w:rsidRDefault="00853A74" w:rsidP="00853A74">
            <w:pPr>
              <w:pStyle w:val="TableText"/>
            </w:pPr>
            <w:r w:rsidRPr="00603E21">
              <w:t>50</w:t>
            </w:r>
            <w:r>
              <w:t xml:space="preserve"> </w:t>
            </w:r>
            <w:r w:rsidRPr="00603E21">
              <w:t>g glucose challenge test (≥</w:t>
            </w:r>
            <w:r>
              <w:t xml:space="preserve"> </w:t>
            </w:r>
            <w:r w:rsidRPr="00603E21">
              <w:t>7.8 mmol/L at 1 hour)</w:t>
            </w:r>
          </w:p>
        </w:tc>
        <w:tc>
          <w:tcPr>
            <w:tcW w:w="530" w:type="pct"/>
            <w:tcBorders>
              <w:top w:val="nil"/>
              <w:bottom w:val="nil"/>
            </w:tcBorders>
            <w:shd w:val="clear" w:color="auto" w:fill="auto"/>
          </w:tcPr>
          <w:p w:rsidR="00853A74" w:rsidRPr="00603E21" w:rsidRDefault="00853A74" w:rsidP="00853A74">
            <w:pPr>
              <w:pStyle w:val="TableText"/>
              <w:jc w:val="center"/>
            </w:pPr>
            <w:r w:rsidRPr="00603E21">
              <w:t>75</w:t>
            </w:r>
            <w:r>
              <w:t xml:space="preserve"> </w:t>
            </w:r>
            <w:r w:rsidRPr="00603E21">
              <w:t>g</w:t>
            </w:r>
          </w:p>
        </w:tc>
        <w:tc>
          <w:tcPr>
            <w:tcW w:w="530" w:type="pct"/>
            <w:tcBorders>
              <w:top w:val="nil"/>
              <w:bottom w:val="nil"/>
            </w:tcBorders>
            <w:shd w:val="clear" w:color="auto" w:fill="auto"/>
          </w:tcPr>
          <w:p w:rsidR="00853A74" w:rsidRPr="00603E21" w:rsidRDefault="00853A74" w:rsidP="00853A74">
            <w:pPr>
              <w:pStyle w:val="TableText"/>
              <w:jc w:val="center"/>
            </w:pPr>
            <w:r>
              <w:t>&lt; 7.8</w:t>
            </w:r>
          </w:p>
        </w:tc>
        <w:tc>
          <w:tcPr>
            <w:tcW w:w="530" w:type="pct"/>
            <w:tcBorders>
              <w:top w:val="nil"/>
              <w:bottom w:val="nil"/>
            </w:tcBorders>
            <w:shd w:val="clear" w:color="auto" w:fill="auto"/>
          </w:tcPr>
          <w:p w:rsidR="00853A74" w:rsidRPr="00603E21" w:rsidRDefault="00853A74" w:rsidP="00853A74">
            <w:pPr>
              <w:pStyle w:val="TableText"/>
              <w:jc w:val="center"/>
            </w:pPr>
            <w:r>
              <w:t>–</w:t>
            </w:r>
          </w:p>
        </w:tc>
        <w:tc>
          <w:tcPr>
            <w:tcW w:w="530" w:type="pct"/>
            <w:tcBorders>
              <w:top w:val="nil"/>
              <w:bottom w:val="nil"/>
            </w:tcBorders>
            <w:shd w:val="clear" w:color="auto" w:fill="auto"/>
          </w:tcPr>
          <w:p w:rsidR="00853A74" w:rsidRPr="00603E21" w:rsidRDefault="00853A74" w:rsidP="00853A74">
            <w:pPr>
              <w:pStyle w:val="TableText"/>
              <w:jc w:val="center"/>
            </w:pPr>
            <w:r w:rsidRPr="00603E21">
              <w:t>7.8</w:t>
            </w:r>
            <w:r>
              <w:t>–</w:t>
            </w:r>
            <w:r w:rsidRPr="00603E21">
              <w:t>11</w:t>
            </w:r>
          </w:p>
        </w:tc>
        <w:tc>
          <w:tcPr>
            <w:tcW w:w="530" w:type="pct"/>
            <w:tcBorders>
              <w:top w:val="nil"/>
              <w:bottom w:val="nil"/>
            </w:tcBorders>
            <w:shd w:val="clear" w:color="auto" w:fill="auto"/>
          </w:tcPr>
          <w:p w:rsidR="00853A74" w:rsidRPr="00603E21" w:rsidRDefault="00853A74" w:rsidP="00853A74">
            <w:pPr>
              <w:pStyle w:val="TableText"/>
              <w:jc w:val="center"/>
            </w:pPr>
            <w:r>
              <w:t>–</w:t>
            </w:r>
          </w:p>
        </w:tc>
      </w:tr>
      <w:tr w:rsidR="00853A74" w:rsidRPr="00E07B1B" w:rsidTr="00853A74">
        <w:trPr>
          <w:cantSplit/>
        </w:trPr>
        <w:tc>
          <w:tcPr>
            <w:tcW w:w="706" w:type="pct"/>
            <w:tcBorders>
              <w:top w:val="nil"/>
              <w:bottom w:val="nil"/>
            </w:tcBorders>
            <w:shd w:val="clear" w:color="auto" w:fill="F2F2F2" w:themeFill="background1" w:themeFillShade="F2"/>
          </w:tcPr>
          <w:p w:rsidR="00853A74" w:rsidRPr="00EF0C42" w:rsidRDefault="00853A74" w:rsidP="00853A74">
            <w:pPr>
              <w:pStyle w:val="TableText"/>
            </w:pPr>
            <w:r w:rsidRPr="00EF0C42">
              <w:t>Gillen (2004)</w:t>
            </w:r>
          </w:p>
        </w:tc>
        <w:tc>
          <w:tcPr>
            <w:tcW w:w="1645" w:type="pct"/>
            <w:tcBorders>
              <w:top w:val="nil"/>
              <w:bottom w:val="nil"/>
            </w:tcBorders>
            <w:shd w:val="clear" w:color="auto" w:fill="F2F2F2" w:themeFill="background1" w:themeFillShade="F2"/>
          </w:tcPr>
          <w:p w:rsidR="00853A74" w:rsidRPr="00603E21" w:rsidRDefault="00853A74" w:rsidP="00853A74">
            <w:pPr>
              <w:pStyle w:val="TableText"/>
            </w:pPr>
            <w:r w:rsidRPr="00603E21">
              <w:t>High</w:t>
            </w:r>
            <w:r>
              <w:t>-</w:t>
            </w:r>
            <w:r w:rsidRPr="00603E21">
              <w:t>risk women only</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rPr>
                <w:highlight w:val="yellow"/>
              </w:rPr>
            </w:pPr>
            <w:r w:rsidRPr="00603E21">
              <w:t>75</w:t>
            </w:r>
            <w:r>
              <w:t xml:space="preserve"> </w:t>
            </w:r>
            <w:r w:rsidRPr="00603E21">
              <w:t>g</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pPr>
            <w:r w:rsidRPr="00603E21">
              <w:t>≥</w:t>
            </w:r>
            <w:r>
              <w:t xml:space="preserve"> </w:t>
            </w:r>
            <w:r w:rsidRPr="00603E21">
              <w:t>5.1</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pPr>
            <w:r w:rsidRPr="00603E21">
              <w:t>≥</w:t>
            </w:r>
            <w:r>
              <w:t xml:space="preserve"> </w:t>
            </w:r>
            <w:r w:rsidRPr="00603E21">
              <w:t>10.0</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pPr>
            <w:r w:rsidRPr="00603E21">
              <w:t>≥</w:t>
            </w:r>
            <w:r>
              <w:t xml:space="preserve"> </w:t>
            </w:r>
            <w:r w:rsidRPr="00603E21">
              <w:t>8.5</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rPr>
                <w:highlight w:val="yellow"/>
              </w:rPr>
            </w:pPr>
            <w:r w:rsidRPr="00853A74">
              <w:t>–</w:t>
            </w:r>
          </w:p>
        </w:tc>
      </w:tr>
      <w:tr w:rsidR="00853A74" w:rsidRPr="00E07B1B" w:rsidTr="00853A74">
        <w:trPr>
          <w:cantSplit/>
        </w:trPr>
        <w:tc>
          <w:tcPr>
            <w:tcW w:w="706" w:type="pct"/>
            <w:tcBorders>
              <w:top w:val="nil"/>
              <w:bottom w:val="nil"/>
            </w:tcBorders>
            <w:shd w:val="clear" w:color="auto" w:fill="auto"/>
          </w:tcPr>
          <w:p w:rsidR="00853A74" w:rsidRPr="00EF0C42" w:rsidRDefault="00853A74" w:rsidP="00853A74">
            <w:pPr>
              <w:pStyle w:val="TableText"/>
            </w:pPr>
            <w:r w:rsidRPr="00EF0C42">
              <w:t>Yang (2003)</w:t>
            </w:r>
          </w:p>
        </w:tc>
        <w:tc>
          <w:tcPr>
            <w:tcW w:w="1645" w:type="pct"/>
            <w:tcBorders>
              <w:top w:val="nil"/>
              <w:bottom w:val="nil"/>
            </w:tcBorders>
            <w:shd w:val="clear" w:color="auto" w:fill="auto"/>
          </w:tcPr>
          <w:p w:rsidR="00853A74" w:rsidRPr="00603E21" w:rsidRDefault="00853A74" w:rsidP="00853A74">
            <w:pPr>
              <w:pStyle w:val="TableText"/>
            </w:pPr>
            <w:r w:rsidRPr="00603E21">
              <w:t>50</w:t>
            </w:r>
            <w:r>
              <w:t xml:space="preserve"> </w:t>
            </w:r>
            <w:r w:rsidRPr="00603E21">
              <w:t>g</w:t>
            </w:r>
            <w:r>
              <w:t>,</w:t>
            </w:r>
            <w:r w:rsidRPr="00603E21">
              <w:t xml:space="preserve"> 1</w:t>
            </w:r>
            <w:r>
              <w:t>-</w:t>
            </w:r>
            <w:r w:rsidRPr="00603E21">
              <w:t>hour oral glucose challenge test with cut</w:t>
            </w:r>
            <w:r>
              <w:t>-</w:t>
            </w:r>
            <w:r w:rsidRPr="00603E21">
              <w:t>off of ≥</w:t>
            </w:r>
            <w:r>
              <w:t xml:space="preserve"> </w:t>
            </w:r>
            <w:r w:rsidRPr="00603E21">
              <w:t>7.8</w:t>
            </w:r>
            <w:r>
              <w:t xml:space="preserve"> </w:t>
            </w:r>
            <w:r w:rsidRPr="00603E21">
              <w:t>mmol/L</w:t>
            </w:r>
          </w:p>
        </w:tc>
        <w:tc>
          <w:tcPr>
            <w:tcW w:w="530" w:type="pct"/>
            <w:tcBorders>
              <w:top w:val="nil"/>
              <w:bottom w:val="nil"/>
            </w:tcBorders>
            <w:shd w:val="clear" w:color="auto" w:fill="auto"/>
          </w:tcPr>
          <w:p w:rsidR="00853A74" w:rsidRPr="00603E21" w:rsidRDefault="00853A74" w:rsidP="00853A74">
            <w:pPr>
              <w:pStyle w:val="TableText"/>
              <w:jc w:val="center"/>
            </w:pPr>
            <w:r w:rsidRPr="00603E21">
              <w:t>75</w:t>
            </w:r>
            <w:r>
              <w:t xml:space="preserve"> </w:t>
            </w:r>
            <w:r w:rsidRPr="00603E21">
              <w:t>g</w:t>
            </w:r>
          </w:p>
        </w:tc>
        <w:tc>
          <w:tcPr>
            <w:tcW w:w="530" w:type="pct"/>
            <w:tcBorders>
              <w:top w:val="nil"/>
              <w:bottom w:val="nil"/>
            </w:tcBorders>
            <w:shd w:val="clear" w:color="auto" w:fill="auto"/>
          </w:tcPr>
          <w:p w:rsidR="00853A74" w:rsidRPr="00603E21" w:rsidRDefault="00853A74" w:rsidP="00853A74">
            <w:pPr>
              <w:pStyle w:val="TableText"/>
              <w:jc w:val="center"/>
            </w:pPr>
            <w:r w:rsidRPr="00603E21">
              <w:t>≥</w:t>
            </w:r>
            <w:r>
              <w:t xml:space="preserve"> </w:t>
            </w:r>
            <w:r w:rsidRPr="00603E21">
              <w:t>7.0</w:t>
            </w:r>
          </w:p>
        </w:tc>
        <w:tc>
          <w:tcPr>
            <w:tcW w:w="530" w:type="pct"/>
            <w:tcBorders>
              <w:top w:val="nil"/>
              <w:bottom w:val="nil"/>
            </w:tcBorders>
            <w:shd w:val="clear" w:color="auto" w:fill="auto"/>
          </w:tcPr>
          <w:p w:rsidR="00853A74" w:rsidRPr="00603E21" w:rsidRDefault="00853A74" w:rsidP="00853A74">
            <w:pPr>
              <w:pStyle w:val="TableText"/>
              <w:jc w:val="center"/>
            </w:pPr>
            <w:r>
              <w:t>–</w:t>
            </w:r>
          </w:p>
        </w:tc>
        <w:tc>
          <w:tcPr>
            <w:tcW w:w="530" w:type="pct"/>
            <w:tcBorders>
              <w:top w:val="nil"/>
              <w:bottom w:val="nil"/>
            </w:tcBorders>
            <w:shd w:val="clear" w:color="auto" w:fill="auto"/>
          </w:tcPr>
          <w:p w:rsidR="00853A74" w:rsidRPr="00603E21" w:rsidRDefault="00853A74" w:rsidP="00853A74">
            <w:pPr>
              <w:pStyle w:val="TableText"/>
              <w:jc w:val="center"/>
            </w:pPr>
            <w:r w:rsidRPr="00603E21">
              <w:t>≥</w:t>
            </w:r>
            <w:r>
              <w:t xml:space="preserve"> </w:t>
            </w:r>
            <w:r w:rsidRPr="00603E21">
              <w:t>7.8</w:t>
            </w:r>
          </w:p>
        </w:tc>
        <w:tc>
          <w:tcPr>
            <w:tcW w:w="530" w:type="pct"/>
            <w:tcBorders>
              <w:top w:val="nil"/>
              <w:bottom w:val="nil"/>
            </w:tcBorders>
            <w:shd w:val="clear" w:color="auto" w:fill="auto"/>
          </w:tcPr>
          <w:p w:rsidR="00853A74" w:rsidRPr="00603E21" w:rsidRDefault="00853A74" w:rsidP="00853A74">
            <w:pPr>
              <w:pStyle w:val="TableText"/>
              <w:jc w:val="center"/>
            </w:pPr>
            <w:r>
              <w:t>–</w:t>
            </w:r>
          </w:p>
        </w:tc>
      </w:tr>
      <w:tr w:rsidR="00853A74" w:rsidRPr="00E07B1B" w:rsidTr="00853A74">
        <w:trPr>
          <w:cantSplit/>
        </w:trPr>
        <w:tc>
          <w:tcPr>
            <w:tcW w:w="706" w:type="pct"/>
            <w:tcBorders>
              <w:top w:val="nil"/>
              <w:bottom w:val="nil"/>
            </w:tcBorders>
            <w:shd w:val="clear" w:color="auto" w:fill="F2F2F2" w:themeFill="background1" w:themeFillShade="F2"/>
          </w:tcPr>
          <w:p w:rsidR="00853A74" w:rsidRPr="00EF0C42" w:rsidRDefault="00853A74" w:rsidP="00853A74">
            <w:pPr>
              <w:pStyle w:val="TableText"/>
            </w:pPr>
            <w:r w:rsidRPr="00EF0C42">
              <w:t>Bancroft (2000)</w:t>
            </w:r>
            <w:r>
              <w:t>#</w:t>
            </w:r>
          </w:p>
        </w:tc>
        <w:tc>
          <w:tcPr>
            <w:tcW w:w="1645" w:type="pct"/>
            <w:tcBorders>
              <w:top w:val="nil"/>
              <w:bottom w:val="nil"/>
            </w:tcBorders>
            <w:shd w:val="clear" w:color="auto" w:fill="F2F2F2" w:themeFill="background1" w:themeFillShade="F2"/>
          </w:tcPr>
          <w:p w:rsidR="00853A74" w:rsidRPr="00603E21" w:rsidRDefault="00853A74" w:rsidP="00853A74">
            <w:pPr>
              <w:pStyle w:val="TableText"/>
            </w:pPr>
            <w:r w:rsidRPr="00603E21">
              <w:t>At discretion of physician</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pPr>
            <w:r w:rsidRPr="00603E21">
              <w:t>75</w:t>
            </w:r>
            <w:r>
              <w:t xml:space="preserve"> </w:t>
            </w:r>
            <w:r w:rsidRPr="00603E21">
              <w:t>g</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pPr>
            <w:r w:rsidRPr="00603E21">
              <w:t>&lt;7</w:t>
            </w:r>
            <w:r>
              <w:t xml:space="preserve"> .0</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pPr>
            <w:r>
              <w:t>–</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pPr>
            <w:r w:rsidRPr="00603E21">
              <w:t>7.8</w:t>
            </w:r>
            <w:r>
              <w:t>–</w:t>
            </w:r>
            <w:r w:rsidRPr="00603E21">
              <w:t>11</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pPr>
            <w:r>
              <w:t>–</w:t>
            </w:r>
          </w:p>
        </w:tc>
      </w:tr>
      <w:tr w:rsidR="00853A74" w:rsidRPr="00E07B1B" w:rsidTr="00853A74">
        <w:trPr>
          <w:cantSplit/>
        </w:trPr>
        <w:tc>
          <w:tcPr>
            <w:tcW w:w="706" w:type="pct"/>
            <w:tcBorders>
              <w:top w:val="nil"/>
              <w:bottom w:val="nil"/>
            </w:tcBorders>
            <w:shd w:val="clear" w:color="auto" w:fill="auto"/>
          </w:tcPr>
          <w:p w:rsidR="00853A74" w:rsidRPr="00EF0C42" w:rsidRDefault="00853A74" w:rsidP="00853A74">
            <w:pPr>
              <w:pStyle w:val="TableText"/>
            </w:pPr>
            <w:r w:rsidRPr="00EF0C42">
              <w:t>Garner (1997)^</w:t>
            </w:r>
          </w:p>
        </w:tc>
        <w:tc>
          <w:tcPr>
            <w:tcW w:w="1645" w:type="pct"/>
            <w:tcBorders>
              <w:top w:val="nil"/>
              <w:bottom w:val="nil"/>
            </w:tcBorders>
            <w:shd w:val="clear" w:color="auto" w:fill="auto"/>
          </w:tcPr>
          <w:p w:rsidR="00853A74" w:rsidRPr="00603E21" w:rsidRDefault="00853A74" w:rsidP="00853A74">
            <w:pPr>
              <w:pStyle w:val="TableText"/>
            </w:pPr>
            <w:r w:rsidRPr="00603E21">
              <w:t>75</w:t>
            </w:r>
            <w:r>
              <w:t xml:space="preserve"> </w:t>
            </w:r>
            <w:r w:rsidRPr="00603E21">
              <w:t>g</w:t>
            </w:r>
            <w:r>
              <w:t>,</w:t>
            </w:r>
            <w:r w:rsidRPr="00603E21">
              <w:t xml:space="preserve"> 1</w:t>
            </w:r>
            <w:r>
              <w:t>-</w:t>
            </w:r>
            <w:r w:rsidRPr="00603E21">
              <w:t>hour oral glucose challenge test with cut-off of ≥</w:t>
            </w:r>
            <w:r>
              <w:t xml:space="preserve"> </w:t>
            </w:r>
            <w:r w:rsidRPr="00603E21">
              <w:t>8</w:t>
            </w:r>
            <w:r>
              <w:t xml:space="preserve"> </w:t>
            </w:r>
            <w:r w:rsidRPr="00603E21">
              <w:t>mmol/L</w:t>
            </w:r>
          </w:p>
        </w:tc>
        <w:tc>
          <w:tcPr>
            <w:tcW w:w="530" w:type="pct"/>
            <w:tcBorders>
              <w:top w:val="nil"/>
              <w:bottom w:val="nil"/>
            </w:tcBorders>
            <w:shd w:val="clear" w:color="auto" w:fill="auto"/>
          </w:tcPr>
          <w:p w:rsidR="00853A74" w:rsidRPr="00603E21" w:rsidRDefault="00853A74" w:rsidP="00853A74">
            <w:pPr>
              <w:pStyle w:val="TableText"/>
              <w:jc w:val="center"/>
            </w:pPr>
            <w:r w:rsidRPr="00603E21">
              <w:t>75</w:t>
            </w:r>
            <w:r>
              <w:t xml:space="preserve"> </w:t>
            </w:r>
            <w:r w:rsidRPr="00603E21">
              <w:t>g</w:t>
            </w:r>
          </w:p>
        </w:tc>
        <w:tc>
          <w:tcPr>
            <w:tcW w:w="530" w:type="pct"/>
            <w:tcBorders>
              <w:top w:val="nil"/>
              <w:bottom w:val="nil"/>
            </w:tcBorders>
            <w:shd w:val="clear" w:color="auto" w:fill="auto"/>
          </w:tcPr>
          <w:p w:rsidR="00853A74" w:rsidRPr="00603E21" w:rsidRDefault="00853A74" w:rsidP="00853A74">
            <w:pPr>
              <w:pStyle w:val="TableText"/>
              <w:jc w:val="center"/>
            </w:pPr>
            <w:r>
              <w:t>–</w:t>
            </w:r>
          </w:p>
        </w:tc>
        <w:tc>
          <w:tcPr>
            <w:tcW w:w="530" w:type="pct"/>
            <w:tcBorders>
              <w:top w:val="nil"/>
              <w:bottom w:val="nil"/>
            </w:tcBorders>
            <w:shd w:val="clear" w:color="auto" w:fill="auto"/>
          </w:tcPr>
          <w:p w:rsidR="00853A74" w:rsidRPr="00603E21" w:rsidRDefault="00853A74" w:rsidP="00853A74">
            <w:pPr>
              <w:pStyle w:val="TableText"/>
              <w:jc w:val="center"/>
            </w:pPr>
            <w:r>
              <w:t>–</w:t>
            </w:r>
          </w:p>
        </w:tc>
        <w:tc>
          <w:tcPr>
            <w:tcW w:w="530" w:type="pct"/>
            <w:tcBorders>
              <w:top w:val="nil"/>
              <w:bottom w:val="nil"/>
            </w:tcBorders>
            <w:shd w:val="clear" w:color="auto" w:fill="auto"/>
          </w:tcPr>
          <w:p w:rsidR="00853A74" w:rsidRPr="00603E21" w:rsidRDefault="00853A74" w:rsidP="00853A74">
            <w:pPr>
              <w:pStyle w:val="TableText"/>
              <w:jc w:val="center"/>
            </w:pPr>
            <w:r>
              <w:t>–</w:t>
            </w:r>
          </w:p>
        </w:tc>
        <w:tc>
          <w:tcPr>
            <w:tcW w:w="530" w:type="pct"/>
            <w:tcBorders>
              <w:top w:val="nil"/>
              <w:bottom w:val="nil"/>
            </w:tcBorders>
            <w:shd w:val="clear" w:color="auto" w:fill="auto"/>
          </w:tcPr>
          <w:p w:rsidR="00853A74" w:rsidRPr="00603E21" w:rsidRDefault="00853A74" w:rsidP="00853A74">
            <w:pPr>
              <w:pStyle w:val="TableText"/>
              <w:jc w:val="center"/>
            </w:pPr>
          </w:p>
        </w:tc>
      </w:tr>
      <w:tr w:rsidR="00853A74" w:rsidRPr="00E07B1B" w:rsidTr="00853A74">
        <w:trPr>
          <w:cantSplit/>
        </w:trPr>
        <w:tc>
          <w:tcPr>
            <w:tcW w:w="706" w:type="pct"/>
            <w:tcBorders>
              <w:top w:val="nil"/>
              <w:bottom w:val="nil"/>
            </w:tcBorders>
            <w:shd w:val="clear" w:color="auto" w:fill="F2F2F2" w:themeFill="background1" w:themeFillShade="F2"/>
          </w:tcPr>
          <w:p w:rsidR="00853A74" w:rsidRPr="00EF0C42" w:rsidRDefault="00853A74" w:rsidP="00853A74">
            <w:pPr>
              <w:pStyle w:val="TableText"/>
            </w:pPr>
            <w:r w:rsidRPr="00EF0C42">
              <w:t>Ford (1997)</w:t>
            </w:r>
          </w:p>
        </w:tc>
        <w:tc>
          <w:tcPr>
            <w:tcW w:w="1645" w:type="pct"/>
            <w:tcBorders>
              <w:top w:val="nil"/>
              <w:bottom w:val="nil"/>
            </w:tcBorders>
            <w:shd w:val="clear" w:color="auto" w:fill="F2F2F2" w:themeFill="background1" w:themeFillShade="F2"/>
          </w:tcPr>
          <w:p w:rsidR="00853A74" w:rsidRPr="00603E21" w:rsidRDefault="00853A74" w:rsidP="00853A74">
            <w:pPr>
              <w:pStyle w:val="TableText"/>
            </w:pPr>
            <w:r w:rsidRPr="00603E21">
              <w:t>No details</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pPr>
            <w:r w:rsidRPr="00603E21">
              <w:t>75</w:t>
            </w:r>
            <w:r>
              <w:t xml:space="preserve"> </w:t>
            </w:r>
            <w:r w:rsidRPr="00603E21">
              <w:t>g</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pPr>
            <w:r>
              <w:t>–</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pPr>
            <w:r>
              <w:t>–</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pPr>
            <w:r w:rsidRPr="00603E21">
              <w:t>8.0</w:t>
            </w:r>
            <w:r>
              <w:t>–</w:t>
            </w:r>
            <w:r w:rsidRPr="00603E21">
              <w:t>11.0</w:t>
            </w:r>
          </w:p>
        </w:tc>
        <w:tc>
          <w:tcPr>
            <w:tcW w:w="530" w:type="pct"/>
            <w:tcBorders>
              <w:top w:val="nil"/>
              <w:bottom w:val="nil"/>
            </w:tcBorders>
            <w:shd w:val="clear" w:color="auto" w:fill="F2F2F2" w:themeFill="background1" w:themeFillShade="F2"/>
          </w:tcPr>
          <w:p w:rsidR="00853A74" w:rsidRPr="00603E21" w:rsidRDefault="00853A74" w:rsidP="00853A74">
            <w:pPr>
              <w:pStyle w:val="TableText"/>
              <w:jc w:val="center"/>
            </w:pPr>
            <w:r>
              <w:t>–</w:t>
            </w:r>
          </w:p>
        </w:tc>
      </w:tr>
      <w:tr w:rsidR="00853A74" w:rsidRPr="00E07B1B" w:rsidTr="00853A74">
        <w:trPr>
          <w:cantSplit/>
        </w:trPr>
        <w:tc>
          <w:tcPr>
            <w:tcW w:w="706" w:type="pct"/>
            <w:tcBorders>
              <w:top w:val="nil"/>
              <w:bottom w:val="nil"/>
            </w:tcBorders>
            <w:shd w:val="clear" w:color="auto" w:fill="auto"/>
          </w:tcPr>
          <w:p w:rsidR="00853A74" w:rsidRPr="00EF0C42" w:rsidRDefault="00853A74" w:rsidP="00853A74">
            <w:pPr>
              <w:pStyle w:val="TableText"/>
            </w:pPr>
            <w:r w:rsidRPr="00EF0C42">
              <w:t>Thompson (1990)</w:t>
            </w:r>
            <w:r w:rsidRPr="00EF0C42">
              <w:rPr>
                <w:vertAlign w:val="superscript"/>
              </w:rPr>
              <w:t>$</w:t>
            </w:r>
          </w:p>
        </w:tc>
        <w:tc>
          <w:tcPr>
            <w:tcW w:w="1645" w:type="pct"/>
            <w:tcBorders>
              <w:top w:val="nil"/>
              <w:bottom w:val="nil"/>
            </w:tcBorders>
            <w:shd w:val="clear" w:color="auto" w:fill="auto"/>
          </w:tcPr>
          <w:p w:rsidR="00853A74" w:rsidRPr="00603E21" w:rsidRDefault="00853A74" w:rsidP="00853A74">
            <w:pPr>
              <w:pStyle w:val="TableText"/>
            </w:pPr>
            <w:r w:rsidRPr="00603E21">
              <w:t>50</w:t>
            </w:r>
            <w:r>
              <w:t xml:space="preserve"> </w:t>
            </w:r>
            <w:r w:rsidRPr="00603E21">
              <w:t>g</w:t>
            </w:r>
            <w:r>
              <w:t>,</w:t>
            </w:r>
            <w:r w:rsidRPr="00603E21">
              <w:t xml:space="preserve"> 1</w:t>
            </w:r>
            <w:r>
              <w:t>-</w:t>
            </w:r>
            <w:r w:rsidRPr="00603E21">
              <w:t>hour oral glucose challenge test &gt;</w:t>
            </w:r>
            <w:r>
              <w:t> </w:t>
            </w:r>
            <w:r w:rsidRPr="00603E21">
              <w:t>7.8</w:t>
            </w:r>
            <w:r>
              <w:t> </w:t>
            </w:r>
            <w:r w:rsidRPr="00603E21">
              <w:t>mmol/L</w:t>
            </w:r>
          </w:p>
        </w:tc>
        <w:tc>
          <w:tcPr>
            <w:tcW w:w="530" w:type="pct"/>
            <w:tcBorders>
              <w:top w:val="nil"/>
              <w:bottom w:val="nil"/>
            </w:tcBorders>
            <w:shd w:val="clear" w:color="auto" w:fill="auto"/>
          </w:tcPr>
          <w:p w:rsidR="00853A74" w:rsidRPr="00603E21" w:rsidRDefault="00853A74" w:rsidP="00853A74">
            <w:pPr>
              <w:pStyle w:val="TableText"/>
              <w:jc w:val="center"/>
            </w:pPr>
            <w:r w:rsidRPr="00603E21">
              <w:t>100</w:t>
            </w:r>
            <w:r>
              <w:t xml:space="preserve"> </w:t>
            </w:r>
            <w:r w:rsidRPr="00603E21">
              <w:t>g</w:t>
            </w:r>
          </w:p>
        </w:tc>
        <w:tc>
          <w:tcPr>
            <w:tcW w:w="530" w:type="pct"/>
            <w:tcBorders>
              <w:top w:val="nil"/>
              <w:bottom w:val="nil"/>
            </w:tcBorders>
            <w:shd w:val="clear" w:color="auto" w:fill="auto"/>
          </w:tcPr>
          <w:p w:rsidR="00853A74" w:rsidRPr="00603E21" w:rsidRDefault="00853A74" w:rsidP="00853A74">
            <w:pPr>
              <w:pStyle w:val="TableText"/>
              <w:jc w:val="center"/>
            </w:pPr>
            <w:r w:rsidRPr="00603E21">
              <w:t>&gt;</w:t>
            </w:r>
            <w:r>
              <w:t xml:space="preserve"> </w:t>
            </w:r>
            <w:r w:rsidRPr="00603E21">
              <w:t>5.8</w:t>
            </w:r>
          </w:p>
        </w:tc>
        <w:tc>
          <w:tcPr>
            <w:tcW w:w="530" w:type="pct"/>
            <w:tcBorders>
              <w:top w:val="nil"/>
              <w:bottom w:val="nil"/>
            </w:tcBorders>
            <w:shd w:val="clear" w:color="auto" w:fill="auto"/>
          </w:tcPr>
          <w:p w:rsidR="00853A74" w:rsidRPr="00603E21" w:rsidRDefault="00853A74" w:rsidP="00853A74">
            <w:pPr>
              <w:pStyle w:val="TableText"/>
              <w:jc w:val="center"/>
            </w:pPr>
            <w:r w:rsidRPr="00603E21">
              <w:t>&gt;</w:t>
            </w:r>
            <w:r>
              <w:t xml:space="preserve"> </w:t>
            </w:r>
            <w:r w:rsidRPr="00603E21">
              <w:t>10.5</w:t>
            </w:r>
          </w:p>
        </w:tc>
        <w:tc>
          <w:tcPr>
            <w:tcW w:w="530" w:type="pct"/>
            <w:tcBorders>
              <w:top w:val="nil"/>
              <w:bottom w:val="nil"/>
            </w:tcBorders>
            <w:shd w:val="clear" w:color="auto" w:fill="auto"/>
          </w:tcPr>
          <w:p w:rsidR="00853A74" w:rsidRPr="00603E21" w:rsidRDefault="00853A74" w:rsidP="00853A74">
            <w:pPr>
              <w:pStyle w:val="TableText"/>
              <w:jc w:val="center"/>
            </w:pPr>
            <w:r w:rsidRPr="00603E21">
              <w:t>&gt;</w:t>
            </w:r>
            <w:r>
              <w:t xml:space="preserve"> </w:t>
            </w:r>
            <w:r w:rsidRPr="00603E21">
              <w:t>9.2</w:t>
            </w:r>
          </w:p>
        </w:tc>
        <w:tc>
          <w:tcPr>
            <w:tcW w:w="530" w:type="pct"/>
            <w:tcBorders>
              <w:top w:val="nil"/>
              <w:bottom w:val="nil"/>
            </w:tcBorders>
            <w:shd w:val="clear" w:color="auto" w:fill="auto"/>
          </w:tcPr>
          <w:p w:rsidR="00853A74" w:rsidRPr="00603E21" w:rsidRDefault="00853A74" w:rsidP="00853A74">
            <w:pPr>
              <w:pStyle w:val="TableText"/>
              <w:jc w:val="center"/>
            </w:pPr>
            <w:r w:rsidRPr="00603E21">
              <w:t>&gt;</w:t>
            </w:r>
            <w:r>
              <w:t xml:space="preserve"> </w:t>
            </w:r>
            <w:r w:rsidRPr="00603E21">
              <w:t>8.1</w:t>
            </w:r>
          </w:p>
        </w:tc>
      </w:tr>
      <w:tr w:rsidR="00853A74" w:rsidRPr="00E07B1B" w:rsidTr="00853A74">
        <w:trPr>
          <w:cantSplit/>
        </w:trPr>
        <w:tc>
          <w:tcPr>
            <w:tcW w:w="706" w:type="pct"/>
            <w:tcBorders>
              <w:top w:val="nil"/>
              <w:bottom w:val="single" w:sz="4" w:space="0" w:color="auto"/>
            </w:tcBorders>
            <w:shd w:val="clear" w:color="auto" w:fill="F2F2F2" w:themeFill="background1" w:themeFillShade="F2"/>
          </w:tcPr>
          <w:p w:rsidR="00853A74" w:rsidRPr="00603E21" w:rsidRDefault="00853A74" w:rsidP="00853A74">
            <w:pPr>
              <w:pStyle w:val="TableText"/>
            </w:pPr>
            <w:r w:rsidRPr="00603E21">
              <w:t>Langer (1989)*</w:t>
            </w:r>
          </w:p>
        </w:tc>
        <w:tc>
          <w:tcPr>
            <w:tcW w:w="1645" w:type="pct"/>
            <w:tcBorders>
              <w:top w:val="nil"/>
              <w:bottom w:val="single" w:sz="4" w:space="0" w:color="auto"/>
            </w:tcBorders>
            <w:shd w:val="clear" w:color="auto" w:fill="F2F2F2" w:themeFill="background1" w:themeFillShade="F2"/>
          </w:tcPr>
          <w:p w:rsidR="00853A74" w:rsidRPr="00603E21" w:rsidRDefault="00853A74" w:rsidP="00853A74">
            <w:pPr>
              <w:pStyle w:val="TableText"/>
            </w:pPr>
            <w:r w:rsidRPr="00603E21">
              <w:t>50</w:t>
            </w:r>
            <w:r>
              <w:t xml:space="preserve"> </w:t>
            </w:r>
            <w:r w:rsidRPr="00603E21">
              <w:t>g</w:t>
            </w:r>
            <w:r>
              <w:t>,</w:t>
            </w:r>
            <w:r w:rsidRPr="00603E21">
              <w:t xml:space="preserve"> 1</w:t>
            </w:r>
            <w:r>
              <w:t>-</w:t>
            </w:r>
            <w:r w:rsidRPr="00603E21">
              <w:t>hour oral glucose challenge test (proceed if ≥</w:t>
            </w:r>
            <w:r>
              <w:t> </w:t>
            </w:r>
            <w:r w:rsidRPr="00603E21">
              <w:t>7.2</w:t>
            </w:r>
            <w:r>
              <w:t xml:space="preserve"> </w:t>
            </w:r>
            <w:r w:rsidRPr="00603E21">
              <w:t>mmol/L)</w:t>
            </w:r>
          </w:p>
        </w:tc>
        <w:tc>
          <w:tcPr>
            <w:tcW w:w="530" w:type="pct"/>
            <w:tcBorders>
              <w:top w:val="nil"/>
              <w:bottom w:val="single" w:sz="4" w:space="0" w:color="auto"/>
            </w:tcBorders>
            <w:shd w:val="clear" w:color="auto" w:fill="F2F2F2" w:themeFill="background1" w:themeFillShade="F2"/>
          </w:tcPr>
          <w:p w:rsidR="00853A74" w:rsidRPr="00603E21" w:rsidRDefault="00853A74" w:rsidP="00853A74">
            <w:pPr>
              <w:pStyle w:val="TableText"/>
              <w:jc w:val="center"/>
            </w:pPr>
            <w:r w:rsidRPr="00603E21">
              <w:t>100</w:t>
            </w:r>
            <w:r>
              <w:t xml:space="preserve"> </w:t>
            </w:r>
            <w:r w:rsidRPr="00603E21">
              <w:t>g</w:t>
            </w:r>
          </w:p>
        </w:tc>
        <w:tc>
          <w:tcPr>
            <w:tcW w:w="530" w:type="pct"/>
            <w:tcBorders>
              <w:top w:val="nil"/>
              <w:bottom w:val="single" w:sz="4" w:space="0" w:color="auto"/>
            </w:tcBorders>
            <w:shd w:val="clear" w:color="auto" w:fill="F2F2F2" w:themeFill="background1" w:themeFillShade="F2"/>
          </w:tcPr>
          <w:p w:rsidR="00853A74" w:rsidRPr="00603E21" w:rsidRDefault="00853A74" w:rsidP="00853A74">
            <w:pPr>
              <w:pStyle w:val="TableText"/>
              <w:jc w:val="center"/>
            </w:pPr>
            <w:r w:rsidRPr="00603E21">
              <w:t>&gt; 5.8</w:t>
            </w:r>
          </w:p>
        </w:tc>
        <w:tc>
          <w:tcPr>
            <w:tcW w:w="530" w:type="pct"/>
            <w:tcBorders>
              <w:top w:val="nil"/>
              <w:bottom w:val="single" w:sz="4" w:space="0" w:color="auto"/>
            </w:tcBorders>
            <w:shd w:val="clear" w:color="auto" w:fill="F2F2F2" w:themeFill="background1" w:themeFillShade="F2"/>
          </w:tcPr>
          <w:p w:rsidR="00853A74" w:rsidRPr="00603E21" w:rsidRDefault="00853A74" w:rsidP="00853A74">
            <w:pPr>
              <w:pStyle w:val="TableText"/>
              <w:jc w:val="center"/>
            </w:pPr>
            <w:r w:rsidRPr="00603E21">
              <w:t>&gt;</w:t>
            </w:r>
            <w:r>
              <w:t xml:space="preserve"> </w:t>
            </w:r>
            <w:r w:rsidRPr="00603E21">
              <w:t>10.5</w:t>
            </w:r>
          </w:p>
        </w:tc>
        <w:tc>
          <w:tcPr>
            <w:tcW w:w="530" w:type="pct"/>
            <w:tcBorders>
              <w:top w:val="nil"/>
              <w:bottom w:val="single" w:sz="4" w:space="0" w:color="auto"/>
            </w:tcBorders>
            <w:shd w:val="clear" w:color="auto" w:fill="F2F2F2" w:themeFill="background1" w:themeFillShade="F2"/>
          </w:tcPr>
          <w:p w:rsidR="00853A74" w:rsidRPr="00603E21" w:rsidRDefault="00853A74" w:rsidP="00853A74">
            <w:pPr>
              <w:pStyle w:val="TableText"/>
              <w:jc w:val="center"/>
            </w:pPr>
            <w:r w:rsidRPr="00603E21">
              <w:t>&gt; 9.2</w:t>
            </w:r>
          </w:p>
        </w:tc>
        <w:tc>
          <w:tcPr>
            <w:tcW w:w="530" w:type="pct"/>
            <w:tcBorders>
              <w:top w:val="nil"/>
              <w:bottom w:val="single" w:sz="4" w:space="0" w:color="auto"/>
            </w:tcBorders>
            <w:shd w:val="clear" w:color="auto" w:fill="F2F2F2" w:themeFill="background1" w:themeFillShade="F2"/>
          </w:tcPr>
          <w:p w:rsidR="00853A74" w:rsidRPr="00603E21" w:rsidRDefault="00853A74" w:rsidP="00853A74">
            <w:pPr>
              <w:pStyle w:val="TableText"/>
              <w:jc w:val="center"/>
            </w:pPr>
            <w:r w:rsidRPr="00603E21">
              <w:t>&gt; 8.1</w:t>
            </w:r>
          </w:p>
        </w:tc>
      </w:tr>
    </w:tbl>
    <w:p w:rsidR="00853A74" w:rsidRPr="00853A74" w:rsidRDefault="00853A74" w:rsidP="00853A74">
      <w:pPr>
        <w:pStyle w:val="Note"/>
        <w:ind w:left="0" w:firstLine="0"/>
      </w:pPr>
      <w:r>
        <w:t xml:space="preserve">Note: </w:t>
      </w:r>
      <w:r w:rsidRPr="00E07B1B">
        <w:t>*</w:t>
      </w:r>
      <w:r>
        <w:t xml:space="preserve"> O</w:t>
      </w:r>
      <w:r w:rsidRPr="00E07B1B">
        <w:t>ne or more abnormal value</w:t>
      </w:r>
      <w:r>
        <w:t>s</w:t>
      </w:r>
      <w:r w:rsidRPr="00E07B1B">
        <w:t xml:space="preserve"> required; $</w:t>
      </w:r>
      <w:r>
        <w:t xml:space="preserve"> </w:t>
      </w:r>
      <w:r w:rsidRPr="00E07B1B">
        <w:rPr>
          <w:rFonts w:cs="Calibri"/>
        </w:rPr>
        <w:t>≥</w:t>
      </w:r>
      <w:r w:rsidRPr="00E07B1B">
        <w:t>2 abnormal values required, #</w:t>
      </w:r>
      <w:r>
        <w:t>2 abnormal values required</w:t>
      </w:r>
      <w:r w:rsidRPr="00BB4E42">
        <w:rPr>
          <w:sz w:val="20"/>
        </w:rPr>
        <w:t>;</w:t>
      </w:r>
      <w:r w:rsidRPr="00853A74">
        <w:t xml:space="preserve"> ^ Timing not specified but &gt; 7.5 mmol/L in second trimester and &gt; 9.6</w:t>
      </w:r>
      <w:r>
        <w:t> </w:t>
      </w:r>
      <w:r w:rsidRPr="00853A74">
        <w:t>mmol/L in third trimester.</w:t>
      </w:r>
    </w:p>
    <w:p w:rsidR="00853A74" w:rsidRDefault="00853A74" w:rsidP="00853A74">
      <w:pPr>
        <w:pStyle w:val="Source"/>
      </w:pPr>
      <w:r w:rsidRPr="00BB4E42">
        <w:t>Source: Alwan</w:t>
      </w:r>
      <w:r>
        <w:t xml:space="preserve"> et al</w:t>
      </w:r>
      <w:r w:rsidRPr="00BB4E42">
        <w:t xml:space="preserve"> </w:t>
      </w:r>
      <w:r>
        <w:t>(</w:t>
      </w:r>
      <w:r w:rsidRPr="00BB4E42">
        <w:t>2009</w:t>
      </w:r>
      <w:r>
        <w:t>)</w:t>
      </w:r>
    </w:p>
    <w:p w:rsidR="00853A74" w:rsidRPr="00853A74" w:rsidRDefault="00853A74" w:rsidP="00853A74"/>
    <w:p w:rsidR="00853A74" w:rsidRPr="00E07B1B" w:rsidRDefault="00853A74" w:rsidP="00853A74">
      <w:pPr>
        <w:pStyle w:val="Table"/>
      </w:pPr>
      <w:bookmarkStart w:id="527" w:name="_Toc363717820"/>
      <w:bookmarkStart w:id="528" w:name="_Toc403635909"/>
      <w:r w:rsidRPr="00E07B1B">
        <w:t>Table 28</w:t>
      </w:r>
      <w:r>
        <w:t>:</w:t>
      </w:r>
      <w:r w:rsidRPr="00E07B1B">
        <w:t xml:space="preserve"> Demographic details of women included in randomised trials of specific packages of treatment for gestational diabetes</w:t>
      </w:r>
      <w:bookmarkEnd w:id="527"/>
      <w:bookmarkEnd w:id="528"/>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278"/>
        <w:gridCol w:w="1419"/>
        <w:gridCol w:w="2833"/>
        <w:gridCol w:w="2409"/>
        <w:gridCol w:w="1700"/>
        <w:gridCol w:w="1986"/>
        <w:gridCol w:w="2976"/>
      </w:tblGrid>
      <w:tr w:rsidR="006E4135" w:rsidRPr="003C330B" w:rsidTr="006E4135">
        <w:trPr>
          <w:cantSplit/>
          <w:tblHeader/>
        </w:trPr>
        <w:tc>
          <w:tcPr>
            <w:tcW w:w="438" w:type="pct"/>
            <w:tcBorders>
              <w:top w:val="single" w:sz="4" w:space="0" w:color="auto"/>
              <w:bottom w:val="single" w:sz="4" w:space="0" w:color="auto"/>
            </w:tcBorders>
            <w:shd w:val="clear" w:color="auto" w:fill="auto"/>
          </w:tcPr>
          <w:p w:rsidR="00853A74" w:rsidRPr="003C330B" w:rsidRDefault="00853A74" w:rsidP="003C330B">
            <w:pPr>
              <w:pStyle w:val="TableText"/>
              <w:rPr>
                <w:b/>
              </w:rPr>
            </w:pPr>
            <w:r w:rsidRPr="003C330B">
              <w:rPr>
                <w:b/>
              </w:rPr>
              <w:t>Reference</w:t>
            </w:r>
          </w:p>
        </w:tc>
        <w:tc>
          <w:tcPr>
            <w:tcW w:w="486" w:type="pct"/>
            <w:tcBorders>
              <w:top w:val="single" w:sz="4" w:space="0" w:color="auto"/>
              <w:bottom w:val="single" w:sz="4" w:space="0" w:color="auto"/>
            </w:tcBorders>
            <w:shd w:val="clear" w:color="auto" w:fill="auto"/>
          </w:tcPr>
          <w:p w:rsidR="00853A74" w:rsidRPr="003C330B" w:rsidRDefault="00853A74" w:rsidP="003C330B">
            <w:pPr>
              <w:pStyle w:val="TableText"/>
              <w:rPr>
                <w:b/>
              </w:rPr>
            </w:pPr>
            <w:r w:rsidRPr="003C330B">
              <w:rPr>
                <w:b/>
              </w:rPr>
              <w:t>Country</w:t>
            </w:r>
          </w:p>
        </w:tc>
        <w:tc>
          <w:tcPr>
            <w:tcW w:w="970" w:type="pct"/>
            <w:tcBorders>
              <w:top w:val="single" w:sz="4" w:space="0" w:color="auto"/>
              <w:bottom w:val="single" w:sz="4" w:space="0" w:color="auto"/>
            </w:tcBorders>
            <w:shd w:val="clear" w:color="auto" w:fill="auto"/>
          </w:tcPr>
          <w:p w:rsidR="00853A74" w:rsidRPr="003C330B" w:rsidRDefault="00853A74" w:rsidP="003C330B">
            <w:pPr>
              <w:pStyle w:val="TableText"/>
              <w:rPr>
                <w:b/>
              </w:rPr>
            </w:pPr>
            <w:r w:rsidRPr="003C330B">
              <w:rPr>
                <w:b/>
              </w:rPr>
              <w:t>Intervention/control</w:t>
            </w:r>
          </w:p>
        </w:tc>
        <w:tc>
          <w:tcPr>
            <w:tcW w:w="825" w:type="pct"/>
            <w:tcBorders>
              <w:top w:val="single" w:sz="4" w:space="0" w:color="auto"/>
              <w:bottom w:val="single" w:sz="4" w:space="0" w:color="auto"/>
            </w:tcBorders>
            <w:shd w:val="clear" w:color="auto" w:fill="auto"/>
          </w:tcPr>
          <w:p w:rsidR="00853A74" w:rsidRPr="003C330B" w:rsidRDefault="00853A74" w:rsidP="003C330B">
            <w:pPr>
              <w:pStyle w:val="TableText"/>
              <w:rPr>
                <w:b/>
              </w:rPr>
            </w:pPr>
            <w:r w:rsidRPr="003C330B">
              <w:rPr>
                <w:b/>
              </w:rPr>
              <w:t>Mean age (years)</w:t>
            </w:r>
          </w:p>
        </w:tc>
        <w:tc>
          <w:tcPr>
            <w:tcW w:w="582" w:type="pct"/>
            <w:tcBorders>
              <w:top w:val="single" w:sz="4" w:space="0" w:color="auto"/>
              <w:bottom w:val="single" w:sz="4" w:space="0" w:color="auto"/>
            </w:tcBorders>
            <w:shd w:val="clear" w:color="auto" w:fill="auto"/>
          </w:tcPr>
          <w:p w:rsidR="00853A74" w:rsidRPr="003C330B" w:rsidRDefault="00853A74" w:rsidP="006E4135">
            <w:pPr>
              <w:pStyle w:val="TableText"/>
              <w:rPr>
                <w:b/>
              </w:rPr>
            </w:pPr>
            <w:r w:rsidRPr="003C330B">
              <w:rPr>
                <w:b/>
              </w:rPr>
              <w:t>Mean BMI at booking</w:t>
            </w:r>
            <w:r w:rsidR="006E4135">
              <w:rPr>
                <w:b/>
              </w:rPr>
              <w:br/>
            </w:r>
            <w:r w:rsidRPr="003C330B">
              <w:rPr>
                <w:b/>
              </w:rPr>
              <w:t>(kg/m</w:t>
            </w:r>
            <w:r w:rsidRPr="003C330B">
              <w:rPr>
                <w:b/>
                <w:vertAlign w:val="superscript"/>
              </w:rPr>
              <w:t>2</w:t>
            </w:r>
            <w:r w:rsidRPr="003C330B">
              <w:rPr>
                <w:b/>
              </w:rPr>
              <w:t>)</w:t>
            </w:r>
          </w:p>
        </w:tc>
        <w:tc>
          <w:tcPr>
            <w:tcW w:w="680" w:type="pct"/>
            <w:tcBorders>
              <w:top w:val="single" w:sz="4" w:space="0" w:color="auto"/>
              <w:bottom w:val="single" w:sz="4" w:space="0" w:color="auto"/>
            </w:tcBorders>
            <w:shd w:val="clear" w:color="auto" w:fill="auto"/>
          </w:tcPr>
          <w:p w:rsidR="00853A74" w:rsidRPr="003C330B" w:rsidRDefault="00853A74" w:rsidP="006E4135">
            <w:pPr>
              <w:pStyle w:val="TableText"/>
              <w:rPr>
                <w:b/>
              </w:rPr>
            </w:pPr>
            <w:r w:rsidRPr="003C330B">
              <w:rPr>
                <w:b/>
              </w:rPr>
              <w:t>Gestational age at diagnosis/study</w:t>
            </w:r>
            <w:r w:rsidR="006E4135">
              <w:rPr>
                <w:b/>
              </w:rPr>
              <w:br/>
            </w:r>
            <w:r w:rsidRPr="003C330B">
              <w:rPr>
                <w:b/>
              </w:rPr>
              <w:t>entry (weeks)</w:t>
            </w:r>
          </w:p>
        </w:tc>
        <w:tc>
          <w:tcPr>
            <w:tcW w:w="1019" w:type="pct"/>
            <w:tcBorders>
              <w:top w:val="single" w:sz="4" w:space="0" w:color="auto"/>
              <w:bottom w:val="single" w:sz="4" w:space="0" w:color="auto"/>
            </w:tcBorders>
            <w:shd w:val="clear" w:color="auto" w:fill="auto"/>
          </w:tcPr>
          <w:p w:rsidR="00853A74" w:rsidRPr="003C330B" w:rsidRDefault="00853A74" w:rsidP="003C330B">
            <w:pPr>
              <w:pStyle w:val="TableText"/>
              <w:rPr>
                <w:b/>
              </w:rPr>
            </w:pPr>
            <w:r w:rsidRPr="003C330B">
              <w:rPr>
                <w:b/>
              </w:rPr>
              <w:t>Ethnicity</w:t>
            </w:r>
          </w:p>
        </w:tc>
      </w:tr>
      <w:tr w:rsidR="006E4135" w:rsidRPr="00E07B1B" w:rsidTr="006E4135">
        <w:trPr>
          <w:cantSplit/>
        </w:trPr>
        <w:tc>
          <w:tcPr>
            <w:tcW w:w="438" w:type="pct"/>
            <w:vMerge w:val="restart"/>
            <w:tcBorders>
              <w:top w:val="single" w:sz="4" w:space="0" w:color="auto"/>
              <w:bottom w:val="nil"/>
            </w:tcBorders>
            <w:shd w:val="clear" w:color="auto" w:fill="F2F2F2" w:themeFill="background1" w:themeFillShade="F2"/>
          </w:tcPr>
          <w:p w:rsidR="00853A74" w:rsidRPr="00E07B1B" w:rsidRDefault="00853A74" w:rsidP="006E4135">
            <w:pPr>
              <w:pStyle w:val="TableText"/>
            </w:pPr>
            <w:r w:rsidRPr="00E07B1B">
              <w:t>Ferrara</w:t>
            </w:r>
            <w:r w:rsidR="006E4135">
              <w:br/>
            </w:r>
            <w:r w:rsidRPr="00E07B1B">
              <w:t>(2011)</w:t>
            </w:r>
          </w:p>
        </w:tc>
        <w:tc>
          <w:tcPr>
            <w:tcW w:w="486" w:type="pct"/>
            <w:vMerge w:val="restart"/>
            <w:tcBorders>
              <w:top w:val="single" w:sz="4" w:space="0" w:color="auto"/>
              <w:bottom w:val="nil"/>
            </w:tcBorders>
            <w:shd w:val="clear" w:color="auto" w:fill="F2F2F2" w:themeFill="background1" w:themeFillShade="F2"/>
          </w:tcPr>
          <w:p w:rsidR="00853A74" w:rsidRPr="00E07B1B" w:rsidRDefault="00853A74" w:rsidP="003C330B">
            <w:pPr>
              <w:pStyle w:val="TableText"/>
            </w:pPr>
            <w:r w:rsidRPr="00E07B1B">
              <w:t>Australia</w:t>
            </w:r>
          </w:p>
        </w:tc>
        <w:tc>
          <w:tcPr>
            <w:tcW w:w="970" w:type="pct"/>
            <w:tcBorders>
              <w:top w:val="single" w:sz="4" w:space="0" w:color="auto"/>
              <w:bottom w:val="nil"/>
            </w:tcBorders>
            <w:shd w:val="clear" w:color="auto" w:fill="F2F2F2" w:themeFill="background1" w:themeFillShade="F2"/>
          </w:tcPr>
          <w:p w:rsidR="00853A74" w:rsidRPr="00E07B1B" w:rsidRDefault="00853A74" w:rsidP="003C330B">
            <w:pPr>
              <w:pStyle w:val="TableText"/>
            </w:pPr>
            <w:r w:rsidRPr="00E07B1B">
              <w:t>Lifestyle, diet + exercise + breastfeeding (</w:t>
            </w:r>
            <w:r w:rsidRPr="007217AC">
              <w:rPr>
                <w:i/>
              </w:rPr>
              <w:t>n</w:t>
            </w:r>
            <w:r>
              <w:t xml:space="preserve"> </w:t>
            </w:r>
            <w:r w:rsidRPr="00E07B1B">
              <w:t>=</w:t>
            </w:r>
            <w:r>
              <w:t xml:space="preserve"> </w:t>
            </w:r>
            <w:r w:rsidRPr="00E07B1B">
              <w:t>96)</w:t>
            </w:r>
          </w:p>
        </w:tc>
        <w:tc>
          <w:tcPr>
            <w:tcW w:w="825" w:type="pct"/>
            <w:tcBorders>
              <w:top w:val="single" w:sz="4" w:space="0" w:color="auto"/>
              <w:bottom w:val="nil"/>
            </w:tcBorders>
            <w:shd w:val="clear" w:color="auto" w:fill="F2F2F2" w:themeFill="background1" w:themeFillShade="F2"/>
          </w:tcPr>
          <w:p w:rsidR="00853A74" w:rsidRPr="00E07B1B" w:rsidRDefault="00853A74" w:rsidP="006E4135">
            <w:pPr>
              <w:pStyle w:val="TableText"/>
            </w:pPr>
            <w:r w:rsidRPr="00E07B1B">
              <w:t>78.1% were &gt;</w:t>
            </w:r>
            <w:r>
              <w:t> </w:t>
            </w:r>
            <w:r w:rsidRPr="00E07B1B">
              <w:t>30</w:t>
            </w:r>
            <w:r w:rsidR="006E4135">
              <w:t> </w:t>
            </w:r>
            <w:r w:rsidRPr="00E07B1B">
              <w:t>years</w:t>
            </w:r>
          </w:p>
        </w:tc>
        <w:tc>
          <w:tcPr>
            <w:tcW w:w="582" w:type="pct"/>
            <w:tcBorders>
              <w:top w:val="single" w:sz="4" w:space="0" w:color="auto"/>
              <w:bottom w:val="nil"/>
            </w:tcBorders>
            <w:shd w:val="clear" w:color="auto" w:fill="F2F2F2" w:themeFill="background1" w:themeFillShade="F2"/>
          </w:tcPr>
          <w:p w:rsidR="00853A74" w:rsidRPr="00E07B1B" w:rsidRDefault="00853A74" w:rsidP="003C330B">
            <w:pPr>
              <w:pStyle w:val="TableText"/>
            </w:pPr>
            <w:r w:rsidRPr="00E07B1B">
              <w:t>57.3% were &gt;</w:t>
            </w:r>
            <w:r>
              <w:t> </w:t>
            </w:r>
            <w:r w:rsidRPr="00E07B1B">
              <w:t>30</w:t>
            </w:r>
            <w:r>
              <w:t> </w:t>
            </w:r>
            <w:r w:rsidRPr="00E07B1B">
              <w:t>kg/m</w:t>
            </w:r>
            <w:r w:rsidRPr="00E07B1B">
              <w:rPr>
                <w:vertAlign w:val="superscript"/>
              </w:rPr>
              <w:t>2</w:t>
            </w:r>
          </w:p>
        </w:tc>
        <w:tc>
          <w:tcPr>
            <w:tcW w:w="680" w:type="pct"/>
            <w:tcBorders>
              <w:top w:val="single" w:sz="4" w:space="0" w:color="auto"/>
              <w:bottom w:val="nil"/>
            </w:tcBorders>
            <w:shd w:val="clear" w:color="auto" w:fill="F2F2F2" w:themeFill="background1" w:themeFillShade="F2"/>
          </w:tcPr>
          <w:p w:rsidR="00853A74" w:rsidRPr="00E07B1B" w:rsidRDefault="00853A74" w:rsidP="003C330B">
            <w:pPr>
              <w:pStyle w:val="TableText"/>
            </w:pPr>
            <w:r w:rsidRPr="00E07B1B">
              <w:t>31.8</w:t>
            </w:r>
            <w:r>
              <w:t xml:space="preserve"> </w:t>
            </w:r>
            <w:r w:rsidRPr="00E07B1B">
              <w:t>±</w:t>
            </w:r>
            <w:r>
              <w:t xml:space="preserve"> </w:t>
            </w:r>
            <w:r w:rsidRPr="00E07B1B">
              <w:t>5.6</w:t>
            </w:r>
          </w:p>
        </w:tc>
        <w:tc>
          <w:tcPr>
            <w:tcW w:w="1019" w:type="pct"/>
            <w:vMerge w:val="restart"/>
            <w:tcBorders>
              <w:top w:val="single" w:sz="4" w:space="0" w:color="auto"/>
              <w:bottom w:val="nil"/>
            </w:tcBorders>
            <w:shd w:val="clear" w:color="auto" w:fill="F2F2F2" w:themeFill="background1" w:themeFillShade="F2"/>
          </w:tcPr>
          <w:p w:rsidR="00853A74" w:rsidRPr="00E07B1B" w:rsidRDefault="00853A74" w:rsidP="006E4135">
            <w:pPr>
              <w:pStyle w:val="TableText"/>
            </w:pPr>
            <w:r w:rsidRPr="00E07B1B">
              <w:t>19%</w:t>
            </w:r>
            <w:r>
              <w:t xml:space="preserve"> N</w:t>
            </w:r>
            <w:r w:rsidRPr="00E07B1B">
              <w:t xml:space="preserve">on-Hispanic </w:t>
            </w:r>
            <w:r>
              <w:t>W</w:t>
            </w:r>
            <w:r w:rsidRPr="00E07B1B">
              <w:t>hite</w:t>
            </w:r>
            <w:r w:rsidR="006E4135">
              <w:br/>
            </w:r>
            <w:r w:rsidRPr="00E07B1B">
              <w:t>52% Asian/Pacific Island</w:t>
            </w:r>
            <w:r w:rsidR="006E4135">
              <w:br/>
            </w:r>
            <w:r w:rsidRPr="00E07B1B">
              <w:t>19% Hispanic</w:t>
            </w:r>
            <w:r w:rsidR="006E4135">
              <w:br/>
            </w:r>
            <w:r w:rsidRPr="00E07B1B">
              <w:t>6% Other/missing</w:t>
            </w:r>
          </w:p>
        </w:tc>
      </w:tr>
      <w:tr w:rsidR="006E4135" w:rsidRPr="00E07B1B" w:rsidTr="006E4135">
        <w:trPr>
          <w:cantSplit/>
        </w:trPr>
        <w:tc>
          <w:tcPr>
            <w:tcW w:w="438" w:type="pct"/>
            <w:vMerge/>
            <w:tcBorders>
              <w:top w:val="nil"/>
            </w:tcBorders>
            <w:shd w:val="clear" w:color="auto" w:fill="auto"/>
          </w:tcPr>
          <w:p w:rsidR="00853A74" w:rsidRPr="00E07B1B" w:rsidRDefault="00853A74" w:rsidP="003C330B">
            <w:pPr>
              <w:pStyle w:val="TableText"/>
            </w:pPr>
          </w:p>
        </w:tc>
        <w:tc>
          <w:tcPr>
            <w:tcW w:w="486" w:type="pct"/>
            <w:vMerge/>
            <w:tcBorders>
              <w:top w:val="nil"/>
            </w:tcBorders>
            <w:shd w:val="clear" w:color="auto" w:fill="auto"/>
          </w:tcPr>
          <w:p w:rsidR="00853A74" w:rsidRPr="00E07B1B" w:rsidRDefault="00853A74" w:rsidP="003C330B">
            <w:pPr>
              <w:pStyle w:val="TableText"/>
            </w:pPr>
          </w:p>
        </w:tc>
        <w:tc>
          <w:tcPr>
            <w:tcW w:w="970" w:type="pct"/>
            <w:tcBorders>
              <w:top w:val="nil"/>
              <w:bottom w:val="nil"/>
            </w:tcBorders>
            <w:shd w:val="clear" w:color="auto" w:fill="F2F2F2" w:themeFill="background1" w:themeFillShade="F2"/>
          </w:tcPr>
          <w:p w:rsidR="00853A74" w:rsidRPr="00E07B1B" w:rsidRDefault="00853A74" w:rsidP="003C330B">
            <w:pPr>
              <w:pStyle w:val="TableText"/>
            </w:pPr>
            <w:r w:rsidRPr="00E07B1B">
              <w:t>Usual care (</w:t>
            </w:r>
            <w:r w:rsidRPr="007217AC">
              <w:rPr>
                <w:i/>
              </w:rPr>
              <w:t>n</w:t>
            </w:r>
            <w:r>
              <w:t xml:space="preserve"> </w:t>
            </w:r>
            <w:r w:rsidRPr="00E07B1B">
              <w:t>=</w:t>
            </w:r>
            <w:r>
              <w:t xml:space="preserve"> </w:t>
            </w:r>
            <w:r w:rsidRPr="00E07B1B">
              <w:t>101)</w:t>
            </w:r>
          </w:p>
        </w:tc>
        <w:tc>
          <w:tcPr>
            <w:tcW w:w="825" w:type="pct"/>
            <w:tcBorders>
              <w:top w:val="nil"/>
              <w:bottom w:val="nil"/>
            </w:tcBorders>
            <w:shd w:val="clear" w:color="auto" w:fill="F2F2F2" w:themeFill="background1" w:themeFillShade="F2"/>
          </w:tcPr>
          <w:p w:rsidR="00853A74" w:rsidRPr="00E07B1B" w:rsidRDefault="00853A74" w:rsidP="006E4135">
            <w:pPr>
              <w:pStyle w:val="TableText"/>
            </w:pPr>
            <w:r w:rsidRPr="00E07B1B">
              <w:t>75.3% were &gt;</w:t>
            </w:r>
            <w:r>
              <w:t> </w:t>
            </w:r>
            <w:r w:rsidRPr="00E07B1B">
              <w:t>30</w:t>
            </w:r>
            <w:r w:rsidR="006E4135">
              <w:t> </w:t>
            </w:r>
            <w:r w:rsidRPr="00E07B1B">
              <w:t>years</w:t>
            </w:r>
          </w:p>
        </w:tc>
        <w:tc>
          <w:tcPr>
            <w:tcW w:w="582" w:type="pct"/>
            <w:tcBorders>
              <w:top w:val="nil"/>
              <w:bottom w:val="nil"/>
            </w:tcBorders>
            <w:shd w:val="clear" w:color="auto" w:fill="F2F2F2" w:themeFill="background1" w:themeFillShade="F2"/>
          </w:tcPr>
          <w:p w:rsidR="00853A74" w:rsidRPr="00E07B1B" w:rsidRDefault="00853A74" w:rsidP="003C330B">
            <w:pPr>
              <w:pStyle w:val="TableText"/>
            </w:pPr>
            <w:r w:rsidRPr="00E07B1B">
              <w:t>52.5% were &gt;</w:t>
            </w:r>
            <w:r>
              <w:t> </w:t>
            </w:r>
            <w:r w:rsidRPr="00E07B1B">
              <w:t>30</w:t>
            </w:r>
            <w:r>
              <w:t> </w:t>
            </w:r>
            <w:r w:rsidRPr="00E07B1B">
              <w:t>kg/m</w:t>
            </w:r>
            <w:r w:rsidRPr="00E07B1B">
              <w:rPr>
                <w:vertAlign w:val="superscript"/>
              </w:rPr>
              <w:t>2</w:t>
            </w:r>
          </w:p>
        </w:tc>
        <w:tc>
          <w:tcPr>
            <w:tcW w:w="680" w:type="pct"/>
            <w:tcBorders>
              <w:top w:val="nil"/>
              <w:bottom w:val="nil"/>
            </w:tcBorders>
            <w:shd w:val="clear" w:color="auto" w:fill="F2F2F2" w:themeFill="background1" w:themeFillShade="F2"/>
          </w:tcPr>
          <w:p w:rsidR="00853A74" w:rsidRPr="00E07B1B" w:rsidRDefault="00853A74" w:rsidP="003C330B">
            <w:pPr>
              <w:pStyle w:val="TableText"/>
            </w:pPr>
            <w:r w:rsidRPr="00E07B1B">
              <w:t>31.0</w:t>
            </w:r>
            <w:r>
              <w:t xml:space="preserve"> </w:t>
            </w:r>
            <w:r w:rsidRPr="00E07B1B">
              <w:t>±</w:t>
            </w:r>
            <w:r>
              <w:t xml:space="preserve"> </w:t>
            </w:r>
            <w:r w:rsidRPr="00E07B1B">
              <w:t>6.1</w:t>
            </w:r>
          </w:p>
        </w:tc>
        <w:tc>
          <w:tcPr>
            <w:tcW w:w="1019" w:type="pct"/>
            <w:vMerge/>
            <w:tcBorders>
              <w:top w:val="nil"/>
            </w:tcBorders>
            <w:shd w:val="clear" w:color="auto" w:fill="auto"/>
          </w:tcPr>
          <w:p w:rsidR="00853A74" w:rsidRPr="00E07B1B" w:rsidRDefault="00853A74" w:rsidP="003C330B">
            <w:pPr>
              <w:pStyle w:val="TableText"/>
            </w:pPr>
          </w:p>
        </w:tc>
      </w:tr>
      <w:tr w:rsidR="006E4135" w:rsidRPr="00E07B1B" w:rsidTr="006E4135">
        <w:trPr>
          <w:cantSplit/>
        </w:trPr>
        <w:tc>
          <w:tcPr>
            <w:tcW w:w="438" w:type="pct"/>
            <w:vMerge w:val="restart"/>
            <w:shd w:val="clear" w:color="auto" w:fill="auto"/>
          </w:tcPr>
          <w:p w:rsidR="00853A74" w:rsidRPr="00E07B1B" w:rsidRDefault="00853A74" w:rsidP="006E4135">
            <w:pPr>
              <w:pStyle w:val="TableText"/>
            </w:pPr>
            <w:r w:rsidRPr="00E07B1B">
              <w:t>Landon</w:t>
            </w:r>
            <w:r w:rsidR="006E4135">
              <w:br/>
            </w:r>
            <w:r w:rsidRPr="00E07B1B">
              <w:t>(2009)</w:t>
            </w:r>
          </w:p>
        </w:tc>
        <w:tc>
          <w:tcPr>
            <w:tcW w:w="486" w:type="pct"/>
            <w:vMerge w:val="restart"/>
            <w:shd w:val="clear" w:color="auto" w:fill="auto"/>
          </w:tcPr>
          <w:p w:rsidR="00853A74" w:rsidRPr="00E07B1B" w:rsidRDefault="00853A74" w:rsidP="003C330B">
            <w:pPr>
              <w:pStyle w:val="TableText"/>
            </w:pPr>
            <w:r w:rsidRPr="00E07B1B">
              <w:t>USA</w:t>
            </w:r>
          </w:p>
        </w:tc>
        <w:tc>
          <w:tcPr>
            <w:tcW w:w="970" w:type="pct"/>
            <w:tcBorders>
              <w:top w:val="nil"/>
            </w:tcBorders>
            <w:shd w:val="clear" w:color="auto" w:fill="auto"/>
          </w:tcPr>
          <w:p w:rsidR="00853A74" w:rsidRPr="00E07B1B" w:rsidRDefault="00853A74" w:rsidP="006E4135">
            <w:pPr>
              <w:pStyle w:val="TableText"/>
            </w:pPr>
            <w:r w:rsidRPr="00E07B1B">
              <w:t>Diet/insulin for mild GDM (</w:t>
            </w:r>
            <w:r w:rsidRPr="007217AC">
              <w:rPr>
                <w:i/>
              </w:rPr>
              <w:t>n</w:t>
            </w:r>
            <w:r w:rsidR="006E4135">
              <w:rPr>
                <w:i/>
              </w:rPr>
              <w:t> </w:t>
            </w:r>
            <w:r w:rsidRPr="00E07B1B">
              <w:t>=</w:t>
            </w:r>
            <w:r w:rsidR="006E4135">
              <w:t> </w:t>
            </w:r>
            <w:r w:rsidRPr="00E07B1B">
              <w:t>485)</w:t>
            </w:r>
          </w:p>
        </w:tc>
        <w:tc>
          <w:tcPr>
            <w:tcW w:w="825" w:type="pct"/>
            <w:tcBorders>
              <w:top w:val="nil"/>
            </w:tcBorders>
            <w:shd w:val="clear" w:color="auto" w:fill="auto"/>
          </w:tcPr>
          <w:p w:rsidR="00853A74" w:rsidRPr="00E07B1B" w:rsidRDefault="00853A74" w:rsidP="003C330B">
            <w:pPr>
              <w:pStyle w:val="TableText"/>
            </w:pPr>
            <w:r w:rsidRPr="00E07B1B">
              <w:t>29.2</w:t>
            </w:r>
            <w:r>
              <w:t xml:space="preserve"> </w:t>
            </w:r>
            <w:r w:rsidRPr="00E07B1B">
              <w:t>±</w:t>
            </w:r>
            <w:r>
              <w:t xml:space="preserve"> </w:t>
            </w:r>
            <w:r w:rsidRPr="00E07B1B">
              <w:t>5.7</w:t>
            </w:r>
          </w:p>
        </w:tc>
        <w:tc>
          <w:tcPr>
            <w:tcW w:w="582" w:type="pct"/>
            <w:tcBorders>
              <w:top w:val="nil"/>
            </w:tcBorders>
            <w:shd w:val="clear" w:color="auto" w:fill="auto"/>
          </w:tcPr>
          <w:p w:rsidR="00853A74" w:rsidRPr="00E07B1B" w:rsidRDefault="00853A74" w:rsidP="003C330B">
            <w:pPr>
              <w:pStyle w:val="TableText"/>
            </w:pPr>
            <w:r w:rsidRPr="00E07B1B">
              <w:t>30.1</w:t>
            </w:r>
            <w:r>
              <w:t xml:space="preserve"> </w:t>
            </w:r>
            <w:r w:rsidRPr="00E07B1B">
              <w:t>±</w:t>
            </w:r>
            <w:r>
              <w:t xml:space="preserve"> </w:t>
            </w:r>
            <w:r w:rsidRPr="00E07B1B">
              <w:t>5</w:t>
            </w:r>
          </w:p>
        </w:tc>
        <w:tc>
          <w:tcPr>
            <w:tcW w:w="680" w:type="pct"/>
            <w:tcBorders>
              <w:top w:val="nil"/>
            </w:tcBorders>
            <w:shd w:val="clear" w:color="auto" w:fill="auto"/>
          </w:tcPr>
          <w:p w:rsidR="00853A74" w:rsidRPr="00E07B1B" w:rsidRDefault="00853A74" w:rsidP="003C330B">
            <w:pPr>
              <w:pStyle w:val="TableText"/>
            </w:pPr>
            <w:r w:rsidRPr="00E07B1B">
              <w:t>28.8</w:t>
            </w:r>
            <w:r>
              <w:t xml:space="preserve"> </w:t>
            </w:r>
            <w:r w:rsidRPr="00E07B1B">
              <w:t>±</w:t>
            </w:r>
            <w:r>
              <w:t xml:space="preserve"> </w:t>
            </w:r>
            <w:r w:rsidRPr="00E07B1B">
              <w:t>1.6</w:t>
            </w:r>
          </w:p>
        </w:tc>
        <w:tc>
          <w:tcPr>
            <w:tcW w:w="1019" w:type="pct"/>
            <w:vMerge w:val="restart"/>
            <w:shd w:val="clear" w:color="auto" w:fill="auto"/>
          </w:tcPr>
          <w:p w:rsidR="00853A74" w:rsidRPr="00E07B1B" w:rsidRDefault="00853A74" w:rsidP="006E4135">
            <w:pPr>
              <w:pStyle w:val="TableText"/>
            </w:pPr>
            <w:r w:rsidRPr="00E07B1B">
              <w:t>Black 11.5%</w:t>
            </w:r>
            <w:r w:rsidR="006E4135">
              <w:br/>
            </w:r>
            <w:r w:rsidRPr="00E07B1B">
              <w:t>White 25.3%</w:t>
            </w:r>
            <w:r w:rsidR="006E4135">
              <w:br/>
            </w:r>
            <w:r w:rsidRPr="00E07B1B">
              <w:t>Asian 5.2%</w:t>
            </w:r>
            <w:r w:rsidR="006E4135">
              <w:br/>
            </w:r>
            <w:r w:rsidRPr="00E07B1B">
              <w:t>Hispanic 57%</w:t>
            </w:r>
          </w:p>
        </w:tc>
      </w:tr>
      <w:tr w:rsidR="006E4135" w:rsidRPr="00E07B1B" w:rsidTr="006E4135">
        <w:trPr>
          <w:cantSplit/>
        </w:trPr>
        <w:tc>
          <w:tcPr>
            <w:tcW w:w="438" w:type="pct"/>
            <w:vMerge/>
            <w:tcBorders>
              <w:bottom w:val="nil"/>
            </w:tcBorders>
            <w:shd w:val="clear" w:color="auto" w:fill="auto"/>
          </w:tcPr>
          <w:p w:rsidR="00853A74" w:rsidRPr="00E07B1B" w:rsidRDefault="00853A74" w:rsidP="003C330B">
            <w:pPr>
              <w:pStyle w:val="TableText"/>
            </w:pPr>
          </w:p>
        </w:tc>
        <w:tc>
          <w:tcPr>
            <w:tcW w:w="486" w:type="pct"/>
            <w:vMerge/>
            <w:tcBorders>
              <w:bottom w:val="nil"/>
            </w:tcBorders>
            <w:shd w:val="clear" w:color="auto" w:fill="auto"/>
          </w:tcPr>
          <w:p w:rsidR="00853A74" w:rsidRPr="00E07B1B" w:rsidRDefault="00853A74" w:rsidP="003C330B">
            <w:pPr>
              <w:pStyle w:val="TableText"/>
            </w:pPr>
          </w:p>
        </w:tc>
        <w:tc>
          <w:tcPr>
            <w:tcW w:w="970" w:type="pct"/>
            <w:tcBorders>
              <w:bottom w:val="nil"/>
            </w:tcBorders>
            <w:shd w:val="clear" w:color="auto" w:fill="auto"/>
          </w:tcPr>
          <w:p w:rsidR="00853A74" w:rsidRPr="00E07B1B" w:rsidRDefault="00853A74" w:rsidP="003C330B">
            <w:pPr>
              <w:pStyle w:val="TableText"/>
            </w:pPr>
            <w:r w:rsidRPr="00E07B1B">
              <w:t>Usual care (</w:t>
            </w:r>
            <w:r w:rsidRPr="007217AC">
              <w:rPr>
                <w:i/>
              </w:rPr>
              <w:t>n</w:t>
            </w:r>
            <w:r>
              <w:t xml:space="preserve"> </w:t>
            </w:r>
            <w:r w:rsidRPr="00E07B1B">
              <w:t>=</w:t>
            </w:r>
            <w:r>
              <w:t xml:space="preserve"> </w:t>
            </w:r>
            <w:r w:rsidRPr="00E07B1B">
              <w:t>473)</w:t>
            </w:r>
          </w:p>
        </w:tc>
        <w:tc>
          <w:tcPr>
            <w:tcW w:w="825" w:type="pct"/>
            <w:tcBorders>
              <w:bottom w:val="nil"/>
            </w:tcBorders>
            <w:shd w:val="clear" w:color="auto" w:fill="auto"/>
          </w:tcPr>
          <w:p w:rsidR="00853A74" w:rsidRPr="00E07B1B" w:rsidRDefault="00853A74" w:rsidP="003C330B">
            <w:pPr>
              <w:pStyle w:val="TableText"/>
            </w:pPr>
            <w:r w:rsidRPr="00E07B1B">
              <w:t>28.9</w:t>
            </w:r>
            <w:r>
              <w:t xml:space="preserve"> </w:t>
            </w:r>
            <w:r w:rsidRPr="00E07B1B">
              <w:t>±</w:t>
            </w:r>
            <w:r>
              <w:t xml:space="preserve"> </w:t>
            </w:r>
            <w:r w:rsidRPr="00E07B1B">
              <w:t>5.6</w:t>
            </w:r>
          </w:p>
        </w:tc>
        <w:tc>
          <w:tcPr>
            <w:tcW w:w="582" w:type="pct"/>
            <w:tcBorders>
              <w:bottom w:val="nil"/>
            </w:tcBorders>
            <w:shd w:val="clear" w:color="auto" w:fill="auto"/>
          </w:tcPr>
          <w:p w:rsidR="00853A74" w:rsidRPr="00E07B1B" w:rsidRDefault="00853A74" w:rsidP="003C330B">
            <w:pPr>
              <w:pStyle w:val="TableText"/>
            </w:pPr>
            <w:r w:rsidRPr="00E07B1B">
              <w:t>30.2</w:t>
            </w:r>
            <w:r>
              <w:t xml:space="preserve"> </w:t>
            </w:r>
            <w:r w:rsidRPr="00E07B1B">
              <w:t>±</w:t>
            </w:r>
            <w:r>
              <w:t xml:space="preserve"> </w:t>
            </w:r>
            <w:r w:rsidRPr="00E07B1B">
              <w:t>5.1</w:t>
            </w:r>
          </w:p>
        </w:tc>
        <w:tc>
          <w:tcPr>
            <w:tcW w:w="680" w:type="pct"/>
            <w:tcBorders>
              <w:bottom w:val="nil"/>
            </w:tcBorders>
            <w:shd w:val="clear" w:color="auto" w:fill="auto"/>
          </w:tcPr>
          <w:p w:rsidR="00853A74" w:rsidRPr="00E07B1B" w:rsidRDefault="00853A74" w:rsidP="003C330B">
            <w:pPr>
              <w:pStyle w:val="TableText"/>
            </w:pPr>
            <w:r w:rsidRPr="00E07B1B">
              <w:t>28.9</w:t>
            </w:r>
            <w:r>
              <w:t xml:space="preserve"> </w:t>
            </w:r>
            <w:r w:rsidRPr="00E07B1B">
              <w:t>±</w:t>
            </w:r>
            <w:r>
              <w:t xml:space="preserve"> </w:t>
            </w:r>
            <w:r w:rsidRPr="00E07B1B">
              <w:t>1.5</w:t>
            </w:r>
          </w:p>
        </w:tc>
        <w:tc>
          <w:tcPr>
            <w:tcW w:w="1019" w:type="pct"/>
            <w:vMerge/>
            <w:tcBorders>
              <w:bottom w:val="nil"/>
            </w:tcBorders>
            <w:shd w:val="clear" w:color="auto" w:fill="auto"/>
          </w:tcPr>
          <w:p w:rsidR="00853A74" w:rsidRPr="00E07B1B" w:rsidRDefault="00853A74" w:rsidP="003C330B">
            <w:pPr>
              <w:pStyle w:val="TableText"/>
            </w:pPr>
          </w:p>
        </w:tc>
      </w:tr>
      <w:tr w:rsidR="006E4135" w:rsidRPr="00E07B1B" w:rsidTr="006E4135">
        <w:trPr>
          <w:cantSplit/>
        </w:trPr>
        <w:tc>
          <w:tcPr>
            <w:tcW w:w="438" w:type="pct"/>
            <w:vMerge w:val="restart"/>
            <w:tcBorders>
              <w:top w:val="nil"/>
              <w:bottom w:val="nil"/>
            </w:tcBorders>
            <w:shd w:val="clear" w:color="auto" w:fill="F2F2F2" w:themeFill="background1" w:themeFillShade="F2"/>
          </w:tcPr>
          <w:p w:rsidR="00853A74" w:rsidRPr="00E07B1B" w:rsidRDefault="00853A74" w:rsidP="006E4135">
            <w:pPr>
              <w:pStyle w:val="TableText"/>
            </w:pPr>
            <w:r w:rsidRPr="00E07B1B">
              <w:t>Elnour</w:t>
            </w:r>
            <w:r w:rsidR="006E4135">
              <w:br/>
            </w:r>
            <w:r w:rsidRPr="00E07B1B">
              <w:t>(2008)</w:t>
            </w:r>
          </w:p>
        </w:tc>
        <w:tc>
          <w:tcPr>
            <w:tcW w:w="486" w:type="pct"/>
            <w:vMerge w:val="restart"/>
            <w:tcBorders>
              <w:top w:val="nil"/>
              <w:bottom w:val="nil"/>
            </w:tcBorders>
            <w:shd w:val="clear" w:color="auto" w:fill="F2F2F2" w:themeFill="background1" w:themeFillShade="F2"/>
          </w:tcPr>
          <w:p w:rsidR="00853A74" w:rsidRPr="00E07B1B" w:rsidRDefault="00853A74" w:rsidP="003C330B">
            <w:pPr>
              <w:pStyle w:val="TableText"/>
            </w:pPr>
            <w:r w:rsidRPr="00E07B1B">
              <w:t>United Arab Emirates</w:t>
            </w:r>
          </w:p>
        </w:tc>
        <w:tc>
          <w:tcPr>
            <w:tcW w:w="970" w:type="pct"/>
            <w:tcBorders>
              <w:top w:val="nil"/>
              <w:bottom w:val="nil"/>
            </w:tcBorders>
            <w:shd w:val="clear" w:color="auto" w:fill="F2F2F2" w:themeFill="background1" w:themeFillShade="F2"/>
          </w:tcPr>
          <w:p w:rsidR="00853A74" w:rsidRPr="00E07B1B" w:rsidRDefault="00853A74" w:rsidP="006E4135">
            <w:pPr>
              <w:pStyle w:val="TableText"/>
            </w:pPr>
            <w:r w:rsidRPr="00E07B1B">
              <w:t>Lifestyle advice +/</w:t>
            </w:r>
            <w:r>
              <w:t>–</w:t>
            </w:r>
            <w:r w:rsidRPr="00E07B1B">
              <w:t xml:space="preserve"> insulin (</w:t>
            </w:r>
            <w:r w:rsidRPr="007217AC">
              <w:rPr>
                <w:i/>
              </w:rPr>
              <w:t>n</w:t>
            </w:r>
            <w:r w:rsidR="006E4135">
              <w:rPr>
                <w:i/>
              </w:rPr>
              <w:t> </w:t>
            </w:r>
            <w:r w:rsidRPr="00E07B1B">
              <w:t>=</w:t>
            </w:r>
            <w:r>
              <w:t xml:space="preserve"> </w:t>
            </w:r>
            <w:r w:rsidRPr="00E07B1B">
              <w:t>108)</w:t>
            </w:r>
          </w:p>
        </w:tc>
        <w:tc>
          <w:tcPr>
            <w:tcW w:w="825" w:type="pct"/>
            <w:tcBorders>
              <w:top w:val="nil"/>
              <w:bottom w:val="nil"/>
            </w:tcBorders>
            <w:shd w:val="clear" w:color="auto" w:fill="F2F2F2" w:themeFill="background1" w:themeFillShade="F2"/>
          </w:tcPr>
          <w:p w:rsidR="00853A74" w:rsidRPr="00E07B1B" w:rsidRDefault="00853A74" w:rsidP="003C330B">
            <w:pPr>
              <w:pStyle w:val="TableText"/>
            </w:pPr>
            <w:r w:rsidRPr="00E07B1B">
              <w:t>31.1 (95%CI 30.2</w:t>
            </w:r>
            <w:r>
              <w:t>–</w:t>
            </w:r>
            <w:r w:rsidRPr="00E07B1B">
              <w:t>32.1)</w:t>
            </w:r>
          </w:p>
        </w:tc>
        <w:tc>
          <w:tcPr>
            <w:tcW w:w="582" w:type="pct"/>
            <w:tcBorders>
              <w:top w:val="nil"/>
              <w:bottom w:val="nil"/>
            </w:tcBorders>
            <w:shd w:val="clear" w:color="auto" w:fill="F2F2F2" w:themeFill="background1" w:themeFillShade="F2"/>
          </w:tcPr>
          <w:p w:rsidR="00853A74" w:rsidRPr="00E07B1B" w:rsidRDefault="00853A74" w:rsidP="003C330B">
            <w:pPr>
              <w:pStyle w:val="TableText"/>
            </w:pPr>
            <w:r>
              <w:t>Not stated</w:t>
            </w:r>
          </w:p>
        </w:tc>
        <w:tc>
          <w:tcPr>
            <w:tcW w:w="680" w:type="pct"/>
            <w:tcBorders>
              <w:top w:val="nil"/>
              <w:bottom w:val="nil"/>
            </w:tcBorders>
            <w:shd w:val="clear" w:color="auto" w:fill="F2F2F2" w:themeFill="background1" w:themeFillShade="F2"/>
          </w:tcPr>
          <w:p w:rsidR="00853A74" w:rsidRPr="00E07B1B" w:rsidRDefault="00853A74" w:rsidP="003C330B">
            <w:pPr>
              <w:pStyle w:val="TableText"/>
            </w:pPr>
            <w:r w:rsidRPr="00E07B1B">
              <w:t>&lt; 20 weeks</w:t>
            </w:r>
          </w:p>
        </w:tc>
        <w:tc>
          <w:tcPr>
            <w:tcW w:w="1019" w:type="pct"/>
            <w:vMerge w:val="restart"/>
            <w:tcBorders>
              <w:top w:val="nil"/>
              <w:bottom w:val="nil"/>
            </w:tcBorders>
            <w:shd w:val="clear" w:color="auto" w:fill="F2F2F2" w:themeFill="background1" w:themeFillShade="F2"/>
          </w:tcPr>
          <w:p w:rsidR="00853A74" w:rsidRPr="00E07B1B" w:rsidRDefault="00853A74" w:rsidP="003C330B">
            <w:pPr>
              <w:pStyle w:val="TableText"/>
            </w:pPr>
            <w:r w:rsidRPr="00E07B1B">
              <w:t>United Arab Emirate</w:t>
            </w:r>
            <w:r>
              <w:t>s</w:t>
            </w:r>
            <w:r w:rsidRPr="00E07B1B">
              <w:t xml:space="preserve"> nationals 100%</w:t>
            </w:r>
          </w:p>
        </w:tc>
      </w:tr>
      <w:tr w:rsidR="006E4135" w:rsidRPr="00E07B1B" w:rsidTr="006E4135">
        <w:trPr>
          <w:cantSplit/>
        </w:trPr>
        <w:tc>
          <w:tcPr>
            <w:tcW w:w="438" w:type="pct"/>
            <w:vMerge/>
            <w:tcBorders>
              <w:top w:val="nil"/>
            </w:tcBorders>
            <w:shd w:val="clear" w:color="auto" w:fill="auto"/>
          </w:tcPr>
          <w:p w:rsidR="00853A74" w:rsidRPr="00E07B1B" w:rsidRDefault="00853A74" w:rsidP="003C330B">
            <w:pPr>
              <w:pStyle w:val="TableText"/>
            </w:pPr>
          </w:p>
        </w:tc>
        <w:tc>
          <w:tcPr>
            <w:tcW w:w="486" w:type="pct"/>
            <w:vMerge/>
            <w:tcBorders>
              <w:top w:val="nil"/>
            </w:tcBorders>
            <w:shd w:val="clear" w:color="auto" w:fill="auto"/>
          </w:tcPr>
          <w:p w:rsidR="00853A74" w:rsidRPr="00E07B1B" w:rsidRDefault="00853A74" w:rsidP="003C330B">
            <w:pPr>
              <w:pStyle w:val="TableText"/>
            </w:pPr>
          </w:p>
        </w:tc>
        <w:tc>
          <w:tcPr>
            <w:tcW w:w="970" w:type="pct"/>
            <w:tcBorders>
              <w:top w:val="nil"/>
              <w:bottom w:val="nil"/>
            </w:tcBorders>
            <w:shd w:val="clear" w:color="auto" w:fill="F2F2F2" w:themeFill="background1" w:themeFillShade="F2"/>
          </w:tcPr>
          <w:p w:rsidR="00853A74" w:rsidRPr="00E07B1B" w:rsidRDefault="00853A74" w:rsidP="003C330B">
            <w:pPr>
              <w:pStyle w:val="TableText"/>
            </w:pPr>
            <w:r w:rsidRPr="00E07B1B">
              <w:t>Usual care</w:t>
            </w:r>
            <w:r>
              <w:t xml:space="preserve"> </w:t>
            </w:r>
            <w:r w:rsidRPr="00E07B1B">
              <w:t>(</w:t>
            </w:r>
            <w:r w:rsidRPr="007217AC">
              <w:rPr>
                <w:i/>
              </w:rPr>
              <w:t>n</w:t>
            </w:r>
            <w:r>
              <w:t xml:space="preserve"> </w:t>
            </w:r>
            <w:r w:rsidRPr="00E07B1B">
              <w:t>=</w:t>
            </w:r>
            <w:r>
              <w:t xml:space="preserve"> </w:t>
            </w:r>
            <w:r w:rsidRPr="00E07B1B">
              <w:t>72)</w:t>
            </w:r>
          </w:p>
        </w:tc>
        <w:tc>
          <w:tcPr>
            <w:tcW w:w="825" w:type="pct"/>
            <w:tcBorders>
              <w:top w:val="nil"/>
              <w:bottom w:val="nil"/>
            </w:tcBorders>
            <w:shd w:val="clear" w:color="auto" w:fill="F2F2F2" w:themeFill="background1" w:themeFillShade="F2"/>
          </w:tcPr>
          <w:p w:rsidR="00853A74" w:rsidRPr="00E07B1B" w:rsidRDefault="00853A74" w:rsidP="006E4135">
            <w:pPr>
              <w:pStyle w:val="TableText"/>
            </w:pPr>
            <w:r w:rsidRPr="00E07B1B">
              <w:t>30.7 (95%CI 29.4</w:t>
            </w:r>
            <w:r>
              <w:t>–</w:t>
            </w:r>
            <w:r w:rsidRPr="00E07B1B">
              <w:t>32.01)</w:t>
            </w:r>
          </w:p>
        </w:tc>
        <w:tc>
          <w:tcPr>
            <w:tcW w:w="582" w:type="pct"/>
            <w:tcBorders>
              <w:top w:val="nil"/>
              <w:bottom w:val="nil"/>
            </w:tcBorders>
            <w:shd w:val="clear" w:color="auto" w:fill="F2F2F2" w:themeFill="background1" w:themeFillShade="F2"/>
          </w:tcPr>
          <w:p w:rsidR="00853A74" w:rsidRPr="00E07B1B" w:rsidRDefault="00853A74" w:rsidP="003C330B">
            <w:pPr>
              <w:pStyle w:val="TableText"/>
            </w:pPr>
            <w:r>
              <w:t>Not stated</w:t>
            </w:r>
          </w:p>
        </w:tc>
        <w:tc>
          <w:tcPr>
            <w:tcW w:w="680" w:type="pct"/>
            <w:tcBorders>
              <w:top w:val="nil"/>
              <w:bottom w:val="nil"/>
            </w:tcBorders>
            <w:shd w:val="clear" w:color="auto" w:fill="F2F2F2" w:themeFill="background1" w:themeFillShade="F2"/>
          </w:tcPr>
          <w:p w:rsidR="00853A74" w:rsidRPr="00E07B1B" w:rsidRDefault="00853A74" w:rsidP="003C330B">
            <w:pPr>
              <w:pStyle w:val="TableText"/>
            </w:pPr>
            <w:r w:rsidRPr="00E07B1B">
              <w:t>&lt;20 weeks</w:t>
            </w:r>
          </w:p>
        </w:tc>
        <w:tc>
          <w:tcPr>
            <w:tcW w:w="1019" w:type="pct"/>
            <w:vMerge/>
            <w:tcBorders>
              <w:top w:val="nil"/>
            </w:tcBorders>
            <w:shd w:val="clear" w:color="auto" w:fill="auto"/>
          </w:tcPr>
          <w:p w:rsidR="00853A74" w:rsidRPr="00E07B1B" w:rsidRDefault="00853A74" w:rsidP="003C330B">
            <w:pPr>
              <w:pStyle w:val="TableText"/>
            </w:pPr>
          </w:p>
        </w:tc>
      </w:tr>
      <w:tr w:rsidR="006E4135" w:rsidRPr="00E07B1B" w:rsidTr="006E4135">
        <w:trPr>
          <w:cantSplit/>
        </w:trPr>
        <w:tc>
          <w:tcPr>
            <w:tcW w:w="438" w:type="pct"/>
            <w:vMerge w:val="restart"/>
            <w:shd w:val="clear" w:color="auto" w:fill="auto"/>
          </w:tcPr>
          <w:p w:rsidR="00853A74" w:rsidRPr="00E07B1B" w:rsidRDefault="00853A74" w:rsidP="006E4135">
            <w:pPr>
              <w:pStyle w:val="TableText"/>
            </w:pPr>
            <w:r w:rsidRPr="00E07B1B">
              <w:t>Crowther</w:t>
            </w:r>
            <w:r w:rsidR="006E4135">
              <w:br/>
            </w:r>
            <w:r w:rsidRPr="00E07B1B">
              <w:t>(2005)</w:t>
            </w:r>
          </w:p>
        </w:tc>
        <w:tc>
          <w:tcPr>
            <w:tcW w:w="486" w:type="pct"/>
            <w:vMerge w:val="restart"/>
            <w:shd w:val="clear" w:color="auto" w:fill="auto"/>
          </w:tcPr>
          <w:p w:rsidR="00853A74" w:rsidRPr="00E07B1B" w:rsidRDefault="00853A74" w:rsidP="003C330B">
            <w:pPr>
              <w:pStyle w:val="TableText"/>
            </w:pPr>
            <w:r w:rsidRPr="00E07B1B">
              <w:t>Australia and UK</w:t>
            </w:r>
          </w:p>
        </w:tc>
        <w:tc>
          <w:tcPr>
            <w:tcW w:w="970" w:type="pct"/>
            <w:tcBorders>
              <w:top w:val="nil"/>
            </w:tcBorders>
            <w:shd w:val="clear" w:color="auto" w:fill="auto"/>
          </w:tcPr>
          <w:p w:rsidR="00853A74" w:rsidRPr="00E07B1B" w:rsidRDefault="00853A74" w:rsidP="003C330B">
            <w:pPr>
              <w:pStyle w:val="TableText"/>
            </w:pPr>
            <w:r w:rsidRPr="00E07B1B">
              <w:t>Diet/insulin (</w:t>
            </w:r>
            <w:r w:rsidRPr="007217AC">
              <w:rPr>
                <w:i/>
              </w:rPr>
              <w:t>n</w:t>
            </w:r>
            <w:r>
              <w:t xml:space="preserve"> </w:t>
            </w:r>
            <w:r w:rsidRPr="00E07B1B">
              <w:t>=</w:t>
            </w:r>
            <w:r>
              <w:t xml:space="preserve"> </w:t>
            </w:r>
            <w:r w:rsidRPr="00E07B1B">
              <w:t>490)</w:t>
            </w:r>
          </w:p>
        </w:tc>
        <w:tc>
          <w:tcPr>
            <w:tcW w:w="825" w:type="pct"/>
            <w:tcBorders>
              <w:top w:val="nil"/>
            </w:tcBorders>
            <w:shd w:val="clear" w:color="auto" w:fill="auto"/>
          </w:tcPr>
          <w:p w:rsidR="00853A74" w:rsidRPr="00E07B1B" w:rsidRDefault="00853A74" w:rsidP="003C330B">
            <w:pPr>
              <w:pStyle w:val="TableText"/>
            </w:pPr>
            <w:r w:rsidRPr="00E07B1B">
              <w:t>30.9</w:t>
            </w:r>
            <w:r>
              <w:t xml:space="preserve"> </w:t>
            </w:r>
            <w:r w:rsidRPr="00E07B1B">
              <w:t>±</w:t>
            </w:r>
            <w:r>
              <w:t xml:space="preserve"> </w:t>
            </w:r>
            <w:r w:rsidRPr="00E07B1B">
              <w:t>5.4</w:t>
            </w:r>
          </w:p>
        </w:tc>
        <w:tc>
          <w:tcPr>
            <w:tcW w:w="582" w:type="pct"/>
            <w:tcBorders>
              <w:top w:val="nil"/>
            </w:tcBorders>
            <w:shd w:val="clear" w:color="auto" w:fill="auto"/>
          </w:tcPr>
          <w:p w:rsidR="00853A74" w:rsidRPr="00E07B1B" w:rsidRDefault="00853A74" w:rsidP="003C330B">
            <w:pPr>
              <w:pStyle w:val="TableText"/>
            </w:pPr>
            <w:r w:rsidRPr="00E07B1B">
              <w:t>26.8</w:t>
            </w:r>
            <w:r>
              <w:t xml:space="preserve"> </w:t>
            </w:r>
            <w:r w:rsidRPr="00E07B1B">
              <w:t>(23.3–31.2)*</w:t>
            </w:r>
          </w:p>
        </w:tc>
        <w:tc>
          <w:tcPr>
            <w:tcW w:w="680" w:type="pct"/>
            <w:tcBorders>
              <w:top w:val="nil"/>
            </w:tcBorders>
            <w:shd w:val="clear" w:color="auto" w:fill="auto"/>
          </w:tcPr>
          <w:p w:rsidR="00853A74" w:rsidRPr="00E07B1B" w:rsidRDefault="006E4135" w:rsidP="003C330B">
            <w:pPr>
              <w:pStyle w:val="TableText"/>
            </w:pPr>
            <w:r>
              <w:t>29.1 (28.2–30)*</w:t>
            </w:r>
          </w:p>
        </w:tc>
        <w:tc>
          <w:tcPr>
            <w:tcW w:w="1019" w:type="pct"/>
            <w:shd w:val="clear" w:color="auto" w:fill="auto"/>
          </w:tcPr>
          <w:p w:rsidR="00853A74" w:rsidRPr="006E4135" w:rsidRDefault="00853A74" w:rsidP="003C330B">
            <w:pPr>
              <w:pStyle w:val="TableText"/>
              <w:rPr>
                <w:spacing w:val="-2"/>
              </w:rPr>
            </w:pPr>
            <w:r w:rsidRPr="006E4135">
              <w:rPr>
                <w:spacing w:val="-2"/>
              </w:rPr>
              <w:t>White 73%, Asian 19%, Other 9%</w:t>
            </w:r>
          </w:p>
        </w:tc>
      </w:tr>
      <w:tr w:rsidR="006E4135" w:rsidRPr="00E07B1B" w:rsidTr="006E4135">
        <w:trPr>
          <w:cantSplit/>
        </w:trPr>
        <w:tc>
          <w:tcPr>
            <w:tcW w:w="438" w:type="pct"/>
            <w:vMerge/>
            <w:tcBorders>
              <w:bottom w:val="nil"/>
            </w:tcBorders>
            <w:shd w:val="clear" w:color="auto" w:fill="auto"/>
          </w:tcPr>
          <w:p w:rsidR="00853A74" w:rsidRPr="00E07B1B" w:rsidRDefault="00853A74" w:rsidP="003C330B">
            <w:pPr>
              <w:pStyle w:val="TableText"/>
            </w:pPr>
          </w:p>
        </w:tc>
        <w:tc>
          <w:tcPr>
            <w:tcW w:w="486" w:type="pct"/>
            <w:vMerge/>
            <w:tcBorders>
              <w:bottom w:val="nil"/>
            </w:tcBorders>
            <w:shd w:val="clear" w:color="auto" w:fill="auto"/>
          </w:tcPr>
          <w:p w:rsidR="00853A74" w:rsidRPr="00E07B1B" w:rsidRDefault="00853A74" w:rsidP="003C330B">
            <w:pPr>
              <w:pStyle w:val="TableText"/>
            </w:pPr>
          </w:p>
        </w:tc>
        <w:tc>
          <w:tcPr>
            <w:tcW w:w="970" w:type="pct"/>
            <w:tcBorders>
              <w:bottom w:val="nil"/>
            </w:tcBorders>
            <w:shd w:val="clear" w:color="auto" w:fill="auto"/>
          </w:tcPr>
          <w:p w:rsidR="00853A74" w:rsidRPr="00E07B1B" w:rsidRDefault="00853A74" w:rsidP="003C330B">
            <w:pPr>
              <w:pStyle w:val="TableText"/>
            </w:pPr>
            <w:r w:rsidRPr="00E07B1B">
              <w:t>Usual care (</w:t>
            </w:r>
            <w:r w:rsidRPr="007217AC">
              <w:rPr>
                <w:i/>
              </w:rPr>
              <w:t>n</w:t>
            </w:r>
            <w:r>
              <w:t xml:space="preserve"> </w:t>
            </w:r>
            <w:r w:rsidRPr="00E07B1B">
              <w:t>=</w:t>
            </w:r>
            <w:r>
              <w:t xml:space="preserve"> </w:t>
            </w:r>
            <w:r w:rsidRPr="00E07B1B">
              <w:t>510)</w:t>
            </w:r>
          </w:p>
        </w:tc>
        <w:tc>
          <w:tcPr>
            <w:tcW w:w="825" w:type="pct"/>
            <w:tcBorders>
              <w:bottom w:val="nil"/>
            </w:tcBorders>
            <w:shd w:val="clear" w:color="auto" w:fill="auto"/>
          </w:tcPr>
          <w:p w:rsidR="00853A74" w:rsidRPr="00E07B1B" w:rsidRDefault="00853A74" w:rsidP="003C330B">
            <w:pPr>
              <w:pStyle w:val="TableText"/>
            </w:pPr>
            <w:r w:rsidRPr="00E07B1B">
              <w:t>30.1</w:t>
            </w:r>
            <w:r>
              <w:t xml:space="preserve"> </w:t>
            </w:r>
            <w:r w:rsidRPr="00E07B1B">
              <w:t>±</w:t>
            </w:r>
            <w:r>
              <w:t xml:space="preserve"> </w:t>
            </w:r>
            <w:r w:rsidRPr="00E07B1B">
              <w:t>5.5</w:t>
            </w:r>
          </w:p>
        </w:tc>
        <w:tc>
          <w:tcPr>
            <w:tcW w:w="582" w:type="pct"/>
            <w:tcBorders>
              <w:bottom w:val="nil"/>
            </w:tcBorders>
            <w:shd w:val="clear" w:color="auto" w:fill="auto"/>
          </w:tcPr>
          <w:p w:rsidR="00853A74" w:rsidRPr="00E07B1B" w:rsidRDefault="00853A74" w:rsidP="003C330B">
            <w:pPr>
              <w:pStyle w:val="TableText"/>
            </w:pPr>
            <w:r w:rsidRPr="00E07B1B">
              <w:t>26 (22.9–30.9)*</w:t>
            </w:r>
          </w:p>
        </w:tc>
        <w:tc>
          <w:tcPr>
            <w:tcW w:w="680" w:type="pct"/>
            <w:tcBorders>
              <w:bottom w:val="nil"/>
            </w:tcBorders>
            <w:shd w:val="clear" w:color="auto" w:fill="auto"/>
          </w:tcPr>
          <w:p w:rsidR="00853A74" w:rsidRPr="00E07B1B" w:rsidRDefault="00853A74" w:rsidP="003C330B">
            <w:pPr>
              <w:pStyle w:val="TableText"/>
            </w:pPr>
            <w:r w:rsidRPr="00E07B1B">
              <w:t>29.2 (28.2–30)*</w:t>
            </w:r>
          </w:p>
        </w:tc>
        <w:tc>
          <w:tcPr>
            <w:tcW w:w="1019" w:type="pct"/>
            <w:tcBorders>
              <w:bottom w:val="nil"/>
            </w:tcBorders>
            <w:shd w:val="clear" w:color="auto" w:fill="auto"/>
          </w:tcPr>
          <w:p w:rsidR="00853A74" w:rsidRPr="006E4135" w:rsidRDefault="00853A74" w:rsidP="003C330B">
            <w:pPr>
              <w:pStyle w:val="TableText"/>
              <w:rPr>
                <w:spacing w:val="-4"/>
              </w:rPr>
            </w:pPr>
            <w:r w:rsidRPr="006E4135">
              <w:rPr>
                <w:spacing w:val="-4"/>
              </w:rPr>
              <w:t>White 78%, Asian 14%, Other 8%</w:t>
            </w:r>
          </w:p>
        </w:tc>
      </w:tr>
      <w:tr w:rsidR="006E4135" w:rsidRPr="00E07B1B" w:rsidTr="006E4135">
        <w:trPr>
          <w:cantSplit/>
        </w:trPr>
        <w:tc>
          <w:tcPr>
            <w:tcW w:w="438" w:type="pct"/>
            <w:tcBorders>
              <w:top w:val="nil"/>
              <w:bottom w:val="nil"/>
            </w:tcBorders>
            <w:shd w:val="clear" w:color="auto" w:fill="F2F2F2" w:themeFill="background1" w:themeFillShade="F2"/>
          </w:tcPr>
          <w:p w:rsidR="00853A74" w:rsidRPr="00E07B1B" w:rsidRDefault="00853A74" w:rsidP="006E4135">
            <w:pPr>
              <w:pStyle w:val="TableText"/>
            </w:pPr>
            <w:r w:rsidRPr="00E07B1B">
              <w:t>Gillen</w:t>
            </w:r>
            <w:r w:rsidR="006E4135">
              <w:br/>
            </w:r>
            <w:r w:rsidRPr="00E07B1B">
              <w:t>(2004)</w:t>
            </w:r>
          </w:p>
        </w:tc>
        <w:tc>
          <w:tcPr>
            <w:tcW w:w="486" w:type="pct"/>
            <w:tcBorders>
              <w:top w:val="nil"/>
              <w:bottom w:val="nil"/>
            </w:tcBorders>
            <w:shd w:val="clear" w:color="auto" w:fill="F2F2F2" w:themeFill="background1" w:themeFillShade="F2"/>
          </w:tcPr>
          <w:p w:rsidR="00853A74" w:rsidRPr="00E07B1B" w:rsidRDefault="00853A74" w:rsidP="003C330B">
            <w:pPr>
              <w:pStyle w:val="TableText"/>
            </w:pPr>
            <w:r w:rsidRPr="00E07B1B">
              <w:t>Australia</w:t>
            </w:r>
          </w:p>
        </w:tc>
        <w:tc>
          <w:tcPr>
            <w:tcW w:w="970" w:type="pct"/>
            <w:tcBorders>
              <w:top w:val="nil"/>
              <w:bottom w:val="nil"/>
            </w:tcBorders>
            <w:shd w:val="clear" w:color="auto" w:fill="F2F2F2" w:themeFill="background1" w:themeFillShade="F2"/>
          </w:tcPr>
          <w:p w:rsidR="00853A74" w:rsidRPr="00E07B1B" w:rsidRDefault="00853A74" w:rsidP="006E4135">
            <w:pPr>
              <w:pStyle w:val="TableText"/>
            </w:pPr>
            <w:r w:rsidRPr="00E07B1B">
              <w:t>Specific dietary advice (</w:t>
            </w:r>
            <w:r w:rsidRPr="007217AC">
              <w:rPr>
                <w:i/>
              </w:rPr>
              <w:t>n</w:t>
            </w:r>
            <w:r>
              <w:t> </w:t>
            </w:r>
            <w:r w:rsidRPr="00E07B1B">
              <w:t>=</w:t>
            </w:r>
            <w:r>
              <w:t> </w:t>
            </w:r>
            <w:r w:rsidRPr="00E07B1B">
              <w:t>16</w:t>
            </w:r>
            <w:r w:rsidR="006E4135">
              <w:br/>
            </w:r>
            <w:r w:rsidRPr="00E07B1B">
              <w:t>Usual care (</w:t>
            </w:r>
            <w:r w:rsidRPr="007217AC">
              <w:rPr>
                <w:i/>
              </w:rPr>
              <w:t>n</w:t>
            </w:r>
            <w:r>
              <w:t xml:space="preserve"> </w:t>
            </w:r>
            <w:r w:rsidRPr="00E07B1B">
              <w:t>=</w:t>
            </w:r>
            <w:r>
              <w:t xml:space="preserve"> </w:t>
            </w:r>
            <w:r w:rsidRPr="00E07B1B">
              <w:t>16)</w:t>
            </w:r>
          </w:p>
        </w:tc>
        <w:tc>
          <w:tcPr>
            <w:tcW w:w="825" w:type="pct"/>
            <w:tcBorders>
              <w:top w:val="nil"/>
              <w:bottom w:val="nil"/>
            </w:tcBorders>
            <w:shd w:val="clear" w:color="auto" w:fill="F2F2F2" w:themeFill="background1" w:themeFillShade="F2"/>
          </w:tcPr>
          <w:p w:rsidR="00853A74" w:rsidRPr="00E07B1B" w:rsidRDefault="006E4135" w:rsidP="003C330B">
            <w:pPr>
              <w:pStyle w:val="TableText"/>
            </w:pPr>
            <w:r>
              <w:t>–</w:t>
            </w:r>
          </w:p>
        </w:tc>
        <w:tc>
          <w:tcPr>
            <w:tcW w:w="582" w:type="pct"/>
            <w:tcBorders>
              <w:top w:val="nil"/>
              <w:bottom w:val="nil"/>
            </w:tcBorders>
            <w:shd w:val="clear" w:color="auto" w:fill="F2F2F2" w:themeFill="background1" w:themeFillShade="F2"/>
          </w:tcPr>
          <w:p w:rsidR="00853A74" w:rsidRPr="00E07B1B" w:rsidRDefault="006E4135" w:rsidP="006E4135">
            <w:pPr>
              <w:pStyle w:val="TableText"/>
            </w:pPr>
            <w:r>
              <w:t>–</w:t>
            </w:r>
          </w:p>
        </w:tc>
        <w:tc>
          <w:tcPr>
            <w:tcW w:w="680" w:type="pct"/>
            <w:tcBorders>
              <w:top w:val="nil"/>
              <w:bottom w:val="nil"/>
            </w:tcBorders>
            <w:shd w:val="clear" w:color="auto" w:fill="F2F2F2" w:themeFill="background1" w:themeFillShade="F2"/>
          </w:tcPr>
          <w:p w:rsidR="00853A74" w:rsidRPr="00E07B1B" w:rsidRDefault="00853A74" w:rsidP="006E4135">
            <w:pPr>
              <w:pStyle w:val="TableText"/>
            </w:pPr>
            <w:r w:rsidRPr="00E07B1B">
              <w:t>Approximately 28</w:t>
            </w:r>
            <w:r w:rsidR="006E4135">
              <w:t> </w:t>
            </w:r>
            <w:r w:rsidRPr="00E07B1B">
              <w:t>weeks</w:t>
            </w:r>
          </w:p>
        </w:tc>
        <w:tc>
          <w:tcPr>
            <w:tcW w:w="1019" w:type="pct"/>
            <w:tcBorders>
              <w:top w:val="nil"/>
              <w:bottom w:val="nil"/>
            </w:tcBorders>
            <w:shd w:val="clear" w:color="auto" w:fill="F2F2F2" w:themeFill="background1" w:themeFillShade="F2"/>
          </w:tcPr>
          <w:p w:rsidR="00853A74" w:rsidRPr="00E07B1B" w:rsidRDefault="006E4135" w:rsidP="003C330B">
            <w:pPr>
              <w:pStyle w:val="TableText"/>
            </w:pPr>
            <w:r>
              <w:t>–</w:t>
            </w:r>
          </w:p>
        </w:tc>
      </w:tr>
      <w:tr w:rsidR="006E4135" w:rsidRPr="00E07B1B" w:rsidTr="006E4135">
        <w:trPr>
          <w:cantSplit/>
        </w:trPr>
        <w:tc>
          <w:tcPr>
            <w:tcW w:w="438" w:type="pct"/>
            <w:tcBorders>
              <w:top w:val="nil"/>
              <w:bottom w:val="nil"/>
            </w:tcBorders>
            <w:shd w:val="clear" w:color="auto" w:fill="auto"/>
          </w:tcPr>
          <w:p w:rsidR="00853A74" w:rsidRPr="00E07B1B" w:rsidRDefault="00853A74" w:rsidP="006E4135">
            <w:pPr>
              <w:pStyle w:val="TableText"/>
            </w:pPr>
            <w:r w:rsidRPr="00E07B1B">
              <w:t>Yang</w:t>
            </w:r>
            <w:r w:rsidR="006E4135">
              <w:br/>
            </w:r>
            <w:r w:rsidRPr="00E07B1B">
              <w:t>(2003)</w:t>
            </w:r>
          </w:p>
        </w:tc>
        <w:tc>
          <w:tcPr>
            <w:tcW w:w="486" w:type="pct"/>
            <w:tcBorders>
              <w:top w:val="nil"/>
              <w:bottom w:val="nil"/>
            </w:tcBorders>
            <w:shd w:val="clear" w:color="auto" w:fill="auto"/>
          </w:tcPr>
          <w:p w:rsidR="00853A74" w:rsidRPr="00E07B1B" w:rsidRDefault="00853A74" w:rsidP="003C330B">
            <w:pPr>
              <w:pStyle w:val="TableText"/>
            </w:pPr>
            <w:r w:rsidRPr="00E07B1B">
              <w:t>China</w:t>
            </w:r>
          </w:p>
        </w:tc>
        <w:tc>
          <w:tcPr>
            <w:tcW w:w="970" w:type="pct"/>
            <w:tcBorders>
              <w:top w:val="nil"/>
              <w:bottom w:val="nil"/>
            </w:tcBorders>
            <w:shd w:val="clear" w:color="auto" w:fill="auto"/>
          </w:tcPr>
          <w:p w:rsidR="00853A74" w:rsidRDefault="00853A74" w:rsidP="003C330B">
            <w:pPr>
              <w:pStyle w:val="TableText"/>
            </w:pPr>
            <w:r w:rsidRPr="00E07B1B">
              <w:t>Intensive Diabetes Management Plan (</w:t>
            </w:r>
            <w:r w:rsidRPr="007217AC">
              <w:rPr>
                <w:i/>
              </w:rPr>
              <w:t>n</w:t>
            </w:r>
            <w:r>
              <w:t> </w:t>
            </w:r>
            <w:r w:rsidRPr="00E07B1B">
              <w:t>=</w:t>
            </w:r>
            <w:r>
              <w:t> </w:t>
            </w:r>
            <w:r w:rsidRPr="00E07B1B">
              <w:t>95)</w:t>
            </w:r>
          </w:p>
          <w:p w:rsidR="00853A74" w:rsidRPr="00E07B1B" w:rsidRDefault="00853A74" w:rsidP="003C330B">
            <w:pPr>
              <w:pStyle w:val="TableText"/>
            </w:pPr>
            <w:r w:rsidRPr="00E07B1B">
              <w:t>Usual care (</w:t>
            </w:r>
            <w:r w:rsidRPr="007217AC">
              <w:rPr>
                <w:i/>
              </w:rPr>
              <w:t>n</w:t>
            </w:r>
            <w:r>
              <w:t xml:space="preserve"> </w:t>
            </w:r>
            <w:r w:rsidRPr="00E07B1B">
              <w:t>=</w:t>
            </w:r>
            <w:r>
              <w:t xml:space="preserve"> </w:t>
            </w:r>
            <w:r w:rsidRPr="00E07B1B">
              <w:t>55)</w:t>
            </w:r>
          </w:p>
        </w:tc>
        <w:tc>
          <w:tcPr>
            <w:tcW w:w="825" w:type="pct"/>
            <w:tcBorders>
              <w:top w:val="nil"/>
              <w:bottom w:val="nil"/>
            </w:tcBorders>
            <w:shd w:val="clear" w:color="auto" w:fill="auto"/>
          </w:tcPr>
          <w:p w:rsidR="00853A74" w:rsidRPr="00E07B1B" w:rsidRDefault="00853A74" w:rsidP="003C330B">
            <w:pPr>
              <w:pStyle w:val="TableText"/>
            </w:pPr>
            <w:r>
              <w:t>Not stated</w:t>
            </w:r>
          </w:p>
        </w:tc>
        <w:tc>
          <w:tcPr>
            <w:tcW w:w="582" w:type="pct"/>
            <w:tcBorders>
              <w:top w:val="nil"/>
              <w:bottom w:val="nil"/>
            </w:tcBorders>
            <w:shd w:val="clear" w:color="auto" w:fill="auto"/>
          </w:tcPr>
          <w:p w:rsidR="00853A74" w:rsidRPr="00E07B1B" w:rsidRDefault="00853A74" w:rsidP="003C330B">
            <w:pPr>
              <w:pStyle w:val="TableText"/>
            </w:pPr>
            <w:r>
              <w:t>Not stated</w:t>
            </w:r>
          </w:p>
        </w:tc>
        <w:tc>
          <w:tcPr>
            <w:tcW w:w="680" w:type="pct"/>
            <w:tcBorders>
              <w:top w:val="nil"/>
              <w:bottom w:val="nil"/>
            </w:tcBorders>
            <w:shd w:val="clear" w:color="auto" w:fill="auto"/>
          </w:tcPr>
          <w:p w:rsidR="00853A74" w:rsidRPr="00E07B1B" w:rsidRDefault="00853A74" w:rsidP="003C330B">
            <w:pPr>
              <w:pStyle w:val="TableText"/>
            </w:pPr>
            <w:r>
              <w:t>Not stated</w:t>
            </w:r>
          </w:p>
        </w:tc>
        <w:tc>
          <w:tcPr>
            <w:tcW w:w="1019" w:type="pct"/>
            <w:tcBorders>
              <w:top w:val="nil"/>
              <w:bottom w:val="nil"/>
            </w:tcBorders>
            <w:shd w:val="clear" w:color="auto" w:fill="auto"/>
          </w:tcPr>
          <w:p w:rsidR="00853A74" w:rsidRPr="00E07B1B" w:rsidRDefault="00853A74" w:rsidP="003C330B">
            <w:pPr>
              <w:pStyle w:val="TableText"/>
            </w:pPr>
            <w:r w:rsidRPr="00E07B1B">
              <w:t>Chinese women</w:t>
            </w:r>
          </w:p>
        </w:tc>
      </w:tr>
      <w:tr w:rsidR="006E4135" w:rsidRPr="00E07B1B" w:rsidTr="006E4135">
        <w:trPr>
          <w:cantSplit/>
        </w:trPr>
        <w:tc>
          <w:tcPr>
            <w:tcW w:w="438" w:type="pct"/>
            <w:vMerge w:val="restart"/>
            <w:tcBorders>
              <w:top w:val="nil"/>
              <w:bottom w:val="nil"/>
            </w:tcBorders>
            <w:shd w:val="clear" w:color="auto" w:fill="F2F2F2" w:themeFill="background1" w:themeFillShade="F2"/>
          </w:tcPr>
          <w:p w:rsidR="00853A74" w:rsidRPr="00E07B1B" w:rsidRDefault="00853A74" w:rsidP="006E4135">
            <w:pPr>
              <w:pStyle w:val="TableText"/>
            </w:pPr>
            <w:r w:rsidRPr="00E07B1B">
              <w:t>Bancroft</w:t>
            </w:r>
            <w:r w:rsidR="006E4135">
              <w:br/>
            </w:r>
            <w:r w:rsidRPr="00E07B1B">
              <w:t>(2000)</w:t>
            </w:r>
          </w:p>
        </w:tc>
        <w:tc>
          <w:tcPr>
            <w:tcW w:w="486" w:type="pct"/>
            <w:vMerge w:val="restart"/>
            <w:tcBorders>
              <w:top w:val="nil"/>
              <w:bottom w:val="nil"/>
            </w:tcBorders>
            <w:shd w:val="clear" w:color="auto" w:fill="F2F2F2" w:themeFill="background1" w:themeFillShade="F2"/>
          </w:tcPr>
          <w:p w:rsidR="00853A74" w:rsidRPr="00E07B1B" w:rsidRDefault="00853A74" w:rsidP="003C330B">
            <w:pPr>
              <w:pStyle w:val="TableText"/>
            </w:pPr>
            <w:r w:rsidRPr="00E07B1B">
              <w:t>UK</w:t>
            </w:r>
          </w:p>
        </w:tc>
        <w:tc>
          <w:tcPr>
            <w:tcW w:w="970" w:type="pct"/>
            <w:tcBorders>
              <w:top w:val="nil"/>
              <w:bottom w:val="nil"/>
            </w:tcBorders>
            <w:shd w:val="clear" w:color="auto" w:fill="F2F2F2" w:themeFill="background1" w:themeFillShade="F2"/>
          </w:tcPr>
          <w:p w:rsidR="00853A74" w:rsidRPr="00E07B1B" w:rsidRDefault="00853A74" w:rsidP="003C330B">
            <w:pPr>
              <w:pStyle w:val="TableText"/>
            </w:pPr>
            <w:r w:rsidRPr="00E07B1B">
              <w:t>Diet/insulin (</w:t>
            </w:r>
            <w:r w:rsidRPr="007217AC">
              <w:rPr>
                <w:i/>
              </w:rPr>
              <w:t>n</w:t>
            </w:r>
            <w:r>
              <w:rPr>
                <w:i/>
              </w:rPr>
              <w:t xml:space="preserve"> </w:t>
            </w:r>
            <w:r w:rsidRPr="00E07B1B">
              <w:t>=</w:t>
            </w:r>
            <w:r>
              <w:t xml:space="preserve"> </w:t>
            </w:r>
            <w:r w:rsidRPr="00E07B1B">
              <w:t>32)</w:t>
            </w:r>
          </w:p>
        </w:tc>
        <w:tc>
          <w:tcPr>
            <w:tcW w:w="825" w:type="pct"/>
            <w:tcBorders>
              <w:top w:val="nil"/>
              <w:bottom w:val="nil"/>
            </w:tcBorders>
            <w:shd w:val="clear" w:color="auto" w:fill="F2F2F2" w:themeFill="background1" w:themeFillShade="F2"/>
          </w:tcPr>
          <w:p w:rsidR="00853A74" w:rsidRPr="00E07B1B" w:rsidRDefault="00853A74" w:rsidP="003C330B">
            <w:pPr>
              <w:pStyle w:val="TableText"/>
            </w:pPr>
            <w:r w:rsidRPr="00E07B1B">
              <w:t>29.7</w:t>
            </w:r>
            <w:r>
              <w:t xml:space="preserve"> </w:t>
            </w:r>
            <w:r w:rsidRPr="00E07B1B">
              <w:t>±</w:t>
            </w:r>
            <w:r>
              <w:t xml:space="preserve"> </w:t>
            </w:r>
            <w:r w:rsidRPr="00E07B1B">
              <w:t>6.23</w:t>
            </w:r>
          </w:p>
        </w:tc>
        <w:tc>
          <w:tcPr>
            <w:tcW w:w="582" w:type="pct"/>
            <w:tcBorders>
              <w:top w:val="nil"/>
              <w:bottom w:val="nil"/>
            </w:tcBorders>
            <w:shd w:val="clear" w:color="auto" w:fill="F2F2F2" w:themeFill="background1" w:themeFillShade="F2"/>
          </w:tcPr>
          <w:p w:rsidR="00853A74" w:rsidRPr="00E07B1B" w:rsidRDefault="00853A74" w:rsidP="003C330B">
            <w:pPr>
              <w:pStyle w:val="TableText"/>
            </w:pPr>
            <w:r w:rsidRPr="00E07B1B">
              <w:t>31.2</w:t>
            </w:r>
            <w:r>
              <w:t xml:space="preserve"> </w:t>
            </w:r>
            <w:r w:rsidRPr="00E07B1B">
              <w:t>±</w:t>
            </w:r>
            <w:r>
              <w:t xml:space="preserve"> </w:t>
            </w:r>
            <w:r w:rsidRPr="00E07B1B">
              <w:t>6.7</w:t>
            </w:r>
          </w:p>
        </w:tc>
        <w:tc>
          <w:tcPr>
            <w:tcW w:w="680" w:type="pct"/>
            <w:tcBorders>
              <w:top w:val="nil"/>
              <w:bottom w:val="nil"/>
            </w:tcBorders>
            <w:shd w:val="clear" w:color="auto" w:fill="F2F2F2" w:themeFill="background1" w:themeFillShade="F2"/>
          </w:tcPr>
          <w:p w:rsidR="00853A74" w:rsidRPr="00E07B1B" w:rsidRDefault="00853A74" w:rsidP="003C330B">
            <w:pPr>
              <w:pStyle w:val="TableText"/>
            </w:pPr>
            <w:r w:rsidRPr="00E07B1B">
              <w:t>31 (24</w:t>
            </w:r>
            <w:r>
              <w:t>–</w:t>
            </w:r>
            <w:r w:rsidRPr="00E07B1B">
              <w:t>38)</w:t>
            </w:r>
          </w:p>
        </w:tc>
        <w:tc>
          <w:tcPr>
            <w:tcW w:w="1019" w:type="pct"/>
            <w:vMerge w:val="restart"/>
            <w:tcBorders>
              <w:top w:val="nil"/>
              <w:bottom w:val="nil"/>
            </w:tcBorders>
            <w:shd w:val="clear" w:color="auto" w:fill="F2F2F2" w:themeFill="background1" w:themeFillShade="F2"/>
          </w:tcPr>
          <w:p w:rsidR="00853A74" w:rsidRPr="00E07B1B" w:rsidRDefault="00853A74" w:rsidP="003C330B">
            <w:pPr>
              <w:pStyle w:val="TableText"/>
            </w:pPr>
            <w:r w:rsidRPr="00E07B1B">
              <w:t>Caucasian 69%, Asian 31% in both groups</w:t>
            </w:r>
          </w:p>
        </w:tc>
      </w:tr>
      <w:tr w:rsidR="006E4135" w:rsidRPr="00E07B1B" w:rsidTr="006E4135">
        <w:trPr>
          <w:cantSplit/>
        </w:trPr>
        <w:tc>
          <w:tcPr>
            <w:tcW w:w="438" w:type="pct"/>
            <w:vMerge/>
            <w:tcBorders>
              <w:top w:val="nil"/>
            </w:tcBorders>
            <w:shd w:val="clear" w:color="auto" w:fill="auto"/>
          </w:tcPr>
          <w:p w:rsidR="00853A74" w:rsidRPr="00E07B1B" w:rsidRDefault="00853A74" w:rsidP="003C330B">
            <w:pPr>
              <w:pStyle w:val="TableText"/>
            </w:pPr>
          </w:p>
        </w:tc>
        <w:tc>
          <w:tcPr>
            <w:tcW w:w="486" w:type="pct"/>
            <w:vMerge/>
            <w:tcBorders>
              <w:top w:val="nil"/>
            </w:tcBorders>
            <w:shd w:val="clear" w:color="auto" w:fill="auto"/>
          </w:tcPr>
          <w:p w:rsidR="00853A74" w:rsidRPr="00E07B1B" w:rsidRDefault="00853A74" w:rsidP="003C330B">
            <w:pPr>
              <w:pStyle w:val="TableText"/>
            </w:pPr>
          </w:p>
        </w:tc>
        <w:tc>
          <w:tcPr>
            <w:tcW w:w="970" w:type="pct"/>
            <w:tcBorders>
              <w:top w:val="nil"/>
              <w:bottom w:val="nil"/>
            </w:tcBorders>
            <w:shd w:val="clear" w:color="auto" w:fill="F2F2F2" w:themeFill="background1" w:themeFillShade="F2"/>
          </w:tcPr>
          <w:p w:rsidR="00853A74" w:rsidRPr="00E07B1B" w:rsidRDefault="00853A74" w:rsidP="003C330B">
            <w:pPr>
              <w:pStyle w:val="TableText"/>
            </w:pPr>
            <w:r>
              <w:t>D</w:t>
            </w:r>
            <w:r w:rsidRPr="00E07B1B">
              <w:t>iet (</w:t>
            </w:r>
            <w:r w:rsidRPr="007217AC">
              <w:rPr>
                <w:i/>
              </w:rPr>
              <w:t>n</w:t>
            </w:r>
            <w:r>
              <w:t xml:space="preserve"> </w:t>
            </w:r>
            <w:r w:rsidRPr="00E07B1B">
              <w:t>=</w:t>
            </w:r>
            <w:r>
              <w:t xml:space="preserve"> </w:t>
            </w:r>
            <w:r w:rsidRPr="00E07B1B">
              <w:t>36)</w:t>
            </w:r>
          </w:p>
        </w:tc>
        <w:tc>
          <w:tcPr>
            <w:tcW w:w="825" w:type="pct"/>
            <w:tcBorders>
              <w:top w:val="nil"/>
              <w:bottom w:val="nil"/>
            </w:tcBorders>
            <w:shd w:val="clear" w:color="auto" w:fill="F2F2F2" w:themeFill="background1" w:themeFillShade="F2"/>
          </w:tcPr>
          <w:p w:rsidR="00853A74" w:rsidRPr="00E07B1B" w:rsidRDefault="00853A74" w:rsidP="003C330B">
            <w:pPr>
              <w:pStyle w:val="TableText"/>
            </w:pPr>
            <w:r w:rsidRPr="00E07B1B">
              <w:t>31.9</w:t>
            </w:r>
            <w:r>
              <w:t xml:space="preserve"> </w:t>
            </w:r>
            <w:r w:rsidRPr="00E07B1B">
              <w:t>±</w:t>
            </w:r>
            <w:r>
              <w:t xml:space="preserve"> </w:t>
            </w:r>
            <w:r w:rsidRPr="00E07B1B">
              <w:t>5.17</w:t>
            </w:r>
          </w:p>
        </w:tc>
        <w:tc>
          <w:tcPr>
            <w:tcW w:w="582" w:type="pct"/>
            <w:tcBorders>
              <w:top w:val="nil"/>
              <w:bottom w:val="nil"/>
            </w:tcBorders>
            <w:shd w:val="clear" w:color="auto" w:fill="F2F2F2" w:themeFill="background1" w:themeFillShade="F2"/>
          </w:tcPr>
          <w:p w:rsidR="00853A74" w:rsidRPr="00E07B1B" w:rsidRDefault="00853A74" w:rsidP="003C330B">
            <w:pPr>
              <w:pStyle w:val="TableText"/>
            </w:pPr>
            <w:r w:rsidRPr="00E07B1B">
              <w:t>27.5</w:t>
            </w:r>
            <w:r>
              <w:t xml:space="preserve"> </w:t>
            </w:r>
            <w:r w:rsidRPr="00E07B1B">
              <w:t>±</w:t>
            </w:r>
            <w:r>
              <w:t xml:space="preserve"> </w:t>
            </w:r>
            <w:r w:rsidRPr="00E07B1B">
              <w:t>6.1</w:t>
            </w:r>
          </w:p>
        </w:tc>
        <w:tc>
          <w:tcPr>
            <w:tcW w:w="680" w:type="pct"/>
            <w:tcBorders>
              <w:top w:val="nil"/>
              <w:bottom w:val="nil"/>
            </w:tcBorders>
            <w:shd w:val="clear" w:color="auto" w:fill="F2F2F2" w:themeFill="background1" w:themeFillShade="F2"/>
          </w:tcPr>
          <w:p w:rsidR="00853A74" w:rsidRPr="00E07B1B" w:rsidRDefault="00853A74" w:rsidP="003C330B">
            <w:pPr>
              <w:pStyle w:val="TableText"/>
            </w:pPr>
            <w:r w:rsidRPr="00E07B1B">
              <w:t>32 (15</w:t>
            </w:r>
            <w:r>
              <w:t>–</w:t>
            </w:r>
            <w:r w:rsidRPr="00E07B1B">
              <w:t>37)</w:t>
            </w:r>
          </w:p>
        </w:tc>
        <w:tc>
          <w:tcPr>
            <w:tcW w:w="1019" w:type="pct"/>
            <w:vMerge/>
            <w:tcBorders>
              <w:top w:val="nil"/>
            </w:tcBorders>
            <w:shd w:val="clear" w:color="auto" w:fill="auto"/>
          </w:tcPr>
          <w:p w:rsidR="00853A74" w:rsidRPr="00E07B1B" w:rsidRDefault="00853A74" w:rsidP="003C330B">
            <w:pPr>
              <w:pStyle w:val="TableText"/>
            </w:pPr>
          </w:p>
        </w:tc>
      </w:tr>
      <w:tr w:rsidR="006E4135" w:rsidRPr="00E07B1B" w:rsidTr="006E4135">
        <w:trPr>
          <w:cantSplit/>
        </w:trPr>
        <w:tc>
          <w:tcPr>
            <w:tcW w:w="438" w:type="pct"/>
            <w:vMerge w:val="restart"/>
            <w:shd w:val="clear" w:color="auto" w:fill="auto"/>
          </w:tcPr>
          <w:p w:rsidR="00853A74" w:rsidRPr="00E07B1B" w:rsidRDefault="00853A74" w:rsidP="006E4135">
            <w:pPr>
              <w:pStyle w:val="TableText"/>
            </w:pPr>
            <w:r w:rsidRPr="00E07B1B">
              <w:t>Garner</w:t>
            </w:r>
            <w:r w:rsidR="006E4135">
              <w:br/>
            </w:r>
            <w:r w:rsidRPr="00E07B1B">
              <w:t>(1997)</w:t>
            </w:r>
          </w:p>
        </w:tc>
        <w:tc>
          <w:tcPr>
            <w:tcW w:w="486" w:type="pct"/>
            <w:vMerge w:val="restart"/>
            <w:shd w:val="clear" w:color="auto" w:fill="auto"/>
          </w:tcPr>
          <w:p w:rsidR="00853A74" w:rsidRPr="00E07B1B" w:rsidRDefault="00853A74" w:rsidP="003C330B">
            <w:pPr>
              <w:pStyle w:val="TableText"/>
            </w:pPr>
            <w:r w:rsidRPr="00E07B1B">
              <w:t>Canada</w:t>
            </w:r>
          </w:p>
        </w:tc>
        <w:tc>
          <w:tcPr>
            <w:tcW w:w="970" w:type="pct"/>
            <w:tcBorders>
              <w:top w:val="nil"/>
            </w:tcBorders>
            <w:shd w:val="clear" w:color="auto" w:fill="auto"/>
          </w:tcPr>
          <w:p w:rsidR="00853A74" w:rsidRPr="00E07B1B" w:rsidRDefault="00853A74" w:rsidP="003C330B">
            <w:pPr>
              <w:pStyle w:val="TableText"/>
            </w:pPr>
            <w:r w:rsidRPr="00E07B1B">
              <w:t>Dietary counselling (</w:t>
            </w:r>
            <w:r w:rsidRPr="007217AC">
              <w:rPr>
                <w:i/>
              </w:rPr>
              <w:t>n</w:t>
            </w:r>
            <w:r>
              <w:t> </w:t>
            </w:r>
            <w:r w:rsidRPr="00E07B1B">
              <w:t>=</w:t>
            </w:r>
            <w:r>
              <w:t> </w:t>
            </w:r>
            <w:r w:rsidRPr="00E07B1B">
              <w:t>149)</w:t>
            </w:r>
          </w:p>
        </w:tc>
        <w:tc>
          <w:tcPr>
            <w:tcW w:w="825" w:type="pct"/>
            <w:tcBorders>
              <w:top w:val="nil"/>
            </w:tcBorders>
            <w:shd w:val="clear" w:color="auto" w:fill="auto"/>
          </w:tcPr>
          <w:p w:rsidR="00853A74" w:rsidRPr="00E07B1B" w:rsidRDefault="00853A74" w:rsidP="003C330B">
            <w:pPr>
              <w:pStyle w:val="TableText"/>
            </w:pPr>
            <w:r w:rsidRPr="00E07B1B">
              <w:t>30.7</w:t>
            </w:r>
            <w:r>
              <w:t xml:space="preserve"> </w:t>
            </w:r>
            <w:r w:rsidRPr="00E07B1B">
              <w:t>±</w:t>
            </w:r>
            <w:r>
              <w:t xml:space="preserve"> </w:t>
            </w:r>
            <w:r w:rsidRPr="00E07B1B">
              <w:t>4.6</w:t>
            </w:r>
          </w:p>
        </w:tc>
        <w:tc>
          <w:tcPr>
            <w:tcW w:w="582" w:type="pct"/>
            <w:vMerge w:val="restart"/>
            <w:tcBorders>
              <w:top w:val="nil"/>
            </w:tcBorders>
            <w:shd w:val="clear" w:color="auto" w:fill="auto"/>
          </w:tcPr>
          <w:p w:rsidR="00853A74" w:rsidRPr="00E07B1B" w:rsidRDefault="00853A74" w:rsidP="003C330B">
            <w:pPr>
              <w:pStyle w:val="TableText"/>
            </w:pPr>
            <w:r>
              <w:t>Not stated</w:t>
            </w:r>
          </w:p>
        </w:tc>
        <w:tc>
          <w:tcPr>
            <w:tcW w:w="680" w:type="pct"/>
            <w:vMerge w:val="restart"/>
            <w:tcBorders>
              <w:top w:val="nil"/>
            </w:tcBorders>
            <w:shd w:val="clear" w:color="auto" w:fill="auto"/>
          </w:tcPr>
          <w:p w:rsidR="00853A74" w:rsidRPr="00E07B1B" w:rsidRDefault="00853A74" w:rsidP="003C330B">
            <w:pPr>
              <w:pStyle w:val="TableText"/>
            </w:pPr>
            <w:r>
              <w:t>Not stated</w:t>
            </w:r>
          </w:p>
        </w:tc>
        <w:tc>
          <w:tcPr>
            <w:tcW w:w="1019" w:type="pct"/>
            <w:vMerge w:val="restart"/>
            <w:shd w:val="clear" w:color="auto" w:fill="auto"/>
          </w:tcPr>
          <w:p w:rsidR="00853A74" w:rsidRPr="00E07B1B" w:rsidRDefault="00853A74" w:rsidP="003C330B">
            <w:pPr>
              <w:pStyle w:val="TableText"/>
            </w:pPr>
            <w:r>
              <w:t>Not stated</w:t>
            </w:r>
          </w:p>
        </w:tc>
      </w:tr>
      <w:tr w:rsidR="006E4135" w:rsidRPr="00E07B1B" w:rsidTr="006E4135">
        <w:trPr>
          <w:cantSplit/>
        </w:trPr>
        <w:tc>
          <w:tcPr>
            <w:tcW w:w="438" w:type="pct"/>
            <w:vMerge/>
            <w:tcBorders>
              <w:bottom w:val="nil"/>
            </w:tcBorders>
            <w:shd w:val="clear" w:color="auto" w:fill="auto"/>
          </w:tcPr>
          <w:p w:rsidR="00853A74" w:rsidRPr="00E07B1B" w:rsidRDefault="00853A74" w:rsidP="003C330B">
            <w:pPr>
              <w:pStyle w:val="TableText"/>
            </w:pPr>
          </w:p>
        </w:tc>
        <w:tc>
          <w:tcPr>
            <w:tcW w:w="486" w:type="pct"/>
            <w:vMerge/>
            <w:tcBorders>
              <w:bottom w:val="nil"/>
            </w:tcBorders>
            <w:shd w:val="clear" w:color="auto" w:fill="auto"/>
          </w:tcPr>
          <w:p w:rsidR="00853A74" w:rsidRPr="00E07B1B" w:rsidRDefault="00853A74" w:rsidP="003C330B">
            <w:pPr>
              <w:pStyle w:val="TableText"/>
            </w:pPr>
          </w:p>
        </w:tc>
        <w:tc>
          <w:tcPr>
            <w:tcW w:w="970" w:type="pct"/>
            <w:tcBorders>
              <w:bottom w:val="nil"/>
            </w:tcBorders>
            <w:shd w:val="clear" w:color="auto" w:fill="auto"/>
          </w:tcPr>
          <w:p w:rsidR="00853A74" w:rsidRPr="00E07B1B" w:rsidRDefault="00853A74" w:rsidP="003C330B">
            <w:pPr>
              <w:pStyle w:val="TableText"/>
            </w:pPr>
            <w:r w:rsidRPr="00E07B1B">
              <w:t>Usual care (</w:t>
            </w:r>
            <w:r w:rsidRPr="007217AC">
              <w:rPr>
                <w:i/>
              </w:rPr>
              <w:t>n</w:t>
            </w:r>
            <w:r>
              <w:t xml:space="preserve"> </w:t>
            </w:r>
            <w:r w:rsidRPr="00E07B1B">
              <w:t>=</w:t>
            </w:r>
            <w:r>
              <w:t xml:space="preserve"> </w:t>
            </w:r>
            <w:r w:rsidRPr="00E07B1B">
              <w:t>150)</w:t>
            </w:r>
          </w:p>
        </w:tc>
        <w:tc>
          <w:tcPr>
            <w:tcW w:w="825" w:type="pct"/>
            <w:tcBorders>
              <w:bottom w:val="nil"/>
            </w:tcBorders>
            <w:shd w:val="clear" w:color="auto" w:fill="auto"/>
          </w:tcPr>
          <w:p w:rsidR="00853A74" w:rsidRPr="00E07B1B" w:rsidRDefault="00853A74" w:rsidP="003C330B">
            <w:pPr>
              <w:pStyle w:val="TableText"/>
            </w:pPr>
            <w:r w:rsidRPr="00E07B1B">
              <w:t>30.7</w:t>
            </w:r>
            <w:r>
              <w:t xml:space="preserve"> </w:t>
            </w:r>
            <w:r w:rsidRPr="00E07B1B">
              <w:t>±</w:t>
            </w:r>
            <w:r>
              <w:t xml:space="preserve"> </w:t>
            </w:r>
            <w:r w:rsidRPr="00E07B1B">
              <w:t>4.8</w:t>
            </w:r>
          </w:p>
        </w:tc>
        <w:tc>
          <w:tcPr>
            <w:tcW w:w="582" w:type="pct"/>
            <w:vMerge/>
            <w:tcBorders>
              <w:bottom w:val="nil"/>
            </w:tcBorders>
            <w:shd w:val="clear" w:color="auto" w:fill="auto"/>
          </w:tcPr>
          <w:p w:rsidR="00853A74" w:rsidRPr="00E07B1B" w:rsidRDefault="00853A74" w:rsidP="003C330B">
            <w:pPr>
              <w:pStyle w:val="TableText"/>
            </w:pPr>
          </w:p>
        </w:tc>
        <w:tc>
          <w:tcPr>
            <w:tcW w:w="680" w:type="pct"/>
            <w:vMerge/>
            <w:tcBorders>
              <w:bottom w:val="nil"/>
            </w:tcBorders>
            <w:shd w:val="clear" w:color="auto" w:fill="auto"/>
          </w:tcPr>
          <w:p w:rsidR="00853A74" w:rsidRPr="00E07B1B" w:rsidRDefault="00853A74" w:rsidP="003C330B">
            <w:pPr>
              <w:pStyle w:val="TableText"/>
            </w:pPr>
          </w:p>
        </w:tc>
        <w:tc>
          <w:tcPr>
            <w:tcW w:w="1019" w:type="pct"/>
            <w:vMerge/>
            <w:tcBorders>
              <w:bottom w:val="nil"/>
            </w:tcBorders>
            <w:shd w:val="clear" w:color="auto" w:fill="auto"/>
          </w:tcPr>
          <w:p w:rsidR="00853A74" w:rsidRPr="00E07B1B" w:rsidRDefault="00853A74" w:rsidP="003C330B">
            <w:pPr>
              <w:pStyle w:val="TableText"/>
            </w:pPr>
          </w:p>
        </w:tc>
      </w:tr>
      <w:tr w:rsidR="006E4135" w:rsidRPr="00E07B1B" w:rsidTr="006E4135">
        <w:trPr>
          <w:cantSplit/>
        </w:trPr>
        <w:tc>
          <w:tcPr>
            <w:tcW w:w="438" w:type="pct"/>
            <w:tcBorders>
              <w:top w:val="nil"/>
              <w:bottom w:val="single" w:sz="4" w:space="0" w:color="auto"/>
            </w:tcBorders>
            <w:shd w:val="clear" w:color="auto" w:fill="F2F2F2" w:themeFill="background1" w:themeFillShade="F2"/>
          </w:tcPr>
          <w:p w:rsidR="00853A74" w:rsidRPr="00E07B1B" w:rsidRDefault="00853A74" w:rsidP="006E4135">
            <w:pPr>
              <w:pStyle w:val="TableText"/>
            </w:pPr>
            <w:r w:rsidRPr="00E07B1B">
              <w:t>Ford</w:t>
            </w:r>
            <w:r w:rsidR="006E4135">
              <w:br/>
            </w:r>
            <w:r w:rsidRPr="00E07B1B">
              <w:t>(1997)</w:t>
            </w:r>
          </w:p>
        </w:tc>
        <w:tc>
          <w:tcPr>
            <w:tcW w:w="486" w:type="pct"/>
            <w:tcBorders>
              <w:top w:val="nil"/>
              <w:bottom w:val="single" w:sz="4" w:space="0" w:color="auto"/>
            </w:tcBorders>
            <w:shd w:val="clear" w:color="auto" w:fill="F2F2F2" w:themeFill="background1" w:themeFillShade="F2"/>
          </w:tcPr>
          <w:p w:rsidR="00853A74" w:rsidRPr="00E07B1B" w:rsidRDefault="00853A74" w:rsidP="003C330B">
            <w:pPr>
              <w:pStyle w:val="TableText"/>
            </w:pPr>
            <w:r w:rsidRPr="00E07B1B">
              <w:t>No details</w:t>
            </w:r>
          </w:p>
        </w:tc>
        <w:tc>
          <w:tcPr>
            <w:tcW w:w="970" w:type="pct"/>
            <w:tcBorders>
              <w:top w:val="nil"/>
              <w:bottom w:val="single" w:sz="4" w:space="0" w:color="auto"/>
            </w:tcBorders>
            <w:shd w:val="clear" w:color="auto" w:fill="F2F2F2" w:themeFill="background1" w:themeFillShade="F2"/>
          </w:tcPr>
          <w:p w:rsidR="00853A74" w:rsidRDefault="00853A74" w:rsidP="003C330B">
            <w:pPr>
              <w:pStyle w:val="TableText"/>
            </w:pPr>
            <w:r w:rsidRPr="00E07B1B">
              <w:t xml:space="preserve">Specific </w:t>
            </w:r>
            <w:r>
              <w:t>‘</w:t>
            </w:r>
            <w:r w:rsidRPr="00E07B1B">
              <w:t>diabetic type</w:t>
            </w:r>
            <w:r>
              <w:t>’</w:t>
            </w:r>
            <w:r w:rsidRPr="00E07B1B">
              <w:t xml:space="preserve"> advice (</w:t>
            </w:r>
            <w:r w:rsidRPr="007217AC">
              <w:rPr>
                <w:i/>
              </w:rPr>
              <w:t>n</w:t>
            </w:r>
            <w:r>
              <w:t xml:space="preserve"> </w:t>
            </w:r>
            <w:r w:rsidRPr="00E07B1B">
              <w:t>=</w:t>
            </w:r>
            <w:r>
              <w:t xml:space="preserve"> </w:t>
            </w:r>
            <w:r w:rsidRPr="00E07B1B">
              <w:t>16)</w:t>
            </w:r>
          </w:p>
          <w:p w:rsidR="00853A74" w:rsidRPr="00E07B1B" w:rsidRDefault="00853A74" w:rsidP="003C330B">
            <w:pPr>
              <w:pStyle w:val="TableText"/>
            </w:pPr>
            <w:r w:rsidRPr="00E07B1B">
              <w:t>No specific advice (</w:t>
            </w:r>
            <w:r w:rsidRPr="007217AC">
              <w:rPr>
                <w:i/>
              </w:rPr>
              <w:t>n</w:t>
            </w:r>
            <w:r>
              <w:t> </w:t>
            </w:r>
            <w:r w:rsidRPr="00E07B1B">
              <w:t>=</w:t>
            </w:r>
            <w:r>
              <w:t> </w:t>
            </w:r>
            <w:r w:rsidRPr="00E07B1B">
              <w:t>13)</w:t>
            </w:r>
          </w:p>
        </w:tc>
        <w:tc>
          <w:tcPr>
            <w:tcW w:w="825" w:type="pct"/>
            <w:tcBorders>
              <w:top w:val="nil"/>
              <w:bottom w:val="single" w:sz="4" w:space="0" w:color="auto"/>
            </w:tcBorders>
            <w:shd w:val="clear" w:color="auto" w:fill="F2F2F2" w:themeFill="background1" w:themeFillShade="F2"/>
          </w:tcPr>
          <w:p w:rsidR="00853A74" w:rsidRPr="00E07B1B" w:rsidRDefault="00853A74" w:rsidP="003C330B">
            <w:pPr>
              <w:pStyle w:val="TableText"/>
            </w:pPr>
            <w:r>
              <w:t>Not stated</w:t>
            </w:r>
          </w:p>
        </w:tc>
        <w:tc>
          <w:tcPr>
            <w:tcW w:w="582" w:type="pct"/>
            <w:tcBorders>
              <w:top w:val="nil"/>
              <w:bottom w:val="single" w:sz="4" w:space="0" w:color="auto"/>
            </w:tcBorders>
            <w:shd w:val="clear" w:color="auto" w:fill="F2F2F2" w:themeFill="background1" w:themeFillShade="F2"/>
          </w:tcPr>
          <w:p w:rsidR="00853A74" w:rsidRPr="00E07B1B" w:rsidRDefault="00853A74" w:rsidP="003C330B">
            <w:pPr>
              <w:pStyle w:val="TableText"/>
            </w:pPr>
            <w:r>
              <w:t>Not stated</w:t>
            </w:r>
          </w:p>
        </w:tc>
        <w:tc>
          <w:tcPr>
            <w:tcW w:w="680" w:type="pct"/>
            <w:tcBorders>
              <w:top w:val="nil"/>
              <w:bottom w:val="single" w:sz="4" w:space="0" w:color="auto"/>
            </w:tcBorders>
            <w:shd w:val="clear" w:color="auto" w:fill="F2F2F2" w:themeFill="background1" w:themeFillShade="F2"/>
          </w:tcPr>
          <w:p w:rsidR="00853A74" w:rsidRPr="00E07B1B" w:rsidRDefault="00853A74" w:rsidP="003C330B">
            <w:pPr>
              <w:pStyle w:val="TableText"/>
            </w:pPr>
            <w:r>
              <w:t>Not stated</w:t>
            </w:r>
          </w:p>
        </w:tc>
        <w:tc>
          <w:tcPr>
            <w:tcW w:w="1019" w:type="pct"/>
            <w:tcBorders>
              <w:top w:val="nil"/>
              <w:bottom w:val="single" w:sz="4" w:space="0" w:color="auto"/>
            </w:tcBorders>
            <w:shd w:val="clear" w:color="auto" w:fill="F2F2F2" w:themeFill="background1" w:themeFillShade="F2"/>
          </w:tcPr>
          <w:p w:rsidR="00853A74" w:rsidRPr="00E07B1B" w:rsidRDefault="00853A74" w:rsidP="003C330B">
            <w:pPr>
              <w:pStyle w:val="TableText"/>
            </w:pPr>
            <w:r>
              <w:t>Not stated</w:t>
            </w:r>
          </w:p>
        </w:tc>
      </w:tr>
      <w:tr w:rsidR="006E4135" w:rsidRPr="00E07B1B" w:rsidTr="006E4135">
        <w:trPr>
          <w:cantSplit/>
        </w:trPr>
        <w:tc>
          <w:tcPr>
            <w:tcW w:w="438" w:type="pct"/>
            <w:vMerge w:val="restart"/>
            <w:tcBorders>
              <w:top w:val="single" w:sz="4" w:space="0" w:color="auto"/>
            </w:tcBorders>
            <w:shd w:val="clear" w:color="auto" w:fill="auto"/>
          </w:tcPr>
          <w:p w:rsidR="00853A74" w:rsidRPr="00E07B1B" w:rsidRDefault="00853A74" w:rsidP="003C330B">
            <w:pPr>
              <w:pStyle w:val="TableText"/>
            </w:pPr>
            <w:r w:rsidRPr="00E07B1B">
              <w:t>Thompson (1990)</w:t>
            </w:r>
          </w:p>
        </w:tc>
        <w:tc>
          <w:tcPr>
            <w:tcW w:w="486" w:type="pct"/>
            <w:vMerge w:val="restart"/>
            <w:tcBorders>
              <w:top w:val="single" w:sz="4" w:space="0" w:color="auto"/>
            </w:tcBorders>
            <w:shd w:val="clear" w:color="auto" w:fill="auto"/>
          </w:tcPr>
          <w:p w:rsidR="00853A74" w:rsidRPr="00E07B1B" w:rsidRDefault="00853A74" w:rsidP="003C330B">
            <w:pPr>
              <w:pStyle w:val="TableText"/>
            </w:pPr>
            <w:r w:rsidRPr="00E07B1B">
              <w:t>USA</w:t>
            </w:r>
          </w:p>
        </w:tc>
        <w:tc>
          <w:tcPr>
            <w:tcW w:w="970" w:type="pct"/>
            <w:tcBorders>
              <w:top w:val="single" w:sz="4" w:space="0" w:color="auto"/>
            </w:tcBorders>
            <w:shd w:val="clear" w:color="auto" w:fill="auto"/>
          </w:tcPr>
          <w:p w:rsidR="00853A74" w:rsidRPr="00E07B1B" w:rsidRDefault="00853A74" w:rsidP="003C330B">
            <w:pPr>
              <w:pStyle w:val="TableText"/>
            </w:pPr>
            <w:r w:rsidRPr="00E07B1B">
              <w:t>Diet plus insulin (</w:t>
            </w:r>
            <w:r w:rsidRPr="007217AC">
              <w:rPr>
                <w:i/>
              </w:rPr>
              <w:t>n</w:t>
            </w:r>
            <w:r>
              <w:rPr>
                <w:i/>
              </w:rPr>
              <w:t xml:space="preserve"> </w:t>
            </w:r>
            <w:r w:rsidRPr="00E07B1B">
              <w:t>=</w:t>
            </w:r>
            <w:r>
              <w:t xml:space="preserve"> </w:t>
            </w:r>
            <w:r w:rsidRPr="00E07B1B">
              <w:t>45)</w:t>
            </w:r>
          </w:p>
        </w:tc>
        <w:tc>
          <w:tcPr>
            <w:tcW w:w="825" w:type="pct"/>
            <w:tcBorders>
              <w:top w:val="single" w:sz="4" w:space="0" w:color="auto"/>
            </w:tcBorders>
            <w:shd w:val="clear" w:color="auto" w:fill="auto"/>
          </w:tcPr>
          <w:p w:rsidR="00853A74" w:rsidRPr="00E07B1B" w:rsidRDefault="00853A74" w:rsidP="003C330B">
            <w:pPr>
              <w:pStyle w:val="TableText"/>
            </w:pPr>
            <w:r w:rsidRPr="00E07B1B">
              <w:t>27</w:t>
            </w:r>
            <w:r>
              <w:t xml:space="preserve"> </w:t>
            </w:r>
            <w:r w:rsidRPr="00E07B1B">
              <w:t>±</w:t>
            </w:r>
            <w:r>
              <w:t xml:space="preserve"> </w:t>
            </w:r>
            <w:r w:rsidRPr="00E07B1B">
              <w:t>5.4</w:t>
            </w:r>
          </w:p>
        </w:tc>
        <w:tc>
          <w:tcPr>
            <w:tcW w:w="582" w:type="pct"/>
            <w:tcBorders>
              <w:top w:val="single" w:sz="4" w:space="0" w:color="auto"/>
            </w:tcBorders>
            <w:shd w:val="clear" w:color="auto" w:fill="auto"/>
          </w:tcPr>
          <w:p w:rsidR="00853A74" w:rsidRPr="00E07B1B" w:rsidRDefault="00853A74" w:rsidP="003C330B">
            <w:pPr>
              <w:pStyle w:val="TableText"/>
            </w:pPr>
            <w:r w:rsidRPr="00E07B1B">
              <w:t>192</w:t>
            </w:r>
            <w:r>
              <w:t xml:space="preserve"> </w:t>
            </w:r>
            <w:r w:rsidRPr="00E07B1B">
              <w:t>lb</w:t>
            </w:r>
            <w:r>
              <w:t xml:space="preserve"> </w:t>
            </w:r>
            <w:r w:rsidRPr="00E07B1B">
              <w:t>±</w:t>
            </w:r>
            <w:r>
              <w:t xml:space="preserve"> </w:t>
            </w:r>
            <w:r w:rsidRPr="00E07B1B">
              <w:t>38</w:t>
            </w:r>
          </w:p>
        </w:tc>
        <w:tc>
          <w:tcPr>
            <w:tcW w:w="680" w:type="pct"/>
            <w:tcBorders>
              <w:top w:val="single" w:sz="4" w:space="0" w:color="auto"/>
            </w:tcBorders>
            <w:shd w:val="clear" w:color="auto" w:fill="auto"/>
          </w:tcPr>
          <w:p w:rsidR="00853A74" w:rsidRPr="00E07B1B" w:rsidRDefault="00853A74" w:rsidP="003C330B">
            <w:pPr>
              <w:pStyle w:val="TableText"/>
            </w:pPr>
            <w:r>
              <w:t>Not stated</w:t>
            </w:r>
          </w:p>
        </w:tc>
        <w:tc>
          <w:tcPr>
            <w:tcW w:w="1019" w:type="pct"/>
            <w:tcBorders>
              <w:top w:val="single" w:sz="4" w:space="0" w:color="auto"/>
            </w:tcBorders>
            <w:shd w:val="clear" w:color="auto" w:fill="auto"/>
          </w:tcPr>
          <w:p w:rsidR="00853A74" w:rsidRPr="00E07B1B" w:rsidRDefault="00853A74" w:rsidP="003C330B">
            <w:pPr>
              <w:pStyle w:val="TableText"/>
            </w:pPr>
            <w:r w:rsidRPr="00E07B1B">
              <w:t>51% Black</w:t>
            </w:r>
          </w:p>
        </w:tc>
      </w:tr>
      <w:tr w:rsidR="006E4135" w:rsidRPr="00E07B1B" w:rsidTr="006E4135">
        <w:trPr>
          <w:cantSplit/>
        </w:trPr>
        <w:tc>
          <w:tcPr>
            <w:tcW w:w="438" w:type="pct"/>
            <w:vMerge/>
            <w:tcBorders>
              <w:bottom w:val="nil"/>
            </w:tcBorders>
            <w:shd w:val="clear" w:color="auto" w:fill="auto"/>
          </w:tcPr>
          <w:p w:rsidR="00853A74" w:rsidRPr="00E07B1B" w:rsidRDefault="00853A74" w:rsidP="003C330B">
            <w:pPr>
              <w:pStyle w:val="TableText"/>
            </w:pPr>
          </w:p>
        </w:tc>
        <w:tc>
          <w:tcPr>
            <w:tcW w:w="486" w:type="pct"/>
            <w:vMerge/>
            <w:tcBorders>
              <w:bottom w:val="nil"/>
            </w:tcBorders>
            <w:shd w:val="clear" w:color="auto" w:fill="auto"/>
          </w:tcPr>
          <w:p w:rsidR="00853A74" w:rsidRPr="00E07B1B" w:rsidRDefault="00853A74" w:rsidP="003C330B">
            <w:pPr>
              <w:pStyle w:val="TableText"/>
            </w:pPr>
          </w:p>
        </w:tc>
        <w:tc>
          <w:tcPr>
            <w:tcW w:w="970" w:type="pct"/>
            <w:tcBorders>
              <w:bottom w:val="nil"/>
            </w:tcBorders>
            <w:shd w:val="clear" w:color="auto" w:fill="auto"/>
          </w:tcPr>
          <w:p w:rsidR="00853A74" w:rsidRPr="00E07B1B" w:rsidRDefault="00853A74" w:rsidP="003C330B">
            <w:pPr>
              <w:pStyle w:val="TableText"/>
            </w:pPr>
            <w:r w:rsidRPr="00E07B1B">
              <w:t>Di</w:t>
            </w:r>
            <w:r>
              <w:t>et al</w:t>
            </w:r>
            <w:r w:rsidRPr="00E07B1B">
              <w:t>one (</w:t>
            </w:r>
            <w:r w:rsidRPr="007217AC">
              <w:rPr>
                <w:i/>
              </w:rPr>
              <w:t>n</w:t>
            </w:r>
            <w:r>
              <w:rPr>
                <w:i/>
              </w:rPr>
              <w:t xml:space="preserve"> </w:t>
            </w:r>
            <w:r w:rsidRPr="00E07B1B">
              <w:t>=</w:t>
            </w:r>
            <w:r>
              <w:t xml:space="preserve"> </w:t>
            </w:r>
            <w:r w:rsidRPr="00E07B1B">
              <w:t>50)</w:t>
            </w:r>
          </w:p>
        </w:tc>
        <w:tc>
          <w:tcPr>
            <w:tcW w:w="825" w:type="pct"/>
            <w:tcBorders>
              <w:bottom w:val="nil"/>
            </w:tcBorders>
            <w:shd w:val="clear" w:color="auto" w:fill="auto"/>
          </w:tcPr>
          <w:p w:rsidR="00853A74" w:rsidRPr="00E07B1B" w:rsidRDefault="00853A74" w:rsidP="003C330B">
            <w:pPr>
              <w:pStyle w:val="TableText"/>
            </w:pPr>
            <w:r w:rsidRPr="00E07B1B">
              <w:t>26</w:t>
            </w:r>
            <w:r>
              <w:t xml:space="preserve"> </w:t>
            </w:r>
            <w:r w:rsidRPr="00E07B1B">
              <w:t>±</w:t>
            </w:r>
            <w:r>
              <w:t xml:space="preserve"> </w:t>
            </w:r>
            <w:r w:rsidRPr="00E07B1B">
              <w:t>5.7</w:t>
            </w:r>
          </w:p>
        </w:tc>
        <w:tc>
          <w:tcPr>
            <w:tcW w:w="582" w:type="pct"/>
            <w:tcBorders>
              <w:bottom w:val="nil"/>
            </w:tcBorders>
            <w:shd w:val="clear" w:color="auto" w:fill="auto"/>
          </w:tcPr>
          <w:p w:rsidR="00853A74" w:rsidRPr="00E07B1B" w:rsidRDefault="00853A74" w:rsidP="003C330B">
            <w:pPr>
              <w:pStyle w:val="TableText"/>
            </w:pPr>
            <w:r w:rsidRPr="00E07B1B">
              <w:t>200</w:t>
            </w:r>
            <w:r>
              <w:t xml:space="preserve"> </w:t>
            </w:r>
            <w:r w:rsidRPr="00E07B1B">
              <w:t>lb</w:t>
            </w:r>
            <w:r>
              <w:t xml:space="preserve"> </w:t>
            </w:r>
            <w:r w:rsidRPr="00E07B1B">
              <w:t>±</w:t>
            </w:r>
            <w:r>
              <w:t xml:space="preserve"> </w:t>
            </w:r>
            <w:r w:rsidRPr="00E07B1B">
              <w:t>47</w:t>
            </w:r>
          </w:p>
        </w:tc>
        <w:tc>
          <w:tcPr>
            <w:tcW w:w="680" w:type="pct"/>
            <w:tcBorders>
              <w:bottom w:val="nil"/>
            </w:tcBorders>
            <w:shd w:val="clear" w:color="auto" w:fill="auto"/>
          </w:tcPr>
          <w:p w:rsidR="00853A74" w:rsidRPr="00E07B1B" w:rsidRDefault="00853A74" w:rsidP="003C330B">
            <w:pPr>
              <w:pStyle w:val="TableText"/>
            </w:pPr>
            <w:r>
              <w:t>Not stated</w:t>
            </w:r>
          </w:p>
        </w:tc>
        <w:tc>
          <w:tcPr>
            <w:tcW w:w="1019" w:type="pct"/>
            <w:tcBorders>
              <w:bottom w:val="nil"/>
            </w:tcBorders>
            <w:shd w:val="clear" w:color="auto" w:fill="auto"/>
          </w:tcPr>
          <w:p w:rsidR="00853A74" w:rsidRPr="00E07B1B" w:rsidRDefault="00853A74" w:rsidP="003C330B">
            <w:pPr>
              <w:pStyle w:val="TableText"/>
            </w:pPr>
            <w:r w:rsidRPr="00E07B1B">
              <w:t>49% White</w:t>
            </w:r>
          </w:p>
        </w:tc>
      </w:tr>
      <w:tr w:rsidR="006E4135" w:rsidRPr="00E07B1B" w:rsidTr="006E4135">
        <w:trPr>
          <w:cantSplit/>
        </w:trPr>
        <w:tc>
          <w:tcPr>
            <w:tcW w:w="438" w:type="pct"/>
            <w:vMerge w:val="restart"/>
            <w:tcBorders>
              <w:top w:val="nil"/>
              <w:bottom w:val="nil"/>
            </w:tcBorders>
            <w:shd w:val="clear" w:color="auto" w:fill="F2F2F2" w:themeFill="background1" w:themeFillShade="F2"/>
          </w:tcPr>
          <w:p w:rsidR="00853A74" w:rsidRPr="00E07B1B" w:rsidRDefault="00853A74" w:rsidP="003C330B">
            <w:pPr>
              <w:pStyle w:val="TableText"/>
            </w:pPr>
            <w:r w:rsidRPr="00E07B1B">
              <w:t>Langer (1989)</w:t>
            </w:r>
          </w:p>
        </w:tc>
        <w:tc>
          <w:tcPr>
            <w:tcW w:w="486" w:type="pct"/>
            <w:vMerge w:val="restart"/>
            <w:tcBorders>
              <w:top w:val="nil"/>
              <w:bottom w:val="nil"/>
            </w:tcBorders>
            <w:shd w:val="clear" w:color="auto" w:fill="F2F2F2" w:themeFill="background1" w:themeFillShade="F2"/>
          </w:tcPr>
          <w:p w:rsidR="00853A74" w:rsidRPr="00E07B1B" w:rsidRDefault="00853A74" w:rsidP="003C330B">
            <w:pPr>
              <w:pStyle w:val="TableText"/>
            </w:pPr>
            <w:r w:rsidRPr="00E07B1B">
              <w:t>USA</w:t>
            </w:r>
          </w:p>
        </w:tc>
        <w:tc>
          <w:tcPr>
            <w:tcW w:w="970" w:type="pct"/>
            <w:tcBorders>
              <w:top w:val="nil"/>
              <w:bottom w:val="nil"/>
            </w:tcBorders>
            <w:shd w:val="clear" w:color="auto" w:fill="F2F2F2" w:themeFill="background1" w:themeFillShade="F2"/>
          </w:tcPr>
          <w:p w:rsidR="00853A74" w:rsidRPr="00E07B1B" w:rsidRDefault="00853A74" w:rsidP="003C330B">
            <w:pPr>
              <w:pStyle w:val="TableText"/>
            </w:pPr>
            <w:r w:rsidRPr="00E07B1B">
              <w:t>Specific diet (</w:t>
            </w:r>
            <w:r w:rsidRPr="007217AC">
              <w:rPr>
                <w:i/>
              </w:rPr>
              <w:t>n</w:t>
            </w:r>
            <w:r>
              <w:rPr>
                <w:i/>
              </w:rPr>
              <w:t xml:space="preserve"> </w:t>
            </w:r>
            <w:r w:rsidRPr="00E07B1B">
              <w:t>=</w:t>
            </w:r>
            <w:r>
              <w:t xml:space="preserve"> </w:t>
            </w:r>
            <w:r w:rsidRPr="00E07B1B">
              <w:t>63)</w:t>
            </w:r>
          </w:p>
        </w:tc>
        <w:tc>
          <w:tcPr>
            <w:tcW w:w="825" w:type="pct"/>
            <w:tcBorders>
              <w:top w:val="nil"/>
              <w:bottom w:val="nil"/>
            </w:tcBorders>
            <w:shd w:val="clear" w:color="auto" w:fill="F2F2F2" w:themeFill="background1" w:themeFillShade="F2"/>
          </w:tcPr>
          <w:p w:rsidR="00853A74" w:rsidRPr="00E07B1B" w:rsidRDefault="00853A74" w:rsidP="003C330B">
            <w:pPr>
              <w:pStyle w:val="TableText"/>
            </w:pPr>
            <w:r w:rsidRPr="00E07B1B">
              <w:t>31</w:t>
            </w:r>
            <w:r>
              <w:t xml:space="preserve"> </w:t>
            </w:r>
            <w:r w:rsidRPr="00E07B1B">
              <w:t>±</w:t>
            </w:r>
            <w:r>
              <w:t xml:space="preserve"> </w:t>
            </w:r>
            <w:r w:rsidRPr="00E07B1B">
              <w:t>5</w:t>
            </w:r>
          </w:p>
        </w:tc>
        <w:tc>
          <w:tcPr>
            <w:tcW w:w="582" w:type="pct"/>
            <w:tcBorders>
              <w:top w:val="nil"/>
              <w:bottom w:val="nil"/>
            </w:tcBorders>
            <w:shd w:val="clear" w:color="auto" w:fill="F2F2F2" w:themeFill="background1" w:themeFillShade="F2"/>
          </w:tcPr>
          <w:p w:rsidR="00853A74" w:rsidRPr="00E07B1B" w:rsidRDefault="00853A74" w:rsidP="003C330B">
            <w:pPr>
              <w:pStyle w:val="TableText"/>
            </w:pPr>
            <w:r>
              <w:t>Not stated</w:t>
            </w:r>
          </w:p>
        </w:tc>
        <w:tc>
          <w:tcPr>
            <w:tcW w:w="680" w:type="pct"/>
            <w:tcBorders>
              <w:top w:val="nil"/>
              <w:bottom w:val="nil"/>
            </w:tcBorders>
            <w:shd w:val="clear" w:color="auto" w:fill="F2F2F2" w:themeFill="background1" w:themeFillShade="F2"/>
          </w:tcPr>
          <w:p w:rsidR="00853A74" w:rsidRPr="00E07B1B" w:rsidRDefault="00853A74" w:rsidP="003C330B">
            <w:pPr>
              <w:pStyle w:val="TableText"/>
            </w:pPr>
            <w:r w:rsidRPr="00E07B1B">
              <w:t>31</w:t>
            </w:r>
            <w:r>
              <w:t xml:space="preserve"> </w:t>
            </w:r>
            <w:r w:rsidRPr="00E07B1B">
              <w:t>±</w:t>
            </w:r>
            <w:r>
              <w:t xml:space="preserve"> </w:t>
            </w:r>
            <w:r w:rsidRPr="00E07B1B">
              <w:t>3</w:t>
            </w:r>
          </w:p>
        </w:tc>
        <w:tc>
          <w:tcPr>
            <w:tcW w:w="1019" w:type="pct"/>
            <w:vMerge w:val="restart"/>
            <w:tcBorders>
              <w:top w:val="nil"/>
              <w:bottom w:val="nil"/>
            </w:tcBorders>
            <w:shd w:val="clear" w:color="auto" w:fill="F2F2F2" w:themeFill="background1" w:themeFillShade="F2"/>
          </w:tcPr>
          <w:p w:rsidR="00853A74" w:rsidRPr="00E07B1B" w:rsidRDefault="00853A74" w:rsidP="006E4135">
            <w:pPr>
              <w:pStyle w:val="TableText"/>
            </w:pPr>
            <w:r w:rsidRPr="00E07B1B">
              <w:t>31.5% Black</w:t>
            </w:r>
            <w:r w:rsidR="006E4135">
              <w:br/>
            </w:r>
            <w:r w:rsidRPr="00E07B1B">
              <w:t>33% Hispanic</w:t>
            </w:r>
            <w:r w:rsidR="006E4135">
              <w:br/>
            </w:r>
            <w:r w:rsidRPr="00E07B1B">
              <w:t>34.5%White</w:t>
            </w:r>
          </w:p>
        </w:tc>
      </w:tr>
      <w:tr w:rsidR="006E4135" w:rsidRPr="00E07B1B" w:rsidTr="006E4135">
        <w:trPr>
          <w:cantSplit/>
        </w:trPr>
        <w:tc>
          <w:tcPr>
            <w:tcW w:w="438" w:type="pct"/>
            <w:vMerge/>
            <w:tcBorders>
              <w:top w:val="nil"/>
            </w:tcBorders>
            <w:shd w:val="clear" w:color="auto" w:fill="auto"/>
          </w:tcPr>
          <w:p w:rsidR="00853A74" w:rsidRPr="00E07B1B" w:rsidRDefault="00853A74" w:rsidP="003C330B">
            <w:pPr>
              <w:pStyle w:val="TableText"/>
            </w:pPr>
          </w:p>
        </w:tc>
        <w:tc>
          <w:tcPr>
            <w:tcW w:w="486" w:type="pct"/>
            <w:vMerge/>
            <w:tcBorders>
              <w:top w:val="nil"/>
            </w:tcBorders>
            <w:shd w:val="clear" w:color="auto" w:fill="auto"/>
          </w:tcPr>
          <w:p w:rsidR="00853A74" w:rsidRPr="00E07B1B" w:rsidRDefault="00853A74" w:rsidP="003C330B">
            <w:pPr>
              <w:pStyle w:val="TableText"/>
            </w:pPr>
          </w:p>
        </w:tc>
        <w:tc>
          <w:tcPr>
            <w:tcW w:w="970" w:type="pct"/>
            <w:tcBorders>
              <w:top w:val="nil"/>
              <w:bottom w:val="single" w:sz="4" w:space="0" w:color="auto"/>
            </w:tcBorders>
            <w:shd w:val="clear" w:color="auto" w:fill="F2F2F2" w:themeFill="background1" w:themeFillShade="F2"/>
          </w:tcPr>
          <w:p w:rsidR="00853A74" w:rsidRPr="00E07B1B" w:rsidRDefault="00853A74" w:rsidP="003C330B">
            <w:pPr>
              <w:pStyle w:val="TableText"/>
            </w:pPr>
            <w:r w:rsidRPr="00E07B1B">
              <w:t>Usual care (</w:t>
            </w:r>
            <w:r w:rsidRPr="007217AC">
              <w:rPr>
                <w:i/>
              </w:rPr>
              <w:t>n</w:t>
            </w:r>
            <w:r>
              <w:t xml:space="preserve"> </w:t>
            </w:r>
            <w:r w:rsidRPr="00E07B1B">
              <w:t>=</w:t>
            </w:r>
            <w:r>
              <w:t xml:space="preserve"> </w:t>
            </w:r>
            <w:r w:rsidRPr="00E07B1B">
              <w:t>63)</w:t>
            </w:r>
          </w:p>
        </w:tc>
        <w:tc>
          <w:tcPr>
            <w:tcW w:w="825" w:type="pct"/>
            <w:tcBorders>
              <w:top w:val="nil"/>
              <w:bottom w:val="single" w:sz="4" w:space="0" w:color="auto"/>
            </w:tcBorders>
            <w:shd w:val="clear" w:color="auto" w:fill="F2F2F2" w:themeFill="background1" w:themeFillShade="F2"/>
          </w:tcPr>
          <w:p w:rsidR="00853A74" w:rsidRPr="00E07B1B" w:rsidRDefault="00853A74" w:rsidP="003C330B">
            <w:pPr>
              <w:pStyle w:val="TableText"/>
            </w:pPr>
            <w:r w:rsidRPr="00E07B1B">
              <w:t>28</w:t>
            </w:r>
            <w:r>
              <w:t xml:space="preserve"> </w:t>
            </w:r>
            <w:r w:rsidRPr="00E07B1B">
              <w:t>±</w:t>
            </w:r>
            <w:r>
              <w:t xml:space="preserve"> </w:t>
            </w:r>
            <w:r w:rsidRPr="00E07B1B">
              <w:t>6</w:t>
            </w:r>
          </w:p>
        </w:tc>
        <w:tc>
          <w:tcPr>
            <w:tcW w:w="582" w:type="pct"/>
            <w:tcBorders>
              <w:top w:val="nil"/>
              <w:bottom w:val="single" w:sz="4" w:space="0" w:color="auto"/>
            </w:tcBorders>
            <w:shd w:val="clear" w:color="auto" w:fill="F2F2F2" w:themeFill="background1" w:themeFillShade="F2"/>
          </w:tcPr>
          <w:p w:rsidR="00853A74" w:rsidRPr="00E07B1B" w:rsidRDefault="00853A74" w:rsidP="003C330B">
            <w:pPr>
              <w:pStyle w:val="TableText"/>
            </w:pPr>
            <w:r>
              <w:t>Not stated</w:t>
            </w:r>
          </w:p>
        </w:tc>
        <w:tc>
          <w:tcPr>
            <w:tcW w:w="680" w:type="pct"/>
            <w:tcBorders>
              <w:top w:val="nil"/>
              <w:bottom w:val="single" w:sz="4" w:space="0" w:color="auto"/>
            </w:tcBorders>
            <w:shd w:val="clear" w:color="auto" w:fill="F2F2F2" w:themeFill="background1" w:themeFillShade="F2"/>
          </w:tcPr>
          <w:p w:rsidR="00853A74" w:rsidRPr="00E07B1B" w:rsidRDefault="00853A74" w:rsidP="003C330B">
            <w:pPr>
              <w:pStyle w:val="TableText"/>
            </w:pPr>
            <w:r w:rsidRPr="00E07B1B">
              <w:t>31</w:t>
            </w:r>
            <w:r>
              <w:t xml:space="preserve"> </w:t>
            </w:r>
            <w:r w:rsidRPr="00E07B1B">
              <w:t>±</w:t>
            </w:r>
            <w:r>
              <w:t xml:space="preserve"> </w:t>
            </w:r>
            <w:r w:rsidRPr="00E07B1B">
              <w:t>3</w:t>
            </w:r>
          </w:p>
        </w:tc>
        <w:tc>
          <w:tcPr>
            <w:tcW w:w="1019" w:type="pct"/>
            <w:vMerge/>
            <w:tcBorders>
              <w:top w:val="nil"/>
            </w:tcBorders>
            <w:shd w:val="clear" w:color="auto" w:fill="auto"/>
          </w:tcPr>
          <w:p w:rsidR="00853A74" w:rsidRPr="00E07B1B" w:rsidRDefault="00853A74" w:rsidP="003C330B">
            <w:pPr>
              <w:pStyle w:val="TableText"/>
            </w:pPr>
          </w:p>
        </w:tc>
      </w:tr>
    </w:tbl>
    <w:p w:rsidR="00853A74" w:rsidRPr="00523C7E" w:rsidRDefault="00853A74" w:rsidP="003C330B">
      <w:pPr>
        <w:pStyle w:val="Note"/>
      </w:pPr>
      <w:r>
        <w:t>Note: BMI = body mass index;</w:t>
      </w:r>
      <w:r w:rsidRPr="00523C7E">
        <w:t xml:space="preserve"> </w:t>
      </w:r>
      <w:r>
        <w:t xml:space="preserve">CI = confidence interval; </w:t>
      </w:r>
      <w:r w:rsidRPr="00523C7E">
        <w:t xml:space="preserve">GDM </w:t>
      </w:r>
      <w:r>
        <w:t xml:space="preserve">= </w:t>
      </w:r>
      <w:r w:rsidRPr="00523C7E">
        <w:t>gestational diabetes</w:t>
      </w:r>
      <w:r>
        <w:t xml:space="preserve"> mellitus</w:t>
      </w:r>
      <w:r w:rsidR="003C330B">
        <w:t>.</w:t>
      </w:r>
    </w:p>
    <w:p w:rsidR="00853A74" w:rsidRDefault="00853A74" w:rsidP="003C330B">
      <w:pPr>
        <w:pStyle w:val="Note"/>
      </w:pPr>
      <w:r w:rsidRPr="00E313EE">
        <w:t>*</w:t>
      </w:r>
      <w:r w:rsidR="003C330B">
        <w:tab/>
      </w:r>
      <w:r w:rsidRPr="00E313EE">
        <w:t>Median (interquartile ranges)</w:t>
      </w:r>
      <w:r w:rsidR="003C330B">
        <w:t>.</w:t>
      </w:r>
    </w:p>
    <w:p w:rsidR="00853A74" w:rsidRDefault="00853A74" w:rsidP="003C330B">
      <w:pPr>
        <w:pStyle w:val="Source"/>
      </w:pPr>
      <w:r w:rsidRPr="00523C7E">
        <w:t xml:space="preserve">Source: Alwan </w:t>
      </w:r>
      <w:r>
        <w:t>et al (</w:t>
      </w:r>
      <w:r w:rsidRPr="00523C7E">
        <w:t>2009)</w:t>
      </w:r>
    </w:p>
    <w:p w:rsidR="003C330B" w:rsidRPr="003C330B" w:rsidRDefault="003C330B" w:rsidP="003C330B"/>
    <w:p w:rsidR="00853A74" w:rsidRPr="00E07B1B" w:rsidRDefault="00853A74" w:rsidP="006E4135">
      <w:pPr>
        <w:pStyle w:val="Table"/>
      </w:pPr>
      <w:bookmarkStart w:id="529" w:name="_Toc363717821"/>
      <w:bookmarkStart w:id="530" w:name="_Toc403635910"/>
      <w:r w:rsidRPr="00E07B1B">
        <w:t>Table 29</w:t>
      </w:r>
      <w:r w:rsidR="006E4135">
        <w:t>:</w:t>
      </w:r>
      <w:r w:rsidRPr="00E07B1B">
        <w:t xml:space="preserve"> Components of interventions using specific packages of treatment for women with gestational diabetes</w:t>
      </w:r>
      <w:bookmarkEnd w:id="529"/>
      <w:bookmarkEnd w:id="530"/>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419"/>
        <w:gridCol w:w="7721"/>
        <w:gridCol w:w="5461"/>
      </w:tblGrid>
      <w:tr w:rsidR="00853A74" w:rsidRPr="006E4135" w:rsidTr="006E4135">
        <w:trPr>
          <w:cantSplit/>
          <w:tblHeader/>
        </w:trPr>
        <w:tc>
          <w:tcPr>
            <w:tcW w:w="486" w:type="pct"/>
            <w:tcBorders>
              <w:top w:val="single" w:sz="4" w:space="0" w:color="auto"/>
              <w:bottom w:val="single" w:sz="4" w:space="0" w:color="auto"/>
            </w:tcBorders>
            <w:shd w:val="clear" w:color="auto" w:fill="auto"/>
          </w:tcPr>
          <w:p w:rsidR="00853A74" w:rsidRPr="006E4135" w:rsidRDefault="00853A74" w:rsidP="006E4135">
            <w:pPr>
              <w:pStyle w:val="TableText"/>
              <w:rPr>
                <w:b/>
              </w:rPr>
            </w:pPr>
            <w:r w:rsidRPr="006E4135">
              <w:rPr>
                <w:b/>
              </w:rPr>
              <w:t>Reference</w:t>
            </w:r>
          </w:p>
        </w:tc>
        <w:tc>
          <w:tcPr>
            <w:tcW w:w="2644" w:type="pct"/>
            <w:tcBorders>
              <w:top w:val="single" w:sz="4" w:space="0" w:color="auto"/>
              <w:bottom w:val="single" w:sz="4" w:space="0" w:color="auto"/>
            </w:tcBorders>
            <w:shd w:val="clear" w:color="auto" w:fill="auto"/>
          </w:tcPr>
          <w:p w:rsidR="00853A74" w:rsidRPr="006E4135" w:rsidRDefault="006E4135" w:rsidP="006E4135">
            <w:pPr>
              <w:pStyle w:val="TableText"/>
              <w:ind w:right="142"/>
              <w:rPr>
                <w:b/>
              </w:rPr>
            </w:pPr>
            <w:r>
              <w:rPr>
                <w:b/>
              </w:rPr>
              <w:t>Intervention</w:t>
            </w:r>
          </w:p>
        </w:tc>
        <w:tc>
          <w:tcPr>
            <w:tcW w:w="1870" w:type="pct"/>
            <w:tcBorders>
              <w:top w:val="single" w:sz="4" w:space="0" w:color="auto"/>
              <w:bottom w:val="single" w:sz="4" w:space="0" w:color="auto"/>
            </w:tcBorders>
            <w:shd w:val="clear" w:color="auto" w:fill="auto"/>
          </w:tcPr>
          <w:p w:rsidR="00853A74" w:rsidRPr="006E4135" w:rsidRDefault="00853A74" w:rsidP="006E4135">
            <w:pPr>
              <w:pStyle w:val="TableText"/>
              <w:rPr>
                <w:b/>
              </w:rPr>
            </w:pPr>
            <w:r w:rsidRPr="006E4135">
              <w:rPr>
                <w:b/>
              </w:rPr>
              <w:t>Control</w:t>
            </w:r>
          </w:p>
        </w:tc>
      </w:tr>
      <w:tr w:rsidR="00853A74" w:rsidRPr="00E07B1B" w:rsidTr="006E4135">
        <w:trPr>
          <w:cantSplit/>
        </w:trPr>
        <w:tc>
          <w:tcPr>
            <w:tcW w:w="486" w:type="pct"/>
            <w:tcBorders>
              <w:top w:val="single" w:sz="4" w:space="0" w:color="auto"/>
              <w:bottom w:val="nil"/>
            </w:tcBorders>
            <w:shd w:val="clear" w:color="auto" w:fill="F2F2F2" w:themeFill="background1" w:themeFillShade="F2"/>
          </w:tcPr>
          <w:p w:rsidR="00853A74" w:rsidRPr="00E07B1B" w:rsidRDefault="00853A74" w:rsidP="006E4135">
            <w:pPr>
              <w:pStyle w:val="TableText"/>
            </w:pPr>
            <w:r w:rsidRPr="00E07B1B">
              <w:t>Ferrara</w:t>
            </w:r>
            <w:r w:rsidR="006E4135">
              <w:br/>
            </w:r>
            <w:r>
              <w:t>(</w:t>
            </w:r>
            <w:r w:rsidRPr="00E07B1B">
              <w:t>2011</w:t>
            </w:r>
            <w:r>
              <w:t>)</w:t>
            </w:r>
          </w:p>
        </w:tc>
        <w:tc>
          <w:tcPr>
            <w:tcW w:w="2644" w:type="pct"/>
            <w:tcBorders>
              <w:top w:val="single" w:sz="4" w:space="0" w:color="auto"/>
              <w:bottom w:val="nil"/>
            </w:tcBorders>
            <w:shd w:val="clear" w:color="auto" w:fill="F2F2F2" w:themeFill="background1" w:themeFillShade="F2"/>
          </w:tcPr>
          <w:p w:rsidR="00853A74" w:rsidRDefault="00853A74" w:rsidP="006E4135">
            <w:pPr>
              <w:pStyle w:val="TableText"/>
              <w:ind w:right="142"/>
              <w:rPr>
                <w:lang w:eastAsia="en-NZ"/>
              </w:rPr>
            </w:pPr>
            <w:r w:rsidRPr="00E07B1B">
              <w:rPr>
                <w:lang w:eastAsia="en-NZ"/>
              </w:rPr>
              <w:t>Diet and exercise and breastfeeding intervention</w:t>
            </w:r>
            <w:r>
              <w:rPr>
                <w:lang w:eastAsia="en-NZ"/>
              </w:rPr>
              <w:t xml:space="preserve"> d</w:t>
            </w:r>
            <w:r w:rsidRPr="00E07B1B">
              <w:rPr>
                <w:lang w:eastAsia="en-NZ"/>
              </w:rPr>
              <w:t xml:space="preserve">elivered by a dietician using </w:t>
            </w:r>
            <w:r>
              <w:rPr>
                <w:lang w:eastAsia="en-NZ"/>
              </w:rPr>
              <w:t>s</w:t>
            </w:r>
            <w:r w:rsidRPr="00E07B1B">
              <w:rPr>
                <w:lang w:eastAsia="en-NZ"/>
              </w:rPr>
              <w:t xml:space="preserve">ocial </w:t>
            </w:r>
            <w:r>
              <w:rPr>
                <w:lang w:eastAsia="en-NZ"/>
              </w:rPr>
              <w:t>c</w:t>
            </w:r>
            <w:r w:rsidRPr="00E07B1B">
              <w:rPr>
                <w:lang w:eastAsia="en-NZ"/>
              </w:rPr>
              <w:t xml:space="preserve">ognitive </w:t>
            </w:r>
            <w:r>
              <w:rPr>
                <w:lang w:eastAsia="en-NZ"/>
              </w:rPr>
              <w:t>t</w:t>
            </w:r>
            <w:r w:rsidRPr="00E07B1B">
              <w:rPr>
                <w:lang w:eastAsia="en-NZ"/>
              </w:rPr>
              <w:t xml:space="preserve">heory and </w:t>
            </w:r>
            <w:r>
              <w:rPr>
                <w:lang w:eastAsia="en-NZ"/>
              </w:rPr>
              <w:t>t</w:t>
            </w:r>
            <w:r w:rsidRPr="00E07B1B">
              <w:rPr>
                <w:lang w:eastAsia="en-NZ"/>
              </w:rPr>
              <w:t xml:space="preserve">ranstheoretical </w:t>
            </w:r>
            <w:r>
              <w:rPr>
                <w:lang w:eastAsia="en-NZ"/>
              </w:rPr>
              <w:t>m</w:t>
            </w:r>
            <w:r w:rsidRPr="00E07B1B">
              <w:rPr>
                <w:lang w:eastAsia="en-NZ"/>
              </w:rPr>
              <w:t>odel</w:t>
            </w:r>
            <w:r>
              <w:rPr>
                <w:lang w:eastAsia="en-NZ"/>
              </w:rPr>
              <w:t>.</w:t>
            </w:r>
          </w:p>
          <w:p w:rsidR="00853A74" w:rsidRPr="00E07B1B" w:rsidRDefault="00853A74" w:rsidP="006E4135">
            <w:pPr>
              <w:pStyle w:val="TableText"/>
              <w:ind w:right="142"/>
              <w:rPr>
                <w:lang w:eastAsia="en-NZ"/>
              </w:rPr>
            </w:pPr>
            <w:r w:rsidRPr="00E07B1B">
              <w:rPr>
                <w:lang w:eastAsia="en-NZ"/>
              </w:rPr>
              <w:t>Delivered prenatal, postpartum and maintenance based on one</w:t>
            </w:r>
            <w:r>
              <w:rPr>
                <w:lang w:eastAsia="en-NZ"/>
              </w:rPr>
              <w:t>-</w:t>
            </w:r>
            <w:r w:rsidRPr="00E07B1B">
              <w:rPr>
                <w:lang w:eastAsia="en-NZ"/>
              </w:rPr>
              <w:t>to</w:t>
            </w:r>
            <w:r>
              <w:rPr>
                <w:lang w:eastAsia="en-NZ"/>
              </w:rPr>
              <w:t>-</w:t>
            </w:r>
            <w:r w:rsidRPr="00E07B1B">
              <w:rPr>
                <w:lang w:eastAsia="en-NZ"/>
              </w:rPr>
              <w:t>one sessions and individual telephone counselling. Advised not to exceed 11.4</w:t>
            </w:r>
            <w:r w:rsidR="006E4135">
              <w:rPr>
                <w:lang w:eastAsia="en-NZ"/>
              </w:rPr>
              <w:t> </w:t>
            </w:r>
            <w:r w:rsidRPr="00E07B1B">
              <w:rPr>
                <w:lang w:eastAsia="en-NZ"/>
              </w:rPr>
              <w:t>kg for obese women and to follow ADA diet and moderate physical activity (150</w:t>
            </w:r>
            <w:r>
              <w:rPr>
                <w:lang w:eastAsia="en-NZ"/>
              </w:rPr>
              <w:t xml:space="preserve"> </w:t>
            </w:r>
            <w:r w:rsidRPr="00E07B1B">
              <w:rPr>
                <w:lang w:eastAsia="en-NZ"/>
              </w:rPr>
              <w:t>min/week). Also had lactation consultant and contact maintained for 6 weeks postpartum (</w:t>
            </w:r>
            <w:r w:rsidRPr="007217AC">
              <w:rPr>
                <w:i/>
                <w:lang w:eastAsia="en-NZ"/>
              </w:rPr>
              <w:t>n</w:t>
            </w:r>
            <w:r>
              <w:rPr>
                <w:lang w:eastAsia="en-NZ"/>
              </w:rPr>
              <w:t> </w:t>
            </w:r>
            <w:r w:rsidRPr="00E07B1B">
              <w:rPr>
                <w:lang w:eastAsia="en-NZ"/>
              </w:rPr>
              <w:t>=</w:t>
            </w:r>
            <w:r>
              <w:rPr>
                <w:lang w:eastAsia="en-NZ"/>
              </w:rPr>
              <w:t> </w:t>
            </w:r>
            <w:r w:rsidRPr="00E07B1B">
              <w:rPr>
                <w:lang w:eastAsia="en-NZ"/>
              </w:rPr>
              <w:t>96)</w:t>
            </w:r>
            <w:r>
              <w:rPr>
                <w:lang w:eastAsia="en-NZ"/>
              </w:rPr>
              <w:t>.</w:t>
            </w:r>
          </w:p>
        </w:tc>
        <w:tc>
          <w:tcPr>
            <w:tcW w:w="1870" w:type="pct"/>
            <w:tcBorders>
              <w:top w:val="single" w:sz="4" w:space="0" w:color="auto"/>
              <w:bottom w:val="nil"/>
            </w:tcBorders>
            <w:shd w:val="clear" w:color="auto" w:fill="F2F2F2" w:themeFill="background1" w:themeFillShade="F2"/>
          </w:tcPr>
          <w:p w:rsidR="00853A74" w:rsidRDefault="00853A74" w:rsidP="006E4135">
            <w:pPr>
              <w:pStyle w:val="TableText"/>
              <w:rPr>
                <w:lang w:eastAsia="en-NZ"/>
              </w:rPr>
            </w:pPr>
            <w:r w:rsidRPr="00E07B1B">
              <w:rPr>
                <w:lang w:eastAsia="en-NZ"/>
              </w:rPr>
              <w:t>Usual care</w:t>
            </w:r>
            <w:r>
              <w:rPr>
                <w:lang w:eastAsia="en-NZ"/>
              </w:rPr>
              <w:t>.</w:t>
            </w:r>
          </w:p>
          <w:p w:rsidR="00853A74" w:rsidRPr="00E07B1B" w:rsidRDefault="00853A74" w:rsidP="006E4135">
            <w:pPr>
              <w:pStyle w:val="TableText"/>
            </w:pPr>
            <w:r w:rsidRPr="00E07B1B">
              <w:rPr>
                <w:lang w:eastAsia="en-NZ"/>
              </w:rPr>
              <w:t>Printed material only in prenatal and postnatal period (</w:t>
            </w:r>
            <w:r w:rsidRPr="007217AC">
              <w:rPr>
                <w:i/>
                <w:lang w:eastAsia="en-NZ"/>
              </w:rPr>
              <w:t>n</w:t>
            </w:r>
            <w:r w:rsidR="006E4135">
              <w:rPr>
                <w:i/>
                <w:lang w:eastAsia="en-NZ"/>
              </w:rPr>
              <w:t> </w:t>
            </w:r>
            <w:r w:rsidRPr="00E07B1B">
              <w:rPr>
                <w:lang w:eastAsia="en-NZ"/>
              </w:rPr>
              <w:t>=</w:t>
            </w:r>
            <w:r w:rsidR="006E4135">
              <w:rPr>
                <w:lang w:eastAsia="en-NZ"/>
              </w:rPr>
              <w:t> </w:t>
            </w:r>
            <w:r w:rsidRPr="00E07B1B">
              <w:rPr>
                <w:lang w:eastAsia="en-NZ"/>
              </w:rPr>
              <w:t>101).</w:t>
            </w:r>
          </w:p>
        </w:tc>
      </w:tr>
      <w:tr w:rsidR="00853A74" w:rsidRPr="00E07B1B" w:rsidTr="006E4135">
        <w:trPr>
          <w:cantSplit/>
        </w:trPr>
        <w:tc>
          <w:tcPr>
            <w:tcW w:w="486" w:type="pct"/>
            <w:tcBorders>
              <w:top w:val="nil"/>
            </w:tcBorders>
            <w:shd w:val="clear" w:color="auto" w:fill="auto"/>
          </w:tcPr>
          <w:p w:rsidR="00853A74" w:rsidRPr="00E07B1B" w:rsidRDefault="00853A74" w:rsidP="006E4135">
            <w:pPr>
              <w:pStyle w:val="TableText"/>
            </w:pPr>
            <w:r w:rsidRPr="00E07B1B">
              <w:t>Landon</w:t>
            </w:r>
            <w:r w:rsidR="006E4135">
              <w:br/>
            </w:r>
            <w:r>
              <w:t>(</w:t>
            </w:r>
            <w:r w:rsidRPr="00E07B1B">
              <w:t>2009</w:t>
            </w:r>
            <w:r>
              <w:t>)</w:t>
            </w:r>
          </w:p>
        </w:tc>
        <w:tc>
          <w:tcPr>
            <w:tcW w:w="2644" w:type="pct"/>
            <w:tcBorders>
              <w:top w:val="nil"/>
            </w:tcBorders>
            <w:shd w:val="clear" w:color="auto" w:fill="auto"/>
          </w:tcPr>
          <w:p w:rsidR="00853A74" w:rsidRDefault="00853A74" w:rsidP="006E4135">
            <w:pPr>
              <w:pStyle w:val="TableText"/>
              <w:ind w:right="142"/>
              <w:rPr>
                <w:lang w:eastAsia="en-NZ"/>
              </w:rPr>
            </w:pPr>
            <w:r w:rsidRPr="00E07B1B">
              <w:rPr>
                <w:lang w:eastAsia="en-NZ"/>
              </w:rPr>
              <w:t>Formal nutrition counselling and diet therapy +/</w:t>
            </w:r>
            <w:r>
              <w:rPr>
                <w:lang w:eastAsia="en-NZ"/>
              </w:rPr>
              <w:t>–</w:t>
            </w:r>
            <w:r w:rsidRPr="00E07B1B">
              <w:rPr>
                <w:lang w:eastAsia="en-NZ"/>
              </w:rPr>
              <w:t xml:space="preserve"> insulin and daily self</w:t>
            </w:r>
            <w:r>
              <w:rPr>
                <w:lang w:eastAsia="en-NZ"/>
              </w:rPr>
              <w:t>-</w:t>
            </w:r>
            <w:r w:rsidRPr="00E07B1B">
              <w:rPr>
                <w:lang w:eastAsia="en-NZ"/>
              </w:rPr>
              <w:t>monitoring</w:t>
            </w:r>
            <w:r>
              <w:rPr>
                <w:lang w:eastAsia="en-NZ"/>
              </w:rPr>
              <w:t>.</w:t>
            </w:r>
          </w:p>
          <w:p w:rsidR="00853A74" w:rsidRPr="00E07B1B" w:rsidRDefault="00853A74" w:rsidP="006E4135">
            <w:pPr>
              <w:pStyle w:val="TableText"/>
              <w:ind w:right="142"/>
              <w:rPr>
                <w:lang w:eastAsia="en-NZ"/>
              </w:rPr>
            </w:pPr>
            <w:r w:rsidRPr="00E07B1B">
              <w:rPr>
                <w:lang w:eastAsia="en-NZ"/>
              </w:rPr>
              <w:t>Insulin was commenced if fasting glucose levels were predominantly at 5.3</w:t>
            </w:r>
            <w:r w:rsidR="006E4135">
              <w:rPr>
                <w:lang w:eastAsia="en-NZ"/>
              </w:rPr>
              <w:t> </w:t>
            </w:r>
            <w:r w:rsidRPr="00E07B1B">
              <w:rPr>
                <w:lang w:eastAsia="en-NZ"/>
              </w:rPr>
              <w:t>mmol</w:t>
            </w:r>
            <w:r>
              <w:rPr>
                <w:lang w:eastAsia="en-NZ"/>
              </w:rPr>
              <w:t>/L</w:t>
            </w:r>
            <w:r w:rsidRPr="00E07B1B">
              <w:rPr>
                <w:lang w:eastAsia="en-NZ"/>
              </w:rPr>
              <w:t xml:space="preserve"> or greater or postprandial glucose was 6.7</w:t>
            </w:r>
            <w:r>
              <w:rPr>
                <w:lang w:eastAsia="en-NZ"/>
              </w:rPr>
              <w:t xml:space="preserve"> </w:t>
            </w:r>
            <w:r w:rsidRPr="00E07B1B">
              <w:rPr>
                <w:lang w:eastAsia="en-NZ"/>
              </w:rPr>
              <w:t>mmol</w:t>
            </w:r>
            <w:r>
              <w:rPr>
                <w:lang w:eastAsia="en-NZ"/>
              </w:rPr>
              <w:t>/L</w:t>
            </w:r>
            <w:r w:rsidRPr="00E07B1B">
              <w:rPr>
                <w:lang w:eastAsia="en-NZ"/>
              </w:rPr>
              <w:t xml:space="preserve"> or greater (</w:t>
            </w:r>
            <w:r w:rsidRPr="007217AC">
              <w:rPr>
                <w:i/>
                <w:lang w:eastAsia="en-NZ"/>
              </w:rPr>
              <w:t>n</w:t>
            </w:r>
            <w:r>
              <w:rPr>
                <w:lang w:eastAsia="en-NZ"/>
              </w:rPr>
              <w:t xml:space="preserve"> </w:t>
            </w:r>
            <w:r w:rsidRPr="00E07B1B">
              <w:rPr>
                <w:lang w:eastAsia="en-NZ"/>
              </w:rPr>
              <w:t>=</w:t>
            </w:r>
            <w:r>
              <w:rPr>
                <w:lang w:eastAsia="en-NZ"/>
              </w:rPr>
              <w:t xml:space="preserve"> </w:t>
            </w:r>
            <w:r w:rsidRPr="00E07B1B">
              <w:rPr>
                <w:lang w:eastAsia="en-NZ"/>
              </w:rPr>
              <w:t>485)</w:t>
            </w:r>
            <w:r>
              <w:rPr>
                <w:lang w:eastAsia="en-NZ"/>
              </w:rPr>
              <w:t>.</w:t>
            </w:r>
          </w:p>
        </w:tc>
        <w:tc>
          <w:tcPr>
            <w:tcW w:w="1870" w:type="pct"/>
            <w:tcBorders>
              <w:top w:val="nil"/>
            </w:tcBorders>
            <w:shd w:val="clear" w:color="auto" w:fill="auto"/>
          </w:tcPr>
          <w:p w:rsidR="00853A74" w:rsidRDefault="00853A74" w:rsidP="006E4135">
            <w:pPr>
              <w:pStyle w:val="TableText"/>
              <w:rPr>
                <w:lang w:eastAsia="en-NZ"/>
              </w:rPr>
            </w:pPr>
            <w:r w:rsidRPr="00E07B1B">
              <w:rPr>
                <w:lang w:eastAsia="en-NZ"/>
              </w:rPr>
              <w:t>Usual prenatal care +/</w:t>
            </w:r>
            <w:r>
              <w:rPr>
                <w:lang w:eastAsia="en-NZ"/>
              </w:rPr>
              <w:t>–</w:t>
            </w:r>
            <w:r w:rsidRPr="00E07B1B">
              <w:rPr>
                <w:lang w:eastAsia="en-NZ"/>
              </w:rPr>
              <w:t xml:space="preserve"> insulin and self</w:t>
            </w:r>
            <w:r>
              <w:rPr>
                <w:lang w:eastAsia="en-NZ"/>
              </w:rPr>
              <w:t>-</w:t>
            </w:r>
            <w:r w:rsidRPr="00E07B1B">
              <w:rPr>
                <w:lang w:eastAsia="en-NZ"/>
              </w:rPr>
              <w:t>monitoring</w:t>
            </w:r>
            <w:r>
              <w:rPr>
                <w:lang w:eastAsia="en-NZ"/>
              </w:rPr>
              <w:t>.</w:t>
            </w:r>
          </w:p>
          <w:p w:rsidR="00853A74" w:rsidRPr="00E07B1B" w:rsidRDefault="00853A74" w:rsidP="006E4135">
            <w:pPr>
              <w:pStyle w:val="TableText"/>
            </w:pPr>
            <w:r w:rsidRPr="00E07B1B">
              <w:rPr>
                <w:lang w:eastAsia="en-NZ"/>
              </w:rPr>
              <w:t>Insulin was commenced if fasting glucose levels were predominantly at 5.3</w:t>
            </w:r>
            <w:r>
              <w:rPr>
                <w:lang w:eastAsia="en-NZ"/>
              </w:rPr>
              <w:t xml:space="preserve"> </w:t>
            </w:r>
            <w:r w:rsidRPr="00E07B1B">
              <w:rPr>
                <w:lang w:eastAsia="en-NZ"/>
              </w:rPr>
              <w:t>mmol</w:t>
            </w:r>
            <w:r>
              <w:rPr>
                <w:lang w:eastAsia="en-NZ"/>
              </w:rPr>
              <w:t>/L</w:t>
            </w:r>
            <w:r w:rsidRPr="00E07B1B">
              <w:rPr>
                <w:lang w:eastAsia="en-NZ"/>
              </w:rPr>
              <w:t xml:space="preserve"> or greater or postprandial glucose was 6.7</w:t>
            </w:r>
            <w:r>
              <w:rPr>
                <w:lang w:eastAsia="en-NZ"/>
              </w:rPr>
              <w:t xml:space="preserve"> </w:t>
            </w:r>
            <w:r w:rsidRPr="00E07B1B">
              <w:rPr>
                <w:lang w:eastAsia="en-NZ"/>
              </w:rPr>
              <w:t>mmol</w:t>
            </w:r>
            <w:r>
              <w:rPr>
                <w:lang w:eastAsia="en-NZ"/>
              </w:rPr>
              <w:t>/L</w:t>
            </w:r>
            <w:r w:rsidRPr="00E07B1B">
              <w:rPr>
                <w:lang w:eastAsia="en-NZ"/>
              </w:rPr>
              <w:t xml:space="preserve"> or greater</w:t>
            </w:r>
            <w:r>
              <w:rPr>
                <w:lang w:eastAsia="en-NZ"/>
              </w:rPr>
              <w:t xml:space="preserve"> </w:t>
            </w:r>
            <w:r w:rsidRPr="00E07B1B">
              <w:rPr>
                <w:lang w:eastAsia="en-NZ"/>
              </w:rPr>
              <w:t>(</w:t>
            </w:r>
            <w:r w:rsidRPr="007217AC">
              <w:rPr>
                <w:i/>
                <w:lang w:eastAsia="en-NZ"/>
              </w:rPr>
              <w:t>n</w:t>
            </w:r>
            <w:r>
              <w:rPr>
                <w:lang w:eastAsia="en-NZ"/>
              </w:rPr>
              <w:t xml:space="preserve"> </w:t>
            </w:r>
            <w:r w:rsidRPr="00E07B1B">
              <w:rPr>
                <w:lang w:eastAsia="en-NZ"/>
              </w:rPr>
              <w:t>=</w:t>
            </w:r>
            <w:r>
              <w:rPr>
                <w:lang w:eastAsia="en-NZ"/>
              </w:rPr>
              <w:t xml:space="preserve"> </w:t>
            </w:r>
            <w:r w:rsidRPr="00E07B1B">
              <w:rPr>
                <w:lang w:eastAsia="en-NZ"/>
              </w:rPr>
              <w:t>473)</w:t>
            </w:r>
            <w:r>
              <w:rPr>
                <w:lang w:eastAsia="en-NZ"/>
              </w:rPr>
              <w:t>.</w:t>
            </w:r>
          </w:p>
        </w:tc>
      </w:tr>
      <w:tr w:rsidR="00853A74" w:rsidRPr="00E07B1B" w:rsidTr="006E4135">
        <w:trPr>
          <w:cantSplit/>
        </w:trPr>
        <w:tc>
          <w:tcPr>
            <w:tcW w:w="486" w:type="pct"/>
            <w:tcBorders>
              <w:bottom w:val="nil"/>
            </w:tcBorders>
            <w:shd w:val="clear" w:color="auto" w:fill="auto"/>
          </w:tcPr>
          <w:p w:rsidR="00853A74" w:rsidRPr="00E07B1B" w:rsidRDefault="00853A74" w:rsidP="006E4135">
            <w:pPr>
              <w:pStyle w:val="TableText"/>
            </w:pPr>
            <w:r w:rsidRPr="00E07B1B">
              <w:t>Elnour</w:t>
            </w:r>
            <w:r w:rsidR="006E4135">
              <w:br/>
            </w:r>
            <w:r>
              <w:t>(</w:t>
            </w:r>
            <w:r w:rsidRPr="00E07B1B">
              <w:t>2008</w:t>
            </w:r>
            <w:r>
              <w:t>)</w:t>
            </w:r>
          </w:p>
        </w:tc>
        <w:tc>
          <w:tcPr>
            <w:tcW w:w="2644" w:type="pct"/>
            <w:tcBorders>
              <w:bottom w:val="nil"/>
            </w:tcBorders>
            <w:shd w:val="clear" w:color="auto" w:fill="auto"/>
          </w:tcPr>
          <w:p w:rsidR="00853A74" w:rsidRDefault="00853A74" w:rsidP="006E4135">
            <w:pPr>
              <w:pStyle w:val="TableText"/>
              <w:ind w:right="142"/>
              <w:rPr>
                <w:lang w:eastAsia="en-NZ"/>
              </w:rPr>
            </w:pPr>
            <w:r w:rsidRPr="00E07B1B">
              <w:rPr>
                <w:lang w:eastAsia="en-NZ"/>
              </w:rPr>
              <w:t xml:space="preserve">Structured pharmaceutical care </w:t>
            </w:r>
            <w:r>
              <w:rPr>
                <w:lang w:eastAsia="en-NZ"/>
              </w:rPr>
              <w:t xml:space="preserve">for </w:t>
            </w:r>
            <w:r w:rsidRPr="00E07B1B">
              <w:rPr>
                <w:lang w:eastAsia="en-NZ"/>
              </w:rPr>
              <w:t>10</w:t>
            </w:r>
            <w:r>
              <w:rPr>
                <w:lang w:eastAsia="en-NZ"/>
              </w:rPr>
              <w:t>–</w:t>
            </w:r>
            <w:r w:rsidRPr="00E07B1B">
              <w:rPr>
                <w:lang w:eastAsia="en-NZ"/>
              </w:rPr>
              <w:t xml:space="preserve">30 minutes with a clinical pharmacist. Options of treatment explained and </w:t>
            </w:r>
            <w:r>
              <w:rPr>
                <w:lang w:eastAsia="en-NZ"/>
              </w:rPr>
              <w:t xml:space="preserve">the woman was </w:t>
            </w:r>
            <w:r w:rsidRPr="00E07B1B">
              <w:rPr>
                <w:lang w:eastAsia="en-NZ"/>
              </w:rPr>
              <w:t>encouraged to participate in self</w:t>
            </w:r>
            <w:r>
              <w:rPr>
                <w:lang w:eastAsia="en-NZ"/>
              </w:rPr>
              <w:t>-</w:t>
            </w:r>
            <w:r w:rsidRPr="00E07B1B">
              <w:rPr>
                <w:lang w:eastAsia="en-NZ"/>
              </w:rPr>
              <w:t>management.</w:t>
            </w:r>
          </w:p>
          <w:p w:rsidR="00853A74" w:rsidRDefault="00853A74" w:rsidP="006E4135">
            <w:pPr>
              <w:pStyle w:val="TableText"/>
              <w:ind w:right="142"/>
              <w:rPr>
                <w:lang w:eastAsia="en-NZ"/>
              </w:rPr>
            </w:pPr>
            <w:r w:rsidRPr="00E07B1B">
              <w:rPr>
                <w:lang w:eastAsia="en-NZ"/>
              </w:rPr>
              <w:t xml:space="preserve">Structured education on GDM and management provided (diet and exercise, glycaemic control, </w:t>
            </w:r>
            <w:r>
              <w:rPr>
                <w:lang w:eastAsia="en-NZ"/>
              </w:rPr>
              <w:t>s</w:t>
            </w:r>
            <w:r w:rsidRPr="00E07B1B">
              <w:rPr>
                <w:lang w:eastAsia="en-NZ"/>
              </w:rPr>
              <w:t>elf</w:t>
            </w:r>
            <w:r>
              <w:rPr>
                <w:lang w:eastAsia="en-NZ"/>
              </w:rPr>
              <w:t>-</w:t>
            </w:r>
            <w:r w:rsidRPr="00E07B1B">
              <w:rPr>
                <w:lang w:eastAsia="en-NZ"/>
              </w:rPr>
              <w:t>monitoring, review of treatment if glycaemic control inadequate).</w:t>
            </w:r>
          </w:p>
          <w:p w:rsidR="00853A74" w:rsidRDefault="00853A74" w:rsidP="006E4135">
            <w:pPr>
              <w:pStyle w:val="TableText"/>
              <w:ind w:right="142"/>
              <w:rPr>
                <w:lang w:eastAsia="en-NZ"/>
              </w:rPr>
            </w:pPr>
            <w:r w:rsidRPr="00E07B1B">
              <w:rPr>
                <w:lang w:eastAsia="en-NZ"/>
              </w:rPr>
              <w:t xml:space="preserve">Printed education booklet </w:t>
            </w:r>
            <w:r>
              <w:rPr>
                <w:lang w:eastAsia="en-NZ"/>
              </w:rPr>
              <w:t>that</w:t>
            </w:r>
            <w:r w:rsidRPr="00E07B1B">
              <w:rPr>
                <w:lang w:eastAsia="en-NZ"/>
              </w:rPr>
              <w:t xml:space="preserve"> contained general information on diabetes, aims of treatment, diet and exercise and action to take if hypo</w:t>
            </w:r>
            <w:r>
              <w:rPr>
                <w:lang w:eastAsia="en-NZ"/>
              </w:rPr>
              <w:t>glycaemic</w:t>
            </w:r>
            <w:r w:rsidRPr="00E07B1B">
              <w:rPr>
                <w:lang w:eastAsia="en-NZ"/>
              </w:rPr>
              <w:t xml:space="preserve"> or hyperglycaemic. Record plasma glucose at least </w:t>
            </w:r>
            <w:r>
              <w:rPr>
                <w:lang w:eastAsia="en-NZ"/>
              </w:rPr>
              <w:t>five</w:t>
            </w:r>
            <w:r w:rsidRPr="00E07B1B">
              <w:rPr>
                <w:lang w:eastAsia="en-NZ"/>
              </w:rPr>
              <w:t xml:space="preserve"> times per day for </w:t>
            </w:r>
            <w:r>
              <w:rPr>
                <w:lang w:eastAsia="en-NZ"/>
              </w:rPr>
              <w:t>three to four</w:t>
            </w:r>
            <w:r w:rsidRPr="00E07B1B">
              <w:rPr>
                <w:lang w:eastAsia="en-NZ"/>
              </w:rPr>
              <w:t xml:space="preserve"> days per week.</w:t>
            </w:r>
          </w:p>
          <w:p w:rsidR="00853A74" w:rsidRDefault="00853A74" w:rsidP="006E4135">
            <w:pPr>
              <w:pStyle w:val="TableText"/>
              <w:ind w:right="142"/>
              <w:rPr>
                <w:lang w:eastAsia="en-NZ"/>
              </w:rPr>
            </w:pPr>
            <w:r w:rsidRPr="00E07B1B">
              <w:rPr>
                <w:lang w:eastAsia="en-NZ"/>
              </w:rPr>
              <w:t>Intervention took place at baseline and at monthly clinic visits.</w:t>
            </w:r>
          </w:p>
          <w:p w:rsidR="00853A74" w:rsidRPr="00E07B1B" w:rsidRDefault="00853A74" w:rsidP="006E4135">
            <w:pPr>
              <w:pStyle w:val="TableText"/>
              <w:ind w:right="142"/>
              <w:rPr>
                <w:lang w:eastAsia="en-NZ"/>
              </w:rPr>
            </w:pPr>
            <w:r w:rsidRPr="00E07B1B">
              <w:rPr>
                <w:lang w:eastAsia="en-NZ"/>
              </w:rPr>
              <w:t>Encouraged to telephone pharmacist if any queries/concerns (</w:t>
            </w:r>
            <w:r w:rsidRPr="007217AC">
              <w:rPr>
                <w:i/>
                <w:lang w:eastAsia="en-NZ"/>
              </w:rPr>
              <w:t>n</w:t>
            </w:r>
            <w:r>
              <w:rPr>
                <w:lang w:eastAsia="en-NZ"/>
              </w:rPr>
              <w:t xml:space="preserve"> </w:t>
            </w:r>
            <w:r w:rsidRPr="00E07B1B">
              <w:rPr>
                <w:lang w:eastAsia="en-NZ"/>
              </w:rPr>
              <w:t>=</w:t>
            </w:r>
            <w:r>
              <w:rPr>
                <w:lang w:eastAsia="en-NZ"/>
              </w:rPr>
              <w:t xml:space="preserve"> </w:t>
            </w:r>
            <w:r w:rsidRPr="00E07B1B">
              <w:rPr>
                <w:lang w:eastAsia="en-NZ"/>
              </w:rPr>
              <w:t>108).</w:t>
            </w:r>
          </w:p>
        </w:tc>
        <w:tc>
          <w:tcPr>
            <w:tcW w:w="1870" w:type="pct"/>
            <w:tcBorders>
              <w:bottom w:val="nil"/>
            </w:tcBorders>
            <w:shd w:val="clear" w:color="auto" w:fill="auto"/>
          </w:tcPr>
          <w:p w:rsidR="00853A74" w:rsidRDefault="00853A74" w:rsidP="006E4135">
            <w:pPr>
              <w:pStyle w:val="TableText"/>
              <w:rPr>
                <w:lang w:eastAsia="en-NZ"/>
              </w:rPr>
            </w:pPr>
            <w:r w:rsidRPr="00E07B1B">
              <w:rPr>
                <w:lang w:eastAsia="en-NZ"/>
              </w:rPr>
              <w:t>Monthly clinic visits</w:t>
            </w:r>
            <w:r>
              <w:rPr>
                <w:lang w:eastAsia="en-NZ"/>
              </w:rPr>
              <w:t>.</w:t>
            </w:r>
          </w:p>
          <w:p w:rsidR="00853A74" w:rsidRPr="00E07B1B" w:rsidRDefault="00853A74" w:rsidP="006E4135">
            <w:pPr>
              <w:pStyle w:val="TableText"/>
            </w:pPr>
            <w:r w:rsidRPr="00E07B1B">
              <w:rPr>
                <w:lang w:eastAsia="en-NZ"/>
              </w:rPr>
              <w:t>Self</w:t>
            </w:r>
            <w:r>
              <w:rPr>
                <w:lang w:eastAsia="en-NZ"/>
              </w:rPr>
              <w:t>-</w:t>
            </w:r>
            <w:r w:rsidRPr="00E07B1B">
              <w:rPr>
                <w:lang w:eastAsia="en-NZ"/>
              </w:rPr>
              <w:t>monitoring</w:t>
            </w:r>
            <w:r>
              <w:rPr>
                <w:lang w:eastAsia="en-NZ"/>
              </w:rPr>
              <w:t xml:space="preserve"> </w:t>
            </w:r>
            <w:r w:rsidRPr="00E07B1B">
              <w:rPr>
                <w:lang w:eastAsia="en-NZ"/>
              </w:rPr>
              <w:t>(</w:t>
            </w:r>
            <w:r w:rsidRPr="007217AC">
              <w:rPr>
                <w:i/>
                <w:lang w:eastAsia="en-NZ"/>
              </w:rPr>
              <w:t xml:space="preserve">n </w:t>
            </w:r>
            <w:r w:rsidRPr="00E07B1B">
              <w:rPr>
                <w:lang w:eastAsia="en-NZ"/>
              </w:rPr>
              <w:t>=</w:t>
            </w:r>
            <w:r>
              <w:rPr>
                <w:lang w:eastAsia="en-NZ"/>
              </w:rPr>
              <w:t xml:space="preserve"> </w:t>
            </w:r>
            <w:r w:rsidRPr="00E07B1B">
              <w:rPr>
                <w:lang w:eastAsia="en-NZ"/>
              </w:rPr>
              <w:t>72)</w:t>
            </w:r>
            <w:r>
              <w:rPr>
                <w:lang w:eastAsia="en-NZ"/>
              </w:rPr>
              <w:t>.</w:t>
            </w:r>
          </w:p>
        </w:tc>
      </w:tr>
      <w:tr w:rsidR="00853A74" w:rsidRPr="00E07B1B" w:rsidTr="006E4135">
        <w:trPr>
          <w:cantSplit/>
        </w:trPr>
        <w:tc>
          <w:tcPr>
            <w:tcW w:w="486" w:type="pct"/>
            <w:tcBorders>
              <w:top w:val="nil"/>
              <w:bottom w:val="nil"/>
            </w:tcBorders>
            <w:shd w:val="clear" w:color="auto" w:fill="F2F2F2" w:themeFill="background1" w:themeFillShade="F2"/>
          </w:tcPr>
          <w:p w:rsidR="00853A74" w:rsidRPr="00E07B1B" w:rsidRDefault="00853A74" w:rsidP="006E4135">
            <w:pPr>
              <w:pStyle w:val="TableText"/>
            </w:pPr>
            <w:r w:rsidRPr="00E07B1B">
              <w:t>Crowther</w:t>
            </w:r>
            <w:r w:rsidR="006E4135">
              <w:br/>
            </w:r>
            <w:r>
              <w:t>(</w:t>
            </w:r>
            <w:r w:rsidRPr="00E07B1B">
              <w:t>2005</w:t>
            </w:r>
            <w:r>
              <w:t>)</w:t>
            </w:r>
          </w:p>
        </w:tc>
        <w:tc>
          <w:tcPr>
            <w:tcW w:w="2644" w:type="pct"/>
            <w:tcBorders>
              <w:top w:val="nil"/>
              <w:bottom w:val="nil"/>
            </w:tcBorders>
            <w:shd w:val="clear" w:color="auto" w:fill="F2F2F2" w:themeFill="background1" w:themeFillShade="F2"/>
          </w:tcPr>
          <w:p w:rsidR="00853A74" w:rsidRPr="00E07B1B" w:rsidRDefault="00853A74" w:rsidP="006E4135">
            <w:pPr>
              <w:pStyle w:val="TableText"/>
              <w:ind w:right="142"/>
              <w:rPr>
                <w:lang w:eastAsia="en-NZ"/>
              </w:rPr>
            </w:pPr>
            <w:r w:rsidRPr="00E07B1B">
              <w:rPr>
                <w:lang w:eastAsia="en-NZ"/>
              </w:rPr>
              <w:t>Usual obstetrical care with physician support</w:t>
            </w:r>
            <w:r>
              <w:rPr>
                <w:lang w:eastAsia="en-NZ"/>
              </w:rPr>
              <w:t>.</w:t>
            </w:r>
            <w:r w:rsidRPr="00E07B1B">
              <w:rPr>
                <w:lang w:eastAsia="en-NZ"/>
              </w:rPr>
              <w:t xml:space="preserve"> Individualised dietary advice from a qualified dietician, instructions on how to self-monitor glucose levels </w:t>
            </w:r>
            <w:r>
              <w:rPr>
                <w:lang w:eastAsia="en-NZ"/>
              </w:rPr>
              <w:t>four</w:t>
            </w:r>
            <w:r w:rsidRPr="00E07B1B">
              <w:rPr>
                <w:lang w:eastAsia="en-NZ"/>
              </w:rPr>
              <w:t xml:space="preserve"> times a day until fasting glucose levels of at least 3.5</w:t>
            </w:r>
            <w:r>
              <w:rPr>
                <w:lang w:eastAsia="en-NZ"/>
              </w:rPr>
              <w:t> </w:t>
            </w:r>
            <w:r w:rsidRPr="00E07B1B">
              <w:rPr>
                <w:lang w:eastAsia="en-NZ"/>
              </w:rPr>
              <w:t>mmol</w:t>
            </w:r>
            <w:r>
              <w:rPr>
                <w:lang w:eastAsia="en-NZ"/>
              </w:rPr>
              <w:t>/L</w:t>
            </w:r>
            <w:r w:rsidRPr="00E07B1B">
              <w:rPr>
                <w:lang w:eastAsia="en-NZ"/>
              </w:rPr>
              <w:t xml:space="preserve"> </w:t>
            </w:r>
            <w:r>
              <w:rPr>
                <w:lang w:eastAsia="en-NZ"/>
              </w:rPr>
              <w:t>(</w:t>
            </w:r>
            <w:r w:rsidRPr="00E07B1B">
              <w:rPr>
                <w:lang w:eastAsia="en-NZ"/>
              </w:rPr>
              <w:t>63 mg</w:t>
            </w:r>
            <w:r>
              <w:rPr>
                <w:lang w:eastAsia="en-NZ"/>
              </w:rPr>
              <w:t>/dL)</w:t>
            </w:r>
            <w:r w:rsidRPr="00E07B1B">
              <w:rPr>
                <w:lang w:eastAsia="en-NZ"/>
              </w:rPr>
              <w:t xml:space="preserve"> and no more than 5.5</w:t>
            </w:r>
            <w:r>
              <w:rPr>
                <w:lang w:eastAsia="en-NZ"/>
              </w:rPr>
              <w:t> </w:t>
            </w:r>
            <w:r w:rsidRPr="00E07B1B">
              <w:rPr>
                <w:lang w:eastAsia="en-NZ"/>
              </w:rPr>
              <w:t>mmol</w:t>
            </w:r>
            <w:r>
              <w:rPr>
                <w:lang w:eastAsia="en-NZ"/>
              </w:rPr>
              <w:t>/L</w:t>
            </w:r>
            <w:r w:rsidRPr="00E07B1B">
              <w:rPr>
                <w:lang w:eastAsia="en-NZ"/>
              </w:rPr>
              <w:t xml:space="preserve"> </w:t>
            </w:r>
            <w:r>
              <w:rPr>
                <w:lang w:eastAsia="en-NZ"/>
              </w:rPr>
              <w:t>(</w:t>
            </w:r>
            <w:r w:rsidRPr="00E07B1B">
              <w:rPr>
                <w:lang w:eastAsia="en-NZ"/>
              </w:rPr>
              <w:t>99</w:t>
            </w:r>
            <w:r>
              <w:rPr>
                <w:lang w:eastAsia="en-NZ"/>
              </w:rPr>
              <w:t> </w:t>
            </w:r>
            <w:r w:rsidRPr="00E07B1B">
              <w:rPr>
                <w:lang w:eastAsia="en-NZ"/>
              </w:rPr>
              <w:t>mg</w:t>
            </w:r>
            <w:r>
              <w:rPr>
                <w:lang w:eastAsia="en-NZ"/>
              </w:rPr>
              <w:t>/dL)</w:t>
            </w:r>
            <w:r w:rsidRPr="00E07B1B">
              <w:rPr>
                <w:lang w:eastAsia="en-NZ"/>
              </w:rPr>
              <w:t>, preprandial levels of no more than 5.5</w:t>
            </w:r>
            <w:r>
              <w:rPr>
                <w:lang w:eastAsia="en-NZ"/>
              </w:rPr>
              <w:t> </w:t>
            </w:r>
            <w:r w:rsidRPr="00E07B1B">
              <w:rPr>
                <w:lang w:eastAsia="en-NZ"/>
              </w:rPr>
              <w:t>mmol</w:t>
            </w:r>
            <w:r>
              <w:rPr>
                <w:lang w:eastAsia="en-NZ"/>
              </w:rPr>
              <w:t>/L</w:t>
            </w:r>
            <w:r w:rsidRPr="00E07B1B">
              <w:rPr>
                <w:lang w:eastAsia="en-NZ"/>
              </w:rPr>
              <w:t xml:space="preserve">, and levels </w:t>
            </w:r>
            <w:r>
              <w:rPr>
                <w:lang w:eastAsia="en-NZ"/>
              </w:rPr>
              <w:t>two</w:t>
            </w:r>
            <w:r w:rsidRPr="00E07B1B">
              <w:rPr>
                <w:lang w:eastAsia="en-NZ"/>
              </w:rPr>
              <w:t xml:space="preserve"> hours postprandially that were no more than 7.0 mmol</w:t>
            </w:r>
            <w:r>
              <w:rPr>
                <w:lang w:eastAsia="en-NZ"/>
              </w:rPr>
              <w:t>/L (</w:t>
            </w:r>
            <w:r w:rsidRPr="00E07B1B">
              <w:rPr>
                <w:lang w:eastAsia="en-NZ"/>
              </w:rPr>
              <w:t>126 mg</w:t>
            </w:r>
            <w:r>
              <w:rPr>
                <w:lang w:eastAsia="en-NZ"/>
              </w:rPr>
              <w:t>/dL)</w:t>
            </w:r>
            <w:r w:rsidRPr="00E07B1B">
              <w:rPr>
                <w:lang w:eastAsia="en-NZ"/>
              </w:rPr>
              <w:t xml:space="preserve">, followed by daily monitoring at rotating times during the day; and insulin therapy, with the dose adjusted based on glucose levels, if there were </w:t>
            </w:r>
            <w:r>
              <w:rPr>
                <w:lang w:eastAsia="en-NZ"/>
              </w:rPr>
              <w:t>two</w:t>
            </w:r>
            <w:r w:rsidRPr="00E07B1B">
              <w:rPr>
                <w:lang w:eastAsia="en-NZ"/>
              </w:rPr>
              <w:t xml:space="preserve"> capillary-blood glucose results during the </w:t>
            </w:r>
            <w:r>
              <w:rPr>
                <w:lang w:eastAsia="en-NZ"/>
              </w:rPr>
              <w:t>two</w:t>
            </w:r>
            <w:r w:rsidRPr="00E07B1B">
              <w:rPr>
                <w:lang w:eastAsia="en-NZ"/>
              </w:rPr>
              <w:t>-week period in which the fasting level was at least 5.5</w:t>
            </w:r>
            <w:r w:rsidR="006E4135">
              <w:rPr>
                <w:lang w:eastAsia="en-NZ"/>
              </w:rPr>
              <w:t> </w:t>
            </w:r>
            <w:r w:rsidRPr="00E07B1B">
              <w:rPr>
                <w:lang w:eastAsia="en-NZ"/>
              </w:rPr>
              <w:t>mmol</w:t>
            </w:r>
            <w:r>
              <w:rPr>
                <w:lang w:eastAsia="en-NZ"/>
              </w:rPr>
              <w:t>/L</w:t>
            </w:r>
            <w:r w:rsidRPr="00E07B1B">
              <w:rPr>
                <w:lang w:eastAsia="en-NZ"/>
              </w:rPr>
              <w:t xml:space="preserve"> or the postprandial level was at least 7.0 mmol</w:t>
            </w:r>
            <w:r>
              <w:rPr>
                <w:lang w:eastAsia="en-NZ"/>
              </w:rPr>
              <w:t>/L</w:t>
            </w:r>
            <w:r w:rsidRPr="00E07B1B">
              <w:rPr>
                <w:lang w:eastAsia="en-NZ"/>
              </w:rPr>
              <w:t xml:space="preserve"> at 35 weeks</w:t>
            </w:r>
            <w:r>
              <w:rPr>
                <w:lang w:eastAsia="en-NZ"/>
              </w:rPr>
              <w:t>’</w:t>
            </w:r>
            <w:r w:rsidRPr="00E07B1B">
              <w:rPr>
                <w:lang w:eastAsia="en-NZ"/>
              </w:rPr>
              <w:t xml:space="preserve"> gestation or </w:t>
            </w:r>
            <w:r>
              <w:rPr>
                <w:lang w:eastAsia="en-NZ"/>
              </w:rPr>
              <w:t>earlier</w:t>
            </w:r>
            <w:r w:rsidRPr="00E07B1B">
              <w:rPr>
                <w:lang w:eastAsia="en-NZ"/>
              </w:rPr>
              <w:t>, if the postprandial level was at least 8.0 mmol per litre (144 mg per decilitre) at more than 35 weeks</w:t>
            </w:r>
            <w:r>
              <w:rPr>
                <w:lang w:eastAsia="en-NZ"/>
              </w:rPr>
              <w:t>’</w:t>
            </w:r>
            <w:r w:rsidRPr="00E07B1B">
              <w:rPr>
                <w:lang w:eastAsia="en-NZ"/>
              </w:rPr>
              <w:t xml:space="preserve"> gestation, or if one capillary-blood glucose result during the </w:t>
            </w:r>
            <w:r>
              <w:rPr>
                <w:lang w:eastAsia="en-NZ"/>
              </w:rPr>
              <w:t>two</w:t>
            </w:r>
            <w:r w:rsidRPr="00E07B1B">
              <w:rPr>
                <w:lang w:eastAsia="en-NZ"/>
              </w:rPr>
              <w:t>-week period was at least 9.0 mmol</w:t>
            </w:r>
            <w:r>
              <w:rPr>
                <w:lang w:eastAsia="en-NZ"/>
              </w:rPr>
              <w:t>/L</w:t>
            </w:r>
            <w:r w:rsidRPr="00E07B1B">
              <w:rPr>
                <w:lang w:eastAsia="en-NZ"/>
              </w:rPr>
              <w:t xml:space="preserve"> (162 mg</w:t>
            </w:r>
            <w:r>
              <w:rPr>
                <w:lang w:eastAsia="en-NZ"/>
              </w:rPr>
              <w:t>/dL</w:t>
            </w:r>
            <w:r w:rsidRPr="00E07B1B">
              <w:rPr>
                <w:lang w:eastAsia="en-NZ"/>
              </w:rPr>
              <w:t>) (</w:t>
            </w:r>
            <w:r w:rsidRPr="007217AC">
              <w:rPr>
                <w:i/>
                <w:lang w:eastAsia="en-NZ"/>
              </w:rPr>
              <w:t>n</w:t>
            </w:r>
            <w:r>
              <w:rPr>
                <w:lang w:eastAsia="en-NZ"/>
              </w:rPr>
              <w:t xml:space="preserve"> </w:t>
            </w:r>
            <w:r w:rsidRPr="00E07B1B">
              <w:rPr>
                <w:lang w:eastAsia="en-NZ"/>
              </w:rPr>
              <w:t>=</w:t>
            </w:r>
            <w:r>
              <w:rPr>
                <w:lang w:eastAsia="en-NZ"/>
              </w:rPr>
              <w:t xml:space="preserve"> </w:t>
            </w:r>
            <w:r w:rsidRPr="00E07B1B">
              <w:rPr>
                <w:lang w:eastAsia="en-NZ"/>
              </w:rPr>
              <w:t>490).</w:t>
            </w:r>
          </w:p>
        </w:tc>
        <w:tc>
          <w:tcPr>
            <w:tcW w:w="1870" w:type="pct"/>
            <w:tcBorders>
              <w:top w:val="nil"/>
              <w:bottom w:val="nil"/>
            </w:tcBorders>
            <w:shd w:val="clear" w:color="auto" w:fill="F2F2F2" w:themeFill="background1" w:themeFillShade="F2"/>
          </w:tcPr>
          <w:p w:rsidR="00853A74" w:rsidRPr="00E07B1B" w:rsidRDefault="00853A74" w:rsidP="006E4135">
            <w:pPr>
              <w:pStyle w:val="TableText"/>
            </w:pPr>
            <w:r w:rsidRPr="00E07B1B">
              <w:rPr>
                <w:lang w:eastAsia="en-NZ"/>
              </w:rPr>
              <w:t>Usual obstetrical care with physician support</w:t>
            </w:r>
            <w:r>
              <w:rPr>
                <w:lang w:eastAsia="en-NZ"/>
              </w:rPr>
              <w:t>.</w:t>
            </w:r>
            <w:r w:rsidRPr="00E07B1B">
              <w:rPr>
                <w:lang w:eastAsia="en-NZ"/>
              </w:rPr>
              <w:t xml:space="preserve"> Women and caregivers were not aware of the diagnosis of glucose intolerance, at the discretion of the attending clinician</w:t>
            </w:r>
            <w:r>
              <w:rPr>
                <w:lang w:eastAsia="en-NZ"/>
              </w:rPr>
              <w:t>;</w:t>
            </w:r>
            <w:r w:rsidRPr="00E07B1B">
              <w:rPr>
                <w:lang w:eastAsia="en-NZ"/>
              </w:rPr>
              <w:t xml:space="preserve"> if indications arose that were suggestive of diabetes, further assessment for GDM was permitted, with treatment as considered appropriate</w:t>
            </w:r>
            <w:r>
              <w:rPr>
                <w:lang w:eastAsia="en-NZ"/>
              </w:rPr>
              <w:t xml:space="preserve"> </w:t>
            </w:r>
            <w:r w:rsidRPr="00E07B1B">
              <w:rPr>
                <w:lang w:eastAsia="en-NZ"/>
              </w:rPr>
              <w:t>(</w:t>
            </w:r>
            <w:r w:rsidRPr="007217AC">
              <w:rPr>
                <w:i/>
                <w:lang w:eastAsia="en-NZ"/>
              </w:rPr>
              <w:t>n</w:t>
            </w:r>
            <w:r>
              <w:rPr>
                <w:lang w:eastAsia="en-NZ"/>
              </w:rPr>
              <w:t xml:space="preserve"> </w:t>
            </w:r>
            <w:r w:rsidRPr="00E07B1B">
              <w:rPr>
                <w:lang w:eastAsia="en-NZ"/>
              </w:rPr>
              <w:t>=</w:t>
            </w:r>
            <w:r>
              <w:rPr>
                <w:lang w:eastAsia="en-NZ"/>
              </w:rPr>
              <w:t xml:space="preserve"> </w:t>
            </w:r>
            <w:r w:rsidRPr="00E07B1B">
              <w:rPr>
                <w:lang w:eastAsia="en-NZ"/>
              </w:rPr>
              <w:t>510).</w:t>
            </w:r>
          </w:p>
        </w:tc>
      </w:tr>
      <w:tr w:rsidR="00853A74" w:rsidRPr="00E07B1B" w:rsidTr="006E4135">
        <w:trPr>
          <w:cantSplit/>
        </w:trPr>
        <w:tc>
          <w:tcPr>
            <w:tcW w:w="486" w:type="pct"/>
            <w:tcBorders>
              <w:top w:val="nil"/>
              <w:bottom w:val="nil"/>
            </w:tcBorders>
            <w:shd w:val="clear" w:color="auto" w:fill="auto"/>
          </w:tcPr>
          <w:p w:rsidR="00853A74" w:rsidRPr="00E07B1B" w:rsidRDefault="00853A74" w:rsidP="006E4135">
            <w:pPr>
              <w:pStyle w:val="TableText"/>
            </w:pPr>
            <w:r w:rsidRPr="00E07B1B">
              <w:t>Gillen</w:t>
            </w:r>
            <w:r w:rsidR="006E4135">
              <w:br/>
            </w:r>
            <w:r>
              <w:t>(</w:t>
            </w:r>
            <w:r w:rsidRPr="00E07B1B">
              <w:t>2004</w:t>
            </w:r>
            <w:r>
              <w:t>)</w:t>
            </w:r>
          </w:p>
        </w:tc>
        <w:tc>
          <w:tcPr>
            <w:tcW w:w="2644" w:type="pct"/>
            <w:tcBorders>
              <w:top w:val="nil"/>
              <w:bottom w:val="nil"/>
            </w:tcBorders>
            <w:shd w:val="clear" w:color="auto" w:fill="auto"/>
          </w:tcPr>
          <w:p w:rsidR="00853A74" w:rsidRPr="00E07B1B" w:rsidRDefault="00853A74" w:rsidP="006E4135">
            <w:pPr>
              <w:pStyle w:val="TableText"/>
              <w:ind w:right="142"/>
              <w:rPr>
                <w:lang w:eastAsia="en-NZ"/>
              </w:rPr>
            </w:pPr>
            <w:r w:rsidRPr="00E07B1B">
              <w:rPr>
                <w:lang w:eastAsia="en-NZ"/>
              </w:rPr>
              <w:t xml:space="preserve">Standard clinical practice as </w:t>
            </w:r>
            <w:r>
              <w:rPr>
                <w:lang w:eastAsia="en-NZ"/>
              </w:rPr>
              <w:t>on right</w:t>
            </w:r>
            <w:r w:rsidRPr="00E07B1B">
              <w:rPr>
                <w:lang w:eastAsia="en-NZ"/>
              </w:rPr>
              <w:t>, plus advice for targeted intakes of foods rich in unsaturated fats.</w:t>
            </w:r>
          </w:p>
        </w:tc>
        <w:tc>
          <w:tcPr>
            <w:tcW w:w="1870" w:type="pct"/>
            <w:tcBorders>
              <w:top w:val="nil"/>
              <w:bottom w:val="nil"/>
            </w:tcBorders>
            <w:shd w:val="clear" w:color="auto" w:fill="auto"/>
          </w:tcPr>
          <w:p w:rsidR="00853A74" w:rsidRPr="00E07B1B" w:rsidRDefault="00853A74" w:rsidP="006E4135">
            <w:pPr>
              <w:pStyle w:val="TableText"/>
              <w:rPr>
                <w:lang w:eastAsia="en-NZ"/>
              </w:rPr>
            </w:pPr>
            <w:r w:rsidRPr="00E07B1B">
              <w:rPr>
                <w:lang w:eastAsia="en-NZ"/>
              </w:rPr>
              <w:t>Standard clinical practice (individualised carbohydrate portion-controlled meal plan, with low-fat and low-glycaemic index dietary strategies and general advice about meeting nutritional requirements of pregnancy)</w:t>
            </w:r>
            <w:r>
              <w:rPr>
                <w:lang w:eastAsia="en-NZ"/>
              </w:rPr>
              <w:t>.</w:t>
            </w:r>
          </w:p>
        </w:tc>
      </w:tr>
      <w:tr w:rsidR="00853A74" w:rsidRPr="00E07B1B" w:rsidTr="006E4135">
        <w:trPr>
          <w:cantSplit/>
        </w:trPr>
        <w:tc>
          <w:tcPr>
            <w:tcW w:w="486" w:type="pct"/>
            <w:tcBorders>
              <w:top w:val="nil"/>
              <w:bottom w:val="nil"/>
            </w:tcBorders>
            <w:shd w:val="clear" w:color="auto" w:fill="F2F2F2" w:themeFill="background1" w:themeFillShade="F2"/>
          </w:tcPr>
          <w:p w:rsidR="00853A74" w:rsidRPr="00E07B1B" w:rsidRDefault="00853A74" w:rsidP="006E4135">
            <w:pPr>
              <w:pStyle w:val="TableText"/>
            </w:pPr>
            <w:r w:rsidRPr="00E07B1B">
              <w:t>Yang</w:t>
            </w:r>
            <w:r w:rsidR="006E4135">
              <w:br/>
            </w:r>
            <w:r>
              <w:t>(</w:t>
            </w:r>
            <w:r w:rsidRPr="00E07B1B">
              <w:t>2003</w:t>
            </w:r>
            <w:r>
              <w:t>)</w:t>
            </w:r>
          </w:p>
        </w:tc>
        <w:tc>
          <w:tcPr>
            <w:tcW w:w="2644" w:type="pct"/>
            <w:tcBorders>
              <w:top w:val="nil"/>
              <w:bottom w:val="nil"/>
            </w:tcBorders>
            <w:shd w:val="clear" w:color="auto" w:fill="F2F2F2" w:themeFill="background1" w:themeFillShade="F2"/>
          </w:tcPr>
          <w:p w:rsidR="00853A74" w:rsidRPr="00E07B1B" w:rsidRDefault="00853A74" w:rsidP="006E4135">
            <w:pPr>
              <w:pStyle w:val="TableText"/>
              <w:ind w:right="142"/>
              <w:rPr>
                <w:lang w:eastAsia="en-NZ"/>
              </w:rPr>
            </w:pPr>
            <w:r w:rsidRPr="00E07B1B">
              <w:rPr>
                <w:lang w:eastAsia="en-NZ"/>
              </w:rPr>
              <w:t xml:space="preserve">Intensive care </w:t>
            </w:r>
            <w:r>
              <w:rPr>
                <w:lang w:eastAsia="en-NZ"/>
              </w:rPr>
              <w:t xml:space="preserve">with the </w:t>
            </w:r>
            <w:r w:rsidRPr="00E07B1B">
              <w:rPr>
                <w:lang w:eastAsia="en-NZ"/>
              </w:rPr>
              <w:t>Intensive Diabetes Management Plan</w:t>
            </w:r>
            <w:r>
              <w:rPr>
                <w:lang w:eastAsia="en-NZ"/>
              </w:rPr>
              <w:t>.</w:t>
            </w:r>
            <w:r w:rsidRPr="00E07B1B">
              <w:rPr>
                <w:lang w:eastAsia="en-NZ"/>
              </w:rPr>
              <w:t xml:space="preserve"> Diet and exercise advice, self</w:t>
            </w:r>
            <w:r>
              <w:rPr>
                <w:lang w:eastAsia="en-NZ"/>
              </w:rPr>
              <w:t>-</w:t>
            </w:r>
            <w:r w:rsidRPr="00E07B1B">
              <w:rPr>
                <w:lang w:eastAsia="en-NZ"/>
              </w:rPr>
              <w:t xml:space="preserve">monitoring </w:t>
            </w:r>
            <w:r>
              <w:rPr>
                <w:lang w:eastAsia="en-NZ"/>
              </w:rPr>
              <w:t xml:space="preserve">at </w:t>
            </w:r>
            <w:r w:rsidRPr="00E07B1B">
              <w:rPr>
                <w:lang w:eastAsia="en-NZ"/>
              </w:rPr>
              <w:t xml:space="preserve">home </w:t>
            </w:r>
            <w:r>
              <w:rPr>
                <w:lang w:eastAsia="en-NZ"/>
              </w:rPr>
              <w:t xml:space="preserve">of </w:t>
            </w:r>
            <w:r w:rsidRPr="00E07B1B">
              <w:rPr>
                <w:lang w:eastAsia="en-NZ"/>
              </w:rPr>
              <w:t>blood glucose +/</w:t>
            </w:r>
            <w:r>
              <w:rPr>
                <w:lang w:eastAsia="en-NZ"/>
              </w:rPr>
              <w:t>–</w:t>
            </w:r>
            <w:r w:rsidRPr="00E07B1B">
              <w:rPr>
                <w:lang w:eastAsia="en-NZ"/>
              </w:rPr>
              <w:t xml:space="preserve"> insulin if required. Fortnightly specialist review. Low calorie intake prescribed according to pregravid BMI. Goal: to achieve fasting capillary blood glucose &lt;</w:t>
            </w:r>
            <w:r>
              <w:rPr>
                <w:lang w:eastAsia="en-NZ"/>
              </w:rPr>
              <w:t xml:space="preserve"> </w:t>
            </w:r>
            <w:r w:rsidRPr="00E07B1B">
              <w:rPr>
                <w:lang w:eastAsia="en-NZ"/>
              </w:rPr>
              <w:t>5.5</w:t>
            </w:r>
            <w:r>
              <w:rPr>
                <w:lang w:eastAsia="en-NZ"/>
              </w:rPr>
              <w:t xml:space="preserve"> </w:t>
            </w:r>
            <w:r w:rsidRPr="00E07B1B">
              <w:rPr>
                <w:lang w:eastAsia="en-NZ"/>
              </w:rPr>
              <w:t>mmol/L and 1</w:t>
            </w:r>
            <w:r>
              <w:rPr>
                <w:lang w:eastAsia="en-NZ"/>
              </w:rPr>
              <w:t>-</w:t>
            </w:r>
            <w:r w:rsidRPr="00E07B1B">
              <w:rPr>
                <w:lang w:eastAsia="en-NZ"/>
              </w:rPr>
              <w:t>hour postprandial &lt;</w:t>
            </w:r>
            <w:r>
              <w:rPr>
                <w:lang w:eastAsia="en-NZ"/>
              </w:rPr>
              <w:t xml:space="preserve"> </w:t>
            </w:r>
            <w:r w:rsidRPr="00E07B1B">
              <w:rPr>
                <w:lang w:eastAsia="en-NZ"/>
              </w:rPr>
              <w:t>7.0</w:t>
            </w:r>
            <w:r>
              <w:rPr>
                <w:lang w:eastAsia="en-NZ"/>
              </w:rPr>
              <w:t xml:space="preserve"> </w:t>
            </w:r>
            <w:r w:rsidRPr="00E07B1B">
              <w:rPr>
                <w:lang w:eastAsia="en-NZ"/>
              </w:rPr>
              <w:t>mmol/L (</w:t>
            </w:r>
            <w:r w:rsidRPr="007217AC">
              <w:rPr>
                <w:i/>
                <w:lang w:eastAsia="en-NZ"/>
              </w:rPr>
              <w:t>n</w:t>
            </w:r>
            <w:r>
              <w:rPr>
                <w:lang w:eastAsia="en-NZ"/>
              </w:rPr>
              <w:t xml:space="preserve"> </w:t>
            </w:r>
            <w:r w:rsidRPr="00E07B1B">
              <w:rPr>
                <w:lang w:eastAsia="en-NZ"/>
              </w:rPr>
              <w:t>=</w:t>
            </w:r>
            <w:r>
              <w:rPr>
                <w:lang w:eastAsia="en-NZ"/>
              </w:rPr>
              <w:t xml:space="preserve"> </w:t>
            </w:r>
            <w:r w:rsidRPr="00E07B1B">
              <w:rPr>
                <w:lang w:eastAsia="en-NZ"/>
              </w:rPr>
              <w:t>95).</w:t>
            </w:r>
          </w:p>
        </w:tc>
        <w:tc>
          <w:tcPr>
            <w:tcW w:w="1870" w:type="pct"/>
            <w:tcBorders>
              <w:top w:val="nil"/>
              <w:bottom w:val="nil"/>
            </w:tcBorders>
            <w:shd w:val="clear" w:color="auto" w:fill="F2F2F2" w:themeFill="background1" w:themeFillShade="F2"/>
          </w:tcPr>
          <w:p w:rsidR="00853A74" w:rsidRPr="00E07B1B" w:rsidRDefault="00853A74" w:rsidP="006E4135">
            <w:pPr>
              <w:pStyle w:val="TableText"/>
            </w:pPr>
            <w:r w:rsidRPr="00E07B1B">
              <w:rPr>
                <w:lang w:eastAsia="en-NZ"/>
              </w:rPr>
              <w:t>Usual obstetric care (</w:t>
            </w:r>
            <w:r w:rsidRPr="007217AC">
              <w:rPr>
                <w:i/>
                <w:lang w:eastAsia="en-NZ"/>
              </w:rPr>
              <w:t>n</w:t>
            </w:r>
            <w:r>
              <w:rPr>
                <w:lang w:eastAsia="en-NZ"/>
              </w:rPr>
              <w:t xml:space="preserve"> </w:t>
            </w:r>
            <w:r w:rsidRPr="00E07B1B">
              <w:rPr>
                <w:lang w:eastAsia="en-NZ"/>
              </w:rPr>
              <w:t>=</w:t>
            </w:r>
            <w:r>
              <w:rPr>
                <w:lang w:eastAsia="en-NZ"/>
              </w:rPr>
              <w:t xml:space="preserve"> </w:t>
            </w:r>
            <w:r w:rsidRPr="00E07B1B">
              <w:rPr>
                <w:lang w:eastAsia="en-NZ"/>
              </w:rPr>
              <w:t>55)</w:t>
            </w:r>
            <w:r>
              <w:rPr>
                <w:lang w:eastAsia="en-NZ"/>
              </w:rPr>
              <w:t>.</w:t>
            </w:r>
          </w:p>
        </w:tc>
      </w:tr>
      <w:tr w:rsidR="00853A74" w:rsidRPr="00E07B1B" w:rsidTr="006E4135">
        <w:trPr>
          <w:cantSplit/>
        </w:trPr>
        <w:tc>
          <w:tcPr>
            <w:tcW w:w="486" w:type="pct"/>
            <w:tcBorders>
              <w:top w:val="nil"/>
              <w:bottom w:val="nil"/>
            </w:tcBorders>
            <w:shd w:val="clear" w:color="auto" w:fill="auto"/>
          </w:tcPr>
          <w:p w:rsidR="00853A74" w:rsidRPr="00E07B1B" w:rsidRDefault="00853A74" w:rsidP="006E4135">
            <w:pPr>
              <w:pStyle w:val="TableText"/>
            </w:pPr>
            <w:r w:rsidRPr="00E07B1B">
              <w:t>Bancroft</w:t>
            </w:r>
            <w:r w:rsidR="006E4135">
              <w:br/>
            </w:r>
            <w:r>
              <w:t>(</w:t>
            </w:r>
            <w:r w:rsidRPr="00E07B1B">
              <w:t>2000</w:t>
            </w:r>
            <w:r>
              <w:t>)</w:t>
            </w:r>
          </w:p>
        </w:tc>
        <w:tc>
          <w:tcPr>
            <w:tcW w:w="2644" w:type="pct"/>
            <w:tcBorders>
              <w:top w:val="nil"/>
              <w:bottom w:val="nil"/>
            </w:tcBorders>
            <w:shd w:val="clear" w:color="auto" w:fill="auto"/>
          </w:tcPr>
          <w:p w:rsidR="00853A74" w:rsidRDefault="00853A74" w:rsidP="006E4135">
            <w:pPr>
              <w:pStyle w:val="TableText"/>
              <w:ind w:right="142"/>
              <w:rPr>
                <w:lang w:eastAsia="en-NZ"/>
              </w:rPr>
            </w:pPr>
            <w:r w:rsidRPr="00E07B1B">
              <w:rPr>
                <w:lang w:eastAsia="en-NZ"/>
              </w:rPr>
              <w:t>Care received in combined clinic with diabetologist and obstetrician.</w:t>
            </w:r>
          </w:p>
          <w:p w:rsidR="00853A74" w:rsidRDefault="00853A74" w:rsidP="006E4135">
            <w:pPr>
              <w:pStyle w:val="TableText"/>
              <w:ind w:right="142"/>
              <w:rPr>
                <w:lang w:eastAsia="en-NZ"/>
              </w:rPr>
            </w:pPr>
            <w:r w:rsidRPr="00E07B1B">
              <w:rPr>
                <w:lang w:eastAsia="en-NZ"/>
              </w:rPr>
              <w:t>Standard dietary advice restricting carbohydrate intake to 185</w:t>
            </w:r>
            <w:r>
              <w:rPr>
                <w:lang w:eastAsia="en-NZ"/>
              </w:rPr>
              <w:t xml:space="preserve"> </w:t>
            </w:r>
            <w:r w:rsidRPr="00E07B1B">
              <w:rPr>
                <w:lang w:eastAsia="en-NZ"/>
              </w:rPr>
              <w:t>g per day and a diet sheet listing calorific values of common foods.</w:t>
            </w:r>
          </w:p>
          <w:p w:rsidR="00853A74" w:rsidRPr="00E07B1B" w:rsidRDefault="00853A74" w:rsidP="006E4135">
            <w:pPr>
              <w:pStyle w:val="TableText"/>
              <w:ind w:right="142"/>
              <w:rPr>
                <w:lang w:eastAsia="en-NZ"/>
              </w:rPr>
            </w:pPr>
            <w:r w:rsidRPr="00E07B1B">
              <w:rPr>
                <w:lang w:eastAsia="en-NZ"/>
              </w:rPr>
              <w:t>Capillary glucose measurements 5 days a week, HbA1c</w:t>
            </w:r>
            <w:r>
              <w:rPr>
                <w:lang w:eastAsia="en-NZ"/>
              </w:rPr>
              <w:t xml:space="preserve"> </w:t>
            </w:r>
            <w:r w:rsidRPr="00E07B1B">
              <w:rPr>
                <w:lang w:eastAsia="en-NZ"/>
              </w:rPr>
              <w:t>measured monthly (insulin was introduced if</w:t>
            </w:r>
            <w:r>
              <w:rPr>
                <w:lang w:eastAsia="en-NZ"/>
              </w:rPr>
              <w:t xml:space="preserve"> </w:t>
            </w:r>
            <w:r w:rsidRPr="00E07B1B">
              <w:rPr>
                <w:lang w:eastAsia="en-NZ"/>
              </w:rPr>
              <w:t>≥</w:t>
            </w:r>
            <w:r>
              <w:rPr>
                <w:lang w:eastAsia="en-NZ"/>
              </w:rPr>
              <w:t xml:space="preserve"> </w:t>
            </w:r>
            <w:r w:rsidRPr="00E07B1B">
              <w:rPr>
                <w:lang w:eastAsia="en-NZ"/>
              </w:rPr>
              <w:t xml:space="preserve">5 capillary measurements &gt; 7.0 mmol/L in 1 week), </w:t>
            </w:r>
            <w:r>
              <w:rPr>
                <w:lang w:eastAsia="en-NZ"/>
              </w:rPr>
              <w:t>s</w:t>
            </w:r>
            <w:r w:rsidRPr="00E07B1B">
              <w:rPr>
                <w:lang w:eastAsia="en-NZ"/>
              </w:rPr>
              <w:t>erial ultrasound for growth and amniotic fluid, Doppler studies, CTG monitoring (</w:t>
            </w:r>
            <w:r w:rsidRPr="007217AC">
              <w:rPr>
                <w:i/>
                <w:lang w:eastAsia="en-NZ"/>
              </w:rPr>
              <w:t>n</w:t>
            </w:r>
            <w:r w:rsidR="006E4135">
              <w:rPr>
                <w:i/>
                <w:lang w:eastAsia="en-NZ"/>
              </w:rPr>
              <w:t> </w:t>
            </w:r>
            <w:r w:rsidRPr="00E07B1B">
              <w:rPr>
                <w:lang w:eastAsia="en-NZ"/>
              </w:rPr>
              <w:t>=</w:t>
            </w:r>
            <w:r w:rsidR="006E4135">
              <w:rPr>
                <w:lang w:eastAsia="en-NZ"/>
              </w:rPr>
              <w:t> </w:t>
            </w:r>
            <w:r w:rsidRPr="00E07B1B">
              <w:rPr>
                <w:lang w:eastAsia="en-NZ"/>
              </w:rPr>
              <w:t>32)</w:t>
            </w:r>
            <w:r>
              <w:rPr>
                <w:lang w:eastAsia="en-NZ"/>
              </w:rPr>
              <w:t>.</w:t>
            </w:r>
          </w:p>
        </w:tc>
        <w:tc>
          <w:tcPr>
            <w:tcW w:w="1870" w:type="pct"/>
            <w:tcBorders>
              <w:top w:val="nil"/>
              <w:bottom w:val="nil"/>
            </w:tcBorders>
            <w:shd w:val="clear" w:color="auto" w:fill="auto"/>
          </w:tcPr>
          <w:p w:rsidR="00853A74" w:rsidRDefault="00853A74" w:rsidP="006E4135">
            <w:pPr>
              <w:pStyle w:val="TableText"/>
              <w:rPr>
                <w:lang w:eastAsia="en-NZ"/>
              </w:rPr>
            </w:pPr>
            <w:r w:rsidRPr="00E07B1B">
              <w:rPr>
                <w:lang w:eastAsia="en-NZ"/>
              </w:rPr>
              <w:t>Care received in combined clinic with diabetologist and obstetrician</w:t>
            </w:r>
            <w:r>
              <w:rPr>
                <w:lang w:eastAsia="en-NZ"/>
              </w:rPr>
              <w:t>.</w:t>
            </w:r>
          </w:p>
          <w:p w:rsidR="00853A74" w:rsidRPr="00E07B1B" w:rsidRDefault="00853A74" w:rsidP="006E4135">
            <w:pPr>
              <w:pStyle w:val="TableText"/>
            </w:pPr>
            <w:r w:rsidRPr="00E07B1B">
              <w:rPr>
                <w:lang w:eastAsia="en-NZ"/>
              </w:rPr>
              <w:t>Dietary advice as</w:t>
            </w:r>
            <w:r>
              <w:rPr>
                <w:lang w:eastAsia="en-NZ"/>
              </w:rPr>
              <w:t xml:space="preserve"> for</w:t>
            </w:r>
            <w:r w:rsidRPr="00E07B1B">
              <w:rPr>
                <w:lang w:eastAsia="en-NZ"/>
              </w:rPr>
              <w:t xml:space="preserve"> intervention group, HbA1c monthly but no capillary glucose measurements</w:t>
            </w:r>
            <w:r>
              <w:rPr>
                <w:lang w:eastAsia="en-NZ"/>
              </w:rPr>
              <w:t>, s</w:t>
            </w:r>
            <w:r w:rsidRPr="00E07B1B">
              <w:rPr>
                <w:lang w:eastAsia="en-NZ"/>
              </w:rPr>
              <w:t>erial ultrasound for growth and amniotic fluid, Doppler studies</w:t>
            </w:r>
            <w:r>
              <w:rPr>
                <w:lang w:eastAsia="en-NZ"/>
              </w:rPr>
              <w:t xml:space="preserve"> or</w:t>
            </w:r>
            <w:r w:rsidRPr="00E07B1B">
              <w:rPr>
                <w:lang w:eastAsia="en-NZ"/>
              </w:rPr>
              <w:t xml:space="preserve"> CTG monitoring (</w:t>
            </w:r>
            <w:r w:rsidRPr="007217AC">
              <w:rPr>
                <w:i/>
                <w:lang w:eastAsia="en-NZ"/>
              </w:rPr>
              <w:t>n</w:t>
            </w:r>
            <w:r>
              <w:rPr>
                <w:lang w:eastAsia="en-NZ"/>
              </w:rPr>
              <w:t xml:space="preserve"> </w:t>
            </w:r>
            <w:r w:rsidRPr="00E07B1B">
              <w:rPr>
                <w:lang w:eastAsia="en-NZ"/>
              </w:rPr>
              <w:t>=</w:t>
            </w:r>
            <w:r>
              <w:rPr>
                <w:lang w:eastAsia="en-NZ"/>
              </w:rPr>
              <w:t xml:space="preserve"> </w:t>
            </w:r>
            <w:r w:rsidRPr="00E07B1B">
              <w:rPr>
                <w:lang w:eastAsia="en-NZ"/>
              </w:rPr>
              <w:t>36).</w:t>
            </w:r>
          </w:p>
        </w:tc>
      </w:tr>
      <w:tr w:rsidR="00853A74" w:rsidRPr="00E07B1B" w:rsidTr="006E4135">
        <w:trPr>
          <w:cantSplit/>
        </w:trPr>
        <w:tc>
          <w:tcPr>
            <w:tcW w:w="486" w:type="pct"/>
            <w:tcBorders>
              <w:top w:val="nil"/>
              <w:bottom w:val="nil"/>
            </w:tcBorders>
            <w:shd w:val="clear" w:color="auto" w:fill="F2F2F2" w:themeFill="background1" w:themeFillShade="F2"/>
          </w:tcPr>
          <w:p w:rsidR="00853A74" w:rsidRPr="00E07B1B" w:rsidRDefault="00853A74" w:rsidP="006E4135">
            <w:pPr>
              <w:pStyle w:val="TableText"/>
            </w:pPr>
            <w:r w:rsidRPr="00E07B1B">
              <w:t>Ford</w:t>
            </w:r>
            <w:r w:rsidR="006E4135">
              <w:br/>
            </w:r>
            <w:r>
              <w:t>(</w:t>
            </w:r>
            <w:r w:rsidRPr="00E07B1B">
              <w:t>1997</w:t>
            </w:r>
            <w:r>
              <w:t>)</w:t>
            </w:r>
          </w:p>
        </w:tc>
        <w:tc>
          <w:tcPr>
            <w:tcW w:w="2644" w:type="pct"/>
            <w:tcBorders>
              <w:top w:val="nil"/>
              <w:bottom w:val="nil"/>
            </w:tcBorders>
            <w:shd w:val="clear" w:color="auto" w:fill="F2F2F2" w:themeFill="background1" w:themeFillShade="F2"/>
          </w:tcPr>
          <w:p w:rsidR="00853A74" w:rsidRDefault="00853A74" w:rsidP="006E4135">
            <w:pPr>
              <w:pStyle w:val="TableText"/>
              <w:ind w:right="142"/>
              <w:rPr>
                <w:lang w:eastAsia="en-NZ"/>
              </w:rPr>
            </w:pPr>
            <w:r w:rsidRPr="00E07B1B">
              <w:rPr>
                <w:lang w:eastAsia="en-NZ"/>
              </w:rPr>
              <w:t xml:space="preserve">Specific </w:t>
            </w:r>
            <w:r>
              <w:rPr>
                <w:lang w:eastAsia="en-NZ"/>
              </w:rPr>
              <w:t>‘</w:t>
            </w:r>
            <w:r w:rsidRPr="00E07B1B">
              <w:rPr>
                <w:lang w:eastAsia="en-NZ"/>
              </w:rPr>
              <w:t>diabetic type</w:t>
            </w:r>
            <w:r>
              <w:rPr>
                <w:lang w:eastAsia="en-NZ"/>
              </w:rPr>
              <w:t>’</w:t>
            </w:r>
            <w:r w:rsidRPr="00E07B1B">
              <w:rPr>
                <w:lang w:eastAsia="en-NZ"/>
              </w:rPr>
              <w:t xml:space="preserve"> advice (ie</w:t>
            </w:r>
            <w:r>
              <w:rPr>
                <w:lang w:eastAsia="en-NZ"/>
              </w:rPr>
              <w:t>,</w:t>
            </w:r>
            <w:r w:rsidRPr="00E07B1B">
              <w:rPr>
                <w:lang w:eastAsia="en-NZ"/>
              </w:rPr>
              <w:t xml:space="preserve"> </w:t>
            </w:r>
            <w:r>
              <w:rPr>
                <w:lang w:eastAsia="en-NZ"/>
              </w:rPr>
              <w:t>‘</w:t>
            </w:r>
            <w:r w:rsidRPr="00E07B1B">
              <w:rPr>
                <w:lang w:eastAsia="en-NZ"/>
              </w:rPr>
              <w:t>high fibre, high carbohydrate, low fat and appropriate energy</w:t>
            </w:r>
            <w:r>
              <w:rPr>
                <w:lang w:eastAsia="en-NZ"/>
              </w:rPr>
              <w:t>’</w:t>
            </w:r>
            <w:r w:rsidRPr="00E07B1B">
              <w:rPr>
                <w:lang w:eastAsia="en-NZ"/>
              </w:rPr>
              <w:t>).</w:t>
            </w:r>
          </w:p>
          <w:p w:rsidR="00853A74" w:rsidRPr="00E07B1B" w:rsidRDefault="00853A74" w:rsidP="006E4135">
            <w:pPr>
              <w:pStyle w:val="TableText"/>
              <w:ind w:right="142"/>
              <w:rPr>
                <w:lang w:eastAsia="en-NZ"/>
              </w:rPr>
            </w:pPr>
            <w:r w:rsidRPr="00E07B1B">
              <w:rPr>
                <w:lang w:eastAsia="en-NZ"/>
              </w:rPr>
              <w:t>Attended clinic weekly and performed plasma glucose profiles (</w:t>
            </w:r>
            <w:r w:rsidRPr="007217AC">
              <w:rPr>
                <w:i/>
                <w:lang w:eastAsia="en-NZ"/>
              </w:rPr>
              <w:t>n</w:t>
            </w:r>
            <w:r>
              <w:rPr>
                <w:lang w:eastAsia="en-NZ"/>
              </w:rPr>
              <w:t xml:space="preserve"> </w:t>
            </w:r>
            <w:r w:rsidRPr="00E07B1B">
              <w:rPr>
                <w:lang w:eastAsia="en-NZ"/>
              </w:rPr>
              <w:t>=</w:t>
            </w:r>
            <w:r>
              <w:rPr>
                <w:lang w:eastAsia="en-NZ"/>
              </w:rPr>
              <w:t xml:space="preserve"> </w:t>
            </w:r>
            <w:r w:rsidRPr="00E07B1B">
              <w:rPr>
                <w:lang w:eastAsia="en-NZ"/>
              </w:rPr>
              <w:t>16)</w:t>
            </w:r>
            <w:r>
              <w:rPr>
                <w:lang w:eastAsia="en-NZ"/>
              </w:rPr>
              <w:t>.</w:t>
            </w:r>
          </w:p>
        </w:tc>
        <w:tc>
          <w:tcPr>
            <w:tcW w:w="1870" w:type="pct"/>
            <w:tcBorders>
              <w:top w:val="nil"/>
              <w:bottom w:val="nil"/>
            </w:tcBorders>
            <w:shd w:val="clear" w:color="auto" w:fill="F2F2F2" w:themeFill="background1" w:themeFillShade="F2"/>
          </w:tcPr>
          <w:p w:rsidR="00853A74" w:rsidRPr="00E07B1B" w:rsidRDefault="00853A74" w:rsidP="006E4135">
            <w:pPr>
              <w:pStyle w:val="TableText"/>
              <w:rPr>
                <w:lang w:eastAsia="en-NZ"/>
              </w:rPr>
            </w:pPr>
            <w:r w:rsidRPr="00E07B1B">
              <w:rPr>
                <w:lang w:eastAsia="en-NZ"/>
              </w:rPr>
              <w:t>No specific dietary advice</w:t>
            </w:r>
            <w:r>
              <w:rPr>
                <w:lang w:eastAsia="en-NZ"/>
              </w:rPr>
              <w:t>.</w:t>
            </w:r>
          </w:p>
          <w:p w:rsidR="00853A74" w:rsidRPr="00E07B1B" w:rsidRDefault="00853A74" w:rsidP="006E4135">
            <w:pPr>
              <w:pStyle w:val="TableText"/>
            </w:pPr>
            <w:r w:rsidRPr="00E07B1B">
              <w:rPr>
                <w:lang w:eastAsia="en-NZ"/>
              </w:rPr>
              <w:t>Attended clinic weekly and performed plasma glucose profiles (</w:t>
            </w:r>
            <w:r w:rsidRPr="007217AC">
              <w:rPr>
                <w:i/>
                <w:lang w:eastAsia="en-NZ"/>
              </w:rPr>
              <w:t>n</w:t>
            </w:r>
            <w:r>
              <w:rPr>
                <w:lang w:eastAsia="en-NZ"/>
              </w:rPr>
              <w:t xml:space="preserve"> </w:t>
            </w:r>
            <w:r w:rsidRPr="00E07B1B">
              <w:rPr>
                <w:lang w:eastAsia="en-NZ"/>
              </w:rPr>
              <w:t>=</w:t>
            </w:r>
            <w:r>
              <w:rPr>
                <w:lang w:eastAsia="en-NZ"/>
              </w:rPr>
              <w:t xml:space="preserve"> </w:t>
            </w:r>
            <w:r w:rsidRPr="00E07B1B">
              <w:rPr>
                <w:lang w:eastAsia="en-NZ"/>
              </w:rPr>
              <w:t>13)</w:t>
            </w:r>
            <w:r>
              <w:rPr>
                <w:lang w:eastAsia="en-NZ"/>
              </w:rPr>
              <w:t>.</w:t>
            </w:r>
          </w:p>
        </w:tc>
      </w:tr>
      <w:tr w:rsidR="00853A74" w:rsidRPr="00E07B1B" w:rsidTr="006E4135">
        <w:trPr>
          <w:cantSplit/>
        </w:trPr>
        <w:tc>
          <w:tcPr>
            <w:tcW w:w="486" w:type="pct"/>
            <w:tcBorders>
              <w:top w:val="nil"/>
              <w:bottom w:val="nil"/>
            </w:tcBorders>
            <w:shd w:val="clear" w:color="auto" w:fill="auto"/>
          </w:tcPr>
          <w:p w:rsidR="00853A74" w:rsidRPr="00E07B1B" w:rsidRDefault="00853A74" w:rsidP="006E4135">
            <w:pPr>
              <w:pStyle w:val="TableText"/>
            </w:pPr>
            <w:r w:rsidRPr="00E07B1B">
              <w:t>Garner</w:t>
            </w:r>
            <w:r w:rsidR="006E4135">
              <w:br/>
            </w:r>
            <w:r>
              <w:t>(</w:t>
            </w:r>
            <w:r w:rsidRPr="00E07B1B">
              <w:t>1997</w:t>
            </w:r>
            <w:r>
              <w:t>)</w:t>
            </w:r>
          </w:p>
        </w:tc>
        <w:tc>
          <w:tcPr>
            <w:tcW w:w="2644" w:type="pct"/>
            <w:tcBorders>
              <w:top w:val="nil"/>
              <w:bottom w:val="nil"/>
            </w:tcBorders>
            <w:shd w:val="clear" w:color="auto" w:fill="auto"/>
          </w:tcPr>
          <w:p w:rsidR="00853A74" w:rsidRDefault="00853A74" w:rsidP="006E4135">
            <w:pPr>
              <w:pStyle w:val="TableText"/>
              <w:ind w:right="142"/>
              <w:rPr>
                <w:lang w:eastAsia="en-NZ"/>
              </w:rPr>
            </w:pPr>
            <w:r w:rsidRPr="00E07B1B">
              <w:rPr>
                <w:lang w:eastAsia="en-NZ"/>
              </w:rPr>
              <w:t>Care managed by obstetrician and endocrinologist. Dietary counselling, calories restricted diet (35</w:t>
            </w:r>
            <w:r>
              <w:rPr>
                <w:lang w:eastAsia="en-NZ"/>
              </w:rPr>
              <w:t> </w:t>
            </w:r>
            <w:r w:rsidRPr="00E07B1B">
              <w:rPr>
                <w:lang w:eastAsia="en-NZ"/>
              </w:rPr>
              <w:t>kcal/kg/day)</w:t>
            </w:r>
            <w:r>
              <w:rPr>
                <w:lang w:eastAsia="en-NZ"/>
              </w:rPr>
              <w:t>.</w:t>
            </w:r>
          </w:p>
          <w:p w:rsidR="00853A74" w:rsidRDefault="00853A74" w:rsidP="006E4135">
            <w:pPr>
              <w:pStyle w:val="TableText"/>
              <w:ind w:right="142"/>
              <w:rPr>
                <w:lang w:eastAsia="en-NZ"/>
              </w:rPr>
            </w:pPr>
            <w:r w:rsidRPr="00E07B1B">
              <w:rPr>
                <w:lang w:eastAsia="en-NZ"/>
              </w:rPr>
              <w:t>Home glucose monitoring, if not controlled by di</w:t>
            </w:r>
            <w:r>
              <w:rPr>
                <w:lang w:eastAsia="en-NZ"/>
              </w:rPr>
              <w:t>et al</w:t>
            </w:r>
            <w:r w:rsidRPr="00E07B1B">
              <w:rPr>
                <w:lang w:eastAsia="en-NZ"/>
              </w:rPr>
              <w:t>one then insulin supplementation, seen biweekly</w:t>
            </w:r>
            <w:r>
              <w:rPr>
                <w:lang w:eastAsia="en-NZ"/>
              </w:rPr>
              <w:t>.</w:t>
            </w:r>
          </w:p>
          <w:p w:rsidR="00853A74" w:rsidRPr="00E07B1B" w:rsidRDefault="00853A74" w:rsidP="006E4135">
            <w:pPr>
              <w:pStyle w:val="TableText"/>
              <w:ind w:right="142"/>
              <w:rPr>
                <w:lang w:eastAsia="en-NZ"/>
              </w:rPr>
            </w:pPr>
            <w:r w:rsidRPr="00E07B1B">
              <w:rPr>
                <w:lang w:eastAsia="en-NZ"/>
              </w:rPr>
              <w:t>Ultrasound assessment of fetal growth, amniotic fluid volume and cardiac size. Aim to maintain blood glucose within the target range of &lt; 4.4</w:t>
            </w:r>
            <w:r>
              <w:rPr>
                <w:lang w:eastAsia="en-NZ"/>
              </w:rPr>
              <w:t xml:space="preserve"> </w:t>
            </w:r>
            <w:r w:rsidRPr="00E07B1B">
              <w:rPr>
                <w:lang w:eastAsia="en-NZ"/>
              </w:rPr>
              <w:t>mmol/L fasting and &lt;</w:t>
            </w:r>
            <w:r>
              <w:rPr>
                <w:lang w:eastAsia="en-NZ"/>
              </w:rPr>
              <w:t> </w:t>
            </w:r>
            <w:r w:rsidRPr="00E07B1B">
              <w:rPr>
                <w:lang w:eastAsia="en-NZ"/>
              </w:rPr>
              <w:t>7.8</w:t>
            </w:r>
            <w:r>
              <w:rPr>
                <w:lang w:eastAsia="en-NZ"/>
              </w:rPr>
              <w:t> </w:t>
            </w:r>
            <w:r w:rsidRPr="00E07B1B">
              <w:rPr>
                <w:lang w:eastAsia="en-NZ"/>
              </w:rPr>
              <w:t>mmol/L 1</w:t>
            </w:r>
            <w:r>
              <w:rPr>
                <w:lang w:eastAsia="en-NZ"/>
              </w:rPr>
              <w:t>-</w:t>
            </w:r>
            <w:r w:rsidRPr="00E07B1B">
              <w:rPr>
                <w:lang w:eastAsia="en-NZ"/>
              </w:rPr>
              <w:t>hour postprandial (</w:t>
            </w:r>
            <w:r w:rsidRPr="007217AC">
              <w:rPr>
                <w:i/>
                <w:lang w:eastAsia="en-NZ"/>
              </w:rPr>
              <w:t>n</w:t>
            </w:r>
            <w:r>
              <w:rPr>
                <w:lang w:eastAsia="en-NZ"/>
              </w:rPr>
              <w:t xml:space="preserve"> </w:t>
            </w:r>
            <w:r w:rsidRPr="00E07B1B">
              <w:rPr>
                <w:lang w:eastAsia="en-NZ"/>
              </w:rPr>
              <w:t>=</w:t>
            </w:r>
            <w:r>
              <w:rPr>
                <w:lang w:eastAsia="en-NZ"/>
              </w:rPr>
              <w:t xml:space="preserve"> </w:t>
            </w:r>
            <w:r w:rsidRPr="00E07B1B">
              <w:rPr>
                <w:lang w:eastAsia="en-NZ"/>
              </w:rPr>
              <w:t>149)</w:t>
            </w:r>
            <w:r>
              <w:rPr>
                <w:lang w:eastAsia="en-NZ"/>
              </w:rPr>
              <w:t>.</w:t>
            </w:r>
          </w:p>
        </w:tc>
        <w:tc>
          <w:tcPr>
            <w:tcW w:w="1870" w:type="pct"/>
            <w:tcBorders>
              <w:top w:val="nil"/>
              <w:bottom w:val="nil"/>
            </w:tcBorders>
            <w:shd w:val="clear" w:color="auto" w:fill="auto"/>
          </w:tcPr>
          <w:p w:rsidR="00853A74" w:rsidRDefault="00853A74" w:rsidP="006E4135">
            <w:pPr>
              <w:pStyle w:val="TableText"/>
              <w:rPr>
                <w:lang w:eastAsia="en-NZ"/>
              </w:rPr>
            </w:pPr>
            <w:r w:rsidRPr="00E07B1B">
              <w:rPr>
                <w:lang w:eastAsia="en-NZ"/>
              </w:rPr>
              <w:t>No dietary counselling but asked to continue unrestricted healthy diet for pregnancy as per Canada Food Guide.</w:t>
            </w:r>
          </w:p>
          <w:p w:rsidR="00853A74" w:rsidRPr="00E07B1B" w:rsidRDefault="00853A74" w:rsidP="006E4135">
            <w:pPr>
              <w:pStyle w:val="TableText"/>
            </w:pPr>
            <w:r w:rsidRPr="00E07B1B">
              <w:rPr>
                <w:lang w:eastAsia="en-NZ"/>
              </w:rPr>
              <w:t>Managed by the primary obstetric provider and were not seen again in the teaching unit. Treatment failures were transferred to the treatment arm of the trial and treated with diet/insulin/monitoring (</w:t>
            </w:r>
            <w:r w:rsidRPr="007217AC">
              <w:rPr>
                <w:i/>
                <w:lang w:eastAsia="en-NZ"/>
              </w:rPr>
              <w:t>n</w:t>
            </w:r>
            <w:r>
              <w:rPr>
                <w:lang w:eastAsia="en-NZ"/>
              </w:rPr>
              <w:t xml:space="preserve"> </w:t>
            </w:r>
            <w:r w:rsidRPr="00E07B1B">
              <w:rPr>
                <w:lang w:eastAsia="en-NZ"/>
              </w:rPr>
              <w:t>=</w:t>
            </w:r>
            <w:r>
              <w:rPr>
                <w:lang w:eastAsia="en-NZ"/>
              </w:rPr>
              <w:t xml:space="preserve"> </w:t>
            </w:r>
            <w:r w:rsidRPr="00E07B1B">
              <w:rPr>
                <w:lang w:eastAsia="en-NZ"/>
              </w:rPr>
              <w:t>150).</w:t>
            </w:r>
          </w:p>
        </w:tc>
      </w:tr>
      <w:tr w:rsidR="00853A74" w:rsidRPr="00E07B1B" w:rsidTr="006E4135">
        <w:trPr>
          <w:cantSplit/>
        </w:trPr>
        <w:tc>
          <w:tcPr>
            <w:tcW w:w="486" w:type="pct"/>
            <w:tcBorders>
              <w:top w:val="nil"/>
              <w:bottom w:val="nil"/>
            </w:tcBorders>
            <w:shd w:val="clear" w:color="auto" w:fill="F2F2F2" w:themeFill="background1" w:themeFillShade="F2"/>
          </w:tcPr>
          <w:p w:rsidR="00853A74" w:rsidRPr="00E07B1B" w:rsidRDefault="00853A74" w:rsidP="006E4135">
            <w:pPr>
              <w:pStyle w:val="TableText"/>
            </w:pPr>
            <w:r w:rsidRPr="00E07B1B">
              <w:t>Thompson</w:t>
            </w:r>
            <w:r w:rsidR="006E4135">
              <w:br/>
            </w:r>
            <w:r>
              <w:t>(</w:t>
            </w:r>
            <w:r w:rsidRPr="00E07B1B">
              <w:t>1990</w:t>
            </w:r>
            <w:r>
              <w:t>)</w:t>
            </w:r>
          </w:p>
        </w:tc>
        <w:tc>
          <w:tcPr>
            <w:tcW w:w="2644" w:type="pct"/>
            <w:tcBorders>
              <w:top w:val="nil"/>
              <w:bottom w:val="nil"/>
            </w:tcBorders>
            <w:shd w:val="clear" w:color="auto" w:fill="F2F2F2" w:themeFill="background1" w:themeFillShade="F2"/>
          </w:tcPr>
          <w:p w:rsidR="00853A74" w:rsidRPr="00E07B1B" w:rsidRDefault="00853A74" w:rsidP="006E4135">
            <w:pPr>
              <w:pStyle w:val="TableText"/>
              <w:ind w:right="142"/>
              <w:rPr>
                <w:lang w:eastAsia="en-NZ"/>
              </w:rPr>
            </w:pPr>
            <w:r w:rsidRPr="00E07B1B">
              <w:rPr>
                <w:lang w:eastAsia="en-NZ"/>
              </w:rPr>
              <w:t>A standard diet delivered by a nutritionist. 35</w:t>
            </w:r>
            <w:r>
              <w:rPr>
                <w:lang w:eastAsia="en-NZ"/>
              </w:rPr>
              <w:t xml:space="preserve"> </w:t>
            </w:r>
            <w:r w:rsidRPr="00E07B1B">
              <w:rPr>
                <w:lang w:eastAsia="en-NZ"/>
              </w:rPr>
              <w:t xml:space="preserve">kcal/kg ideal body weight (50% carbohydrate, 30% fat, 20% protein) divided into </w:t>
            </w:r>
            <w:r>
              <w:rPr>
                <w:lang w:eastAsia="en-NZ"/>
              </w:rPr>
              <w:t>three</w:t>
            </w:r>
            <w:r w:rsidRPr="00E07B1B">
              <w:rPr>
                <w:lang w:eastAsia="en-NZ"/>
              </w:rPr>
              <w:t xml:space="preserve"> meals and </w:t>
            </w:r>
            <w:r>
              <w:rPr>
                <w:lang w:eastAsia="en-NZ"/>
              </w:rPr>
              <w:t>two</w:t>
            </w:r>
            <w:r w:rsidRPr="00E07B1B">
              <w:rPr>
                <w:lang w:eastAsia="en-NZ"/>
              </w:rPr>
              <w:t xml:space="preserve"> snacks per day with the addition of 20 units (NPH) and 10 units regular insulin 30 minutes before breakfast (</w:t>
            </w:r>
            <w:r w:rsidRPr="004C1218">
              <w:rPr>
                <w:i/>
                <w:lang w:eastAsia="en-NZ"/>
              </w:rPr>
              <w:t>n</w:t>
            </w:r>
            <w:r>
              <w:rPr>
                <w:lang w:eastAsia="en-NZ"/>
              </w:rPr>
              <w:t xml:space="preserve"> </w:t>
            </w:r>
            <w:r w:rsidRPr="00E07B1B">
              <w:rPr>
                <w:lang w:eastAsia="en-NZ"/>
              </w:rPr>
              <w:t>=</w:t>
            </w:r>
            <w:r>
              <w:rPr>
                <w:lang w:eastAsia="en-NZ"/>
              </w:rPr>
              <w:t xml:space="preserve"> </w:t>
            </w:r>
            <w:r w:rsidRPr="00E07B1B">
              <w:rPr>
                <w:lang w:eastAsia="en-NZ"/>
              </w:rPr>
              <w:t>45)</w:t>
            </w:r>
            <w:r>
              <w:rPr>
                <w:lang w:eastAsia="en-NZ"/>
              </w:rPr>
              <w:t>.</w:t>
            </w:r>
          </w:p>
        </w:tc>
        <w:tc>
          <w:tcPr>
            <w:tcW w:w="1870" w:type="pct"/>
            <w:tcBorders>
              <w:top w:val="nil"/>
              <w:bottom w:val="nil"/>
            </w:tcBorders>
            <w:shd w:val="clear" w:color="auto" w:fill="F2F2F2" w:themeFill="background1" w:themeFillShade="F2"/>
          </w:tcPr>
          <w:p w:rsidR="00853A74" w:rsidRPr="00E07B1B" w:rsidRDefault="00853A74" w:rsidP="006E4135">
            <w:pPr>
              <w:pStyle w:val="TableText"/>
              <w:rPr>
                <w:lang w:eastAsia="en-NZ"/>
              </w:rPr>
            </w:pPr>
            <w:r w:rsidRPr="00E07B1B">
              <w:rPr>
                <w:lang w:eastAsia="en-NZ"/>
              </w:rPr>
              <w:t>A standard diet delivered by a nutritionist. 35</w:t>
            </w:r>
            <w:r>
              <w:rPr>
                <w:lang w:eastAsia="en-NZ"/>
              </w:rPr>
              <w:t> </w:t>
            </w:r>
            <w:r w:rsidRPr="00E07B1B">
              <w:rPr>
                <w:lang w:eastAsia="en-NZ"/>
              </w:rPr>
              <w:t xml:space="preserve">kcal/kg ideal body weight (50% carbohydrate, 30% fat, 20% protein) divided into </w:t>
            </w:r>
            <w:r>
              <w:rPr>
                <w:lang w:eastAsia="en-NZ"/>
              </w:rPr>
              <w:t>three</w:t>
            </w:r>
            <w:r w:rsidRPr="00E07B1B">
              <w:rPr>
                <w:lang w:eastAsia="en-NZ"/>
              </w:rPr>
              <w:t xml:space="preserve"> meals and </w:t>
            </w:r>
            <w:r>
              <w:rPr>
                <w:lang w:eastAsia="en-NZ"/>
              </w:rPr>
              <w:t>two</w:t>
            </w:r>
            <w:r w:rsidRPr="00E07B1B">
              <w:rPr>
                <w:lang w:eastAsia="en-NZ"/>
              </w:rPr>
              <w:t xml:space="preserve"> snacks per day. Supplementary insulin if glucose levels not maintained,</w:t>
            </w:r>
            <w:r w:rsidR="006E4135">
              <w:rPr>
                <w:lang w:eastAsia="en-NZ"/>
              </w:rPr>
              <w:t xml:space="preserve"> </w:t>
            </w:r>
            <w:r w:rsidRPr="00E07B1B">
              <w:rPr>
                <w:lang w:eastAsia="en-NZ"/>
              </w:rPr>
              <w:t>105</w:t>
            </w:r>
            <w:r w:rsidR="006E4135">
              <w:rPr>
                <w:lang w:eastAsia="en-NZ"/>
              </w:rPr>
              <w:t> </w:t>
            </w:r>
            <w:r w:rsidRPr="00E07B1B">
              <w:rPr>
                <w:lang w:eastAsia="en-NZ"/>
              </w:rPr>
              <w:t>mg</w:t>
            </w:r>
            <w:r>
              <w:rPr>
                <w:lang w:eastAsia="en-NZ"/>
              </w:rPr>
              <w:t>/dL</w:t>
            </w:r>
            <w:r w:rsidRPr="00E07B1B">
              <w:rPr>
                <w:lang w:eastAsia="en-NZ"/>
              </w:rPr>
              <w:t xml:space="preserve"> fasting or &lt;</w:t>
            </w:r>
            <w:r>
              <w:rPr>
                <w:lang w:eastAsia="en-NZ"/>
              </w:rPr>
              <w:t> </w:t>
            </w:r>
            <w:r w:rsidRPr="00E07B1B">
              <w:rPr>
                <w:lang w:eastAsia="en-NZ"/>
              </w:rPr>
              <w:t>120</w:t>
            </w:r>
            <w:r>
              <w:rPr>
                <w:lang w:eastAsia="en-NZ"/>
              </w:rPr>
              <w:t xml:space="preserve"> </w:t>
            </w:r>
            <w:r w:rsidRPr="00E07B1B">
              <w:rPr>
                <w:lang w:eastAsia="en-NZ"/>
              </w:rPr>
              <w:t>mg</w:t>
            </w:r>
            <w:r>
              <w:rPr>
                <w:lang w:eastAsia="en-NZ"/>
              </w:rPr>
              <w:t>/dL</w:t>
            </w:r>
            <w:r w:rsidRPr="00E07B1B">
              <w:rPr>
                <w:lang w:eastAsia="en-NZ"/>
              </w:rPr>
              <w:t xml:space="preserve"> 2</w:t>
            </w:r>
            <w:r>
              <w:rPr>
                <w:lang w:eastAsia="en-NZ"/>
              </w:rPr>
              <w:t> </w:t>
            </w:r>
            <w:r w:rsidRPr="00E07B1B">
              <w:rPr>
                <w:lang w:eastAsia="en-NZ"/>
              </w:rPr>
              <w:t>hours postprandial (</w:t>
            </w:r>
            <w:r w:rsidRPr="004C1218">
              <w:rPr>
                <w:i/>
                <w:lang w:eastAsia="en-NZ"/>
              </w:rPr>
              <w:t>n</w:t>
            </w:r>
            <w:r w:rsidR="006E4135">
              <w:rPr>
                <w:i/>
                <w:lang w:eastAsia="en-NZ"/>
              </w:rPr>
              <w:t> </w:t>
            </w:r>
            <w:r w:rsidRPr="00E07B1B">
              <w:rPr>
                <w:lang w:eastAsia="en-NZ"/>
              </w:rPr>
              <w:t>=</w:t>
            </w:r>
            <w:r w:rsidR="006E4135">
              <w:rPr>
                <w:lang w:eastAsia="en-NZ"/>
              </w:rPr>
              <w:t> </w:t>
            </w:r>
            <w:r w:rsidRPr="00E07B1B">
              <w:rPr>
                <w:lang w:eastAsia="en-NZ"/>
              </w:rPr>
              <w:t>50)</w:t>
            </w:r>
            <w:r>
              <w:rPr>
                <w:lang w:eastAsia="en-NZ"/>
              </w:rPr>
              <w:t>.</w:t>
            </w:r>
          </w:p>
        </w:tc>
      </w:tr>
      <w:tr w:rsidR="00853A74" w:rsidRPr="00E07B1B" w:rsidTr="006E4135">
        <w:trPr>
          <w:cantSplit/>
        </w:trPr>
        <w:tc>
          <w:tcPr>
            <w:tcW w:w="486" w:type="pct"/>
            <w:tcBorders>
              <w:top w:val="nil"/>
            </w:tcBorders>
            <w:shd w:val="clear" w:color="auto" w:fill="auto"/>
          </w:tcPr>
          <w:p w:rsidR="00853A74" w:rsidRPr="00E07B1B" w:rsidRDefault="00853A74" w:rsidP="006E4135">
            <w:pPr>
              <w:pStyle w:val="TableText"/>
            </w:pPr>
            <w:r w:rsidRPr="00E07B1B">
              <w:t>Langer</w:t>
            </w:r>
            <w:r w:rsidR="006E4135">
              <w:br/>
            </w:r>
            <w:r>
              <w:t>(</w:t>
            </w:r>
            <w:r w:rsidRPr="00E07B1B">
              <w:t>1989</w:t>
            </w:r>
            <w:r>
              <w:t>)</w:t>
            </w:r>
          </w:p>
        </w:tc>
        <w:tc>
          <w:tcPr>
            <w:tcW w:w="2644" w:type="pct"/>
            <w:tcBorders>
              <w:top w:val="nil"/>
            </w:tcBorders>
            <w:shd w:val="clear" w:color="auto" w:fill="auto"/>
          </w:tcPr>
          <w:p w:rsidR="00853A74" w:rsidRPr="00E07B1B" w:rsidRDefault="00853A74" w:rsidP="006E4135">
            <w:pPr>
              <w:pStyle w:val="TableText"/>
              <w:ind w:right="142"/>
              <w:rPr>
                <w:lang w:eastAsia="en-NZ"/>
              </w:rPr>
            </w:pPr>
            <w:r w:rsidRPr="00E07B1B">
              <w:rPr>
                <w:lang w:eastAsia="en-NZ"/>
              </w:rPr>
              <w:t xml:space="preserve">Managed according to diabetic protocol including dietary advice (determined by pre-pregnancy body mass index), insulin treatment based on 0.7 units per kg of body weight measured in pregnancy. All participants monitored capillary blood glucose </w:t>
            </w:r>
            <w:r>
              <w:rPr>
                <w:lang w:eastAsia="en-NZ"/>
              </w:rPr>
              <w:t>seven</w:t>
            </w:r>
            <w:r w:rsidRPr="00E07B1B">
              <w:rPr>
                <w:lang w:eastAsia="en-NZ"/>
              </w:rPr>
              <w:t xml:space="preserve"> times/day (</w:t>
            </w:r>
            <w:r w:rsidRPr="004C1218">
              <w:rPr>
                <w:i/>
                <w:lang w:eastAsia="en-NZ"/>
              </w:rPr>
              <w:t>n</w:t>
            </w:r>
            <w:r>
              <w:rPr>
                <w:lang w:eastAsia="en-NZ"/>
              </w:rPr>
              <w:t> </w:t>
            </w:r>
            <w:r w:rsidRPr="00E07B1B">
              <w:rPr>
                <w:lang w:eastAsia="en-NZ"/>
              </w:rPr>
              <w:t>=</w:t>
            </w:r>
            <w:r>
              <w:rPr>
                <w:lang w:eastAsia="en-NZ"/>
              </w:rPr>
              <w:t> </w:t>
            </w:r>
            <w:r w:rsidRPr="00E07B1B">
              <w:rPr>
                <w:lang w:eastAsia="en-NZ"/>
              </w:rPr>
              <w:t>63).</w:t>
            </w:r>
          </w:p>
        </w:tc>
        <w:tc>
          <w:tcPr>
            <w:tcW w:w="1870" w:type="pct"/>
            <w:tcBorders>
              <w:top w:val="nil"/>
            </w:tcBorders>
            <w:shd w:val="clear" w:color="auto" w:fill="auto"/>
          </w:tcPr>
          <w:p w:rsidR="00853A74" w:rsidRPr="00E07B1B" w:rsidRDefault="00853A74" w:rsidP="006E4135">
            <w:pPr>
              <w:pStyle w:val="TableText"/>
            </w:pPr>
            <w:r w:rsidRPr="00E07B1B">
              <w:rPr>
                <w:lang w:eastAsia="en-NZ"/>
              </w:rPr>
              <w:t xml:space="preserve">Continued normal eating patterns. Monitored capillary blood glucose </w:t>
            </w:r>
            <w:r>
              <w:rPr>
                <w:lang w:eastAsia="en-NZ"/>
              </w:rPr>
              <w:t>seven</w:t>
            </w:r>
            <w:r w:rsidRPr="00E07B1B">
              <w:rPr>
                <w:lang w:eastAsia="en-NZ"/>
              </w:rPr>
              <w:t xml:space="preserve"> times/day for a </w:t>
            </w:r>
            <w:r>
              <w:rPr>
                <w:lang w:eastAsia="en-NZ"/>
              </w:rPr>
              <w:t>four</w:t>
            </w:r>
            <w:r w:rsidRPr="00E07B1B">
              <w:rPr>
                <w:lang w:eastAsia="en-NZ"/>
              </w:rPr>
              <w:t>-week period for the untreated group (</w:t>
            </w:r>
            <w:r w:rsidRPr="004C1218">
              <w:rPr>
                <w:i/>
                <w:lang w:eastAsia="en-NZ"/>
              </w:rPr>
              <w:t>n</w:t>
            </w:r>
            <w:r>
              <w:rPr>
                <w:lang w:eastAsia="en-NZ"/>
              </w:rPr>
              <w:t> </w:t>
            </w:r>
            <w:r w:rsidRPr="00E07B1B">
              <w:rPr>
                <w:lang w:eastAsia="en-NZ"/>
              </w:rPr>
              <w:t>=</w:t>
            </w:r>
            <w:r>
              <w:rPr>
                <w:lang w:eastAsia="en-NZ"/>
              </w:rPr>
              <w:t> </w:t>
            </w:r>
            <w:r w:rsidRPr="00E07B1B">
              <w:rPr>
                <w:lang w:eastAsia="en-NZ"/>
              </w:rPr>
              <w:t>63).</w:t>
            </w:r>
          </w:p>
        </w:tc>
      </w:tr>
    </w:tbl>
    <w:p w:rsidR="00853A74" w:rsidRPr="00E07B1B" w:rsidRDefault="00853A74" w:rsidP="006E4135">
      <w:pPr>
        <w:pStyle w:val="Note"/>
      </w:pPr>
      <w:r>
        <w:t>Note:</w:t>
      </w:r>
      <w:r w:rsidRPr="00E07B1B">
        <w:t xml:space="preserve"> ADA </w:t>
      </w:r>
      <w:r>
        <w:t>=</w:t>
      </w:r>
      <w:r w:rsidRPr="00E07B1B">
        <w:t xml:space="preserve"> American Diabetes Association; BMI </w:t>
      </w:r>
      <w:r>
        <w:t>=</w:t>
      </w:r>
      <w:r w:rsidRPr="00E07B1B">
        <w:t xml:space="preserve"> </w:t>
      </w:r>
      <w:r>
        <w:t>b</w:t>
      </w:r>
      <w:r w:rsidRPr="00E07B1B">
        <w:t xml:space="preserve">ody mass index; CTG </w:t>
      </w:r>
      <w:r>
        <w:t>=</w:t>
      </w:r>
      <w:r w:rsidRPr="00E07B1B">
        <w:t xml:space="preserve"> cardiotocograph; GDM </w:t>
      </w:r>
      <w:r>
        <w:t>=</w:t>
      </w:r>
      <w:r w:rsidRPr="00E07B1B">
        <w:t xml:space="preserve"> gestational diabetes mellitus</w:t>
      </w:r>
      <w:r w:rsidR="006E4135">
        <w:t>.</w:t>
      </w:r>
    </w:p>
    <w:p w:rsidR="006E4135" w:rsidRDefault="00853A74" w:rsidP="006E4135">
      <w:pPr>
        <w:pStyle w:val="Source"/>
      </w:pPr>
      <w:r w:rsidRPr="00B97D4D">
        <w:t xml:space="preserve">Source: Alwan </w:t>
      </w:r>
      <w:r>
        <w:t>et al (</w:t>
      </w:r>
      <w:r w:rsidRPr="00B97D4D">
        <w:t>2009)</w:t>
      </w:r>
      <w:r w:rsidR="006E4135">
        <w:t>.</w:t>
      </w:r>
    </w:p>
    <w:p w:rsidR="00853A74" w:rsidRPr="00E07B1B" w:rsidRDefault="00853A74" w:rsidP="006E4135"/>
    <w:p w:rsidR="00853A74" w:rsidRPr="00E07B1B" w:rsidRDefault="00853A74" w:rsidP="006E4135">
      <w:pPr>
        <w:pStyle w:val="Figure"/>
      </w:pPr>
      <w:bookmarkStart w:id="531" w:name="_Toc363717822"/>
      <w:bookmarkStart w:id="532" w:name="_Toc403636053"/>
      <w:r w:rsidRPr="00E07B1B">
        <w:t>Figure 1</w:t>
      </w:r>
      <w:r w:rsidR="009E3907">
        <w:t>0</w:t>
      </w:r>
      <w:r w:rsidR="006E4135">
        <w:t>:</w:t>
      </w:r>
      <w:r w:rsidRPr="00E07B1B">
        <w:t xml:space="preserve"> Pre-eclampsia in women with gestational diabetes receiving a specific package of treatment or usual care</w:t>
      </w:r>
      <w:bookmarkEnd w:id="531"/>
      <w:bookmarkEnd w:id="532"/>
    </w:p>
    <w:p w:rsidR="00853A74" w:rsidRPr="00E07B1B" w:rsidRDefault="00853A74" w:rsidP="006E4135">
      <w:r>
        <w:rPr>
          <w:noProof/>
          <w:lang w:eastAsia="en-NZ"/>
        </w:rPr>
        <w:drawing>
          <wp:inline distT="0" distB="0" distL="0" distR="0" wp14:anchorId="197CC361" wp14:editId="62601B81">
            <wp:extent cx="7212693" cy="1637607"/>
            <wp:effectExtent l="0" t="0" r="0" b="1270"/>
            <wp:docPr id="14" name="Picture 24" descr="Figure 10: Pre-eclampsia in women with gestational diabetes receiving a specific package of treatment or usual care" title="Figure 10: Pre-eclampsia in women with gestational diabetes receiving a specific package of treatment or usu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205913" cy="1636068"/>
                    </a:xfrm>
                    <a:prstGeom prst="rect">
                      <a:avLst/>
                    </a:prstGeom>
                    <a:noFill/>
                    <a:ln>
                      <a:noFill/>
                    </a:ln>
                  </pic:spPr>
                </pic:pic>
              </a:graphicData>
            </a:graphic>
          </wp:inline>
        </w:drawing>
      </w:r>
    </w:p>
    <w:p w:rsidR="00853A74" w:rsidRPr="004C1218" w:rsidRDefault="00853A74" w:rsidP="006E4135">
      <w:pPr>
        <w:pStyle w:val="Source"/>
      </w:pPr>
      <w:r w:rsidRPr="004C1218">
        <w:t xml:space="preserve">Source: Alwan </w:t>
      </w:r>
      <w:r>
        <w:t>et al</w:t>
      </w:r>
      <w:r w:rsidRPr="004C1218">
        <w:t xml:space="preserve"> (2009)</w:t>
      </w:r>
    </w:p>
    <w:p w:rsidR="00853A74" w:rsidRPr="00E07B1B" w:rsidRDefault="00853A74" w:rsidP="006E4135"/>
    <w:p w:rsidR="00853A74" w:rsidRPr="00E07B1B" w:rsidRDefault="00853A74" w:rsidP="006E4135">
      <w:pPr>
        <w:pStyle w:val="Figure"/>
      </w:pPr>
      <w:bookmarkStart w:id="533" w:name="_Toc363717823"/>
      <w:bookmarkStart w:id="534" w:name="_Toc403636054"/>
      <w:r w:rsidRPr="00E07B1B">
        <w:t>Figure 1</w:t>
      </w:r>
      <w:r w:rsidR="009E3907">
        <w:t>1</w:t>
      </w:r>
      <w:r w:rsidR="006E4135">
        <w:t>:</w:t>
      </w:r>
      <w:r w:rsidRPr="00E07B1B">
        <w:t xml:space="preserve"> Caesarean section in women with gestational diabetes receiving a specific package of treatment or usual care</w:t>
      </w:r>
      <w:bookmarkEnd w:id="533"/>
      <w:bookmarkEnd w:id="534"/>
    </w:p>
    <w:p w:rsidR="00853A74" w:rsidRPr="00E07B1B" w:rsidRDefault="00853A74" w:rsidP="00853A74">
      <w:pPr>
        <w:rPr>
          <w:rFonts w:cs="Arial"/>
        </w:rPr>
      </w:pPr>
      <w:r>
        <w:rPr>
          <w:rFonts w:cs="Arial"/>
          <w:noProof/>
          <w:lang w:eastAsia="en-NZ"/>
        </w:rPr>
        <w:drawing>
          <wp:inline distT="0" distB="0" distL="0" distR="0" wp14:anchorId="1C0C17B4" wp14:editId="16F62730">
            <wp:extent cx="7206107" cy="2643447"/>
            <wp:effectExtent l="0" t="0" r="0" b="5080"/>
            <wp:docPr id="15" name="Picture 26" descr="Figure 11: Caesarean section in women with gestational diabetes receiving a specific package of treatment or usual care" title="Figure 11: Caesarean section in women with gestational diabetes receiving a specific package of treatment or usu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206765" cy="2643688"/>
                    </a:xfrm>
                    <a:prstGeom prst="rect">
                      <a:avLst/>
                    </a:prstGeom>
                    <a:noFill/>
                    <a:ln>
                      <a:noFill/>
                    </a:ln>
                  </pic:spPr>
                </pic:pic>
              </a:graphicData>
            </a:graphic>
          </wp:inline>
        </w:drawing>
      </w:r>
    </w:p>
    <w:p w:rsidR="00853A74" w:rsidRDefault="00853A74" w:rsidP="006E4135">
      <w:pPr>
        <w:pStyle w:val="Source"/>
      </w:pPr>
      <w:r w:rsidRPr="004C1218">
        <w:t xml:space="preserve">Source: Alwan </w:t>
      </w:r>
      <w:r>
        <w:t>et al</w:t>
      </w:r>
      <w:r w:rsidRPr="004C1218">
        <w:t xml:space="preserve"> (2009)</w:t>
      </w:r>
    </w:p>
    <w:p w:rsidR="006E4135" w:rsidRPr="006E4135" w:rsidRDefault="006E4135" w:rsidP="006E4135"/>
    <w:p w:rsidR="00853A74" w:rsidRPr="00E07B1B" w:rsidRDefault="00853A74" w:rsidP="006E4135">
      <w:pPr>
        <w:pStyle w:val="Figure"/>
      </w:pPr>
      <w:bookmarkStart w:id="535" w:name="_Toc363717824"/>
      <w:bookmarkStart w:id="536" w:name="_Toc403636055"/>
      <w:r w:rsidRPr="00E07B1B">
        <w:t>Figure 1</w:t>
      </w:r>
      <w:r w:rsidR="009E3907">
        <w:t>2</w:t>
      </w:r>
      <w:r w:rsidR="006E4135">
        <w:t>:</w:t>
      </w:r>
      <w:r w:rsidRPr="00E07B1B">
        <w:t xml:space="preserve"> Induction of labour in women with gestational diabetes receiving a specific package of treatment or usual care</w:t>
      </w:r>
      <w:bookmarkEnd w:id="535"/>
      <w:bookmarkEnd w:id="536"/>
    </w:p>
    <w:p w:rsidR="00853A74" w:rsidRPr="00E07B1B" w:rsidRDefault="00853A74" w:rsidP="006E4135">
      <w:r>
        <w:rPr>
          <w:noProof/>
          <w:lang w:eastAsia="en-NZ"/>
        </w:rPr>
        <w:drawing>
          <wp:inline distT="0" distB="0" distL="0" distR="0" wp14:anchorId="7C4A2B42" wp14:editId="446A867A">
            <wp:extent cx="7200902" cy="1645920"/>
            <wp:effectExtent l="0" t="0" r="0" b="0"/>
            <wp:docPr id="16" name="Picture 28" descr="Figure 12: Induction of labour in women with gestational diabetes receiving a specific package of treatment or usual care" title="Figure 12: Induction of labour in women with gestational diabetes receiving a specific package of treatment or usu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198482" cy="1645367"/>
                    </a:xfrm>
                    <a:prstGeom prst="rect">
                      <a:avLst/>
                    </a:prstGeom>
                    <a:noFill/>
                    <a:ln>
                      <a:noFill/>
                    </a:ln>
                  </pic:spPr>
                </pic:pic>
              </a:graphicData>
            </a:graphic>
          </wp:inline>
        </w:drawing>
      </w:r>
    </w:p>
    <w:p w:rsidR="00853A74" w:rsidRPr="004C1218" w:rsidRDefault="00853A74" w:rsidP="006E4135">
      <w:pPr>
        <w:pStyle w:val="Source"/>
        <w:rPr>
          <w:rFonts w:cs="Arial"/>
        </w:rPr>
      </w:pPr>
      <w:r w:rsidRPr="004C1218">
        <w:t xml:space="preserve">Source: Alwan </w:t>
      </w:r>
      <w:r>
        <w:t>et al</w:t>
      </w:r>
      <w:r w:rsidRPr="004C1218">
        <w:t xml:space="preserve"> (2009)</w:t>
      </w:r>
    </w:p>
    <w:p w:rsidR="00853A74" w:rsidRPr="00E07B1B" w:rsidRDefault="00853A74" w:rsidP="006E4135"/>
    <w:p w:rsidR="00853A74" w:rsidRPr="00E07B1B" w:rsidRDefault="00853A74" w:rsidP="006E4135">
      <w:pPr>
        <w:pStyle w:val="Figure"/>
      </w:pPr>
      <w:bookmarkStart w:id="537" w:name="_Toc363717825"/>
      <w:bookmarkStart w:id="538" w:name="_Toc403636056"/>
      <w:r w:rsidRPr="00E07B1B">
        <w:t>Figure 1</w:t>
      </w:r>
      <w:r w:rsidR="009E3907">
        <w:t>3</w:t>
      </w:r>
      <w:r w:rsidR="006E4135">
        <w:t>:</w:t>
      </w:r>
      <w:r w:rsidRPr="00E07B1B">
        <w:t xml:space="preserve"> Large for gestational age in infants whose mothers were treated for gestational diabetes with a specific package of treatment or usual care</w:t>
      </w:r>
      <w:bookmarkEnd w:id="537"/>
      <w:bookmarkEnd w:id="538"/>
    </w:p>
    <w:p w:rsidR="00853A74" w:rsidRDefault="00853A74" w:rsidP="006E4135">
      <w:r>
        <w:rPr>
          <w:noProof/>
          <w:lang w:eastAsia="en-NZ"/>
        </w:rPr>
        <w:drawing>
          <wp:inline distT="0" distB="0" distL="0" distR="0" wp14:anchorId="45B5C7C4" wp14:editId="69BD950C">
            <wp:extent cx="7189057" cy="2078181"/>
            <wp:effectExtent l="0" t="0" r="0" b="0"/>
            <wp:docPr id="17" name="Picture 31" descr="Figure 13: Large for gestational age in infants whose mothers were treated for gestational diabetes with a specific package of treatment or usual care" title="Figure 13: Large for gestational age in infants whose mothers were treated for gestational diabetes with a specific package of treatment or usu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192099" cy="2079060"/>
                    </a:xfrm>
                    <a:prstGeom prst="rect">
                      <a:avLst/>
                    </a:prstGeom>
                    <a:noFill/>
                    <a:ln>
                      <a:noFill/>
                    </a:ln>
                  </pic:spPr>
                </pic:pic>
              </a:graphicData>
            </a:graphic>
          </wp:inline>
        </w:drawing>
      </w:r>
    </w:p>
    <w:p w:rsidR="00853A74" w:rsidRPr="004C1218" w:rsidRDefault="00853A74" w:rsidP="006E4135">
      <w:pPr>
        <w:pStyle w:val="Source"/>
        <w:rPr>
          <w:rFonts w:cs="Arial"/>
        </w:rPr>
      </w:pPr>
      <w:r w:rsidRPr="004C1218">
        <w:t xml:space="preserve">Source: Alwan </w:t>
      </w:r>
      <w:r>
        <w:t>et al</w:t>
      </w:r>
      <w:r w:rsidRPr="004C1218">
        <w:t xml:space="preserve"> (2009)</w:t>
      </w:r>
    </w:p>
    <w:p w:rsidR="006E4135" w:rsidRDefault="006E4135" w:rsidP="006E4135">
      <w:bookmarkStart w:id="539" w:name="_Toc363717826"/>
    </w:p>
    <w:p w:rsidR="00853A74" w:rsidRPr="00E07B1B" w:rsidRDefault="00853A74" w:rsidP="006E4135">
      <w:pPr>
        <w:pStyle w:val="Figure"/>
      </w:pPr>
      <w:bookmarkStart w:id="540" w:name="_Toc403636057"/>
      <w:r w:rsidRPr="00E07B1B">
        <w:t>Figure 1</w:t>
      </w:r>
      <w:r w:rsidR="009E3907">
        <w:t>4</w:t>
      </w:r>
      <w:r w:rsidR="006E4135">
        <w:t>:</w:t>
      </w:r>
      <w:r w:rsidRPr="00E07B1B">
        <w:t xml:space="preserve"> Hyperbilirubinaemia in infants whose mothers were treated for gestational diabetes with a specific package of treatment or usual care</w:t>
      </w:r>
      <w:bookmarkEnd w:id="539"/>
      <w:bookmarkEnd w:id="540"/>
    </w:p>
    <w:p w:rsidR="00853A74" w:rsidRPr="00E07B1B" w:rsidRDefault="00853A74" w:rsidP="006E4135">
      <w:r>
        <w:rPr>
          <w:noProof/>
          <w:lang w:eastAsia="en-NZ"/>
        </w:rPr>
        <w:drawing>
          <wp:inline distT="0" distB="0" distL="0" distR="0" wp14:anchorId="290BEE50" wp14:editId="49C23DB1">
            <wp:extent cx="7189060" cy="2078182"/>
            <wp:effectExtent l="0" t="0" r="0" b="0"/>
            <wp:docPr id="18" name="Picture 455" descr="Figure 14: Hyperbilirubinaemia in infants whose mothers were treated for gestational diabetes with a specific package of treatment or usual care" title="Figure 14: Hyperbilirubinaemia in infants whose mothers were treated for gestational diabetes with a specific package of treatment or usu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192098" cy="2079060"/>
                    </a:xfrm>
                    <a:prstGeom prst="rect">
                      <a:avLst/>
                    </a:prstGeom>
                    <a:noFill/>
                    <a:ln>
                      <a:noFill/>
                    </a:ln>
                  </pic:spPr>
                </pic:pic>
              </a:graphicData>
            </a:graphic>
          </wp:inline>
        </w:drawing>
      </w:r>
    </w:p>
    <w:p w:rsidR="00853A74" w:rsidRPr="004C1218" w:rsidRDefault="00853A74" w:rsidP="006E4135">
      <w:pPr>
        <w:pStyle w:val="Source"/>
        <w:rPr>
          <w:rFonts w:cs="Arial"/>
        </w:rPr>
      </w:pPr>
      <w:r w:rsidRPr="004C1218">
        <w:t xml:space="preserve">Source: Alwan </w:t>
      </w:r>
      <w:r>
        <w:t>et al</w:t>
      </w:r>
      <w:r w:rsidRPr="004C1218">
        <w:t xml:space="preserve"> (2009)</w:t>
      </w:r>
    </w:p>
    <w:p w:rsidR="00853A74" w:rsidRPr="00E07B1B" w:rsidRDefault="00853A74" w:rsidP="006E4135"/>
    <w:p w:rsidR="00853A74" w:rsidRPr="00E07B1B" w:rsidRDefault="00853A74" w:rsidP="006E4135">
      <w:pPr>
        <w:pStyle w:val="Figure"/>
      </w:pPr>
      <w:bookmarkStart w:id="541" w:name="_Toc363717827"/>
      <w:bookmarkStart w:id="542" w:name="_Toc403636058"/>
      <w:r w:rsidRPr="00E07B1B">
        <w:t>Figure 1</w:t>
      </w:r>
      <w:r w:rsidR="009E3907">
        <w:t>5</w:t>
      </w:r>
      <w:r w:rsidR="00A66FA5">
        <w:t>:</w:t>
      </w:r>
      <w:r w:rsidRPr="00E07B1B">
        <w:t xml:space="preserve"> Shoulder dystocia in infants whose mothers were treated for gestational diabetes with a specific package of treatment or usual care</w:t>
      </w:r>
      <w:bookmarkEnd w:id="541"/>
      <w:bookmarkEnd w:id="542"/>
    </w:p>
    <w:p w:rsidR="00853A74" w:rsidRPr="00A66FA5" w:rsidRDefault="00853A74" w:rsidP="00853A74">
      <w:r>
        <w:rPr>
          <w:rFonts w:ascii="Arial" w:hAnsi="Arial" w:cs="Arial"/>
          <w:noProof/>
          <w:lang w:eastAsia="en-NZ"/>
        </w:rPr>
        <w:drawing>
          <wp:inline distT="0" distB="0" distL="0" distR="0" wp14:anchorId="3BC585D8" wp14:editId="23AC8171">
            <wp:extent cx="7202720" cy="1936866"/>
            <wp:effectExtent l="0" t="0" r="0" b="6350"/>
            <wp:docPr id="19" name="Picture 456" descr="Figure 15: Shoulder dystocia in infants whose mothers were treated for gestational diabetes with a specific package of treatment or usual care" title="Figure 15: Shoulder dystocia in infants whose mothers were treated for gestational diabetes with a specific package of treatment or usu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215840" cy="1940394"/>
                    </a:xfrm>
                    <a:prstGeom prst="rect">
                      <a:avLst/>
                    </a:prstGeom>
                    <a:noFill/>
                    <a:ln>
                      <a:noFill/>
                    </a:ln>
                  </pic:spPr>
                </pic:pic>
              </a:graphicData>
            </a:graphic>
          </wp:inline>
        </w:drawing>
      </w:r>
    </w:p>
    <w:p w:rsidR="00853A74" w:rsidRDefault="00853A74" w:rsidP="00A66FA5">
      <w:pPr>
        <w:pStyle w:val="Source"/>
      </w:pPr>
      <w:r w:rsidRPr="004C1218">
        <w:t xml:space="preserve">Source: Alwan </w:t>
      </w:r>
      <w:r>
        <w:t>et al</w:t>
      </w:r>
      <w:r w:rsidRPr="004C1218">
        <w:t xml:space="preserve"> (2009)</w:t>
      </w:r>
    </w:p>
    <w:p w:rsidR="00A66FA5" w:rsidRPr="00A66FA5" w:rsidRDefault="00A66FA5" w:rsidP="009703F7"/>
    <w:p w:rsidR="00853A74" w:rsidRPr="00E07B1B" w:rsidRDefault="00853A74" w:rsidP="009703F7">
      <w:pPr>
        <w:pStyle w:val="Table"/>
      </w:pPr>
      <w:bookmarkStart w:id="543" w:name="_Toc363717828"/>
      <w:bookmarkStart w:id="544" w:name="_Toc403635911"/>
      <w:r w:rsidRPr="00E07B1B">
        <w:t>Table 30</w:t>
      </w:r>
      <w:r w:rsidR="009703F7">
        <w:t>:</w:t>
      </w:r>
      <w:r w:rsidRPr="00E07B1B">
        <w:t xml:space="preserve"> Exercise alone versus control in women with gestational diabetes</w:t>
      </w:r>
      <w:r>
        <w:t xml:space="preserve"> –</w:t>
      </w:r>
      <w:r w:rsidRPr="00E07B1B">
        <w:t xml:space="preserve"> clinical outcomes</w:t>
      </w:r>
      <w:bookmarkEnd w:id="543"/>
      <w:bookmarkEnd w:id="544"/>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2235"/>
        <w:gridCol w:w="2018"/>
        <w:gridCol w:w="2268"/>
        <w:gridCol w:w="3969"/>
        <w:gridCol w:w="4111"/>
      </w:tblGrid>
      <w:tr w:rsidR="00853A74" w:rsidRPr="00E11191" w:rsidTr="00E11191">
        <w:trPr>
          <w:cantSplit/>
          <w:tblHeader/>
        </w:trPr>
        <w:tc>
          <w:tcPr>
            <w:tcW w:w="2235" w:type="dxa"/>
            <w:tcBorders>
              <w:top w:val="single" w:sz="4" w:space="0" w:color="auto"/>
              <w:bottom w:val="single" w:sz="4" w:space="0" w:color="auto"/>
            </w:tcBorders>
            <w:shd w:val="clear" w:color="auto" w:fill="auto"/>
          </w:tcPr>
          <w:p w:rsidR="00853A74" w:rsidRPr="00E11191" w:rsidRDefault="00853A74" w:rsidP="00E11191">
            <w:pPr>
              <w:pStyle w:val="TableText"/>
              <w:ind w:right="142"/>
              <w:rPr>
                <w:b/>
              </w:rPr>
            </w:pPr>
            <w:r w:rsidRPr="00E11191">
              <w:rPr>
                <w:b/>
              </w:rPr>
              <w:t>Outcome</w:t>
            </w:r>
          </w:p>
        </w:tc>
        <w:tc>
          <w:tcPr>
            <w:tcW w:w="2018" w:type="dxa"/>
            <w:tcBorders>
              <w:top w:val="single" w:sz="4" w:space="0" w:color="auto"/>
              <w:bottom w:val="single" w:sz="4" w:space="0" w:color="auto"/>
            </w:tcBorders>
            <w:shd w:val="clear" w:color="auto" w:fill="auto"/>
          </w:tcPr>
          <w:p w:rsidR="00853A74" w:rsidRPr="00E11191" w:rsidRDefault="00853A74" w:rsidP="00E11191">
            <w:pPr>
              <w:pStyle w:val="TableText"/>
              <w:rPr>
                <w:b/>
              </w:rPr>
            </w:pPr>
            <w:r w:rsidRPr="00E11191">
              <w:rPr>
                <w:b/>
              </w:rPr>
              <w:t>Reference</w:t>
            </w:r>
          </w:p>
        </w:tc>
        <w:tc>
          <w:tcPr>
            <w:tcW w:w="2268" w:type="dxa"/>
            <w:tcBorders>
              <w:top w:val="single" w:sz="4" w:space="0" w:color="auto"/>
              <w:bottom w:val="single" w:sz="4" w:space="0" w:color="auto"/>
            </w:tcBorders>
            <w:shd w:val="clear" w:color="auto" w:fill="auto"/>
          </w:tcPr>
          <w:p w:rsidR="00853A74" w:rsidRPr="00E11191" w:rsidRDefault="00853A74" w:rsidP="00E11191">
            <w:pPr>
              <w:pStyle w:val="TableText"/>
              <w:ind w:right="142"/>
              <w:rPr>
                <w:b/>
              </w:rPr>
            </w:pPr>
            <w:r w:rsidRPr="00E11191">
              <w:rPr>
                <w:b/>
              </w:rPr>
              <w:t>Number of trials and participants</w:t>
            </w:r>
          </w:p>
        </w:tc>
        <w:tc>
          <w:tcPr>
            <w:tcW w:w="3969" w:type="dxa"/>
            <w:tcBorders>
              <w:top w:val="single" w:sz="4" w:space="0" w:color="auto"/>
              <w:bottom w:val="single" w:sz="4" w:space="0" w:color="auto"/>
            </w:tcBorders>
            <w:shd w:val="clear" w:color="auto" w:fill="auto"/>
          </w:tcPr>
          <w:p w:rsidR="00853A74" w:rsidRPr="00E11191" w:rsidRDefault="00853A74" w:rsidP="00E11191">
            <w:pPr>
              <w:pStyle w:val="TableText"/>
              <w:rPr>
                <w:b/>
              </w:rPr>
            </w:pPr>
            <w:r w:rsidRPr="00E11191">
              <w:rPr>
                <w:b/>
              </w:rPr>
              <w:t>Type of intervention</w:t>
            </w:r>
          </w:p>
        </w:tc>
        <w:tc>
          <w:tcPr>
            <w:tcW w:w="4111" w:type="dxa"/>
            <w:tcBorders>
              <w:top w:val="single" w:sz="4" w:space="0" w:color="auto"/>
              <w:bottom w:val="single" w:sz="4" w:space="0" w:color="auto"/>
            </w:tcBorders>
            <w:shd w:val="clear" w:color="auto" w:fill="auto"/>
          </w:tcPr>
          <w:p w:rsidR="00853A74" w:rsidRPr="00E11191" w:rsidRDefault="00853A74" w:rsidP="00E11191">
            <w:pPr>
              <w:pStyle w:val="TableText"/>
              <w:rPr>
                <w:b/>
              </w:rPr>
            </w:pPr>
            <w:r w:rsidRPr="00E11191">
              <w:rPr>
                <w:b/>
              </w:rPr>
              <w:t>Results</w:t>
            </w:r>
          </w:p>
        </w:tc>
      </w:tr>
      <w:tr w:rsidR="00853A74" w:rsidRPr="00E07B1B" w:rsidTr="00E11191">
        <w:trPr>
          <w:cantSplit/>
        </w:trPr>
        <w:tc>
          <w:tcPr>
            <w:tcW w:w="2235" w:type="dxa"/>
            <w:tcBorders>
              <w:top w:val="single" w:sz="4" w:space="0" w:color="auto"/>
              <w:bottom w:val="nil"/>
            </w:tcBorders>
            <w:shd w:val="clear" w:color="auto" w:fill="F2F2F2" w:themeFill="background1" w:themeFillShade="F2"/>
          </w:tcPr>
          <w:p w:rsidR="00853A74" w:rsidRPr="00E07B1B" w:rsidRDefault="00853A74" w:rsidP="00E11191">
            <w:pPr>
              <w:pStyle w:val="TableText"/>
              <w:ind w:right="142"/>
            </w:pPr>
            <w:r w:rsidRPr="00E07B1B">
              <w:t>Preterm birth</w:t>
            </w:r>
          </w:p>
        </w:tc>
        <w:tc>
          <w:tcPr>
            <w:tcW w:w="2018" w:type="dxa"/>
            <w:tcBorders>
              <w:top w:val="single" w:sz="4" w:space="0" w:color="auto"/>
              <w:bottom w:val="nil"/>
            </w:tcBorders>
            <w:shd w:val="clear" w:color="auto" w:fill="F2F2F2" w:themeFill="background1" w:themeFillShade="F2"/>
          </w:tcPr>
          <w:p w:rsidR="00853A74" w:rsidRPr="00E07B1B" w:rsidRDefault="00853A74" w:rsidP="00E11191">
            <w:pPr>
              <w:pStyle w:val="TableText"/>
            </w:pPr>
            <w:r w:rsidRPr="00E07B1B">
              <w:t>NICE (2008)</w:t>
            </w:r>
          </w:p>
          <w:p w:rsidR="00853A74" w:rsidRPr="00E07B1B" w:rsidRDefault="00853A74" w:rsidP="00E11191">
            <w:pPr>
              <w:pStyle w:val="TableText"/>
            </w:pPr>
            <w:r w:rsidRPr="00E07B1B">
              <w:t>De Barros (2010)</w:t>
            </w:r>
          </w:p>
        </w:tc>
        <w:tc>
          <w:tcPr>
            <w:tcW w:w="2268" w:type="dxa"/>
            <w:tcBorders>
              <w:top w:val="single" w:sz="4" w:space="0" w:color="auto"/>
              <w:bottom w:val="nil"/>
            </w:tcBorders>
            <w:shd w:val="clear" w:color="auto" w:fill="F2F2F2" w:themeFill="background1" w:themeFillShade="F2"/>
          </w:tcPr>
          <w:p w:rsidR="00853A74" w:rsidRDefault="00853A74" w:rsidP="00E11191">
            <w:pPr>
              <w:pStyle w:val="TableText"/>
              <w:ind w:right="142"/>
            </w:pPr>
            <w:r w:rsidRPr="00E07B1B">
              <w:t>2 trials (</w:t>
            </w:r>
            <w:r w:rsidRPr="004C1218">
              <w:rPr>
                <w:i/>
              </w:rPr>
              <w:t>n</w:t>
            </w:r>
            <w:r>
              <w:t xml:space="preserve"> </w:t>
            </w:r>
            <w:r w:rsidRPr="00E07B1B">
              <w:t>=</w:t>
            </w:r>
            <w:r>
              <w:t xml:space="preserve"> </w:t>
            </w:r>
            <w:r w:rsidRPr="00E07B1B">
              <w:t>48)</w:t>
            </w:r>
          </w:p>
          <w:p w:rsidR="00853A74" w:rsidRDefault="00853A74" w:rsidP="00E11191">
            <w:pPr>
              <w:pStyle w:val="TableText"/>
              <w:ind w:right="142"/>
            </w:pPr>
            <w:r w:rsidRPr="00E07B1B">
              <w:t>2 trials (</w:t>
            </w:r>
            <w:r w:rsidRPr="004C1218">
              <w:rPr>
                <w:i/>
              </w:rPr>
              <w:t>n</w:t>
            </w:r>
            <w:r>
              <w:t xml:space="preserve"> </w:t>
            </w:r>
            <w:r w:rsidRPr="00E07B1B">
              <w:t>=</w:t>
            </w:r>
            <w:r>
              <w:t xml:space="preserve"> </w:t>
            </w:r>
            <w:r w:rsidRPr="00E07B1B">
              <w:t>34)</w:t>
            </w:r>
          </w:p>
          <w:p w:rsidR="00853A74" w:rsidRPr="00E07B1B" w:rsidRDefault="00853A74" w:rsidP="00E11191">
            <w:pPr>
              <w:pStyle w:val="TableText"/>
              <w:ind w:right="142"/>
            </w:pPr>
            <w:r w:rsidRPr="00E07B1B">
              <w:t>1 trial (</w:t>
            </w:r>
            <w:r w:rsidRPr="004C1218">
              <w:rPr>
                <w:i/>
              </w:rPr>
              <w:t>n</w:t>
            </w:r>
            <w:r>
              <w:t xml:space="preserve"> </w:t>
            </w:r>
            <w:r w:rsidRPr="00E07B1B">
              <w:t>=</w:t>
            </w:r>
            <w:r>
              <w:t xml:space="preserve"> </w:t>
            </w:r>
            <w:r w:rsidRPr="00E07B1B">
              <w:t>64)</w:t>
            </w:r>
          </w:p>
        </w:tc>
        <w:tc>
          <w:tcPr>
            <w:tcW w:w="3969" w:type="dxa"/>
            <w:tcBorders>
              <w:top w:val="single" w:sz="4" w:space="0" w:color="auto"/>
              <w:bottom w:val="nil"/>
            </w:tcBorders>
            <w:shd w:val="clear" w:color="auto" w:fill="F2F2F2" w:themeFill="background1" w:themeFillShade="F2"/>
          </w:tcPr>
          <w:p w:rsidR="00853A74" w:rsidRDefault="00853A74" w:rsidP="00E11191">
            <w:pPr>
              <w:pStyle w:val="TableText"/>
            </w:pPr>
            <w:r w:rsidRPr="00E07B1B">
              <w:t>Exercise +</w:t>
            </w:r>
            <w:r>
              <w:t xml:space="preserve"> </w:t>
            </w:r>
            <w:r w:rsidRPr="00E07B1B">
              <w:t>diet versus di</w:t>
            </w:r>
            <w:r>
              <w:t>et al</w:t>
            </w:r>
            <w:r w:rsidRPr="00E07B1B">
              <w:t>one</w:t>
            </w:r>
          </w:p>
          <w:p w:rsidR="00853A74" w:rsidRDefault="00853A74" w:rsidP="00E11191">
            <w:pPr>
              <w:pStyle w:val="TableText"/>
            </w:pPr>
            <w:r w:rsidRPr="00E07B1B">
              <w:t>Exercise + diet versus diet + insulin</w:t>
            </w:r>
          </w:p>
          <w:p w:rsidR="00853A74" w:rsidRPr="00E07B1B" w:rsidRDefault="00853A74" w:rsidP="00E11191">
            <w:pPr>
              <w:pStyle w:val="TableText"/>
            </w:pPr>
            <w:r w:rsidRPr="00E07B1B">
              <w:t>Resistance exercise versus usual care</w:t>
            </w:r>
          </w:p>
        </w:tc>
        <w:tc>
          <w:tcPr>
            <w:tcW w:w="4111" w:type="dxa"/>
            <w:tcBorders>
              <w:top w:val="single" w:sz="4" w:space="0" w:color="auto"/>
              <w:bottom w:val="nil"/>
            </w:tcBorders>
            <w:shd w:val="clear" w:color="auto" w:fill="F2F2F2" w:themeFill="background1" w:themeFillShade="F2"/>
          </w:tcPr>
          <w:p w:rsidR="00853A74" w:rsidRDefault="00853A74" w:rsidP="00E11191">
            <w:pPr>
              <w:pStyle w:val="TableText"/>
            </w:pPr>
            <w:r w:rsidRPr="00E07B1B">
              <w:t>No cases reported in either arm</w:t>
            </w:r>
          </w:p>
          <w:p w:rsidR="00853A74" w:rsidRDefault="00853A74" w:rsidP="00E11191">
            <w:pPr>
              <w:pStyle w:val="TableText"/>
            </w:pPr>
            <w:r w:rsidRPr="00E07B1B">
              <w:t>RR 0.50 (95%CI 0.05</w:t>
            </w:r>
            <w:r>
              <w:t>–</w:t>
            </w:r>
            <w:r w:rsidRPr="00E07B1B">
              <w:t>5.01), NS</w:t>
            </w:r>
          </w:p>
          <w:p w:rsidR="00853A74" w:rsidRPr="00E07B1B" w:rsidRDefault="00853A74" w:rsidP="00E11191">
            <w:pPr>
              <w:pStyle w:val="TableText"/>
            </w:pPr>
            <w:r w:rsidRPr="00E07B1B">
              <w:t xml:space="preserve">Both groups had </w:t>
            </w:r>
            <w:r>
              <w:t>three</w:t>
            </w:r>
            <w:r w:rsidR="00E11191">
              <w:t xml:space="preserve"> cases of preterm birth</w:t>
            </w:r>
          </w:p>
        </w:tc>
      </w:tr>
      <w:tr w:rsidR="00853A74" w:rsidRPr="00E07B1B" w:rsidTr="00E11191">
        <w:trPr>
          <w:cantSplit/>
        </w:trPr>
        <w:tc>
          <w:tcPr>
            <w:tcW w:w="2235" w:type="dxa"/>
            <w:tcBorders>
              <w:top w:val="nil"/>
              <w:bottom w:val="nil"/>
            </w:tcBorders>
            <w:shd w:val="clear" w:color="auto" w:fill="auto"/>
          </w:tcPr>
          <w:p w:rsidR="00853A74" w:rsidRPr="00E07B1B" w:rsidRDefault="00853A74" w:rsidP="00E11191">
            <w:pPr>
              <w:pStyle w:val="TableText"/>
              <w:ind w:right="142"/>
            </w:pPr>
            <w:r w:rsidRPr="00E07B1B">
              <w:t>Caesarean section</w:t>
            </w:r>
          </w:p>
        </w:tc>
        <w:tc>
          <w:tcPr>
            <w:tcW w:w="2018" w:type="dxa"/>
            <w:tcBorders>
              <w:top w:val="nil"/>
              <w:bottom w:val="nil"/>
            </w:tcBorders>
            <w:shd w:val="clear" w:color="auto" w:fill="auto"/>
          </w:tcPr>
          <w:p w:rsidR="00853A74" w:rsidRPr="00E07B1B" w:rsidRDefault="00853A74" w:rsidP="00E11191">
            <w:pPr>
              <w:pStyle w:val="TableText"/>
            </w:pPr>
            <w:r w:rsidRPr="00E07B1B">
              <w:t>NICE (2008)</w:t>
            </w:r>
          </w:p>
          <w:p w:rsidR="00853A74" w:rsidRPr="00E07B1B" w:rsidRDefault="00853A74" w:rsidP="00E11191">
            <w:pPr>
              <w:pStyle w:val="TableText"/>
            </w:pPr>
            <w:r w:rsidRPr="00E07B1B">
              <w:t>De Barros (2010)</w:t>
            </w:r>
          </w:p>
        </w:tc>
        <w:tc>
          <w:tcPr>
            <w:tcW w:w="2268" w:type="dxa"/>
            <w:tcBorders>
              <w:top w:val="nil"/>
              <w:bottom w:val="nil"/>
            </w:tcBorders>
            <w:shd w:val="clear" w:color="auto" w:fill="auto"/>
          </w:tcPr>
          <w:p w:rsidR="00853A74" w:rsidRDefault="00853A74" w:rsidP="00E11191">
            <w:pPr>
              <w:pStyle w:val="TableText"/>
              <w:ind w:right="142"/>
            </w:pPr>
            <w:r w:rsidRPr="00E07B1B">
              <w:t>1 trial (</w:t>
            </w:r>
            <w:r w:rsidRPr="004C1218">
              <w:rPr>
                <w:i/>
              </w:rPr>
              <w:t>n</w:t>
            </w:r>
            <w:r>
              <w:t xml:space="preserve"> </w:t>
            </w:r>
            <w:r w:rsidRPr="00E07B1B">
              <w:t>=</w:t>
            </w:r>
            <w:r>
              <w:t xml:space="preserve"> </w:t>
            </w:r>
            <w:r w:rsidRPr="00E07B1B">
              <w:t>29)</w:t>
            </w:r>
          </w:p>
          <w:p w:rsidR="00853A74" w:rsidRDefault="00853A74" w:rsidP="00E11191">
            <w:pPr>
              <w:pStyle w:val="TableText"/>
              <w:ind w:right="142"/>
            </w:pPr>
            <w:r w:rsidRPr="00E07B1B">
              <w:t>1 trial (</w:t>
            </w:r>
            <w:r w:rsidRPr="004C1218">
              <w:rPr>
                <w:i/>
              </w:rPr>
              <w:t>n</w:t>
            </w:r>
            <w:r>
              <w:t xml:space="preserve"> </w:t>
            </w:r>
            <w:r w:rsidRPr="00E07B1B">
              <w:t>=</w:t>
            </w:r>
            <w:r>
              <w:t xml:space="preserve"> </w:t>
            </w:r>
            <w:r w:rsidRPr="00E07B1B">
              <w:t>34)</w:t>
            </w:r>
          </w:p>
          <w:p w:rsidR="00853A74" w:rsidRPr="00E07B1B" w:rsidRDefault="00853A74" w:rsidP="00E11191">
            <w:pPr>
              <w:pStyle w:val="TableText"/>
              <w:ind w:right="142"/>
            </w:pPr>
            <w:r w:rsidRPr="00E07B1B">
              <w:t>1 trial (</w:t>
            </w:r>
            <w:r w:rsidRPr="004C1218">
              <w:rPr>
                <w:i/>
              </w:rPr>
              <w:t>n</w:t>
            </w:r>
            <w:r>
              <w:t xml:space="preserve"> </w:t>
            </w:r>
            <w:r w:rsidRPr="00E07B1B">
              <w:t>=</w:t>
            </w:r>
            <w:r>
              <w:t xml:space="preserve"> </w:t>
            </w:r>
            <w:r w:rsidRPr="00E07B1B">
              <w:t>64)</w:t>
            </w:r>
          </w:p>
        </w:tc>
        <w:tc>
          <w:tcPr>
            <w:tcW w:w="3969" w:type="dxa"/>
            <w:tcBorders>
              <w:top w:val="nil"/>
              <w:bottom w:val="nil"/>
            </w:tcBorders>
            <w:shd w:val="clear" w:color="auto" w:fill="auto"/>
          </w:tcPr>
          <w:p w:rsidR="00853A74" w:rsidRDefault="00853A74" w:rsidP="00E11191">
            <w:pPr>
              <w:pStyle w:val="TableText"/>
            </w:pPr>
            <w:r w:rsidRPr="00E07B1B">
              <w:t>Exercise +diet versus di</w:t>
            </w:r>
            <w:r>
              <w:t>et al</w:t>
            </w:r>
            <w:r w:rsidRPr="00E07B1B">
              <w:t>one</w:t>
            </w:r>
          </w:p>
          <w:p w:rsidR="00853A74" w:rsidRDefault="00853A74" w:rsidP="00E11191">
            <w:pPr>
              <w:pStyle w:val="TableText"/>
            </w:pPr>
            <w:r w:rsidRPr="00E07B1B">
              <w:t>Exercise + diet versus diet + insulin</w:t>
            </w:r>
          </w:p>
          <w:p w:rsidR="00853A74" w:rsidRPr="00E07B1B" w:rsidRDefault="00853A74" w:rsidP="00E11191">
            <w:pPr>
              <w:pStyle w:val="TableText"/>
            </w:pPr>
            <w:r w:rsidRPr="00E07B1B">
              <w:t>Resistance exercise versus usual care</w:t>
            </w:r>
          </w:p>
        </w:tc>
        <w:tc>
          <w:tcPr>
            <w:tcW w:w="4111" w:type="dxa"/>
            <w:tcBorders>
              <w:top w:val="nil"/>
              <w:bottom w:val="nil"/>
            </w:tcBorders>
            <w:shd w:val="clear" w:color="auto" w:fill="auto"/>
          </w:tcPr>
          <w:p w:rsidR="00853A74" w:rsidRDefault="00853A74" w:rsidP="00E11191">
            <w:pPr>
              <w:pStyle w:val="TableText"/>
            </w:pPr>
            <w:r w:rsidRPr="00E07B1B">
              <w:t>RR 0.93 95%CI 0.22</w:t>
            </w:r>
            <w:r>
              <w:t>–</w:t>
            </w:r>
            <w:r w:rsidRPr="00E07B1B">
              <w:t>3.88)</w:t>
            </w:r>
          </w:p>
          <w:p w:rsidR="00853A74" w:rsidRDefault="00853A74" w:rsidP="00E11191">
            <w:pPr>
              <w:pStyle w:val="TableText"/>
            </w:pPr>
            <w:r w:rsidRPr="00E07B1B">
              <w:t>RR 0.67 (95%CI 0.13</w:t>
            </w:r>
            <w:r>
              <w:t>–</w:t>
            </w:r>
            <w:r w:rsidRPr="00E07B1B">
              <w:t>3.50)</w:t>
            </w:r>
          </w:p>
          <w:p w:rsidR="00853A74" w:rsidRPr="00E07B1B" w:rsidRDefault="00853A74" w:rsidP="00E11191">
            <w:pPr>
              <w:pStyle w:val="TableText"/>
            </w:pPr>
            <w:r w:rsidRPr="00E07B1B">
              <w:t>65% versus 75%, NS</w:t>
            </w:r>
          </w:p>
        </w:tc>
      </w:tr>
      <w:tr w:rsidR="00853A74" w:rsidRPr="00E07B1B" w:rsidTr="00E11191">
        <w:trPr>
          <w:cantSplit/>
        </w:trPr>
        <w:tc>
          <w:tcPr>
            <w:tcW w:w="2235" w:type="dxa"/>
            <w:tcBorders>
              <w:top w:val="nil"/>
              <w:bottom w:val="nil"/>
            </w:tcBorders>
            <w:shd w:val="clear" w:color="auto" w:fill="F2F2F2" w:themeFill="background1" w:themeFillShade="F2"/>
          </w:tcPr>
          <w:p w:rsidR="00853A74" w:rsidRPr="00E07B1B" w:rsidRDefault="00853A74" w:rsidP="00E11191">
            <w:pPr>
              <w:pStyle w:val="TableText"/>
              <w:ind w:right="142"/>
            </w:pPr>
            <w:r w:rsidRPr="00E07B1B">
              <w:t>Stillbirth</w:t>
            </w:r>
          </w:p>
        </w:tc>
        <w:tc>
          <w:tcPr>
            <w:tcW w:w="2018" w:type="dxa"/>
            <w:tcBorders>
              <w:top w:val="nil"/>
              <w:bottom w:val="nil"/>
            </w:tcBorders>
            <w:shd w:val="clear" w:color="auto" w:fill="F2F2F2" w:themeFill="background1" w:themeFillShade="F2"/>
          </w:tcPr>
          <w:p w:rsidR="00853A74" w:rsidRPr="00E07B1B" w:rsidRDefault="00853A74" w:rsidP="00E11191">
            <w:pPr>
              <w:pStyle w:val="TableText"/>
            </w:pPr>
            <w:r w:rsidRPr="00E07B1B">
              <w:t>NICE (2008)</w:t>
            </w:r>
          </w:p>
        </w:tc>
        <w:tc>
          <w:tcPr>
            <w:tcW w:w="2268" w:type="dxa"/>
            <w:tcBorders>
              <w:top w:val="nil"/>
              <w:bottom w:val="nil"/>
            </w:tcBorders>
            <w:shd w:val="clear" w:color="auto" w:fill="F2F2F2" w:themeFill="background1" w:themeFillShade="F2"/>
          </w:tcPr>
          <w:p w:rsidR="00853A74" w:rsidRDefault="00853A74" w:rsidP="00E11191">
            <w:pPr>
              <w:pStyle w:val="TableText"/>
              <w:ind w:right="142"/>
            </w:pPr>
            <w:r w:rsidRPr="00E07B1B">
              <w:t>2 trials (</w:t>
            </w:r>
            <w:r w:rsidRPr="0016711D">
              <w:rPr>
                <w:i/>
              </w:rPr>
              <w:t>n</w:t>
            </w:r>
            <w:r>
              <w:rPr>
                <w:i/>
              </w:rPr>
              <w:t xml:space="preserve"> </w:t>
            </w:r>
            <w:r w:rsidRPr="00E07B1B">
              <w:t>=</w:t>
            </w:r>
            <w:r>
              <w:t xml:space="preserve"> </w:t>
            </w:r>
            <w:r w:rsidRPr="00E07B1B">
              <w:t>48)</w:t>
            </w:r>
          </w:p>
          <w:p w:rsidR="00853A74" w:rsidRPr="00E07B1B" w:rsidRDefault="00853A74" w:rsidP="00E11191">
            <w:pPr>
              <w:pStyle w:val="TableText"/>
              <w:ind w:right="142"/>
            </w:pPr>
            <w:r w:rsidRPr="00E07B1B">
              <w:t>1 trial (</w:t>
            </w:r>
            <w:r w:rsidRPr="0016711D">
              <w:rPr>
                <w:i/>
              </w:rPr>
              <w:t>n</w:t>
            </w:r>
            <w:r>
              <w:rPr>
                <w:i/>
              </w:rPr>
              <w:t xml:space="preserve"> </w:t>
            </w:r>
            <w:r w:rsidRPr="00E07B1B">
              <w:t>=</w:t>
            </w:r>
            <w:r>
              <w:t xml:space="preserve"> </w:t>
            </w:r>
            <w:r w:rsidRPr="00E07B1B">
              <w:t>34)</w:t>
            </w:r>
          </w:p>
        </w:tc>
        <w:tc>
          <w:tcPr>
            <w:tcW w:w="3969" w:type="dxa"/>
            <w:tcBorders>
              <w:top w:val="nil"/>
              <w:bottom w:val="nil"/>
            </w:tcBorders>
            <w:shd w:val="clear" w:color="auto" w:fill="F2F2F2" w:themeFill="background1" w:themeFillShade="F2"/>
          </w:tcPr>
          <w:p w:rsidR="00853A74" w:rsidRDefault="00853A74" w:rsidP="00E11191">
            <w:pPr>
              <w:pStyle w:val="TableText"/>
            </w:pPr>
            <w:r w:rsidRPr="00E07B1B">
              <w:t>Exercise +</w:t>
            </w:r>
            <w:r>
              <w:t xml:space="preserve"> </w:t>
            </w:r>
            <w:r w:rsidRPr="00E07B1B">
              <w:t>diet versus di</w:t>
            </w:r>
            <w:r>
              <w:t>et al</w:t>
            </w:r>
            <w:r w:rsidRPr="00E07B1B">
              <w:t>one</w:t>
            </w:r>
          </w:p>
          <w:p w:rsidR="00853A74" w:rsidRPr="00E07B1B" w:rsidRDefault="00853A74" w:rsidP="00E11191">
            <w:pPr>
              <w:pStyle w:val="TableText"/>
            </w:pPr>
            <w:r w:rsidRPr="00E07B1B">
              <w:t>Exercise + diet versus diet + insulin</w:t>
            </w:r>
          </w:p>
        </w:tc>
        <w:tc>
          <w:tcPr>
            <w:tcW w:w="4111" w:type="dxa"/>
            <w:tcBorders>
              <w:top w:val="nil"/>
              <w:bottom w:val="nil"/>
            </w:tcBorders>
            <w:shd w:val="clear" w:color="auto" w:fill="F2F2F2" w:themeFill="background1" w:themeFillShade="F2"/>
          </w:tcPr>
          <w:p w:rsidR="00853A74" w:rsidRPr="00E07B1B" w:rsidRDefault="00853A74" w:rsidP="00E11191">
            <w:pPr>
              <w:pStyle w:val="TableText"/>
            </w:pPr>
            <w:r w:rsidRPr="00E07B1B">
              <w:t>There were no stillbirths</w:t>
            </w:r>
          </w:p>
        </w:tc>
      </w:tr>
      <w:tr w:rsidR="00853A74" w:rsidRPr="00E07B1B" w:rsidTr="00E11191">
        <w:trPr>
          <w:cantSplit/>
        </w:trPr>
        <w:tc>
          <w:tcPr>
            <w:tcW w:w="2235" w:type="dxa"/>
            <w:tcBorders>
              <w:top w:val="nil"/>
              <w:bottom w:val="nil"/>
            </w:tcBorders>
            <w:shd w:val="clear" w:color="auto" w:fill="auto"/>
          </w:tcPr>
          <w:p w:rsidR="00853A74" w:rsidRPr="00E07B1B" w:rsidRDefault="00853A74" w:rsidP="00E11191">
            <w:pPr>
              <w:pStyle w:val="TableText"/>
              <w:ind w:right="142"/>
            </w:pPr>
            <w:r w:rsidRPr="00E07B1B">
              <w:t>Induction of labour</w:t>
            </w:r>
          </w:p>
        </w:tc>
        <w:tc>
          <w:tcPr>
            <w:tcW w:w="2018" w:type="dxa"/>
            <w:tcBorders>
              <w:top w:val="nil"/>
              <w:bottom w:val="nil"/>
            </w:tcBorders>
            <w:shd w:val="clear" w:color="auto" w:fill="auto"/>
          </w:tcPr>
          <w:p w:rsidR="00853A74" w:rsidRPr="00E07B1B" w:rsidRDefault="00853A74" w:rsidP="00E11191">
            <w:pPr>
              <w:pStyle w:val="TableText"/>
            </w:pPr>
            <w:r w:rsidRPr="00E07B1B">
              <w:t>NICE (2008)</w:t>
            </w:r>
          </w:p>
        </w:tc>
        <w:tc>
          <w:tcPr>
            <w:tcW w:w="2268" w:type="dxa"/>
            <w:tcBorders>
              <w:top w:val="nil"/>
              <w:bottom w:val="nil"/>
            </w:tcBorders>
            <w:shd w:val="clear" w:color="auto" w:fill="auto"/>
          </w:tcPr>
          <w:p w:rsidR="00853A74" w:rsidRPr="00E07B1B" w:rsidRDefault="00853A74" w:rsidP="00E11191">
            <w:pPr>
              <w:pStyle w:val="TableText"/>
              <w:ind w:right="142"/>
            </w:pPr>
            <w:r w:rsidRPr="00E07B1B">
              <w:t>1 trial (</w:t>
            </w:r>
            <w:r w:rsidRPr="0016711D">
              <w:rPr>
                <w:i/>
              </w:rPr>
              <w:t>n</w:t>
            </w:r>
            <w:r>
              <w:rPr>
                <w:i/>
              </w:rPr>
              <w:t xml:space="preserve"> </w:t>
            </w:r>
            <w:r w:rsidRPr="00E07B1B">
              <w:t>=</w:t>
            </w:r>
            <w:r>
              <w:t xml:space="preserve"> </w:t>
            </w:r>
            <w:r w:rsidRPr="00E07B1B">
              <w:t>34)</w:t>
            </w:r>
          </w:p>
        </w:tc>
        <w:tc>
          <w:tcPr>
            <w:tcW w:w="3969" w:type="dxa"/>
            <w:tcBorders>
              <w:top w:val="nil"/>
              <w:bottom w:val="nil"/>
            </w:tcBorders>
            <w:shd w:val="clear" w:color="auto" w:fill="auto"/>
          </w:tcPr>
          <w:p w:rsidR="00853A74" w:rsidRPr="00E07B1B" w:rsidRDefault="00853A74" w:rsidP="00E11191">
            <w:pPr>
              <w:pStyle w:val="TableText"/>
            </w:pPr>
            <w:r w:rsidRPr="00E07B1B">
              <w:t>Exercise + diet versus diet + insulin</w:t>
            </w:r>
          </w:p>
        </w:tc>
        <w:tc>
          <w:tcPr>
            <w:tcW w:w="4111" w:type="dxa"/>
            <w:tcBorders>
              <w:top w:val="nil"/>
              <w:bottom w:val="nil"/>
            </w:tcBorders>
            <w:shd w:val="clear" w:color="auto" w:fill="auto"/>
          </w:tcPr>
          <w:p w:rsidR="00853A74" w:rsidRPr="00E07B1B" w:rsidRDefault="00853A74" w:rsidP="00E11191">
            <w:pPr>
              <w:pStyle w:val="TableText"/>
            </w:pPr>
            <w:r w:rsidRPr="00E07B1B">
              <w:t>RR 0.50 (95%CI 0.05</w:t>
            </w:r>
            <w:r>
              <w:t>–</w:t>
            </w:r>
            <w:r w:rsidRPr="00E07B1B">
              <w:t>5.01)</w:t>
            </w:r>
          </w:p>
        </w:tc>
      </w:tr>
      <w:tr w:rsidR="00853A74" w:rsidRPr="00E07B1B" w:rsidTr="00E11191">
        <w:trPr>
          <w:cantSplit/>
        </w:trPr>
        <w:tc>
          <w:tcPr>
            <w:tcW w:w="2235" w:type="dxa"/>
            <w:tcBorders>
              <w:top w:val="nil"/>
              <w:bottom w:val="nil"/>
            </w:tcBorders>
            <w:shd w:val="clear" w:color="auto" w:fill="F2F2F2" w:themeFill="background1" w:themeFillShade="F2"/>
          </w:tcPr>
          <w:p w:rsidR="00853A74" w:rsidRPr="00E07B1B" w:rsidRDefault="00853A74" w:rsidP="00E11191">
            <w:pPr>
              <w:pStyle w:val="TableText"/>
              <w:ind w:right="142"/>
            </w:pPr>
            <w:r w:rsidRPr="00E07B1B">
              <w:t>Neonatal hypoglycaemia</w:t>
            </w:r>
          </w:p>
        </w:tc>
        <w:tc>
          <w:tcPr>
            <w:tcW w:w="2018" w:type="dxa"/>
            <w:tcBorders>
              <w:top w:val="nil"/>
              <w:bottom w:val="nil"/>
            </w:tcBorders>
            <w:shd w:val="clear" w:color="auto" w:fill="F2F2F2" w:themeFill="background1" w:themeFillShade="F2"/>
          </w:tcPr>
          <w:p w:rsidR="00853A74" w:rsidRPr="00E07B1B" w:rsidRDefault="00853A74" w:rsidP="00E11191">
            <w:pPr>
              <w:pStyle w:val="TableText"/>
            </w:pPr>
            <w:r w:rsidRPr="00E07B1B">
              <w:t>NICE (2008)</w:t>
            </w:r>
          </w:p>
        </w:tc>
        <w:tc>
          <w:tcPr>
            <w:tcW w:w="2268" w:type="dxa"/>
            <w:tcBorders>
              <w:top w:val="nil"/>
              <w:bottom w:val="nil"/>
            </w:tcBorders>
            <w:shd w:val="clear" w:color="auto" w:fill="F2F2F2" w:themeFill="background1" w:themeFillShade="F2"/>
          </w:tcPr>
          <w:p w:rsidR="00853A74" w:rsidRPr="00E07B1B" w:rsidRDefault="00853A74" w:rsidP="00E11191">
            <w:pPr>
              <w:pStyle w:val="TableText"/>
              <w:ind w:right="142"/>
            </w:pPr>
            <w:r w:rsidRPr="00E07B1B">
              <w:t>1 trial (</w:t>
            </w:r>
            <w:r w:rsidRPr="0016711D">
              <w:rPr>
                <w:i/>
              </w:rPr>
              <w:t>n</w:t>
            </w:r>
            <w:r>
              <w:rPr>
                <w:i/>
              </w:rPr>
              <w:t xml:space="preserve"> </w:t>
            </w:r>
            <w:r w:rsidRPr="00E07B1B">
              <w:t>=</w:t>
            </w:r>
            <w:r>
              <w:t xml:space="preserve"> </w:t>
            </w:r>
            <w:r w:rsidRPr="00E07B1B">
              <w:t>34)</w:t>
            </w:r>
          </w:p>
        </w:tc>
        <w:tc>
          <w:tcPr>
            <w:tcW w:w="3969" w:type="dxa"/>
            <w:tcBorders>
              <w:top w:val="nil"/>
              <w:bottom w:val="nil"/>
            </w:tcBorders>
            <w:shd w:val="clear" w:color="auto" w:fill="F2F2F2" w:themeFill="background1" w:themeFillShade="F2"/>
          </w:tcPr>
          <w:p w:rsidR="00853A74" w:rsidRPr="00E07B1B" w:rsidRDefault="00853A74" w:rsidP="00E11191">
            <w:pPr>
              <w:pStyle w:val="TableText"/>
            </w:pPr>
            <w:r w:rsidRPr="00E07B1B">
              <w:t>Exercise + diet versus diet + insulin</w:t>
            </w:r>
          </w:p>
        </w:tc>
        <w:tc>
          <w:tcPr>
            <w:tcW w:w="4111" w:type="dxa"/>
            <w:tcBorders>
              <w:top w:val="nil"/>
              <w:bottom w:val="nil"/>
            </w:tcBorders>
            <w:shd w:val="clear" w:color="auto" w:fill="F2F2F2" w:themeFill="background1" w:themeFillShade="F2"/>
          </w:tcPr>
          <w:p w:rsidR="00853A74" w:rsidRPr="00E07B1B" w:rsidRDefault="00853A74" w:rsidP="00E11191">
            <w:pPr>
              <w:pStyle w:val="TableText"/>
            </w:pPr>
            <w:r w:rsidRPr="00E07B1B">
              <w:t>RR 2.0 (95</w:t>
            </w:r>
            <w:r>
              <w:t>%</w:t>
            </w:r>
            <w:r w:rsidRPr="00E07B1B">
              <w:t>CI 0.20</w:t>
            </w:r>
            <w:r>
              <w:t>–</w:t>
            </w:r>
            <w:r w:rsidRPr="00E07B1B">
              <w:t>20.04)</w:t>
            </w:r>
          </w:p>
        </w:tc>
      </w:tr>
      <w:tr w:rsidR="00853A74" w:rsidRPr="00E07B1B" w:rsidTr="00E11191">
        <w:trPr>
          <w:cantSplit/>
        </w:trPr>
        <w:tc>
          <w:tcPr>
            <w:tcW w:w="2235" w:type="dxa"/>
            <w:vMerge w:val="restart"/>
            <w:tcBorders>
              <w:top w:val="nil"/>
            </w:tcBorders>
            <w:shd w:val="clear" w:color="auto" w:fill="auto"/>
          </w:tcPr>
          <w:p w:rsidR="00853A74" w:rsidRPr="00E07B1B" w:rsidRDefault="00853A74" w:rsidP="00E11191">
            <w:pPr>
              <w:pStyle w:val="TableText"/>
              <w:ind w:right="142"/>
            </w:pPr>
            <w:r w:rsidRPr="00E07B1B">
              <w:t>Gestational weight gain</w:t>
            </w:r>
          </w:p>
        </w:tc>
        <w:tc>
          <w:tcPr>
            <w:tcW w:w="2018" w:type="dxa"/>
            <w:tcBorders>
              <w:top w:val="nil"/>
            </w:tcBorders>
            <w:shd w:val="clear" w:color="auto" w:fill="auto"/>
          </w:tcPr>
          <w:p w:rsidR="00853A74" w:rsidRPr="00E07B1B" w:rsidRDefault="00853A74" w:rsidP="00E11191">
            <w:pPr>
              <w:pStyle w:val="TableText"/>
            </w:pPr>
            <w:r w:rsidRPr="00E07B1B">
              <w:t>De Barros (2010)</w:t>
            </w:r>
          </w:p>
        </w:tc>
        <w:tc>
          <w:tcPr>
            <w:tcW w:w="2268" w:type="dxa"/>
            <w:tcBorders>
              <w:top w:val="nil"/>
            </w:tcBorders>
            <w:shd w:val="clear" w:color="auto" w:fill="auto"/>
          </w:tcPr>
          <w:p w:rsidR="00853A74" w:rsidRPr="00E07B1B" w:rsidRDefault="00853A74" w:rsidP="00E11191">
            <w:pPr>
              <w:pStyle w:val="TableText"/>
              <w:ind w:right="142"/>
            </w:pPr>
            <w:r w:rsidRPr="00E07B1B">
              <w:t>1 trial (</w:t>
            </w:r>
            <w:r w:rsidRPr="0016711D">
              <w:rPr>
                <w:i/>
              </w:rPr>
              <w:t>n</w:t>
            </w:r>
            <w:r>
              <w:rPr>
                <w:i/>
              </w:rPr>
              <w:t xml:space="preserve"> </w:t>
            </w:r>
            <w:r w:rsidRPr="00E07B1B">
              <w:t>=</w:t>
            </w:r>
            <w:r>
              <w:t xml:space="preserve"> </w:t>
            </w:r>
            <w:r w:rsidRPr="00E07B1B">
              <w:t>64)</w:t>
            </w:r>
          </w:p>
        </w:tc>
        <w:tc>
          <w:tcPr>
            <w:tcW w:w="3969" w:type="dxa"/>
            <w:tcBorders>
              <w:top w:val="nil"/>
            </w:tcBorders>
            <w:shd w:val="clear" w:color="auto" w:fill="auto"/>
          </w:tcPr>
          <w:p w:rsidR="00853A74" w:rsidRPr="00E07B1B" w:rsidRDefault="00853A74" w:rsidP="00E11191">
            <w:pPr>
              <w:pStyle w:val="TableText"/>
            </w:pPr>
            <w:r w:rsidRPr="00E07B1B">
              <w:t>Resistance exercise versus usual care</w:t>
            </w:r>
          </w:p>
        </w:tc>
        <w:tc>
          <w:tcPr>
            <w:tcW w:w="4111" w:type="dxa"/>
            <w:tcBorders>
              <w:top w:val="nil"/>
            </w:tcBorders>
            <w:shd w:val="clear" w:color="auto" w:fill="auto"/>
          </w:tcPr>
          <w:p w:rsidR="00853A74" w:rsidRPr="00E07B1B" w:rsidRDefault="00853A74" w:rsidP="00E11191">
            <w:pPr>
              <w:pStyle w:val="TableText"/>
            </w:pPr>
            <w:r w:rsidRPr="00E07B1B">
              <w:t>NS</w:t>
            </w:r>
          </w:p>
        </w:tc>
      </w:tr>
      <w:tr w:rsidR="00853A74" w:rsidRPr="00E07B1B" w:rsidTr="00E11191">
        <w:trPr>
          <w:cantSplit/>
        </w:trPr>
        <w:tc>
          <w:tcPr>
            <w:tcW w:w="2235" w:type="dxa"/>
            <w:vMerge/>
            <w:shd w:val="clear" w:color="auto" w:fill="auto"/>
          </w:tcPr>
          <w:p w:rsidR="00853A74" w:rsidRPr="00E07B1B" w:rsidRDefault="00853A74" w:rsidP="00E11191">
            <w:pPr>
              <w:pStyle w:val="TableText"/>
              <w:ind w:right="142"/>
            </w:pPr>
          </w:p>
        </w:tc>
        <w:tc>
          <w:tcPr>
            <w:tcW w:w="2018" w:type="dxa"/>
            <w:shd w:val="clear" w:color="auto" w:fill="auto"/>
          </w:tcPr>
          <w:p w:rsidR="00853A74" w:rsidRPr="00E07B1B" w:rsidRDefault="00853A74" w:rsidP="00E11191">
            <w:pPr>
              <w:pStyle w:val="TableText"/>
            </w:pPr>
            <w:r w:rsidRPr="00E07B1B">
              <w:t>D</w:t>
            </w:r>
            <w:r>
              <w:t>i</w:t>
            </w:r>
            <w:r w:rsidRPr="00E07B1B">
              <w:t>Nallo (2008)</w:t>
            </w:r>
          </w:p>
        </w:tc>
        <w:tc>
          <w:tcPr>
            <w:tcW w:w="2268" w:type="dxa"/>
            <w:shd w:val="clear" w:color="auto" w:fill="auto"/>
          </w:tcPr>
          <w:p w:rsidR="00853A74" w:rsidRPr="00E07B1B" w:rsidRDefault="00853A74" w:rsidP="00E11191">
            <w:pPr>
              <w:pStyle w:val="TableText"/>
              <w:ind w:right="142"/>
            </w:pPr>
            <w:r w:rsidRPr="00E07B1B">
              <w:t>1 trial</w:t>
            </w:r>
            <w:r>
              <w:t xml:space="preserve"> </w:t>
            </w:r>
            <w:r w:rsidRPr="00E07B1B">
              <w:t>(</w:t>
            </w:r>
            <w:r w:rsidRPr="0016711D">
              <w:rPr>
                <w:i/>
              </w:rPr>
              <w:t>n</w:t>
            </w:r>
            <w:r>
              <w:rPr>
                <w:i/>
              </w:rPr>
              <w:t xml:space="preserve"> </w:t>
            </w:r>
            <w:r w:rsidRPr="00E07B1B">
              <w:t>=</w:t>
            </w:r>
            <w:r>
              <w:t xml:space="preserve"> </w:t>
            </w:r>
            <w:r w:rsidRPr="00E07B1B">
              <w:t>96)</w:t>
            </w:r>
          </w:p>
        </w:tc>
        <w:tc>
          <w:tcPr>
            <w:tcW w:w="3969" w:type="dxa"/>
            <w:shd w:val="clear" w:color="auto" w:fill="auto"/>
          </w:tcPr>
          <w:p w:rsidR="00853A74" w:rsidRPr="00E07B1B" w:rsidRDefault="00853A74" w:rsidP="00E11191">
            <w:pPr>
              <w:pStyle w:val="TableText"/>
            </w:pPr>
            <w:r w:rsidRPr="00E07B1B">
              <w:t>Exercise +</w:t>
            </w:r>
            <w:r>
              <w:t xml:space="preserve"> </w:t>
            </w:r>
            <w:r w:rsidRPr="00E07B1B">
              <w:t>diet versus di</w:t>
            </w:r>
            <w:r>
              <w:t>et al</w:t>
            </w:r>
            <w:r w:rsidRPr="00E07B1B">
              <w:t>one</w:t>
            </w:r>
          </w:p>
        </w:tc>
        <w:tc>
          <w:tcPr>
            <w:tcW w:w="4111" w:type="dxa"/>
            <w:shd w:val="clear" w:color="auto" w:fill="auto"/>
          </w:tcPr>
          <w:p w:rsidR="00853A74" w:rsidRPr="00E07B1B" w:rsidRDefault="00853A74" w:rsidP="00E11191">
            <w:pPr>
              <w:pStyle w:val="TableText"/>
            </w:pPr>
            <w:r w:rsidRPr="00E07B1B">
              <w:t>Effect size 0.50</w:t>
            </w:r>
          </w:p>
        </w:tc>
      </w:tr>
    </w:tbl>
    <w:p w:rsidR="00853A74" w:rsidRDefault="00853A74" w:rsidP="00E11191">
      <w:pPr>
        <w:pStyle w:val="Note"/>
      </w:pPr>
      <w:r>
        <w:t xml:space="preserve">Note: CI = confidence interval; </w:t>
      </w:r>
      <w:r w:rsidRPr="00E07B1B">
        <w:t xml:space="preserve">NICE </w:t>
      </w:r>
      <w:r>
        <w:t xml:space="preserve">= </w:t>
      </w:r>
      <w:r w:rsidRPr="00E07B1B">
        <w:t xml:space="preserve">National Institute </w:t>
      </w:r>
      <w:r>
        <w:t>for Health and Care</w:t>
      </w:r>
      <w:r w:rsidRPr="00E07B1B">
        <w:t xml:space="preserve"> Excellence</w:t>
      </w:r>
      <w:r>
        <w:t>;</w:t>
      </w:r>
      <w:r w:rsidRPr="009F2C91">
        <w:t xml:space="preserve"> </w:t>
      </w:r>
      <w:r w:rsidRPr="00E07B1B">
        <w:t xml:space="preserve">NS </w:t>
      </w:r>
      <w:r>
        <w:t xml:space="preserve">= </w:t>
      </w:r>
      <w:r w:rsidRPr="00E07B1B">
        <w:t>not significant</w:t>
      </w:r>
      <w:r>
        <w:t>;</w:t>
      </w:r>
      <w:r w:rsidRPr="00E07B1B">
        <w:t xml:space="preserve"> RR </w:t>
      </w:r>
      <w:r>
        <w:t>= r</w:t>
      </w:r>
      <w:r w:rsidRPr="00E07B1B">
        <w:t>isk ratio</w:t>
      </w:r>
      <w:r w:rsidR="00E11191">
        <w:t>.</w:t>
      </w:r>
    </w:p>
    <w:p w:rsidR="00E11191" w:rsidRPr="00E11191" w:rsidRDefault="00E11191" w:rsidP="00E11191"/>
    <w:p w:rsidR="00853A74" w:rsidRPr="00E07B1B" w:rsidRDefault="00853A74" w:rsidP="00E11191">
      <w:pPr>
        <w:pStyle w:val="Table"/>
      </w:pPr>
      <w:bookmarkStart w:id="545" w:name="_Toc363717829"/>
      <w:bookmarkStart w:id="546" w:name="_Toc403635912"/>
      <w:r w:rsidRPr="00E07B1B">
        <w:t>Table 31</w:t>
      </w:r>
      <w:r w:rsidR="00E11191">
        <w:t>:</w:t>
      </w:r>
      <w:r w:rsidRPr="00E07B1B">
        <w:t xml:space="preserve"> Recommendations for dietary interventions for women with gestational diabetes</w:t>
      </w:r>
      <w:bookmarkEnd w:id="545"/>
      <w:bookmarkEnd w:id="546"/>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4962"/>
        <w:gridCol w:w="9639"/>
      </w:tblGrid>
      <w:tr w:rsidR="00853A74" w:rsidRPr="00E11191" w:rsidTr="00E11191">
        <w:trPr>
          <w:cantSplit/>
          <w:tblHeader/>
        </w:trPr>
        <w:tc>
          <w:tcPr>
            <w:tcW w:w="4962" w:type="dxa"/>
            <w:tcBorders>
              <w:top w:val="single" w:sz="4" w:space="0" w:color="auto"/>
              <w:bottom w:val="single" w:sz="4" w:space="0" w:color="auto"/>
            </w:tcBorders>
            <w:shd w:val="clear" w:color="auto" w:fill="auto"/>
          </w:tcPr>
          <w:p w:rsidR="00853A74" w:rsidRPr="00E11191" w:rsidRDefault="00853A74" w:rsidP="00E11191">
            <w:pPr>
              <w:pStyle w:val="TableText"/>
              <w:keepNext/>
              <w:ind w:right="142"/>
              <w:rPr>
                <w:b/>
              </w:rPr>
            </w:pPr>
            <w:r w:rsidRPr="00E11191">
              <w:rPr>
                <w:b/>
              </w:rPr>
              <w:t>Reference</w:t>
            </w:r>
          </w:p>
        </w:tc>
        <w:tc>
          <w:tcPr>
            <w:tcW w:w="9639" w:type="dxa"/>
            <w:tcBorders>
              <w:top w:val="single" w:sz="4" w:space="0" w:color="auto"/>
              <w:bottom w:val="single" w:sz="4" w:space="0" w:color="auto"/>
            </w:tcBorders>
            <w:shd w:val="clear" w:color="auto" w:fill="auto"/>
          </w:tcPr>
          <w:p w:rsidR="00853A74" w:rsidRPr="00E11191" w:rsidRDefault="00853A74" w:rsidP="00E11191">
            <w:pPr>
              <w:pStyle w:val="TableText"/>
              <w:keepNext/>
              <w:rPr>
                <w:b/>
              </w:rPr>
            </w:pPr>
            <w:r w:rsidRPr="00E11191">
              <w:rPr>
                <w:b/>
              </w:rPr>
              <w:t>Advice/recommendation</w:t>
            </w:r>
          </w:p>
        </w:tc>
      </w:tr>
      <w:tr w:rsidR="00853A74" w:rsidRPr="00E07B1B" w:rsidTr="00E11191">
        <w:trPr>
          <w:cantSplit/>
        </w:trPr>
        <w:tc>
          <w:tcPr>
            <w:tcW w:w="4962" w:type="dxa"/>
            <w:tcBorders>
              <w:top w:val="single" w:sz="4" w:space="0" w:color="auto"/>
              <w:bottom w:val="nil"/>
            </w:tcBorders>
            <w:shd w:val="clear" w:color="auto" w:fill="F2F2F2" w:themeFill="background1" w:themeFillShade="F2"/>
          </w:tcPr>
          <w:p w:rsidR="00853A74" w:rsidRPr="00E07B1B" w:rsidRDefault="00853A74" w:rsidP="00E11191">
            <w:pPr>
              <w:pStyle w:val="TableText"/>
              <w:keepNext/>
              <w:ind w:right="142"/>
            </w:pPr>
            <w:r w:rsidRPr="00E07B1B">
              <w:t>American Diabetes Association (2012)</w:t>
            </w:r>
          </w:p>
        </w:tc>
        <w:tc>
          <w:tcPr>
            <w:tcW w:w="9639" w:type="dxa"/>
            <w:tcBorders>
              <w:top w:val="single" w:sz="4" w:space="0" w:color="auto"/>
              <w:bottom w:val="nil"/>
            </w:tcBorders>
            <w:shd w:val="clear" w:color="auto" w:fill="F2F2F2" w:themeFill="background1" w:themeFillShade="F2"/>
          </w:tcPr>
          <w:p w:rsidR="00853A74" w:rsidRPr="00E07B1B" w:rsidRDefault="00853A74" w:rsidP="00E11191">
            <w:pPr>
              <w:pStyle w:val="TableText"/>
              <w:keepNext/>
            </w:pPr>
            <w:r w:rsidRPr="00E07B1B">
              <w:t>Individualised Medical Nutrition Therapy should be provided to achieve treatment goals</w:t>
            </w:r>
            <w:r>
              <w:t>. T</w:t>
            </w:r>
            <w:r w:rsidRPr="00E07B1B">
              <w:t>his is optimally provided by a registered dietician who is familiar with the components of Medical Nutrition Therapy</w:t>
            </w:r>
            <w:r>
              <w:t>.</w:t>
            </w:r>
          </w:p>
        </w:tc>
      </w:tr>
      <w:tr w:rsidR="00853A74" w:rsidRPr="00E07B1B" w:rsidTr="00E11191">
        <w:trPr>
          <w:cantSplit/>
        </w:trPr>
        <w:tc>
          <w:tcPr>
            <w:tcW w:w="4962" w:type="dxa"/>
            <w:tcBorders>
              <w:top w:val="nil"/>
              <w:bottom w:val="nil"/>
            </w:tcBorders>
            <w:shd w:val="clear" w:color="auto" w:fill="auto"/>
          </w:tcPr>
          <w:p w:rsidR="00853A74" w:rsidRPr="00E07B1B" w:rsidRDefault="00853A74" w:rsidP="00E11191">
            <w:pPr>
              <w:pStyle w:val="TableText"/>
              <w:keepNext/>
              <w:ind w:right="142"/>
            </w:pPr>
            <w:r w:rsidRPr="00E07B1B">
              <w:t>Canadian Diabetes Association (2008)</w:t>
            </w:r>
            <w:r>
              <w:t>,</w:t>
            </w:r>
            <w:r w:rsidRPr="00E07B1B">
              <w:t xml:space="preserve"> Caribbean Health Research Council (2006) and Health Service Executive</w:t>
            </w:r>
            <w:r>
              <w:t>, Ireland</w:t>
            </w:r>
            <w:r w:rsidRPr="00E07B1B">
              <w:t xml:space="preserve"> (2010)</w:t>
            </w:r>
          </w:p>
        </w:tc>
        <w:tc>
          <w:tcPr>
            <w:tcW w:w="9639" w:type="dxa"/>
            <w:tcBorders>
              <w:top w:val="nil"/>
              <w:bottom w:val="nil"/>
            </w:tcBorders>
            <w:shd w:val="clear" w:color="auto" w:fill="auto"/>
          </w:tcPr>
          <w:p w:rsidR="00853A74" w:rsidRPr="00E07B1B" w:rsidRDefault="00853A74" w:rsidP="00E11191">
            <w:pPr>
              <w:pStyle w:val="TableText"/>
              <w:keepNext/>
            </w:pPr>
            <w:r w:rsidRPr="00E07B1B">
              <w:t>Women should be evaluated and followed by a registered dietician</w:t>
            </w:r>
            <w:r w:rsidR="00E11191">
              <w:t>.</w:t>
            </w:r>
          </w:p>
        </w:tc>
      </w:tr>
      <w:tr w:rsidR="00853A74" w:rsidRPr="00E07B1B" w:rsidTr="00E11191">
        <w:trPr>
          <w:cantSplit/>
        </w:trPr>
        <w:tc>
          <w:tcPr>
            <w:tcW w:w="4962" w:type="dxa"/>
            <w:tcBorders>
              <w:top w:val="nil"/>
              <w:bottom w:val="nil"/>
            </w:tcBorders>
            <w:shd w:val="clear" w:color="auto" w:fill="F2F2F2" w:themeFill="background1" w:themeFillShade="F2"/>
          </w:tcPr>
          <w:p w:rsidR="00853A74" w:rsidRPr="00E07B1B" w:rsidRDefault="00853A74" w:rsidP="00E11191">
            <w:pPr>
              <w:pStyle w:val="TableText"/>
              <w:keepNext/>
              <w:ind w:right="142"/>
            </w:pPr>
            <w:r w:rsidRPr="00E07B1B">
              <w:t>American Dietetic Association (2008)</w:t>
            </w:r>
          </w:p>
        </w:tc>
        <w:tc>
          <w:tcPr>
            <w:tcW w:w="9639" w:type="dxa"/>
            <w:tcBorders>
              <w:top w:val="nil"/>
              <w:bottom w:val="nil"/>
            </w:tcBorders>
            <w:shd w:val="clear" w:color="auto" w:fill="F2F2F2" w:themeFill="background1" w:themeFillShade="F2"/>
          </w:tcPr>
          <w:p w:rsidR="00853A74" w:rsidRPr="00E07B1B" w:rsidRDefault="00853A74" w:rsidP="00E11191">
            <w:pPr>
              <w:pStyle w:val="TableText"/>
              <w:keepNext/>
            </w:pPr>
            <w:r w:rsidRPr="00E07B1B">
              <w:t xml:space="preserve">Medical Nutrition Therapy should be initiated within </w:t>
            </w:r>
            <w:r>
              <w:t>one</w:t>
            </w:r>
            <w:r w:rsidRPr="00E07B1B">
              <w:t xml:space="preserve"> week of diagnosis of gestational diabetes</w:t>
            </w:r>
            <w:r>
              <w:t>. T</w:t>
            </w:r>
            <w:r w:rsidRPr="00E07B1B">
              <w:t xml:space="preserve">he same </w:t>
            </w:r>
            <w:r>
              <w:t>is</w:t>
            </w:r>
            <w:r w:rsidRPr="00E07B1B">
              <w:t xml:space="preserve"> appropriate for women with impaired glucose tolerance</w:t>
            </w:r>
            <w:r>
              <w:t>.</w:t>
            </w:r>
          </w:p>
        </w:tc>
      </w:tr>
      <w:tr w:rsidR="00853A74" w:rsidRPr="00E07B1B" w:rsidTr="00E11191">
        <w:trPr>
          <w:cantSplit/>
        </w:trPr>
        <w:tc>
          <w:tcPr>
            <w:tcW w:w="4962" w:type="dxa"/>
            <w:tcBorders>
              <w:top w:val="nil"/>
              <w:bottom w:val="nil"/>
            </w:tcBorders>
            <w:shd w:val="clear" w:color="auto" w:fill="auto"/>
          </w:tcPr>
          <w:p w:rsidR="00853A74" w:rsidRPr="00E07B1B" w:rsidRDefault="00853A74" w:rsidP="00E11191">
            <w:pPr>
              <w:pStyle w:val="TableText"/>
              <w:ind w:right="142"/>
            </w:pPr>
            <w:r w:rsidRPr="00E07B1B">
              <w:t>Scottish Intercollegiate Guideline</w:t>
            </w:r>
            <w:r>
              <w:t>s</w:t>
            </w:r>
            <w:r w:rsidRPr="00E07B1B">
              <w:t xml:space="preserve"> Network (</w:t>
            </w:r>
            <w:r>
              <w:t xml:space="preserve">SIGN </w:t>
            </w:r>
            <w:r w:rsidRPr="00E07B1B">
              <w:t xml:space="preserve">2010) and Brazilian Diabetes Society and Brazilian Federation of Gynecology and Obstetrics guideline (Negrato </w:t>
            </w:r>
            <w:r>
              <w:t xml:space="preserve">et al </w:t>
            </w:r>
            <w:r w:rsidRPr="00E07B1B">
              <w:t>2010)</w:t>
            </w:r>
          </w:p>
        </w:tc>
        <w:tc>
          <w:tcPr>
            <w:tcW w:w="9639" w:type="dxa"/>
            <w:tcBorders>
              <w:top w:val="nil"/>
              <w:bottom w:val="nil"/>
            </w:tcBorders>
            <w:shd w:val="clear" w:color="auto" w:fill="auto"/>
          </w:tcPr>
          <w:p w:rsidR="00853A74" w:rsidRPr="00E07B1B" w:rsidRDefault="00853A74" w:rsidP="00E11191">
            <w:pPr>
              <w:pStyle w:val="TableText"/>
            </w:pPr>
            <w:r w:rsidRPr="00E07B1B">
              <w:t>Pregnant women with gestational diabetes should be offered dietary advice</w:t>
            </w:r>
            <w:r>
              <w:t>. These guidelines</w:t>
            </w:r>
            <w:r w:rsidRPr="00E07B1B">
              <w:t xml:space="preserve"> do not specify who should be responsible for the provision of the advice</w:t>
            </w:r>
            <w:r>
              <w:t>.</w:t>
            </w:r>
          </w:p>
        </w:tc>
      </w:tr>
      <w:tr w:rsidR="00853A74" w:rsidRPr="00E07B1B" w:rsidTr="00E11191">
        <w:trPr>
          <w:cantSplit/>
        </w:trPr>
        <w:tc>
          <w:tcPr>
            <w:tcW w:w="4962" w:type="dxa"/>
            <w:tcBorders>
              <w:top w:val="nil"/>
              <w:bottom w:val="nil"/>
            </w:tcBorders>
            <w:shd w:val="clear" w:color="auto" w:fill="F2F2F2" w:themeFill="background1" w:themeFillShade="F2"/>
          </w:tcPr>
          <w:p w:rsidR="00853A74" w:rsidRPr="00E07B1B" w:rsidRDefault="00853A74" w:rsidP="00E11191">
            <w:pPr>
              <w:pStyle w:val="TableText"/>
              <w:ind w:right="142"/>
            </w:pPr>
            <w:r w:rsidRPr="00E07B1B">
              <w:t>American Diabetes Association (2012)</w:t>
            </w:r>
          </w:p>
        </w:tc>
        <w:tc>
          <w:tcPr>
            <w:tcW w:w="9639" w:type="dxa"/>
            <w:tcBorders>
              <w:top w:val="nil"/>
              <w:bottom w:val="nil"/>
            </w:tcBorders>
            <w:shd w:val="clear" w:color="auto" w:fill="F2F2F2" w:themeFill="background1" w:themeFillShade="F2"/>
          </w:tcPr>
          <w:p w:rsidR="00853A74" w:rsidRPr="00E07B1B" w:rsidRDefault="00853A74" w:rsidP="00E11191">
            <w:pPr>
              <w:pStyle w:val="TableText"/>
            </w:pPr>
            <w:r w:rsidRPr="00E07B1B">
              <w:t>The mixture of carbohydrates, protein and fat intake may be adjusted to meet individual metabolic goals and individual preferences of the person with diabetes</w:t>
            </w:r>
            <w:r>
              <w:t>.</w:t>
            </w:r>
          </w:p>
        </w:tc>
      </w:tr>
      <w:tr w:rsidR="00853A74" w:rsidRPr="00E07B1B" w:rsidTr="00E11191">
        <w:trPr>
          <w:cantSplit/>
        </w:trPr>
        <w:tc>
          <w:tcPr>
            <w:tcW w:w="4962" w:type="dxa"/>
            <w:tcBorders>
              <w:top w:val="nil"/>
              <w:bottom w:val="nil"/>
            </w:tcBorders>
            <w:shd w:val="clear" w:color="auto" w:fill="auto"/>
          </w:tcPr>
          <w:p w:rsidR="00853A74" w:rsidRPr="00E07B1B" w:rsidRDefault="00853A74" w:rsidP="00E11191">
            <w:pPr>
              <w:pStyle w:val="TableText"/>
              <w:ind w:right="142"/>
            </w:pPr>
            <w:r w:rsidRPr="00E07B1B">
              <w:t>Health Service Executive</w:t>
            </w:r>
            <w:r>
              <w:t>, Ireland</w:t>
            </w:r>
            <w:r w:rsidRPr="00E07B1B">
              <w:t xml:space="preserve"> (2010)</w:t>
            </w:r>
          </w:p>
        </w:tc>
        <w:tc>
          <w:tcPr>
            <w:tcW w:w="9639" w:type="dxa"/>
            <w:tcBorders>
              <w:top w:val="nil"/>
              <w:bottom w:val="nil"/>
            </w:tcBorders>
            <w:shd w:val="clear" w:color="auto" w:fill="auto"/>
          </w:tcPr>
          <w:p w:rsidR="00853A74" w:rsidRPr="00E07B1B" w:rsidRDefault="00853A74" w:rsidP="00E11191">
            <w:pPr>
              <w:pStyle w:val="TableText"/>
            </w:pPr>
            <w:r w:rsidRPr="00E07B1B">
              <w:t>Adequate energy intake provid</w:t>
            </w:r>
            <w:r>
              <w:t>es</w:t>
            </w:r>
            <w:r w:rsidRPr="00E07B1B">
              <w:t xml:space="preserve"> appropriate weight gain during pregnancy</w:t>
            </w:r>
            <w:r>
              <w:t>.</w:t>
            </w:r>
          </w:p>
        </w:tc>
      </w:tr>
      <w:tr w:rsidR="00853A74" w:rsidRPr="00E07B1B" w:rsidTr="00E11191">
        <w:trPr>
          <w:cantSplit/>
        </w:trPr>
        <w:tc>
          <w:tcPr>
            <w:tcW w:w="4962" w:type="dxa"/>
            <w:tcBorders>
              <w:top w:val="nil"/>
              <w:bottom w:val="nil"/>
            </w:tcBorders>
            <w:shd w:val="clear" w:color="auto" w:fill="F2F2F2" w:themeFill="background1" w:themeFillShade="F2"/>
          </w:tcPr>
          <w:p w:rsidR="00853A74" w:rsidRPr="00E07B1B" w:rsidRDefault="00853A74" w:rsidP="00E11191">
            <w:pPr>
              <w:pStyle w:val="TableText"/>
              <w:ind w:right="142"/>
            </w:pPr>
            <w:r w:rsidRPr="00E07B1B">
              <w:t>American Dietetic Association (2008)</w:t>
            </w:r>
          </w:p>
        </w:tc>
        <w:tc>
          <w:tcPr>
            <w:tcW w:w="9639" w:type="dxa"/>
            <w:tcBorders>
              <w:top w:val="nil"/>
              <w:bottom w:val="nil"/>
            </w:tcBorders>
            <w:shd w:val="clear" w:color="auto" w:fill="F2F2F2" w:themeFill="background1" w:themeFillShade="F2"/>
          </w:tcPr>
          <w:p w:rsidR="00853A74" w:rsidRPr="00E07B1B" w:rsidRDefault="00853A74" w:rsidP="00E11191">
            <w:pPr>
              <w:pStyle w:val="TableText"/>
            </w:pPr>
            <w:r w:rsidRPr="00E07B1B">
              <w:t>Limited evidence regarding fibre, fat, protein and glycaemic index intake in women with gestational diabetes</w:t>
            </w:r>
            <w:r>
              <w:t>.</w:t>
            </w:r>
          </w:p>
        </w:tc>
      </w:tr>
      <w:tr w:rsidR="00853A74" w:rsidRPr="00E07B1B" w:rsidTr="00E11191">
        <w:trPr>
          <w:cantSplit/>
        </w:trPr>
        <w:tc>
          <w:tcPr>
            <w:tcW w:w="4962" w:type="dxa"/>
            <w:tcBorders>
              <w:top w:val="nil"/>
              <w:bottom w:val="nil"/>
            </w:tcBorders>
            <w:shd w:val="clear" w:color="auto" w:fill="auto"/>
          </w:tcPr>
          <w:p w:rsidR="00853A74" w:rsidRPr="00E07B1B" w:rsidRDefault="00853A74" w:rsidP="00E11191">
            <w:pPr>
              <w:pStyle w:val="TableText"/>
              <w:ind w:right="142"/>
            </w:pPr>
            <w:r w:rsidRPr="00E07B1B">
              <w:t>American Diabetes Association (2012)</w:t>
            </w:r>
            <w:r>
              <w:t xml:space="preserve">, </w:t>
            </w:r>
            <w:r w:rsidRPr="00E07B1B">
              <w:t>International Diabetes Federation (2009)</w:t>
            </w:r>
            <w:r>
              <w:t xml:space="preserve">, </w:t>
            </w:r>
            <w:r w:rsidRPr="00E07B1B">
              <w:t>Health Service Executive</w:t>
            </w:r>
            <w:r>
              <w:t>, Ireland</w:t>
            </w:r>
            <w:r w:rsidRPr="00E07B1B">
              <w:t xml:space="preserve"> (2010)</w:t>
            </w:r>
            <w:r>
              <w:t xml:space="preserve"> </w:t>
            </w:r>
            <w:r w:rsidRPr="00E07B1B">
              <w:t>and Brazilian Diabetes Society and Brazilian Federation of Gynecology and Obstetrics guideline</w:t>
            </w:r>
            <w:r>
              <w:t xml:space="preserve"> </w:t>
            </w:r>
            <w:r w:rsidRPr="00E07B1B">
              <w:t>(Negrato 2010)</w:t>
            </w:r>
          </w:p>
        </w:tc>
        <w:tc>
          <w:tcPr>
            <w:tcW w:w="9639" w:type="dxa"/>
            <w:tcBorders>
              <w:top w:val="nil"/>
              <w:bottom w:val="nil"/>
            </w:tcBorders>
            <w:shd w:val="clear" w:color="auto" w:fill="auto"/>
          </w:tcPr>
          <w:p w:rsidR="00853A74" w:rsidRPr="00E07B1B" w:rsidRDefault="00853A74" w:rsidP="00E11191">
            <w:pPr>
              <w:pStyle w:val="TableText"/>
            </w:pPr>
            <w:r w:rsidRPr="00E07B1B">
              <w:t>Monitoring of carbohydrate intake is a key strategy for optimising glycaemic control</w:t>
            </w:r>
            <w:r>
              <w:t>.</w:t>
            </w:r>
          </w:p>
        </w:tc>
      </w:tr>
      <w:tr w:rsidR="00853A74" w:rsidRPr="00E07B1B" w:rsidTr="00E11191">
        <w:trPr>
          <w:cantSplit/>
        </w:trPr>
        <w:tc>
          <w:tcPr>
            <w:tcW w:w="4962" w:type="dxa"/>
            <w:tcBorders>
              <w:top w:val="nil"/>
              <w:bottom w:val="nil"/>
            </w:tcBorders>
            <w:shd w:val="clear" w:color="auto" w:fill="F2F2F2" w:themeFill="background1" w:themeFillShade="F2"/>
          </w:tcPr>
          <w:p w:rsidR="00853A74" w:rsidRPr="00E07B1B" w:rsidRDefault="00853A74" w:rsidP="00E11191">
            <w:pPr>
              <w:pStyle w:val="TableText"/>
              <w:ind w:right="142"/>
            </w:pPr>
            <w:r w:rsidRPr="00E07B1B">
              <w:t>American Dietetic Association (2008)</w:t>
            </w:r>
          </w:p>
        </w:tc>
        <w:tc>
          <w:tcPr>
            <w:tcW w:w="9639" w:type="dxa"/>
            <w:tcBorders>
              <w:top w:val="nil"/>
              <w:bottom w:val="nil"/>
            </w:tcBorders>
            <w:shd w:val="clear" w:color="auto" w:fill="F2F2F2" w:themeFill="background1" w:themeFillShade="F2"/>
          </w:tcPr>
          <w:p w:rsidR="00853A74" w:rsidRPr="00E07B1B" w:rsidRDefault="00853A74" w:rsidP="00E11191">
            <w:pPr>
              <w:pStyle w:val="TableText"/>
            </w:pPr>
            <w:r w:rsidRPr="00E07B1B">
              <w:t>A registered dietician should encourage women with gestational diabetes to consume a minimum of 175</w:t>
            </w:r>
            <w:r>
              <w:t xml:space="preserve"> </w:t>
            </w:r>
            <w:r w:rsidRPr="00E07B1B">
              <w:t>g of carbohydrates per day for the provision of glucose to the fetal brain and to prevent ketosis. The total carbohydrate intake should be &lt;</w:t>
            </w:r>
            <w:r>
              <w:t xml:space="preserve"> </w:t>
            </w:r>
            <w:r w:rsidRPr="00E07B1B">
              <w:t>45% of energy in women with gestational diabetes to prevent hyperglycaemia</w:t>
            </w:r>
            <w:r>
              <w:t>.</w:t>
            </w:r>
          </w:p>
        </w:tc>
      </w:tr>
      <w:tr w:rsidR="00853A74" w:rsidRPr="00E07B1B" w:rsidTr="00E11191">
        <w:trPr>
          <w:cantSplit/>
        </w:trPr>
        <w:tc>
          <w:tcPr>
            <w:tcW w:w="4962" w:type="dxa"/>
            <w:tcBorders>
              <w:top w:val="nil"/>
              <w:bottom w:val="nil"/>
            </w:tcBorders>
            <w:shd w:val="clear" w:color="auto" w:fill="auto"/>
          </w:tcPr>
          <w:p w:rsidR="00853A74" w:rsidRPr="00E07B1B" w:rsidRDefault="00853A74" w:rsidP="00E11191">
            <w:pPr>
              <w:pStyle w:val="TableText"/>
              <w:ind w:right="142"/>
            </w:pPr>
            <w:r w:rsidRPr="00E07B1B">
              <w:t>American Diabetes Association (2012)</w:t>
            </w:r>
          </w:p>
        </w:tc>
        <w:tc>
          <w:tcPr>
            <w:tcW w:w="9639" w:type="dxa"/>
            <w:tcBorders>
              <w:top w:val="nil"/>
              <w:bottom w:val="nil"/>
            </w:tcBorders>
            <w:shd w:val="clear" w:color="auto" w:fill="auto"/>
          </w:tcPr>
          <w:p w:rsidR="00853A74" w:rsidRPr="00E07B1B" w:rsidRDefault="00853A74" w:rsidP="00E11191">
            <w:pPr>
              <w:pStyle w:val="TableText"/>
            </w:pPr>
            <w:r w:rsidRPr="00E07B1B">
              <w:t>Individualised meal planning should include optimisation of food choices to meet recommended daily allowance of all micronutrients</w:t>
            </w:r>
            <w:r>
              <w:t>.</w:t>
            </w:r>
          </w:p>
        </w:tc>
      </w:tr>
      <w:tr w:rsidR="00853A74" w:rsidRPr="00E07B1B" w:rsidTr="00E11191">
        <w:trPr>
          <w:cantSplit/>
        </w:trPr>
        <w:tc>
          <w:tcPr>
            <w:tcW w:w="4962" w:type="dxa"/>
            <w:tcBorders>
              <w:top w:val="nil"/>
              <w:bottom w:val="nil"/>
            </w:tcBorders>
            <w:shd w:val="clear" w:color="auto" w:fill="F2F2F2" w:themeFill="background1" w:themeFillShade="F2"/>
          </w:tcPr>
          <w:p w:rsidR="00853A74" w:rsidRPr="00E07B1B" w:rsidRDefault="00853A74" w:rsidP="00E11191">
            <w:pPr>
              <w:pStyle w:val="TableText"/>
              <w:ind w:right="142"/>
            </w:pPr>
            <w:r w:rsidRPr="00E07B1B">
              <w:t>Canadian Diabetes Association (2008)</w:t>
            </w:r>
          </w:p>
        </w:tc>
        <w:tc>
          <w:tcPr>
            <w:tcW w:w="9639" w:type="dxa"/>
            <w:tcBorders>
              <w:top w:val="nil"/>
              <w:bottom w:val="nil"/>
            </w:tcBorders>
            <w:shd w:val="clear" w:color="auto" w:fill="F2F2F2" w:themeFill="background1" w:themeFillShade="F2"/>
          </w:tcPr>
          <w:p w:rsidR="00853A74" w:rsidRPr="00E07B1B" w:rsidRDefault="00853A74" w:rsidP="00E11191">
            <w:pPr>
              <w:pStyle w:val="TableText"/>
            </w:pPr>
            <w:r w:rsidRPr="00E07B1B">
              <w:t xml:space="preserve">There should be moderate carbohydrate restriction distributed over </w:t>
            </w:r>
            <w:r>
              <w:t>three</w:t>
            </w:r>
            <w:r w:rsidRPr="00E07B1B">
              <w:t xml:space="preserve"> meals and </w:t>
            </w:r>
            <w:r>
              <w:t>three</w:t>
            </w:r>
            <w:r w:rsidRPr="00E07B1B">
              <w:t xml:space="preserve"> snacks (</w:t>
            </w:r>
            <w:r>
              <w:t>one</w:t>
            </w:r>
            <w:r w:rsidRPr="00E07B1B">
              <w:t xml:space="preserve"> of which should be at bedtime)</w:t>
            </w:r>
            <w:r>
              <w:t>.</w:t>
            </w:r>
          </w:p>
        </w:tc>
      </w:tr>
      <w:tr w:rsidR="00853A74" w:rsidRPr="00E07B1B" w:rsidTr="00E11191">
        <w:trPr>
          <w:cantSplit/>
        </w:trPr>
        <w:tc>
          <w:tcPr>
            <w:tcW w:w="4962" w:type="dxa"/>
            <w:tcBorders>
              <w:top w:val="nil"/>
              <w:bottom w:val="nil"/>
            </w:tcBorders>
            <w:shd w:val="clear" w:color="auto" w:fill="auto"/>
          </w:tcPr>
          <w:p w:rsidR="00853A74" w:rsidRPr="00E07B1B" w:rsidRDefault="00853A74" w:rsidP="00E11191">
            <w:pPr>
              <w:pStyle w:val="TableText"/>
              <w:ind w:right="142"/>
            </w:pPr>
            <w:r w:rsidRPr="00E07B1B">
              <w:t>American Diabetes Association (2012)</w:t>
            </w:r>
          </w:p>
        </w:tc>
        <w:tc>
          <w:tcPr>
            <w:tcW w:w="9639" w:type="dxa"/>
            <w:tcBorders>
              <w:top w:val="nil"/>
              <w:bottom w:val="nil"/>
            </w:tcBorders>
            <w:shd w:val="clear" w:color="auto" w:fill="auto"/>
          </w:tcPr>
          <w:p w:rsidR="00853A74" w:rsidRPr="00E07B1B" w:rsidRDefault="00853A74" w:rsidP="00E11191">
            <w:pPr>
              <w:pStyle w:val="TableText"/>
            </w:pPr>
            <w:r>
              <w:t>There is n</w:t>
            </w:r>
            <w:r w:rsidRPr="00E07B1B">
              <w:t>o evidence for weight reduction in pregnant women with gestational diabetes as a specific subgroup</w:t>
            </w:r>
            <w:r>
              <w:t>.</w:t>
            </w:r>
          </w:p>
        </w:tc>
      </w:tr>
      <w:tr w:rsidR="00853A74" w:rsidRPr="00E07B1B" w:rsidTr="00E11191">
        <w:trPr>
          <w:cantSplit/>
        </w:trPr>
        <w:tc>
          <w:tcPr>
            <w:tcW w:w="4962" w:type="dxa"/>
            <w:tcBorders>
              <w:top w:val="nil"/>
              <w:bottom w:val="nil"/>
            </w:tcBorders>
            <w:shd w:val="clear" w:color="auto" w:fill="F2F2F2" w:themeFill="background1" w:themeFillShade="F2"/>
          </w:tcPr>
          <w:p w:rsidR="00853A74" w:rsidRPr="00E07B1B" w:rsidRDefault="00853A74" w:rsidP="00E11191">
            <w:pPr>
              <w:pStyle w:val="TableText"/>
              <w:ind w:right="142"/>
            </w:pPr>
            <w:r w:rsidRPr="00E07B1B">
              <w:t>Health Service Executive</w:t>
            </w:r>
            <w:r>
              <w:t>, Ireland</w:t>
            </w:r>
            <w:r w:rsidRPr="00E07B1B">
              <w:t xml:space="preserve"> (2010)</w:t>
            </w:r>
          </w:p>
        </w:tc>
        <w:tc>
          <w:tcPr>
            <w:tcW w:w="9639" w:type="dxa"/>
            <w:tcBorders>
              <w:top w:val="nil"/>
              <w:bottom w:val="nil"/>
            </w:tcBorders>
            <w:shd w:val="clear" w:color="auto" w:fill="F2F2F2" w:themeFill="background1" w:themeFillShade="F2"/>
          </w:tcPr>
          <w:p w:rsidR="00853A74" w:rsidRPr="00E07B1B" w:rsidRDefault="00853A74" w:rsidP="00E11191">
            <w:pPr>
              <w:pStyle w:val="TableText"/>
            </w:pPr>
            <w:r w:rsidRPr="00E07B1B">
              <w:t>Did not recommend weight loss in women with gestational diabetes but did suggest that for overweight/obese women, modest energy and carbohydrate restriction may be required</w:t>
            </w:r>
            <w:r>
              <w:t>.</w:t>
            </w:r>
          </w:p>
        </w:tc>
      </w:tr>
      <w:tr w:rsidR="00853A74" w:rsidRPr="00E07B1B" w:rsidTr="00E11191">
        <w:trPr>
          <w:cantSplit/>
        </w:trPr>
        <w:tc>
          <w:tcPr>
            <w:tcW w:w="4962" w:type="dxa"/>
            <w:tcBorders>
              <w:top w:val="nil"/>
              <w:bottom w:val="nil"/>
            </w:tcBorders>
            <w:shd w:val="clear" w:color="auto" w:fill="auto"/>
          </w:tcPr>
          <w:p w:rsidR="00853A74" w:rsidRPr="00E07B1B" w:rsidRDefault="00853A74" w:rsidP="00E11191">
            <w:pPr>
              <w:pStyle w:val="TableText"/>
              <w:ind w:right="142"/>
            </w:pPr>
            <w:r w:rsidRPr="00E07B1B">
              <w:t>International Diabetes Federation (2009)</w:t>
            </w:r>
            <w:r>
              <w:t xml:space="preserve"> and </w:t>
            </w:r>
            <w:r w:rsidRPr="00E07B1B">
              <w:t xml:space="preserve">National Institute </w:t>
            </w:r>
            <w:r>
              <w:t>for</w:t>
            </w:r>
            <w:r w:rsidRPr="00E07B1B">
              <w:t xml:space="preserve"> Health and </w:t>
            </w:r>
            <w:r>
              <w:t>Care</w:t>
            </w:r>
            <w:r w:rsidRPr="00E07B1B">
              <w:t xml:space="preserve"> Excellence (</w:t>
            </w:r>
            <w:r>
              <w:t xml:space="preserve">NICE </w:t>
            </w:r>
            <w:r w:rsidRPr="00E07B1B">
              <w:t>2008)</w:t>
            </w:r>
          </w:p>
        </w:tc>
        <w:tc>
          <w:tcPr>
            <w:tcW w:w="9639" w:type="dxa"/>
            <w:tcBorders>
              <w:top w:val="nil"/>
              <w:bottom w:val="nil"/>
            </w:tcBorders>
            <w:shd w:val="clear" w:color="auto" w:fill="auto"/>
          </w:tcPr>
          <w:p w:rsidR="00853A74" w:rsidRPr="00E07B1B" w:rsidRDefault="00853A74" w:rsidP="00E11191">
            <w:pPr>
              <w:pStyle w:val="TableText"/>
            </w:pPr>
            <w:r w:rsidRPr="00E07B1B">
              <w:t>In women with gestational diabetes who are overweight, reducing energy intake by no more than 30% of habitual intake is not associated with ketosis and does not cause harm</w:t>
            </w:r>
            <w:r>
              <w:t>.</w:t>
            </w:r>
          </w:p>
        </w:tc>
      </w:tr>
      <w:tr w:rsidR="00853A74" w:rsidRPr="00E07B1B" w:rsidTr="00E11191">
        <w:trPr>
          <w:cantSplit/>
        </w:trPr>
        <w:tc>
          <w:tcPr>
            <w:tcW w:w="4962" w:type="dxa"/>
            <w:tcBorders>
              <w:top w:val="nil"/>
              <w:bottom w:val="nil"/>
            </w:tcBorders>
            <w:shd w:val="clear" w:color="auto" w:fill="F2F2F2" w:themeFill="background1" w:themeFillShade="F2"/>
          </w:tcPr>
          <w:p w:rsidR="00853A74" w:rsidRPr="00E07B1B" w:rsidRDefault="00853A74" w:rsidP="00E11191">
            <w:pPr>
              <w:pStyle w:val="TableText"/>
              <w:ind w:right="142"/>
            </w:pPr>
            <w:r w:rsidRPr="00E07B1B">
              <w:t xml:space="preserve">National Institute </w:t>
            </w:r>
            <w:r>
              <w:t>for</w:t>
            </w:r>
            <w:r w:rsidRPr="00E07B1B">
              <w:t xml:space="preserve"> Health and </w:t>
            </w:r>
            <w:r>
              <w:t>Care</w:t>
            </w:r>
            <w:r w:rsidRPr="00E07B1B">
              <w:t xml:space="preserve"> Excellence (</w:t>
            </w:r>
            <w:r>
              <w:t xml:space="preserve">NICE </w:t>
            </w:r>
            <w:r w:rsidRPr="00E07B1B">
              <w:t>2008)</w:t>
            </w:r>
          </w:p>
        </w:tc>
        <w:tc>
          <w:tcPr>
            <w:tcW w:w="9639" w:type="dxa"/>
            <w:tcBorders>
              <w:top w:val="nil"/>
              <w:bottom w:val="nil"/>
            </w:tcBorders>
            <w:shd w:val="clear" w:color="auto" w:fill="F2F2F2" w:themeFill="background1" w:themeFillShade="F2"/>
          </w:tcPr>
          <w:p w:rsidR="00853A74" w:rsidRPr="00E07B1B" w:rsidRDefault="00853A74" w:rsidP="00E11191">
            <w:pPr>
              <w:pStyle w:val="TableText"/>
            </w:pPr>
            <w:r w:rsidRPr="00E07B1B">
              <w:t>Women whose pre-pregnancy body mass index was &gt;</w:t>
            </w:r>
            <w:r>
              <w:t xml:space="preserve"> </w:t>
            </w:r>
            <w:r w:rsidRPr="00E07B1B">
              <w:t>27</w:t>
            </w:r>
            <w:r>
              <w:t xml:space="preserve"> </w:t>
            </w:r>
            <w:r w:rsidRPr="00E07B1B">
              <w:t>kg/m</w:t>
            </w:r>
            <w:r w:rsidRPr="0016711D">
              <w:rPr>
                <w:vertAlign w:val="superscript"/>
              </w:rPr>
              <w:t>2</w:t>
            </w:r>
            <w:r w:rsidRPr="00E07B1B">
              <w:t xml:space="preserve"> should be </w:t>
            </w:r>
            <w:r>
              <w:t>advised</w:t>
            </w:r>
            <w:r w:rsidRPr="00E07B1B">
              <w:t xml:space="preserve"> to restrict calories intake (to 25</w:t>
            </w:r>
            <w:r>
              <w:t xml:space="preserve"> </w:t>
            </w:r>
            <w:r w:rsidRPr="00E07B1B">
              <w:t>kcal/kg/day or less) and to take moderate exercise (approximately 30 minutes per day)</w:t>
            </w:r>
            <w:r>
              <w:t>.</w:t>
            </w:r>
          </w:p>
        </w:tc>
      </w:tr>
      <w:tr w:rsidR="00853A74" w:rsidRPr="00E07B1B" w:rsidTr="00E11191">
        <w:trPr>
          <w:cantSplit/>
        </w:trPr>
        <w:tc>
          <w:tcPr>
            <w:tcW w:w="4962" w:type="dxa"/>
            <w:tcBorders>
              <w:top w:val="nil"/>
              <w:bottom w:val="nil"/>
            </w:tcBorders>
            <w:shd w:val="clear" w:color="auto" w:fill="auto"/>
          </w:tcPr>
          <w:p w:rsidR="00853A74" w:rsidRPr="00E07B1B" w:rsidRDefault="00853A74" w:rsidP="00E11191">
            <w:pPr>
              <w:pStyle w:val="TableText"/>
              <w:ind w:right="142"/>
            </w:pPr>
            <w:r w:rsidRPr="00E07B1B">
              <w:t>American Dietetic Association (2008)</w:t>
            </w:r>
          </w:p>
        </w:tc>
        <w:tc>
          <w:tcPr>
            <w:tcW w:w="9639" w:type="dxa"/>
            <w:tcBorders>
              <w:top w:val="nil"/>
              <w:bottom w:val="nil"/>
            </w:tcBorders>
            <w:shd w:val="clear" w:color="auto" w:fill="auto"/>
          </w:tcPr>
          <w:p w:rsidR="00853A74" w:rsidRPr="00E07B1B" w:rsidRDefault="00853A74" w:rsidP="00E11191">
            <w:pPr>
              <w:pStyle w:val="TableText"/>
            </w:pPr>
            <w:r w:rsidRPr="00E07B1B">
              <w:t xml:space="preserve">30 minutes of physical activity, at least </w:t>
            </w:r>
            <w:r>
              <w:t>three</w:t>
            </w:r>
            <w:r w:rsidRPr="00E07B1B">
              <w:t xml:space="preserve"> times per week (unless there were contra-indications)</w:t>
            </w:r>
            <w:r>
              <w:t>.</w:t>
            </w:r>
          </w:p>
        </w:tc>
      </w:tr>
      <w:tr w:rsidR="00853A74" w:rsidRPr="00E07B1B" w:rsidTr="00E11191">
        <w:trPr>
          <w:cantSplit/>
        </w:trPr>
        <w:tc>
          <w:tcPr>
            <w:tcW w:w="4962" w:type="dxa"/>
            <w:tcBorders>
              <w:top w:val="nil"/>
              <w:bottom w:val="nil"/>
            </w:tcBorders>
            <w:shd w:val="clear" w:color="auto" w:fill="F2F2F2" w:themeFill="background1" w:themeFillShade="F2"/>
          </w:tcPr>
          <w:p w:rsidR="00853A74" w:rsidRPr="00E07B1B" w:rsidRDefault="00853A74" w:rsidP="00E11191">
            <w:pPr>
              <w:pStyle w:val="TableText"/>
              <w:ind w:right="142"/>
            </w:pPr>
            <w:r w:rsidRPr="00E07B1B">
              <w:t>Health Service Executive</w:t>
            </w:r>
            <w:r>
              <w:t>, Ireland</w:t>
            </w:r>
            <w:r w:rsidRPr="00E07B1B">
              <w:t xml:space="preserve"> (2010)</w:t>
            </w:r>
          </w:p>
        </w:tc>
        <w:tc>
          <w:tcPr>
            <w:tcW w:w="9639" w:type="dxa"/>
            <w:tcBorders>
              <w:top w:val="nil"/>
              <w:bottom w:val="nil"/>
            </w:tcBorders>
            <w:shd w:val="clear" w:color="auto" w:fill="F2F2F2" w:themeFill="background1" w:themeFillShade="F2"/>
          </w:tcPr>
          <w:p w:rsidR="00853A74" w:rsidRPr="00E07B1B" w:rsidRDefault="00853A74" w:rsidP="00E11191">
            <w:pPr>
              <w:pStyle w:val="TableText"/>
            </w:pPr>
            <w:r w:rsidRPr="00E07B1B">
              <w:t>Starvation ketosis should be avoided in women with gestational diabetes</w:t>
            </w:r>
            <w:r>
              <w:t>.</w:t>
            </w:r>
          </w:p>
        </w:tc>
      </w:tr>
      <w:tr w:rsidR="00853A74" w:rsidRPr="00E07B1B" w:rsidTr="00E11191">
        <w:trPr>
          <w:cantSplit/>
        </w:trPr>
        <w:tc>
          <w:tcPr>
            <w:tcW w:w="4962" w:type="dxa"/>
            <w:tcBorders>
              <w:top w:val="nil"/>
            </w:tcBorders>
            <w:shd w:val="clear" w:color="auto" w:fill="auto"/>
          </w:tcPr>
          <w:p w:rsidR="00853A74" w:rsidRPr="00E07B1B" w:rsidRDefault="00853A74" w:rsidP="00E11191">
            <w:pPr>
              <w:pStyle w:val="TableText"/>
              <w:ind w:right="142"/>
            </w:pPr>
            <w:r w:rsidRPr="00E07B1B">
              <w:t>Canadian Diabetes Association (2008)</w:t>
            </w:r>
          </w:p>
        </w:tc>
        <w:tc>
          <w:tcPr>
            <w:tcW w:w="9639" w:type="dxa"/>
            <w:tcBorders>
              <w:top w:val="nil"/>
            </w:tcBorders>
            <w:shd w:val="clear" w:color="auto" w:fill="auto"/>
          </w:tcPr>
          <w:p w:rsidR="00853A74" w:rsidRPr="00E07B1B" w:rsidRDefault="00853A74" w:rsidP="00E11191">
            <w:pPr>
              <w:pStyle w:val="TableText"/>
            </w:pPr>
            <w:r w:rsidRPr="00E07B1B">
              <w:t>Severe calorie</w:t>
            </w:r>
            <w:r>
              <w:t>-</w:t>
            </w:r>
            <w:r w:rsidRPr="00E07B1B">
              <w:t>restricted diets should be avoided due to the risks of ketonaemia and small for gestational age infants. Hypocaloric diets were not recommended</w:t>
            </w:r>
            <w:r>
              <w:t>.</w:t>
            </w:r>
          </w:p>
        </w:tc>
      </w:tr>
    </w:tbl>
    <w:p w:rsidR="00853A74" w:rsidRPr="00E07B1B" w:rsidRDefault="00853A74" w:rsidP="00E11191"/>
    <w:p w:rsidR="00853A74" w:rsidRPr="00E07B1B" w:rsidRDefault="00853A74" w:rsidP="00E11191">
      <w:pPr>
        <w:pStyle w:val="Table"/>
      </w:pPr>
      <w:bookmarkStart w:id="547" w:name="_Toc363717830"/>
      <w:bookmarkStart w:id="548" w:name="_Toc403635913"/>
      <w:r w:rsidRPr="00E07B1B">
        <w:t>Table 32</w:t>
      </w:r>
      <w:r w:rsidR="00E11191">
        <w:t>:</w:t>
      </w:r>
      <w:r w:rsidRPr="00E07B1B">
        <w:t xml:space="preserve"> Effects of dietary advice on maternal and infant outcomes</w:t>
      </w:r>
      <w:bookmarkEnd w:id="547"/>
      <w:bookmarkEnd w:id="548"/>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2071"/>
        <w:gridCol w:w="2071"/>
        <w:gridCol w:w="2070"/>
        <w:gridCol w:w="2070"/>
        <w:gridCol w:w="2070"/>
        <w:gridCol w:w="2266"/>
        <w:gridCol w:w="1983"/>
      </w:tblGrid>
      <w:tr w:rsidR="00E11191" w:rsidRPr="00E11191" w:rsidTr="00E11191">
        <w:trPr>
          <w:cantSplit/>
        </w:trPr>
        <w:tc>
          <w:tcPr>
            <w:tcW w:w="709" w:type="pct"/>
            <w:tcBorders>
              <w:top w:val="single" w:sz="4" w:space="0" w:color="auto"/>
              <w:bottom w:val="single" w:sz="4" w:space="0" w:color="auto"/>
            </w:tcBorders>
            <w:shd w:val="clear" w:color="auto" w:fill="auto"/>
          </w:tcPr>
          <w:p w:rsidR="00853A74" w:rsidRPr="00E11191" w:rsidRDefault="00853A74" w:rsidP="00E11191">
            <w:pPr>
              <w:pStyle w:val="TableText"/>
              <w:keepNext/>
              <w:ind w:right="142"/>
              <w:rPr>
                <w:b/>
              </w:rPr>
            </w:pPr>
            <w:r w:rsidRPr="00E11191">
              <w:rPr>
                <w:b/>
              </w:rPr>
              <w:t>Outcome (values are risk estimate, 95%CI)</w:t>
            </w:r>
          </w:p>
        </w:tc>
        <w:tc>
          <w:tcPr>
            <w:tcW w:w="709" w:type="pct"/>
            <w:tcBorders>
              <w:top w:val="single" w:sz="4" w:space="0" w:color="auto"/>
              <w:bottom w:val="single" w:sz="4" w:space="0" w:color="auto"/>
            </w:tcBorders>
            <w:shd w:val="clear" w:color="auto" w:fill="auto"/>
          </w:tcPr>
          <w:p w:rsidR="00853A74" w:rsidRPr="00E11191" w:rsidRDefault="00853A74" w:rsidP="00E11191">
            <w:pPr>
              <w:pStyle w:val="TableText"/>
              <w:keepNext/>
              <w:ind w:right="142"/>
              <w:jc w:val="center"/>
              <w:rPr>
                <w:b/>
              </w:rPr>
            </w:pPr>
            <w:r w:rsidRPr="00E11191">
              <w:rPr>
                <w:b/>
              </w:rPr>
              <w:t>Low-moderate GI food versus moderate-high GI food</w:t>
            </w:r>
          </w:p>
        </w:tc>
        <w:tc>
          <w:tcPr>
            <w:tcW w:w="709" w:type="pct"/>
            <w:tcBorders>
              <w:top w:val="single" w:sz="4" w:space="0" w:color="auto"/>
              <w:bottom w:val="single" w:sz="4" w:space="0" w:color="auto"/>
            </w:tcBorders>
            <w:shd w:val="clear" w:color="auto" w:fill="auto"/>
          </w:tcPr>
          <w:p w:rsidR="00853A74" w:rsidRPr="00E11191" w:rsidRDefault="00853A74" w:rsidP="00E11191">
            <w:pPr>
              <w:pStyle w:val="TableText"/>
              <w:keepNext/>
              <w:ind w:right="142"/>
              <w:jc w:val="center"/>
              <w:rPr>
                <w:b/>
              </w:rPr>
            </w:pPr>
            <w:r w:rsidRPr="00E11191">
              <w:rPr>
                <w:b/>
              </w:rPr>
              <w:t>Low-GI diet versus high-fibre moderate-GI diet</w:t>
            </w:r>
          </w:p>
        </w:tc>
        <w:tc>
          <w:tcPr>
            <w:tcW w:w="709" w:type="pct"/>
            <w:tcBorders>
              <w:top w:val="single" w:sz="4" w:space="0" w:color="auto"/>
              <w:bottom w:val="single" w:sz="4" w:space="0" w:color="auto"/>
            </w:tcBorders>
            <w:shd w:val="clear" w:color="auto" w:fill="auto"/>
          </w:tcPr>
          <w:p w:rsidR="00853A74" w:rsidRPr="00E11191" w:rsidRDefault="00853A74" w:rsidP="00E11191">
            <w:pPr>
              <w:pStyle w:val="TableText"/>
              <w:keepNext/>
              <w:ind w:right="142"/>
              <w:jc w:val="center"/>
              <w:rPr>
                <w:b/>
              </w:rPr>
            </w:pPr>
            <w:r w:rsidRPr="00E11191">
              <w:rPr>
                <w:b/>
              </w:rPr>
              <w:t>Energy-restricted versus unrestricted diet</w:t>
            </w:r>
          </w:p>
        </w:tc>
        <w:tc>
          <w:tcPr>
            <w:tcW w:w="709" w:type="pct"/>
            <w:tcBorders>
              <w:top w:val="single" w:sz="4" w:space="0" w:color="auto"/>
              <w:bottom w:val="single" w:sz="4" w:space="0" w:color="auto"/>
            </w:tcBorders>
            <w:shd w:val="clear" w:color="auto" w:fill="auto"/>
          </w:tcPr>
          <w:p w:rsidR="00853A74" w:rsidRPr="00E11191" w:rsidRDefault="00853A74" w:rsidP="00E11191">
            <w:pPr>
              <w:pStyle w:val="TableText"/>
              <w:keepNext/>
              <w:ind w:right="142"/>
              <w:jc w:val="center"/>
              <w:rPr>
                <w:b/>
              </w:rPr>
            </w:pPr>
            <w:r w:rsidRPr="00E11191">
              <w:rPr>
                <w:b/>
              </w:rPr>
              <w:t>Low- versus high-carbohydrate diet</w:t>
            </w:r>
          </w:p>
        </w:tc>
        <w:tc>
          <w:tcPr>
            <w:tcW w:w="776" w:type="pct"/>
            <w:tcBorders>
              <w:top w:val="single" w:sz="4" w:space="0" w:color="auto"/>
              <w:bottom w:val="single" w:sz="4" w:space="0" w:color="auto"/>
            </w:tcBorders>
            <w:shd w:val="clear" w:color="auto" w:fill="auto"/>
          </w:tcPr>
          <w:p w:rsidR="00853A74" w:rsidRPr="00E11191" w:rsidRDefault="00853A74" w:rsidP="00E11191">
            <w:pPr>
              <w:pStyle w:val="TableText"/>
              <w:keepNext/>
              <w:ind w:right="142"/>
              <w:jc w:val="center"/>
              <w:rPr>
                <w:b/>
              </w:rPr>
            </w:pPr>
            <w:r w:rsidRPr="00E11191">
              <w:rPr>
                <w:b/>
              </w:rPr>
              <w:t>High monounsaturated fat diet versus high carbohydrate diet</w:t>
            </w:r>
          </w:p>
        </w:tc>
        <w:tc>
          <w:tcPr>
            <w:tcW w:w="680" w:type="pct"/>
            <w:tcBorders>
              <w:top w:val="single" w:sz="4" w:space="0" w:color="auto"/>
              <w:bottom w:val="single" w:sz="4" w:space="0" w:color="auto"/>
            </w:tcBorders>
            <w:shd w:val="clear" w:color="auto" w:fill="auto"/>
          </w:tcPr>
          <w:p w:rsidR="00853A74" w:rsidRPr="00E11191" w:rsidRDefault="00853A74" w:rsidP="00E11191">
            <w:pPr>
              <w:pStyle w:val="TableText"/>
              <w:keepNext/>
              <w:jc w:val="center"/>
              <w:rPr>
                <w:b/>
              </w:rPr>
            </w:pPr>
            <w:r w:rsidRPr="00E11191">
              <w:rPr>
                <w:b/>
              </w:rPr>
              <w:t>Standard fibre diet versus high-fibre diet</w:t>
            </w:r>
          </w:p>
        </w:tc>
      </w:tr>
      <w:tr w:rsidR="00E11191" w:rsidRPr="00E07B1B" w:rsidTr="00E11191">
        <w:trPr>
          <w:cantSplit/>
        </w:trPr>
        <w:tc>
          <w:tcPr>
            <w:tcW w:w="709" w:type="pct"/>
            <w:tcBorders>
              <w:top w:val="single" w:sz="4" w:space="0" w:color="auto"/>
              <w:bottom w:val="nil"/>
            </w:tcBorders>
            <w:shd w:val="clear" w:color="auto" w:fill="F2F2F2" w:themeFill="background1" w:themeFillShade="F2"/>
          </w:tcPr>
          <w:p w:rsidR="00853A74" w:rsidRPr="00E07B1B" w:rsidRDefault="00853A74" w:rsidP="00E11191">
            <w:pPr>
              <w:pStyle w:val="TableText"/>
              <w:keepNext/>
              <w:ind w:right="142"/>
            </w:pPr>
            <w:r w:rsidRPr="00E07B1B">
              <w:t>LGA</w:t>
            </w:r>
          </w:p>
        </w:tc>
        <w:tc>
          <w:tcPr>
            <w:tcW w:w="709" w:type="pct"/>
            <w:tcBorders>
              <w:top w:val="single" w:sz="4" w:space="0" w:color="auto"/>
              <w:bottom w:val="nil"/>
            </w:tcBorders>
            <w:shd w:val="clear" w:color="auto" w:fill="F2F2F2" w:themeFill="background1" w:themeFillShade="F2"/>
          </w:tcPr>
          <w:p w:rsidR="00853A74" w:rsidRPr="00E07B1B" w:rsidRDefault="00853A74" w:rsidP="00E11191">
            <w:pPr>
              <w:pStyle w:val="TableText"/>
              <w:keepNext/>
              <w:ind w:right="142"/>
              <w:jc w:val="center"/>
            </w:pPr>
            <w:r w:rsidRPr="00E07B1B">
              <w:t>RR 0.95</w:t>
            </w:r>
            <w:r w:rsidR="00E11191">
              <w:br/>
            </w:r>
            <w:r w:rsidRPr="00E07B1B">
              <w:t>(0.27</w:t>
            </w:r>
            <w:r>
              <w:t>–</w:t>
            </w:r>
            <w:r w:rsidRPr="00E07B1B">
              <w:t>3.36); 2</w:t>
            </w:r>
            <w:r w:rsidR="00E11191">
              <w:t> </w:t>
            </w:r>
            <w:r w:rsidRPr="00E07B1B">
              <w:t>trials, 89 infants</w:t>
            </w:r>
          </w:p>
        </w:tc>
        <w:tc>
          <w:tcPr>
            <w:tcW w:w="709" w:type="pct"/>
            <w:tcBorders>
              <w:top w:val="single" w:sz="4" w:space="0" w:color="auto"/>
              <w:bottom w:val="nil"/>
            </w:tcBorders>
            <w:shd w:val="clear" w:color="auto" w:fill="F2F2F2" w:themeFill="background1" w:themeFillShade="F2"/>
          </w:tcPr>
          <w:p w:rsidR="00853A74" w:rsidRPr="00E07B1B" w:rsidRDefault="00853A74" w:rsidP="00E11191">
            <w:pPr>
              <w:pStyle w:val="TableText"/>
              <w:keepNext/>
              <w:ind w:right="142"/>
              <w:jc w:val="center"/>
            </w:pPr>
            <w:r w:rsidRPr="00E07B1B">
              <w:t>RR 2.87</w:t>
            </w:r>
            <w:r w:rsidR="00E11191">
              <w:br/>
            </w:r>
            <w:r w:rsidRPr="00E07B1B">
              <w:t>(0.61</w:t>
            </w:r>
            <w:r>
              <w:t>–</w:t>
            </w:r>
            <w:r w:rsidRPr="00E07B1B">
              <w:t>13.50), 1 trial, 92 infants</w:t>
            </w:r>
          </w:p>
        </w:tc>
        <w:tc>
          <w:tcPr>
            <w:tcW w:w="709" w:type="pct"/>
            <w:tcBorders>
              <w:top w:val="single" w:sz="4" w:space="0" w:color="auto"/>
              <w:bottom w:val="nil"/>
            </w:tcBorders>
            <w:shd w:val="clear" w:color="auto" w:fill="F2F2F2" w:themeFill="background1" w:themeFillShade="F2"/>
          </w:tcPr>
          <w:p w:rsidR="00853A74" w:rsidRPr="00E07B1B" w:rsidRDefault="00853A74" w:rsidP="00E11191">
            <w:pPr>
              <w:pStyle w:val="TableText"/>
              <w:keepNext/>
              <w:ind w:right="142"/>
              <w:jc w:val="center"/>
            </w:pPr>
            <w:r w:rsidRPr="00E07B1B">
              <w:t>RR 1.17</w:t>
            </w:r>
            <w:r w:rsidR="00E11191">
              <w:br/>
            </w:r>
            <w:r w:rsidRPr="00E07B1B">
              <w:t>(0.65</w:t>
            </w:r>
            <w:r>
              <w:t>–</w:t>
            </w:r>
            <w:r w:rsidRPr="00E07B1B">
              <w:t>2.12), 1 trial, 123 infants</w:t>
            </w:r>
          </w:p>
        </w:tc>
        <w:tc>
          <w:tcPr>
            <w:tcW w:w="709" w:type="pct"/>
            <w:tcBorders>
              <w:top w:val="single" w:sz="4" w:space="0" w:color="auto"/>
              <w:bottom w:val="nil"/>
            </w:tcBorders>
            <w:shd w:val="clear" w:color="auto" w:fill="F2F2F2" w:themeFill="background1" w:themeFillShade="F2"/>
          </w:tcPr>
          <w:p w:rsidR="00853A74" w:rsidRPr="00E07B1B" w:rsidRDefault="00E11191" w:rsidP="00E11191">
            <w:pPr>
              <w:pStyle w:val="TableText"/>
              <w:keepNext/>
              <w:ind w:right="142"/>
              <w:jc w:val="center"/>
            </w:pPr>
            <w:r>
              <w:t>–</w:t>
            </w:r>
          </w:p>
        </w:tc>
        <w:tc>
          <w:tcPr>
            <w:tcW w:w="776" w:type="pct"/>
            <w:tcBorders>
              <w:top w:val="single" w:sz="4" w:space="0" w:color="auto"/>
              <w:bottom w:val="nil"/>
            </w:tcBorders>
            <w:shd w:val="clear" w:color="auto" w:fill="F2F2F2" w:themeFill="background1" w:themeFillShade="F2"/>
          </w:tcPr>
          <w:p w:rsidR="00853A74" w:rsidRPr="00E07B1B" w:rsidRDefault="00853A74" w:rsidP="00E11191">
            <w:pPr>
              <w:pStyle w:val="TableText"/>
              <w:keepNext/>
              <w:ind w:right="142"/>
              <w:jc w:val="center"/>
            </w:pPr>
            <w:r w:rsidRPr="00E07B1B">
              <w:t>RR 0.54 (0.21</w:t>
            </w:r>
            <w:r>
              <w:t>–</w:t>
            </w:r>
            <w:r w:rsidRPr="00E07B1B">
              <w:t>1.37), 1</w:t>
            </w:r>
            <w:r w:rsidR="00E11191">
              <w:t> </w:t>
            </w:r>
            <w:r w:rsidRPr="00E07B1B">
              <w:t>trial, 27 infants</w:t>
            </w:r>
          </w:p>
        </w:tc>
        <w:tc>
          <w:tcPr>
            <w:tcW w:w="680" w:type="pct"/>
            <w:tcBorders>
              <w:top w:val="single" w:sz="4" w:space="0" w:color="auto"/>
              <w:bottom w:val="nil"/>
            </w:tcBorders>
            <w:shd w:val="clear" w:color="auto" w:fill="F2F2F2" w:themeFill="background1" w:themeFillShade="F2"/>
          </w:tcPr>
          <w:p w:rsidR="00853A74" w:rsidRPr="00E07B1B" w:rsidRDefault="00E11191" w:rsidP="00E11191">
            <w:pPr>
              <w:pStyle w:val="TableText"/>
              <w:keepNext/>
              <w:jc w:val="center"/>
            </w:pPr>
            <w:r>
              <w:t>–</w:t>
            </w:r>
          </w:p>
        </w:tc>
      </w:tr>
      <w:tr w:rsidR="00E11191" w:rsidRPr="00E07B1B" w:rsidTr="00E11191">
        <w:trPr>
          <w:cantSplit/>
        </w:trPr>
        <w:tc>
          <w:tcPr>
            <w:tcW w:w="709" w:type="pct"/>
            <w:tcBorders>
              <w:top w:val="nil"/>
              <w:bottom w:val="nil"/>
            </w:tcBorders>
            <w:shd w:val="clear" w:color="auto" w:fill="auto"/>
          </w:tcPr>
          <w:p w:rsidR="00853A74" w:rsidRPr="00E07B1B" w:rsidRDefault="00853A74" w:rsidP="00E11191">
            <w:pPr>
              <w:pStyle w:val="TableText"/>
              <w:keepNext/>
              <w:ind w:right="142"/>
            </w:pPr>
            <w:r w:rsidRPr="00E07B1B">
              <w:t>Caesarean section</w:t>
            </w:r>
          </w:p>
        </w:tc>
        <w:tc>
          <w:tcPr>
            <w:tcW w:w="709" w:type="pct"/>
            <w:tcBorders>
              <w:top w:val="nil"/>
              <w:bottom w:val="nil"/>
            </w:tcBorders>
            <w:shd w:val="clear" w:color="auto" w:fill="auto"/>
          </w:tcPr>
          <w:p w:rsidR="00853A74" w:rsidRPr="00E07B1B" w:rsidRDefault="00853A74" w:rsidP="00E11191">
            <w:pPr>
              <w:pStyle w:val="TableText"/>
              <w:keepNext/>
              <w:ind w:right="142"/>
              <w:jc w:val="center"/>
            </w:pPr>
            <w:r w:rsidRPr="00E07B1B">
              <w:t>RR 0.66</w:t>
            </w:r>
            <w:r w:rsidR="00E11191">
              <w:br/>
            </w:r>
            <w:r w:rsidRPr="00E07B1B">
              <w:t>(0.29</w:t>
            </w:r>
            <w:r>
              <w:t>–</w:t>
            </w:r>
            <w:r w:rsidRPr="00E07B1B">
              <w:t>1.47)</w:t>
            </w:r>
            <w:r>
              <w:t>,</w:t>
            </w:r>
            <w:r w:rsidRPr="00E07B1B">
              <w:t xml:space="preserve"> 1 trial, 63 women</w:t>
            </w:r>
          </w:p>
        </w:tc>
        <w:tc>
          <w:tcPr>
            <w:tcW w:w="709" w:type="pct"/>
            <w:tcBorders>
              <w:top w:val="nil"/>
              <w:bottom w:val="nil"/>
            </w:tcBorders>
            <w:shd w:val="clear" w:color="auto" w:fill="auto"/>
          </w:tcPr>
          <w:p w:rsidR="00853A74" w:rsidRPr="00E07B1B" w:rsidRDefault="00853A74" w:rsidP="00E11191">
            <w:pPr>
              <w:pStyle w:val="TableText"/>
              <w:keepNext/>
              <w:ind w:right="142"/>
              <w:jc w:val="center"/>
            </w:pPr>
            <w:r w:rsidRPr="00E07B1B">
              <w:t>RR 1.80</w:t>
            </w:r>
            <w:r w:rsidR="00E11191">
              <w:br/>
            </w:r>
            <w:r w:rsidRPr="00E07B1B">
              <w:t>(0.66</w:t>
            </w:r>
            <w:r>
              <w:t>–</w:t>
            </w:r>
            <w:r w:rsidRPr="00E07B1B">
              <w:t>4.94), 1 trial, 88 women</w:t>
            </w:r>
          </w:p>
        </w:tc>
        <w:tc>
          <w:tcPr>
            <w:tcW w:w="709" w:type="pct"/>
            <w:tcBorders>
              <w:top w:val="nil"/>
              <w:bottom w:val="nil"/>
            </w:tcBorders>
            <w:shd w:val="clear" w:color="auto" w:fill="auto"/>
          </w:tcPr>
          <w:p w:rsidR="00853A74" w:rsidRPr="00E07B1B" w:rsidRDefault="00853A74" w:rsidP="00E11191">
            <w:pPr>
              <w:pStyle w:val="TableText"/>
              <w:keepNext/>
              <w:ind w:right="142"/>
              <w:jc w:val="center"/>
            </w:pPr>
            <w:r w:rsidRPr="00E07B1B">
              <w:t>RR 1.18</w:t>
            </w:r>
            <w:r w:rsidR="00E11191">
              <w:br/>
            </w:r>
            <w:r w:rsidRPr="00E07B1B">
              <w:t>(0.74</w:t>
            </w:r>
            <w:r>
              <w:t>–</w:t>
            </w:r>
            <w:r w:rsidRPr="00E07B1B">
              <w:t>1.89), 1 trial, 121 women</w:t>
            </w:r>
          </w:p>
        </w:tc>
        <w:tc>
          <w:tcPr>
            <w:tcW w:w="709" w:type="pct"/>
            <w:tcBorders>
              <w:top w:val="nil"/>
              <w:bottom w:val="nil"/>
            </w:tcBorders>
            <w:shd w:val="clear" w:color="auto" w:fill="auto"/>
          </w:tcPr>
          <w:p w:rsidR="00853A74" w:rsidRPr="00E07B1B" w:rsidRDefault="00853A74" w:rsidP="00E11191">
            <w:pPr>
              <w:pStyle w:val="TableText"/>
              <w:keepNext/>
              <w:ind w:right="142"/>
              <w:jc w:val="center"/>
            </w:pPr>
            <w:r w:rsidRPr="00E07B1B">
              <w:t>RR 1.40</w:t>
            </w:r>
            <w:r w:rsidR="00E11191">
              <w:br/>
            </w:r>
            <w:r w:rsidRPr="00E07B1B">
              <w:t>(0.57</w:t>
            </w:r>
            <w:r>
              <w:t>–</w:t>
            </w:r>
            <w:r w:rsidRPr="00E07B1B">
              <w:t>3.43), 1 trial, 30 women</w:t>
            </w:r>
          </w:p>
        </w:tc>
        <w:tc>
          <w:tcPr>
            <w:tcW w:w="776" w:type="pct"/>
            <w:tcBorders>
              <w:top w:val="nil"/>
              <w:bottom w:val="nil"/>
            </w:tcBorders>
            <w:shd w:val="clear" w:color="auto" w:fill="auto"/>
          </w:tcPr>
          <w:p w:rsidR="00853A74" w:rsidRPr="00E07B1B" w:rsidRDefault="00E11191" w:rsidP="00E11191">
            <w:pPr>
              <w:pStyle w:val="TableText"/>
              <w:keepNext/>
              <w:ind w:right="142"/>
              <w:jc w:val="center"/>
            </w:pPr>
            <w:r>
              <w:t>–</w:t>
            </w:r>
          </w:p>
        </w:tc>
        <w:tc>
          <w:tcPr>
            <w:tcW w:w="680" w:type="pct"/>
            <w:tcBorders>
              <w:top w:val="nil"/>
              <w:bottom w:val="nil"/>
            </w:tcBorders>
            <w:shd w:val="clear" w:color="auto" w:fill="auto"/>
          </w:tcPr>
          <w:p w:rsidR="00853A74" w:rsidRPr="00E07B1B" w:rsidRDefault="00E11191" w:rsidP="00E11191">
            <w:pPr>
              <w:pStyle w:val="TableText"/>
              <w:keepNext/>
              <w:jc w:val="center"/>
            </w:pPr>
            <w:r>
              <w:t>–</w:t>
            </w:r>
          </w:p>
        </w:tc>
      </w:tr>
      <w:tr w:rsidR="00E11191" w:rsidRPr="00E07B1B" w:rsidTr="00E11191">
        <w:trPr>
          <w:cantSplit/>
        </w:trPr>
        <w:tc>
          <w:tcPr>
            <w:tcW w:w="709" w:type="pct"/>
            <w:tcBorders>
              <w:top w:val="nil"/>
              <w:bottom w:val="nil"/>
            </w:tcBorders>
            <w:shd w:val="clear" w:color="auto" w:fill="F2F2F2" w:themeFill="background1" w:themeFillShade="F2"/>
          </w:tcPr>
          <w:p w:rsidR="00853A74" w:rsidRPr="00E07B1B" w:rsidRDefault="00853A74" w:rsidP="00E11191">
            <w:pPr>
              <w:pStyle w:val="TableText"/>
              <w:keepNext/>
              <w:ind w:right="142"/>
            </w:pPr>
            <w:r w:rsidRPr="00E07B1B">
              <w:t>Induction of labour</w:t>
            </w:r>
          </w:p>
        </w:tc>
        <w:tc>
          <w:tcPr>
            <w:tcW w:w="709" w:type="pct"/>
            <w:tcBorders>
              <w:top w:val="nil"/>
              <w:bottom w:val="nil"/>
            </w:tcBorders>
            <w:shd w:val="clear" w:color="auto" w:fill="F2F2F2" w:themeFill="background1" w:themeFillShade="F2"/>
          </w:tcPr>
          <w:p w:rsidR="00853A74" w:rsidRPr="00E07B1B" w:rsidRDefault="00853A74" w:rsidP="00E11191">
            <w:pPr>
              <w:pStyle w:val="TableText"/>
              <w:keepNext/>
              <w:ind w:right="142"/>
              <w:jc w:val="center"/>
            </w:pPr>
            <w:r w:rsidRPr="00E07B1B">
              <w:t>RR 0.88</w:t>
            </w:r>
            <w:r w:rsidR="00E11191">
              <w:br/>
            </w:r>
            <w:r w:rsidRPr="00E07B1B">
              <w:t>(0.33</w:t>
            </w:r>
            <w:r>
              <w:t>–</w:t>
            </w:r>
            <w:r w:rsidRPr="00E07B1B">
              <w:t>2.34), 1 trial, 63 women</w:t>
            </w:r>
          </w:p>
        </w:tc>
        <w:tc>
          <w:tcPr>
            <w:tcW w:w="709" w:type="pct"/>
            <w:tcBorders>
              <w:top w:val="nil"/>
              <w:bottom w:val="nil"/>
            </w:tcBorders>
            <w:shd w:val="clear" w:color="auto" w:fill="F2F2F2" w:themeFill="background1" w:themeFillShade="F2"/>
          </w:tcPr>
          <w:p w:rsidR="00853A74" w:rsidRPr="00E07B1B" w:rsidRDefault="00E11191" w:rsidP="00E11191">
            <w:pPr>
              <w:pStyle w:val="TableText"/>
              <w:keepNext/>
              <w:ind w:right="142"/>
              <w:jc w:val="center"/>
            </w:pPr>
            <w:r>
              <w:t>–</w:t>
            </w:r>
          </w:p>
        </w:tc>
        <w:tc>
          <w:tcPr>
            <w:tcW w:w="709" w:type="pct"/>
            <w:tcBorders>
              <w:top w:val="nil"/>
              <w:bottom w:val="nil"/>
            </w:tcBorders>
            <w:shd w:val="clear" w:color="auto" w:fill="F2F2F2" w:themeFill="background1" w:themeFillShade="F2"/>
          </w:tcPr>
          <w:p w:rsidR="00853A74" w:rsidRPr="00E07B1B" w:rsidRDefault="00853A74" w:rsidP="00E11191">
            <w:pPr>
              <w:pStyle w:val="TableText"/>
              <w:keepNext/>
              <w:ind w:right="142"/>
              <w:jc w:val="center"/>
            </w:pPr>
            <w:r w:rsidRPr="00E07B1B">
              <w:t>RR 1.02</w:t>
            </w:r>
            <w:r w:rsidR="00E11191">
              <w:br/>
            </w:r>
            <w:r w:rsidRPr="00E07B1B">
              <w:t>(0.68</w:t>
            </w:r>
            <w:r>
              <w:t>–</w:t>
            </w:r>
            <w:r w:rsidRPr="00E07B1B">
              <w:t>1.53), 1</w:t>
            </w:r>
            <w:r>
              <w:t xml:space="preserve"> </w:t>
            </w:r>
            <w:r w:rsidRPr="00E07B1B">
              <w:t>trial, 114 women</w:t>
            </w:r>
          </w:p>
        </w:tc>
        <w:tc>
          <w:tcPr>
            <w:tcW w:w="709" w:type="pct"/>
            <w:tcBorders>
              <w:top w:val="nil"/>
              <w:bottom w:val="nil"/>
            </w:tcBorders>
            <w:shd w:val="clear" w:color="auto" w:fill="F2F2F2" w:themeFill="background1" w:themeFillShade="F2"/>
          </w:tcPr>
          <w:p w:rsidR="00853A74" w:rsidRPr="00E07B1B" w:rsidRDefault="00E11191" w:rsidP="00E11191">
            <w:pPr>
              <w:pStyle w:val="TableText"/>
              <w:keepNext/>
              <w:ind w:right="142"/>
              <w:jc w:val="center"/>
            </w:pPr>
            <w:r>
              <w:t>–</w:t>
            </w:r>
          </w:p>
        </w:tc>
        <w:tc>
          <w:tcPr>
            <w:tcW w:w="776" w:type="pct"/>
            <w:tcBorders>
              <w:top w:val="nil"/>
              <w:bottom w:val="nil"/>
            </w:tcBorders>
            <w:shd w:val="clear" w:color="auto" w:fill="F2F2F2" w:themeFill="background1" w:themeFillShade="F2"/>
          </w:tcPr>
          <w:p w:rsidR="00853A74" w:rsidRPr="00E07B1B" w:rsidRDefault="00E11191" w:rsidP="00E11191">
            <w:pPr>
              <w:pStyle w:val="TableText"/>
              <w:keepNext/>
              <w:ind w:right="142"/>
              <w:jc w:val="center"/>
            </w:pPr>
            <w:r>
              <w:t>–</w:t>
            </w:r>
          </w:p>
        </w:tc>
        <w:tc>
          <w:tcPr>
            <w:tcW w:w="680" w:type="pct"/>
            <w:tcBorders>
              <w:top w:val="nil"/>
              <w:bottom w:val="nil"/>
            </w:tcBorders>
            <w:shd w:val="clear" w:color="auto" w:fill="F2F2F2" w:themeFill="background1" w:themeFillShade="F2"/>
          </w:tcPr>
          <w:p w:rsidR="00853A74" w:rsidRPr="00E07B1B" w:rsidRDefault="00E11191" w:rsidP="00E11191">
            <w:pPr>
              <w:pStyle w:val="TableText"/>
              <w:keepNext/>
              <w:jc w:val="center"/>
            </w:pPr>
            <w:r>
              <w:t>–</w:t>
            </w:r>
          </w:p>
        </w:tc>
      </w:tr>
      <w:tr w:rsidR="00E11191" w:rsidRPr="00E07B1B" w:rsidTr="00E11191">
        <w:trPr>
          <w:cantSplit/>
        </w:trPr>
        <w:tc>
          <w:tcPr>
            <w:tcW w:w="709" w:type="pct"/>
            <w:tcBorders>
              <w:top w:val="nil"/>
              <w:bottom w:val="nil"/>
            </w:tcBorders>
            <w:shd w:val="clear" w:color="auto" w:fill="auto"/>
          </w:tcPr>
          <w:p w:rsidR="00E11191" w:rsidRPr="00E07B1B" w:rsidRDefault="00E11191" w:rsidP="00E11191">
            <w:pPr>
              <w:pStyle w:val="TableText"/>
              <w:ind w:right="142"/>
            </w:pPr>
            <w:r w:rsidRPr="00E07B1B">
              <w:t>Preterm birth</w:t>
            </w:r>
          </w:p>
        </w:tc>
        <w:tc>
          <w:tcPr>
            <w:tcW w:w="709" w:type="pct"/>
            <w:tcBorders>
              <w:top w:val="nil"/>
              <w:bottom w:val="nil"/>
            </w:tcBorders>
            <w:shd w:val="clear" w:color="auto" w:fill="auto"/>
          </w:tcPr>
          <w:p w:rsidR="00E11191" w:rsidRPr="00E07B1B" w:rsidRDefault="00E11191" w:rsidP="00E11191">
            <w:pPr>
              <w:pStyle w:val="TableText"/>
              <w:ind w:right="142"/>
              <w:jc w:val="center"/>
            </w:pPr>
            <w:r w:rsidRPr="00E07B1B">
              <w:t>RR 0.52</w:t>
            </w:r>
            <w:r>
              <w:br/>
            </w:r>
            <w:r w:rsidRPr="00E07B1B">
              <w:t>(0.05</w:t>
            </w:r>
            <w:r>
              <w:t>–</w:t>
            </w:r>
            <w:r w:rsidRPr="00E07B1B">
              <w:t>5.41), 1 trial, 63 infants</w:t>
            </w:r>
          </w:p>
        </w:tc>
        <w:tc>
          <w:tcPr>
            <w:tcW w:w="709" w:type="pct"/>
            <w:tcBorders>
              <w:top w:val="nil"/>
              <w:bottom w:val="nil"/>
            </w:tcBorders>
            <w:shd w:val="clear" w:color="auto" w:fill="auto"/>
          </w:tcPr>
          <w:p w:rsidR="00E11191" w:rsidRPr="00E07B1B" w:rsidRDefault="00E11191" w:rsidP="00E11191">
            <w:pPr>
              <w:pStyle w:val="TableText"/>
              <w:ind w:right="142"/>
              <w:jc w:val="center"/>
            </w:pPr>
            <w:r w:rsidRPr="00E07B1B">
              <w:t>RR 0.96</w:t>
            </w:r>
            <w:r>
              <w:br/>
            </w:r>
            <w:r w:rsidRPr="00E07B1B">
              <w:t>(0.14</w:t>
            </w:r>
            <w:r>
              <w:t>–</w:t>
            </w:r>
            <w:r w:rsidRPr="00E07B1B">
              <w:t>6.51), 1 trial, 92 infants</w:t>
            </w:r>
          </w:p>
        </w:tc>
        <w:tc>
          <w:tcPr>
            <w:tcW w:w="709" w:type="pct"/>
            <w:tcBorders>
              <w:top w:val="nil"/>
              <w:bottom w:val="nil"/>
            </w:tcBorders>
            <w:shd w:val="clear" w:color="auto" w:fill="auto"/>
          </w:tcPr>
          <w:p w:rsidR="00E11191" w:rsidRPr="00E07B1B" w:rsidRDefault="00E11191" w:rsidP="00E11191">
            <w:pPr>
              <w:pStyle w:val="TableText"/>
              <w:ind w:right="142"/>
              <w:jc w:val="center"/>
            </w:pPr>
            <w:r>
              <w:t>–</w:t>
            </w:r>
          </w:p>
        </w:tc>
        <w:tc>
          <w:tcPr>
            <w:tcW w:w="709" w:type="pct"/>
            <w:tcBorders>
              <w:top w:val="nil"/>
              <w:bottom w:val="nil"/>
            </w:tcBorders>
            <w:shd w:val="clear" w:color="auto" w:fill="auto"/>
          </w:tcPr>
          <w:p w:rsidR="00E11191" w:rsidRPr="00E07B1B" w:rsidRDefault="00E11191" w:rsidP="00E11191">
            <w:pPr>
              <w:pStyle w:val="TableText"/>
              <w:keepNext/>
              <w:ind w:right="142"/>
              <w:jc w:val="center"/>
            </w:pPr>
            <w:r>
              <w:t>–</w:t>
            </w:r>
          </w:p>
        </w:tc>
        <w:tc>
          <w:tcPr>
            <w:tcW w:w="776" w:type="pct"/>
            <w:tcBorders>
              <w:top w:val="nil"/>
              <w:bottom w:val="nil"/>
            </w:tcBorders>
            <w:shd w:val="clear" w:color="auto" w:fill="auto"/>
          </w:tcPr>
          <w:p w:rsidR="00E11191" w:rsidRPr="00E07B1B" w:rsidRDefault="00E11191" w:rsidP="00E11191">
            <w:pPr>
              <w:pStyle w:val="TableText"/>
              <w:keepNext/>
              <w:ind w:right="142"/>
              <w:jc w:val="center"/>
            </w:pPr>
            <w:r>
              <w:t>–</w:t>
            </w:r>
          </w:p>
        </w:tc>
        <w:tc>
          <w:tcPr>
            <w:tcW w:w="680" w:type="pct"/>
            <w:tcBorders>
              <w:top w:val="nil"/>
              <w:bottom w:val="nil"/>
            </w:tcBorders>
            <w:shd w:val="clear" w:color="auto" w:fill="auto"/>
          </w:tcPr>
          <w:p w:rsidR="00E11191" w:rsidRPr="00E07B1B" w:rsidRDefault="00E11191" w:rsidP="00E11191">
            <w:pPr>
              <w:pStyle w:val="TableText"/>
              <w:jc w:val="center"/>
            </w:pPr>
            <w:r>
              <w:t>–</w:t>
            </w:r>
          </w:p>
        </w:tc>
      </w:tr>
      <w:tr w:rsidR="00E11191" w:rsidRPr="00E07B1B" w:rsidTr="00E11191">
        <w:trPr>
          <w:cantSplit/>
        </w:trPr>
        <w:tc>
          <w:tcPr>
            <w:tcW w:w="709" w:type="pct"/>
            <w:tcBorders>
              <w:top w:val="nil"/>
              <w:bottom w:val="nil"/>
            </w:tcBorders>
            <w:shd w:val="clear" w:color="auto" w:fill="F2F2F2" w:themeFill="background1" w:themeFillShade="F2"/>
          </w:tcPr>
          <w:p w:rsidR="00E11191" w:rsidRPr="00E07B1B" w:rsidRDefault="00E11191" w:rsidP="00E11191">
            <w:pPr>
              <w:pStyle w:val="TableText"/>
              <w:ind w:right="142"/>
            </w:pPr>
            <w:r w:rsidRPr="00E07B1B">
              <w:t>Gestational weight gain</w:t>
            </w:r>
          </w:p>
        </w:tc>
        <w:tc>
          <w:tcPr>
            <w:tcW w:w="709" w:type="pct"/>
            <w:tcBorders>
              <w:top w:val="nil"/>
              <w:bottom w:val="nil"/>
            </w:tcBorders>
            <w:shd w:val="clear" w:color="auto" w:fill="F2F2F2" w:themeFill="background1" w:themeFillShade="F2"/>
          </w:tcPr>
          <w:p w:rsidR="00E11191" w:rsidRPr="00E07B1B" w:rsidRDefault="00E11191" w:rsidP="00E11191">
            <w:pPr>
              <w:pStyle w:val="TableText"/>
              <w:ind w:right="142"/>
              <w:jc w:val="center"/>
            </w:pPr>
            <w:r>
              <w:t>–</w:t>
            </w:r>
          </w:p>
        </w:tc>
        <w:tc>
          <w:tcPr>
            <w:tcW w:w="709" w:type="pct"/>
            <w:tcBorders>
              <w:top w:val="nil"/>
              <w:bottom w:val="nil"/>
            </w:tcBorders>
            <w:shd w:val="clear" w:color="auto" w:fill="F2F2F2" w:themeFill="background1" w:themeFillShade="F2"/>
          </w:tcPr>
          <w:p w:rsidR="00E11191" w:rsidRPr="00E07B1B" w:rsidRDefault="00E11191" w:rsidP="00E11191">
            <w:pPr>
              <w:pStyle w:val="TableText"/>
              <w:ind w:right="142"/>
              <w:jc w:val="center"/>
            </w:pPr>
            <w:r w:rsidRPr="00E07B1B">
              <w:t xml:space="preserve">MD </w:t>
            </w:r>
            <w:r w:rsidRPr="0016711D">
              <w:rPr>
                <w:vertAlign w:val="superscript"/>
              </w:rPr>
              <w:t>–</w:t>
            </w:r>
            <w:r w:rsidRPr="00E07B1B">
              <w:t>1.20 kg</w:t>
            </w:r>
            <w:r>
              <w:br/>
            </w:r>
            <w:r w:rsidRPr="00E07B1B">
              <w:t>(</w:t>
            </w:r>
            <w:r w:rsidRPr="0016711D">
              <w:rPr>
                <w:vertAlign w:val="superscript"/>
              </w:rPr>
              <w:noBreakHyphen/>
            </w:r>
            <w:r w:rsidRPr="00E07B1B">
              <w:t>3.43 to 1.03), 1</w:t>
            </w:r>
            <w:r>
              <w:t> </w:t>
            </w:r>
            <w:r w:rsidRPr="00E07B1B">
              <w:t>trial, 87 women</w:t>
            </w:r>
          </w:p>
        </w:tc>
        <w:tc>
          <w:tcPr>
            <w:tcW w:w="709" w:type="pct"/>
            <w:tcBorders>
              <w:top w:val="nil"/>
              <w:bottom w:val="nil"/>
            </w:tcBorders>
            <w:shd w:val="clear" w:color="auto" w:fill="F2F2F2" w:themeFill="background1" w:themeFillShade="F2"/>
          </w:tcPr>
          <w:p w:rsidR="00E11191" w:rsidRPr="00E07B1B" w:rsidRDefault="00E11191" w:rsidP="00E11191">
            <w:pPr>
              <w:pStyle w:val="TableText"/>
              <w:ind w:right="142"/>
              <w:jc w:val="center"/>
            </w:pPr>
            <w:r>
              <w:t>–</w:t>
            </w:r>
          </w:p>
        </w:tc>
        <w:tc>
          <w:tcPr>
            <w:tcW w:w="709" w:type="pct"/>
            <w:tcBorders>
              <w:top w:val="nil"/>
              <w:bottom w:val="nil"/>
            </w:tcBorders>
            <w:shd w:val="clear" w:color="auto" w:fill="F2F2F2" w:themeFill="background1" w:themeFillShade="F2"/>
          </w:tcPr>
          <w:p w:rsidR="00E11191" w:rsidRPr="00E07B1B" w:rsidRDefault="00E11191" w:rsidP="00E11191">
            <w:pPr>
              <w:pStyle w:val="TableText"/>
              <w:keepNext/>
              <w:ind w:right="142"/>
              <w:jc w:val="center"/>
            </w:pPr>
            <w:r>
              <w:t>–</w:t>
            </w:r>
          </w:p>
        </w:tc>
        <w:tc>
          <w:tcPr>
            <w:tcW w:w="776" w:type="pct"/>
            <w:tcBorders>
              <w:top w:val="nil"/>
              <w:bottom w:val="nil"/>
            </w:tcBorders>
            <w:shd w:val="clear" w:color="auto" w:fill="F2F2F2" w:themeFill="background1" w:themeFillShade="F2"/>
          </w:tcPr>
          <w:p w:rsidR="00E11191" w:rsidRPr="00E07B1B" w:rsidRDefault="00E11191" w:rsidP="00E11191">
            <w:pPr>
              <w:pStyle w:val="TableText"/>
              <w:keepNext/>
              <w:ind w:right="142"/>
              <w:jc w:val="center"/>
            </w:pPr>
            <w:r>
              <w:t>–</w:t>
            </w:r>
          </w:p>
        </w:tc>
        <w:tc>
          <w:tcPr>
            <w:tcW w:w="680" w:type="pct"/>
            <w:tcBorders>
              <w:top w:val="nil"/>
              <w:bottom w:val="nil"/>
            </w:tcBorders>
            <w:shd w:val="clear" w:color="auto" w:fill="F2F2F2" w:themeFill="background1" w:themeFillShade="F2"/>
          </w:tcPr>
          <w:p w:rsidR="00E11191" w:rsidRPr="00E07B1B" w:rsidRDefault="00E11191" w:rsidP="00E11191">
            <w:pPr>
              <w:pStyle w:val="TableText"/>
              <w:jc w:val="center"/>
            </w:pPr>
            <w:r w:rsidRPr="00E07B1B">
              <w:t>MD 2.40 kg</w:t>
            </w:r>
            <w:r>
              <w:br/>
            </w:r>
            <w:r w:rsidRPr="00E07B1B">
              <w:t>(</w:t>
            </w:r>
            <w:r w:rsidRPr="0016711D">
              <w:rPr>
                <w:vertAlign w:val="superscript"/>
              </w:rPr>
              <w:noBreakHyphen/>
            </w:r>
            <w:r w:rsidRPr="00E07B1B">
              <w:t>2.20 to 7.00), 1</w:t>
            </w:r>
            <w:r>
              <w:t> </w:t>
            </w:r>
            <w:r w:rsidRPr="00E07B1B">
              <w:t>trial, 22 women</w:t>
            </w:r>
          </w:p>
        </w:tc>
      </w:tr>
      <w:tr w:rsidR="00E11191" w:rsidRPr="00E07B1B" w:rsidTr="00E11191">
        <w:trPr>
          <w:cantSplit/>
        </w:trPr>
        <w:tc>
          <w:tcPr>
            <w:tcW w:w="709" w:type="pct"/>
            <w:tcBorders>
              <w:top w:val="nil"/>
            </w:tcBorders>
            <w:shd w:val="clear" w:color="auto" w:fill="auto"/>
          </w:tcPr>
          <w:p w:rsidR="00E11191" w:rsidRPr="00E07B1B" w:rsidRDefault="00E11191" w:rsidP="00E11191">
            <w:pPr>
              <w:pStyle w:val="TableText"/>
              <w:ind w:right="142"/>
            </w:pPr>
            <w:r w:rsidRPr="00E07B1B">
              <w:t>Pre-eclampsia</w:t>
            </w:r>
          </w:p>
        </w:tc>
        <w:tc>
          <w:tcPr>
            <w:tcW w:w="709" w:type="pct"/>
            <w:tcBorders>
              <w:top w:val="nil"/>
            </w:tcBorders>
            <w:shd w:val="clear" w:color="auto" w:fill="auto"/>
          </w:tcPr>
          <w:p w:rsidR="00E11191" w:rsidRPr="00E07B1B" w:rsidRDefault="00E11191" w:rsidP="00E11191">
            <w:pPr>
              <w:pStyle w:val="TableText"/>
              <w:ind w:right="142"/>
              <w:jc w:val="center"/>
            </w:pPr>
            <w:r>
              <w:t>–</w:t>
            </w:r>
          </w:p>
        </w:tc>
        <w:tc>
          <w:tcPr>
            <w:tcW w:w="709" w:type="pct"/>
            <w:tcBorders>
              <w:top w:val="nil"/>
            </w:tcBorders>
            <w:shd w:val="clear" w:color="auto" w:fill="auto"/>
          </w:tcPr>
          <w:p w:rsidR="00E11191" w:rsidRPr="00E07B1B" w:rsidRDefault="00E11191" w:rsidP="00E11191">
            <w:pPr>
              <w:pStyle w:val="TableText"/>
              <w:ind w:right="142"/>
              <w:jc w:val="center"/>
            </w:pPr>
            <w:r>
              <w:t>–</w:t>
            </w:r>
          </w:p>
        </w:tc>
        <w:tc>
          <w:tcPr>
            <w:tcW w:w="709" w:type="pct"/>
            <w:tcBorders>
              <w:top w:val="nil"/>
            </w:tcBorders>
            <w:shd w:val="clear" w:color="auto" w:fill="auto"/>
          </w:tcPr>
          <w:p w:rsidR="00E11191" w:rsidRPr="00E07B1B" w:rsidRDefault="00E11191" w:rsidP="00E11191">
            <w:pPr>
              <w:pStyle w:val="TableText"/>
              <w:ind w:right="142"/>
              <w:jc w:val="center"/>
            </w:pPr>
            <w:r w:rsidRPr="00E07B1B">
              <w:t>RR 1.00</w:t>
            </w:r>
            <w:r>
              <w:br/>
            </w:r>
            <w:r w:rsidRPr="00E07B1B">
              <w:t>(0.51</w:t>
            </w:r>
            <w:r>
              <w:t>–</w:t>
            </w:r>
            <w:r w:rsidRPr="00E07B1B">
              <w:t>1.97), 1</w:t>
            </w:r>
            <w:r>
              <w:t xml:space="preserve"> </w:t>
            </w:r>
            <w:r w:rsidRPr="00E07B1B">
              <w:t>trial, 117 women</w:t>
            </w:r>
          </w:p>
        </w:tc>
        <w:tc>
          <w:tcPr>
            <w:tcW w:w="709" w:type="pct"/>
            <w:tcBorders>
              <w:top w:val="nil"/>
            </w:tcBorders>
            <w:shd w:val="clear" w:color="auto" w:fill="auto"/>
          </w:tcPr>
          <w:p w:rsidR="00E11191" w:rsidRPr="00E07B1B" w:rsidRDefault="00E11191" w:rsidP="00E11191">
            <w:pPr>
              <w:pStyle w:val="TableText"/>
              <w:keepNext/>
              <w:ind w:right="142"/>
              <w:jc w:val="center"/>
            </w:pPr>
            <w:r>
              <w:t>–</w:t>
            </w:r>
          </w:p>
        </w:tc>
        <w:tc>
          <w:tcPr>
            <w:tcW w:w="776" w:type="pct"/>
            <w:tcBorders>
              <w:top w:val="nil"/>
            </w:tcBorders>
            <w:shd w:val="clear" w:color="auto" w:fill="auto"/>
          </w:tcPr>
          <w:p w:rsidR="00E11191" w:rsidRPr="00E07B1B" w:rsidRDefault="00E11191" w:rsidP="00E11191">
            <w:pPr>
              <w:pStyle w:val="TableText"/>
              <w:keepNext/>
              <w:ind w:right="142"/>
              <w:jc w:val="center"/>
            </w:pPr>
            <w:r>
              <w:t>–</w:t>
            </w:r>
          </w:p>
        </w:tc>
        <w:tc>
          <w:tcPr>
            <w:tcW w:w="680" w:type="pct"/>
            <w:tcBorders>
              <w:top w:val="nil"/>
            </w:tcBorders>
            <w:shd w:val="clear" w:color="auto" w:fill="auto"/>
          </w:tcPr>
          <w:p w:rsidR="00E11191" w:rsidRPr="00E07B1B" w:rsidRDefault="00E11191" w:rsidP="00E11191">
            <w:pPr>
              <w:pStyle w:val="TableText"/>
              <w:jc w:val="center"/>
            </w:pPr>
            <w:r>
              <w:t>–</w:t>
            </w:r>
          </w:p>
        </w:tc>
      </w:tr>
    </w:tbl>
    <w:p w:rsidR="00853A74" w:rsidRDefault="00853A74" w:rsidP="00E11191">
      <w:pPr>
        <w:pStyle w:val="Note"/>
      </w:pPr>
      <w:r>
        <w:t xml:space="preserve">Note: CI= confidence interval; </w:t>
      </w:r>
      <w:r w:rsidRPr="006B1088">
        <w:t xml:space="preserve">GI </w:t>
      </w:r>
      <w:r>
        <w:t>= g</w:t>
      </w:r>
      <w:r w:rsidRPr="006B1088">
        <w:t xml:space="preserve">lycaemic index; LGA </w:t>
      </w:r>
      <w:r>
        <w:t>=</w:t>
      </w:r>
      <w:r w:rsidRPr="006B1088">
        <w:t xml:space="preserve"> </w:t>
      </w:r>
      <w:r>
        <w:t>l</w:t>
      </w:r>
      <w:r w:rsidRPr="006B1088">
        <w:t>arge for gestational age;</w:t>
      </w:r>
      <w:r>
        <w:t xml:space="preserve"> </w:t>
      </w:r>
      <w:r w:rsidRPr="006B1088">
        <w:t>MD</w:t>
      </w:r>
      <w:r>
        <w:t xml:space="preserve"> =</w:t>
      </w:r>
      <w:r w:rsidRPr="006B1088">
        <w:t xml:space="preserve"> </w:t>
      </w:r>
      <w:r>
        <w:t>m</w:t>
      </w:r>
      <w:r w:rsidRPr="006B1088">
        <w:t xml:space="preserve">ean </w:t>
      </w:r>
      <w:r>
        <w:t>d</w:t>
      </w:r>
      <w:r w:rsidRPr="006B1088">
        <w:t xml:space="preserve">ifference; RR </w:t>
      </w:r>
      <w:r w:rsidR="00E11191">
        <w:t xml:space="preserve">= </w:t>
      </w:r>
      <w:r w:rsidRPr="006B1088">
        <w:t>risk ratio</w:t>
      </w:r>
      <w:r w:rsidR="00E11191">
        <w:t>.</w:t>
      </w:r>
    </w:p>
    <w:p w:rsidR="00853A74" w:rsidRDefault="00853A74" w:rsidP="00E11191">
      <w:pPr>
        <w:pStyle w:val="Source"/>
      </w:pPr>
      <w:r w:rsidRPr="006B1088">
        <w:t>Source: Han</w:t>
      </w:r>
      <w:r>
        <w:t xml:space="preserve"> et al</w:t>
      </w:r>
      <w:r w:rsidRPr="006B1088">
        <w:t xml:space="preserve"> (2013)</w:t>
      </w:r>
    </w:p>
    <w:p w:rsidR="00E11191" w:rsidRPr="00E11191" w:rsidRDefault="00E11191" w:rsidP="00E11191"/>
    <w:p w:rsidR="00853A74" w:rsidRPr="00E07B1B" w:rsidRDefault="00853A74" w:rsidP="00E11191">
      <w:pPr>
        <w:pStyle w:val="Table"/>
      </w:pPr>
      <w:bookmarkStart w:id="549" w:name="_Toc363717831"/>
      <w:bookmarkStart w:id="550" w:name="_Toc403635914"/>
      <w:r w:rsidRPr="00E07B1B">
        <w:t>Table 33</w:t>
      </w:r>
      <w:r w:rsidR="00E11191">
        <w:t>:</w:t>
      </w:r>
      <w:r w:rsidRPr="00E07B1B">
        <w:t xml:space="preserve"> Ministry of Health guidelines on weight gain during pregnancy</w:t>
      </w:r>
      <w:bookmarkEnd w:id="549"/>
      <w:bookmarkEnd w:id="550"/>
    </w:p>
    <w:tbl>
      <w:tblPr>
        <w:tblW w:w="375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3670"/>
        <w:gridCol w:w="3671"/>
        <w:gridCol w:w="3669"/>
      </w:tblGrid>
      <w:tr w:rsidR="00853A74" w:rsidRPr="00E11191" w:rsidTr="00E11191">
        <w:trPr>
          <w:cantSplit/>
        </w:trPr>
        <w:tc>
          <w:tcPr>
            <w:tcW w:w="1667" w:type="pct"/>
            <w:tcBorders>
              <w:top w:val="single" w:sz="4" w:space="0" w:color="auto"/>
              <w:bottom w:val="single" w:sz="4" w:space="0" w:color="auto"/>
            </w:tcBorders>
            <w:shd w:val="clear" w:color="auto" w:fill="auto"/>
          </w:tcPr>
          <w:p w:rsidR="00853A74" w:rsidRPr="00E11191" w:rsidRDefault="00853A74" w:rsidP="00E11191">
            <w:pPr>
              <w:pStyle w:val="TableText"/>
              <w:keepNext/>
              <w:rPr>
                <w:b/>
              </w:rPr>
            </w:pPr>
            <w:r w:rsidRPr="00E11191">
              <w:rPr>
                <w:b/>
              </w:rPr>
              <w:t>Pre-pregnancy body mass index</w:t>
            </w:r>
          </w:p>
        </w:tc>
        <w:tc>
          <w:tcPr>
            <w:tcW w:w="1667" w:type="pct"/>
            <w:tcBorders>
              <w:top w:val="single" w:sz="4" w:space="0" w:color="auto"/>
              <w:bottom w:val="single" w:sz="4" w:space="0" w:color="auto"/>
            </w:tcBorders>
            <w:shd w:val="clear" w:color="auto" w:fill="auto"/>
          </w:tcPr>
          <w:p w:rsidR="00853A74" w:rsidRPr="00E11191" w:rsidRDefault="00853A74" w:rsidP="00E11191">
            <w:pPr>
              <w:pStyle w:val="TableText"/>
              <w:keepNext/>
              <w:jc w:val="center"/>
              <w:rPr>
                <w:b/>
              </w:rPr>
            </w:pPr>
            <w:r w:rsidRPr="00E11191">
              <w:rPr>
                <w:b/>
              </w:rPr>
              <w:t>Body mass index (kg/m</w:t>
            </w:r>
            <w:r w:rsidRPr="00E11191">
              <w:rPr>
                <w:b/>
                <w:vertAlign w:val="superscript"/>
              </w:rPr>
              <w:t>2</w:t>
            </w:r>
            <w:r w:rsidRPr="00E11191">
              <w:rPr>
                <w:b/>
              </w:rPr>
              <w:t>)*</w:t>
            </w:r>
          </w:p>
        </w:tc>
        <w:tc>
          <w:tcPr>
            <w:tcW w:w="1667" w:type="pct"/>
            <w:tcBorders>
              <w:top w:val="single" w:sz="4" w:space="0" w:color="auto"/>
              <w:bottom w:val="single" w:sz="4" w:space="0" w:color="auto"/>
            </w:tcBorders>
            <w:shd w:val="clear" w:color="auto" w:fill="auto"/>
          </w:tcPr>
          <w:p w:rsidR="00853A74" w:rsidRPr="00E11191" w:rsidRDefault="00853A74" w:rsidP="00E11191">
            <w:pPr>
              <w:pStyle w:val="TableText"/>
              <w:keepNext/>
              <w:jc w:val="center"/>
              <w:rPr>
                <w:b/>
              </w:rPr>
            </w:pPr>
            <w:r w:rsidRPr="00E11191">
              <w:rPr>
                <w:b/>
              </w:rPr>
              <w:t>Total weight gain range (kg)</w:t>
            </w:r>
          </w:p>
        </w:tc>
      </w:tr>
      <w:tr w:rsidR="00853A74" w:rsidRPr="00E07B1B" w:rsidTr="00E11191">
        <w:trPr>
          <w:cantSplit/>
        </w:trPr>
        <w:tc>
          <w:tcPr>
            <w:tcW w:w="1667" w:type="pct"/>
            <w:tcBorders>
              <w:top w:val="single" w:sz="4" w:space="0" w:color="auto"/>
              <w:bottom w:val="nil"/>
            </w:tcBorders>
            <w:shd w:val="clear" w:color="auto" w:fill="F2F2F2" w:themeFill="background1" w:themeFillShade="F2"/>
          </w:tcPr>
          <w:p w:rsidR="00853A74" w:rsidRPr="00E07B1B" w:rsidRDefault="00853A74" w:rsidP="00E11191">
            <w:pPr>
              <w:pStyle w:val="TableText"/>
              <w:keepNext/>
            </w:pPr>
            <w:r w:rsidRPr="00E07B1B">
              <w:t>Underweight</w:t>
            </w:r>
          </w:p>
        </w:tc>
        <w:tc>
          <w:tcPr>
            <w:tcW w:w="1667" w:type="pct"/>
            <w:tcBorders>
              <w:top w:val="single" w:sz="4" w:space="0" w:color="auto"/>
              <w:bottom w:val="nil"/>
            </w:tcBorders>
            <w:shd w:val="clear" w:color="auto" w:fill="F2F2F2" w:themeFill="background1" w:themeFillShade="F2"/>
          </w:tcPr>
          <w:p w:rsidR="00853A74" w:rsidRPr="00E07B1B" w:rsidRDefault="00853A74" w:rsidP="00E11191">
            <w:pPr>
              <w:pStyle w:val="TableText"/>
              <w:keepNext/>
              <w:jc w:val="center"/>
            </w:pPr>
            <w:r w:rsidRPr="00E07B1B">
              <w:t>&lt; 18.5</w:t>
            </w:r>
          </w:p>
        </w:tc>
        <w:tc>
          <w:tcPr>
            <w:tcW w:w="1667" w:type="pct"/>
            <w:tcBorders>
              <w:top w:val="single" w:sz="4" w:space="0" w:color="auto"/>
              <w:bottom w:val="nil"/>
            </w:tcBorders>
            <w:shd w:val="clear" w:color="auto" w:fill="F2F2F2" w:themeFill="background1" w:themeFillShade="F2"/>
          </w:tcPr>
          <w:p w:rsidR="00853A74" w:rsidRPr="00E07B1B" w:rsidRDefault="00853A74" w:rsidP="00E11191">
            <w:pPr>
              <w:pStyle w:val="TableText"/>
              <w:keepNext/>
              <w:jc w:val="center"/>
            </w:pPr>
            <w:r w:rsidRPr="00E07B1B">
              <w:t>12.7</w:t>
            </w:r>
            <w:r>
              <w:t>–</w:t>
            </w:r>
            <w:r w:rsidRPr="00E07B1B">
              <w:t>18.1</w:t>
            </w:r>
          </w:p>
        </w:tc>
      </w:tr>
      <w:tr w:rsidR="00853A74" w:rsidRPr="00E07B1B" w:rsidTr="00E11191">
        <w:trPr>
          <w:cantSplit/>
        </w:trPr>
        <w:tc>
          <w:tcPr>
            <w:tcW w:w="1667" w:type="pct"/>
            <w:tcBorders>
              <w:top w:val="nil"/>
              <w:bottom w:val="nil"/>
            </w:tcBorders>
            <w:shd w:val="clear" w:color="auto" w:fill="auto"/>
          </w:tcPr>
          <w:p w:rsidR="00853A74" w:rsidRPr="00E07B1B" w:rsidRDefault="00853A74" w:rsidP="00E11191">
            <w:pPr>
              <w:pStyle w:val="TableText"/>
              <w:keepNext/>
            </w:pPr>
            <w:r w:rsidRPr="00E07B1B">
              <w:t>Normal weight</w:t>
            </w:r>
          </w:p>
        </w:tc>
        <w:tc>
          <w:tcPr>
            <w:tcW w:w="1667" w:type="pct"/>
            <w:tcBorders>
              <w:top w:val="nil"/>
              <w:bottom w:val="nil"/>
            </w:tcBorders>
            <w:shd w:val="clear" w:color="auto" w:fill="auto"/>
          </w:tcPr>
          <w:p w:rsidR="00853A74" w:rsidRPr="00E07B1B" w:rsidRDefault="00853A74" w:rsidP="00E11191">
            <w:pPr>
              <w:pStyle w:val="TableText"/>
              <w:keepNext/>
              <w:jc w:val="center"/>
            </w:pPr>
            <w:r w:rsidRPr="00E07B1B">
              <w:t>18.5</w:t>
            </w:r>
            <w:r>
              <w:t>–</w:t>
            </w:r>
            <w:r w:rsidRPr="00E07B1B">
              <w:t>24.9</w:t>
            </w:r>
          </w:p>
        </w:tc>
        <w:tc>
          <w:tcPr>
            <w:tcW w:w="1667" w:type="pct"/>
            <w:tcBorders>
              <w:top w:val="nil"/>
              <w:bottom w:val="nil"/>
            </w:tcBorders>
            <w:shd w:val="clear" w:color="auto" w:fill="auto"/>
          </w:tcPr>
          <w:p w:rsidR="00853A74" w:rsidRPr="00E07B1B" w:rsidRDefault="00853A74" w:rsidP="00E11191">
            <w:pPr>
              <w:pStyle w:val="TableText"/>
              <w:keepNext/>
              <w:jc w:val="center"/>
            </w:pPr>
            <w:r w:rsidRPr="00E07B1B">
              <w:t>11.3</w:t>
            </w:r>
            <w:r>
              <w:t>–</w:t>
            </w:r>
            <w:r w:rsidRPr="00E07B1B">
              <w:t>15.9</w:t>
            </w:r>
          </w:p>
        </w:tc>
      </w:tr>
      <w:tr w:rsidR="00853A74" w:rsidRPr="00E07B1B" w:rsidTr="00E11191">
        <w:trPr>
          <w:cantSplit/>
        </w:trPr>
        <w:tc>
          <w:tcPr>
            <w:tcW w:w="1667" w:type="pct"/>
            <w:tcBorders>
              <w:top w:val="nil"/>
              <w:bottom w:val="nil"/>
            </w:tcBorders>
            <w:shd w:val="clear" w:color="auto" w:fill="F2F2F2" w:themeFill="background1" w:themeFillShade="F2"/>
          </w:tcPr>
          <w:p w:rsidR="00853A74" w:rsidRPr="00E07B1B" w:rsidRDefault="00853A74" w:rsidP="00E11191">
            <w:pPr>
              <w:pStyle w:val="TableText"/>
              <w:keepNext/>
            </w:pPr>
            <w:r w:rsidRPr="00E07B1B">
              <w:t>Overweight</w:t>
            </w:r>
          </w:p>
        </w:tc>
        <w:tc>
          <w:tcPr>
            <w:tcW w:w="1667" w:type="pct"/>
            <w:tcBorders>
              <w:top w:val="nil"/>
              <w:bottom w:val="nil"/>
            </w:tcBorders>
            <w:shd w:val="clear" w:color="auto" w:fill="F2F2F2" w:themeFill="background1" w:themeFillShade="F2"/>
          </w:tcPr>
          <w:p w:rsidR="00853A74" w:rsidRPr="00E07B1B" w:rsidRDefault="00853A74" w:rsidP="00E11191">
            <w:pPr>
              <w:pStyle w:val="TableText"/>
              <w:keepNext/>
              <w:jc w:val="center"/>
            </w:pPr>
            <w:r w:rsidRPr="00E07B1B">
              <w:t>25.0</w:t>
            </w:r>
            <w:r>
              <w:t>–</w:t>
            </w:r>
            <w:r w:rsidRPr="00E07B1B">
              <w:t>29.9</w:t>
            </w:r>
          </w:p>
        </w:tc>
        <w:tc>
          <w:tcPr>
            <w:tcW w:w="1667" w:type="pct"/>
            <w:tcBorders>
              <w:top w:val="nil"/>
              <w:bottom w:val="nil"/>
            </w:tcBorders>
            <w:shd w:val="clear" w:color="auto" w:fill="F2F2F2" w:themeFill="background1" w:themeFillShade="F2"/>
          </w:tcPr>
          <w:p w:rsidR="00853A74" w:rsidRPr="00E07B1B" w:rsidRDefault="00853A74" w:rsidP="00E11191">
            <w:pPr>
              <w:pStyle w:val="TableText"/>
              <w:keepNext/>
              <w:jc w:val="center"/>
            </w:pPr>
            <w:r w:rsidRPr="00E07B1B">
              <w:t>6.8</w:t>
            </w:r>
            <w:r>
              <w:t>–</w:t>
            </w:r>
            <w:r w:rsidRPr="00E07B1B">
              <w:t>11.3</w:t>
            </w:r>
          </w:p>
        </w:tc>
      </w:tr>
      <w:tr w:rsidR="00853A74" w:rsidRPr="00E07B1B" w:rsidTr="00E11191">
        <w:trPr>
          <w:cantSplit/>
        </w:trPr>
        <w:tc>
          <w:tcPr>
            <w:tcW w:w="1667" w:type="pct"/>
            <w:tcBorders>
              <w:top w:val="nil"/>
            </w:tcBorders>
            <w:shd w:val="clear" w:color="auto" w:fill="auto"/>
          </w:tcPr>
          <w:p w:rsidR="00853A74" w:rsidRPr="00E07B1B" w:rsidRDefault="00853A74" w:rsidP="00E11191">
            <w:pPr>
              <w:pStyle w:val="TableText"/>
            </w:pPr>
            <w:r w:rsidRPr="00E07B1B">
              <w:t>Obese (includes all classes)</w:t>
            </w:r>
          </w:p>
        </w:tc>
        <w:tc>
          <w:tcPr>
            <w:tcW w:w="1667" w:type="pct"/>
            <w:tcBorders>
              <w:top w:val="nil"/>
            </w:tcBorders>
            <w:shd w:val="clear" w:color="auto" w:fill="auto"/>
          </w:tcPr>
          <w:p w:rsidR="00853A74" w:rsidRPr="00E07B1B" w:rsidRDefault="00853A74" w:rsidP="00E11191">
            <w:pPr>
              <w:pStyle w:val="TableText"/>
              <w:jc w:val="center"/>
            </w:pPr>
            <w:r w:rsidRPr="00E07B1B">
              <w:t>≥ 30.0</w:t>
            </w:r>
          </w:p>
        </w:tc>
        <w:tc>
          <w:tcPr>
            <w:tcW w:w="1667" w:type="pct"/>
            <w:tcBorders>
              <w:top w:val="nil"/>
            </w:tcBorders>
            <w:shd w:val="clear" w:color="auto" w:fill="auto"/>
          </w:tcPr>
          <w:p w:rsidR="00853A74" w:rsidRPr="00E07B1B" w:rsidRDefault="00853A74" w:rsidP="00E11191">
            <w:pPr>
              <w:pStyle w:val="TableText"/>
              <w:jc w:val="center"/>
            </w:pPr>
            <w:r w:rsidRPr="00E07B1B">
              <w:t>5.0</w:t>
            </w:r>
            <w:r>
              <w:t>–</w:t>
            </w:r>
            <w:r w:rsidRPr="00E07B1B">
              <w:t>9.0</w:t>
            </w:r>
          </w:p>
        </w:tc>
      </w:tr>
    </w:tbl>
    <w:p w:rsidR="00853A74" w:rsidRPr="00E07B1B" w:rsidRDefault="00853A74" w:rsidP="00E11191">
      <w:pPr>
        <w:pStyle w:val="Source"/>
      </w:pPr>
      <w:r w:rsidRPr="00E07B1B">
        <w:t xml:space="preserve">Source: </w:t>
      </w:r>
      <w:r>
        <w:t>Institute of Medicine (2009), cited in Ministry of Health (2014</w:t>
      </w:r>
      <w:r w:rsidRPr="00E07B1B">
        <w:t>)</w:t>
      </w:r>
    </w:p>
    <w:p w:rsidR="00853A74" w:rsidRPr="00E07B1B" w:rsidRDefault="00853A74" w:rsidP="00E11191"/>
    <w:p w:rsidR="00853A74" w:rsidRPr="00E07B1B" w:rsidRDefault="00853A74" w:rsidP="00B66529">
      <w:pPr>
        <w:pStyle w:val="Table"/>
      </w:pPr>
      <w:bookmarkStart w:id="551" w:name="_Toc363717832"/>
      <w:bookmarkStart w:id="552" w:name="_Toc403635915"/>
      <w:r w:rsidRPr="00E07B1B">
        <w:t>Table 34</w:t>
      </w:r>
      <w:r w:rsidR="00B66529">
        <w:t>:</w:t>
      </w:r>
      <w:r w:rsidRPr="00E07B1B">
        <w:t xml:space="preserve"> Details of screening/diagnostic criteria</w:t>
      </w:r>
      <w:bookmarkEnd w:id="551"/>
      <w:bookmarkEnd w:id="552"/>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2269"/>
        <w:gridCol w:w="2687"/>
        <w:gridCol w:w="1510"/>
        <w:gridCol w:w="2035"/>
        <w:gridCol w:w="2035"/>
        <w:gridCol w:w="2222"/>
        <w:gridCol w:w="1843"/>
      </w:tblGrid>
      <w:tr w:rsidR="00B66529" w:rsidRPr="00B66529" w:rsidTr="00B66529">
        <w:trPr>
          <w:cantSplit/>
        </w:trPr>
        <w:tc>
          <w:tcPr>
            <w:tcW w:w="777" w:type="pct"/>
            <w:tcBorders>
              <w:top w:val="single" w:sz="4" w:space="0" w:color="auto"/>
              <w:bottom w:val="single" w:sz="4" w:space="0" w:color="auto"/>
            </w:tcBorders>
            <w:shd w:val="clear" w:color="auto" w:fill="auto"/>
          </w:tcPr>
          <w:p w:rsidR="00853A74" w:rsidRPr="00B66529" w:rsidRDefault="00853A74" w:rsidP="00B66529">
            <w:pPr>
              <w:pStyle w:val="TableText"/>
              <w:keepNext/>
              <w:rPr>
                <w:b/>
              </w:rPr>
            </w:pPr>
            <w:r w:rsidRPr="00B66529">
              <w:rPr>
                <w:b/>
              </w:rPr>
              <w:t>Reference</w:t>
            </w:r>
          </w:p>
        </w:tc>
        <w:tc>
          <w:tcPr>
            <w:tcW w:w="920" w:type="pct"/>
            <w:tcBorders>
              <w:top w:val="single" w:sz="4" w:space="0" w:color="auto"/>
              <w:bottom w:val="single" w:sz="4" w:space="0" w:color="auto"/>
            </w:tcBorders>
            <w:shd w:val="clear" w:color="auto" w:fill="auto"/>
          </w:tcPr>
          <w:p w:rsidR="00853A74" w:rsidRPr="00B66529" w:rsidRDefault="00853A74" w:rsidP="00B66529">
            <w:pPr>
              <w:pStyle w:val="TableText"/>
              <w:rPr>
                <w:b/>
              </w:rPr>
            </w:pPr>
            <w:r w:rsidRPr="00B66529">
              <w:rPr>
                <w:b/>
              </w:rPr>
              <w:t>Screening</w:t>
            </w:r>
          </w:p>
        </w:tc>
        <w:tc>
          <w:tcPr>
            <w:tcW w:w="517" w:type="pct"/>
            <w:tcBorders>
              <w:top w:val="single" w:sz="4" w:space="0" w:color="auto"/>
              <w:bottom w:val="single" w:sz="4" w:space="0" w:color="auto"/>
            </w:tcBorders>
            <w:shd w:val="clear" w:color="auto" w:fill="auto"/>
          </w:tcPr>
          <w:p w:rsidR="00853A74" w:rsidRPr="00B66529" w:rsidRDefault="00853A74" w:rsidP="00B66529">
            <w:pPr>
              <w:pStyle w:val="TableText"/>
              <w:jc w:val="center"/>
              <w:rPr>
                <w:b/>
              </w:rPr>
            </w:pPr>
            <w:r w:rsidRPr="00B66529">
              <w:rPr>
                <w:b/>
              </w:rPr>
              <w:t>Loading dose of sugar</w:t>
            </w:r>
          </w:p>
        </w:tc>
        <w:tc>
          <w:tcPr>
            <w:tcW w:w="697" w:type="pct"/>
            <w:tcBorders>
              <w:top w:val="single" w:sz="4" w:space="0" w:color="auto"/>
              <w:bottom w:val="single" w:sz="4" w:space="0" w:color="auto"/>
            </w:tcBorders>
            <w:shd w:val="clear" w:color="auto" w:fill="auto"/>
          </w:tcPr>
          <w:p w:rsidR="00853A74" w:rsidRPr="00B66529" w:rsidRDefault="00853A74" w:rsidP="00B66529">
            <w:pPr>
              <w:pStyle w:val="TableText"/>
              <w:jc w:val="center"/>
              <w:rPr>
                <w:b/>
              </w:rPr>
            </w:pPr>
            <w:r w:rsidRPr="00B66529">
              <w:rPr>
                <w:b/>
              </w:rPr>
              <w:t>Fasting mg/dL</w:t>
            </w:r>
          </w:p>
        </w:tc>
        <w:tc>
          <w:tcPr>
            <w:tcW w:w="697" w:type="pct"/>
            <w:tcBorders>
              <w:top w:val="single" w:sz="4" w:space="0" w:color="auto"/>
              <w:bottom w:val="single" w:sz="4" w:space="0" w:color="auto"/>
            </w:tcBorders>
            <w:shd w:val="clear" w:color="auto" w:fill="auto"/>
          </w:tcPr>
          <w:p w:rsidR="00853A74" w:rsidRPr="00B66529" w:rsidRDefault="00853A74" w:rsidP="00B66529">
            <w:pPr>
              <w:pStyle w:val="TableText"/>
              <w:jc w:val="center"/>
              <w:rPr>
                <w:b/>
              </w:rPr>
            </w:pPr>
            <w:r w:rsidRPr="00B66529">
              <w:rPr>
                <w:b/>
              </w:rPr>
              <w:t>1-hour mg/dL</w:t>
            </w:r>
          </w:p>
        </w:tc>
        <w:tc>
          <w:tcPr>
            <w:tcW w:w="761" w:type="pct"/>
            <w:tcBorders>
              <w:top w:val="single" w:sz="4" w:space="0" w:color="auto"/>
              <w:bottom w:val="single" w:sz="4" w:space="0" w:color="auto"/>
            </w:tcBorders>
            <w:shd w:val="clear" w:color="auto" w:fill="auto"/>
          </w:tcPr>
          <w:p w:rsidR="00853A74" w:rsidRPr="00B66529" w:rsidRDefault="00853A74" w:rsidP="00B66529">
            <w:pPr>
              <w:pStyle w:val="TableText"/>
              <w:jc w:val="center"/>
              <w:rPr>
                <w:b/>
              </w:rPr>
            </w:pPr>
            <w:r w:rsidRPr="00B66529">
              <w:rPr>
                <w:b/>
              </w:rPr>
              <w:t>2-hour mg/dL</w:t>
            </w:r>
          </w:p>
        </w:tc>
        <w:tc>
          <w:tcPr>
            <w:tcW w:w="631" w:type="pct"/>
            <w:tcBorders>
              <w:top w:val="single" w:sz="4" w:space="0" w:color="auto"/>
              <w:bottom w:val="single" w:sz="4" w:space="0" w:color="auto"/>
            </w:tcBorders>
            <w:shd w:val="clear" w:color="auto" w:fill="auto"/>
          </w:tcPr>
          <w:p w:rsidR="00853A74" w:rsidRPr="00B66529" w:rsidRDefault="00853A74" w:rsidP="00B66529">
            <w:pPr>
              <w:pStyle w:val="TableText"/>
              <w:jc w:val="center"/>
              <w:rPr>
                <w:b/>
              </w:rPr>
            </w:pPr>
            <w:r w:rsidRPr="00B66529">
              <w:rPr>
                <w:b/>
              </w:rPr>
              <w:t>3-hour mg/dL</w:t>
            </w:r>
          </w:p>
        </w:tc>
      </w:tr>
      <w:tr w:rsidR="00B66529" w:rsidRPr="00B338FF" w:rsidTr="00B66529">
        <w:trPr>
          <w:cantSplit/>
        </w:trPr>
        <w:tc>
          <w:tcPr>
            <w:tcW w:w="777" w:type="pct"/>
            <w:tcBorders>
              <w:top w:val="single" w:sz="4" w:space="0" w:color="auto"/>
              <w:bottom w:val="nil"/>
            </w:tcBorders>
            <w:shd w:val="clear" w:color="auto" w:fill="F2F2F2" w:themeFill="background1" w:themeFillShade="F2"/>
          </w:tcPr>
          <w:p w:rsidR="00853A74" w:rsidRPr="00B338FF" w:rsidRDefault="00853A74" w:rsidP="00B66529">
            <w:pPr>
              <w:pStyle w:val="TableText"/>
              <w:keepNext/>
              <w:rPr>
                <w:szCs w:val="24"/>
              </w:rPr>
            </w:pPr>
            <w:r w:rsidRPr="00B338FF">
              <w:rPr>
                <w:szCs w:val="24"/>
              </w:rPr>
              <w:t>Mukhopadhyay</w:t>
            </w:r>
            <w:r w:rsidR="00B66529">
              <w:rPr>
                <w:szCs w:val="24"/>
              </w:rPr>
              <w:t xml:space="preserve"> </w:t>
            </w:r>
            <w:r w:rsidRPr="00B338FF">
              <w:rPr>
                <w:szCs w:val="24"/>
              </w:rPr>
              <w:t>(2012)</w:t>
            </w:r>
          </w:p>
        </w:tc>
        <w:tc>
          <w:tcPr>
            <w:tcW w:w="920" w:type="pct"/>
            <w:tcBorders>
              <w:top w:val="single" w:sz="4" w:space="0" w:color="auto"/>
              <w:bottom w:val="nil"/>
            </w:tcBorders>
            <w:shd w:val="clear" w:color="auto" w:fill="F2F2F2" w:themeFill="background1" w:themeFillShade="F2"/>
          </w:tcPr>
          <w:p w:rsidR="00853A74" w:rsidRPr="00B338FF" w:rsidRDefault="00853A74" w:rsidP="00B66529">
            <w:pPr>
              <w:pStyle w:val="TableText"/>
              <w:rPr>
                <w:szCs w:val="24"/>
              </w:rPr>
            </w:pPr>
            <w:r w:rsidRPr="00B338FF">
              <w:rPr>
                <w:szCs w:val="24"/>
              </w:rPr>
              <w:t>Not stated</w:t>
            </w:r>
          </w:p>
        </w:tc>
        <w:tc>
          <w:tcPr>
            <w:tcW w:w="517" w:type="pct"/>
            <w:tcBorders>
              <w:top w:val="single" w:sz="4" w:space="0" w:color="auto"/>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75</w:t>
            </w:r>
            <w:r>
              <w:rPr>
                <w:szCs w:val="24"/>
              </w:rPr>
              <w:t xml:space="preserve"> </w:t>
            </w:r>
            <w:r w:rsidRPr="00B338FF">
              <w:rPr>
                <w:szCs w:val="24"/>
              </w:rPr>
              <w:t>g</w:t>
            </w:r>
          </w:p>
        </w:tc>
        <w:tc>
          <w:tcPr>
            <w:tcW w:w="697" w:type="pct"/>
            <w:tcBorders>
              <w:top w:val="single" w:sz="4" w:space="0" w:color="auto"/>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7.0</w:t>
            </w:r>
            <w:r>
              <w:rPr>
                <w:szCs w:val="24"/>
              </w:rPr>
              <w:t xml:space="preserve"> </w:t>
            </w:r>
            <w:r w:rsidRPr="00B338FF">
              <w:rPr>
                <w:szCs w:val="24"/>
              </w:rPr>
              <w:t>mmol/L</w:t>
            </w:r>
          </w:p>
        </w:tc>
        <w:tc>
          <w:tcPr>
            <w:tcW w:w="697" w:type="pct"/>
            <w:tcBorders>
              <w:top w:val="single" w:sz="4" w:space="0" w:color="auto"/>
              <w:bottom w:val="nil"/>
            </w:tcBorders>
            <w:shd w:val="clear" w:color="auto" w:fill="F2F2F2" w:themeFill="background1" w:themeFillShade="F2"/>
          </w:tcPr>
          <w:p w:rsidR="00853A74" w:rsidRPr="00B338FF" w:rsidRDefault="00B66529" w:rsidP="00B66529">
            <w:pPr>
              <w:pStyle w:val="TableText"/>
              <w:jc w:val="center"/>
              <w:rPr>
                <w:szCs w:val="24"/>
              </w:rPr>
            </w:pPr>
            <w:r>
              <w:rPr>
                <w:szCs w:val="24"/>
              </w:rPr>
              <w:t>–</w:t>
            </w:r>
          </w:p>
        </w:tc>
        <w:tc>
          <w:tcPr>
            <w:tcW w:w="761" w:type="pct"/>
            <w:tcBorders>
              <w:top w:val="single" w:sz="4" w:space="0" w:color="auto"/>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7.8</w:t>
            </w:r>
            <w:r>
              <w:rPr>
                <w:szCs w:val="24"/>
              </w:rPr>
              <w:t xml:space="preserve"> </w:t>
            </w:r>
            <w:r w:rsidRPr="00B338FF">
              <w:rPr>
                <w:szCs w:val="24"/>
              </w:rPr>
              <w:t>mmol/L</w:t>
            </w:r>
          </w:p>
        </w:tc>
        <w:tc>
          <w:tcPr>
            <w:tcW w:w="631" w:type="pct"/>
            <w:tcBorders>
              <w:top w:val="single" w:sz="4" w:space="0" w:color="auto"/>
              <w:bottom w:val="nil"/>
            </w:tcBorders>
            <w:shd w:val="clear" w:color="auto" w:fill="F2F2F2" w:themeFill="background1" w:themeFillShade="F2"/>
          </w:tcPr>
          <w:p w:rsidR="00853A74" w:rsidRPr="00B338FF" w:rsidRDefault="00B66529" w:rsidP="00B66529">
            <w:pPr>
              <w:pStyle w:val="TableText"/>
              <w:jc w:val="center"/>
              <w:rPr>
                <w:szCs w:val="24"/>
              </w:rPr>
            </w:pPr>
            <w:r>
              <w:rPr>
                <w:szCs w:val="24"/>
              </w:rPr>
              <w:t>–</w:t>
            </w:r>
          </w:p>
        </w:tc>
      </w:tr>
      <w:tr w:rsidR="00B66529" w:rsidRPr="00B338FF" w:rsidTr="00B66529">
        <w:trPr>
          <w:cantSplit/>
        </w:trPr>
        <w:tc>
          <w:tcPr>
            <w:tcW w:w="777" w:type="pct"/>
            <w:tcBorders>
              <w:top w:val="nil"/>
              <w:bottom w:val="nil"/>
            </w:tcBorders>
            <w:shd w:val="clear" w:color="auto" w:fill="auto"/>
          </w:tcPr>
          <w:p w:rsidR="00853A74" w:rsidRPr="00B338FF" w:rsidRDefault="00853A74" w:rsidP="00B66529">
            <w:pPr>
              <w:pStyle w:val="TableText"/>
              <w:keepNext/>
              <w:rPr>
                <w:szCs w:val="24"/>
              </w:rPr>
            </w:pPr>
            <w:r w:rsidRPr="00B338FF">
              <w:rPr>
                <w:szCs w:val="24"/>
              </w:rPr>
              <w:t>Niromanesh</w:t>
            </w:r>
            <w:r w:rsidR="00B66529">
              <w:rPr>
                <w:szCs w:val="24"/>
              </w:rPr>
              <w:t xml:space="preserve"> </w:t>
            </w:r>
            <w:r w:rsidRPr="00B338FF">
              <w:rPr>
                <w:szCs w:val="24"/>
              </w:rPr>
              <w:t>(2012)</w:t>
            </w:r>
            <w:r w:rsidRPr="00B338FF">
              <w:rPr>
                <w:szCs w:val="24"/>
                <w:vertAlign w:val="superscript"/>
              </w:rPr>
              <w:t>$</w:t>
            </w:r>
          </w:p>
        </w:tc>
        <w:tc>
          <w:tcPr>
            <w:tcW w:w="920" w:type="pct"/>
            <w:tcBorders>
              <w:top w:val="nil"/>
              <w:bottom w:val="nil"/>
            </w:tcBorders>
            <w:shd w:val="clear" w:color="auto" w:fill="auto"/>
          </w:tcPr>
          <w:p w:rsidR="00853A74" w:rsidRPr="00B338FF" w:rsidRDefault="00853A74" w:rsidP="00B66529">
            <w:pPr>
              <w:pStyle w:val="TableText"/>
              <w:rPr>
                <w:szCs w:val="24"/>
              </w:rPr>
            </w:pPr>
            <w:r w:rsidRPr="00B338FF">
              <w:rPr>
                <w:szCs w:val="24"/>
              </w:rPr>
              <w:t>50</w:t>
            </w:r>
            <w:r>
              <w:rPr>
                <w:szCs w:val="24"/>
              </w:rPr>
              <w:t xml:space="preserve"> </w:t>
            </w:r>
            <w:r w:rsidRPr="00B338FF">
              <w:rPr>
                <w:szCs w:val="24"/>
              </w:rPr>
              <w:t>g GCT ≥</w:t>
            </w:r>
            <w:r>
              <w:rPr>
                <w:szCs w:val="24"/>
              </w:rPr>
              <w:t> </w:t>
            </w:r>
            <w:r w:rsidRPr="00B338FF">
              <w:rPr>
                <w:szCs w:val="24"/>
              </w:rPr>
              <w:t>130</w:t>
            </w:r>
            <w:r>
              <w:rPr>
                <w:szCs w:val="24"/>
              </w:rPr>
              <w:t> </w:t>
            </w:r>
            <w:r w:rsidRPr="00B338FF">
              <w:rPr>
                <w:szCs w:val="24"/>
              </w:rPr>
              <w:t>mg/dL</w:t>
            </w:r>
          </w:p>
        </w:tc>
        <w:tc>
          <w:tcPr>
            <w:tcW w:w="517"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100</w:t>
            </w:r>
            <w:r>
              <w:rPr>
                <w:szCs w:val="24"/>
              </w:rPr>
              <w:t xml:space="preserve"> </w:t>
            </w:r>
            <w:r w:rsidRPr="00B338FF">
              <w:rPr>
                <w:szCs w:val="24"/>
              </w:rPr>
              <w:t>g</w:t>
            </w:r>
          </w:p>
        </w:tc>
        <w:tc>
          <w:tcPr>
            <w:tcW w:w="697"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5.3</w:t>
            </w:r>
            <w:r>
              <w:rPr>
                <w:szCs w:val="24"/>
              </w:rPr>
              <w:t xml:space="preserve"> </w:t>
            </w:r>
            <w:r w:rsidRPr="00B338FF">
              <w:rPr>
                <w:szCs w:val="24"/>
              </w:rPr>
              <w:t>mmol/L</w:t>
            </w:r>
          </w:p>
        </w:tc>
        <w:tc>
          <w:tcPr>
            <w:tcW w:w="697"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10.0</w:t>
            </w:r>
            <w:r>
              <w:rPr>
                <w:szCs w:val="24"/>
              </w:rPr>
              <w:t xml:space="preserve"> </w:t>
            </w:r>
            <w:r w:rsidRPr="00B338FF">
              <w:rPr>
                <w:szCs w:val="24"/>
              </w:rPr>
              <w:t>mmol/L</w:t>
            </w:r>
          </w:p>
        </w:tc>
        <w:tc>
          <w:tcPr>
            <w:tcW w:w="761"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8.6</w:t>
            </w:r>
            <w:r>
              <w:rPr>
                <w:szCs w:val="24"/>
              </w:rPr>
              <w:t xml:space="preserve"> </w:t>
            </w:r>
            <w:r w:rsidRPr="00B338FF">
              <w:rPr>
                <w:szCs w:val="24"/>
              </w:rPr>
              <w:t>mmol/L</w:t>
            </w:r>
          </w:p>
        </w:tc>
        <w:tc>
          <w:tcPr>
            <w:tcW w:w="631"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7.8</w:t>
            </w:r>
            <w:r>
              <w:rPr>
                <w:szCs w:val="24"/>
              </w:rPr>
              <w:t xml:space="preserve"> </w:t>
            </w:r>
            <w:r w:rsidRPr="00B338FF">
              <w:rPr>
                <w:szCs w:val="24"/>
              </w:rPr>
              <w:t>mmol/L</w:t>
            </w:r>
          </w:p>
        </w:tc>
      </w:tr>
      <w:tr w:rsidR="00B66529" w:rsidRPr="00B338FF" w:rsidTr="00B66529">
        <w:trPr>
          <w:cantSplit/>
        </w:trPr>
        <w:tc>
          <w:tcPr>
            <w:tcW w:w="777" w:type="pct"/>
            <w:tcBorders>
              <w:top w:val="nil"/>
              <w:bottom w:val="nil"/>
            </w:tcBorders>
            <w:shd w:val="clear" w:color="auto" w:fill="F2F2F2" w:themeFill="background1" w:themeFillShade="F2"/>
          </w:tcPr>
          <w:p w:rsidR="00853A74" w:rsidRPr="00B338FF" w:rsidRDefault="00853A74" w:rsidP="00B66529">
            <w:pPr>
              <w:pStyle w:val="TableText"/>
              <w:keepNext/>
              <w:rPr>
                <w:szCs w:val="24"/>
              </w:rPr>
            </w:pPr>
            <w:r w:rsidRPr="00B338FF">
              <w:rPr>
                <w:szCs w:val="24"/>
              </w:rPr>
              <w:t>Tertti</w:t>
            </w:r>
            <w:r w:rsidR="00B66529">
              <w:rPr>
                <w:szCs w:val="24"/>
              </w:rPr>
              <w:t xml:space="preserve"> </w:t>
            </w:r>
            <w:r w:rsidRPr="00B338FF">
              <w:rPr>
                <w:szCs w:val="24"/>
              </w:rPr>
              <w:t>(2012)</w:t>
            </w:r>
          </w:p>
        </w:tc>
        <w:tc>
          <w:tcPr>
            <w:tcW w:w="920" w:type="pct"/>
            <w:tcBorders>
              <w:top w:val="nil"/>
              <w:bottom w:val="nil"/>
            </w:tcBorders>
            <w:shd w:val="clear" w:color="auto" w:fill="F2F2F2" w:themeFill="background1" w:themeFillShade="F2"/>
          </w:tcPr>
          <w:p w:rsidR="00853A74" w:rsidRPr="00B338FF" w:rsidRDefault="00853A74" w:rsidP="00B66529">
            <w:pPr>
              <w:pStyle w:val="TableText"/>
              <w:rPr>
                <w:szCs w:val="24"/>
              </w:rPr>
            </w:pPr>
            <w:r w:rsidRPr="00B338FF">
              <w:rPr>
                <w:szCs w:val="24"/>
              </w:rPr>
              <w:t>Risk criteria changed during trial</w:t>
            </w:r>
          </w:p>
        </w:tc>
        <w:tc>
          <w:tcPr>
            <w:tcW w:w="517"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75</w:t>
            </w:r>
            <w:r>
              <w:rPr>
                <w:szCs w:val="24"/>
              </w:rPr>
              <w:t xml:space="preserve"> </w:t>
            </w:r>
            <w:r w:rsidRPr="00B338FF">
              <w:rPr>
                <w:szCs w:val="24"/>
              </w:rPr>
              <w:t>g</w:t>
            </w:r>
          </w:p>
        </w:tc>
        <w:tc>
          <w:tcPr>
            <w:tcW w:w="697"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Pre-2008 ≥</w:t>
            </w:r>
            <w:r>
              <w:rPr>
                <w:szCs w:val="24"/>
              </w:rPr>
              <w:t> </w:t>
            </w:r>
            <w:r w:rsidRPr="00B338FF">
              <w:rPr>
                <w:szCs w:val="24"/>
              </w:rPr>
              <w:t>4.8</w:t>
            </w:r>
            <w:r>
              <w:rPr>
                <w:szCs w:val="24"/>
              </w:rPr>
              <w:t> </w:t>
            </w:r>
            <w:r w:rsidRPr="00B338FF">
              <w:rPr>
                <w:szCs w:val="24"/>
              </w:rPr>
              <w:t>mmol/L; post</w:t>
            </w:r>
            <w:r>
              <w:rPr>
                <w:szCs w:val="24"/>
              </w:rPr>
              <w:t>-</w:t>
            </w:r>
            <w:r w:rsidRPr="00B338FF">
              <w:rPr>
                <w:szCs w:val="24"/>
              </w:rPr>
              <w:t>2008 ≥</w:t>
            </w:r>
            <w:r>
              <w:rPr>
                <w:szCs w:val="24"/>
              </w:rPr>
              <w:t> </w:t>
            </w:r>
            <w:r w:rsidRPr="00B338FF">
              <w:rPr>
                <w:szCs w:val="24"/>
              </w:rPr>
              <w:t>5.3</w:t>
            </w:r>
            <w:r>
              <w:rPr>
                <w:szCs w:val="24"/>
              </w:rPr>
              <w:t> </w:t>
            </w:r>
            <w:r w:rsidRPr="00B338FF">
              <w:rPr>
                <w:szCs w:val="24"/>
              </w:rPr>
              <w:t>mmol/L</w:t>
            </w:r>
          </w:p>
        </w:tc>
        <w:tc>
          <w:tcPr>
            <w:tcW w:w="697"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Pre</w:t>
            </w:r>
            <w:r>
              <w:rPr>
                <w:szCs w:val="24"/>
              </w:rPr>
              <w:t>-</w:t>
            </w:r>
            <w:r w:rsidRPr="00B338FF">
              <w:rPr>
                <w:szCs w:val="24"/>
              </w:rPr>
              <w:t xml:space="preserve"> and post-2008 ≥</w:t>
            </w:r>
            <w:r>
              <w:rPr>
                <w:szCs w:val="24"/>
              </w:rPr>
              <w:t> </w:t>
            </w:r>
            <w:r w:rsidRPr="00B338FF">
              <w:rPr>
                <w:szCs w:val="24"/>
              </w:rPr>
              <w:t>10.0</w:t>
            </w:r>
            <w:r>
              <w:rPr>
                <w:szCs w:val="24"/>
              </w:rPr>
              <w:t> </w:t>
            </w:r>
            <w:r w:rsidRPr="00B338FF">
              <w:rPr>
                <w:szCs w:val="24"/>
              </w:rPr>
              <w:t>mmol/L</w:t>
            </w:r>
          </w:p>
        </w:tc>
        <w:tc>
          <w:tcPr>
            <w:tcW w:w="761"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Pre</w:t>
            </w:r>
            <w:r>
              <w:rPr>
                <w:szCs w:val="24"/>
              </w:rPr>
              <w:t>-</w:t>
            </w:r>
            <w:r w:rsidRPr="00B338FF">
              <w:rPr>
                <w:szCs w:val="24"/>
              </w:rPr>
              <w:t>2008 8.7</w:t>
            </w:r>
            <w:r>
              <w:rPr>
                <w:szCs w:val="24"/>
              </w:rPr>
              <w:t> </w:t>
            </w:r>
            <w:r w:rsidRPr="00B338FF">
              <w:rPr>
                <w:szCs w:val="24"/>
              </w:rPr>
              <w:t>mmol/L</w:t>
            </w:r>
            <w:r w:rsidR="00B66529">
              <w:rPr>
                <w:szCs w:val="24"/>
              </w:rPr>
              <w:br/>
            </w:r>
            <w:r w:rsidRPr="00B338FF">
              <w:rPr>
                <w:szCs w:val="24"/>
              </w:rPr>
              <w:t>Post</w:t>
            </w:r>
            <w:r>
              <w:rPr>
                <w:szCs w:val="24"/>
              </w:rPr>
              <w:t>-</w:t>
            </w:r>
            <w:r w:rsidRPr="00B338FF">
              <w:rPr>
                <w:szCs w:val="24"/>
              </w:rPr>
              <w:t>2008 8.6</w:t>
            </w:r>
            <w:r>
              <w:rPr>
                <w:szCs w:val="24"/>
              </w:rPr>
              <w:t> </w:t>
            </w:r>
            <w:r w:rsidRPr="00B338FF">
              <w:rPr>
                <w:szCs w:val="24"/>
              </w:rPr>
              <w:t>mmol/L</w:t>
            </w:r>
          </w:p>
        </w:tc>
        <w:tc>
          <w:tcPr>
            <w:tcW w:w="631" w:type="pct"/>
            <w:tcBorders>
              <w:top w:val="nil"/>
              <w:bottom w:val="nil"/>
            </w:tcBorders>
            <w:shd w:val="clear" w:color="auto" w:fill="F2F2F2" w:themeFill="background1" w:themeFillShade="F2"/>
          </w:tcPr>
          <w:p w:rsidR="00853A74" w:rsidRPr="00B338FF" w:rsidRDefault="00B66529" w:rsidP="00B66529">
            <w:pPr>
              <w:pStyle w:val="TableText"/>
              <w:jc w:val="center"/>
              <w:rPr>
                <w:szCs w:val="24"/>
              </w:rPr>
            </w:pPr>
            <w:r>
              <w:rPr>
                <w:szCs w:val="24"/>
              </w:rPr>
              <w:t>–</w:t>
            </w:r>
          </w:p>
        </w:tc>
      </w:tr>
      <w:tr w:rsidR="00B66529" w:rsidRPr="00B338FF" w:rsidTr="00B66529">
        <w:trPr>
          <w:cantSplit/>
        </w:trPr>
        <w:tc>
          <w:tcPr>
            <w:tcW w:w="777" w:type="pct"/>
            <w:tcBorders>
              <w:top w:val="nil"/>
              <w:bottom w:val="nil"/>
            </w:tcBorders>
            <w:shd w:val="clear" w:color="auto" w:fill="auto"/>
          </w:tcPr>
          <w:p w:rsidR="00853A74" w:rsidRPr="00B338FF" w:rsidRDefault="00853A74" w:rsidP="00B66529">
            <w:pPr>
              <w:pStyle w:val="TableText"/>
              <w:keepNext/>
              <w:rPr>
                <w:szCs w:val="24"/>
              </w:rPr>
            </w:pPr>
            <w:r w:rsidRPr="00B338FF">
              <w:rPr>
                <w:szCs w:val="24"/>
              </w:rPr>
              <w:t>Ijas</w:t>
            </w:r>
            <w:r w:rsidR="00B66529">
              <w:rPr>
                <w:szCs w:val="24"/>
              </w:rPr>
              <w:t xml:space="preserve"> </w:t>
            </w:r>
            <w:r w:rsidRPr="00B338FF">
              <w:rPr>
                <w:szCs w:val="24"/>
              </w:rPr>
              <w:t>(2011)*</w:t>
            </w:r>
          </w:p>
        </w:tc>
        <w:tc>
          <w:tcPr>
            <w:tcW w:w="920" w:type="pct"/>
            <w:tcBorders>
              <w:top w:val="nil"/>
              <w:bottom w:val="nil"/>
            </w:tcBorders>
            <w:shd w:val="clear" w:color="auto" w:fill="auto"/>
          </w:tcPr>
          <w:p w:rsidR="00853A74" w:rsidRPr="00B338FF" w:rsidRDefault="00853A74" w:rsidP="00B66529">
            <w:pPr>
              <w:pStyle w:val="TableText"/>
              <w:rPr>
                <w:szCs w:val="24"/>
              </w:rPr>
            </w:pPr>
            <w:r w:rsidRPr="00B338FF">
              <w:rPr>
                <w:szCs w:val="24"/>
              </w:rPr>
              <w:t>Not stated</w:t>
            </w:r>
          </w:p>
        </w:tc>
        <w:tc>
          <w:tcPr>
            <w:tcW w:w="517"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75</w:t>
            </w:r>
            <w:r>
              <w:rPr>
                <w:szCs w:val="24"/>
              </w:rPr>
              <w:t xml:space="preserve"> </w:t>
            </w:r>
            <w:r w:rsidRPr="00B338FF">
              <w:rPr>
                <w:szCs w:val="24"/>
              </w:rPr>
              <w:t>g</w:t>
            </w:r>
          </w:p>
        </w:tc>
        <w:tc>
          <w:tcPr>
            <w:tcW w:w="697"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5.3</w:t>
            </w:r>
            <w:r>
              <w:rPr>
                <w:szCs w:val="24"/>
              </w:rPr>
              <w:t xml:space="preserve"> </w:t>
            </w:r>
            <w:r w:rsidRPr="00B338FF">
              <w:rPr>
                <w:szCs w:val="24"/>
              </w:rPr>
              <w:t>mmol/L</w:t>
            </w:r>
          </w:p>
        </w:tc>
        <w:tc>
          <w:tcPr>
            <w:tcW w:w="697"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11</w:t>
            </w:r>
            <w:r>
              <w:rPr>
                <w:szCs w:val="24"/>
              </w:rPr>
              <w:t xml:space="preserve"> </w:t>
            </w:r>
            <w:r w:rsidRPr="00B338FF">
              <w:rPr>
                <w:szCs w:val="24"/>
              </w:rPr>
              <w:t>mmol/L</w:t>
            </w:r>
          </w:p>
        </w:tc>
        <w:tc>
          <w:tcPr>
            <w:tcW w:w="761"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9.6</w:t>
            </w:r>
            <w:r>
              <w:rPr>
                <w:szCs w:val="24"/>
              </w:rPr>
              <w:t xml:space="preserve"> </w:t>
            </w:r>
            <w:r w:rsidRPr="00B338FF">
              <w:rPr>
                <w:szCs w:val="24"/>
              </w:rPr>
              <w:t>mmol/L</w:t>
            </w:r>
          </w:p>
        </w:tc>
        <w:tc>
          <w:tcPr>
            <w:tcW w:w="631"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Not stated</w:t>
            </w:r>
          </w:p>
        </w:tc>
      </w:tr>
      <w:tr w:rsidR="00B66529" w:rsidRPr="00B338FF" w:rsidTr="00B66529">
        <w:trPr>
          <w:cantSplit/>
        </w:trPr>
        <w:tc>
          <w:tcPr>
            <w:tcW w:w="777" w:type="pct"/>
            <w:tcBorders>
              <w:top w:val="nil"/>
              <w:bottom w:val="nil"/>
            </w:tcBorders>
            <w:shd w:val="clear" w:color="auto" w:fill="F2F2F2" w:themeFill="background1" w:themeFillShade="F2"/>
          </w:tcPr>
          <w:p w:rsidR="00853A74" w:rsidRPr="00B338FF" w:rsidRDefault="00853A74" w:rsidP="00B66529">
            <w:pPr>
              <w:pStyle w:val="TableText"/>
              <w:keepNext/>
              <w:rPr>
                <w:szCs w:val="24"/>
              </w:rPr>
            </w:pPr>
            <w:r w:rsidRPr="00B338FF">
              <w:rPr>
                <w:szCs w:val="24"/>
              </w:rPr>
              <w:t>Lain (2009)</w:t>
            </w:r>
          </w:p>
        </w:tc>
        <w:tc>
          <w:tcPr>
            <w:tcW w:w="920" w:type="pct"/>
            <w:tcBorders>
              <w:top w:val="nil"/>
              <w:bottom w:val="nil"/>
            </w:tcBorders>
            <w:shd w:val="clear" w:color="auto" w:fill="F2F2F2" w:themeFill="background1" w:themeFillShade="F2"/>
          </w:tcPr>
          <w:p w:rsidR="00853A74" w:rsidRPr="00B338FF" w:rsidRDefault="00853A74" w:rsidP="00B66529">
            <w:pPr>
              <w:pStyle w:val="TableText"/>
              <w:rPr>
                <w:szCs w:val="24"/>
              </w:rPr>
            </w:pPr>
            <w:r w:rsidRPr="00B338FF">
              <w:rPr>
                <w:szCs w:val="24"/>
              </w:rPr>
              <w:t>50</w:t>
            </w:r>
            <w:r>
              <w:rPr>
                <w:szCs w:val="24"/>
              </w:rPr>
              <w:t xml:space="preserve"> </w:t>
            </w:r>
            <w:r w:rsidRPr="00B338FF">
              <w:rPr>
                <w:szCs w:val="24"/>
              </w:rPr>
              <w:t>g</w:t>
            </w:r>
            <w:r>
              <w:rPr>
                <w:szCs w:val="24"/>
              </w:rPr>
              <w:t>,</w:t>
            </w:r>
            <w:r w:rsidRPr="00B338FF">
              <w:rPr>
                <w:szCs w:val="24"/>
              </w:rPr>
              <w:t xml:space="preserve"> 1</w:t>
            </w:r>
            <w:r>
              <w:rPr>
                <w:szCs w:val="24"/>
              </w:rPr>
              <w:t>-hour</w:t>
            </w:r>
            <w:r w:rsidRPr="00B338FF">
              <w:rPr>
                <w:szCs w:val="24"/>
              </w:rPr>
              <w:t xml:space="preserve"> OGTT (&gt;</w:t>
            </w:r>
            <w:r>
              <w:rPr>
                <w:szCs w:val="24"/>
              </w:rPr>
              <w:t> </w:t>
            </w:r>
            <w:r w:rsidRPr="00B338FF">
              <w:rPr>
                <w:szCs w:val="24"/>
              </w:rPr>
              <w:t>7.5</w:t>
            </w:r>
            <w:r>
              <w:rPr>
                <w:szCs w:val="24"/>
              </w:rPr>
              <w:t> </w:t>
            </w:r>
            <w:r w:rsidRPr="00B338FF">
              <w:rPr>
                <w:szCs w:val="24"/>
              </w:rPr>
              <w:t>mmol/L)</w:t>
            </w:r>
          </w:p>
        </w:tc>
        <w:tc>
          <w:tcPr>
            <w:tcW w:w="517"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100</w:t>
            </w:r>
            <w:r>
              <w:rPr>
                <w:szCs w:val="24"/>
              </w:rPr>
              <w:t xml:space="preserve"> </w:t>
            </w:r>
            <w:r w:rsidRPr="00B338FF">
              <w:rPr>
                <w:szCs w:val="24"/>
              </w:rPr>
              <w:t>g</w:t>
            </w:r>
            <w:r w:rsidRPr="00B338FF">
              <w:rPr>
                <w:szCs w:val="24"/>
                <w:vertAlign w:val="superscript"/>
              </w:rPr>
              <w:t>#</w:t>
            </w:r>
          </w:p>
        </w:tc>
        <w:tc>
          <w:tcPr>
            <w:tcW w:w="697"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&gt;</w:t>
            </w:r>
            <w:r>
              <w:rPr>
                <w:szCs w:val="24"/>
              </w:rPr>
              <w:t xml:space="preserve"> </w:t>
            </w:r>
            <w:r w:rsidRPr="00B338FF">
              <w:rPr>
                <w:szCs w:val="24"/>
              </w:rPr>
              <w:t>5.3</w:t>
            </w:r>
            <w:r>
              <w:rPr>
                <w:szCs w:val="24"/>
              </w:rPr>
              <w:t xml:space="preserve"> </w:t>
            </w:r>
            <w:r w:rsidRPr="00B338FF">
              <w:rPr>
                <w:szCs w:val="24"/>
              </w:rPr>
              <w:t>mmol/L</w:t>
            </w:r>
          </w:p>
        </w:tc>
        <w:tc>
          <w:tcPr>
            <w:tcW w:w="697"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&gt;</w:t>
            </w:r>
            <w:r>
              <w:rPr>
                <w:szCs w:val="24"/>
              </w:rPr>
              <w:t xml:space="preserve"> </w:t>
            </w:r>
            <w:r w:rsidRPr="00B338FF">
              <w:rPr>
                <w:szCs w:val="24"/>
              </w:rPr>
              <w:t>10</w:t>
            </w:r>
            <w:r>
              <w:rPr>
                <w:szCs w:val="24"/>
              </w:rPr>
              <w:t xml:space="preserve"> </w:t>
            </w:r>
            <w:r w:rsidR="00B66529">
              <w:rPr>
                <w:szCs w:val="24"/>
              </w:rPr>
              <w:t>mmol/L</w:t>
            </w:r>
          </w:p>
        </w:tc>
        <w:tc>
          <w:tcPr>
            <w:tcW w:w="761"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&gt;</w:t>
            </w:r>
            <w:r>
              <w:rPr>
                <w:szCs w:val="24"/>
              </w:rPr>
              <w:t xml:space="preserve"> </w:t>
            </w:r>
            <w:r w:rsidRPr="00B338FF">
              <w:rPr>
                <w:szCs w:val="24"/>
              </w:rPr>
              <w:t>8.6</w:t>
            </w:r>
            <w:r>
              <w:rPr>
                <w:szCs w:val="24"/>
              </w:rPr>
              <w:t xml:space="preserve"> </w:t>
            </w:r>
            <w:r w:rsidRPr="00B338FF">
              <w:rPr>
                <w:szCs w:val="24"/>
              </w:rPr>
              <w:t>mmol/L</w:t>
            </w:r>
          </w:p>
        </w:tc>
        <w:tc>
          <w:tcPr>
            <w:tcW w:w="631"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&gt;</w:t>
            </w:r>
            <w:r>
              <w:rPr>
                <w:szCs w:val="24"/>
              </w:rPr>
              <w:t xml:space="preserve"> </w:t>
            </w:r>
            <w:r w:rsidRPr="00B338FF">
              <w:rPr>
                <w:szCs w:val="24"/>
              </w:rPr>
              <w:t>7.8</w:t>
            </w:r>
            <w:r>
              <w:rPr>
                <w:szCs w:val="24"/>
              </w:rPr>
              <w:t xml:space="preserve"> </w:t>
            </w:r>
            <w:r w:rsidRPr="00B338FF">
              <w:rPr>
                <w:szCs w:val="24"/>
              </w:rPr>
              <w:t>mmol/L</w:t>
            </w:r>
          </w:p>
        </w:tc>
      </w:tr>
      <w:tr w:rsidR="00B66529" w:rsidRPr="00B338FF" w:rsidTr="00B66529">
        <w:trPr>
          <w:cantSplit/>
        </w:trPr>
        <w:tc>
          <w:tcPr>
            <w:tcW w:w="777" w:type="pct"/>
            <w:tcBorders>
              <w:top w:val="nil"/>
              <w:bottom w:val="nil"/>
            </w:tcBorders>
            <w:shd w:val="clear" w:color="auto" w:fill="auto"/>
          </w:tcPr>
          <w:p w:rsidR="00853A74" w:rsidRPr="00B338FF" w:rsidRDefault="00853A74" w:rsidP="00B66529">
            <w:pPr>
              <w:pStyle w:val="TableText"/>
              <w:keepNext/>
              <w:rPr>
                <w:szCs w:val="24"/>
              </w:rPr>
            </w:pPr>
            <w:r w:rsidRPr="00B338FF">
              <w:rPr>
                <w:szCs w:val="24"/>
              </w:rPr>
              <w:t>Rowan (2008)</w:t>
            </w:r>
          </w:p>
        </w:tc>
        <w:tc>
          <w:tcPr>
            <w:tcW w:w="920" w:type="pct"/>
            <w:tcBorders>
              <w:top w:val="nil"/>
              <w:bottom w:val="nil"/>
            </w:tcBorders>
            <w:shd w:val="clear" w:color="auto" w:fill="auto"/>
          </w:tcPr>
          <w:p w:rsidR="00853A74" w:rsidRPr="00B338FF" w:rsidRDefault="00853A74" w:rsidP="00B66529">
            <w:pPr>
              <w:pStyle w:val="TableText"/>
              <w:rPr>
                <w:szCs w:val="24"/>
              </w:rPr>
            </w:pPr>
            <w:r w:rsidRPr="00B338FF">
              <w:rPr>
                <w:szCs w:val="24"/>
              </w:rPr>
              <w:t>High</w:t>
            </w:r>
            <w:r>
              <w:rPr>
                <w:szCs w:val="24"/>
              </w:rPr>
              <w:t>-</w:t>
            </w:r>
            <w:r w:rsidRPr="00B338FF">
              <w:rPr>
                <w:szCs w:val="24"/>
              </w:rPr>
              <w:t>risk women only</w:t>
            </w:r>
          </w:p>
        </w:tc>
        <w:tc>
          <w:tcPr>
            <w:tcW w:w="517"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75</w:t>
            </w:r>
            <w:r>
              <w:rPr>
                <w:szCs w:val="24"/>
              </w:rPr>
              <w:t xml:space="preserve"> </w:t>
            </w:r>
            <w:r w:rsidRPr="00B338FF">
              <w:rPr>
                <w:szCs w:val="24"/>
              </w:rPr>
              <w:t>g</w:t>
            </w:r>
          </w:p>
        </w:tc>
        <w:tc>
          <w:tcPr>
            <w:tcW w:w="697"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w:t>
            </w:r>
            <w:r>
              <w:rPr>
                <w:szCs w:val="24"/>
              </w:rPr>
              <w:t xml:space="preserve"> </w:t>
            </w:r>
            <w:r w:rsidRPr="00B338FF">
              <w:rPr>
                <w:szCs w:val="24"/>
              </w:rPr>
              <w:t>5.1</w:t>
            </w:r>
            <w:r>
              <w:rPr>
                <w:szCs w:val="24"/>
              </w:rPr>
              <w:t xml:space="preserve"> </w:t>
            </w:r>
            <w:r w:rsidRPr="00B338FF">
              <w:rPr>
                <w:szCs w:val="24"/>
              </w:rPr>
              <w:t>mmol/L</w:t>
            </w:r>
          </w:p>
        </w:tc>
        <w:tc>
          <w:tcPr>
            <w:tcW w:w="697"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w:t>
            </w:r>
            <w:r>
              <w:rPr>
                <w:szCs w:val="24"/>
              </w:rPr>
              <w:t xml:space="preserve"> </w:t>
            </w:r>
            <w:r w:rsidRPr="00B338FF">
              <w:rPr>
                <w:szCs w:val="24"/>
              </w:rPr>
              <w:t>10.0</w:t>
            </w:r>
            <w:r>
              <w:rPr>
                <w:szCs w:val="24"/>
              </w:rPr>
              <w:t xml:space="preserve"> </w:t>
            </w:r>
            <w:r w:rsidRPr="00B338FF">
              <w:rPr>
                <w:szCs w:val="24"/>
              </w:rPr>
              <w:t>mmol/L</w:t>
            </w:r>
          </w:p>
        </w:tc>
        <w:tc>
          <w:tcPr>
            <w:tcW w:w="761"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w:t>
            </w:r>
            <w:r>
              <w:rPr>
                <w:szCs w:val="24"/>
              </w:rPr>
              <w:t xml:space="preserve"> </w:t>
            </w:r>
            <w:r w:rsidRPr="00B338FF">
              <w:rPr>
                <w:szCs w:val="24"/>
              </w:rPr>
              <w:t>8.5</w:t>
            </w:r>
            <w:r>
              <w:rPr>
                <w:szCs w:val="24"/>
              </w:rPr>
              <w:t xml:space="preserve"> </w:t>
            </w:r>
            <w:r w:rsidRPr="00B338FF">
              <w:rPr>
                <w:szCs w:val="24"/>
              </w:rPr>
              <w:t>mmol/L</w:t>
            </w:r>
          </w:p>
        </w:tc>
        <w:tc>
          <w:tcPr>
            <w:tcW w:w="631" w:type="pct"/>
            <w:tcBorders>
              <w:top w:val="nil"/>
              <w:bottom w:val="nil"/>
            </w:tcBorders>
            <w:shd w:val="clear" w:color="auto" w:fill="auto"/>
          </w:tcPr>
          <w:p w:rsidR="00853A74" w:rsidRPr="00B338FF" w:rsidRDefault="00B66529" w:rsidP="00B66529">
            <w:pPr>
              <w:pStyle w:val="TableText"/>
              <w:jc w:val="center"/>
              <w:rPr>
                <w:szCs w:val="24"/>
              </w:rPr>
            </w:pPr>
            <w:r>
              <w:rPr>
                <w:szCs w:val="24"/>
              </w:rPr>
              <w:t>–</w:t>
            </w:r>
          </w:p>
        </w:tc>
      </w:tr>
      <w:tr w:rsidR="00B66529" w:rsidRPr="00B338FF" w:rsidTr="00B66529">
        <w:trPr>
          <w:cantSplit/>
        </w:trPr>
        <w:tc>
          <w:tcPr>
            <w:tcW w:w="777" w:type="pct"/>
            <w:tcBorders>
              <w:top w:val="nil"/>
              <w:bottom w:val="nil"/>
            </w:tcBorders>
            <w:shd w:val="clear" w:color="auto" w:fill="F2F2F2" w:themeFill="background1" w:themeFillShade="F2"/>
          </w:tcPr>
          <w:p w:rsidR="00853A74" w:rsidRPr="00B338FF" w:rsidRDefault="00853A74" w:rsidP="00B66529">
            <w:pPr>
              <w:pStyle w:val="TableText"/>
              <w:keepNext/>
              <w:rPr>
                <w:szCs w:val="24"/>
              </w:rPr>
            </w:pPr>
            <w:r w:rsidRPr="00B338FF">
              <w:rPr>
                <w:szCs w:val="24"/>
              </w:rPr>
              <w:t>Silva (2007)</w:t>
            </w:r>
          </w:p>
        </w:tc>
        <w:tc>
          <w:tcPr>
            <w:tcW w:w="920" w:type="pct"/>
            <w:tcBorders>
              <w:top w:val="nil"/>
              <w:bottom w:val="nil"/>
            </w:tcBorders>
            <w:shd w:val="clear" w:color="auto" w:fill="F2F2F2" w:themeFill="background1" w:themeFillShade="F2"/>
          </w:tcPr>
          <w:p w:rsidR="00853A74" w:rsidRPr="00B338FF" w:rsidRDefault="00853A74" w:rsidP="00B66529">
            <w:pPr>
              <w:pStyle w:val="TableText"/>
              <w:rPr>
                <w:szCs w:val="24"/>
              </w:rPr>
            </w:pPr>
            <w:r w:rsidRPr="00B338FF">
              <w:rPr>
                <w:szCs w:val="24"/>
              </w:rPr>
              <w:t>Not stated</w:t>
            </w:r>
          </w:p>
        </w:tc>
        <w:tc>
          <w:tcPr>
            <w:tcW w:w="517"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75</w:t>
            </w:r>
            <w:r>
              <w:rPr>
                <w:szCs w:val="24"/>
              </w:rPr>
              <w:t xml:space="preserve"> </w:t>
            </w:r>
            <w:r w:rsidRPr="00B338FF">
              <w:rPr>
                <w:szCs w:val="24"/>
              </w:rPr>
              <w:t>g</w:t>
            </w:r>
          </w:p>
        </w:tc>
        <w:tc>
          <w:tcPr>
            <w:tcW w:w="697"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w:t>
            </w:r>
            <w:r>
              <w:rPr>
                <w:szCs w:val="24"/>
              </w:rPr>
              <w:t xml:space="preserve"> </w:t>
            </w:r>
            <w:r w:rsidRPr="00B338FF">
              <w:rPr>
                <w:szCs w:val="24"/>
              </w:rPr>
              <w:t>7.0</w:t>
            </w:r>
            <w:r>
              <w:rPr>
                <w:szCs w:val="24"/>
              </w:rPr>
              <w:t xml:space="preserve"> </w:t>
            </w:r>
            <w:r w:rsidRPr="00B338FF">
              <w:rPr>
                <w:szCs w:val="24"/>
              </w:rPr>
              <w:t>mmol/L</w:t>
            </w:r>
          </w:p>
        </w:tc>
        <w:tc>
          <w:tcPr>
            <w:tcW w:w="697" w:type="pct"/>
            <w:tcBorders>
              <w:top w:val="nil"/>
              <w:bottom w:val="nil"/>
            </w:tcBorders>
            <w:shd w:val="clear" w:color="auto" w:fill="F2F2F2" w:themeFill="background1" w:themeFillShade="F2"/>
          </w:tcPr>
          <w:p w:rsidR="00853A74" w:rsidRPr="00B338FF" w:rsidRDefault="00B66529" w:rsidP="00B66529">
            <w:pPr>
              <w:pStyle w:val="TableText"/>
              <w:jc w:val="center"/>
              <w:rPr>
                <w:szCs w:val="24"/>
              </w:rPr>
            </w:pPr>
            <w:r>
              <w:rPr>
                <w:szCs w:val="24"/>
              </w:rPr>
              <w:t>–</w:t>
            </w:r>
          </w:p>
        </w:tc>
        <w:tc>
          <w:tcPr>
            <w:tcW w:w="761"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w:t>
            </w:r>
            <w:r>
              <w:rPr>
                <w:szCs w:val="24"/>
              </w:rPr>
              <w:t xml:space="preserve"> </w:t>
            </w:r>
            <w:r w:rsidRPr="00B338FF">
              <w:rPr>
                <w:szCs w:val="24"/>
              </w:rPr>
              <w:t>7.8</w:t>
            </w:r>
            <w:r>
              <w:rPr>
                <w:szCs w:val="24"/>
              </w:rPr>
              <w:t xml:space="preserve"> </w:t>
            </w:r>
            <w:r w:rsidRPr="00B338FF">
              <w:rPr>
                <w:szCs w:val="24"/>
              </w:rPr>
              <w:t>mmol/L</w:t>
            </w:r>
          </w:p>
        </w:tc>
        <w:tc>
          <w:tcPr>
            <w:tcW w:w="631"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p>
        </w:tc>
      </w:tr>
      <w:tr w:rsidR="00B66529" w:rsidRPr="00B338FF" w:rsidTr="00B66529">
        <w:trPr>
          <w:cantSplit/>
        </w:trPr>
        <w:tc>
          <w:tcPr>
            <w:tcW w:w="777" w:type="pct"/>
            <w:tcBorders>
              <w:top w:val="nil"/>
              <w:bottom w:val="nil"/>
            </w:tcBorders>
            <w:shd w:val="clear" w:color="auto" w:fill="auto"/>
          </w:tcPr>
          <w:p w:rsidR="00853A74" w:rsidRPr="00B338FF" w:rsidRDefault="00853A74" w:rsidP="00B66529">
            <w:pPr>
              <w:pStyle w:val="TableText"/>
              <w:keepNext/>
              <w:rPr>
                <w:szCs w:val="24"/>
              </w:rPr>
            </w:pPr>
            <w:r w:rsidRPr="00B338FF">
              <w:rPr>
                <w:szCs w:val="24"/>
              </w:rPr>
              <w:t>Moore (2007)</w:t>
            </w:r>
          </w:p>
        </w:tc>
        <w:tc>
          <w:tcPr>
            <w:tcW w:w="920" w:type="pct"/>
            <w:tcBorders>
              <w:top w:val="nil"/>
              <w:bottom w:val="nil"/>
            </w:tcBorders>
            <w:shd w:val="clear" w:color="auto" w:fill="auto"/>
          </w:tcPr>
          <w:p w:rsidR="00853A74" w:rsidRPr="00B338FF" w:rsidRDefault="00853A74" w:rsidP="00B66529">
            <w:pPr>
              <w:pStyle w:val="TableText"/>
              <w:rPr>
                <w:szCs w:val="24"/>
              </w:rPr>
            </w:pPr>
            <w:r w:rsidRPr="00B338FF">
              <w:rPr>
                <w:szCs w:val="24"/>
              </w:rPr>
              <w:t>50</w:t>
            </w:r>
            <w:r>
              <w:rPr>
                <w:szCs w:val="24"/>
              </w:rPr>
              <w:t xml:space="preserve"> </w:t>
            </w:r>
            <w:r w:rsidRPr="00B338FF">
              <w:rPr>
                <w:szCs w:val="24"/>
              </w:rPr>
              <w:t>g</w:t>
            </w:r>
            <w:r>
              <w:rPr>
                <w:szCs w:val="24"/>
              </w:rPr>
              <w:t>,</w:t>
            </w:r>
            <w:r w:rsidRPr="00B338FF">
              <w:rPr>
                <w:szCs w:val="24"/>
              </w:rPr>
              <w:t xml:space="preserve"> 1</w:t>
            </w:r>
            <w:r>
              <w:rPr>
                <w:szCs w:val="24"/>
              </w:rPr>
              <w:t>-</w:t>
            </w:r>
            <w:r w:rsidRPr="00B338FF">
              <w:rPr>
                <w:szCs w:val="24"/>
              </w:rPr>
              <w:t>hour</w:t>
            </w:r>
            <w:r>
              <w:rPr>
                <w:szCs w:val="24"/>
              </w:rPr>
              <w:t xml:space="preserve"> OGTT </w:t>
            </w:r>
            <w:r w:rsidRPr="00B338FF">
              <w:rPr>
                <w:szCs w:val="24"/>
              </w:rPr>
              <w:t>(proceed if ≥</w:t>
            </w:r>
            <w:r>
              <w:rPr>
                <w:szCs w:val="24"/>
              </w:rPr>
              <w:t> </w:t>
            </w:r>
            <w:r w:rsidRPr="00B338FF">
              <w:rPr>
                <w:szCs w:val="24"/>
              </w:rPr>
              <w:t>140</w:t>
            </w:r>
            <w:r>
              <w:rPr>
                <w:szCs w:val="24"/>
              </w:rPr>
              <w:t> </w:t>
            </w:r>
            <w:r w:rsidRPr="00B338FF">
              <w:rPr>
                <w:szCs w:val="24"/>
              </w:rPr>
              <w:t>mg/dL)</w:t>
            </w:r>
          </w:p>
        </w:tc>
        <w:tc>
          <w:tcPr>
            <w:tcW w:w="517"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100</w:t>
            </w:r>
            <w:r>
              <w:rPr>
                <w:szCs w:val="24"/>
              </w:rPr>
              <w:t xml:space="preserve"> </w:t>
            </w:r>
            <w:r w:rsidRPr="00B338FF">
              <w:rPr>
                <w:szCs w:val="24"/>
              </w:rPr>
              <w:t>g</w:t>
            </w:r>
          </w:p>
        </w:tc>
        <w:tc>
          <w:tcPr>
            <w:tcW w:w="697" w:type="pct"/>
            <w:tcBorders>
              <w:top w:val="nil"/>
              <w:bottom w:val="nil"/>
            </w:tcBorders>
            <w:shd w:val="clear" w:color="auto" w:fill="auto"/>
          </w:tcPr>
          <w:p w:rsidR="00853A74" w:rsidRPr="00B338FF" w:rsidRDefault="00853A74" w:rsidP="00B66529">
            <w:pPr>
              <w:pStyle w:val="TableText"/>
              <w:jc w:val="center"/>
            </w:pPr>
            <w:r w:rsidRPr="00B338FF">
              <w:t>&gt; 5.8</w:t>
            </w:r>
            <w:r>
              <w:t xml:space="preserve"> </w:t>
            </w:r>
            <w:r w:rsidRPr="00B338FF">
              <w:t>mmol/L</w:t>
            </w:r>
          </w:p>
        </w:tc>
        <w:tc>
          <w:tcPr>
            <w:tcW w:w="697"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&gt;</w:t>
            </w:r>
            <w:r>
              <w:rPr>
                <w:szCs w:val="24"/>
              </w:rPr>
              <w:t xml:space="preserve"> </w:t>
            </w:r>
            <w:r w:rsidRPr="00B338FF">
              <w:rPr>
                <w:szCs w:val="24"/>
              </w:rPr>
              <w:t>10.6</w:t>
            </w:r>
            <w:r>
              <w:rPr>
                <w:szCs w:val="24"/>
              </w:rPr>
              <w:t xml:space="preserve"> </w:t>
            </w:r>
            <w:r w:rsidRPr="00B338FF">
              <w:rPr>
                <w:szCs w:val="24"/>
              </w:rPr>
              <w:t>mmol/L</w:t>
            </w:r>
          </w:p>
        </w:tc>
        <w:tc>
          <w:tcPr>
            <w:tcW w:w="761"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&gt; 9.2</w:t>
            </w:r>
            <w:r>
              <w:rPr>
                <w:szCs w:val="24"/>
              </w:rPr>
              <w:t xml:space="preserve"> </w:t>
            </w:r>
            <w:r w:rsidRPr="00B338FF">
              <w:rPr>
                <w:szCs w:val="24"/>
              </w:rPr>
              <w:t>mmol/L</w:t>
            </w:r>
          </w:p>
        </w:tc>
        <w:tc>
          <w:tcPr>
            <w:tcW w:w="631"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&gt; 8.1</w:t>
            </w:r>
            <w:r>
              <w:rPr>
                <w:szCs w:val="24"/>
              </w:rPr>
              <w:t xml:space="preserve"> </w:t>
            </w:r>
            <w:r w:rsidRPr="00B338FF">
              <w:rPr>
                <w:szCs w:val="24"/>
              </w:rPr>
              <w:t>mmol/L</w:t>
            </w:r>
          </w:p>
        </w:tc>
      </w:tr>
      <w:tr w:rsidR="00B66529" w:rsidRPr="00B338FF" w:rsidTr="00B66529">
        <w:trPr>
          <w:cantSplit/>
        </w:trPr>
        <w:tc>
          <w:tcPr>
            <w:tcW w:w="777" w:type="pct"/>
            <w:tcBorders>
              <w:top w:val="nil"/>
              <w:bottom w:val="nil"/>
            </w:tcBorders>
            <w:shd w:val="clear" w:color="auto" w:fill="F2F2F2" w:themeFill="background1" w:themeFillShade="F2"/>
          </w:tcPr>
          <w:p w:rsidR="00853A74" w:rsidRPr="00B338FF" w:rsidRDefault="00853A74" w:rsidP="00B66529">
            <w:pPr>
              <w:pStyle w:val="TableText"/>
              <w:keepNext/>
              <w:rPr>
                <w:szCs w:val="24"/>
              </w:rPr>
            </w:pPr>
            <w:r w:rsidRPr="00B338FF">
              <w:rPr>
                <w:szCs w:val="24"/>
              </w:rPr>
              <w:t>Ogunyemi (2007)</w:t>
            </w:r>
          </w:p>
        </w:tc>
        <w:tc>
          <w:tcPr>
            <w:tcW w:w="920" w:type="pct"/>
            <w:tcBorders>
              <w:top w:val="nil"/>
              <w:bottom w:val="nil"/>
            </w:tcBorders>
            <w:shd w:val="clear" w:color="auto" w:fill="F2F2F2" w:themeFill="background1" w:themeFillShade="F2"/>
          </w:tcPr>
          <w:p w:rsidR="00853A74" w:rsidRPr="00B338FF" w:rsidRDefault="00853A74" w:rsidP="00B66529">
            <w:pPr>
              <w:pStyle w:val="TableText"/>
              <w:rPr>
                <w:szCs w:val="24"/>
              </w:rPr>
            </w:pPr>
            <w:r w:rsidRPr="00B338FF">
              <w:rPr>
                <w:szCs w:val="24"/>
              </w:rPr>
              <w:t>50</w:t>
            </w:r>
            <w:r>
              <w:rPr>
                <w:szCs w:val="24"/>
              </w:rPr>
              <w:t xml:space="preserve"> </w:t>
            </w:r>
            <w:r w:rsidRPr="00B338FF">
              <w:rPr>
                <w:szCs w:val="24"/>
              </w:rPr>
              <w:t xml:space="preserve">g </w:t>
            </w:r>
            <w:r>
              <w:rPr>
                <w:szCs w:val="24"/>
              </w:rPr>
              <w:t>GCT</w:t>
            </w:r>
            <w:r w:rsidRPr="00B338FF">
              <w:rPr>
                <w:szCs w:val="24"/>
              </w:rPr>
              <w:t xml:space="preserve"> (threshold not reported)</w:t>
            </w:r>
          </w:p>
        </w:tc>
        <w:tc>
          <w:tcPr>
            <w:tcW w:w="517"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100</w:t>
            </w:r>
            <w:r>
              <w:rPr>
                <w:szCs w:val="24"/>
              </w:rPr>
              <w:t xml:space="preserve"> </w:t>
            </w:r>
            <w:r w:rsidRPr="00B338FF">
              <w:rPr>
                <w:szCs w:val="24"/>
              </w:rPr>
              <w:t>g</w:t>
            </w:r>
          </w:p>
        </w:tc>
        <w:tc>
          <w:tcPr>
            <w:tcW w:w="697" w:type="pct"/>
            <w:tcBorders>
              <w:top w:val="nil"/>
              <w:bottom w:val="nil"/>
            </w:tcBorders>
            <w:shd w:val="clear" w:color="auto" w:fill="F2F2F2" w:themeFill="background1" w:themeFillShade="F2"/>
          </w:tcPr>
          <w:p w:rsidR="00853A74" w:rsidRPr="00B338FF" w:rsidRDefault="00853A74" w:rsidP="00B66529">
            <w:pPr>
              <w:pStyle w:val="TableText"/>
              <w:jc w:val="center"/>
            </w:pPr>
            <w:r w:rsidRPr="00B338FF">
              <w:t>&gt;</w:t>
            </w:r>
            <w:r>
              <w:t xml:space="preserve"> </w:t>
            </w:r>
            <w:r w:rsidRPr="00B338FF">
              <w:t>5.3</w:t>
            </w:r>
            <w:r>
              <w:t xml:space="preserve"> </w:t>
            </w:r>
            <w:r w:rsidRPr="00B338FF">
              <w:t>mmol/L</w:t>
            </w:r>
          </w:p>
        </w:tc>
        <w:tc>
          <w:tcPr>
            <w:tcW w:w="697"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&gt;</w:t>
            </w:r>
            <w:r>
              <w:rPr>
                <w:szCs w:val="24"/>
              </w:rPr>
              <w:t xml:space="preserve"> </w:t>
            </w:r>
            <w:r w:rsidRPr="00B338FF">
              <w:rPr>
                <w:szCs w:val="24"/>
              </w:rPr>
              <w:t>10.0</w:t>
            </w:r>
            <w:r>
              <w:rPr>
                <w:szCs w:val="24"/>
              </w:rPr>
              <w:t xml:space="preserve"> </w:t>
            </w:r>
            <w:r w:rsidRPr="00B338FF">
              <w:rPr>
                <w:szCs w:val="24"/>
              </w:rPr>
              <w:t>mmol/L</w:t>
            </w:r>
          </w:p>
        </w:tc>
        <w:tc>
          <w:tcPr>
            <w:tcW w:w="761"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&gt;</w:t>
            </w:r>
            <w:r>
              <w:rPr>
                <w:szCs w:val="24"/>
              </w:rPr>
              <w:t xml:space="preserve"> </w:t>
            </w:r>
            <w:r w:rsidRPr="00B338FF">
              <w:rPr>
                <w:szCs w:val="24"/>
              </w:rPr>
              <w:t>8.3</w:t>
            </w:r>
            <w:r>
              <w:rPr>
                <w:szCs w:val="24"/>
              </w:rPr>
              <w:t xml:space="preserve"> </w:t>
            </w:r>
            <w:r w:rsidRPr="00B338FF">
              <w:rPr>
                <w:szCs w:val="24"/>
              </w:rPr>
              <w:t>mmol/L</w:t>
            </w:r>
          </w:p>
        </w:tc>
        <w:tc>
          <w:tcPr>
            <w:tcW w:w="631"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&gt;</w:t>
            </w:r>
            <w:r>
              <w:rPr>
                <w:szCs w:val="24"/>
              </w:rPr>
              <w:t xml:space="preserve"> </w:t>
            </w:r>
            <w:r w:rsidRPr="00B338FF">
              <w:rPr>
                <w:szCs w:val="24"/>
              </w:rPr>
              <w:t>7.8</w:t>
            </w:r>
            <w:r>
              <w:rPr>
                <w:szCs w:val="24"/>
              </w:rPr>
              <w:t xml:space="preserve"> </w:t>
            </w:r>
            <w:r w:rsidRPr="00B338FF">
              <w:rPr>
                <w:szCs w:val="24"/>
              </w:rPr>
              <w:t>mmol/L</w:t>
            </w:r>
          </w:p>
        </w:tc>
      </w:tr>
      <w:tr w:rsidR="00B66529" w:rsidRPr="00B338FF" w:rsidTr="00B66529">
        <w:trPr>
          <w:cantSplit/>
        </w:trPr>
        <w:tc>
          <w:tcPr>
            <w:tcW w:w="777" w:type="pct"/>
            <w:tcBorders>
              <w:top w:val="nil"/>
              <w:bottom w:val="nil"/>
            </w:tcBorders>
            <w:shd w:val="clear" w:color="auto" w:fill="auto"/>
          </w:tcPr>
          <w:p w:rsidR="00853A74" w:rsidRPr="00B338FF" w:rsidRDefault="00853A74" w:rsidP="00B66529">
            <w:pPr>
              <w:pStyle w:val="TableText"/>
              <w:keepNext/>
              <w:rPr>
                <w:szCs w:val="24"/>
              </w:rPr>
            </w:pPr>
            <w:r w:rsidRPr="00B338FF">
              <w:rPr>
                <w:szCs w:val="24"/>
              </w:rPr>
              <w:t>Anjalakshi (2006)</w:t>
            </w:r>
          </w:p>
        </w:tc>
        <w:tc>
          <w:tcPr>
            <w:tcW w:w="920" w:type="pct"/>
            <w:tcBorders>
              <w:top w:val="nil"/>
              <w:bottom w:val="nil"/>
            </w:tcBorders>
            <w:shd w:val="clear" w:color="auto" w:fill="auto"/>
          </w:tcPr>
          <w:p w:rsidR="00853A74" w:rsidRPr="00B338FF" w:rsidRDefault="00853A74" w:rsidP="00B66529">
            <w:pPr>
              <w:pStyle w:val="TableText"/>
              <w:rPr>
                <w:szCs w:val="24"/>
              </w:rPr>
            </w:pPr>
            <w:r w:rsidRPr="00B338FF">
              <w:rPr>
                <w:szCs w:val="24"/>
              </w:rPr>
              <w:t>Not stated</w:t>
            </w:r>
          </w:p>
        </w:tc>
        <w:tc>
          <w:tcPr>
            <w:tcW w:w="517"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75</w:t>
            </w:r>
            <w:r>
              <w:rPr>
                <w:szCs w:val="24"/>
              </w:rPr>
              <w:t xml:space="preserve"> </w:t>
            </w:r>
            <w:r w:rsidRPr="00B338FF">
              <w:rPr>
                <w:szCs w:val="24"/>
              </w:rPr>
              <w:t>g</w:t>
            </w:r>
          </w:p>
        </w:tc>
        <w:tc>
          <w:tcPr>
            <w:tcW w:w="697"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7.0</w:t>
            </w:r>
            <w:r>
              <w:rPr>
                <w:szCs w:val="24"/>
              </w:rPr>
              <w:t xml:space="preserve"> </w:t>
            </w:r>
            <w:r w:rsidRPr="00B338FF">
              <w:rPr>
                <w:szCs w:val="24"/>
              </w:rPr>
              <w:t>mmol/L</w:t>
            </w:r>
          </w:p>
        </w:tc>
        <w:tc>
          <w:tcPr>
            <w:tcW w:w="697" w:type="pct"/>
            <w:tcBorders>
              <w:top w:val="nil"/>
              <w:bottom w:val="nil"/>
            </w:tcBorders>
            <w:shd w:val="clear" w:color="auto" w:fill="auto"/>
          </w:tcPr>
          <w:p w:rsidR="00853A74" w:rsidRPr="00B338FF" w:rsidRDefault="00B66529" w:rsidP="00B66529">
            <w:pPr>
              <w:pStyle w:val="TableText"/>
              <w:jc w:val="center"/>
              <w:rPr>
                <w:szCs w:val="24"/>
              </w:rPr>
            </w:pPr>
            <w:r>
              <w:rPr>
                <w:szCs w:val="24"/>
              </w:rPr>
              <w:t>–</w:t>
            </w:r>
          </w:p>
        </w:tc>
        <w:tc>
          <w:tcPr>
            <w:tcW w:w="761"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7.8</w:t>
            </w:r>
            <w:r>
              <w:rPr>
                <w:szCs w:val="24"/>
              </w:rPr>
              <w:t xml:space="preserve"> </w:t>
            </w:r>
            <w:r w:rsidRPr="00B338FF">
              <w:rPr>
                <w:szCs w:val="24"/>
              </w:rPr>
              <w:t>mmol/L</w:t>
            </w:r>
          </w:p>
        </w:tc>
        <w:tc>
          <w:tcPr>
            <w:tcW w:w="631" w:type="pct"/>
            <w:tcBorders>
              <w:top w:val="nil"/>
              <w:bottom w:val="nil"/>
            </w:tcBorders>
            <w:shd w:val="clear" w:color="auto" w:fill="auto"/>
          </w:tcPr>
          <w:p w:rsidR="00853A74" w:rsidRPr="00B338FF" w:rsidRDefault="00B66529" w:rsidP="00B66529">
            <w:pPr>
              <w:pStyle w:val="TableText"/>
              <w:jc w:val="center"/>
              <w:rPr>
                <w:szCs w:val="24"/>
              </w:rPr>
            </w:pPr>
            <w:r>
              <w:rPr>
                <w:szCs w:val="24"/>
              </w:rPr>
              <w:t>–</w:t>
            </w:r>
          </w:p>
        </w:tc>
      </w:tr>
      <w:tr w:rsidR="00B66529" w:rsidRPr="00B338FF" w:rsidTr="00B66529">
        <w:trPr>
          <w:cantSplit/>
        </w:trPr>
        <w:tc>
          <w:tcPr>
            <w:tcW w:w="777" w:type="pct"/>
            <w:tcBorders>
              <w:top w:val="nil"/>
              <w:bottom w:val="nil"/>
            </w:tcBorders>
            <w:shd w:val="clear" w:color="auto" w:fill="F2F2F2" w:themeFill="background1" w:themeFillShade="F2"/>
          </w:tcPr>
          <w:p w:rsidR="00853A74" w:rsidRPr="00B338FF" w:rsidRDefault="00853A74" w:rsidP="00B66529">
            <w:pPr>
              <w:pStyle w:val="TableText"/>
              <w:keepNext/>
              <w:rPr>
                <w:szCs w:val="24"/>
              </w:rPr>
            </w:pPr>
            <w:r w:rsidRPr="00B338FF">
              <w:rPr>
                <w:szCs w:val="24"/>
              </w:rPr>
              <w:t>Bertini (2005)</w:t>
            </w:r>
          </w:p>
        </w:tc>
        <w:tc>
          <w:tcPr>
            <w:tcW w:w="920" w:type="pct"/>
            <w:tcBorders>
              <w:top w:val="nil"/>
              <w:bottom w:val="nil"/>
            </w:tcBorders>
            <w:shd w:val="clear" w:color="auto" w:fill="F2F2F2" w:themeFill="background1" w:themeFillShade="F2"/>
          </w:tcPr>
          <w:p w:rsidR="00853A74" w:rsidRPr="00B338FF" w:rsidRDefault="00853A74" w:rsidP="00B66529">
            <w:pPr>
              <w:pStyle w:val="TableText"/>
              <w:rPr>
                <w:szCs w:val="24"/>
              </w:rPr>
            </w:pPr>
            <w:r w:rsidRPr="00B338FF">
              <w:rPr>
                <w:szCs w:val="24"/>
              </w:rPr>
              <w:t>Not stated</w:t>
            </w:r>
          </w:p>
        </w:tc>
        <w:tc>
          <w:tcPr>
            <w:tcW w:w="517"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75</w:t>
            </w:r>
            <w:r>
              <w:rPr>
                <w:szCs w:val="24"/>
              </w:rPr>
              <w:t xml:space="preserve"> </w:t>
            </w:r>
            <w:r w:rsidRPr="00B338FF">
              <w:rPr>
                <w:szCs w:val="24"/>
              </w:rPr>
              <w:t>g</w:t>
            </w:r>
          </w:p>
        </w:tc>
        <w:tc>
          <w:tcPr>
            <w:tcW w:w="697"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w:t>
            </w:r>
            <w:r>
              <w:rPr>
                <w:szCs w:val="24"/>
              </w:rPr>
              <w:t xml:space="preserve"> </w:t>
            </w:r>
            <w:r w:rsidRPr="00B338FF">
              <w:rPr>
                <w:szCs w:val="24"/>
              </w:rPr>
              <w:t>6.</w:t>
            </w:r>
            <w:r>
              <w:rPr>
                <w:szCs w:val="24"/>
              </w:rPr>
              <w:t xml:space="preserve">1 </w:t>
            </w:r>
            <w:r w:rsidRPr="00B338FF">
              <w:rPr>
                <w:szCs w:val="24"/>
              </w:rPr>
              <w:t>mmol/L</w:t>
            </w:r>
          </w:p>
        </w:tc>
        <w:tc>
          <w:tcPr>
            <w:tcW w:w="697" w:type="pct"/>
            <w:tcBorders>
              <w:top w:val="nil"/>
              <w:bottom w:val="nil"/>
            </w:tcBorders>
            <w:shd w:val="clear" w:color="auto" w:fill="F2F2F2" w:themeFill="background1" w:themeFillShade="F2"/>
          </w:tcPr>
          <w:p w:rsidR="00853A74" w:rsidRPr="00B338FF" w:rsidRDefault="00B66529" w:rsidP="00B66529">
            <w:pPr>
              <w:pStyle w:val="TableText"/>
              <w:jc w:val="center"/>
              <w:rPr>
                <w:szCs w:val="24"/>
              </w:rPr>
            </w:pPr>
            <w:r>
              <w:rPr>
                <w:szCs w:val="24"/>
              </w:rPr>
              <w:t>–</w:t>
            </w:r>
          </w:p>
        </w:tc>
        <w:tc>
          <w:tcPr>
            <w:tcW w:w="761" w:type="pct"/>
            <w:tcBorders>
              <w:top w:val="nil"/>
              <w:bottom w:val="nil"/>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w:t>
            </w:r>
            <w:r>
              <w:rPr>
                <w:szCs w:val="24"/>
              </w:rPr>
              <w:t xml:space="preserve"> </w:t>
            </w:r>
            <w:r w:rsidRPr="00B338FF">
              <w:rPr>
                <w:szCs w:val="24"/>
              </w:rPr>
              <w:t>7.8</w:t>
            </w:r>
            <w:r>
              <w:rPr>
                <w:szCs w:val="24"/>
              </w:rPr>
              <w:t xml:space="preserve"> </w:t>
            </w:r>
            <w:r w:rsidRPr="00B338FF">
              <w:rPr>
                <w:szCs w:val="24"/>
              </w:rPr>
              <w:t>mmol/L</w:t>
            </w:r>
          </w:p>
        </w:tc>
        <w:tc>
          <w:tcPr>
            <w:tcW w:w="631" w:type="pct"/>
            <w:tcBorders>
              <w:top w:val="nil"/>
              <w:bottom w:val="nil"/>
            </w:tcBorders>
            <w:shd w:val="clear" w:color="auto" w:fill="F2F2F2" w:themeFill="background1" w:themeFillShade="F2"/>
          </w:tcPr>
          <w:p w:rsidR="00853A74" w:rsidRPr="00B338FF" w:rsidRDefault="00B66529" w:rsidP="00B66529">
            <w:pPr>
              <w:pStyle w:val="TableText"/>
              <w:jc w:val="center"/>
              <w:rPr>
                <w:szCs w:val="24"/>
              </w:rPr>
            </w:pPr>
            <w:r>
              <w:rPr>
                <w:szCs w:val="24"/>
              </w:rPr>
              <w:t>–</w:t>
            </w:r>
          </w:p>
        </w:tc>
      </w:tr>
      <w:tr w:rsidR="00B66529" w:rsidRPr="00B338FF" w:rsidTr="00B66529">
        <w:trPr>
          <w:cantSplit/>
        </w:trPr>
        <w:tc>
          <w:tcPr>
            <w:tcW w:w="777" w:type="pct"/>
            <w:tcBorders>
              <w:top w:val="nil"/>
              <w:bottom w:val="nil"/>
            </w:tcBorders>
            <w:shd w:val="clear" w:color="auto" w:fill="auto"/>
          </w:tcPr>
          <w:p w:rsidR="00853A74" w:rsidRPr="00B338FF" w:rsidRDefault="00853A74" w:rsidP="00B66529">
            <w:pPr>
              <w:pStyle w:val="TableText"/>
              <w:rPr>
                <w:szCs w:val="24"/>
              </w:rPr>
            </w:pPr>
            <w:r w:rsidRPr="00B338FF">
              <w:rPr>
                <w:szCs w:val="24"/>
              </w:rPr>
              <w:t>Hague (2003)*</w:t>
            </w:r>
          </w:p>
        </w:tc>
        <w:tc>
          <w:tcPr>
            <w:tcW w:w="920" w:type="pct"/>
            <w:tcBorders>
              <w:top w:val="nil"/>
              <w:bottom w:val="nil"/>
            </w:tcBorders>
            <w:shd w:val="clear" w:color="auto" w:fill="auto"/>
          </w:tcPr>
          <w:p w:rsidR="00853A74" w:rsidRPr="00B338FF" w:rsidRDefault="00853A74" w:rsidP="00B66529">
            <w:pPr>
              <w:pStyle w:val="TableText"/>
              <w:rPr>
                <w:szCs w:val="24"/>
              </w:rPr>
            </w:pPr>
            <w:r w:rsidRPr="00B338FF">
              <w:rPr>
                <w:szCs w:val="24"/>
              </w:rPr>
              <w:t>50</w:t>
            </w:r>
            <w:r>
              <w:rPr>
                <w:szCs w:val="24"/>
              </w:rPr>
              <w:t xml:space="preserve"> </w:t>
            </w:r>
            <w:r w:rsidRPr="00B338FF">
              <w:rPr>
                <w:szCs w:val="24"/>
              </w:rPr>
              <w:t>g GCT</w:t>
            </w:r>
          </w:p>
        </w:tc>
        <w:tc>
          <w:tcPr>
            <w:tcW w:w="517"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75</w:t>
            </w:r>
            <w:r>
              <w:rPr>
                <w:szCs w:val="24"/>
              </w:rPr>
              <w:t xml:space="preserve"> </w:t>
            </w:r>
            <w:r w:rsidRPr="00B338FF">
              <w:rPr>
                <w:szCs w:val="24"/>
              </w:rPr>
              <w:t>g</w:t>
            </w:r>
          </w:p>
        </w:tc>
        <w:tc>
          <w:tcPr>
            <w:tcW w:w="697" w:type="pct"/>
            <w:tcBorders>
              <w:top w:val="nil"/>
              <w:bottom w:val="nil"/>
            </w:tcBorders>
            <w:shd w:val="clear" w:color="auto" w:fill="auto"/>
          </w:tcPr>
          <w:p w:rsidR="00853A74" w:rsidRPr="00B338FF" w:rsidRDefault="00853A74" w:rsidP="00B66529">
            <w:pPr>
              <w:pStyle w:val="TableText"/>
              <w:jc w:val="center"/>
              <w:rPr>
                <w:rFonts w:ascii="Arial" w:hAnsi="Arial"/>
              </w:rPr>
            </w:pPr>
            <w:r w:rsidRPr="00B338FF">
              <w:rPr>
                <w:rFonts w:ascii="Arial" w:hAnsi="Arial"/>
              </w:rPr>
              <w:t>≥</w:t>
            </w:r>
            <w:r>
              <w:rPr>
                <w:rFonts w:ascii="Arial" w:hAnsi="Arial"/>
              </w:rPr>
              <w:t xml:space="preserve"> </w:t>
            </w:r>
            <w:r w:rsidRPr="00B338FF">
              <w:rPr>
                <w:rFonts w:ascii="Arial" w:hAnsi="Arial"/>
              </w:rPr>
              <w:t>5.5</w:t>
            </w:r>
          </w:p>
        </w:tc>
        <w:tc>
          <w:tcPr>
            <w:tcW w:w="697" w:type="pct"/>
            <w:tcBorders>
              <w:top w:val="nil"/>
              <w:bottom w:val="nil"/>
            </w:tcBorders>
            <w:shd w:val="clear" w:color="auto" w:fill="auto"/>
          </w:tcPr>
          <w:p w:rsidR="00853A74" w:rsidRPr="00B338FF" w:rsidRDefault="00853A74" w:rsidP="00B66529">
            <w:pPr>
              <w:pStyle w:val="TableText"/>
              <w:jc w:val="center"/>
              <w:rPr>
                <w:szCs w:val="24"/>
              </w:rPr>
            </w:pPr>
          </w:p>
        </w:tc>
        <w:tc>
          <w:tcPr>
            <w:tcW w:w="761" w:type="pct"/>
            <w:tcBorders>
              <w:top w:val="nil"/>
              <w:bottom w:val="nil"/>
            </w:tcBorders>
            <w:shd w:val="clear" w:color="auto" w:fill="auto"/>
          </w:tcPr>
          <w:p w:rsidR="00853A74" w:rsidRPr="00B338FF" w:rsidRDefault="00853A74" w:rsidP="00B66529">
            <w:pPr>
              <w:pStyle w:val="TableText"/>
              <w:jc w:val="center"/>
              <w:rPr>
                <w:szCs w:val="24"/>
              </w:rPr>
            </w:pPr>
            <w:r w:rsidRPr="00B338FF">
              <w:rPr>
                <w:szCs w:val="24"/>
              </w:rPr>
              <w:t>≥</w:t>
            </w:r>
            <w:r>
              <w:rPr>
                <w:szCs w:val="24"/>
              </w:rPr>
              <w:t xml:space="preserve"> </w:t>
            </w:r>
            <w:r w:rsidRPr="00B338FF">
              <w:rPr>
                <w:szCs w:val="24"/>
              </w:rPr>
              <w:t>8.0</w:t>
            </w:r>
            <w:r>
              <w:rPr>
                <w:szCs w:val="24"/>
              </w:rPr>
              <w:t xml:space="preserve"> </w:t>
            </w:r>
            <w:r w:rsidRPr="00B338FF">
              <w:rPr>
                <w:szCs w:val="24"/>
              </w:rPr>
              <w:t>mmol/L</w:t>
            </w:r>
          </w:p>
        </w:tc>
        <w:tc>
          <w:tcPr>
            <w:tcW w:w="631" w:type="pct"/>
            <w:tcBorders>
              <w:top w:val="nil"/>
              <w:bottom w:val="nil"/>
            </w:tcBorders>
            <w:shd w:val="clear" w:color="auto" w:fill="auto"/>
          </w:tcPr>
          <w:p w:rsidR="00853A74" w:rsidRPr="00B338FF" w:rsidRDefault="00853A74" w:rsidP="00B66529">
            <w:pPr>
              <w:pStyle w:val="TableText"/>
              <w:jc w:val="center"/>
              <w:rPr>
                <w:szCs w:val="24"/>
              </w:rPr>
            </w:pPr>
          </w:p>
        </w:tc>
      </w:tr>
      <w:tr w:rsidR="00B66529" w:rsidRPr="00B338FF" w:rsidTr="00B66529">
        <w:trPr>
          <w:cantSplit/>
        </w:trPr>
        <w:tc>
          <w:tcPr>
            <w:tcW w:w="777" w:type="pct"/>
            <w:tcBorders>
              <w:top w:val="nil"/>
              <w:bottom w:val="single" w:sz="4" w:space="0" w:color="auto"/>
            </w:tcBorders>
            <w:shd w:val="clear" w:color="auto" w:fill="F2F2F2" w:themeFill="background1" w:themeFillShade="F2"/>
          </w:tcPr>
          <w:p w:rsidR="00853A74" w:rsidRPr="00B338FF" w:rsidRDefault="00853A74" w:rsidP="00B66529">
            <w:pPr>
              <w:pStyle w:val="TableText"/>
              <w:rPr>
                <w:szCs w:val="24"/>
              </w:rPr>
            </w:pPr>
            <w:r w:rsidRPr="00B338FF">
              <w:rPr>
                <w:szCs w:val="24"/>
              </w:rPr>
              <w:t>Langer (2000)</w:t>
            </w:r>
          </w:p>
        </w:tc>
        <w:tc>
          <w:tcPr>
            <w:tcW w:w="920" w:type="pct"/>
            <w:tcBorders>
              <w:top w:val="nil"/>
              <w:bottom w:val="single" w:sz="4" w:space="0" w:color="auto"/>
            </w:tcBorders>
            <w:shd w:val="clear" w:color="auto" w:fill="F2F2F2" w:themeFill="background1" w:themeFillShade="F2"/>
          </w:tcPr>
          <w:p w:rsidR="00853A74" w:rsidRPr="00B338FF" w:rsidRDefault="00853A74" w:rsidP="00B66529">
            <w:pPr>
              <w:pStyle w:val="TableText"/>
              <w:rPr>
                <w:szCs w:val="24"/>
              </w:rPr>
            </w:pPr>
            <w:r w:rsidRPr="00B338FF">
              <w:rPr>
                <w:szCs w:val="24"/>
              </w:rPr>
              <w:t>50</w:t>
            </w:r>
            <w:r>
              <w:rPr>
                <w:szCs w:val="24"/>
              </w:rPr>
              <w:t xml:space="preserve"> </w:t>
            </w:r>
            <w:r w:rsidRPr="00B338FF">
              <w:rPr>
                <w:szCs w:val="24"/>
              </w:rPr>
              <w:t xml:space="preserve">g </w:t>
            </w:r>
            <w:r>
              <w:rPr>
                <w:szCs w:val="24"/>
              </w:rPr>
              <w:t>OGTT</w:t>
            </w:r>
            <w:r w:rsidRPr="00B338FF">
              <w:rPr>
                <w:szCs w:val="24"/>
              </w:rPr>
              <w:t xml:space="preserve"> (&gt;</w:t>
            </w:r>
            <w:r>
              <w:rPr>
                <w:szCs w:val="24"/>
              </w:rPr>
              <w:t xml:space="preserve"> </w:t>
            </w:r>
            <w:r w:rsidRPr="00B338FF">
              <w:rPr>
                <w:szCs w:val="24"/>
              </w:rPr>
              <w:t>7.3 mmol/L at 1 hour)</w:t>
            </w:r>
          </w:p>
        </w:tc>
        <w:tc>
          <w:tcPr>
            <w:tcW w:w="517" w:type="pct"/>
            <w:tcBorders>
              <w:top w:val="nil"/>
              <w:bottom w:val="single" w:sz="4" w:space="0" w:color="auto"/>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100</w:t>
            </w:r>
            <w:r>
              <w:rPr>
                <w:szCs w:val="24"/>
              </w:rPr>
              <w:t xml:space="preserve"> </w:t>
            </w:r>
            <w:r w:rsidRPr="00B338FF">
              <w:rPr>
                <w:szCs w:val="24"/>
              </w:rPr>
              <w:t>g</w:t>
            </w:r>
          </w:p>
        </w:tc>
        <w:tc>
          <w:tcPr>
            <w:tcW w:w="697" w:type="pct"/>
            <w:tcBorders>
              <w:top w:val="nil"/>
              <w:bottom w:val="single" w:sz="4" w:space="0" w:color="auto"/>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&gt;</w:t>
            </w:r>
            <w:r>
              <w:rPr>
                <w:szCs w:val="24"/>
              </w:rPr>
              <w:t xml:space="preserve"> </w:t>
            </w:r>
            <w:r w:rsidRPr="00B338FF">
              <w:rPr>
                <w:szCs w:val="24"/>
              </w:rPr>
              <w:t>5.3 to &lt;</w:t>
            </w:r>
            <w:r>
              <w:rPr>
                <w:szCs w:val="24"/>
              </w:rPr>
              <w:t> </w:t>
            </w:r>
            <w:r w:rsidRPr="00B338FF">
              <w:rPr>
                <w:szCs w:val="24"/>
              </w:rPr>
              <w:t>7.8</w:t>
            </w:r>
            <w:r>
              <w:rPr>
                <w:szCs w:val="24"/>
              </w:rPr>
              <w:t> </w:t>
            </w:r>
            <w:r w:rsidRPr="00B338FF">
              <w:rPr>
                <w:szCs w:val="24"/>
              </w:rPr>
              <w:t>mmol/L</w:t>
            </w:r>
          </w:p>
        </w:tc>
        <w:tc>
          <w:tcPr>
            <w:tcW w:w="697" w:type="pct"/>
            <w:tcBorders>
              <w:top w:val="nil"/>
              <w:bottom w:val="single" w:sz="4" w:space="0" w:color="auto"/>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w:t>
            </w:r>
          </w:p>
        </w:tc>
        <w:tc>
          <w:tcPr>
            <w:tcW w:w="761" w:type="pct"/>
            <w:tcBorders>
              <w:top w:val="nil"/>
              <w:bottom w:val="single" w:sz="4" w:space="0" w:color="auto"/>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w:t>
            </w:r>
          </w:p>
        </w:tc>
        <w:tc>
          <w:tcPr>
            <w:tcW w:w="631" w:type="pct"/>
            <w:tcBorders>
              <w:top w:val="nil"/>
              <w:bottom w:val="single" w:sz="4" w:space="0" w:color="auto"/>
            </w:tcBorders>
            <w:shd w:val="clear" w:color="auto" w:fill="F2F2F2" w:themeFill="background1" w:themeFillShade="F2"/>
          </w:tcPr>
          <w:p w:rsidR="00853A74" w:rsidRPr="00B338FF" w:rsidRDefault="00853A74" w:rsidP="00B66529">
            <w:pPr>
              <w:pStyle w:val="TableText"/>
              <w:jc w:val="center"/>
              <w:rPr>
                <w:szCs w:val="24"/>
              </w:rPr>
            </w:pPr>
            <w:r w:rsidRPr="00B338FF">
              <w:rPr>
                <w:szCs w:val="24"/>
              </w:rPr>
              <w:t>?</w:t>
            </w:r>
          </w:p>
        </w:tc>
      </w:tr>
    </w:tbl>
    <w:p w:rsidR="00853A74" w:rsidRPr="00E07B1B" w:rsidRDefault="00853A74" w:rsidP="00B66529">
      <w:pPr>
        <w:pStyle w:val="Note"/>
      </w:pPr>
      <w:r>
        <w:t xml:space="preserve">Note: </w:t>
      </w:r>
      <w:r w:rsidRPr="00E07B1B">
        <w:t>GCT</w:t>
      </w:r>
      <w:r>
        <w:t xml:space="preserve"> = </w:t>
      </w:r>
      <w:r w:rsidRPr="00E07B1B">
        <w:t xml:space="preserve">glucose challenge test, OGTT </w:t>
      </w:r>
      <w:r>
        <w:t xml:space="preserve">= </w:t>
      </w:r>
      <w:r w:rsidRPr="00E07B1B">
        <w:t>oral glucose tolerance test</w:t>
      </w:r>
      <w:r w:rsidR="00B66529">
        <w:t>.</w:t>
      </w:r>
    </w:p>
    <w:p w:rsidR="00853A74" w:rsidRPr="00E07B1B" w:rsidRDefault="00853A74" w:rsidP="00B66529">
      <w:pPr>
        <w:pStyle w:val="Note"/>
      </w:pPr>
      <w:r w:rsidRPr="00E07B1B">
        <w:t>*</w:t>
      </w:r>
      <w:r w:rsidR="00B66529">
        <w:tab/>
      </w:r>
      <w:r>
        <w:t>O</w:t>
      </w:r>
      <w:r w:rsidRPr="00E07B1B">
        <w:t>ne or more abnormal value required</w:t>
      </w:r>
      <w:r>
        <w:t xml:space="preserve">; </w:t>
      </w:r>
      <w:r w:rsidRPr="00E07B1B">
        <w:t>$</w:t>
      </w:r>
      <w:r>
        <w:t xml:space="preserve"> </w:t>
      </w:r>
      <w:r w:rsidRPr="00E07B1B">
        <w:rPr>
          <w:rFonts w:cs="Calibri"/>
        </w:rPr>
        <w:t>≥</w:t>
      </w:r>
      <w:r>
        <w:rPr>
          <w:rFonts w:cs="Calibri"/>
        </w:rPr>
        <w:t xml:space="preserve"> </w:t>
      </w:r>
      <w:r w:rsidRPr="00E07B1B">
        <w:t>2 abnormal values required</w:t>
      </w:r>
      <w:r>
        <w:t xml:space="preserve">; </w:t>
      </w:r>
      <w:r w:rsidRPr="00E07B1B">
        <w:t>#</w:t>
      </w:r>
      <w:r>
        <w:t xml:space="preserve"> </w:t>
      </w:r>
      <w:r w:rsidRPr="00E07B1B">
        <w:t>2 abnormal values required, an elevated fasting glucose level or 1</w:t>
      </w:r>
      <w:r>
        <w:t>-hour</w:t>
      </w:r>
      <w:r w:rsidRPr="00E07B1B">
        <w:t xml:space="preserve"> OGTT &gt; 11.1</w:t>
      </w:r>
      <w:r w:rsidR="00B66529">
        <w:t xml:space="preserve"> </w:t>
      </w:r>
      <w:r w:rsidRPr="00E07B1B">
        <w:t>mmol/L</w:t>
      </w:r>
      <w:r w:rsidR="00B66529">
        <w:t>.</w:t>
      </w:r>
    </w:p>
    <w:p w:rsidR="00853A74" w:rsidRDefault="00853A74" w:rsidP="00B66529">
      <w:pPr>
        <w:pStyle w:val="Source"/>
      </w:pPr>
      <w:r w:rsidRPr="00B338FF">
        <w:t xml:space="preserve">Source: Alwan </w:t>
      </w:r>
      <w:r>
        <w:t>et al (</w:t>
      </w:r>
      <w:r w:rsidRPr="00B338FF">
        <w:t>2009)</w:t>
      </w:r>
    </w:p>
    <w:p w:rsidR="00B66529" w:rsidRPr="00B66529" w:rsidRDefault="00B66529" w:rsidP="00B66529"/>
    <w:p w:rsidR="00853A74" w:rsidRPr="00E07B1B" w:rsidRDefault="00853A74" w:rsidP="00B66529">
      <w:pPr>
        <w:pStyle w:val="Table"/>
      </w:pPr>
      <w:bookmarkStart w:id="553" w:name="_Toc363717833"/>
      <w:bookmarkStart w:id="554" w:name="_Toc403635916"/>
      <w:r w:rsidRPr="00E07B1B">
        <w:t>Table 35</w:t>
      </w:r>
      <w:r w:rsidR="00B66529">
        <w:t>:</w:t>
      </w:r>
      <w:r w:rsidRPr="00E07B1B">
        <w:t xml:space="preserve"> Demographic details of participants in randomised controlled trials comparing oral hypoglycaemics and insulin therapy for women with gestational diabetes</w:t>
      </w:r>
      <w:bookmarkEnd w:id="553"/>
      <w:bookmarkEnd w:id="554"/>
    </w:p>
    <w:tbl>
      <w:tblPr>
        <w:tblW w:w="4922"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2169"/>
        <w:gridCol w:w="1518"/>
        <w:gridCol w:w="2598"/>
        <w:gridCol w:w="1535"/>
        <w:gridCol w:w="1535"/>
        <w:gridCol w:w="1986"/>
        <w:gridCol w:w="3110"/>
      </w:tblGrid>
      <w:tr w:rsidR="00B66529" w:rsidRPr="00B66529" w:rsidTr="00D2206A">
        <w:trPr>
          <w:cantSplit/>
          <w:tblHeader/>
        </w:trPr>
        <w:tc>
          <w:tcPr>
            <w:tcW w:w="750" w:type="pct"/>
            <w:tcBorders>
              <w:top w:val="single" w:sz="4" w:space="0" w:color="auto"/>
              <w:bottom w:val="single" w:sz="4" w:space="0" w:color="auto"/>
            </w:tcBorders>
            <w:shd w:val="clear" w:color="auto" w:fill="auto"/>
          </w:tcPr>
          <w:p w:rsidR="00853A74" w:rsidRPr="00B66529" w:rsidRDefault="00853A74" w:rsidP="00B66529">
            <w:pPr>
              <w:pStyle w:val="TableText"/>
              <w:rPr>
                <w:b/>
              </w:rPr>
            </w:pPr>
            <w:r w:rsidRPr="00B66529">
              <w:rPr>
                <w:b/>
              </w:rPr>
              <w:t>Reference</w:t>
            </w:r>
          </w:p>
        </w:tc>
        <w:tc>
          <w:tcPr>
            <w:tcW w:w="525" w:type="pct"/>
            <w:tcBorders>
              <w:top w:val="single" w:sz="4" w:space="0" w:color="auto"/>
              <w:bottom w:val="single" w:sz="4" w:space="0" w:color="auto"/>
            </w:tcBorders>
            <w:shd w:val="clear" w:color="auto" w:fill="auto"/>
          </w:tcPr>
          <w:p w:rsidR="00853A74" w:rsidRPr="00B66529" w:rsidRDefault="00853A74" w:rsidP="00B66529">
            <w:pPr>
              <w:pStyle w:val="TableText"/>
              <w:rPr>
                <w:b/>
              </w:rPr>
            </w:pPr>
            <w:r w:rsidRPr="00B66529">
              <w:rPr>
                <w:b/>
              </w:rPr>
              <w:t>Country</w:t>
            </w:r>
          </w:p>
        </w:tc>
        <w:tc>
          <w:tcPr>
            <w:tcW w:w="899" w:type="pct"/>
            <w:tcBorders>
              <w:top w:val="single" w:sz="4" w:space="0" w:color="auto"/>
              <w:bottom w:val="single" w:sz="4" w:space="0" w:color="auto"/>
            </w:tcBorders>
            <w:shd w:val="clear" w:color="auto" w:fill="auto"/>
          </w:tcPr>
          <w:p w:rsidR="00853A74" w:rsidRPr="00B66529" w:rsidRDefault="00853A74" w:rsidP="00B66529">
            <w:pPr>
              <w:pStyle w:val="TableText"/>
              <w:rPr>
                <w:b/>
              </w:rPr>
            </w:pPr>
            <w:r w:rsidRPr="00B66529">
              <w:rPr>
                <w:b/>
              </w:rPr>
              <w:t>Intervention/ control</w:t>
            </w:r>
          </w:p>
        </w:tc>
        <w:tc>
          <w:tcPr>
            <w:tcW w:w="531" w:type="pct"/>
            <w:tcBorders>
              <w:top w:val="single" w:sz="4" w:space="0" w:color="auto"/>
              <w:bottom w:val="single" w:sz="4" w:space="0" w:color="auto"/>
            </w:tcBorders>
            <w:shd w:val="clear" w:color="auto" w:fill="auto"/>
          </w:tcPr>
          <w:p w:rsidR="00853A74" w:rsidRPr="00B66529" w:rsidRDefault="00853A74" w:rsidP="00D2206A">
            <w:pPr>
              <w:pStyle w:val="TableText"/>
              <w:jc w:val="center"/>
              <w:rPr>
                <w:b/>
              </w:rPr>
            </w:pPr>
            <w:r w:rsidRPr="00B66529">
              <w:rPr>
                <w:b/>
              </w:rPr>
              <w:t>Mean age</w:t>
            </w:r>
            <w:r w:rsidR="00B66529">
              <w:rPr>
                <w:b/>
              </w:rPr>
              <w:br/>
            </w:r>
            <w:r w:rsidR="00B66529">
              <w:rPr>
                <w:b/>
              </w:rPr>
              <w:br/>
            </w:r>
            <w:r w:rsidRPr="00B66529">
              <w:rPr>
                <w:b/>
              </w:rPr>
              <w:t>(years)</w:t>
            </w:r>
          </w:p>
        </w:tc>
        <w:tc>
          <w:tcPr>
            <w:tcW w:w="531" w:type="pct"/>
            <w:tcBorders>
              <w:top w:val="single" w:sz="4" w:space="0" w:color="auto"/>
              <w:bottom w:val="single" w:sz="4" w:space="0" w:color="auto"/>
            </w:tcBorders>
            <w:shd w:val="clear" w:color="auto" w:fill="auto"/>
          </w:tcPr>
          <w:p w:rsidR="00853A74" w:rsidRPr="00B66529" w:rsidRDefault="00853A74" w:rsidP="00D2206A">
            <w:pPr>
              <w:pStyle w:val="TableText"/>
              <w:jc w:val="center"/>
              <w:rPr>
                <w:b/>
              </w:rPr>
            </w:pPr>
            <w:r w:rsidRPr="00B66529">
              <w:rPr>
                <w:b/>
              </w:rPr>
              <w:t>Mean BMI at booking (kg/m</w:t>
            </w:r>
            <w:r w:rsidRPr="00B66529">
              <w:rPr>
                <w:b/>
                <w:vertAlign w:val="superscript"/>
              </w:rPr>
              <w:t>2</w:t>
            </w:r>
            <w:r w:rsidRPr="00B66529">
              <w:rPr>
                <w:b/>
              </w:rPr>
              <w:t>)</w:t>
            </w:r>
          </w:p>
        </w:tc>
        <w:tc>
          <w:tcPr>
            <w:tcW w:w="687" w:type="pct"/>
            <w:tcBorders>
              <w:top w:val="single" w:sz="4" w:space="0" w:color="auto"/>
              <w:bottom w:val="single" w:sz="4" w:space="0" w:color="auto"/>
            </w:tcBorders>
            <w:shd w:val="clear" w:color="auto" w:fill="auto"/>
          </w:tcPr>
          <w:p w:rsidR="00853A74" w:rsidRPr="00B66529" w:rsidRDefault="00853A74" w:rsidP="00D2206A">
            <w:pPr>
              <w:pStyle w:val="TableText"/>
              <w:jc w:val="center"/>
              <w:rPr>
                <w:b/>
              </w:rPr>
            </w:pPr>
            <w:r w:rsidRPr="00B66529">
              <w:rPr>
                <w:b/>
              </w:rPr>
              <w:t>Gestational age at diagnosis/study</w:t>
            </w:r>
            <w:r w:rsidR="00B66529">
              <w:rPr>
                <w:b/>
              </w:rPr>
              <w:t xml:space="preserve"> </w:t>
            </w:r>
            <w:r w:rsidRPr="00B66529">
              <w:rPr>
                <w:b/>
              </w:rPr>
              <w:t>entry (weeks)</w:t>
            </w:r>
          </w:p>
        </w:tc>
        <w:tc>
          <w:tcPr>
            <w:tcW w:w="1076" w:type="pct"/>
            <w:tcBorders>
              <w:top w:val="single" w:sz="4" w:space="0" w:color="auto"/>
              <w:bottom w:val="single" w:sz="4" w:space="0" w:color="auto"/>
            </w:tcBorders>
            <w:shd w:val="clear" w:color="auto" w:fill="auto"/>
          </w:tcPr>
          <w:p w:rsidR="00853A74" w:rsidRPr="00B66529" w:rsidRDefault="00853A74" w:rsidP="00B66529">
            <w:pPr>
              <w:pStyle w:val="TableText"/>
              <w:rPr>
                <w:b/>
              </w:rPr>
            </w:pPr>
            <w:r w:rsidRPr="00B66529">
              <w:rPr>
                <w:b/>
              </w:rPr>
              <w:t>Ethnicity</w:t>
            </w:r>
          </w:p>
        </w:tc>
      </w:tr>
      <w:tr w:rsidR="00B66529" w:rsidRPr="00E07B1B" w:rsidTr="00D2206A">
        <w:trPr>
          <w:cantSplit/>
        </w:trPr>
        <w:tc>
          <w:tcPr>
            <w:tcW w:w="750" w:type="pct"/>
            <w:tcBorders>
              <w:top w:val="single" w:sz="4" w:space="0" w:color="auto"/>
              <w:bottom w:val="nil"/>
            </w:tcBorders>
            <w:shd w:val="clear" w:color="auto" w:fill="F2F2F2" w:themeFill="background1" w:themeFillShade="F2"/>
          </w:tcPr>
          <w:p w:rsidR="00853A74" w:rsidRPr="00E07B1B" w:rsidRDefault="00853A74" w:rsidP="00B66529">
            <w:pPr>
              <w:pStyle w:val="TableText"/>
            </w:pPr>
            <w:r w:rsidRPr="00E07B1B">
              <w:t>Mukhopadhyay (2012)</w:t>
            </w:r>
          </w:p>
        </w:tc>
        <w:tc>
          <w:tcPr>
            <w:tcW w:w="525" w:type="pct"/>
            <w:tcBorders>
              <w:top w:val="single" w:sz="4" w:space="0" w:color="auto"/>
              <w:bottom w:val="nil"/>
            </w:tcBorders>
            <w:shd w:val="clear" w:color="auto" w:fill="F2F2F2" w:themeFill="background1" w:themeFillShade="F2"/>
          </w:tcPr>
          <w:p w:rsidR="00853A74" w:rsidRPr="00E07B1B" w:rsidRDefault="00853A74" w:rsidP="00B66529">
            <w:pPr>
              <w:pStyle w:val="TableText"/>
            </w:pPr>
            <w:r w:rsidRPr="00E07B1B">
              <w:t>India</w:t>
            </w:r>
          </w:p>
        </w:tc>
        <w:tc>
          <w:tcPr>
            <w:tcW w:w="899" w:type="pct"/>
            <w:tcBorders>
              <w:top w:val="single" w:sz="4" w:space="0" w:color="auto"/>
              <w:bottom w:val="nil"/>
            </w:tcBorders>
            <w:shd w:val="clear" w:color="auto" w:fill="F2F2F2" w:themeFill="background1" w:themeFillShade="F2"/>
          </w:tcPr>
          <w:p w:rsidR="00853A74" w:rsidRDefault="00853A74" w:rsidP="00B66529">
            <w:pPr>
              <w:pStyle w:val="TableText"/>
            </w:pPr>
            <w:r w:rsidRPr="00E07B1B">
              <w:t>Glibenclamide (</w:t>
            </w:r>
            <w:r w:rsidRPr="00C42D7A">
              <w:rPr>
                <w:i/>
              </w:rPr>
              <w:t>n</w:t>
            </w:r>
            <w:r>
              <w:rPr>
                <w:i/>
              </w:rPr>
              <w:t> </w:t>
            </w:r>
            <w:r w:rsidRPr="00E07B1B">
              <w:t>=</w:t>
            </w:r>
            <w:r>
              <w:t> </w:t>
            </w:r>
            <w:r w:rsidRPr="00E07B1B">
              <w:t>30)</w:t>
            </w:r>
          </w:p>
          <w:p w:rsidR="00853A74" w:rsidRPr="00E07B1B" w:rsidRDefault="00853A74" w:rsidP="00B66529">
            <w:pPr>
              <w:pStyle w:val="TableText"/>
            </w:pPr>
            <w:r w:rsidRPr="00E07B1B">
              <w:t>Insulin (</w:t>
            </w:r>
            <w:r w:rsidRPr="00C42D7A">
              <w:rPr>
                <w:i/>
              </w:rPr>
              <w:t>n</w:t>
            </w:r>
            <w:r>
              <w:rPr>
                <w:i/>
              </w:rPr>
              <w:t> </w:t>
            </w:r>
            <w:r w:rsidRPr="00E07B1B">
              <w:t>=</w:t>
            </w:r>
            <w:r>
              <w:t> </w:t>
            </w:r>
            <w:r w:rsidRPr="00E07B1B">
              <w:t>30)</w:t>
            </w:r>
          </w:p>
        </w:tc>
        <w:tc>
          <w:tcPr>
            <w:tcW w:w="531" w:type="pct"/>
            <w:tcBorders>
              <w:top w:val="single" w:sz="4" w:space="0" w:color="auto"/>
              <w:bottom w:val="nil"/>
            </w:tcBorders>
            <w:shd w:val="clear" w:color="auto" w:fill="F2F2F2" w:themeFill="background1" w:themeFillShade="F2"/>
          </w:tcPr>
          <w:p w:rsidR="00853A74" w:rsidRPr="00E07B1B" w:rsidRDefault="00853A74" w:rsidP="00D2206A">
            <w:pPr>
              <w:pStyle w:val="TableText"/>
              <w:jc w:val="center"/>
            </w:pPr>
            <w:r w:rsidRPr="00E07B1B">
              <w:t>26.3</w:t>
            </w:r>
            <w:r>
              <w:t xml:space="preserve"> </w:t>
            </w:r>
            <w:r w:rsidRPr="00E07B1B">
              <w:t>±</w:t>
            </w:r>
            <w:r>
              <w:t xml:space="preserve"> </w:t>
            </w:r>
            <w:r w:rsidRPr="00E07B1B">
              <w:t>4.6</w:t>
            </w:r>
          </w:p>
          <w:p w:rsidR="00853A74" w:rsidRPr="00E07B1B" w:rsidRDefault="00853A74" w:rsidP="00D2206A">
            <w:pPr>
              <w:pStyle w:val="TableText"/>
              <w:jc w:val="center"/>
            </w:pPr>
            <w:r w:rsidRPr="00E07B1B">
              <w:t>26</w:t>
            </w:r>
            <w:r>
              <w:t xml:space="preserve"> </w:t>
            </w:r>
            <w:r w:rsidRPr="00E07B1B">
              <w:t>±</w:t>
            </w:r>
            <w:r>
              <w:t xml:space="preserve"> </w:t>
            </w:r>
            <w:r w:rsidRPr="00E07B1B">
              <w:t>4.3</w:t>
            </w:r>
          </w:p>
        </w:tc>
        <w:tc>
          <w:tcPr>
            <w:tcW w:w="531" w:type="pct"/>
            <w:tcBorders>
              <w:top w:val="single" w:sz="4" w:space="0" w:color="auto"/>
              <w:bottom w:val="nil"/>
            </w:tcBorders>
            <w:shd w:val="clear" w:color="auto" w:fill="F2F2F2" w:themeFill="background1" w:themeFillShade="F2"/>
          </w:tcPr>
          <w:p w:rsidR="00853A74" w:rsidRPr="00E07B1B" w:rsidRDefault="00853A74" w:rsidP="00D2206A">
            <w:pPr>
              <w:pStyle w:val="TableText"/>
              <w:jc w:val="center"/>
            </w:pPr>
            <w:r w:rsidRPr="00E07B1B">
              <w:t>23.7</w:t>
            </w:r>
            <w:r>
              <w:t xml:space="preserve"> </w:t>
            </w:r>
            <w:r w:rsidRPr="00E07B1B">
              <w:t>±</w:t>
            </w:r>
            <w:r>
              <w:t xml:space="preserve"> </w:t>
            </w:r>
            <w:r w:rsidRPr="00E07B1B">
              <w:t>2.7</w:t>
            </w:r>
          </w:p>
          <w:p w:rsidR="00853A74" w:rsidRPr="00E07B1B" w:rsidRDefault="00853A74" w:rsidP="00D2206A">
            <w:pPr>
              <w:pStyle w:val="TableText"/>
              <w:jc w:val="center"/>
            </w:pPr>
            <w:r w:rsidRPr="00E07B1B">
              <w:t>23</w:t>
            </w:r>
            <w:r>
              <w:t xml:space="preserve"> </w:t>
            </w:r>
            <w:r w:rsidRPr="00E07B1B">
              <w:t>±</w:t>
            </w:r>
            <w:r>
              <w:t xml:space="preserve"> </w:t>
            </w:r>
            <w:r w:rsidRPr="00E07B1B">
              <w:t>2.9</w:t>
            </w:r>
          </w:p>
        </w:tc>
        <w:tc>
          <w:tcPr>
            <w:tcW w:w="687" w:type="pct"/>
            <w:tcBorders>
              <w:top w:val="single" w:sz="4" w:space="0" w:color="auto"/>
              <w:bottom w:val="nil"/>
            </w:tcBorders>
            <w:shd w:val="clear" w:color="auto" w:fill="F2F2F2" w:themeFill="background1" w:themeFillShade="F2"/>
          </w:tcPr>
          <w:p w:rsidR="00853A74" w:rsidRPr="00E07B1B" w:rsidRDefault="00853A74" w:rsidP="00D2206A">
            <w:pPr>
              <w:pStyle w:val="TableText"/>
              <w:jc w:val="center"/>
            </w:pPr>
            <w:r w:rsidRPr="00E07B1B">
              <w:t>28.3</w:t>
            </w:r>
            <w:r>
              <w:t xml:space="preserve"> </w:t>
            </w:r>
            <w:r w:rsidRPr="00E07B1B">
              <w:t>±</w:t>
            </w:r>
            <w:r>
              <w:t xml:space="preserve"> </w:t>
            </w:r>
            <w:r w:rsidRPr="00E07B1B">
              <w:t>2.2</w:t>
            </w:r>
          </w:p>
          <w:p w:rsidR="00853A74" w:rsidRPr="00E07B1B" w:rsidRDefault="00853A74" w:rsidP="00D2206A">
            <w:pPr>
              <w:pStyle w:val="TableText"/>
              <w:jc w:val="center"/>
            </w:pPr>
            <w:r w:rsidRPr="00E07B1B">
              <w:t>27.4</w:t>
            </w:r>
            <w:r>
              <w:t xml:space="preserve"> </w:t>
            </w:r>
            <w:r w:rsidRPr="00E07B1B">
              <w:t>±</w:t>
            </w:r>
            <w:r>
              <w:t xml:space="preserve"> </w:t>
            </w:r>
            <w:r w:rsidRPr="00E07B1B">
              <w:t>2.7</w:t>
            </w:r>
          </w:p>
        </w:tc>
        <w:tc>
          <w:tcPr>
            <w:tcW w:w="1076" w:type="pct"/>
            <w:tcBorders>
              <w:top w:val="single" w:sz="4" w:space="0" w:color="auto"/>
              <w:bottom w:val="nil"/>
            </w:tcBorders>
            <w:shd w:val="clear" w:color="auto" w:fill="F2F2F2" w:themeFill="background1" w:themeFillShade="F2"/>
          </w:tcPr>
          <w:p w:rsidR="00853A74" w:rsidRPr="00E07B1B" w:rsidRDefault="00853A74" w:rsidP="00B66529">
            <w:pPr>
              <w:pStyle w:val="TableText"/>
            </w:pPr>
            <w:r w:rsidRPr="00E07B1B">
              <w:t>Not stated</w:t>
            </w:r>
          </w:p>
        </w:tc>
      </w:tr>
      <w:tr w:rsidR="00B66529" w:rsidRPr="00E07B1B" w:rsidTr="00D2206A">
        <w:trPr>
          <w:cantSplit/>
        </w:trPr>
        <w:tc>
          <w:tcPr>
            <w:tcW w:w="750" w:type="pct"/>
            <w:tcBorders>
              <w:top w:val="nil"/>
              <w:bottom w:val="nil"/>
            </w:tcBorders>
            <w:shd w:val="clear" w:color="auto" w:fill="auto"/>
          </w:tcPr>
          <w:p w:rsidR="00853A74" w:rsidRPr="00E07B1B" w:rsidRDefault="00853A74" w:rsidP="00B66529">
            <w:pPr>
              <w:pStyle w:val="TableText"/>
            </w:pPr>
            <w:r w:rsidRPr="00E07B1B">
              <w:t>Niromanesh (2012)</w:t>
            </w:r>
          </w:p>
        </w:tc>
        <w:tc>
          <w:tcPr>
            <w:tcW w:w="525" w:type="pct"/>
            <w:tcBorders>
              <w:top w:val="nil"/>
              <w:bottom w:val="nil"/>
            </w:tcBorders>
            <w:shd w:val="clear" w:color="auto" w:fill="auto"/>
          </w:tcPr>
          <w:p w:rsidR="00853A74" w:rsidRPr="00E07B1B" w:rsidRDefault="00853A74" w:rsidP="00B66529">
            <w:pPr>
              <w:pStyle w:val="TableText"/>
            </w:pPr>
            <w:r w:rsidRPr="00E07B1B">
              <w:t>Iran</w:t>
            </w:r>
          </w:p>
        </w:tc>
        <w:tc>
          <w:tcPr>
            <w:tcW w:w="899" w:type="pct"/>
            <w:tcBorders>
              <w:top w:val="nil"/>
              <w:bottom w:val="nil"/>
            </w:tcBorders>
            <w:shd w:val="clear" w:color="auto" w:fill="auto"/>
          </w:tcPr>
          <w:p w:rsidR="00853A74" w:rsidRDefault="00853A74" w:rsidP="00B66529">
            <w:pPr>
              <w:pStyle w:val="TableText"/>
            </w:pPr>
            <w:r w:rsidRPr="00E07B1B">
              <w:t>Metformin (</w:t>
            </w:r>
            <w:r w:rsidRPr="00C42D7A">
              <w:rPr>
                <w:i/>
              </w:rPr>
              <w:t>n</w:t>
            </w:r>
            <w:r>
              <w:rPr>
                <w:i/>
              </w:rPr>
              <w:t> </w:t>
            </w:r>
            <w:r w:rsidRPr="00E07B1B">
              <w:t>=</w:t>
            </w:r>
            <w:r>
              <w:t> </w:t>
            </w:r>
            <w:r w:rsidRPr="00E07B1B">
              <w:t>86)</w:t>
            </w:r>
          </w:p>
          <w:p w:rsidR="00853A74" w:rsidRPr="00E07B1B" w:rsidRDefault="00853A74" w:rsidP="00B66529">
            <w:pPr>
              <w:pStyle w:val="TableText"/>
            </w:pPr>
            <w:r w:rsidRPr="00E07B1B">
              <w:t>Insulin (</w:t>
            </w:r>
            <w:r w:rsidRPr="00C42D7A">
              <w:rPr>
                <w:i/>
              </w:rPr>
              <w:t>n</w:t>
            </w:r>
            <w:r>
              <w:rPr>
                <w:i/>
              </w:rPr>
              <w:t> </w:t>
            </w:r>
            <w:r w:rsidRPr="00E07B1B">
              <w:t>=</w:t>
            </w:r>
            <w:r>
              <w:t> </w:t>
            </w:r>
            <w:r w:rsidRPr="00E07B1B">
              <w:t>86)</w:t>
            </w:r>
          </w:p>
        </w:tc>
        <w:tc>
          <w:tcPr>
            <w:tcW w:w="531" w:type="pct"/>
            <w:tcBorders>
              <w:top w:val="nil"/>
              <w:bottom w:val="nil"/>
            </w:tcBorders>
            <w:shd w:val="clear" w:color="auto" w:fill="auto"/>
          </w:tcPr>
          <w:p w:rsidR="00853A74" w:rsidRPr="00E07B1B" w:rsidRDefault="00853A74" w:rsidP="00D2206A">
            <w:pPr>
              <w:pStyle w:val="TableText"/>
              <w:jc w:val="center"/>
            </w:pPr>
            <w:r w:rsidRPr="00E07B1B">
              <w:t>30.7</w:t>
            </w:r>
            <w:r>
              <w:t xml:space="preserve"> </w:t>
            </w:r>
            <w:r w:rsidRPr="00E07B1B">
              <w:t>±</w:t>
            </w:r>
            <w:r>
              <w:t xml:space="preserve"> </w:t>
            </w:r>
            <w:r w:rsidRPr="00E07B1B">
              <w:t>5.5</w:t>
            </w:r>
          </w:p>
          <w:p w:rsidR="00853A74" w:rsidRPr="00E07B1B" w:rsidRDefault="00853A74" w:rsidP="00D2206A">
            <w:pPr>
              <w:pStyle w:val="TableText"/>
              <w:jc w:val="center"/>
            </w:pPr>
            <w:r w:rsidRPr="00E07B1B">
              <w:t>31.8</w:t>
            </w:r>
            <w:r>
              <w:t xml:space="preserve"> </w:t>
            </w:r>
            <w:r w:rsidRPr="00E07B1B">
              <w:t>±</w:t>
            </w:r>
            <w:r>
              <w:t xml:space="preserve"> </w:t>
            </w:r>
            <w:r w:rsidRPr="00E07B1B">
              <w:t>5.1</w:t>
            </w:r>
          </w:p>
        </w:tc>
        <w:tc>
          <w:tcPr>
            <w:tcW w:w="531" w:type="pct"/>
            <w:tcBorders>
              <w:top w:val="nil"/>
              <w:bottom w:val="nil"/>
            </w:tcBorders>
            <w:shd w:val="clear" w:color="auto" w:fill="auto"/>
          </w:tcPr>
          <w:p w:rsidR="00853A74" w:rsidRPr="00E07B1B" w:rsidRDefault="00853A74" w:rsidP="00D2206A">
            <w:pPr>
              <w:pStyle w:val="TableText"/>
              <w:jc w:val="center"/>
            </w:pPr>
            <w:r w:rsidRPr="00E07B1B">
              <w:t>28.1</w:t>
            </w:r>
            <w:r>
              <w:t xml:space="preserve"> </w:t>
            </w:r>
            <w:r w:rsidRPr="00E07B1B">
              <w:t>±</w:t>
            </w:r>
            <w:r>
              <w:t xml:space="preserve"> </w:t>
            </w:r>
            <w:r w:rsidRPr="00E07B1B">
              <w:t>4.0</w:t>
            </w:r>
          </w:p>
          <w:p w:rsidR="00853A74" w:rsidRPr="00E07B1B" w:rsidRDefault="00853A74" w:rsidP="00D2206A">
            <w:pPr>
              <w:pStyle w:val="TableText"/>
              <w:jc w:val="center"/>
            </w:pPr>
            <w:r w:rsidRPr="00E07B1B">
              <w:t>27.1</w:t>
            </w:r>
            <w:r>
              <w:t xml:space="preserve"> </w:t>
            </w:r>
            <w:r w:rsidRPr="00E07B1B">
              <w:t>±</w:t>
            </w:r>
            <w:r>
              <w:t xml:space="preserve"> </w:t>
            </w:r>
            <w:r w:rsidRPr="00E07B1B">
              <w:t>2.1</w:t>
            </w:r>
          </w:p>
        </w:tc>
        <w:tc>
          <w:tcPr>
            <w:tcW w:w="687" w:type="pct"/>
            <w:tcBorders>
              <w:top w:val="nil"/>
              <w:bottom w:val="nil"/>
            </w:tcBorders>
            <w:shd w:val="clear" w:color="auto" w:fill="auto"/>
          </w:tcPr>
          <w:p w:rsidR="00853A74" w:rsidRPr="00E07B1B" w:rsidRDefault="00853A74" w:rsidP="00D2206A">
            <w:pPr>
              <w:pStyle w:val="TableText"/>
              <w:jc w:val="center"/>
            </w:pPr>
            <w:r w:rsidRPr="00E07B1B">
              <w:t>26.0</w:t>
            </w:r>
            <w:r>
              <w:t xml:space="preserve"> </w:t>
            </w:r>
            <w:r w:rsidRPr="00E07B1B">
              <w:t>±</w:t>
            </w:r>
            <w:r>
              <w:t xml:space="preserve"> </w:t>
            </w:r>
            <w:r w:rsidRPr="00E07B1B">
              <w:t>3.5</w:t>
            </w:r>
          </w:p>
          <w:p w:rsidR="00853A74" w:rsidRPr="00E07B1B" w:rsidRDefault="00853A74" w:rsidP="00D2206A">
            <w:pPr>
              <w:pStyle w:val="TableText"/>
              <w:jc w:val="center"/>
            </w:pPr>
            <w:r w:rsidRPr="00E07B1B">
              <w:t>26.0</w:t>
            </w:r>
            <w:r>
              <w:t xml:space="preserve"> </w:t>
            </w:r>
            <w:r w:rsidRPr="00E07B1B">
              <w:t>±</w:t>
            </w:r>
            <w:r>
              <w:t xml:space="preserve"> </w:t>
            </w:r>
            <w:r w:rsidRPr="00E07B1B">
              <w:t>3.7</w:t>
            </w:r>
          </w:p>
        </w:tc>
        <w:tc>
          <w:tcPr>
            <w:tcW w:w="1076" w:type="pct"/>
            <w:tcBorders>
              <w:top w:val="nil"/>
              <w:bottom w:val="nil"/>
            </w:tcBorders>
            <w:shd w:val="clear" w:color="auto" w:fill="auto"/>
          </w:tcPr>
          <w:p w:rsidR="00853A74" w:rsidRPr="00E07B1B" w:rsidRDefault="00853A74" w:rsidP="00B66529">
            <w:pPr>
              <w:pStyle w:val="TableText"/>
            </w:pPr>
            <w:r w:rsidRPr="00E07B1B">
              <w:t>Not stated</w:t>
            </w:r>
          </w:p>
        </w:tc>
      </w:tr>
      <w:tr w:rsidR="00B66529" w:rsidRPr="00E07B1B" w:rsidTr="00D2206A">
        <w:trPr>
          <w:cantSplit/>
        </w:trPr>
        <w:tc>
          <w:tcPr>
            <w:tcW w:w="750" w:type="pct"/>
            <w:tcBorders>
              <w:top w:val="nil"/>
              <w:bottom w:val="nil"/>
            </w:tcBorders>
            <w:shd w:val="clear" w:color="auto" w:fill="F2F2F2" w:themeFill="background1" w:themeFillShade="F2"/>
          </w:tcPr>
          <w:p w:rsidR="00853A74" w:rsidRPr="00E07B1B" w:rsidRDefault="00853A74" w:rsidP="00B66529">
            <w:pPr>
              <w:pStyle w:val="TableText"/>
            </w:pPr>
            <w:r w:rsidRPr="00E07B1B">
              <w:t>Tertti (2012)</w:t>
            </w:r>
          </w:p>
        </w:tc>
        <w:tc>
          <w:tcPr>
            <w:tcW w:w="525" w:type="pct"/>
            <w:tcBorders>
              <w:top w:val="nil"/>
              <w:bottom w:val="nil"/>
            </w:tcBorders>
            <w:shd w:val="clear" w:color="auto" w:fill="F2F2F2" w:themeFill="background1" w:themeFillShade="F2"/>
          </w:tcPr>
          <w:p w:rsidR="00853A74" w:rsidRPr="00E07B1B" w:rsidRDefault="00853A74" w:rsidP="00B66529">
            <w:pPr>
              <w:pStyle w:val="TableText"/>
            </w:pPr>
            <w:r w:rsidRPr="00E07B1B">
              <w:t>Finland</w:t>
            </w:r>
          </w:p>
        </w:tc>
        <w:tc>
          <w:tcPr>
            <w:tcW w:w="899" w:type="pct"/>
            <w:tcBorders>
              <w:top w:val="nil"/>
              <w:bottom w:val="nil"/>
            </w:tcBorders>
            <w:shd w:val="clear" w:color="auto" w:fill="F2F2F2" w:themeFill="background1" w:themeFillShade="F2"/>
          </w:tcPr>
          <w:p w:rsidR="00853A74" w:rsidRDefault="00853A74" w:rsidP="00B66529">
            <w:pPr>
              <w:pStyle w:val="TableText"/>
            </w:pPr>
            <w:r w:rsidRPr="00E07B1B">
              <w:t>Metformin (</w:t>
            </w:r>
            <w:r w:rsidRPr="00C42D7A">
              <w:rPr>
                <w:i/>
              </w:rPr>
              <w:t>n</w:t>
            </w:r>
            <w:r>
              <w:rPr>
                <w:i/>
              </w:rPr>
              <w:t> </w:t>
            </w:r>
            <w:r w:rsidRPr="00E07B1B">
              <w:t>=</w:t>
            </w:r>
            <w:r>
              <w:t> </w:t>
            </w:r>
            <w:r w:rsidRPr="00E07B1B">
              <w:t>111)</w:t>
            </w:r>
          </w:p>
          <w:p w:rsidR="00853A74" w:rsidRPr="00E07B1B" w:rsidRDefault="00853A74" w:rsidP="00B66529">
            <w:pPr>
              <w:pStyle w:val="TableText"/>
            </w:pPr>
            <w:r w:rsidRPr="00E07B1B">
              <w:t>Insulin (</w:t>
            </w:r>
            <w:r w:rsidRPr="00C42D7A">
              <w:rPr>
                <w:i/>
              </w:rPr>
              <w:t>n</w:t>
            </w:r>
            <w:r>
              <w:rPr>
                <w:i/>
              </w:rPr>
              <w:t> </w:t>
            </w:r>
            <w:r w:rsidRPr="00E07B1B">
              <w:t>=</w:t>
            </w:r>
            <w:r>
              <w:t> </w:t>
            </w:r>
            <w:r w:rsidRPr="00E07B1B">
              <w:t>110)</w:t>
            </w:r>
          </w:p>
        </w:tc>
        <w:tc>
          <w:tcPr>
            <w:tcW w:w="531" w:type="pct"/>
            <w:tcBorders>
              <w:top w:val="nil"/>
              <w:bottom w:val="nil"/>
            </w:tcBorders>
            <w:shd w:val="clear" w:color="auto" w:fill="F2F2F2" w:themeFill="background1" w:themeFillShade="F2"/>
          </w:tcPr>
          <w:p w:rsidR="00853A74" w:rsidRPr="00E07B1B" w:rsidRDefault="00853A74" w:rsidP="00D2206A">
            <w:pPr>
              <w:pStyle w:val="TableText"/>
              <w:jc w:val="center"/>
            </w:pPr>
            <w:r w:rsidRPr="00E07B1B">
              <w:t>31.9</w:t>
            </w:r>
            <w:r>
              <w:t xml:space="preserve"> </w:t>
            </w:r>
            <w:r w:rsidRPr="00E07B1B">
              <w:t>±</w:t>
            </w:r>
            <w:r>
              <w:t xml:space="preserve"> </w:t>
            </w:r>
            <w:r w:rsidRPr="00E07B1B">
              <w:t>5.0</w:t>
            </w:r>
          </w:p>
          <w:p w:rsidR="00853A74" w:rsidRPr="00E07B1B" w:rsidRDefault="00853A74" w:rsidP="00D2206A">
            <w:pPr>
              <w:pStyle w:val="TableText"/>
              <w:jc w:val="center"/>
            </w:pPr>
            <w:r w:rsidRPr="00E07B1B">
              <w:t>32.1</w:t>
            </w:r>
            <w:r>
              <w:t xml:space="preserve"> </w:t>
            </w:r>
            <w:r w:rsidRPr="00E07B1B">
              <w:t>±</w:t>
            </w:r>
            <w:r>
              <w:t xml:space="preserve"> </w:t>
            </w:r>
            <w:r w:rsidRPr="00E07B1B">
              <w:t>5.4</w:t>
            </w:r>
          </w:p>
        </w:tc>
        <w:tc>
          <w:tcPr>
            <w:tcW w:w="531" w:type="pct"/>
            <w:tcBorders>
              <w:top w:val="nil"/>
              <w:bottom w:val="nil"/>
            </w:tcBorders>
            <w:shd w:val="clear" w:color="auto" w:fill="F2F2F2" w:themeFill="background1" w:themeFillShade="F2"/>
          </w:tcPr>
          <w:p w:rsidR="00853A74" w:rsidRPr="00E07B1B" w:rsidRDefault="00853A74" w:rsidP="00D2206A">
            <w:pPr>
              <w:pStyle w:val="TableText"/>
              <w:jc w:val="center"/>
            </w:pPr>
            <w:r w:rsidRPr="00E07B1B">
              <w:t>29.4</w:t>
            </w:r>
            <w:r>
              <w:t xml:space="preserve"> </w:t>
            </w:r>
            <w:r w:rsidRPr="00E07B1B">
              <w:t>±</w:t>
            </w:r>
            <w:r>
              <w:t xml:space="preserve"> </w:t>
            </w:r>
            <w:r w:rsidRPr="00E07B1B">
              <w:t>5.9</w:t>
            </w:r>
          </w:p>
          <w:p w:rsidR="00853A74" w:rsidRPr="00E07B1B" w:rsidRDefault="00853A74" w:rsidP="00D2206A">
            <w:pPr>
              <w:pStyle w:val="TableText"/>
              <w:jc w:val="center"/>
            </w:pPr>
            <w:r w:rsidRPr="00E07B1B">
              <w:t>28.9</w:t>
            </w:r>
            <w:r>
              <w:t xml:space="preserve"> </w:t>
            </w:r>
            <w:r w:rsidRPr="00E07B1B">
              <w:t>±</w:t>
            </w:r>
            <w:r>
              <w:t xml:space="preserve"> </w:t>
            </w:r>
            <w:r w:rsidRPr="00E07B1B">
              <w:t>4.7</w:t>
            </w:r>
          </w:p>
        </w:tc>
        <w:tc>
          <w:tcPr>
            <w:tcW w:w="687" w:type="pct"/>
            <w:tcBorders>
              <w:top w:val="nil"/>
              <w:bottom w:val="nil"/>
            </w:tcBorders>
            <w:shd w:val="clear" w:color="auto" w:fill="F2F2F2" w:themeFill="background1" w:themeFillShade="F2"/>
          </w:tcPr>
          <w:p w:rsidR="00853A74" w:rsidRPr="00E07B1B" w:rsidRDefault="00853A74" w:rsidP="00D2206A">
            <w:pPr>
              <w:pStyle w:val="TableText"/>
              <w:jc w:val="center"/>
            </w:pPr>
            <w:r w:rsidRPr="00E07B1B">
              <w:t>30.3</w:t>
            </w:r>
            <w:r>
              <w:t xml:space="preserve"> </w:t>
            </w:r>
            <w:r w:rsidRPr="00E07B1B">
              <w:t>±</w:t>
            </w:r>
            <w:r>
              <w:t xml:space="preserve"> </w:t>
            </w:r>
            <w:r w:rsidRPr="00E07B1B">
              <w:t>2.0</w:t>
            </w:r>
          </w:p>
          <w:p w:rsidR="00853A74" w:rsidRPr="00E07B1B" w:rsidRDefault="00853A74" w:rsidP="00D2206A">
            <w:pPr>
              <w:pStyle w:val="TableText"/>
              <w:jc w:val="center"/>
            </w:pPr>
            <w:r w:rsidRPr="00E07B1B">
              <w:t>30.4</w:t>
            </w:r>
            <w:r>
              <w:t xml:space="preserve"> </w:t>
            </w:r>
            <w:r w:rsidRPr="00E07B1B">
              <w:t>±</w:t>
            </w:r>
            <w:r>
              <w:t xml:space="preserve"> </w:t>
            </w:r>
            <w:r w:rsidRPr="00E07B1B">
              <w:t>1.8</w:t>
            </w:r>
          </w:p>
        </w:tc>
        <w:tc>
          <w:tcPr>
            <w:tcW w:w="1076" w:type="pct"/>
            <w:tcBorders>
              <w:top w:val="nil"/>
              <w:bottom w:val="nil"/>
            </w:tcBorders>
            <w:shd w:val="clear" w:color="auto" w:fill="F2F2F2" w:themeFill="background1" w:themeFillShade="F2"/>
          </w:tcPr>
          <w:p w:rsidR="00853A74" w:rsidRPr="00E07B1B" w:rsidRDefault="00853A74" w:rsidP="00B66529">
            <w:pPr>
              <w:pStyle w:val="TableText"/>
            </w:pPr>
            <w:r w:rsidRPr="00E07B1B">
              <w:t>Not stated</w:t>
            </w:r>
          </w:p>
        </w:tc>
      </w:tr>
      <w:tr w:rsidR="00B66529" w:rsidRPr="00E07B1B" w:rsidTr="00D2206A">
        <w:trPr>
          <w:cantSplit/>
        </w:trPr>
        <w:tc>
          <w:tcPr>
            <w:tcW w:w="750" w:type="pct"/>
            <w:tcBorders>
              <w:top w:val="nil"/>
              <w:bottom w:val="nil"/>
            </w:tcBorders>
            <w:shd w:val="clear" w:color="auto" w:fill="auto"/>
          </w:tcPr>
          <w:p w:rsidR="00853A74" w:rsidRPr="00E07B1B" w:rsidRDefault="00853A74" w:rsidP="00B66529">
            <w:pPr>
              <w:pStyle w:val="TableText"/>
            </w:pPr>
            <w:r w:rsidRPr="00E07B1B">
              <w:t>Ijas (2011)</w:t>
            </w:r>
          </w:p>
        </w:tc>
        <w:tc>
          <w:tcPr>
            <w:tcW w:w="525" w:type="pct"/>
            <w:tcBorders>
              <w:top w:val="nil"/>
              <w:bottom w:val="nil"/>
            </w:tcBorders>
            <w:shd w:val="clear" w:color="auto" w:fill="auto"/>
          </w:tcPr>
          <w:p w:rsidR="00853A74" w:rsidRPr="00E07B1B" w:rsidRDefault="00853A74" w:rsidP="00B66529">
            <w:pPr>
              <w:pStyle w:val="TableText"/>
            </w:pPr>
            <w:r w:rsidRPr="00E07B1B">
              <w:t>Finland</w:t>
            </w:r>
          </w:p>
        </w:tc>
        <w:tc>
          <w:tcPr>
            <w:tcW w:w="899" w:type="pct"/>
            <w:tcBorders>
              <w:top w:val="nil"/>
              <w:bottom w:val="nil"/>
            </w:tcBorders>
            <w:shd w:val="clear" w:color="auto" w:fill="auto"/>
          </w:tcPr>
          <w:p w:rsidR="00853A74" w:rsidRDefault="00853A74" w:rsidP="00B66529">
            <w:pPr>
              <w:pStyle w:val="TableText"/>
            </w:pPr>
            <w:r w:rsidRPr="00E07B1B">
              <w:t>Metformin (</w:t>
            </w:r>
            <w:r w:rsidRPr="00C42D7A">
              <w:rPr>
                <w:i/>
              </w:rPr>
              <w:t>n</w:t>
            </w:r>
            <w:r>
              <w:rPr>
                <w:i/>
              </w:rPr>
              <w:t> </w:t>
            </w:r>
            <w:r w:rsidRPr="00E07B1B">
              <w:t>=</w:t>
            </w:r>
            <w:r>
              <w:t> </w:t>
            </w:r>
            <w:r w:rsidRPr="00E07B1B">
              <w:t>50)</w:t>
            </w:r>
          </w:p>
          <w:p w:rsidR="00853A74" w:rsidRPr="00E07B1B" w:rsidRDefault="00853A74" w:rsidP="00B66529">
            <w:pPr>
              <w:pStyle w:val="TableText"/>
            </w:pPr>
            <w:r w:rsidRPr="00E07B1B">
              <w:t>Insulin (</w:t>
            </w:r>
            <w:r w:rsidRPr="00C42D7A">
              <w:rPr>
                <w:i/>
              </w:rPr>
              <w:t>n</w:t>
            </w:r>
            <w:r>
              <w:rPr>
                <w:i/>
              </w:rPr>
              <w:t> </w:t>
            </w:r>
            <w:r w:rsidRPr="00E07B1B">
              <w:t>=</w:t>
            </w:r>
            <w:r>
              <w:t> </w:t>
            </w:r>
            <w:r w:rsidRPr="00E07B1B">
              <w:t>50)</w:t>
            </w:r>
          </w:p>
        </w:tc>
        <w:tc>
          <w:tcPr>
            <w:tcW w:w="531" w:type="pct"/>
            <w:tcBorders>
              <w:top w:val="nil"/>
              <w:bottom w:val="nil"/>
            </w:tcBorders>
            <w:shd w:val="clear" w:color="auto" w:fill="auto"/>
          </w:tcPr>
          <w:p w:rsidR="00853A74" w:rsidRPr="00E07B1B" w:rsidRDefault="00853A74" w:rsidP="00D2206A">
            <w:pPr>
              <w:pStyle w:val="TableText"/>
              <w:jc w:val="center"/>
            </w:pPr>
            <w:r w:rsidRPr="00E07B1B">
              <w:t>32.3</w:t>
            </w:r>
            <w:r>
              <w:t xml:space="preserve"> </w:t>
            </w:r>
            <w:r w:rsidRPr="00E07B1B">
              <w:t>±</w:t>
            </w:r>
            <w:r>
              <w:t xml:space="preserve"> </w:t>
            </w:r>
            <w:r w:rsidRPr="00E07B1B">
              <w:t>5.6</w:t>
            </w:r>
          </w:p>
          <w:p w:rsidR="00853A74" w:rsidRPr="00E07B1B" w:rsidRDefault="00853A74" w:rsidP="00D2206A">
            <w:pPr>
              <w:pStyle w:val="TableText"/>
              <w:jc w:val="center"/>
            </w:pPr>
            <w:r w:rsidRPr="00E07B1B">
              <w:t>31.7</w:t>
            </w:r>
            <w:r>
              <w:t xml:space="preserve"> </w:t>
            </w:r>
            <w:r w:rsidRPr="00E07B1B">
              <w:t>±</w:t>
            </w:r>
            <w:r>
              <w:t xml:space="preserve"> </w:t>
            </w:r>
            <w:r w:rsidRPr="00E07B1B">
              <w:t>6.1</w:t>
            </w:r>
          </w:p>
        </w:tc>
        <w:tc>
          <w:tcPr>
            <w:tcW w:w="531" w:type="pct"/>
            <w:tcBorders>
              <w:top w:val="nil"/>
              <w:bottom w:val="nil"/>
            </w:tcBorders>
            <w:shd w:val="clear" w:color="auto" w:fill="auto"/>
          </w:tcPr>
          <w:p w:rsidR="00853A74" w:rsidRPr="00E07B1B" w:rsidRDefault="00853A74" w:rsidP="00D2206A">
            <w:pPr>
              <w:pStyle w:val="TableText"/>
              <w:jc w:val="center"/>
            </w:pPr>
            <w:r w:rsidRPr="00E07B1B">
              <w:t>31.5</w:t>
            </w:r>
            <w:r>
              <w:t xml:space="preserve"> </w:t>
            </w:r>
            <w:r w:rsidRPr="00E07B1B">
              <w:t>±</w:t>
            </w:r>
            <w:r>
              <w:t xml:space="preserve"> </w:t>
            </w:r>
            <w:r w:rsidRPr="00E07B1B">
              <w:t>6.5</w:t>
            </w:r>
          </w:p>
          <w:p w:rsidR="00853A74" w:rsidRPr="00E07B1B" w:rsidRDefault="00853A74" w:rsidP="00D2206A">
            <w:pPr>
              <w:pStyle w:val="TableText"/>
              <w:jc w:val="center"/>
            </w:pPr>
            <w:r w:rsidRPr="00E07B1B">
              <w:t>30.8</w:t>
            </w:r>
            <w:r>
              <w:t xml:space="preserve"> </w:t>
            </w:r>
            <w:r w:rsidRPr="00E07B1B">
              <w:t>±</w:t>
            </w:r>
            <w:r>
              <w:t xml:space="preserve"> </w:t>
            </w:r>
            <w:r w:rsidRPr="00E07B1B">
              <w:t>5.4</w:t>
            </w:r>
          </w:p>
        </w:tc>
        <w:tc>
          <w:tcPr>
            <w:tcW w:w="687" w:type="pct"/>
            <w:tcBorders>
              <w:top w:val="nil"/>
              <w:bottom w:val="nil"/>
            </w:tcBorders>
            <w:shd w:val="clear" w:color="auto" w:fill="auto"/>
          </w:tcPr>
          <w:p w:rsidR="00853A74" w:rsidRPr="00E07B1B" w:rsidRDefault="00853A74" w:rsidP="00D2206A">
            <w:pPr>
              <w:pStyle w:val="TableText"/>
              <w:jc w:val="center"/>
            </w:pPr>
            <w:r w:rsidRPr="00E07B1B">
              <w:t>30</w:t>
            </w:r>
            <w:r>
              <w:t xml:space="preserve"> </w:t>
            </w:r>
            <w:r w:rsidRPr="00E07B1B">
              <w:t>±</w:t>
            </w:r>
            <w:r>
              <w:t xml:space="preserve"> </w:t>
            </w:r>
            <w:r w:rsidRPr="00E07B1B">
              <w:t>4.9</w:t>
            </w:r>
          </w:p>
          <w:p w:rsidR="00853A74" w:rsidRPr="00E07B1B" w:rsidRDefault="00853A74" w:rsidP="00D2206A">
            <w:pPr>
              <w:pStyle w:val="TableText"/>
              <w:jc w:val="center"/>
            </w:pPr>
            <w:r w:rsidRPr="00E07B1B">
              <w:t>30</w:t>
            </w:r>
            <w:r>
              <w:t xml:space="preserve"> </w:t>
            </w:r>
            <w:r w:rsidRPr="00E07B1B">
              <w:t>±</w:t>
            </w:r>
            <w:r>
              <w:t xml:space="preserve"> </w:t>
            </w:r>
            <w:r w:rsidRPr="00E07B1B">
              <w:t>4.0</w:t>
            </w:r>
          </w:p>
        </w:tc>
        <w:tc>
          <w:tcPr>
            <w:tcW w:w="1076" w:type="pct"/>
            <w:tcBorders>
              <w:top w:val="nil"/>
              <w:bottom w:val="nil"/>
            </w:tcBorders>
            <w:shd w:val="clear" w:color="auto" w:fill="auto"/>
          </w:tcPr>
          <w:p w:rsidR="00853A74" w:rsidRPr="00E07B1B" w:rsidRDefault="00853A74" w:rsidP="00B66529">
            <w:pPr>
              <w:pStyle w:val="TableText"/>
            </w:pPr>
            <w:r w:rsidRPr="00E07B1B">
              <w:t>Not stated</w:t>
            </w:r>
          </w:p>
        </w:tc>
      </w:tr>
      <w:tr w:rsidR="00B66529" w:rsidRPr="00E07B1B" w:rsidTr="00D2206A">
        <w:trPr>
          <w:cantSplit/>
        </w:trPr>
        <w:tc>
          <w:tcPr>
            <w:tcW w:w="750" w:type="pct"/>
            <w:tcBorders>
              <w:top w:val="nil"/>
              <w:bottom w:val="nil"/>
            </w:tcBorders>
            <w:shd w:val="clear" w:color="auto" w:fill="F2F2F2" w:themeFill="background1" w:themeFillShade="F2"/>
          </w:tcPr>
          <w:p w:rsidR="00853A74" w:rsidRPr="00E07B1B" w:rsidRDefault="00853A74" w:rsidP="00B66529">
            <w:pPr>
              <w:pStyle w:val="TableText"/>
            </w:pPr>
            <w:r w:rsidRPr="00E07B1B">
              <w:t>Lain (2009)</w:t>
            </w:r>
          </w:p>
        </w:tc>
        <w:tc>
          <w:tcPr>
            <w:tcW w:w="525" w:type="pct"/>
            <w:tcBorders>
              <w:top w:val="nil"/>
              <w:bottom w:val="nil"/>
            </w:tcBorders>
            <w:shd w:val="clear" w:color="auto" w:fill="F2F2F2" w:themeFill="background1" w:themeFillShade="F2"/>
          </w:tcPr>
          <w:p w:rsidR="00853A74" w:rsidRPr="00E07B1B" w:rsidRDefault="00853A74" w:rsidP="00B66529">
            <w:pPr>
              <w:pStyle w:val="TableText"/>
            </w:pPr>
            <w:r w:rsidRPr="00E07B1B">
              <w:t>USA</w:t>
            </w:r>
          </w:p>
        </w:tc>
        <w:tc>
          <w:tcPr>
            <w:tcW w:w="899" w:type="pct"/>
            <w:tcBorders>
              <w:top w:val="nil"/>
              <w:bottom w:val="nil"/>
            </w:tcBorders>
            <w:shd w:val="clear" w:color="auto" w:fill="F2F2F2" w:themeFill="background1" w:themeFillShade="F2"/>
          </w:tcPr>
          <w:p w:rsidR="00853A74" w:rsidRDefault="00853A74" w:rsidP="00B66529">
            <w:pPr>
              <w:pStyle w:val="TableText"/>
            </w:pPr>
            <w:r w:rsidRPr="00E07B1B">
              <w:t>Glibenclamide (</w:t>
            </w:r>
            <w:r w:rsidRPr="00C42D7A">
              <w:rPr>
                <w:i/>
              </w:rPr>
              <w:t>n</w:t>
            </w:r>
            <w:r>
              <w:rPr>
                <w:i/>
              </w:rPr>
              <w:t> </w:t>
            </w:r>
            <w:r w:rsidRPr="00E07B1B">
              <w:t>=</w:t>
            </w:r>
            <w:r>
              <w:t> </w:t>
            </w:r>
            <w:r w:rsidRPr="00E07B1B">
              <w:t>41)</w:t>
            </w:r>
          </w:p>
          <w:p w:rsidR="00853A74" w:rsidRPr="00E07B1B" w:rsidRDefault="00853A74" w:rsidP="00B66529">
            <w:pPr>
              <w:pStyle w:val="TableText"/>
            </w:pPr>
            <w:r w:rsidRPr="00E07B1B">
              <w:t>Insulin (</w:t>
            </w:r>
            <w:r w:rsidRPr="00C42D7A">
              <w:rPr>
                <w:i/>
              </w:rPr>
              <w:t>n</w:t>
            </w:r>
            <w:r>
              <w:rPr>
                <w:i/>
              </w:rPr>
              <w:t> </w:t>
            </w:r>
            <w:r w:rsidRPr="00E07B1B">
              <w:t>=</w:t>
            </w:r>
            <w:r>
              <w:t> </w:t>
            </w:r>
            <w:r w:rsidRPr="00E07B1B">
              <w:t>41)</w:t>
            </w:r>
          </w:p>
        </w:tc>
        <w:tc>
          <w:tcPr>
            <w:tcW w:w="531" w:type="pct"/>
            <w:tcBorders>
              <w:top w:val="nil"/>
              <w:bottom w:val="nil"/>
            </w:tcBorders>
            <w:shd w:val="clear" w:color="auto" w:fill="F2F2F2" w:themeFill="background1" w:themeFillShade="F2"/>
          </w:tcPr>
          <w:p w:rsidR="00853A74" w:rsidRPr="00E07B1B" w:rsidRDefault="00853A74" w:rsidP="00D2206A">
            <w:pPr>
              <w:pStyle w:val="TableText"/>
              <w:jc w:val="center"/>
            </w:pPr>
            <w:r w:rsidRPr="00E07B1B">
              <w:t>32.2</w:t>
            </w:r>
            <w:r>
              <w:t xml:space="preserve"> </w:t>
            </w:r>
            <w:r w:rsidRPr="00E07B1B">
              <w:t>±</w:t>
            </w:r>
            <w:r>
              <w:t xml:space="preserve"> </w:t>
            </w:r>
            <w:r w:rsidRPr="00E07B1B">
              <w:t>5</w:t>
            </w:r>
          </w:p>
          <w:p w:rsidR="00853A74" w:rsidRPr="00E07B1B" w:rsidRDefault="00853A74" w:rsidP="00D2206A">
            <w:pPr>
              <w:pStyle w:val="TableText"/>
              <w:jc w:val="center"/>
            </w:pPr>
            <w:r w:rsidRPr="00E07B1B">
              <w:t>31.2</w:t>
            </w:r>
            <w:r>
              <w:t xml:space="preserve"> </w:t>
            </w:r>
            <w:r w:rsidRPr="00E07B1B">
              <w:t>±</w:t>
            </w:r>
            <w:r>
              <w:t xml:space="preserve"> </w:t>
            </w:r>
            <w:r w:rsidRPr="00E07B1B">
              <w:t>5.9</w:t>
            </w:r>
          </w:p>
        </w:tc>
        <w:tc>
          <w:tcPr>
            <w:tcW w:w="531" w:type="pct"/>
            <w:tcBorders>
              <w:top w:val="nil"/>
              <w:bottom w:val="nil"/>
            </w:tcBorders>
            <w:shd w:val="clear" w:color="auto" w:fill="F2F2F2" w:themeFill="background1" w:themeFillShade="F2"/>
          </w:tcPr>
          <w:p w:rsidR="00853A74" w:rsidRPr="00E07B1B" w:rsidRDefault="00853A74" w:rsidP="00D2206A">
            <w:pPr>
              <w:pStyle w:val="TableText"/>
              <w:jc w:val="center"/>
            </w:pPr>
            <w:r w:rsidRPr="00E07B1B">
              <w:t>33.4</w:t>
            </w:r>
            <w:r>
              <w:t xml:space="preserve"> </w:t>
            </w:r>
            <w:r w:rsidRPr="00E07B1B">
              <w:t>±</w:t>
            </w:r>
            <w:r>
              <w:t xml:space="preserve"> </w:t>
            </w:r>
            <w:r w:rsidRPr="00E07B1B">
              <w:t>12.9</w:t>
            </w:r>
          </w:p>
          <w:p w:rsidR="00853A74" w:rsidRPr="00E07B1B" w:rsidRDefault="00853A74" w:rsidP="00D2206A">
            <w:pPr>
              <w:pStyle w:val="TableText"/>
              <w:jc w:val="center"/>
            </w:pPr>
            <w:r w:rsidRPr="00E07B1B">
              <w:t>30.9</w:t>
            </w:r>
            <w:r>
              <w:t xml:space="preserve"> </w:t>
            </w:r>
            <w:r w:rsidRPr="00E07B1B">
              <w:t>±</w:t>
            </w:r>
            <w:r>
              <w:t xml:space="preserve"> </w:t>
            </w:r>
            <w:r w:rsidRPr="00E07B1B">
              <w:t>5.7</w:t>
            </w:r>
          </w:p>
        </w:tc>
        <w:tc>
          <w:tcPr>
            <w:tcW w:w="687" w:type="pct"/>
            <w:tcBorders>
              <w:top w:val="nil"/>
              <w:bottom w:val="nil"/>
            </w:tcBorders>
            <w:shd w:val="clear" w:color="auto" w:fill="F2F2F2" w:themeFill="background1" w:themeFillShade="F2"/>
          </w:tcPr>
          <w:p w:rsidR="00853A74" w:rsidRPr="00E07B1B" w:rsidRDefault="00853A74" w:rsidP="00D2206A">
            <w:pPr>
              <w:pStyle w:val="TableText"/>
              <w:jc w:val="center"/>
            </w:pPr>
            <w:r w:rsidRPr="00E07B1B">
              <w:t>30.8</w:t>
            </w:r>
            <w:r>
              <w:t xml:space="preserve"> </w:t>
            </w:r>
            <w:r w:rsidRPr="00E07B1B">
              <w:t>±</w:t>
            </w:r>
            <w:r>
              <w:t xml:space="preserve"> </w:t>
            </w:r>
            <w:r w:rsidRPr="00E07B1B">
              <w:t>2.5</w:t>
            </w:r>
          </w:p>
          <w:p w:rsidR="00853A74" w:rsidRPr="00E07B1B" w:rsidRDefault="00853A74" w:rsidP="00D2206A">
            <w:pPr>
              <w:pStyle w:val="TableText"/>
              <w:jc w:val="center"/>
            </w:pPr>
            <w:r w:rsidRPr="00E07B1B">
              <w:t>30.6</w:t>
            </w:r>
            <w:r>
              <w:t xml:space="preserve"> </w:t>
            </w:r>
            <w:r w:rsidRPr="00E07B1B">
              <w:t>±</w:t>
            </w:r>
            <w:r>
              <w:t xml:space="preserve"> </w:t>
            </w:r>
            <w:r w:rsidRPr="00E07B1B">
              <w:t>2.2</w:t>
            </w:r>
          </w:p>
        </w:tc>
        <w:tc>
          <w:tcPr>
            <w:tcW w:w="1076" w:type="pct"/>
            <w:tcBorders>
              <w:top w:val="nil"/>
              <w:bottom w:val="nil"/>
            </w:tcBorders>
            <w:shd w:val="clear" w:color="auto" w:fill="F2F2F2" w:themeFill="background1" w:themeFillShade="F2"/>
          </w:tcPr>
          <w:p w:rsidR="00853A74" w:rsidRDefault="00853A74" w:rsidP="00B66529">
            <w:pPr>
              <w:pStyle w:val="TableText"/>
            </w:pPr>
            <w:r w:rsidRPr="00E07B1B">
              <w:t>7.3% Black</w:t>
            </w:r>
          </w:p>
          <w:p w:rsidR="00853A74" w:rsidRPr="00E07B1B" w:rsidRDefault="00853A74" w:rsidP="00B66529">
            <w:pPr>
              <w:pStyle w:val="TableText"/>
            </w:pPr>
            <w:r w:rsidRPr="00E07B1B">
              <w:t>19.5% Black</w:t>
            </w:r>
          </w:p>
        </w:tc>
      </w:tr>
      <w:tr w:rsidR="00B66529" w:rsidRPr="00E07B1B" w:rsidTr="00D2206A">
        <w:trPr>
          <w:cantSplit/>
        </w:trPr>
        <w:tc>
          <w:tcPr>
            <w:tcW w:w="750" w:type="pct"/>
            <w:tcBorders>
              <w:top w:val="nil"/>
              <w:bottom w:val="nil"/>
            </w:tcBorders>
            <w:shd w:val="clear" w:color="auto" w:fill="auto"/>
          </w:tcPr>
          <w:p w:rsidR="00853A74" w:rsidRPr="00E07B1B" w:rsidRDefault="00853A74" w:rsidP="00B66529">
            <w:pPr>
              <w:pStyle w:val="TableText"/>
            </w:pPr>
            <w:r w:rsidRPr="00E07B1B">
              <w:t>Rowan (2008)</w:t>
            </w:r>
          </w:p>
        </w:tc>
        <w:tc>
          <w:tcPr>
            <w:tcW w:w="525" w:type="pct"/>
            <w:tcBorders>
              <w:top w:val="nil"/>
              <w:bottom w:val="nil"/>
            </w:tcBorders>
            <w:shd w:val="clear" w:color="auto" w:fill="auto"/>
          </w:tcPr>
          <w:p w:rsidR="00853A74" w:rsidRPr="00E07B1B" w:rsidRDefault="00853A74" w:rsidP="00B66529">
            <w:pPr>
              <w:pStyle w:val="TableText"/>
            </w:pPr>
            <w:r w:rsidRPr="00E07B1B">
              <w:t>New Zealand and Australia</w:t>
            </w:r>
          </w:p>
        </w:tc>
        <w:tc>
          <w:tcPr>
            <w:tcW w:w="899" w:type="pct"/>
            <w:tcBorders>
              <w:top w:val="nil"/>
              <w:bottom w:val="nil"/>
            </w:tcBorders>
            <w:shd w:val="clear" w:color="auto" w:fill="auto"/>
          </w:tcPr>
          <w:p w:rsidR="00853A74" w:rsidRDefault="00853A74" w:rsidP="00B66529">
            <w:pPr>
              <w:pStyle w:val="TableText"/>
            </w:pPr>
            <w:r w:rsidRPr="00E07B1B">
              <w:t>Metformin (</w:t>
            </w:r>
            <w:r w:rsidRPr="00C42D7A">
              <w:rPr>
                <w:i/>
              </w:rPr>
              <w:t>n</w:t>
            </w:r>
            <w:r>
              <w:rPr>
                <w:i/>
              </w:rPr>
              <w:t> </w:t>
            </w:r>
            <w:r w:rsidRPr="00E07B1B">
              <w:t>=</w:t>
            </w:r>
            <w:r>
              <w:t> </w:t>
            </w:r>
            <w:r w:rsidRPr="00E07B1B">
              <w:t>363)</w:t>
            </w:r>
          </w:p>
          <w:p w:rsidR="00853A74" w:rsidRPr="00E07B1B" w:rsidRDefault="00853A74" w:rsidP="00B66529">
            <w:pPr>
              <w:pStyle w:val="TableText"/>
            </w:pPr>
            <w:r w:rsidRPr="00E07B1B">
              <w:t>Insulin (</w:t>
            </w:r>
            <w:r w:rsidRPr="00C42D7A">
              <w:rPr>
                <w:i/>
              </w:rPr>
              <w:t>n</w:t>
            </w:r>
            <w:r>
              <w:rPr>
                <w:i/>
              </w:rPr>
              <w:t> </w:t>
            </w:r>
            <w:r w:rsidRPr="00E07B1B">
              <w:t>=</w:t>
            </w:r>
            <w:r>
              <w:t> </w:t>
            </w:r>
            <w:r w:rsidRPr="00E07B1B">
              <w:t>370)</w:t>
            </w:r>
          </w:p>
        </w:tc>
        <w:tc>
          <w:tcPr>
            <w:tcW w:w="531" w:type="pct"/>
            <w:tcBorders>
              <w:top w:val="nil"/>
              <w:bottom w:val="nil"/>
            </w:tcBorders>
            <w:shd w:val="clear" w:color="auto" w:fill="auto"/>
          </w:tcPr>
          <w:p w:rsidR="00853A74" w:rsidRPr="00E07B1B" w:rsidRDefault="00853A74" w:rsidP="00D2206A">
            <w:pPr>
              <w:pStyle w:val="TableText"/>
              <w:jc w:val="center"/>
            </w:pPr>
            <w:r w:rsidRPr="00E07B1B">
              <w:t>33.5</w:t>
            </w:r>
            <w:r>
              <w:t xml:space="preserve"> </w:t>
            </w:r>
            <w:r w:rsidRPr="00E07B1B">
              <w:t>±</w:t>
            </w:r>
            <w:r>
              <w:t xml:space="preserve"> </w:t>
            </w:r>
            <w:r w:rsidRPr="00E07B1B">
              <w:t>5.4</w:t>
            </w:r>
          </w:p>
          <w:p w:rsidR="00853A74" w:rsidRPr="00E07B1B" w:rsidRDefault="00853A74" w:rsidP="00D2206A">
            <w:pPr>
              <w:pStyle w:val="TableText"/>
              <w:jc w:val="center"/>
            </w:pPr>
            <w:r w:rsidRPr="00E07B1B">
              <w:t>33.0</w:t>
            </w:r>
            <w:r>
              <w:t xml:space="preserve"> </w:t>
            </w:r>
            <w:r w:rsidRPr="00E07B1B">
              <w:t>±</w:t>
            </w:r>
            <w:r>
              <w:t xml:space="preserve"> </w:t>
            </w:r>
            <w:r w:rsidRPr="00E07B1B">
              <w:t>5.1</w:t>
            </w:r>
          </w:p>
        </w:tc>
        <w:tc>
          <w:tcPr>
            <w:tcW w:w="531" w:type="pct"/>
            <w:tcBorders>
              <w:top w:val="nil"/>
              <w:bottom w:val="nil"/>
            </w:tcBorders>
            <w:shd w:val="clear" w:color="auto" w:fill="auto"/>
          </w:tcPr>
          <w:p w:rsidR="00853A74" w:rsidRPr="00E07B1B" w:rsidRDefault="00853A74" w:rsidP="00D2206A">
            <w:pPr>
              <w:pStyle w:val="TableText"/>
              <w:jc w:val="center"/>
            </w:pPr>
            <w:r w:rsidRPr="00E07B1B">
              <w:t>32.2</w:t>
            </w:r>
            <w:r>
              <w:t xml:space="preserve"> </w:t>
            </w:r>
            <w:r w:rsidRPr="00E07B1B">
              <w:t>±</w:t>
            </w:r>
            <w:r>
              <w:t xml:space="preserve"> </w:t>
            </w:r>
            <w:r w:rsidRPr="00E07B1B">
              <w:t>8.2</w:t>
            </w:r>
          </w:p>
          <w:p w:rsidR="00853A74" w:rsidRPr="00E07B1B" w:rsidRDefault="00853A74" w:rsidP="00D2206A">
            <w:pPr>
              <w:pStyle w:val="TableText"/>
              <w:jc w:val="center"/>
            </w:pPr>
            <w:r w:rsidRPr="00E07B1B">
              <w:t>31.9</w:t>
            </w:r>
            <w:r>
              <w:t xml:space="preserve"> </w:t>
            </w:r>
            <w:r w:rsidRPr="00E07B1B">
              <w:t>±</w:t>
            </w:r>
            <w:r>
              <w:t xml:space="preserve"> </w:t>
            </w:r>
            <w:r w:rsidRPr="00E07B1B">
              <w:t>7.6</w:t>
            </w:r>
          </w:p>
        </w:tc>
        <w:tc>
          <w:tcPr>
            <w:tcW w:w="687" w:type="pct"/>
            <w:tcBorders>
              <w:top w:val="nil"/>
              <w:bottom w:val="nil"/>
            </w:tcBorders>
            <w:shd w:val="clear" w:color="auto" w:fill="auto"/>
          </w:tcPr>
          <w:p w:rsidR="00853A74" w:rsidRPr="00E07B1B" w:rsidRDefault="00853A74" w:rsidP="00D2206A">
            <w:pPr>
              <w:pStyle w:val="TableText"/>
              <w:jc w:val="center"/>
            </w:pPr>
            <w:r w:rsidRPr="00E07B1B">
              <w:t>30.2</w:t>
            </w:r>
            <w:r>
              <w:t xml:space="preserve"> </w:t>
            </w:r>
            <w:r w:rsidRPr="00E07B1B">
              <w:t>±</w:t>
            </w:r>
            <w:r>
              <w:t xml:space="preserve"> </w:t>
            </w:r>
            <w:r w:rsidRPr="00E07B1B">
              <w:t>3.3</w:t>
            </w:r>
          </w:p>
          <w:p w:rsidR="00853A74" w:rsidRPr="00E07B1B" w:rsidRDefault="00853A74" w:rsidP="00D2206A">
            <w:pPr>
              <w:pStyle w:val="TableText"/>
              <w:jc w:val="center"/>
            </w:pPr>
            <w:r w:rsidRPr="00E07B1B">
              <w:t>30.1</w:t>
            </w:r>
            <w:r>
              <w:t xml:space="preserve"> </w:t>
            </w:r>
            <w:r w:rsidRPr="00E07B1B">
              <w:t>±</w:t>
            </w:r>
            <w:r>
              <w:t xml:space="preserve"> </w:t>
            </w:r>
            <w:r w:rsidRPr="00E07B1B">
              <w:t>3.2</w:t>
            </w:r>
          </w:p>
        </w:tc>
        <w:tc>
          <w:tcPr>
            <w:tcW w:w="1076" w:type="pct"/>
            <w:tcBorders>
              <w:top w:val="nil"/>
              <w:bottom w:val="nil"/>
            </w:tcBorders>
            <w:shd w:val="clear" w:color="auto" w:fill="auto"/>
          </w:tcPr>
          <w:p w:rsidR="00853A74" w:rsidRPr="00E07B1B" w:rsidRDefault="00853A74" w:rsidP="00B66529">
            <w:pPr>
              <w:pStyle w:val="TableText"/>
            </w:pPr>
            <w:r w:rsidRPr="00E07B1B">
              <w:t>European/</w:t>
            </w:r>
            <w:r>
              <w:t xml:space="preserve"> </w:t>
            </w:r>
            <w:r w:rsidRPr="00E07B1B">
              <w:t>White 46.8%</w:t>
            </w:r>
            <w:r w:rsidR="00B66529">
              <w:br/>
            </w:r>
            <w:r w:rsidRPr="00E07B1B">
              <w:t>Polynesian/</w:t>
            </w:r>
            <w:r>
              <w:t xml:space="preserve"> </w:t>
            </w:r>
            <w:r w:rsidRPr="00E07B1B">
              <w:t>M</w:t>
            </w:r>
            <w:r>
              <w:t>ā</w:t>
            </w:r>
            <w:r w:rsidRPr="00E07B1B">
              <w:t>ori 21.1%</w:t>
            </w:r>
            <w:r w:rsidR="00B66529">
              <w:br/>
            </w:r>
            <w:r w:rsidRPr="00E07B1B">
              <w:t xml:space="preserve">Chinese/ </w:t>
            </w:r>
            <w:r>
              <w:t>South East</w:t>
            </w:r>
            <w:r w:rsidRPr="00E07B1B">
              <w:t xml:space="preserve"> Asian 11.8%</w:t>
            </w:r>
            <w:r w:rsidR="00B66529">
              <w:br/>
            </w:r>
            <w:r w:rsidRPr="00E07B1B">
              <w:t>Other/ mixed 7.5%</w:t>
            </w:r>
          </w:p>
        </w:tc>
      </w:tr>
      <w:tr w:rsidR="00B66529" w:rsidRPr="00E07B1B" w:rsidTr="00D2206A">
        <w:trPr>
          <w:cantSplit/>
        </w:trPr>
        <w:tc>
          <w:tcPr>
            <w:tcW w:w="750" w:type="pct"/>
            <w:tcBorders>
              <w:top w:val="nil"/>
              <w:bottom w:val="nil"/>
            </w:tcBorders>
            <w:shd w:val="clear" w:color="auto" w:fill="F2F2F2" w:themeFill="background1" w:themeFillShade="F2"/>
          </w:tcPr>
          <w:p w:rsidR="00853A74" w:rsidRPr="00E07B1B" w:rsidRDefault="00853A74" w:rsidP="00B66529">
            <w:pPr>
              <w:pStyle w:val="TableText"/>
            </w:pPr>
            <w:r w:rsidRPr="00E07B1B">
              <w:t>Silva (2007)</w:t>
            </w:r>
          </w:p>
        </w:tc>
        <w:tc>
          <w:tcPr>
            <w:tcW w:w="525" w:type="pct"/>
            <w:tcBorders>
              <w:top w:val="nil"/>
              <w:bottom w:val="nil"/>
            </w:tcBorders>
            <w:shd w:val="clear" w:color="auto" w:fill="F2F2F2" w:themeFill="background1" w:themeFillShade="F2"/>
          </w:tcPr>
          <w:p w:rsidR="00853A74" w:rsidRPr="00E07B1B" w:rsidRDefault="00853A74" w:rsidP="00B66529">
            <w:pPr>
              <w:pStyle w:val="TableText"/>
            </w:pPr>
            <w:r w:rsidRPr="00E07B1B">
              <w:t>Brazil</w:t>
            </w:r>
          </w:p>
        </w:tc>
        <w:tc>
          <w:tcPr>
            <w:tcW w:w="899" w:type="pct"/>
            <w:tcBorders>
              <w:top w:val="nil"/>
              <w:bottom w:val="nil"/>
            </w:tcBorders>
            <w:shd w:val="clear" w:color="auto" w:fill="F2F2F2" w:themeFill="background1" w:themeFillShade="F2"/>
          </w:tcPr>
          <w:p w:rsidR="00853A74" w:rsidRDefault="00853A74" w:rsidP="00B66529">
            <w:pPr>
              <w:pStyle w:val="TableText"/>
            </w:pPr>
            <w:r w:rsidRPr="00E07B1B">
              <w:t>Glibenclamide (</w:t>
            </w:r>
            <w:r w:rsidRPr="00C42D7A">
              <w:rPr>
                <w:i/>
              </w:rPr>
              <w:t>n</w:t>
            </w:r>
            <w:r>
              <w:rPr>
                <w:i/>
              </w:rPr>
              <w:t> </w:t>
            </w:r>
            <w:r w:rsidRPr="00E07B1B">
              <w:t>=</w:t>
            </w:r>
            <w:r>
              <w:t> </w:t>
            </w:r>
            <w:r w:rsidRPr="00E07B1B">
              <w:t>32)</w:t>
            </w:r>
          </w:p>
          <w:p w:rsidR="00853A74" w:rsidRPr="00E07B1B" w:rsidRDefault="00853A74" w:rsidP="00B66529">
            <w:pPr>
              <w:pStyle w:val="TableText"/>
            </w:pPr>
            <w:r w:rsidRPr="00E07B1B">
              <w:t>Insulin (</w:t>
            </w:r>
            <w:r w:rsidRPr="00C42D7A">
              <w:rPr>
                <w:i/>
              </w:rPr>
              <w:t>n</w:t>
            </w:r>
            <w:r>
              <w:rPr>
                <w:i/>
              </w:rPr>
              <w:t> </w:t>
            </w:r>
            <w:r w:rsidRPr="00E07B1B">
              <w:t>=</w:t>
            </w:r>
            <w:r>
              <w:t> </w:t>
            </w:r>
            <w:r w:rsidRPr="00E07B1B">
              <w:t>36)</w:t>
            </w:r>
          </w:p>
        </w:tc>
        <w:tc>
          <w:tcPr>
            <w:tcW w:w="531" w:type="pct"/>
            <w:tcBorders>
              <w:top w:val="nil"/>
              <w:bottom w:val="nil"/>
            </w:tcBorders>
            <w:shd w:val="clear" w:color="auto" w:fill="F2F2F2" w:themeFill="background1" w:themeFillShade="F2"/>
          </w:tcPr>
          <w:p w:rsidR="00853A74" w:rsidRPr="00E07B1B" w:rsidRDefault="00853A74" w:rsidP="00D2206A">
            <w:pPr>
              <w:pStyle w:val="TableText"/>
              <w:jc w:val="center"/>
            </w:pPr>
            <w:r w:rsidRPr="00E07B1B">
              <w:t>31.6</w:t>
            </w:r>
            <w:r>
              <w:t xml:space="preserve"> </w:t>
            </w:r>
            <w:r w:rsidRPr="00E07B1B">
              <w:t>±</w:t>
            </w:r>
            <w:r>
              <w:t xml:space="preserve"> </w:t>
            </w:r>
            <w:r w:rsidRPr="00E07B1B">
              <w:t>4.2</w:t>
            </w:r>
          </w:p>
          <w:p w:rsidR="00853A74" w:rsidRPr="00E07B1B" w:rsidRDefault="00853A74" w:rsidP="00D2206A">
            <w:pPr>
              <w:pStyle w:val="TableText"/>
              <w:jc w:val="center"/>
            </w:pPr>
            <w:r w:rsidRPr="00E07B1B">
              <w:t>29.9</w:t>
            </w:r>
            <w:r>
              <w:t xml:space="preserve"> </w:t>
            </w:r>
            <w:r w:rsidRPr="00E07B1B">
              <w:t>±</w:t>
            </w:r>
            <w:r>
              <w:t xml:space="preserve"> </w:t>
            </w:r>
            <w:r w:rsidRPr="00E07B1B">
              <w:t>6.0</w:t>
            </w:r>
          </w:p>
        </w:tc>
        <w:tc>
          <w:tcPr>
            <w:tcW w:w="531" w:type="pct"/>
            <w:tcBorders>
              <w:top w:val="nil"/>
              <w:bottom w:val="nil"/>
            </w:tcBorders>
            <w:shd w:val="clear" w:color="auto" w:fill="F2F2F2" w:themeFill="background1" w:themeFillShade="F2"/>
          </w:tcPr>
          <w:p w:rsidR="00853A74" w:rsidRPr="00E07B1B" w:rsidRDefault="00853A74" w:rsidP="00D2206A">
            <w:pPr>
              <w:pStyle w:val="TableText"/>
              <w:jc w:val="center"/>
            </w:pPr>
            <w:r w:rsidRPr="00E07B1B">
              <w:t>27.5</w:t>
            </w:r>
            <w:r>
              <w:t xml:space="preserve"> </w:t>
            </w:r>
            <w:r w:rsidRPr="00E07B1B">
              <w:t>±</w:t>
            </w:r>
            <w:r>
              <w:t xml:space="preserve"> </w:t>
            </w:r>
            <w:r w:rsidRPr="00E07B1B">
              <w:t>5.1</w:t>
            </w:r>
          </w:p>
          <w:p w:rsidR="00853A74" w:rsidRPr="00E07B1B" w:rsidRDefault="00853A74" w:rsidP="00D2206A">
            <w:pPr>
              <w:pStyle w:val="TableText"/>
              <w:jc w:val="center"/>
            </w:pPr>
            <w:r w:rsidRPr="00E07B1B">
              <w:t>27.9</w:t>
            </w:r>
            <w:r>
              <w:t xml:space="preserve"> </w:t>
            </w:r>
            <w:r w:rsidRPr="00E07B1B">
              <w:t>±</w:t>
            </w:r>
            <w:r>
              <w:t xml:space="preserve"> </w:t>
            </w:r>
            <w:r w:rsidRPr="00E07B1B">
              <w:t>6.8</w:t>
            </w:r>
          </w:p>
        </w:tc>
        <w:tc>
          <w:tcPr>
            <w:tcW w:w="687" w:type="pct"/>
            <w:tcBorders>
              <w:top w:val="nil"/>
              <w:bottom w:val="nil"/>
            </w:tcBorders>
            <w:shd w:val="clear" w:color="auto" w:fill="F2F2F2" w:themeFill="background1" w:themeFillShade="F2"/>
          </w:tcPr>
          <w:p w:rsidR="00853A74" w:rsidRPr="00E07B1B" w:rsidRDefault="00853A74" w:rsidP="00D2206A">
            <w:pPr>
              <w:pStyle w:val="TableText"/>
              <w:jc w:val="center"/>
            </w:pPr>
            <w:r w:rsidRPr="00E07B1B">
              <w:t>26.6</w:t>
            </w:r>
            <w:r>
              <w:t xml:space="preserve"> </w:t>
            </w:r>
            <w:r w:rsidRPr="00E07B1B">
              <w:t>±</w:t>
            </w:r>
            <w:r>
              <w:t xml:space="preserve"> </w:t>
            </w:r>
            <w:r w:rsidRPr="00E07B1B">
              <w:t>4.3</w:t>
            </w:r>
          </w:p>
          <w:p w:rsidR="00853A74" w:rsidRPr="00E07B1B" w:rsidRDefault="00853A74" w:rsidP="00D2206A">
            <w:pPr>
              <w:pStyle w:val="TableText"/>
              <w:jc w:val="center"/>
            </w:pPr>
            <w:r w:rsidRPr="00E07B1B">
              <w:t>25.6</w:t>
            </w:r>
            <w:r>
              <w:t xml:space="preserve"> </w:t>
            </w:r>
            <w:r w:rsidRPr="00E07B1B">
              <w:t>±</w:t>
            </w:r>
            <w:r>
              <w:t xml:space="preserve"> </w:t>
            </w:r>
            <w:r w:rsidRPr="00E07B1B">
              <w:t>5.9</w:t>
            </w:r>
          </w:p>
        </w:tc>
        <w:tc>
          <w:tcPr>
            <w:tcW w:w="1076" w:type="pct"/>
            <w:tcBorders>
              <w:top w:val="nil"/>
              <w:bottom w:val="nil"/>
            </w:tcBorders>
            <w:shd w:val="clear" w:color="auto" w:fill="F2F2F2" w:themeFill="background1" w:themeFillShade="F2"/>
          </w:tcPr>
          <w:p w:rsidR="00853A74" w:rsidRPr="00E07B1B" w:rsidRDefault="00853A74" w:rsidP="00B66529">
            <w:pPr>
              <w:pStyle w:val="TableText"/>
            </w:pPr>
            <w:r w:rsidRPr="00E07B1B">
              <w:t>Not stated</w:t>
            </w:r>
          </w:p>
        </w:tc>
      </w:tr>
      <w:tr w:rsidR="00B66529" w:rsidRPr="00E07B1B" w:rsidTr="00D2206A">
        <w:trPr>
          <w:cantSplit/>
        </w:trPr>
        <w:tc>
          <w:tcPr>
            <w:tcW w:w="750" w:type="pct"/>
            <w:tcBorders>
              <w:top w:val="nil"/>
              <w:bottom w:val="nil"/>
            </w:tcBorders>
            <w:shd w:val="clear" w:color="auto" w:fill="auto"/>
          </w:tcPr>
          <w:p w:rsidR="00853A74" w:rsidRPr="00E07B1B" w:rsidRDefault="00853A74" w:rsidP="00B66529">
            <w:pPr>
              <w:pStyle w:val="TableText"/>
            </w:pPr>
            <w:r w:rsidRPr="00E07B1B">
              <w:t>Moore (2007)</w:t>
            </w:r>
          </w:p>
        </w:tc>
        <w:tc>
          <w:tcPr>
            <w:tcW w:w="525" w:type="pct"/>
            <w:tcBorders>
              <w:top w:val="nil"/>
              <w:bottom w:val="nil"/>
            </w:tcBorders>
            <w:shd w:val="clear" w:color="auto" w:fill="auto"/>
          </w:tcPr>
          <w:p w:rsidR="00853A74" w:rsidRPr="00E07B1B" w:rsidRDefault="00853A74" w:rsidP="00D2206A">
            <w:pPr>
              <w:pStyle w:val="TableText"/>
            </w:pPr>
            <w:r w:rsidRPr="00E07B1B">
              <w:t>USA –</w:t>
            </w:r>
            <w:r>
              <w:t xml:space="preserve"> </w:t>
            </w:r>
            <w:r w:rsidRPr="00E07B1B">
              <w:t>New</w:t>
            </w:r>
            <w:r w:rsidR="00D2206A">
              <w:t> </w:t>
            </w:r>
            <w:r w:rsidRPr="00E07B1B">
              <w:t>Mexico</w:t>
            </w:r>
          </w:p>
        </w:tc>
        <w:tc>
          <w:tcPr>
            <w:tcW w:w="899" w:type="pct"/>
            <w:tcBorders>
              <w:top w:val="nil"/>
              <w:bottom w:val="nil"/>
            </w:tcBorders>
            <w:shd w:val="clear" w:color="auto" w:fill="auto"/>
          </w:tcPr>
          <w:p w:rsidR="00853A74" w:rsidRDefault="00853A74" w:rsidP="00B66529">
            <w:pPr>
              <w:pStyle w:val="TableText"/>
            </w:pPr>
            <w:r w:rsidRPr="00E07B1B">
              <w:t>Metformin (</w:t>
            </w:r>
            <w:r w:rsidRPr="00C42D7A">
              <w:rPr>
                <w:i/>
              </w:rPr>
              <w:t>n</w:t>
            </w:r>
            <w:r>
              <w:rPr>
                <w:i/>
              </w:rPr>
              <w:t> </w:t>
            </w:r>
            <w:r w:rsidRPr="00E07B1B">
              <w:t>=</w:t>
            </w:r>
            <w:r>
              <w:t> </w:t>
            </w:r>
            <w:r w:rsidRPr="00E07B1B">
              <w:t>32)</w:t>
            </w:r>
          </w:p>
          <w:p w:rsidR="00853A74" w:rsidRPr="00E07B1B" w:rsidRDefault="00853A74" w:rsidP="00B66529">
            <w:pPr>
              <w:pStyle w:val="TableText"/>
            </w:pPr>
            <w:r w:rsidRPr="00E07B1B">
              <w:t>Insulin (</w:t>
            </w:r>
            <w:r w:rsidRPr="00C42D7A">
              <w:rPr>
                <w:i/>
              </w:rPr>
              <w:t>n</w:t>
            </w:r>
            <w:r>
              <w:rPr>
                <w:i/>
              </w:rPr>
              <w:t> </w:t>
            </w:r>
            <w:r w:rsidRPr="00E07B1B">
              <w:t>=</w:t>
            </w:r>
            <w:r>
              <w:t> </w:t>
            </w:r>
            <w:r w:rsidRPr="00E07B1B">
              <w:t>31)</w:t>
            </w:r>
          </w:p>
        </w:tc>
        <w:tc>
          <w:tcPr>
            <w:tcW w:w="531" w:type="pct"/>
            <w:tcBorders>
              <w:top w:val="nil"/>
              <w:bottom w:val="nil"/>
            </w:tcBorders>
            <w:shd w:val="clear" w:color="auto" w:fill="auto"/>
          </w:tcPr>
          <w:p w:rsidR="00853A74" w:rsidRPr="00E07B1B" w:rsidRDefault="00853A74" w:rsidP="00D2206A">
            <w:pPr>
              <w:pStyle w:val="TableText"/>
              <w:jc w:val="center"/>
            </w:pPr>
            <w:r w:rsidRPr="00E07B1B">
              <w:t>27.1</w:t>
            </w:r>
            <w:r>
              <w:t xml:space="preserve"> </w:t>
            </w:r>
            <w:r w:rsidRPr="00E07B1B">
              <w:t>±</w:t>
            </w:r>
            <w:r>
              <w:t xml:space="preserve"> </w:t>
            </w:r>
            <w:r w:rsidRPr="00E07B1B">
              <w:t>4.7</w:t>
            </w:r>
          </w:p>
          <w:p w:rsidR="00853A74" w:rsidRPr="00E07B1B" w:rsidRDefault="00853A74" w:rsidP="00D2206A">
            <w:pPr>
              <w:pStyle w:val="TableText"/>
              <w:jc w:val="center"/>
            </w:pPr>
            <w:r w:rsidRPr="00E07B1B">
              <w:t>27.7</w:t>
            </w:r>
            <w:r>
              <w:t xml:space="preserve"> </w:t>
            </w:r>
            <w:r w:rsidRPr="00E07B1B">
              <w:t>±</w:t>
            </w:r>
            <w:r>
              <w:t xml:space="preserve"> </w:t>
            </w:r>
            <w:r w:rsidRPr="00E07B1B">
              <w:t>6.7</w:t>
            </w:r>
          </w:p>
        </w:tc>
        <w:tc>
          <w:tcPr>
            <w:tcW w:w="531" w:type="pct"/>
            <w:tcBorders>
              <w:top w:val="nil"/>
              <w:bottom w:val="nil"/>
            </w:tcBorders>
            <w:shd w:val="clear" w:color="auto" w:fill="auto"/>
          </w:tcPr>
          <w:p w:rsidR="00853A74" w:rsidRPr="00E07B1B" w:rsidRDefault="00853A74" w:rsidP="00D2206A">
            <w:pPr>
              <w:pStyle w:val="TableText"/>
              <w:jc w:val="center"/>
            </w:pPr>
            <w:r w:rsidRPr="00E07B1B">
              <w:t>NS</w:t>
            </w:r>
          </w:p>
          <w:p w:rsidR="00853A74" w:rsidRPr="00E07B1B" w:rsidRDefault="00853A74" w:rsidP="00D2206A">
            <w:pPr>
              <w:pStyle w:val="TableText"/>
              <w:jc w:val="center"/>
            </w:pPr>
            <w:r w:rsidRPr="00E07B1B">
              <w:t>NS</w:t>
            </w:r>
          </w:p>
        </w:tc>
        <w:tc>
          <w:tcPr>
            <w:tcW w:w="687" w:type="pct"/>
            <w:tcBorders>
              <w:top w:val="nil"/>
              <w:bottom w:val="nil"/>
            </w:tcBorders>
            <w:shd w:val="clear" w:color="auto" w:fill="auto"/>
          </w:tcPr>
          <w:p w:rsidR="00853A74" w:rsidRPr="00E07B1B" w:rsidRDefault="00853A74" w:rsidP="00D2206A">
            <w:pPr>
              <w:pStyle w:val="TableText"/>
              <w:jc w:val="center"/>
            </w:pPr>
            <w:r w:rsidRPr="00E07B1B">
              <w:t>27.8</w:t>
            </w:r>
            <w:r>
              <w:t xml:space="preserve"> </w:t>
            </w:r>
            <w:r w:rsidRPr="00E07B1B">
              <w:t>±</w:t>
            </w:r>
            <w:r>
              <w:t xml:space="preserve"> </w:t>
            </w:r>
            <w:r w:rsidRPr="00E07B1B">
              <w:t>6.5</w:t>
            </w:r>
          </w:p>
          <w:p w:rsidR="00853A74" w:rsidRPr="00E07B1B" w:rsidRDefault="00853A74" w:rsidP="00D2206A">
            <w:pPr>
              <w:pStyle w:val="TableText"/>
              <w:jc w:val="center"/>
            </w:pPr>
            <w:r w:rsidRPr="00E07B1B">
              <w:t>28.9</w:t>
            </w:r>
            <w:r>
              <w:t xml:space="preserve"> </w:t>
            </w:r>
            <w:r w:rsidRPr="00E07B1B">
              <w:t>±</w:t>
            </w:r>
            <w:r>
              <w:t xml:space="preserve"> </w:t>
            </w:r>
            <w:r w:rsidRPr="00E07B1B">
              <w:t>5.0</w:t>
            </w:r>
          </w:p>
        </w:tc>
        <w:tc>
          <w:tcPr>
            <w:tcW w:w="1076" w:type="pct"/>
            <w:tcBorders>
              <w:top w:val="nil"/>
              <w:bottom w:val="nil"/>
            </w:tcBorders>
            <w:shd w:val="clear" w:color="auto" w:fill="auto"/>
          </w:tcPr>
          <w:p w:rsidR="00853A74" w:rsidRPr="00E07B1B" w:rsidRDefault="00853A74" w:rsidP="00B66529">
            <w:pPr>
              <w:pStyle w:val="TableText"/>
            </w:pPr>
            <w:r w:rsidRPr="00E07B1B">
              <w:t>49%</w:t>
            </w:r>
            <w:r>
              <w:t xml:space="preserve"> </w:t>
            </w:r>
            <w:r w:rsidRPr="00E07B1B">
              <w:t>African American</w:t>
            </w:r>
            <w:r w:rsidR="00B66529">
              <w:br/>
            </w:r>
            <w:r w:rsidRPr="00E07B1B">
              <w:t>44% Native American</w:t>
            </w:r>
            <w:r w:rsidR="00B66529">
              <w:br/>
            </w:r>
            <w:r w:rsidRPr="00E07B1B">
              <w:t>5% Caucasian</w:t>
            </w:r>
          </w:p>
        </w:tc>
      </w:tr>
      <w:tr w:rsidR="00B66529" w:rsidRPr="00E07B1B" w:rsidTr="00D2206A">
        <w:trPr>
          <w:cantSplit/>
        </w:trPr>
        <w:tc>
          <w:tcPr>
            <w:tcW w:w="750" w:type="pct"/>
            <w:tcBorders>
              <w:top w:val="nil"/>
              <w:bottom w:val="nil"/>
            </w:tcBorders>
            <w:shd w:val="clear" w:color="auto" w:fill="F2F2F2" w:themeFill="background1" w:themeFillShade="F2"/>
          </w:tcPr>
          <w:p w:rsidR="00853A74" w:rsidRPr="00E07B1B" w:rsidRDefault="00853A74" w:rsidP="00B66529">
            <w:pPr>
              <w:pStyle w:val="TableText"/>
            </w:pPr>
            <w:r w:rsidRPr="00E07B1B">
              <w:t>Ogunyemi (2007)</w:t>
            </w:r>
          </w:p>
        </w:tc>
        <w:tc>
          <w:tcPr>
            <w:tcW w:w="525" w:type="pct"/>
            <w:tcBorders>
              <w:top w:val="nil"/>
              <w:bottom w:val="nil"/>
            </w:tcBorders>
            <w:shd w:val="clear" w:color="auto" w:fill="F2F2F2" w:themeFill="background1" w:themeFillShade="F2"/>
          </w:tcPr>
          <w:p w:rsidR="00853A74" w:rsidRPr="00E07B1B" w:rsidRDefault="00853A74" w:rsidP="00B66529">
            <w:pPr>
              <w:pStyle w:val="TableText"/>
            </w:pPr>
            <w:r w:rsidRPr="00E07B1B">
              <w:t>USA</w:t>
            </w:r>
          </w:p>
        </w:tc>
        <w:tc>
          <w:tcPr>
            <w:tcW w:w="899" w:type="pct"/>
            <w:tcBorders>
              <w:top w:val="nil"/>
              <w:bottom w:val="nil"/>
            </w:tcBorders>
            <w:shd w:val="clear" w:color="auto" w:fill="F2F2F2" w:themeFill="background1" w:themeFillShade="F2"/>
          </w:tcPr>
          <w:p w:rsidR="00853A74" w:rsidRDefault="00853A74" w:rsidP="00B66529">
            <w:pPr>
              <w:pStyle w:val="TableText"/>
            </w:pPr>
            <w:r w:rsidRPr="00E07B1B">
              <w:t>Glibenclamide (</w:t>
            </w:r>
            <w:r w:rsidRPr="00C42D7A">
              <w:rPr>
                <w:i/>
              </w:rPr>
              <w:t>n</w:t>
            </w:r>
            <w:r>
              <w:rPr>
                <w:i/>
              </w:rPr>
              <w:t> </w:t>
            </w:r>
            <w:r w:rsidRPr="00E07B1B">
              <w:t>=</w:t>
            </w:r>
            <w:r>
              <w:t> </w:t>
            </w:r>
            <w:r w:rsidRPr="00E07B1B">
              <w:t>48)</w:t>
            </w:r>
          </w:p>
          <w:p w:rsidR="00853A74" w:rsidRPr="00E07B1B" w:rsidRDefault="00853A74" w:rsidP="00B66529">
            <w:pPr>
              <w:pStyle w:val="TableText"/>
            </w:pPr>
            <w:r w:rsidRPr="00E07B1B">
              <w:t>Insulin (</w:t>
            </w:r>
            <w:r w:rsidRPr="00C42D7A">
              <w:rPr>
                <w:i/>
              </w:rPr>
              <w:t>n</w:t>
            </w:r>
            <w:r>
              <w:rPr>
                <w:i/>
              </w:rPr>
              <w:t xml:space="preserve"> </w:t>
            </w:r>
            <w:r w:rsidRPr="00E07B1B">
              <w:t>=</w:t>
            </w:r>
            <w:r>
              <w:t xml:space="preserve"> </w:t>
            </w:r>
            <w:r w:rsidRPr="00E07B1B">
              <w:t>49)</w:t>
            </w:r>
          </w:p>
        </w:tc>
        <w:tc>
          <w:tcPr>
            <w:tcW w:w="531" w:type="pct"/>
            <w:tcBorders>
              <w:top w:val="nil"/>
              <w:bottom w:val="nil"/>
            </w:tcBorders>
            <w:shd w:val="clear" w:color="auto" w:fill="F2F2F2" w:themeFill="background1" w:themeFillShade="F2"/>
          </w:tcPr>
          <w:p w:rsidR="00853A74" w:rsidRPr="00E07B1B" w:rsidRDefault="00853A74" w:rsidP="00D2206A">
            <w:pPr>
              <w:pStyle w:val="TableText"/>
              <w:jc w:val="center"/>
            </w:pPr>
            <w:r w:rsidRPr="00E07B1B">
              <w:t>Not reported</w:t>
            </w:r>
          </w:p>
        </w:tc>
        <w:tc>
          <w:tcPr>
            <w:tcW w:w="531" w:type="pct"/>
            <w:tcBorders>
              <w:top w:val="nil"/>
              <w:bottom w:val="nil"/>
            </w:tcBorders>
            <w:shd w:val="clear" w:color="auto" w:fill="F2F2F2" w:themeFill="background1" w:themeFillShade="F2"/>
          </w:tcPr>
          <w:p w:rsidR="00853A74" w:rsidRPr="00E07B1B" w:rsidRDefault="00853A74" w:rsidP="00D2206A">
            <w:pPr>
              <w:pStyle w:val="TableText"/>
              <w:jc w:val="center"/>
            </w:pPr>
            <w:r w:rsidRPr="00E07B1B">
              <w:t>32</w:t>
            </w:r>
            <w:r>
              <w:t xml:space="preserve"> </w:t>
            </w:r>
            <w:r w:rsidRPr="00E07B1B">
              <w:t>±</w:t>
            </w:r>
            <w:r>
              <w:t xml:space="preserve"> </w:t>
            </w:r>
            <w:r w:rsidRPr="00E07B1B">
              <w:t>7.6</w:t>
            </w:r>
          </w:p>
          <w:p w:rsidR="00853A74" w:rsidRPr="00E07B1B" w:rsidRDefault="00853A74" w:rsidP="00D2206A">
            <w:pPr>
              <w:pStyle w:val="TableText"/>
              <w:jc w:val="center"/>
            </w:pPr>
            <w:r w:rsidRPr="00E07B1B">
              <w:t>30.8</w:t>
            </w:r>
            <w:r>
              <w:t xml:space="preserve"> </w:t>
            </w:r>
            <w:r w:rsidRPr="00E07B1B">
              <w:t>±</w:t>
            </w:r>
            <w:r>
              <w:t xml:space="preserve"> </w:t>
            </w:r>
            <w:r w:rsidRPr="00E07B1B">
              <w:t>6.9</w:t>
            </w:r>
          </w:p>
        </w:tc>
        <w:tc>
          <w:tcPr>
            <w:tcW w:w="687" w:type="pct"/>
            <w:tcBorders>
              <w:top w:val="nil"/>
              <w:bottom w:val="nil"/>
            </w:tcBorders>
            <w:shd w:val="clear" w:color="auto" w:fill="F2F2F2" w:themeFill="background1" w:themeFillShade="F2"/>
          </w:tcPr>
          <w:p w:rsidR="00853A74" w:rsidRPr="00E07B1B" w:rsidRDefault="00853A74" w:rsidP="00D2206A">
            <w:pPr>
              <w:pStyle w:val="TableText"/>
              <w:jc w:val="center"/>
            </w:pPr>
            <w:r w:rsidRPr="00E07B1B">
              <w:t>28.1</w:t>
            </w:r>
            <w:r>
              <w:t xml:space="preserve"> </w:t>
            </w:r>
            <w:r w:rsidRPr="00E07B1B">
              <w:t>±</w:t>
            </w:r>
            <w:r>
              <w:t xml:space="preserve"> </w:t>
            </w:r>
            <w:r w:rsidRPr="00E07B1B">
              <w:t>7.6</w:t>
            </w:r>
          </w:p>
          <w:p w:rsidR="00853A74" w:rsidRPr="00E07B1B" w:rsidRDefault="00853A74" w:rsidP="00D2206A">
            <w:pPr>
              <w:pStyle w:val="TableText"/>
              <w:jc w:val="center"/>
            </w:pPr>
            <w:r w:rsidRPr="00E07B1B">
              <w:t>24.6</w:t>
            </w:r>
            <w:r>
              <w:t xml:space="preserve"> </w:t>
            </w:r>
            <w:r w:rsidRPr="00E07B1B">
              <w:t>±</w:t>
            </w:r>
            <w:r>
              <w:t xml:space="preserve"> </w:t>
            </w:r>
            <w:r w:rsidRPr="00E07B1B">
              <w:t>8.0</w:t>
            </w:r>
          </w:p>
        </w:tc>
        <w:tc>
          <w:tcPr>
            <w:tcW w:w="1076" w:type="pct"/>
            <w:tcBorders>
              <w:top w:val="nil"/>
              <w:bottom w:val="nil"/>
            </w:tcBorders>
            <w:shd w:val="clear" w:color="auto" w:fill="F2F2F2" w:themeFill="background1" w:themeFillShade="F2"/>
          </w:tcPr>
          <w:p w:rsidR="00853A74" w:rsidRPr="00E07B1B" w:rsidRDefault="00853A74" w:rsidP="00B66529">
            <w:pPr>
              <w:pStyle w:val="TableText"/>
            </w:pPr>
            <w:r w:rsidRPr="00E07B1B">
              <w:t>80% Hispanic</w:t>
            </w:r>
            <w:r w:rsidR="00B66529">
              <w:br/>
            </w:r>
            <w:r w:rsidRPr="00E07B1B">
              <w:t>15% African American</w:t>
            </w:r>
          </w:p>
        </w:tc>
      </w:tr>
      <w:tr w:rsidR="00B66529" w:rsidRPr="00E07B1B" w:rsidTr="00D2206A">
        <w:trPr>
          <w:cantSplit/>
        </w:trPr>
        <w:tc>
          <w:tcPr>
            <w:tcW w:w="750" w:type="pct"/>
            <w:tcBorders>
              <w:top w:val="nil"/>
              <w:bottom w:val="nil"/>
            </w:tcBorders>
            <w:shd w:val="clear" w:color="auto" w:fill="auto"/>
          </w:tcPr>
          <w:p w:rsidR="00853A74" w:rsidRPr="00E07B1B" w:rsidRDefault="00853A74" w:rsidP="00B66529">
            <w:pPr>
              <w:pStyle w:val="TableText"/>
            </w:pPr>
            <w:r w:rsidRPr="00E07B1B">
              <w:t>Anjalakshi (2006)</w:t>
            </w:r>
          </w:p>
        </w:tc>
        <w:tc>
          <w:tcPr>
            <w:tcW w:w="525" w:type="pct"/>
            <w:tcBorders>
              <w:top w:val="nil"/>
              <w:bottom w:val="nil"/>
            </w:tcBorders>
            <w:shd w:val="clear" w:color="auto" w:fill="auto"/>
          </w:tcPr>
          <w:p w:rsidR="00853A74" w:rsidRPr="00E07B1B" w:rsidRDefault="00853A74" w:rsidP="00B66529">
            <w:pPr>
              <w:pStyle w:val="TableText"/>
            </w:pPr>
            <w:r w:rsidRPr="00E07B1B">
              <w:t>India</w:t>
            </w:r>
          </w:p>
        </w:tc>
        <w:tc>
          <w:tcPr>
            <w:tcW w:w="899" w:type="pct"/>
            <w:tcBorders>
              <w:top w:val="nil"/>
              <w:bottom w:val="nil"/>
            </w:tcBorders>
            <w:shd w:val="clear" w:color="auto" w:fill="auto"/>
          </w:tcPr>
          <w:p w:rsidR="00853A74" w:rsidRDefault="00853A74" w:rsidP="00B66529">
            <w:pPr>
              <w:pStyle w:val="TableText"/>
            </w:pPr>
            <w:r w:rsidRPr="00E07B1B">
              <w:t>Glyburide (</w:t>
            </w:r>
            <w:r w:rsidRPr="00C42D7A">
              <w:rPr>
                <w:i/>
              </w:rPr>
              <w:t>n</w:t>
            </w:r>
            <w:r>
              <w:rPr>
                <w:i/>
              </w:rPr>
              <w:t> </w:t>
            </w:r>
            <w:r w:rsidRPr="00E07B1B">
              <w:t>=</w:t>
            </w:r>
            <w:r>
              <w:t xml:space="preserve"> </w:t>
            </w:r>
            <w:r w:rsidRPr="00E07B1B">
              <w:t>10)</w:t>
            </w:r>
          </w:p>
          <w:p w:rsidR="00853A74" w:rsidRPr="00E07B1B" w:rsidRDefault="00853A74" w:rsidP="00B66529">
            <w:pPr>
              <w:pStyle w:val="TableText"/>
            </w:pPr>
            <w:r w:rsidRPr="00E07B1B">
              <w:t>Insulin (</w:t>
            </w:r>
            <w:r w:rsidRPr="00C42D7A">
              <w:rPr>
                <w:i/>
              </w:rPr>
              <w:t>n</w:t>
            </w:r>
            <w:r>
              <w:rPr>
                <w:i/>
              </w:rPr>
              <w:t xml:space="preserve"> </w:t>
            </w:r>
            <w:r w:rsidRPr="00E07B1B">
              <w:t>=</w:t>
            </w:r>
            <w:r>
              <w:t xml:space="preserve"> </w:t>
            </w:r>
            <w:r w:rsidRPr="00E07B1B">
              <w:t>13)</w:t>
            </w:r>
          </w:p>
        </w:tc>
        <w:tc>
          <w:tcPr>
            <w:tcW w:w="531" w:type="pct"/>
            <w:tcBorders>
              <w:top w:val="nil"/>
              <w:bottom w:val="nil"/>
            </w:tcBorders>
            <w:shd w:val="clear" w:color="auto" w:fill="auto"/>
          </w:tcPr>
          <w:p w:rsidR="00853A74" w:rsidRDefault="00853A74" w:rsidP="00D2206A">
            <w:pPr>
              <w:pStyle w:val="TableText"/>
              <w:jc w:val="center"/>
            </w:pPr>
            <w:r w:rsidRPr="00E07B1B">
              <w:t>24.9</w:t>
            </w:r>
            <w:r>
              <w:t xml:space="preserve"> </w:t>
            </w:r>
            <w:r w:rsidRPr="00E07B1B">
              <w:t>±</w:t>
            </w:r>
            <w:r>
              <w:t xml:space="preserve"> </w:t>
            </w:r>
            <w:r w:rsidRPr="00E07B1B">
              <w:t>3.73</w:t>
            </w:r>
          </w:p>
          <w:p w:rsidR="00853A74" w:rsidRPr="00E07B1B" w:rsidRDefault="00853A74" w:rsidP="00D2206A">
            <w:pPr>
              <w:pStyle w:val="TableText"/>
              <w:jc w:val="center"/>
            </w:pPr>
            <w:r w:rsidRPr="00E07B1B">
              <w:t>27.46</w:t>
            </w:r>
            <w:r>
              <w:t xml:space="preserve"> </w:t>
            </w:r>
            <w:r w:rsidRPr="00E07B1B">
              <w:t>±</w:t>
            </w:r>
            <w:r>
              <w:t xml:space="preserve"> </w:t>
            </w:r>
            <w:r w:rsidRPr="00E07B1B">
              <w:t>5.83</w:t>
            </w:r>
          </w:p>
        </w:tc>
        <w:tc>
          <w:tcPr>
            <w:tcW w:w="531" w:type="pct"/>
            <w:tcBorders>
              <w:top w:val="nil"/>
              <w:bottom w:val="nil"/>
            </w:tcBorders>
            <w:shd w:val="clear" w:color="auto" w:fill="auto"/>
          </w:tcPr>
          <w:p w:rsidR="00853A74" w:rsidRDefault="00853A74" w:rsidP="00D2206A">
            <w:pPr>
              <w:pStyle w:val="TableText"/>
              <w:jc w:val="center"/>
            </w:pPr>
            <w:r w:rsidRPr="00E07B1B">
              <w:t>22.82</w:t>
            </w:r>
            <w:r>
              <w:t xml:space="preserve"> </w:t>
            </w:r>
            <w:r w:rsidRPr="00E07B1B">
              <w:t>±</w:t>
            </w:r>
            <w:r>
              <w:t xml:space="preserve"> </w:t>
            </w:r>
            <w:r w:rsidRPr="00E07B1B">
              <w:t>3.5</w:t>
            </w:r>
          </w:p>
          <w:p w:rsidR="00853A74" w:rsidRPr="00E07B1B" w:rsidRDefault="00853A74" w:rsidP="00D2206A">
            <w:pPr>
              <w:pStyle w:val="TableText"/>
              <w:jc w:val="center"/>
            </w:pPr>
            <w:r w:rsidRPr="00E07B1B">
              <w:t>25.32</w:t>
            </w:r>
            <w:r>
              <w:t xml:space="preserve"> </w:t>
            </w:r>
            <w:r w:rsidRPr="00E07B1B">
              <w:t>±</w:t>
            </w:r>
            <w:r>
              <w:t xml:space="preserve"> </w:t>
            </w:r>
            <w:r w:rsidRPr="00E07B1B">
              <w:t>5.14</w:t>
            </w:r>
          </w:p>
        </w:tc>
        <w:tc>
          <w:tcPr>
            <w:tcW w:w="687" w:type="pct"/>
            <w:tcBorders>
              <w:top w:val="nil"/>
              <w:bottom w:val="nil"/>
            </w:tcBorders>
            <w:shd w:val="clear" w:color="auto" w:fill="auto"/>
          </w:tcPr>
          <w:p w:rsidR="00853A74" w:rsidRDefault="00853A74" w:rsidP="00D2206A">
            <w:pPr>
              <w:pStyle w:val="TableText"/>
              <w:jc w:val="center"/>
            </w:pPr>
            <w:r w:rsidRPr="00E07B1B">
              <w:t>22.5</w:t>
            </w:r>
            <w:r>
              <w:t xml:space="preserve"> </w:t>
            </w:r>
            <w:r w:rsidRPr="00E07B1B">
              <w:t>±</w:t>
            </w:r>
            <w:r>
              <w:t xml:space="preserve"> </w:t>
            </w:r>
            <w:r w:rsidRPr="00E07B1B">
              <w:t>4.72</w:t>
            </w:r>
          </w:p>
          <w:p w:rsidR="00853A74" w:rsidRPr="00E07B1B" w:rsidRDefault="00853A74" w:rsidP="00D2206A">
            <w:pPr>
              <w:pStyle w:val="TableText"/>
              <w:jc w:val="center"/>
            </w:pPr>
            <w:r w:rsidRPr="00E07B1B">
              <w:t>22.62</w:t>
            </w:r>
            <w:r>
              <w:t xml:space="preserve"> </w:t>
            </w:r>
            <w:r w:rsidRPr="00E07B1B">
              <w:t>±</w:t>
            </w:r>
            <w:r>
              <w:t xml:space="preserve"> </w:t>
            </w:r>
            <w:r w:rsidRPr="00E07B1B">
              <w:t>5.62</w:t>
            </w:r>
          </w:p>
        </w:tc>
        <w:tc>
          <w:tcPr>
            <w:tcW w:w="1076" w:type="pct"/>
            <w:tcBorders>
              <w:top w:val="nil"/>
              <w:bottom w:val="nil"/>
            </w:tcBorders>
            <w:shd w:val="clear" w:color="auto" w:fill="auto"/>
          </w:tcPr>
          <w:p w:rsidR="00853A74" w:rsidRPr="00E07B1B" w:rsidRDefault="00853A74" w:rsidP="00B66529">
            <w:pPr>
              <w:pStyle w:val="TableText"/>
            </w:pPr>
            <w:r w:rsidRPr="00E07B1B">
              <w:t>Not stated</w:t>
            </w:r>
          </w:p>
        </w:tc>
      </w:tr>
      <w:tr w:rsidR="00B66529" w:rsidRPr="00E07B1B" w:rsidTr="00D2206A">
        <w:trPr>
          <w:cantSplit/>
        </w:trPr>
        <w:tc>
          <w:tcPr>
            <w:tcW w:w="750" w:type="pct"/>
            <w:tcBorders>
              <w:top w:val="nil"/>
              <w:bottom w:val="nil"/>
            </w:tcBorders>
            <w:shd w:val="clear" w:color="auto" w:fill="F2F2F2" w:themeFill="background1" w:themeFillShade="F2"/>
          </w:tcPr>
          <w:p w:rsidR="00853A74" w:rsidRPr="00E07B1B" w:rsidRDefault="00853A74" w:rsidP="00B66529">
            <w:pPr>
              <w:pStyle w:val="TableText"/>
            </w:pPr>
            <w:r w:rsidRPr="00E07B1B">
              <w:t>Bertini (2005)</w:t>
            </w:r>
          </w:p>
        </w:tc>
        <w:tc>
          <w:tcPr>
            <w:tcW w:w="525" w:type="pct"/>
            <w:tcBorders>
              <w:top w:val="nil"/>
              <w:bottom w:val="nil"/>
            </w:tcBorders>
            <w:shd w:val="clear" w:color="auto" w:fill="F2F2F2" w:themeFill="background1" w:themeFillShade="F2"/>
          </w:tcPr>
          <w:p w:rsidR="00853A74" w:rsidRPr="00E07B1B" w:rsidRDefault="00853A74" w:rsidP="00B66529">
            <w:pPr>
              <w:pStyle w:val="TableText"/>
            </w:pPr>
            <w:r w:rsidRPr="00E07B1B">
              <w:t>Brazil</w:t>
            </w:r>
          </w:p>
        </w:tc>
        <w:tc>
          <w:tcPr>
            <w:tcW w:w="899" w:type="pct"/>
            <w:tcBorders>
              <w:top w:val="nil"/>
              <w:bottom w:val="nil"/>
            </w:tcBorders>
            <w:shd w:val="clear" w:color="auto" w:fill="F2F2F2" w:themeFill="background1" w:themeFillShade="F2"/>
          </w:tcPr>
          <w:p w:rsidR="00853A74" w:rsidRDefault="00853A74" w:rsidP="00B66529">
            <w:pPr>
              <w:pStyle w:val="TableText"/>
            </w:pPr>
            <w:r w:rsidRPr="00E07B1B">
              <w:t>Insulin (</w:t>
            </w:r>
            <w:r w:rsidRPr="00C42D7A">
              <w:rPr>
                <w:i/>
              </w:rPr>
              <w:t>n</w:t>
            </w:r>
            <w:r>
              <w:rPr>
                <w:i/>
              </w:rPr>
              <w:t xml:space="preserve"> </w:t>
            </w:r>
            <w:r w:rsidRPr="00E07B1B">
              <w:t>=</w:t>
            </w:r>
            <w:r>
              <w:t xml:space="preserve"> </w:t>
            </w:r>
            <w:r w:rsidRPr="00E07B1B">
              <w:t>27)</w:t>
            </w:r>
          </w:p>
          <w:p w:rsidR="00853A74" w:rsidRDefault="00853A74" w:rsidP="00B66529">
            <w:pPr>
              <w:pStyle w:val="TableText"/>
            </w:pPr>
            <w:r w:rsidRPr="00E07B1B">
              <w:t>Glyburide (</w:t>
            </w:r>
            <w:r w:rsidRPr="00C42D7A">
              <w:rPr>
                <w:i/>
              </w:rPr>
              <w:t>n</w:t>
            </w:r>
            <w:r>
              <w:rPr>
                <w:i/>
              </w:rPr>
              <w:t> </w:t>
            </w:r>
            <w:r w:rsidRPr="00E07B1B">
              <w:t>=</w:t>
            </w:r>
            <w:r>
              <w:t> </w:t>
            </w:r>
            <w:r w:rsidRPr="00E07B1B">
              <w:t>24)</w:t>
            </w:r>
          </w:p>
          <w:p w:rsidR="00853A74" w:rsidRPr="00E07B1B" w:rsidRDefault="00853A74" w:rsidP="00B66529">
            <w:pPr>
              <w:pStyle w:val="TableText"/>
            </w:pPr>
            <w:r w:rsidRPr="00E07B1B">
              <w:t>Acarbose (</w:t>
            </w:r>
            <w:r w:rsidRPr="00C42D7A">
              <w:rPr>
                <w:i/>
              </w:rPr>
              <w:t>n</w:t>
            </w:r>
            <w:r>
              <w:rPr>
                <w:i/>
              </w:rPr>
              <w:t xml:space="preserve"> </w:t>
            </w:r>
            <w:r w:rsidRPr="00E07B1B">
              <w:t>=</w:t>
            </w:r>
            <w:r>
              <w:t xml:space="preserve"> </w:t>
            </w:r>
            <w:r w:rsidRPr="00E07B1B">
              <w:t>19)</w:t>
            </w:r>
          </w:p>
        </w:tc>
        <w:tc>
          <w:tcPr>
            <w:tcW w:w="531" w:type="pct"/>
            <w:tcBorders>
              <w:top w:val="nil"/>
              <w:bottom w:val="nil"/>
            </w:tcBorders>
            <w:shd w:val="clear" w:color="auto" w:fill="F2F2F2" w:themeFill="background1" w:themeFillShade="F2"/>
          </w:tcPr>
          <w:p w:rsidR="00853A74" w:rsidRDefault="00853A74" w:rsidP="00D2206A">
            <w:pPr>
              <w:pStyle w:val="TableText"/>
              <w:jc w:val="center"/>
            </w:pPr>
            <w:r w:rsidRPr="00E07B1B">
              <w:t>28.7</w:t>
            </w:r>
            <w:r>
              <w:t xml:space="preserve"> </w:t>
            </w:r>
            <w:r w:rsidRPr="00E07B1B">
              <w:t>±</w:t>
            </w:r>
            <w:r>
              <w:t xml:space="preserve"> </w:t>
            </w:r>
            <w:r w:rsidRPr="00E07B1B">
              <w:t>6</w:t>
            </w:r>
          </w:p>
          <w:p w:rsidR="00853A74" w:rsidRDefault="00853A74" w:rsidP="00D2206A">
            <w:pPr>
              <w:pStyle w:val="TableText"/>
              <w:jc w:val="center"/>
            </w:pPr>
            <w:r w:rsidRPr="00E07B1B">
              <w:t>31.2</w:t>
            </w:r>
            <w:r>
              <w:t xml:space="preserve"> </w:t>
            </w:r>
            <w:r w:rsidRPr="00E07B1B">
              <w:t>±</w:t>
            </w:r>
            <w:r>
              <w:t xml:space="preserve"> </w:t>
            </w:r>
            <w:r w:rsidRPr="00E07B1B">
              <w:t>4.5</w:t>
            </w:r>
          </w:p>
          <w:p w:rsidR="00853A74" w:rsidRPr="00E07B1B" w:rsidRDefault="00853A74" w:rsidP="00D2206A">
            <w:pPr>
              <w:pStyle w:val="TableText"/>
              <w:jc w:val="center"/>
            </w:pPr>
            <w:r w:rsidRPr="00E07B1B">
              <w:t>31.5</w:t>
            </w:r>
            <w:r>
              <w:t xml:space="preserve"> </w:t>
            </w:r>
            <w:r w:rsidRPr="00E07B1B">
              <w:t>±</w:t>
            </w:r>
            <w:r>
              <w:t xml:space="preserve"> </w:t>
            </w:r>
            <w:r w:rsidRPr="00E07B1B">
              <w:t>5.8</w:t>
            </w:r>
          </w:p>
        </w:tc>
        <w:tc>
          <w:tcPr>
            <w:tcW w:w="531" w:type="pct"/>
            <w:tcBorders>
              <w:top w:val="nil"/>
              <w:bottom w:val="nil"/>
            </w:tcBorders>
            <w:shd w:val="clear" w:color="auto" w:fill="F2F2F2" w:themeFill="background1" w:themeFillShade="F2"/>
          </w:tcPr>
          <w:p w:rsidR="00853A74" w:rsidRDefault="00853A74" w:rsidP="00D2206A">
            <w:pPr>
              <w:pStyle w:val="TableText"/>
              <w:jc w:val="center"/>
            </w:pPr>
            <w:r w:rsidRPr="00E07B1B">
              <w:t>27</w:t>
            </w:r>
            <w:r>
              <w:t xml:space="preserve"> </w:t>
            </w:r>
            <w:r w:rsidRPr="00E07B1B">
              <w:t>±</w:t>
            </w:r>
            <w:r>
              <w:t xml:space="preserve"> </w:t>
            </w:r>
            <w:r w:rsidRPr="00E07B1B">
              <w:t>7.2</w:t>
            </w:r>
          </w:p>
          <w:p w:rsidR="00853A74" w:rsidRDefault="00853A74" w:rsidP="00D2206A">
            <w:pPr>
              <w:pStyle w:val="TableText"/>
              <w:jc w:val="center"/>
            </w:pPr>
            <w:r w:rsidRPr="00E07B1B">
              <w:t>27.5</w:t>
            </w:r>
            <w:r>
              <w:t xml:space="preserve"> </w:t>
            </w:r>
            <w:r w:rsidRPr="00E07B1B">
              <w:t>±</w:t>
            </w:r>
            <w:r>
              <w:t xml:space="preserve"> </w:t>
            </w:r>
            <w:r w:rsidRPr="00E07B1B">
              <w:t>5.8</w:t>
            </w:r>
          </w:p>
          <w:p w:rsidR="00853A74" w:rsidRPr="00E07B1B" w:rsidRDefault="00853A74" w:rsidP="00D2206A">
            <w:pPr>
              <w:pStyle w:val="TableText"/>
              <w:jc w:val="center"/>
            </w:pPr>
            <w:r w:rsidRPr="00E07B1B">
              <w:t>25.7</w:t>
            </w:r>
            <w:r>
              <w:t xml:space="preserve"> </w:t>
            </w:r>
            <w:r w:rsidRPr="00E07B1B">
              <w:t>±</w:t>
            </w:r>
            <w:r>
              <w:t xml:space="preserve"> </w:t>
            </w:r>
            <w:r w:rsidRPr="00E07B1B">
              <w:t>4.2</w:t>
            </w:r>
          </w:p>
        </w:tc>
        <w:tc>
          <w:tcPr>
            <w:tcW w:w="687" w:type="pct"/>
            <w:tcBorders>
              <w:top w:val="nil"/>
              <w:bottom w:val="nil"/>
            </w:tcBorders>
            <w:shd w:val="clear" w:color="auto" w:fill="F2F2F2" w:themeFill="background1" w:themeFillShade="F2"/>
          </w:tcPr>
          <w:p w:rsidR="00853A74" w:rsidRPr="00E07B1B" w:rsidRDefault="00853A74" w:rsidP="00D2206A">
            <w:pPr>
              <w:pStyle w:val="TableText"/>
              <w:jc w:val="center"/>
            </w:pPr>
            <w:r w:rsidRPr="00E07B1B">
              <w:t>11</w:t>
            </w:r>
            <w:r>
              <w:t>–</w:t>
            </w:r>
            <w:r w:rsidRPr="00E07B1B">
              <w:t>33 weeks</w:t>
            </w:r>
          </w:p>
        </w:tc>
        <w:tc>
          <w:tcPr>
            <w:tcW w:w="1076" w:type="pct"/>
            <w:tcBorders>
              <w:top w:val="nil"/>
              <w:bottom w:val="nil"/>
            </w:tcBorders>
            <w:shd w:val="clear" w:color="auto" w:fill="F2F2F2" w:themeFill="background1" w:themeFillShade="F2"/>
          </w:tcPr>
          <w:p w:rsidR="00853A74" w:rsidRPr="00E07B1B" w:rsidRDefault="00853A74" w:rsidP="00B66529">
            <w:pPr>
              <w:pStyle w:val="TableText"/>
            </w:pPr>
            <w:r w:rsidRPr="00E07B1B">
              <w:t>Not stated</w:t>
            </w:r>
          </w:p>
        </w:tc>
      </w:tr>
      <w:tr w:rsidR="00B66529" w:rsidRPr="00E07B1B" w:rsidTr="00D2206A">
        <w:trPr>
          <w:cantSplit/>
        </w:trPr>
        <w:tc>
          <w:tcPr>
            <w:tcW w:w="750" w:type="pct"/>
            <w:tcBorders>
              <w:top w:val="nil"/>
              <w:bottom w:val="nil"/>
            </w:tcBorders>
            <w:shd w:val="clear" w:color="auto" w:fill="auto"/>
          </w:tcPr>
          <w:p w:rsidR="00853A74" w:rsidRPr="00E07B1B" w:rsidRDefault="00853A74" w:rsidP="00B66529">
            <w:pPr>
              <w:pStyle w:val="TableText"/>
            </w:pPr>
            <w:r w:rsidRPr="00E07B1B">
              <w:t>Hague (2003)</w:t>
            </w:r>
          </w:p>
        </w:tc>
        <w:tc>
          <w:tcPr>
            <w:tcW w:w="525" w:type="pct"/>
            <w:tcBorders>
              <w:top w:val="nil"/>
              <w:bottom w:val="nil"/>
            </w:tcBorders>
            <w:shd w:val="clear" w:color="auto" w:fill="auto"/>
          </w:tcPr>
          <w:p w:rsidR="00853A74" w:rsidRPr="00E07B1B" w:rsidRDefault="00853A74" w:rsidP="00B66529">
            <w:pPr>
              <w:pStyle w:val="TableText"/>
            </w:pPr>
            <w:r w:rsidRPr="00E07B1B">
              <w:t>Australia</w:t>
            </w:r>
          </w:p>
        </w:tc>
        <w:tc>
          <w:tcPr>
            <w:tcW w:w="899" w:type="pct"/>
            <w:tcBorders>
              <w:top w:val="nil"/>
              <w:bottom w:val="nil"/>
            </w:tcBorders>
            <w:shd w:val="clear" w:color="auto" w:fill="auto"/>
          </w:tcPr>
          <w:p w:rsidR="00853A74" w:rsidRDefault="00853A74" w:rsidP="00B66529">
            <w:pPr>
              <w:pStyle w:val="TableText"/>
            </w:pPr>
            <w:r w:rsidRPr="00E07B1B">
              <w:t>Metformin</w:t>
            </w:r>
          </w:p>
          <w:p w:rsidR="00853A74" w:rsidRPr="00E07B1B" w:rsidRDefault="00853A74" w:rsidP="00B66529">
            <w:pPr>
              <w:pStyle w:val="TableText"/>
            </w:pPr>
            <w:r w:rsidRPr="00E07B1B">
              <w:t>Insulin</w:t>
            </w:r>
          </w:p>
        </w:tc>
        <w:tc>
          <w:tcPr>
            <w:tcW w:w="531" w:type="pct"/>
            <w:tcBorders>
              <w:top w:val="nil"/>
              <w:bottom w:val="nil"/>
            </w:tcBorders>
            <w:shd w:val="clear" w:color="auto" w:fill="auto"/>
          </w:tcPr>
          <w:p w:rsidR="00853A74" w:rsidRDefault="00853A74" w:rsidP="00D2206A">
            <w:pPr>
              <w:pStyle w:val="TableText"/>
              <w:jc w:val="center"/>
            </w:pPr>
            <w:r w:rsidRPr="00E07B1B">
              <w:t>33.7</w:t>
            </w:r>
            <w:r>
              <w:t xml:space="preserve"> </w:t>
            </w:r>
            <w:r w:rsidRPr="00E07B1B">
              <w:t>±</w:t>
            </w:r>
            <w:r>
              <w:t xml:space="preserve"> </w:t>
            </w:r>
            <w:r w:rsidRPr="00E07B1B">
              <w:t>4.4</w:t>
            </w:r>
          </w:p>
          <w:p w:rsidR="00853A74" w:rsidRPr="00E07B1B" w:rsidRDefault="00853A74" w:rsidP="00D2206A">
            <w:pPr>
              <w:pStyle w:val="TableText"/>
              <w:jc w:val="center"/>
            </w:pPr>
            <w:r w:rsidRPr="00E07B1B">
              <w:t>34.1</w:t>
            </w:r>
            <w:r>
              <w:t xml:space="preserve"> </w:t>
            </w:r>
            <w:r w:rsidRPr="00E07B1B">
              <w:t>±</w:t>
            </w:r>
            <w:r>
              <w:t xml:space="preserve"> </w:t>
            </w:r>
            <w:r w:rsidRPr="00E07B1B">
              <w:t>3.7</w:t>
            </w:r>
          </w:p>
        </w:tc>
        <w:tc>
          <w:tcPr>
            <w:tcW w:w="531" w:type="pct"/>
            <w:tcBorders>
              <w:top w:val="nil"/>
              <w:bottom w:val="nil"/>
            </w:tcBorders>
            <w:shd w:val="clear" w:color="auto" w:fill="auto"/>
          </w:tcPr>
          <w:p w:rsidR="00853A74" w:rsidRDefault="00853A74" w:rsidP="00D2206A">
            <w:pPr>
              <w:pStyle w:val="TableText"/>
              <w:jc w:val="center"/>
            </w:pPr>
            <w:r w:rsidRPr="00E07B1B">
              <w:t>39.5</w:t>
            </w:r>
            <w:r>
              <w:t xml:space="preserve"> </w:t>
            </w:r>
            <w:r w:rsidRPr="00E07B1B">
              <w:t>±</w:t>
            </w:r>
            <w:r>
              <w:t xml:space="preserve"> </w:t>
            </w:r>
            <w:r w:rsidRPr="00E07B1B">
              <w:t>6.9</w:t>
            </w:r>
          </w:p>
          <w:p w:rsidR="00853A74" w:rsidRPr="00E07B1B" w:rsidRDefault="00853A74" w:rsidP="00D2206A">
            <w:pPr>
              <w:pStyle w:val="TableText"/>
              <w:jc w:val="center"/>
            </w:pPr>
            <w:r w:rsidRPr="00E07B1B">
              <w:t>37.9</w:t>
            </w:r>
            <w:r>
              <w:t xml:space="preserve"> </w:t>
            </w:r>
            <w:r w:rsidRPr="00E07B1B">
              <w:t>±</w:t>
            </w:r>
            <w:r>
              <w:t xml:space="preserve"> </w:t>
            </w:r>
            <w:r w:rsidRPr="00E07B1B">
              <w:t>6.9</w:t>
            </w:r>
          </w:p>
        </w:tc>
        <w:tc>
          <w:tcPr>
            <w:tcW w:w="687" w:type="pct"/>
            <w:tcBorders>
              <w:top w:val="nil"/>
              <w:bottom w:val="nil"/>
            </w:tcBorders>
            <w:shd w:val="clear" w:color="auto" w:fill="auto"/>
          </w:tcPr>
          <w:p w:rsidR="00853A74" w:rsidRDefault="00853A74" w:rsidP="00D2206A">
            <w:pPr>
              <w:pStyle w:val="TableText"/>
              <w:jc w:val="center"/>
            </w:pPr>
            <w:r w:rsidRPr="00E07B1B">
              <w:t>29.8</w:t>
            </w:r>
            <w:r>
              <w:t xml:space="preserve"> </w:t>
            </w:r>
            <w:r w:rsidRPr="00E07B1B">
              <w:t>±</w:t>
            </w:r>
            <w:r>
              <w:t xml:space="preserve"> </w:t>
            </w:r>
            <w:r w:rsidRPr="00E07B1B">
              <w:t>4.5</w:t>
            </w:r>
          </w:p>
          <w:p w:rsidR="00853A74" w:rsidRPr="00E07B1B" w:rsidRDefault="00853A74" w:rsidP="00D2206A">
            <w:pPr>
              <w:pStyle w:val="TableText"/>
              <w:jc w:val="center"/>
            </w:pPr>
            <w:r w:rsidRPr="00E07B1B">
              <w:t>30.4</w:t>
            </w:r>
            <w:r>
              <w:t xml:space="preserve"> </w:t>
            </w:r>
            <w:r w:rsidRPr="00E07B1B">
              <w:t>±</w:t>
            </w:r>
            <w:r>
              <w:t xml:space="preserve"> </w:t>
            </w:r>
            <w:r w:rsidRPr="00E07B1B">
              <w:t>4.7</w:t>
            </w:r>
          </w:p>
        </w:tc>
        <w:tc>
          <w:tcPr>
            <w:tcW w:w="1076" w:type="pct"/>
            <w:tcBorders>
              <w:top w:val="nil"/>
              <w:bottom w:val="nil"/>
            </w:tcBorders>
            <w:shd w:val="clear" w:color="auto" w:fill="auto"/>
          </w:tcPr>
          <w:p w:rsidR="00853A74" w:rsidRPr="00E07B1B" w:rsidRDefault="00853A74" w:rsidP="00B66529">
            <w:pPr>
              <w:pStyle w:val="TableText"/>
            </w:pPr>
            <w:r w:rsidRPr="00E07B1B">
              <w:t>NS</w:t>
            </w:r>
          </w:p>
        </w:tc>
      </w:tr>
      <w:tr w:rsidR="00B66529" w:rsidRPr="00E07B1B" w:rsidTr="00D2206A">
        <w:trPr>
          <w:cantSplit/>
        </w:trPr>
        <w:tc>
          <w:tcPr>
            <w:tcW w:w="750" w:type="pct"/>
            <w:tcBorders>
              <w:top w:val="nil"/>
              <w:bottom w:val="single" w:sz="4" w:space="0" w:color="auto"/>
            </w:tcBorders>
            <w:shd w:val="clear" w:color="auto" w:fill="F2F2F2" w:themeFill="background1" w:themeFillShade="F2"/>
          </w:tcPr>
          <w:p w:rsidR="00853A74" w:rsidRPr="00E07B1B" w:rsidRDefault="00853A74" w:rsidP="00B66529">
            <w:pPr>
              <w:pStyle w:val="TableText"/>
            </w:pPr>
            <w:r w:rsidRPr="00E07B1B">
              <w:t>Langer (2000)</w:t>
            </w:r>
          </w:p>
        </w:tc>
        <w:tc>
          <w:tcPr>
            <w:tcW w:w="525" w:type="pct"/>
            <w:tcBorders>
              <w:top w:val="nil"/>
              <w:bottom w:val="single" w:sz="4" w:space="0" w:color="auto"/>
            </w:tcBorders>
            <w:shd w:val="clear" w:color="auto" w:fill="F2F2F2" w:themeFill="background1" w:themeFillShade="F2"/>
          </w:tcPr>
          <w:p w:rsidR="00853A74" w:rsidRPr="00E07B1B" w:rsidRDefault="00853A74" w:rsidP="00B66529">
            <w:pPr>
              <w:pStyle w:val="TableText"/>
            </w:pPr>
            <w:r w:rsidRPr="00E07B1B">
              <w:t>USA</w:t>
            </w:r>
          </w:p>
        </w:tc>
        <w:tc>
          <w:tcPr>
            <w:tcW w:w="899" w:type="pct"/>
            <w:tcBorders>
              <w:top w:val="nil"/>
              <w:bottom w:val="single" w:sz="4" w:space="0" w:color="auto"/>
            </w:tcBorders>
            <w:shd w:val="clear" w:color="auto" w:fill="F2F2F2" w:themeFill="background1" w:themeFillShade="F2"/>
          </w:tcPr>
          <w:p w:rsidR="00853A74" w:rsidRDefault="00853A74" w:rsidP="00B66529">
            <w:pPr>
              <w:pStyle w:val="TableText"/>
            </w:pPr>
            <w:r w:rsidRPr="00E07B1B">
              <w:t>Glyburide (</w:t>
            </w:r>
            <w:r w:rsidRPr="00C42D7A">
              <w:rPr>
                <w:i/>
              </w:rPr>
              <w:t>n</w:t>
            </w:r>
            <w:r>
              <w:rPr>
                <w:i/>
              </w:rPr>
              <w:t> </w:t>
            </w:r>
            <w:r w:rsidRPr="00E07B1B">
              <w:t>=</w:t>
            </w:r>
            <w:r>
              <w:t> </w:t>
            </w:r>
            <w:r w:rsidRPr="00E07B1B">
              <w:t>201)</w:t>
            </w:r>
          </w:p>
          <w:p w:rsidR="00853A74" w:rsidRPr="00E07B1B" w:rsidRDefault="00853A74" w:rsidP="00B66529">
            <w:pPr>
              <w:pStyle w:val="TableText"/>
            </w:pPr>
            <w:r w:rsidRPr="00E07B1B">
              <w:t>Insulin (</w:t>
            </w:r>
            <w:r w:rsidRPr="00C42D7A">
              <w:rPr>
                <w:i/>
              </w:rPr>
              <w:t>n</w:t>
            </w:r>
            <w:r>
              <w:rPr>
                <w:i/>
              </w:rPr>
              <w:t xml:space="preserve"> </w:t>
            </w:r>
            <w:r w:rsidRPr="00E07B1B">
              <w:t>=</w:t>
            </w:r>
            <w:r>
              <w:t xml:space="preserve"> </w:t>
            </w:r>
            <w:r w:rsidRPr="00E07B1B">
              <w:t>208)</w:t>
            </w:r>
          </w:p>
        </w:tc>
        <w:tc>
          <w:tcPr>
            <w:tcW w:w="531" w:type="pct"/>
            <w:tcBorders>
              <w:top w:val="nil"/>
              <w:bottom w:val="single" w:sz="4" w:space="0" w:color="auto"/>
            </w:tcBorders>
            <w:shd w:val="clear" w:color="auto" w:fill="F2F2F2" w:themeFill="background1" w:themeFillShade="F2"/>
          </w:tcPr>
          <w:p w:rsidR="00853A74" w:rsidRDefault="00853A74" w:rsidP="00D2206A">
            <w:pPr>
              <w:pStyle w:val="TableText"/>
              <w:jc w:val="center"/>
            </w:pPr>
            <w:r w:rsidRPr="00E07B1B">
              <w:t>29</w:t>
            </w:r>
            <w:r>
              <w:t xml:space="preserve"> </w:t>
            </w:r>
            <w:r w:rsidRPr="00E07B1B">
              <w:t>±</w:t>
            </w:r>
            <w:r>
              <w:t xml:space="preserve"> </w:t>
            </w:r>
            <w:r w:rsidRPr="00E07B1B">
              <w:t>7</w:t>
            </w:r>
          </w:p>
          <w:p w:rsidR="00853A74" w:rsidRPr="00E07B1B" w:rsidRDefault="00853A74" w:rsidP="00D2206A">
            <w:pPr>
              <w:pStyle w:val="TableText"/>
              <w:jc w:val="center"/>
            </w:pPr>
            <w:r w:rsidRPr="00E07B1B">
              <w:t>30</w:t>
            </w:r>
            <w:r>
              <w:t xml:space="preserve"> </w:t>
            </w:r>
            <w:r w:rsidRPr="00E07B1B">
              <w:t>±</w:t>
            </w:r>
            <w:r>
              <w:t xml:space="preserve"> </w:t>
            </w:r>
            <w:r w:rsidRPr="00E07B1B">
              <w:t>6</w:t>
            </w:r>
          </w:p>
        </w:tc>
        <w:tc>
          <w:tcPr>
            <w:tcW w:w="531" w:type="pct"/>
            <w:tcBorders>
              <w:top w:val="nil"/>
              <w:bottom w:val="single" w:sz="4" w:space="0" w:color="auto"/>
            </w:tcBorders>
            <w:shd w:val="clear" w:color="auto" w:fill="F2F2F2" w:themeFill="background1" w:themeFillShade="F2"/>
          </w:tcPr>
          <w:p w:rsidR="00853A74" w:rsidRPr="00E07B1B" w:rsidRDefault="00853A74" w:rsidP="00D2206A">
            <w:pPr>
              <w:pStyle w:val="TableText"/>
              <w:jc w:val="center"/>
            </w:pPr>
            <w:r w:rsidRPr="00E07B1B">
              <w:t>Not reported</w:t>
            </w:r>
          </w:p>
        </w:tc>
        <w:tc>
          <w:tcPr>
            <w:tcW w:w="687" w:type="pct"/>
            <w:tcBorders>
              <w:top w:val="nil"/>
              <w:bottom w:val="single" w:sz="4" w:space="0" w:color="auto"/>
            </w:tcBorders>
            <w:shd w:val="clear" w:color="auto" w:fill="F2F2F2" w:themeFill="background1" w:themeFillShade="F2"/>
          </w:tcPr>
          <w:p w:rsidR="00853A74" w:rsidRPr="00E07B1B" w:rsidRDefault="00853A74" w:rsidP="00D2206A">
            <w:pPr>
              <w:pStyle w:val="TableText"/>
              <w:jc w:val="center"/>
            </w:pPr>
            <w:r w:rsidRPr="00E07B1B">
              <w:t>24</w:t>
            </w:r>
            <w:r>
              <w:t xml:space="preserve"> </w:t>
            </w:r>
            <w:r w:rsidRPr="00E07B1B">
              <w:t>±</w:t>
            </w:r>
            <w:r>
              <w:t xml:space="preserve"> </w:t>
            </w:r>
            <w:r w:rsidRPr="00E07B1B">
              <w:t>7</w:t>
            </w:r>
          </w:p>
          <w:p w:rsidR="00853A74" w:rsidRPr="00E07B1B" w:rsidRDefault="00853A74" w:rsidP="00D2206A">
            <w:pPr>
              <w:pStyle w:val="TableText"/>
              <w:jc w:val="center"/>
            </w:pPr>
            <w:r w:rsidRPr="00E07B1B">
              <w:t>25</w:t>
            </w:r>
            <w:r>
              <w:t xml:space="preserve"> </w:t>
            </w:r>
            <w:r w:rsidRPr="00E07B1B">
              <w:t>±</w:t>
            </w:r>
            <w:r>
              <w:t xml:space="preserve"> </w:t>
            </w:r>
            <w:r w:rsidRPr="00E07B1B">
              <w:t>7</w:t>
            </w:r>
          </w:p>
        </w:tc>
        <w:tc>
          <w:tcPr>
            <w:tcW w:w="1076" w:type="pct"/>
            <w:tcBorders>
              <w:top w:val="nil"/>
              <w:bottom w:val="single" w:sz="4" w:space="0" w:color="auto"/>
            </w:tcBorders>
            <w:shd w:val="clear" w:color="auto" w:fill="F2F2F2" w:themeFill="background1" w:themeFillShade="F2"/>
          </w:tcPr>
          <w:p w:rsidR="00853A74" w:rsidRPr="00E07B1B" w:rsidRDefault="00853A74" w:rsidP="00B66529">
            <w:pPr>
              <w:pStyle w:val="TableText"/>
            </w:pPr>
            <w:r w:rsidRPr="00E07B1B">
              <w:t>Hispanic 83%</w:t>
            </w:r>
            <w:r w:rsidR="00B66529">
              <w:br/>
            </w:r>
            <w:r>
              <w:t>N</w:t>
            </w:r>
            <w:r w:rsidRPr="00E07B1B">
              <w:t>on</w:t>
            </w:r>
            <w:r>
              <w:t>-</w:t>
            </w:r>
            <w:r w:rsidRPr="00E07B1B">
              <w:t xml:space="preserve">Hispanic </w:t>
            </w:r>
            <w:r>
              <w:t>W</w:t>
            </w:r>
            <w:r w:rsidRPr="00E07B1B">
              <w:t>hite 12%</w:t>
            </w:r>
            <w:r w:rsidR="00B66529">
              <w:br/>
            </w:r>
            <w:r w:rsidRPr="00E07B1B">
              <w:t>Black 5%</w:t>
            </w:r>
          </w:p>
        </w:tc>
      </w:tr>
    </w:tbl>
    <w:p w:rsidR="00853A74" w:rsidRPr="00C42D7A" w:rsidRDefault="00853A74" w:rsidP="00B66529">
      <w:pPr>
        <w:pStyle w:val="Note"/>
      </w:pPr>
      <w:r>
        <w:t>Note: BMI = body mass index</w:t>
      </w:r>
      <w:r w:rsidR="00B66529">
        <w:t>.</w:t>
      </w:r>
    </w:p>
    <w:p w:rsidR="00853A74" w:rsidRDefault="00853A74" w:rsidP="00B66529">
      <w:pPr>
        <w:pStyle w:val="Source"/>
      </w:pPr>
      <w:r w:rsidRPr="00C22BD5">
        <w:t xml:space="preserve">Source: Alwan </w:t>
      </w:r>
      <w:r>
        <w:t>et al (</w:t>
      </w:r>
      <w:r w:rsidRPr="00C22BD5">
        <w:t>2009)</w:t>
      </w:r>
    </w:p>
    <w:p w:rsidR="00B66529" w:rsidRPr="00B66529" w:rsidRDefault="00B66529" w:rsidP="00B66529"/>
    <w:p w:rsidR="00853A74" w:rsidRDefault="00853A74" w:rsidP="00B66529">
      <w:pPr>
        <w:pStyle w:val="Figure"/>
      </w:pPr>
      <w:bookmarkStart w:id="555" w:name="_Toc363717834"/>
      <w:bookmarkStart w:id="556" w:name="_Toc403636059"/>
      <w:r w:rsidRPr="00E07B1B">
        <w:t>Figure 1</w:t>
      </w:r>
      <w:r w:rsidR="009E3907">
        <w:t>6</w:t>
      </w:r>
      <w:r w:rsidR="00B66529">
        <w:t>:</w:t>
      </w:r>
      <w:r w:rsidRPr="00E07B1B">
        <w:t xml:space="preserve"> Gestational age at delivery &lt;</w:t>
      </w:r>
      <w:r>
        <w:t xml:space="preserve"> </w:t>
      </w:r>
      <w:r w:rsidRPr="00E07B1B">
        <w:t>37 weeks in women being treated for gestational diabetes</w:t>
      </w:r>
      <w:bookmarkEnd w:id="555"/>
      <w:bookmarkEnd w:id="556"/>
    </w:p>
    <w:p w:rsidR="00853A74" w:rsidRPr="00D2206A" w:rsidRDefault="00853A74" w:rsidP="00853A74">
      <w:r>
        <w:rPr>
          <w:rFonts w:cs="Arial"/>
          <w:noProof/>
          <w:lang w:eastAsia="en-NZ"/>
        </w:rPr>
        <w:drawing>
          <wp:inline distT="0" distB="0" distL="0" distR="0" wp14:anchorId="25145222" wp14:editId="179FB826">
            <wp:extent cx="7190509" cy="3816593"/>
            <wp:effectExtent l="0" t="0" r="0" b="0"/>
            <wp:docPr id="20" name="Picture 457" descr="Figure 16: Gestational age at delivery &lt; 37 weeks in women being treated for gestational diabetes" title="Figure 16: Gestational age at delivery &lt; 37 weeks in women being treated for gestational 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186813" cy="3814631"/>
                    </a:xfrm>
                    <a:prstGeom prst="rect">
                      <a:avLst/>
                    </a:prstGeom>
                    <a:noFill/>
                    <a:ln>
                      <a:noFill/>
                    </a:ln>
                  </pic:spPr>
                </pic:pic>
              </a:graphicData>
            </a:graphic>
          </wp:inline>
        </w:drawing>
      </w:r>
    </w:p>
    <w:p w:rsidR="00853A74" w:rsidRDefault="00853A74" w:rsidP="00D2206A">
      <w:pPr>
        <w:pStyle w:val="Source"/>
      </w:pPr>
      <w:r w:rsidRPr="00C42D7A">
        <w:t xml:space="preserve">Source: Alwan </w:t>
      </w:r>
      <w:r>
        <w:t>et al (</w:t>
      </w:r>
      <w:r w:rsidRPr="00C42D7A">
        <w:t>2009)</w:t>
      </w:r>
    </w:p>
    <w:p w:rsidR="00D2206A" w:rsidRPr="00D2206A" w:rsidRDefault="00D2206A" w:rsidP="00D2206A"/>
    <w:p w:rsidR="00853A74" w:rsidRPr="00E07B1B" w:rsidRDefault="00853A74" w:rsidP="00D2206A">
      <w:pPr>
        <w:pStyle w:val="Table"/>
      </w:pPr>
      <w:bookmarkStart w:id="557" w:name="_Toc363717835"/>
      <w:bookmarkStart w:id="558" w:name="_Toc403635917"/>
      <w:r w:rsidRPr="00E07B1B">
        <w:t>Table 36</w:t>
      </w:r>
      <w:r w:rsidR="00D2206A">
        <w:t>:</w:t>
      </w:r>
      <w:r w:rsidRPr="00E07B1B">
        <w:t xml:space="preserve"> Treatment targets for glycaemic control recommended in clinical practice guidelines</w:t>
      </w:r>
      <w:bookmarkEnd w:id="557"/>
      <w:bookmarkEnd w:id="55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505"/>
        <w:gridCol w:w="2032"/>
        <w:gridCol w:w="2032"/>
        <w:gridCol w:w="2032"/>
      </w:tblGrid>
      <w:tr w:rsidR="00853A74" w:rsidRPr="00D2206A" w:rsidTr="00D2206A">
        <w:trPr>
          <w:cantSplit/>
        </w:trPr>
        <w:tc>
          <w:tcPr>
            <w:tcW w:w="8505" w:type="dxa"/>
            <w:vMerge w:val="restart"/>
            <w:tcBorders>
              <w:left w:val="nil"/>
              <w:bottom w:val="nil"/>
              <w:right w:val="nil"/>
            </w:tcBorders>
            <w:shd w:val="clear" w:color="auto" w:fill="auto"/>
          </w:tcPr>
          <w:p w:rsidR="00853A74" w:rsidRPr="00D2206A" w:rsidRDefault="00853A74" w:rsidP="00D2206A">
            <w:pPr>
              <w:pStyle w:val="TableText"/>
              <w:keepNext/>
              <w:rPr>
                <w:b/>
              </w:rPr>
            </w:pPr>
            <w:r w:rsidRPr="00D2206A">
              <w:rPr>
                <w:b/>
              </w:rPr>
              <w:t>Reference</w:t>
            </w:r>
          </w:p>
        </w:tc>
        <w:tc>
          <w:tcPr>
            <w:tcW w:w="6096" w:type="dxa"/>
            <w:gridSpan w:val="3"/>
            <w:tcBorders>
              <w:left w:val="nil"/>
              <w:bottom w:val="nil"/>
              <w:right w:val="nil"/>
            </w:tcBorders>
            <w:shd w:val="clear" w:color="auto" w:fill="auto"/>
          </w:tcPr>
          <w:p w:rsidR="00853A74" w:rsidRPr="00D2206A" w:rsidRDefault="00853A74" w:rsidP="00D2206A">
            <w:pPr>
              <w:pStyle w:val="TableText"/>
              <w:keepNext/>
              <w:jc w:val="center"/>
              <w:rPr>
                <w:b/>
              </w:rPr>
            </w:pPr>
            <w:r w:rsidRPr="00D2206A">
              <w:rPr>
                <w:b/>
              </w:rPr>
              <w:t>Blood sugar level (mmol/L)</w:t>
            </w:r>
          </w:p>
        </w:tc>
      </w:tr>
      <w:tr w:rsidR="00853A74" w:rsidRPr="00D2206A" w:rsidTr="00D2206A">
        <w:trPr>
          <w:cantSplit/>
        </w:trPr>
        <w:tc>
          <w:tcPr>
            <w:tcW w:w="8505" w:type="dxa"/>
            <w:vMerge/>
            <w:tcBorders>
              <w:top w:val="nil"/>
              <w:left w:val="nil"/>
              <w:bottom w:val="single" w:sz="4" w:space="0" w:color="auto"/>
              <w:right w:val="nil"/>
            </w:tcBorders>
            <w:shd w:val="clear" w:color="auto" w:fill="auto"/>
          </w:tcPr>
          <w:p w:rsidR="00853A74" w:rsidRPr="00D2206A" w:rsidRDefault="00853A74" w:rsidP="00D2206A">
            <w:pPr>
              <w:pStyle w:val="TableText"/>
              <w:keepNext/>
              <w:rPr>
                <w:b/>
              </w:rPr>
            </w:pPr>
          </w:p>
        </w:tc>
        <w:tc>
          <w:tcPr>
            <w:tcW w:w="2032" w:type="dxa"/>
            <w:tcBorders>
              <w:top w:val="nil"/>
              <w:left w:val="nil"/>
              <w:bottom w:val="single" w:sz="4" w:space="0" w:color="auto"/>
              <w:right w:val="nil"/>
            </w:tcBorders>
            <w:shd w:val="clear" w:color="auto" w:fill="auto"/>
          </w:tcPr>
          <w:p w:rsidR="00853A74" w:rsidRPr="00D2206A" w:rsidRDefault="00853A74" w:rsidP="00D2206A">
            <w:pPr>
              <w:pStyle w:val="TableText"/>
              <w:keepNext/>
              <w:jc w:val="center"/>
              <w:rPr>
                <w:b/>
              </w:rPr>
            </w:pPr>
            <w:r w:rsidRPr="00D2206A">
              <w:rPr>
                <w:b/>
              </w:rPr>
              <w:t>Fastin</w:t>
            </w:r>
            <w:r w:rsidR="00D2206A">
              <w:rPr>
                <w:b/>
              </w:rPr>
              <w:t>g</w:t>
            </w:r>
          </w:p>
        </w:tc>
        <w:tc>
          <w:tcPr>
            <w:tcW w:w="2032" w:type="dxa"/>
            <w:tcBorders>
              <w:top w:val="nil"/>
              <w:left w:val="nil"/>
              <w:bottom w:val="single" w:sz="4" w:space="0" w:color="auto"/>
              <w:right w:val="nil"/>
            </w:tcBorders>
            <w:shd w:val="clear" w:color="auto" w:fill="auto"/>
          </w:tcPr>
          <w:p w:rsidR="00853A74" w:rsidRPr="00D2206A" w:rsidRDefault="00853A74" w:rsidP="00D2206A">
            <w:pPr>
              <w:pStyle w:val="TableText"/>
              <w:keepNext/>
              <w:jc w:val="center"/>
              <w:rPr>
                <w:b/>
              </w:rPr>
            </w:pPr>
            <w:r w:rsidRPr="00D2206A">
              <w:rPr>
                <w:b/>
              </w:rPr>
              <w:t>1-hour postprandial</w:t>
            </w:r>
          </w:p>
        </w:tc>
        <w:tc>
          <w:tcPr>
            <w:tcW w:w="2032" w:type="dxa"/>
            <w:tcBorders>
              <w:top w:val="nil"/>
              <w:left w:val="nil"/>
              <w:bottom w:val="single" w:sz="4" w:space="0" w:color="auto"/>
              <w:right w:val="nil"/>
            </w:tcBorders>
            <w:shd w:val="clear" w:color="auto" w:fill="auto"/>
          </w:tcPr>
          <w:p w:rsidR="00853A74" w:rsidRPr="00D2206A" w:rsidRDefault="00853A74" w:rsidP="00D2206A">
            <w:pPr>
              <w:pStyle w:val="TableText"/>
              <w:keepNext/>
              <w:jc w:val="center"/>
              <w:rPr>
                <w:b/>
              </w:rPr>
            </w:pPr>
            <w:r w:rsidRPr="00D2206A">
              <w:rPr>
                <w:b/>
              </w:rPr>
              <w:t>2-hour postprandial</w:t>
            </w:r>
          </w:p>
        </w:tc>
      </w:tr>
      <w:tr w:rsidR="00853A74" w:rsidRPr="00E07B1B" w:rsidTr="00D2206A">
        <w:trPr>
          <w:cantSplit/>
        </w:trPr>
        <w:tc>
          <w:tcPr>
            <w:tcW w:w="8505" w:type="dxa"/>
            <w:tcBorders>
              <w:top w:val="single" w:sz="4" w:space="0" w:color="auto"/>
              <w:left w:val="nil"/>
              <w:bottom w:val="nil"/>
              <w:right w:val="nil"/>
            </w:tcBorders>
            <w:shd w:val="clear" w:color="auto" w:fill="F2F2F2" w:themeFill="background1" w:themeFillShade="F2"/>
          </w:tcPr>
          <w:p w:rsidR="00853A74" w:rsidRPr="00E07B1B" w:rsidRDefault="00853A74" w:rsidP="00D2206A">
            <w:pPr>
              <w:pStyle w:val="TableText"/>
              <w:keepNext/>
            </w:pPr>
            <w:r w:rsidRPr="00E07B1B">
              <w:t>Australasian Diabetes in Pregnancy Society (Nankervis 2013)</w:t>
            </w:r>
          </w:p>
        </w:tc>
        <w:tc>
          <w:tcPr>
            <w:tcW w:w="2032" w:type="dxa"/>
            <w:tcBorders>
              <w:top w:val="single" w:sz="4" w:space="0" w:color="auto"/>
              <w:left w:val="nil"/>
              <w:bottom w:val="nil"/>
              <w:right w:val="nil"/>
            </w:tcBorders>
            <w:shd w:val="clear" w:color="auto" w:fill="F2F2F2" w:themeFill="background1" w:themeFillShade="F2"/>
          </w:tcPr>
          <w:p w:rsidR="00853A74" w:rsidRPr="00E07B1B" w:rsidRDefault="00853A74" w:rsidP="00D2206A">
            <w:pPr>
              <w:pStyle w:val="TableText"/>
              <w:keepNext/>
              <w:jc w:val="center"/>
            </w:pPr>
            <w:r w:rsidRPr="00E07B1B">
              <w:t>≤ 5.0</w:t>
            </w:r>
          </w:p>
        </w:tc>
        <w:tc>
          <w:tcPr>
            <w:tcW w:w="2032" w:type="dxa"/>
            <w:tcBorders>
              <w:top w:val="single" w:sz="4" w:space="0" w:color="auto"/>
              <w:left w:val="nil"/>
              <w:bottom w:val="nil"/>
              <w:right w:val="nil"/>
            </w:tcBorders>
            <w:shd w:val="clear" w:color="auto" w:fill="F2F2F2" w:themeFill="background1" w:themeFillShade="F2"/>
          </w:tcPr>
          <w:p w:rsidR="00853A74" w:rsidRPr="00E07B1B" w:rsidRDefault="00853A74" w:rsidP="00D2206A">
            <w:pPr>
              <w:pStyle w:val="TableText"/>
              <w:keepNext/>
              <w:jc w:val="center"/>
            </w:pPr>
            <w:r w:rsidRPr="00E07B1B">
              <w:t>≤ 7.4</w:t>
            </w:r>
          </w:p>
        </w:tc>
        <w:tc>
          <w:tcPr>
            <w:tcW w:w="2032" w:type="dxa"/>
            <w:tcBorders>
              <w:top w:val="single" w:sz="4" w:space="0" w:color="auto"/>
              <w:left w:val="nil"/>
              <w:bottom w:val="nil"/>
              <w:right w:val="nil"/>
            </w:tcBorders>
            <w:shd w:val="clear" w:color="auto" w:fill="F2F2F2" w:themeFill="background1" w:themeFillShade="F2"/>
          </w:tcPr>
          <w:p w:rsidR="00853A74" w:rsidRPr="00E07B1B" w:rsidRDefault="00853A74" w:rsidP="00D2206A">
            <w:pPr>
              <w:pStyle w:val="TableText"/>
              <w:keepNext/>
              <w:jc w:val="center"/>
            </w:pPr>
            <w:r w:rsidRPr="00E07B1B">
              <w:t>≤ 6.7</w:t>
            </w:r>
          </w:p>
        </w:tc>
      </w:tr>
      <w:tr w:rsidR="00853A74" w:rsidRPr="00E07B1B" w:rsidTr="00D2206A">
        <w:trPr>
          <w:cantSplit/>
        </w:trPr>
        <w:tc>
          <w:tcPr>
            <w:tcW w:w="8505" w:type="dxa"/>
            <w:tcBorders>
              <w:top w:val="nil"/>
              <w:left w:val="nil"/>
              <w:bottom w:val="nil"/>
              <w:right w:val="nil"/>
            </w:tcBorders>
            <w:shd w:val="clear" w:color="auto" w:fill="auto"/>
          </w:tcPr>
          <w:p w:rsidR="00853A74" w:rsidRPr="00E07B1B" w:rsidRDefault="00853A74" w:rsidP="00D2206A">
            <w:pPr>
              <w:pStyle w:val="TableText"/>
              <w:keepNext/>
            </w:pPr>
            <w:r w:rsidRPr="00E07B1B">
              <w:t>American Diabetes Association (2013)</w:t>
            </w:r>
          </w:p>
        </w:tc>
        <w:tc>
          <w:tcPr>
            <w:tcW w:w="2032" w:type="dxa"/>
            <w:tcBorders>
              <w:top w:val="nil"/>
              <w:left w:val="nil"/>
              <w:bottom w:val="nil"/>
              <w:right w:val="nil"/>
            </w:tcBorders>
            <w:shd w:val="clear" w:color="auto" w:fill="auto"/>
          </w:tcPr>
          <w:p w:rsidR="00853A74" w:rsidRPr="00E07B1B" w:rsidRDefault="00853A74" w:rsidP="00D2206A">
            <w:pPr>
              <w:pStyle w:val="TableText"/>
              <w:keepNext/>
              <w:jc w:val="center"/>
            </w:pPr>
            <w:r w:rsidRPr="00E07B1B">
              <w:t>≤ 5.3</w:t>
            </w:r>
          </w:p>
        </w:tc>
        <w:tc>
          <w:tcPr>
            <w:tcW w:w="2032" w:type="dxa"/>
            <w:tcBorders>
              <w:top w:val="nil"/>
              <w:left w:val="nil"/>
              <w:bottom w:val="nil"/>
              <w:right w:val="nil"/>
            </w:tcBorders>
            <w:shd w:val="clear" w:color="auto" w:fill="auto"/>
          </w:tcPr>
          <w:p w:rsidR="00853A74" w:rsidRPr="00E07B1B" w:rsidRDefault="00853A74" w:rsidP="00D2206A">
            <w:pPr>
              <w:pStyle w:val="TableText"/>
              <w:keepNext/>
              <w:jc w:val="center"/>
            </w:pPr>
            <w:r w:rsidRPr="00E07B1B">
              <w:t>≤ 7.8</w:t>
            </w:r>
            <w:r>
              <w:t xml:space="preserve"> </w:t>
            </w:r>
            <w:r w:rsidRPr="00E07B1B">
              <w:t>or</w:t>
            </w:r>
          </w:p>
        </w:tc>
        <w:tc>
          <w:tcPr>
            <w:tcW w:w="2032" w:type="dxa"/>
            <w:tcBorders>
              <w:top w:val="nil"/>
              <w:left w:val="nil"/>
              <w:bottom w:val="nil"/>
              <w:right w:val="nil"/>
            </w:tcBorders>
            <w:shd w:val="clear" w:color="auto" w:fill="auto"/>
          </w:tcPr>
          <w:p w:rsidR="00853A74" w:rsidRPr="00E07B1B" w:rsidRDefault="00853A74" w:rsidP="00D2206A">
            <w:pPr>
              <w:pStyle w:val="TableText"/>
              <w:keepNext/>
              <w:jc w:val="center"/>
            </w:pPr>
            <w:r w:rsidRPr="00E07B1B">
              <w:t>≤ 6.7</w:t>
            </w:r>
          </w:p>
        </w:tc>
      </w:tr>
      <w:tr w:rsidR="00853A74" w:rsidRPr="00E07B1B" w:rsidTr="00D2206A">
        <w:trPr>
          <w:cantSplit/>
        </w:trPr>
        <w:tc>
          <w:tcPr>
            <w:tcW w:w="8505" w:type="dxa"/>
            <w:tcBorders>
              <w:top w:val="nil"/>
              <w:left w:val="nil"/>
              <w:bottom w:val="nil"/>
              <w:right w:val="nil"/>
            </w:tcBorders>
            <w:shd w:val="clear" w:color="auto" w:fill="F2F2F2" w:themeFill="background1" w:themeFillShade="F2"/>
          </w:tcPr>
          <w:p w:rsidR="00853A74" w:rsidRPr="00E07B1B" w:rsidRDefault="00853A74" w:rsidP="00D2206A">
            <w:pPr>
              <w:pStyle w:val="TableText"/>
              <w:keepNext/>
            </w:pPr>
            <w:r w:rsidRPr="00E07B1B">
              <w:t>Health Service Executive</w:t>
            </w:r>
            <w:r>
              <w:t>, Ireland</w:t>
            </w:r>
            <w:r w:rsidRPr="00E07B1B">
              <w:t xml:space="preserve"> (2010)</w:t>
            </w:r>
          </w:p>
        </w:tc>
        <w:tc>
          <w:tcPr>
            <w:tcW w:w="2032" w:type="dxa"/>
            <w:tcBorders>
              <w:top w:val="nil"/>
              <w:left w:val="nil"/>
              <w:bottom w:val="nil"/>
              <w:right w:val="nil"/>
            </w:tcBorders>
            <w:shd w:val="clear" w:color="auto" w:fill="F2F2F2" w:themeFill="background1" w:themeFillShade="F2"/>
          </w:tcPr>
          <w:p w:rsidR="00853A74" w:rsidRPr="00E07B1B" w:rsidRDefault="00853A74" w:rsidP="00D2206A">
            <w:pPr>
              <w:pStyle w:val="TableText"/>
              <w:keepNext/>
              <w:jc w:val="center"/>
            </w:pPr>
            <w:r w:rsidRPr="00E07B1B">
              <w:t>&lt; 5.0</w:t>
            </w:r>
          </w:p>
        </w:tc>
        <w:tc>
          <w:tcPr>
            <w:tcW w:w="2032" w:type="dxa"/>
            <w:tcBorders>
              <w:top w:val="nil"/>
              <w:left w:val="nil"/>
              <w:bottom w:val="nil"/>
              <w:right w:val="nil"/>
            </w:tcBorders>
            <w:shd w:val="clear" w:color="auto" w:fill="F2F2F2" w:themeFill="background1" w:themeFillShade="F2"/>
          </w:tcPr>
          <w:p w:rsidR="00853A74" w:rsidRPr="00E07B1B" w:rsidRDefault="00853A74" w:rsidP="00D2206A">
            <w:pPr>
              <w:pStyle w:val="TableText"/>
              <w:keepNext/>
              <w:jc w:val="center"/>
            </w:pPr>
            <w:r w:rsidRPr="00E07B1B">
              <w:t>&lt; 7.0</w:t>
            </w:r>
          </w:p>
        </w:tc>
        <w:tc>
          <w:tcPr>
            <w:tcW w:w="2032" w:type="dxa"/>
            <w:tcBorders>
              <w:top w:val="nil"/>
              <w:left w:val="nil"/>
              <w:bottom w:val="nil"/>
              <w:right w:val="nil"/>
            </w:tcBorders>
            <w:shd w:val="clear" w:color="auto" w:fill="F2F2F2" w:themeFill="background1" w:themeFillShade="F2"/>
          </w:tcPr>
          <w:p w:rsidR="00853A74" w:rsidRPr="00E07B1B" w:rsidRDefault="00853A74" w:rsidP="00D2206A">
            <w:pPr>
              <w:pStyle w:val="TableText"/>
              <w:keepNext/>
              <w:jc w:val="center"/>
            </w:pPr>
          </w:p>
        </w:tc>
      </w:tr>
      <w:tr w:rsidR="00853A74" w:rsidRPr="00E07B1B" w:rsidTr="00D2206A">
        <w:trPr>
          <w:cantSplit/>
        </w:trPr>
        <w:tc>
          <w:tcPr>
            <w:tcW w:w="8505" w:type="dxa"/>
            <w:tcBorders>
              <w:top w:val="nil"/>
              <w:left w:val="nil"/>
              <w:bottom w:val="nil"/>
              <w:right w:val="nil"/>
            </w:tcBorders>
            <w:shd w:val="clear" w:color="auto" w:fill="auto"/>
          </w:tcPr>
          <w:p w:rsidR="00853A74" w:rsidRPr="00E07B1B" w:rsidRDefault="00853A74" w:rsidP="00D2206A">
            <w:pPr>
              <w:pStyle w:val="TableText"/>
            </w:pPr>
            <w:r w:rsidRPr="00E07B1B">
              <w:t>Brazilian Dia</w:t>
            </w:r>
            <w:r w:rsidR="00D2206A">
              <w:t>betes Federation (Negrato 2010)</w:t>
            </w:r>
          </w:p>
        </w:tc>
        <w:tc>
          <w:tcPr>
            <w:tcW w:w="2032" w:type="dxa"/>
            <w:tcBorders>
              <w:top w:val="nil"/>
              <w:left w:val="nil"/>
              <w:bottom w:val="nil"/>
              <w:right w:val="nil"/>
            </w:tcBorders>
            <w:shd w:val="clear" w:color="auto" w:fill="auto"/>
          </w:tcPr>
          <w:p w:rsidR="00853A74" w:rsidRPr="00E07B1B" w:rsidRDefault="00853A74" w:rsidP="00D2206A">
            <w:pPr>
              <w:pStyle w:val="TableText"/>
              <w:jc w:val="center"/>
            </w:pPr>
            <w:r w:rsidRPr="00E07B1B">
              <w:t>5.2</w:t>
            </w:r>
          </w:p>
        </w:tc>
        <w:tc>
          <w:tcPr>
            <w:tcW w:w="2032" w:type="dxa"/>
            <w:tcBorders>
              <w:top w:val="nil"/>
              <w:left w:val="nil"/>
              <w:bottom w:val="nil"/>
              <w:right w:val="nil"/>
            </w:tcBorders>
            <w:shd w:val="clear" w:color="auto" w:fill="auto"/>
          </w:tcPr>
          <w:p w:rsidR="00853A74" w:rsidRPr="00E07B1B" w:rsidRDefault="00853A74" w:rsidP="00D2206A">
            <w:pPr>
              <w:pStyle w:val="TableText"/>
              <w:jc w:val="center"/>
            </w:pPr>
            <w:r w:rsidRPr="00E07B1B">
              <w:t>7.8</w:t>
            </w:r>
          </w:p>
        </w:tc>
        <w:tc>
          <w:tcPr>
            <w:tcW w:w="2032" w:type="dxa"/>
            <w:tcBorders>
              <w:top w:val="nil"/>
              <w:left w:val="nil"/>
              <w:bottom w:val="nil"/>
              <w:right w:val="nil"/>
            </w:tcBorders>
            <w:shd w:val="clear" w:color="auto" w:fill="auto"/>
          </w:tcPr>
          <w:p w:rsidR="00853A74" w:rsidRPr="00E07B1B" w:rsidRDefault="00D2206A" w:rsidP="00D2206A">
            <w:pPr>
              <w:pStyle w:val="TableText"/>
              <w:jc w:val="center"/>
            </w:pPr>
            <w:r>
              <w:t>–</w:t>
            </w:r>
          </w:p>
        </w:tc>
      </w:tr>
      <w:tr w:rsidR="00853A74" w:rsidRPr="00E07B1B" w:rsidTr="00D2206A">
        <w:trPr>
          <w:cantSplit/>
        </w:trPr>
        <w:tc>
          <w:tcPr>
            <w:tcW w:w="8505" w:type="dxa"/>
            <w:tcBorders>
              <w:top w:val="nil"/>
              <w:left w:val="nil"/>
              <w:bottom w:val="nil"/>
              <w:right w:val="nil"/>
            </w:tcBorders>
            <w:shd w:val="clear" w:color="auto" w:fill="F2F2F2" w:themeFill="background1" w:themeFillShade="F2"/>
          </w:tcPr>
          <w:p w:rsidR="00853A74" w:rsidRPr="00E07B1B" w:rsidRDefault="00853A74" w:rsidP="00D2206A">
            <w:pPr>
              <w:pStyle w:val="TableText"/>
            </w:pPr>
            <w:r w:rsidRPr="00E07B1B">
              <w:t>Scottish Intercollegiate Guideline</w:t>
            </w:r>
            <w:r>
              <w:t>s</w:t>
            </w:r>
            <w:r w:rsidRPr="00E07B1B">
              <w:t xml:space="preserve"> Network (SIGN 2010)</w:t>
            </w:r>
          </w:p>
        </w:tc>
        <w:tc>
          <w:tcPr>
            <w:tcW w:w="2032" w:type="dxa"/>
            <w:tcBorders>
              <w:top w:val="nil"/>
              <w:left w:val="nil"/>
              <w:bottom w:val="nil"/>
              <w:right w:val="nil"/>
            </w:tcBorders>
            <w:shd w:val="clear" w:color="auto" w:fill="F2F2F2" w:themeFill="background1" w:themeFillShade="F2"/>
          </w:tcPr>
          <w:p w:rsidR="00853A74" w:rsidRPr="00E07B1B" w:rsidRDefault="00853A74" w:rsidP="00D2206A">
            <w:pPr>
              <w:pStyle w:val="TableText"/>
              <w:jc w:val="center"/>
            </w:pPr>
            <w:r w:rsidRPr="00E07B1B">
              <w:t>&lt; 5.5</w:t>
            </w:r>
          </w:p>
        </w:tc>
        <w:tc>
          <w:tcPr>
            <w:tcW w:w="2032" w:type="dxa"/>
            <w:tcBorders>
              <w:top w:val="nil"/>
              <w:left w:val="nil"/>
              <w:bottom w:val="nil"/>
              <w:right w:val="nil"/>
            </w:tcBorders>
            <w:shd w:val="clear" w:color="auto" w:fill="F2F2F2" w:themeFill="background1" w:themeFillShade="F2"/>
          </w:tcPr>
          <w:p w:rsidR="00853A74" w:rsidRPr="00E07B1B" w:rsidRDefault="00D2206A" w:rsidP="00D2206A">
            <w:pPr>
              <w:pStyle w:val="TableText"/>
              <w:jc w:val="center"/>
            </w:pPr>
            <w:r>
              <w:t>–</w:t>
            </w:r>
          </w:p>
        </w:tc>
        <w:tc>
          <w:tcPr>
            <w:tcW w:w="2032" w:type="dxa"/>
            <w:tcBorders>
              <w:top w:val="nil"/>
              <w:left w:val="nil"/>
              <w:bottom w:val="nil"/>
              <w:right w:val="nil"/>
            </w:tcBorders>
            <w:shd w:val="clear" w:color="auto" w:fill="F2F2F2" w:themeFill="background1" w:themeFillShade="F2"/>
          </w:tcPr>
          <w:p w:rsidR="00853A74" w:rsidRPr="00E07B1B" w:rsidRDefault="00853A74" w:rsidP="00D2206A">
            <w:pPr>
              <w:pStyle w:val="TableText"/>
              <w:jc w:val="center"/>
            </w:pPr>
            <w:r w:rsidRPr="00E07B1B">
              <w:t>&lt; 7.0</w:t>
            </w:r>
          </w:p>
        </w:tc>
      </w:tr>
      <w:tr w:rsidR="00853A74" w:rsidRPr="00E07B1B" w:rsidTr="00D2206A">
        <w:trPr>
          <w:cantSplit/>
        </w:trPr>
        <w:tc>
          <w:tcPr>
            <w:tcW w:w="8505" w:type="dxa"/>
            <w:tcBorders>
              <w:top w:val="nil"/>
              <w:left w:val="nil"/>
              <w:bottom w:val="nil"/>
              <w:right w:val="nil"/>
            </w:tcBorders>
            <w:shd w:val="clear" w:color="auto" w:fill="auto"/>
          </w:tcPr>
          <w:p w:rsidR="00853A74" w:rsidRPr="00E07B1B" w:rsidRDefault="00853A74" w:rsidP="00D2206A">
            <w:pPr>
              <w:pStyle w:val="TableText"/>
            </w:pPr>
            <w:r w:rsidRPr="00E07B1B">
              <w:t>Canadian Diabetes Association (2008)</w:t>
            </w:r>
          </w:p>
        </w:tc>
        <w:tc>
          <w:tcPr>
            <w:tcW w:w="2032" w:type="dxa"/>
            <w:tcBorders>
              <w:top w:val="nil"/>
              <w:left w:val="nil"/>
              <w:bottom w:val="nil"/>
              <w:right w:val="nil"/>
            </w:tcBorders>
            <w:shd w:val="clear" w:color="auto" w:fill="auto"/>
          </w:tcPr>
          <w:p w:rsidR="00853A74" w:rsidRPr="00E07B1B" w:rsidRDefault="00853A74" w:rsidP="00D2206A">
            <w:pPr>
              <w:pStyle w:val="TableText"/>
              <w:jc w:val="center"/>
            </w:pPr>
            <w:r w:rsidRPr="00E07B1B">
              <w:t>3.8</w:t>
            </w:r>
            <w:r>
              <w:t>–</w:t>
            </w:r>
            <w:r w:rsidRPr="00E07B1B">
              <w:t>5.2</w:t>
            </w:r>
          </w:p>
        </w:tc>
        <w:tc>
          <w:tcPr>
            <w:tcW w:w="2032" w:type="dxa"/>
            <w:tcBorders>
              <w:top w:val="nil"/>
              <w:left w:val="nil"/>
              <w:bottom w:val="nil"/>
              <w:right w:val="nil"/>
            </w:tcBorders>
            <w:shd w:val="clear" w:color="auto" w:fill="auto"/>
          </w:tcPr>
          <w:p w:rsidR="00853A74" w:rsidRPr="00E07B1B" w:rsidRDefault="00853A74" w:rsidP="00D2206A">
            <w:pPr>
              <w:pStyle w:val="TableText"/>
              <w:jc w:val="center"/>
            </w:pPr>
            <w:r w:rsidRPr="00E07B1B">
              <w:t>5.5</w:t>
            </w:r>
            <w:r>
              <w:t>–</w:t>
            </w:r>
            <w:r w:rsidRPr="00E07B1B">
              <w:t>7.7</w:t>
            </w:r>
          </w:p>
        </w:tc>
        <w:tc>
          <w:tcPr>
            <w:tcW w:w="2032" w:type="dxa"/>
            <w:tcBorders>
              <w:top w:val="nil"/>
              <w:left w:val="nil"/>
              <w:bottom w:val="nil"/>
              <w:right w:val="nil"/>
            </w:tcBorders>
            <w:shd w:val="clear" w:color="auto" w:fill="auto"/>
          </w:tcPr>
          <w:p w:rsidR="00853A74" w:rsidRPr="00E07B1B" w:rsidRDefault="00853A74" w:rsidP="00D2206A">
            <w:pPr>
              <w:pStyle w:val="TableText"/>
              <w:jc w:val="center"/>
            </w:pPr>
            <w:r w:rsidRPr="00E07B1B">
              <w:t>5.0</w:t>
            </w:r>
            <w:r>
              <w:t>–</w:t>
            </w:r>
            <w:r w:rsidRPr="00E07B1B">
              <w:t>6.6</w:t>
            </w:r>
          </w:p>
        </w:tc>
      </w:tr>
      <w:tr w:rsidR="00853A74" w:rsidRPr="00E07B1B" w:rsidTr="00D2206A">
        <w:trPr>
          <w:cantSplit/>
        </w:trPr>
        <w:tc>
          <w:tcPr>
            <w:tcW w:w="8505" w:type="dxa"/>
            <w:tcBorders>
              <w:top w:val="nil"/>
              <w:left w:val="nil"/>
              <w:bottom w:val="nil"/>
              <w:right w:val="nil"/>
            </w:tcBorders>
            <w:shd w:val="clear" w:color="auto" w:fill="F2F2F2" w:themeFill="background1" w:themeFillShade="F2"/>
          </w:tcPr>
          <w:p w:rsidR="00853A74" w:rsidRPr="00E07B1B" w:rsidRDefault="00853A74" w:rsidP="00D2206A">
            <w:pPr>
              <w:pStyle w:val="TableText"/>
            </w:pPr>
            <w:r w:rsidRPr="00E07B1B">
              <w:t xml:space="preserve">National Institute </w:t>
            </w:r>
            <w:r>
              <w:t>for</w:t>
            </w:r>
            <w:r w:rsidRPr="00E07B1B">
              <w:t xml:space="preserve"> Health and </w:t>
            </w:r>
            <w:r>
              <w:rPr>
                <w:szCs w:val="24"/>
              </w:rPr>
              <w:t>Care</w:t>
            </w:r>
            <w:r w:rsidRPr="00E07B1B">
              <w:rPr>
                <w:szCs w:val="24"/>
              </w:rPr>
              <w:t xml:space="preserve"> </w:t>
            </w:r>
            <w:r w:rsidRPr="00E07B1B">
              <w:t>Excellence (</w:t>
            </w:r>
            <w:r>
              <w:t xml:space="preserve">NICE </w:t>
            </w:r>
            <w:r w:rsidRPr="00E07B1B">
              <w:t>2008)</w:t>
            </w:r>
          </w:p>
        </w:tc>
        <w:tc>
          <w:tcPr>
            <w:tcW w:w="2032" w:type="dxa"/>
            <w:tcBorders>
              <w:top w:val="nil"/>
              <w:left w:val="nil"/>
              <w:bottom w:val="nil"/>
              <w:right w:val="nil"/>
            </w:tcBorders>
            <w:shd w:val="clear" w:color="auto" w:fill="F2F2F2" w:themeFill="background1" w:themeFillShade="F2"/>
          </w:tcPr>
          <w:p w:rsidR="00853A74" w:rsidRPr="00E07B1B" w:rsidRDefault="00853A74" w:rsidP="00D2206A">
            <w:pPr>
              <w:pStyle w:val="TableText"/>
              <w:jc w:val="center"/>
            </w:pPr>
            <w:r w:rsidRPr="00E07B1B">
              <w:t>3.5</w:t>
            </w:r>
            <w:r>
              <w:t>–</w:t>
            </w:r>
            <w:r w:rsidRPr="00E07B1B">
              <w:t>5.9</w:t>
            </w:r>
          </w:p>
        </w:tc>
        <w:tc>
          <w:tcPr>
            <w:tcW w:w="2032" w:type="dxa"/>
            <w:tcBorders>
              <w:top w:val="nil"/>
              <w:left w:val="nil"/>
              <w:bottom w:val="nil"/>
              <w:right w:val="nil"/>
            </w:tcBorders>
            <w:shd w:val="clear" w:color="auto" w:fill="F2F2F2" w:themeFill="background1" w:themeFillShade="F2"/>
          </w:tcPr>
          <w:p w:rsidR="00853A74" w:rsidRPr="00E07B1B" w:rsidRDefault="00853A74" w:rsidP="00D2206A">
            <w:pPr>
              <w:pStyle w:val="TableText"/>
              <w:jc w:val="center"/>
            </w:pPr>
            <w:r w:rsidRPr="00E07B1B">
              <w:t>&lt; 7.8</w:t>
            </w:r>
          </w:p>
        </w:tc>
        <w:tc>
          <w:tcPr>
            <w:tcW w:w="2032" w:type="dxa"/>
            <w:tcBorders>
              <w:top w:val="nil"/>
              <w:left w:val="nil"/>
              <w:bottom w:val="nil"/>
              <w:right w:val="nil"/>
            </w:tcBorders>
            <w:shd w:val="clear" w:color="auto" w:fill="F2F2F2" w:themeFill="background1" w:themeFillShade="F2"/>
          </w:tcPr>
          <w:p w:rsidR="00853A74" w:rsidRPr="00E07B1B" w:rsidRDefault="00D2206A" w:rsidP="00D2206A">
            <w:pPr>
              <w:pStyle w:val="TableText"/>
              <w:jc w:val="center"/>
            </w:pPr>
            <w:r>
              <w:t>–</w:t>
            </w:r>
          </w:p>
        </w:tc>
      </w:tr>
      <w:tr w:rsidR="00853A74" w:rsidRPr="00E07B1B" w:rsidTr="00D2206A">
        <w:trPr>
          <w:cantSplit/>
        </w:trPr>
        <w:tc>
          <w:tcPr>
            <w:tcW w:w="8505" w:type="dxa"/>
            <w:tcBorders>
              <w:top w:val="nil"/>
              <w:left w:val="nil"/>
              <w:right w:val="nil"/>
            </w:tcBorders>
            <w:shd w:val="clear" w:color="auto" w:fill="auto"/>
          </w:tcPr>
          <w:p w:rsidR="00853A74" w:rsidRPr="00E07B1B" w:rsidRDefault="00853A74" w:rsidP="00D2206A">
            <w:pPr>
              <w:pStyle w:val="TableText"/>
            </w:pPr>
            <w:r>
              <w:t>Fif</w:t>
            </w:r>
            <w:r w:rsidRPr="00C42D7A">
              <w:t>th</w:t>
            </w:r>
            <w:r>
              <w:t xml:space="preserve"> International Workshop–Conference on Gestational Diabetes Mellitus (</w:t>
            </w:r>
            <w:r w:rsidR="00D2206A">
              <w:t>Metzger 2007)</w:t>
            </w:r>
          </w:p>
        </w:tc>
        <w:tc>
          <w:tcPr>
            <w:tcW w:w="2032" w:type="dxa"/>
            <w:tcBorders>
              <w:top w:val="nil"/>
              <w:left w:val="nil"/>
              <w:right w:val="nil"/>
            </w:tcBorders>
            <w:shd w:val="clear" w:color="auto" w:fill="auto"/>
          </w:tcPr>
          <w:p w:rsidR="00853A74" w:rsidRPr="00E07B1B" w:rsidRDefault="00853A74" w:rsidP="00D2206A">
            <w:pPr>
              <w:pStyle w:val="TableText"/>
              <w:jc w:val="center"/>
            </w:pPr>
            <w:r w:rsidRPr="00E07B1B">
              <w:t>5.0</w:t>
            </w:r>
            <w:r>
              <w:t>–</w:t>
            </w:r>
            <w:r w:rsidRPr="00E07B1B">
              <w:t>5.5</w:t>
            </w:r>
          </w:p>
        </w:tc>
        <w:tc>
          <w:tcPr>
            <w:tcW w:w="2032" w:type="dxa"/>
            <w:tcBorders>
              <w:top w:val="nil"/>
              <w:left w:val="nil"/>
              <w:right w:val="nil"/>
            </w:tcBorders>
            <w:shd w:val="clear" w:color="auto" w:fill="auto"/>
          </w:tcPr>
          <w:p w:rsidR="00853A74" w:rsidRPr="00E07B1B" w:rsidRDefault="00853A74" w:rsidP="00D2206A">
            <w:pPr>
              <w:pStyle w:val="TableText"/>
              <w:jc w:val="center"/>
            </w:pPr>
            <w:r w:rsidRPr="00E07B1B">
              <w:t>&lt; 7.8</w:t>
            </w:r>
          </w:p>
        </w:tc>
        <w:tc>
          <w:tcPr>
            <w:tcW w:w="2032" w:type="dxa"/>
            <w:tcBorders>
              <w:top w:val="nil"/>
              <w:left w:val="nil"/>
              <w:right w:val="nil"/>
            </w:tcBorders>
            <w:shd w:val="clear" w:color="auto" w:fill="auto"/>
          </w:tcPr>
          <w:p w:rsidR="00853A74" w:rsidRPr="00E07B1B" w:rsidRDefault="00853A74" w:rsidP="00D2206A">
            <w:pPr>
              <w:pStyle w:val="TableText"/>
              <w:jc w:val="center"/>
            </w:pPr>
            <w:r w:rsidRPr="00E07B1B">
              <w:t>&lt; 6.7</w:t>
            </w:r>
            <w:r>
              <w:t>–</w:t>
            </w:r>
            <w:r w:rsidRPr="00E07B1B">
              <w:t>7.1</w:t>
            </w:r>
          </w:p>
        </w:tc>
      </w:tr>
    </w:tbl>
    <w:p w:rsidR="00D2206A" w:rsidRDefault="00D2206A" w:rsidP="00D2206A">
      <w:bookmarkStart w:id="559" w:name="_Toc363717836"/>
    </w:p>
    <w:p w:rsidR="00853A74" w:rsidRDefault="00853A74" w:rsidP="00D2206A">
      <w:pPr>
        <w:pStyle w:val="Table"/>
      </w:pPr>
      <w:bookmarkStart w:id="560" w:name="_Toc403635918"/>
      <w:r w:rsidRPr="00E07B1B">
        <w:t>Table 37</w:t>
      </w:r>
      <w:r w:rsidR="00D2206A">
        <w:t>:</w:t>
      </w:r>
      <w:r w:rsidRPr="00E07B1B">
        <w:t xml:space="preserve"> Trial characteristics for optimal glucose targets</w:t>
      </w:r>
      <w:bookmarkEnd w:id="559"/>
      <w:bookmarkEnd w:id="560"/>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328"/>
        <w:gridCol w:w="1110"/>
        <w:gridCol w:w="2523"/>
        <w:gridCol w:w="3685"/>
        <w:gridCol w:w="4112"/>
        <w:gridCol w:w="1843"/>
      </w:tblGrid>
      <w:tr w:rsidR="00EF5FF5" w:rsidRPr="00D2206A" w:rsidTr="00EF5FF5">
        <w:trPr>
          <w:cantSplit/>
          <w:tblHeader/>
        </w:trPr>
        <w:tc>
          <w:tcPr>
            <w:tcW w:w="455" w:type="pct"/>
            <w:tcBorders>
              <w:top w:val="single" w:sz="4" w:space="0" w:color="auto"/>
              <w:bottom w:val="single" w:sz="4" w:space="0" w:color="auto"/>
            </w:tcBorders>
            <w:shd w:val="clear" w:color="auto" w:fill="auto"/>
          </w:tcPr>
          <w:p w:rsidR="00853A74" w:rsidRPr="00D2206A" w:rsidRDefault="00853A74" w:rsidP="00C27F79">
            <w:pPr>
              <w:pStyle w:val="TableText"/>
              <w:keepNext/>
              <w:ind w:right="142"/>
              <w:rPr>
                <w:b/>
              </w:rPr>
            </w:pPr>
            <w:r w:rsidRPr="00D2206A">
              <w:rPr>
                <w:b/>
              </w:rPr>
              <w:t>Reference</w:t>
            </w:r>
          </w:p>
        </w:tc>
        <w:tc>
          <w:tcPr>
            <w:tcW w:w="380" w:type="pct"/>
            <w:tcBorders>
              <w:top w:val="single" w:sz="4" w:space="0" w:color="auto"/>
              <w:bottom w:val="single" w:sz="4" w:space="0" w:color="auto"/>
            </w:tcBorders>
            <w:shd w:val="clear" w:color="auto" w:fill="auto"/>
          </w:tcPr>
          <w:p w:rsidR="00853A74" w:rsidRPr="00D2206A" w:rsidRDefault="00853A74" w:rsidP="00C27F79">
            <w:pPr>
              <w:pStyle w:val="TableText"/>
              <w:keepNext/>
              <w:ind w:right="142"/>
              <w:rPr>
                <w:b/>
              </w:rPr>
            </w:pPr>
            <w:r w:rsidRPr="00D2206A">
              <w:rPr>
                <w:b/>
              </w:rPr>
              <w:t>Country</w:t>
            </w:r>
          </w:p>
        </w:tc>
        <w:tc>
          <w:tcPr>
            <w:tcW w:w="864" w:type="pct"/>
            <w:tcBorders>
              <w:top w:val="single" w:sz="4" w:space="0" w:color="auto"/>
              <w:bottom w:val="single" w:sz="4" w:space="0" w:color="auto"/>
            </w:tcBorders>
            <w:shd w:val="clear" w:color="auto" w:fill="auto"/>
          </w:tcPr>
          <w:p w:rsidR="00853A74" w:rsidRPr="00D2206A" w:rsidRDefault="00853A74" w:rsidP="00C27F79">
            <w:pPr>
              <w:pStyle w:val="TableText"/>
              <w:keepNext/>
              <w:ind w:right="142"/>
              <w:rPr>
                <w:b/>
              </w:rPr>
            </w:pPr>
            <w:r w:rsidRPr="00D2206A">
              <w:rPr>
                <w:b/>
              </w:rPr>
              <w:t>Participant characteristics</w:t>
            </w:r>
          </w:p>
        </w:tc>
        <w:tc>
          <w:tcPr>
            <w:tcW w:w="1262" w:type="pct"/>
            <w:tcBorders>
              <w:top w:val="single" w:sz="4" w:space="0" w:color="auto"/>
              <w:bottom w:val="single" w:sz="4" w:space="0" w:color="auto"/>
            </w:tcBorders>
            <w:shd w:val="clear" w:color="auto" w:fill="auto"/>
          </w:tcPr>
          <w:p w:rsidR="00853A74" w:rsidRPr="00D2206A" w:rsidRDefault="00853A74" w:rsidP="00C27F79">
            <w:pPr>
              <w:pStyle w:val="TableText"/>
              <w:keepNext/>
              <w:ind w:right="142"/>
              <w:rPr>
                <w:b/>
              </w:rPr>
            </w:pPr>
            <w:r w:rsidRPr="00D2206A">
              <w:rPr>
                <w:b/>
              </w:rPr>
              <w:t>Inclusion criteria</w:t>
            </w:r>
          </w:p>
        </w:tc>
        <w:tc>
          <w:tcPr>
            <w:tcW w:w="1408" w:type="pct"/>
            <w:tcBorders>
              <w:top w:val="single" w:sz="4" w:space="0" w:color="auto"/>
              <w:bottom w:val="single" w:sz="4" w:space="0" w:color="auto"/>
            </w:tcBorders>
            <w:shd w:val="clear" w:color="auto" w:fill="auto"/>
          </w:tcPr>
          <w:p w:rsidR="00853A74" w:rsidRPr="00D2206A" w:rsidRDefault="00853A74" w:rsidP="00C27F79">
            <w:pPr>
              <w:pStyle w:val="TableText"/>
              <w:keepNext/>
              <w:ind w:right="142"/>
              <w:rPr>
                <w:b/>
              </w:rPr>
            </w:pPr>
            <w:r w:rsidRPr="00D2206A">
              <w:rPr>
                <w:b/>
              </w:rPr>
              <w:t>Intervention/</w:t>
            </w:r>
            <w:r w:rsidR="00D2206A">
              <w:rPr>
                <w:b/>
              </w:rPr>
              <w:t>e</w:t>
            </w:r>
            <w:r w:rsidRPr="00D2206A">
              <w:rPr>
                <w:b/>
              </w:rPr>
              <w:t>xposure</w:t>
            </w:r>
          </w:p>
        </w:tc>
        <w:tc>
          <w:tcPr>
            <w:tcW w:w="631" w:type="pct"/>
            <w:tcBorders>
              <w:top w:val="single" w:sz="4" w:space="0" w:color="auto"/>
              <w:bottom w:val="single" w:sz="4" w:space="0" w:color="auto"/>
            </w:tcBorders>
            <w:shd w:val="clear" w:color="auto" w:fill="auto"/>
          </w:tcPr>
          <w:p w:rsidR="00853A74" w:rsidRPr="00D2206A" w:rsidRDefault="00853A74" w:rsidP="00C27F79">
            <w:pPr>
              <w:pStyle w:val="TableText"/>
              <w:keepNext/>
              <w:rPr>
                <w:b/>
              </w:rPr>
            </w:pPr>
            <w:r w:rsidRPr="00D2206A">
              <w:rPr>
                <w:b/>
              </w:rPr>
              <w:t>Comparison</w:t>
            </w:r>
          </w:p>
        </w:tc>
      </w:tr>
      <w:tr w:rsidR="00EF5FF5" w:rsidRPr="00E07B1B" w:rsidTr="00EF5FF5">
        <w:trPr>
          <w:cantSplit/>
        </w:trPr>
        <w:tc>
          <w:tcPr>
            <w:tcW w:w="455" w:type="pct"/>
            <w:tcBorders>
              <w:top w:val="single" w:sz="4" w:space="0" w:color="auto"/>
              <w:bottom w:val="nil"/>
            </w:tcBorders>
            <w:shd w:val="clear" w:color="auto" w:fill="F2F2F2" w:themeFill="background1" w:themeFillShade="F2"/>
          </w:tcPr>
          <w:p w:rsidR="00853A74" w:rsidRPr="00E07B1B" w:rsidRDefault="00853A74" w:rsidP="00EF5FF5">
            <w:pPr>
              <w:pStyle w:val="TableText"/>
              <w:keepNext/>
              <w:ind w:right="142"/>
            </w:pPr>
            <w:r w:rsidRPr="00E07B1B">
              <w:t>Rowan</w:t>
            </w:r>
            <w:r w:rsidR="00EF5FF5">
              <w:br/>
            </w:r>
            <w:r>
              <w:t>(</w:t>
            </w:r>
            <w:r w:rsidRPr="00E07B1B">
              <w:t>2010</w:t>
            </w:r>
            <w:r>
              <w:t>)</w:t>
            </w:r>
          </w:p>
        </w:tc>
        <w:tc>
          <w:tcPr>
            <w:tcW w:w="380" w:type="pct"/>
            <w:tcBorders>
              <w:top w:val="single" w:sz="4" w:space="0" w:color="auto"/>
              <w:bottom w:val="nil"/>
            </w:tcBorders>
            <w:shd w:val="clear" w:color="auto" w:fill="F2F2F2" w:themeFill="background1" w:themeFillShade="F2"/>
          </w:tcPr>
          <w:p w:rsidR="00853A74" w:rsidRPr="00E07B1B" w:rsidRDefault="00853A74" w:rsidP="00C27F79">
            <w:pPr>
              <w:pStyle w:val="TableText"/>
              <w:keepNext/>
              <w:ind w:right="142"/>
            </w:pPr>
            <w:r>
              <w:t>New Zealand</w:t>
            </w:r>
            <w:r w:rsidRPr="00E07B1B">
              <w:t xml:space="preserve"> and Australia</w:t>
            </w:r>
          </w:p>
        </w:tc>
        <w:tc>
          <w:tcPr>
            <w:tcW w:w="864" w:type="pct"/>
            <w:tcBorders>
              <w:top w:val="single" w:sz="4" w:space="0" w:color="auto"/>
              <w:bottom w:val="nil"/>
            </w:tcBorders>
            <w:shd w:val="clear" w:color="auto" w:fill="F2F2F2" w:themeFill="background1" w:themeFillShade="F2"/>
          </w:tcPr>
          <w:p w:rsidR="00853A74" w:rsidRPr="00E07B1B" w:rsidRDefault="00853A74" w:rsidP="00C27F79">
            <w:pPr>
              <w:pStyle w:val="TableText"/>
              <w:keepNext/>
              <w:ind w:right="142"/>
            </w:pPr>
            <w:r w:rsidRPr="00E07B1B">
              <w:t>The mean gestation at recruitment was 30 ± 3 weeks.</w:t>
            </w:r>
            <w:r>
              <w:t xml:space="preserve"> </w:t>
            </w:r>
            <w:r w:rsidRPr="00E07B1B">
              <w:t>Approximately 47% of women were European, 21%</w:t>
            </w:r>
            <w:r>
              <w:t xml:space="preserve"> </w:t>
            </w:r>
            <w:r w:rsidRPr="00E07B1B">
              <w:t>Polynesian, 12% Indian, 11.5% Chinese or South</w:t>
            </w:r>
            <w:r>
              <w:t xml:space="preserve"> E</w:t>
            </w:r>
            <w:r w:rsidRPr="00E07B1B">
              <w:t>ast Asian and 7% mixed ethnicity.</w:t>
            </w:r>
          </w:p>
        </w:tc>
        <w:tc>
          <w:tcPr>
            <w:tcW w:w="1262" w:type="pct"/>
            <w:tcBorders>
              <w:top w:val="single" w:sz="4" w:space="0" w:color="auto"/>
              <w:bottom w:val="nil"/>
            </w:tcBorders>
            <w:shd w:val="clear" w:color="auto" w:fill="F2F2F2" w:themeFill="background1" w:themeFillShade="F2"/>
          </w:tcPr>
          <w:p w:rsidR="00853A74" w:rsidRPr="00E07B1B" w:rsidRDefault="00853A74" w:rsidP="00EF5FF5">
            <w:pPr>
              <w:pStyle w:val="TableText"/>
              <w:keepNext/>
              <w:ind w:right="142"/>
            </w:pPr>
            <w:r w:rsidRPr="00E07B1B">
              <w:t>Women were eligible for inclusion if they were between 18 and 45 years of age, had received a diagnosis of gestational diabetes mellitus according to ADIP</w:t>
            </w:r>
            <w:r>
              <w:t>S,</w:t>
            </w:r>
            <w:r w:rsidRPr="00E07B1B">
              <w:t xml:space="preserve"> were pregnant with a single fetus between 20</w:t>
            </w:r>
            <w:r w:rsidR="00EF5FF5">
              <w:t> </w:t>
            </w:r>
            <w:r w:rsidRPr="00E07B1B">
              <w:t>and 33 weeks of gestation, met the hospital</w:t>
            </w:r>
            <w:r>
              <w:t>’</w:t>
            </w:r>
            <w:r w:rsidRPr="00E07B1B">
              <w:t>s usual criteria for starting insulin treatment and, after lifestyle intervention consisting of advice about diet and exercise, had more than one capillary blood glucose measurement above 5.4</w:t>
            </w:r>
            <w:r w:rsidR="00EF5FF5">
              <w:t> </w:t>
            </w:r>
            <w:r w:rsidRPr="00E07B1B">
              <w:t>mmol</w:t>
            </w:r>
            <w:r>
              <w:t>/L</w:t>
            </w:r>
            <w:r w:rsidRPr="00E07B1B">
              <w:t xml:space="preserve"> (97.2 mg</w:t>
            </w:r>
            <w:r>
              <w:t>/dL</w:t>
            </w:r>
            <w:r w:rsidRPr="00E07B1B">
              <w:t>) after an overnight fast or more than one 2</w:t>
            </w:r>
            <w:r w:rsidR="00EF5FF5">
              <w:noBreakHyphen/>
            </w:r>
            <w:r w:rsidRPr="00E07B1B">
              <w:t>hour postprandial blood glucose measurement above 6.7 mmol</w:t>
            </w:r>
            <w:r>
              <w:t>/L</w:t>
            </w:r>
            <w:r w:rsidRPr="00E07B1B">
              <w:t xml:space="preserve"> (120.6</w:t>
            </w:r>
            <w:r w:rsidR="00EF5FF5">
              <w:t> </w:t>
            </w:r>
            <w:r w:rsidRPr="00E07B1B">
              <w:t>mg</w:t>
            </w:r>
            <w:r>
              <w:t>/dL</w:t>
            </w:r>
            <w:r w:rsidRPr="00E07B1B">
              <w:t>).</w:t>
            </w:r>
          </w:p>
        </w:tc>
        <w:tc>
          <w:tcPr>
            <w:tcW w:w="1408" w:type="pct"/>
            <w:tcBorders>
              <w:top w:val="single" w:sz="4" w:space="0" w:color="auto"/>
              <w:bottom w:val="nil"/>
            </w:tcBorders>
            <w:shd w:val="clear" w:color="auto" w:fill="F2F2F2" w:themeFill="background1" w:themeFillShade="F2"/>
          </w:tcPr>
          <w:p w:rsidR="00853A74" w:rsidRPr="00E07B1B" w:rsidRDefault="00853A74" w:rsidP="00EF5FF5">
            <w:pPr>
              <w:pStyle w:val="TableText"/>
              <w:keepNext/>
              <w:ind w:right="142"/>
            </w:pPr>
            <w:r w:rsidRPr="00E07B1B">
              <w:t>Metformin was started at a dose of 500</w:t>
            </w:r>
            <w:r w:rsidR="00EF5FF5">
              <w:t> </w:t>
            </w:r>
            <w:r w:rsidRPr="00E07B1B">
              <w:t xml:space="preserve">mg once or twice daily with food and increased, typically over a period of </w:t>
            </w:r>
            <w:r>
              <w:t>one</w:t>
            </w:r>
            <w:r w:rsidRPr="00E07B1B">
              <w:t xml:space="preserve"> to </w:t>
            </w:r>
            <w:r>
              <w:t>two</w:t>
            </w:r>
            <w:r w:rsidRPr="00E07B1B">
              <w:t xml:space="preserve"> weeks, to meet glycaemic targets up to a maximum daily dose of 2500 mg. If the targets were not achieved with metformin alone, insulin was added. Metformin was stopped if maternal contra</w:t>
            </w:r>
            <w:r>
              <w:t>-</w:t>
            </w:r>
            <w:r w:rsidRPr="00E07B1B">
              <w:t>indications (such as liver or renal impairment or sepsis) or feta</w:t>
            </w:r>
            <w:r w:rsidR="00EF5FF5">
              <w:t>l growth restriction developed.</w:t>
            </w:r>
          </w:p>
        </w:tc>
        <w:tc>
          <w:tcPr>
            <w:tcW w:w="631" w:type="pct"/>
            <w:tcBorders>
              <w:top w:val="single" w:sz="4" w:space="0" w:color="auto"/>
              <w:bottom w:val="nil"/>
            </w:tcBorders>
            <w:shd w:val="clear" w:color="auto" w:fill="F2F2F2" w:themeFill="background1" w:themeFillShade="F2"/>
          </w:tcPr>
          <w:p w:rsidR="00853A74" w:rsidRPr="00E07B1B" w:rsidRDefault="00853A74" w:rsidP="00C27F79">
            <w:pPr>
              <w:pStyle w:val="TableText"/>
              <w:keepNext/>
            </w:pPr>
            <w:r w:rsidRPr="00E07B1B">
              <w:t>Insulin was prescribed according to usual practice.</w:t>
            </w:r>
          </w:p>
        </w:tc>
      </w:tr>
      <w:tr w:rsidR="00EF5FF5" w:rsidRPr="00E07B1B" w:rsidTr="00EF5FF5">
        <w:trPr>
          <w:cantSplit/>
        </w:trPr>
        <w:tc>
          <w:tcPr>
            <w:tcW w:w="455" w:type="pct"/>
            <w:tcBorders>
              <w:top w:val="nil"/>
              <w:bottom w:val="nil"/>
            </w:tcBorders>
            <w:shd w:val="clear" w:color="auto" w:fill="auto"/>
          </w:tcPr>
          <w:p w:rsidR="00853A74" w:rsidRPr="00E07B1B" w:rsidRDefault="00853A74" w:rsidP="00EF5FF5">
            <w:pPr>
              <w:pStyle w:val="TableText"/>
              <w:ind w:right="142"/>
            </w:pPr>
            <w:r w:rsidRPr="00E07B1B">
              <w:t>Langer</w:t>
            </w:r>
            <w:r w:rsidR="00EF5FF5">
              <w:br/>
            </w:r>
            <w:r>
              <w:t>(</w:t>
            </w:r>
            <w:r w:rsidRPr="00E07B1B">
              <w:t>1989</w:t>
            </w:r>
            <w:r>
              <w:t>)</w:t>
            </w:r>
          </w:p>
        </w:tc>
        <w:tc>
          <w:tcPr>
            <w:tcW w:w="380" w:type="pct"/>
            <w:tcBorders>
              <w:top w:val="nil"/>
              <w:bottom w:val="nil"/>
            </w:tcBorders>
            <w:shd w:val="clear" w:color="auto" w:fill="auto"/>
          </w:tcPr>
          <w:p w:rsidR="00853A74" w:rsidRPr="00E07B1B" w:rsidRDefault="00853A74" w:rsidP="00C27F79">
            <w:pPr>
              <w:pStyle w:val="TableText"/>
              <w:ind w:right="142"/>
            </w:pPr>
            <w:r w:rsidRPr="00E07B1B">
              <w:t>USA</w:t>
            </w:r>
          </w:p>
        </w:tc>
        <w:tc>
          <w:tcPr>
            <w:tcW w:w="864" w:type="pct"/>
            <w:tcBorders>
              <w:top w:val="nil"/>
              <w:bottom w:val="nil"/>
            </w:tcBorders>
            <w:shd w:val="clear" w:color="auto" w:fill="auto"/>
          </w:tcPr>
          <w:p w:rsidR="00853A74" w:rsidRPr="00E07B1B" w:rsidRDefault="00853A74" w:rsidP="00C27F79">
            <w:pPr>
              <w:pStyle w:val="TableText"/>
              <w:ind w:right="142"/>
            </w:pPr>
            <w:r w:rsidRPr="00E07B1B">
              <w:t>Women with GDM were a mean of 31 (±</w:t>
            </w:r>
            <w:r>
              <w:t xml:space="preserve"> </w:t>
            </w:r>
            <w:r w:rsidRPr="00E07B1B">
              <w:t xml:space="preserve">5) years old. 39% were </w:t>
            </w:r>
            <w:r>
              <w:t>W</w:t>
            </w:r>
            <w:r w:rsidRPr="00E07B1B">
              <w:t xml:space="preserve">hite, 38% </w:t>
            </w:r>
            <w:r>
              <w:t>B</w:t>
            </w:r>
            <w:r w:rsidRPr="00E07B1B">
              <w:t>lack and 29% Hispanic.</w:t>
            </w:r>
          </w:p>
        </w:tc>
        <w:tc>
          <w:tcPr>
            <w:tcW w:w="1262" w:type="pct"/>
            <w:tcBorders>
              <w:top w:val="nil"/>
              <w:bottom w:val="nil"/>
            </w:tcBorders>
            <w:shd w:val="clear" w:color="auto" w:fill="auto"/>
          </w:tcPr>
          <w:p w:rsidR="00853A74" w:rsidRPr="00E07B1B" w:rsidRDefault="00853A74" w:rsidP="00C27F79">
            <w:pPr>
              <w:pStyle w:val="TableText"/>
              <w:ind w:right="142"/>
            </w:pPr>
            <w:r w:rsidRPr="00E07B1B">
              <w:t>Not specified</w:t>
            </w:r>
          </w:p>
        </w:tc>
        <w:tc>
          <w:tcPr>
            <w:tcW w:w="1408" w:type="pct"/>
            <w:tcBorders>
              <w:top w:val="nil"/>
              <w:bottom w:val="nil"/>
            </w:tcBorders>
            <w:shd w:val="clear" w:color="auto" w:fill="auto"/>
          </w:tcPr>
          <w:p w:rsidR="00853A74" w:rsidRPr="00E07B1B" w:rsidRDefault="00853A74" w:rsidP="00EF5FF5">
            <w:pPr>
              <w:pStyle w:val="TableText"/>
              <w:ind w:right="142"/>
            </w:pPr>
            <w:r w:rsidRPr="00C42D7A">
              <w:rPr>
                <w:i/>
              </w:rPr>
              <w:t>n</w:t>
            </w:r>
            <w:r>
              <w:t xml:space="preserve"> </w:t>
            </w:r>
            <w:r w:rsidRPr="00E07B1B">
              <w:t>=</w:t>
            </w:r>
            <w:r>
              <w:t xml:space="preserve"> </w:t>
            </w:r>
            <w:r w:rsidRPr="00E07B1B">
              <w:t>334</w:t>
            </w:r>
            <w:r>
              <w:t>.</w:t>
            </w:r>
            <w:r w:rsidRPr="00E07B1B">
              <w:t xml:space="preserve"> Women with gestational diabetes receiving either restricted di</w:t>
            </w:r>
            <w:r>
              <w:t>et al</w:t>
            </w:r>
            <w:r w:rsidRPr="00E07B1B">
              <w:t>one, or diet + insulin. The goal of treatment was to maintain a fasting blood glucose level of 60</w:t>
            </w:r>
            <w:r>
              <w:t>–</w:t>
            </w:r>
            <w:r w:rsidRPr="00E07B1B">
              <w:t>80</w:t>
            </w:r>
            <w:r>
              <w:t xml:space="preserve"> </w:t>
            </w:r>
            <w:r w:rsidRPr="00E07B1B">
              <w:t>mg/dL, preprandial levels of</w:t>
            </w:r>
            <w:r w:rsidR="00EF5FF5">
              <w:br/>
            </w:r>
            <w:r w:rsidRPr="00E07B1B">
              <w:t>70</w:t>
            </w:r>
            <w:r>
              <w:t>–</w:t>
            </w:r>
            <w:r w:rsidRPr="00E07B1B">
              <w:t>90</w:t>
            </w:r>
            <w:r>
              <w:t> </w:t>
            </w:r>
            <w:r w:rsidRPr="00E07B1B">
              <w:t>mg/dL and postprandial levels of &lt;</w:t>
            </w:r>
            <w:r>
              <w:t> </w:t>
            </w:r>
            <w:r w:rsidRPr="00E07B1B">
              <w:t>120</w:t>
            </w:r>
            <w:r>
              <w:t> </w:t>
            </w:r>
            <w:r w:rsidRPr="00E07B1B">
              <w:t>mg/dL (an overall mean of &lt;</w:t>
            </w:r>
            <w:r>
              <w:t> </w:t>
            </w:r>
            <w:r w:rsidRPr="00E07B1B">
              <w:t>95</w:t>
            </w:r>
            <w:r>
              <w:t> </w:t>
            </w:r>
            <w:r w:rsidRPr="00E07B1B">
              <w:t>mg/dL).</w:t>
            </w:r>
          </w:p>
        </w:tc>
        <w:tc>
          <w:tcPr>
            <w:tcW w:w="631" w:type="pct"/>
            <w:tcBorders>
              <w:top w:val="nil"/>
              <w:bottom w:val="nil"/>
            </w:tcBorders>
            <w:shd w:val="clear" w:color="auto" w:fill="auto"/>
          </w:tcPr>
          <w:p w:rsidR="00853A74" w:rsidRPr="00E07B1B" w:rsidRDefault="00853A74" w:rsidP="00EF5FF5">
            <w:pPr>
              <w:pStyle w:val="TableText"/>
            </w:pPr>
            <w:r w:rsidRPr="00C42D7A">
              <w:rPr>
                <w:i/>
              </w:rPr>
              <w:t>n</w:t>
            </w:r>
            <w:r>
              <w:t xml:space="preserve"> </w:t>
            </w:r>
            <w:r w:rsidRPr="00E07B1B">
              <w:t>=</w:t>
            </w:r>
            <w:r>
              <w:t xml:space="preserve"> </w:t>
            </w:r>
            <w:r w:rsidRPr="00E07B1B">
              <w:t>334</w:t>
            </w:r>
            <w:r>
              <w:t>.</w:t>
            </w:r>
            <w:r w:rsidRPr="00E07B1B">
              <w:t xml:space="preserve"> Non</w:t>
            </w:r>
            <w:r w:rsidR="00EF5FF5">
              <w:noBreakHyphen/>
            </w:r>
            <w:r w:rsidRPr="00E07B1B">
              <w:t>diabetic controls</w:t>
            </w:r>
          </w:p>
        </w:tc>
      </w:tr>
      <w:tr w:rsidR="00EF5FF5" w:rsidRPr="00E07B1B" w:rsidTr="00EF5FF5">
        <w:trPr>
          <w:cantSplit/>
        </w:trPr>
        <w:tc>
          <w:tcPr>
            <w:tcW w:w="455" w:type="pct"/>
            <w:tcBorders>
              <w:top w:val="nil"/>
              <w:bottom w:val="nil"/>
            </w:tcBorders>
            <w:shd w:val="clear" w:color="auto" w:fill="F2F2F2" w:themeFill="background1" w:themeFillShade="F2"/>
          </w:tcPr>
          <w:p w:rsidR="00853A74" w:rsidRPr="00E07B1B" w:rsidRDefault="00853A74" w:rsidP="00EF5FF5">
            <w:pPr>
              <w:pStyle w:val="TableText"/>
              <w:ind w:right="142"/>
            </w:pPr>
            <w:r w:rsidRPr="00E07B1B">
              <w:t>Langer</w:t>
            </w:r>
            <w:r w:rsidR="00EF5FF5">
              <w:br/>
            </w:r>
            <w:r>
              <w:t>(</w:t>
            </w:r>
            <w:r w:rsidRPr="00E07B1B">
              <w:t>1994</w:t>
            </w:r>
            <w:r>
              <w:t>)</w:t>
            </w:r>
          </w:p>
        </w:tc>
        <w:tc>
          <w:tcPr>
            <w:tcW w:w="380" w:type="pct"/>
            <w:tcBorders>
              <w:top w:val="nil"/>
              <w:bottom w:val="nil"/>
            </w:tcBorders>
            <w:shd w:val="clear" w:color="auto" w:fill="F2F2F2" w:themeFill="background1" w:themeFillShade="F2"/>
          </w:tcPr>
          <w:p w:rsidR="00853A74" w:rsidRPr="00E07B1B" w:rsidRDefault="00853A74" w:rsidP="00C27F79">
            <w:pPr>
              <w:pStyle w:val="TableText"/>
              <w:ind w:right="142"/>
            </w:pPr>
            <w:r w:rsidRPr="00E07B1B">
              <w:t>USA</w:t>
            </w:r>
          </w:p>
        </w:tc>
        <w:tc>
          <w:tcPr>
            <w:tcW w:w="864" w:type="pct"/>
            <w:tcBorders>
              <w:top w:val="nil"/>
              <w:bottom w:val="nil"/>
            </w:tcBorders>
            <w:shd w:val="clear" w:color="auto" w:fill="F2F2F2" w:themeFill="background1" w:themeFillShade="F2"/>
          </w:tcPr>
          <w:p w:rsidR="00853A74" w:rsidRPr="00E07B1B" w:rsidRDefault="00853A74" w:rsidP="00C27F79">
            <w:pPr>
              <w:pStyle w:val="TableText"/>
              <w:ind w:right="142"/>
            </w:pPr>
            <w:r w:rsidRPr="00E07B1B">
              <w:t xml:space="preserve">A total of 2461 gestational diabetic women (10% of the screened population) participated. Approximately 83% were Hispanic (the vast majority were Mexican-American), 12% were non-Hispanic </w:t>
            </w:r>
            <w:r>
              <w:t>W</w:t>
            </w:r>
            <w:r w:rsidRPr="00E07B1B">
              <w:t xml:space="preserve">hite, and 5% were </w:t>
            </w:r>
            <w:r>
              <w:t>B</w:t>
            </w:r>
            <w:r w:rsidRPr="00E07B1B">
              <w:t>lack</w:t>
            </w:r>
            <w:r>
              <w:t>.</w:t>
            </w:r>
          </w:p>
        </w:tc>
        <w:tc>
          <w:tcPr>
            <w:tcW w:w="1262" w:type="pct"/>
            <w:tcBorders>
              <w:top w:val="nil"/>
              <w:bottom w:val="nil"/>
            </w:tcBorders>
            <w:shd w:val="clear" w:color="auto" w:fill="F2F2F2" w:themeFill="background1" w:themeFillShade="F2"/>
          </w:tcPr>
          <w:p w:rsidR="00853A74" w:rsidRPr="00E07B1B" w:rsidRDefault="00853A74" w:rsidP="00C27F79">
            <w:pPr>
              <w:pStyle w:val="TableText"/>
              <w:ind w:right="142"/>
            </w:pPr>
            <w:r w:rsidRPr="00E07B1B">
              <w:t>Not specified</w:t>
            </w:r>
            <w:r w:rsidR="00EF5FF5">
              <w:t>.</w:t>
            </w:r>
          </w:p>
        </w:tc>
        <w:tc>
          <w:tcPr>
            <w:tcW w:w="1408" w:type="pct"/>
            <w:tcBorders>
              <w:top w:val="nil"/>
              <w:bottom w:val="nil"/>
            </w:tcBorders>
            <w:shd w:val="clear" w:color="auto" w:fill="F2F2F2" w:themeFill="background1" w:themeFillShade="F2"/>
          </w:tcPr>
          <w:p w:rsidR="00EF5FF5" w:rsidRDefault="00853A74" w:rsidP="00EF5FF5">
            <w:pPr>
              <w:pStyle w:val="TableText"/>
              <w:ind w:left="425" w:right="142" w:hanging="425"/>
            </w:pPr>
            <w:r w:rsidRPr="00E07B1B">
              <w:t>(1)</w:t>
            </w:r>
            <w:r w:rsidR="00EF5FF5">
              <w:tab/>
            </w:r>
            <w:r>
              <w:t>I</w:t>
            </w:r>
            <w:r w:rsidRPr="00E07B1B">
              <w:t>n the intensified management group (</w:t>
            </w:r>
            <w:r w:rsidRPr="00C42D7A">
              <w:rPr>
                <w:i/>
              </w:rPr>
              <w:t>n</w:t>
            </w:r>
            <w:r>
              <w:t> </w:t>
            </w:r>
            <w:r w:rsidRPr="00E07B1B">
              <w:t>=</w:t>
            </w:r>
            <w:r>
              <w:t> </w:t>
            </w:r>
            <w:r w:rsidRPr="00E07B1B">
              <w:t>1145) patients were assigned memory reflectance meters and were instructed by nurse-educators in self</w:t>
            </w:r>
            <w:r>
              <w:t>-</w:t>
            </w:r>
            <w:r w:rsidRPr="00E07B1B">
              <w:t>monitoring blood glucose technique (seven times/day: fasting, preprandial, 2</w:t>
            </w:r>
            <w:r w:rsidR="00EF5FF5">
              <w:noBreakHyphen/>
            </w:r>
            <w:r w:rsidRPr="00E07B1B">
              <w:t>hour postprandial, and at bedtime)</w:t>
            </w:r>
            <w:r w:rsidR="00EF5FF5">
              <w:t>.</w:t>
            </w:r>
          </w:p>
          <w:p w:rsidR="00853A74" w:rsidRPr="00E07B1B" w:rsidRDefault="00853A74" w:rsidP="00EF5FF5">
            <w:pPr>
              <w:pStyle w:val="TableText"/>
              <w:ind w:left="425" w:right="142" w:hanging="425"/>
            </w:pPr>
            <w:r w:rsidRPr="00E07B1B">
              <w:t>(2)</w:t>
            </w:r>
            <w:r w:rsidR="00EF5FF5">
              <w:tab/>
              <w:t>I</w:t>
            </w:r>
            <w:r w:rsidRPr="00E07B1B">
              <w:t>n the conventional management group (</w:t>
            </w:r>
            <w:r w:rsidRPr="00C42D7A">
              <w:rPr>
                <w:i/>
              </w:rPr>
              <w:t>n</w:t>
            </w:r>
            <w:r w:rsidRPr="00E07B1B">
              <w:t xml:space="preserve"> = 1316) patients were instructed by a nurse-educator and were assessed weekly for fasting and 2</w:t>
            </w:r>
            <w:r w:rsidR="00EF5FF5">
              <w:noBreakHyphen/>
            </w:r>
            <w:r w:rsidRPr="00E07B1B">
              <w:t>hour postprandial venous plasma glucose during clinic visits. The patients performed four daily self-monitored blood glucose determinations with glucose strips (fasting and 2 hours after breakfast, lunch and dinner).</w:t>
            </w:r>
          </w:p>
        </w:tc>
        <w:tc>
          <w:tcPr>
            <w:tcW w:w="631" w:type="pct"/>
            <w:tcBorders>
              <w:top w:val="nil"/>
              <w:bottom w:val="nil"/>
            </w:tcBorders>
            <w:shd w:val="clear" w:color="auto" w:fill="F2F2F2" w:themeFill="background1" w:themeFillShade="F2"/>
          </w:tcPr>
          <w:p w:rsidR="00853A74" w:rsidRPr="00E07B1B" w:rsidRDefault="00853A74" w:rsidP="00D2206A">
            <w:pPr>
              <w:pStyle w:val="TableText"/>
            </w:pPr>
            <w:r w:rsidRPr="00E07B1B">
              <w:t>Non-diabetic controls</w:t>
            </w:r>
            <w:r w:rsidR="00EF5FF5">
              <w:t>.</w:t>
            </w:r>
          </w:p>
        </w:tc>
      </w:tr>
      <w:tr w:rsidR="00EF5FF5" w:rsidRPr="00E07B1B" w:rsidTr="00EF5FF5">
        <w:trPr>
          <w:cantSplit/>
        </w:trPr>
        <w:tc>
          <w:tcPr>
            <w:tcW w:w="455" w:type="pct"/>
            <w:tcBorders>
              <w:top w:val="nil"/>
              <w:bottom w:val="nil"/>
            </w:tcBorders>
            <w:shd w:val="clear" w:color="auto" w:fill="auto"/>
          </w:tcPr>
          <w:p w:rsidR="00853A74" w:rsidRPr="00E07B1B" w:rsidRDefault="00853A74" w:rsidP="00EF5FF5">
            <w:pPr>
              <w:pStyle w:val="TableText"/>
              <w:ind w:right="142"/>
            </w:pPr>
            <w:r w:rsidRPr="00E07B1B">
              <w:t>Yogev</w:t>
            </w:r>
            <w:r w:rsidR="00EF5FF5">
              <w:br/>
            </w:r>
            <w:r>
              <w:t>(</w:t>
            </w:r>
            <w:r w:rsidRPr="00E07B1B">
              <w:t>2004</w:t>
            </w:r>
            <w:r>
              <w:t>)</w:t>
            </w:r>
          </w:p>
        </w:tc>
        <w:tc>
          <w:tcPr>
            <w:tcW w:w="380" w:type="pct"/>
            <w:tcBorders>
              <w:top w:val="nil"/>
              <w:bottom w:val="nil"/>
            </w:tcBorders>
            <w:shd w:val="clear" w:color="auto" w:fill="auto"/>
          </w:tcPr>
          <w:p w:rsidR="00853A74" w:rsidRPr="00E07B1B" w:rsidRDefault="00853A74" w:rsidP="00C27F79">
            <w:pPr>
              <w:pStyle w:val="TableText"/>
              <w:ind w:right="142"/>
            </w:pPr>
            <w:r w:rsidRPr="00E07B1B">
              <w:t>USA</w:t>
            </w:r>
          </w:p>
        </w:tc>
        <w:tc>
          <w:tcPr>
            <w:tcW w:w="864" w:type="pct"/>
            <w:tcBorders>
              <w:top w:val="nil"/>
              <w:bottom w:val="nil"/>
            </w:tcBorders>
            <w:shd w:val="clear" w:color="auto" w:fill="auto"/>
          </w:tcPr>
          <w:p w:rsidR="00853A74" w:rsidRPr="00E07B1B" w:rsidRDefault="00853A74" w:rsidP="00C27F79">
            <w:pPr>
              <w:pStyle w:val="TableText"/>
              <w:ind w:right="142"/>
            </w:pPr>
            <w:r w:rsidRPr="00E07B1B">
              <w:t>Patients had an approximate mean age of 28 years. Majority of patients (85%) were Mexican-American.</w:t>
            </w:r>
          </w:p>
        </w:tc>
        <w:tc>
          <w:tcPr>
            <w:tcW w:w="1262" w:type="pct"/>
            <w:tcBorders>
              <w:top w:val="nil"/>
              <w:bottom w:val="nil"/>
            </w:tcBorders>
            <w:shd w:val="clear" w:color="auto" w:fill="auto"/>
          </w:tcPr>
          <w:p w:rsidR="00853A74" w:rsidRPr="00E07B1B" w:rsidRDefault="00853A74" w:rsidP="00C27F79">
            <w:pPr>
              <w:pStyle w:val="TableText"/>
              <w:ind w:right="142"/>
            </w:pPr>
            <w:r w:rsidRPr="00E07B1B">
              <w:t>Women with singleton pregnancies and gestational diabetes first diagnosed in the current pregnancy before 33 weeks</w:t>
            </w:r>
            <w:r>
              <w:t>’</w:t>
            </w:r>
            <w:r w:rsidRPr="00E07B1B">
              <w:t xml:space="preserve"> gestation.</w:t>
            </w:r>
          </w:p>
        </w:tc>
        <w:tc>
          <w:tcPr>
            <w:tcW w:w="1408" w:type="pct"/>
            <w:tcBorders>
              <w:top w:val="nil"/>
              <w:bottom w:val="nil"/>
            </w:tcBorders>
            <w:shd w:val="clear" w:color="auto" w:fill="auto"/>
          </w:tcPr>
          <w:p w:rsidR="00853A74" w:rsidRPr="00E07B1B" w:rsidRDefault="00853A74" w:rsidP="00EF5FF5">
            <w:pPr>
              <w:pStyle w:val="TableText"/>
              <w:ind w:right="142"/>
            </w:pPr>
            <w:r w:rsidRPr="00E07B1B">
              <w:t>Patients who developed pre</w:t>
            </w:r>
            <w:r w:rsidR="00EF5FF5">
              <w:noBreakHyphen/>
            </w:r>
            <w:r w:rsidRPr="00E07B1B">
              <w:t>eclampsia</w:t>
            </w:r>
            <w:r w:rsidR="00EF5FF5">
              <w:t>.</w:t>
            </w:r>
          </w:p>
        </w:tc>
        <w:tc>
          <w:tcPr>
            <w:tcW w:w="631" w:type="pct"/>
            <w:tcBorders>
              <w:top w:val="nil"/>
              <w:bottom w:val="nil"/>
            </w:tcBorders>
            <w:shd w:val="clear" w:color="auto" w:fill="auto"/>
          </w:tcPr>
          <w:p w:rsidR="00853A74" w:rsidRPr="00E07B1B" w:rsidRDefault="00853A74" w:rsidP="00EF5FF5">
            <w:pPr>
              <w:pStyle w:val="TableText"/>
            </w:pPr>
            <w:r w:rsidRPr="00E07B1B">
              <w:t>Patients who did not develop pre</w:t>
            </w:r>
            <w:r w:rsidR="00EF5FF5">
              <w:noBreakHyphen/>
            </w:r>
            <w:r w:rsidRPr="00E07B1B">
              <w:t>eclampsia</w:t>
            </w:r>
            <w:r w:rsidR="00EF5FF5">
              <w:t>.</w:t>
            </w:r>
          </w:p>
        </w:tc>
      </w:tr>
      <w:tr w:rsidR="00EF5FF5" w:rsidRPr="00E07B1B" w:rsidTr="00EF5FF5">
        <w:trPr>
          <w:cantSplit/>
        </w:trPr>
        <w:tc>
          <w:tcPr>
            <w:tcW w:w="455" w:type="pct"/>
            <w:tcBorders>
              <w:top w:val="nil"/>
              <w:bottom w:val="single" w:sz="4" w:space="0" w:color="auto"/>
              <w:right w:val="nil"/>
            </w:tcBorders>
            <w:shd w:val="clear" w:color="auto" w:fill="F2F2F2" w:themeFill="background1" w:themeFillShade="F2"/>
          </w:tcPr>
          <w:p w:rsidR="00853A74" w:rsidRPr="00E07B1B" w:rsidRDefault="00853A74" w:rsidP="00EF5FF5">
            <w:pPr>
              <w:pStyle w:val="TableText"/>
              <w:ind w:right="142"/>
            </w:pPr>
            <w:r w:rsidRPr="00E07B1B">
              <w:t>Banerjee</w:t>
            </w:r>
            <w:r w:rsidR="00EF5FF5">
              <w:br/>
            </w:r>
            <w:r>
              <w:t>(</w:t>
            </w:r>
            <w:r w:rsidRPr="00E07B1B">
              <w:t>2004</w:t>
            </w:r>
            <w:r>
              <w:t>)</w:t>
            </w:r>
          </w:p>
        </w:tc>
        <w:tc>
          <w:tcPr>
            <w:tcW w:w="380" w:type="pct"/>
            <w:tcBorders>
              <w:top w:val="nil"/>
              <w:left w:val="nil"/>
              <w:bottom w:val="single" w:sz="4" w:space="0" w:color="auto"/>
              <w:right w:val="nil"/>
            </w:tcBorders>
            <w:shd w:val="clear" w:color="auto" w:fill="F2F2F2" w:themeFill="background1" w:themeFillShade="F2"/>
          </w:tcPr>
          <w:p w:rsidR="00853A74" w:rsidRPr="00E07B1B" w:rsidRDefault="00853A74" w:rsidP="00C27F79">
            <w:pPr>
              <w:pStyle w:val="TableText"/>
              <w:ind w:right="142"/>
            </w:pPr>
            <w:r w:rsidRPr="00E07B1B">
              <w:t>India</w:t>
            </w:r>
          </w:p>
        </w:tc>
        <w:tc>
          <w:tcPr>
            <w:tcW w:w="864" w:type="pct"/>
            <w:tcBorders>
              <w:top w:val="nil"/>
              <w:left w:val="nil"/>
              <w:bottom w:val="single" w:sz="4" w:space="0" w:color="auto"/>
              <w:right w:val="nil"/>
            </w:tcBorders>
            <w:shd w:val="clear" w:color="auto" w:fill="F2F2F2" w:themeFill="background1" w:themeFillShade="F2"/>
          </w:tcPr>
          <w:p w:rsidR="00853A74" w:rsidRPr="00E07B1B" w:rsidRDefault="00853A74" w:rsidP="00EF5FF5">
            <w:pPr>
              <w:pStyle w:val="TableText"/>
              <w:ind w:right="142"/>
            </w:pPr>
            <w:r w:rsidRPr="00E07B1B">
              <w:t>Mean age was 29.48 ± 4.23 years</w:t>
            </w:r>
            <w:r>
              <w:t xml:space="preserve">. </w:t>
            </w:r>
            <w:r w:rsidRPr="00E07B1B">
              <w:t>Of the 176 GDM patients</w:t>
            </w:r>
            <w:r>
              <w:t>,</w:t>
            </w:r>
            <w:r w:rsidRPr="00E07B1B">
              <w:t xml:space="preserve"> 44 were detected before 24 weeks, 32 between 24 and 28 weeks, 72</w:t>
            </w:r>
            <w:r w:rsidR="00EF5FF5">
              <w:t> </w:t>
            </w:r>
            <w:r w:rsidRPr="00E07B1B">
              <w:t>between 29 and 34weeks and 28 beyond 34 weeks.</w:t>
            </w:r>
          </w:p>
        </w:tc>
        <w:tc>
          <w:tcPr>
            <w:tcW w:w="1262" w:type="pct"/>
            <w:tcBorders>
              <w:top w:val="nil"/>
              <w:left w:val="nil"/>
              <w:bottom w:val="single" w:sz="4" w:space="0" w:color="auto"/>
              <w:right w:val="nil"/>
            </w:tcBorders>
            <w:shd w:val="clear" w:color="auto" w:fill="F2F2F2" w:themeFill="background1" w:themeFillShade="F2"/>
          </w:tcPr>
          <w:p w:rsidR="00853A74" w:rsidRPr="00E07B1B" w:rsidRDefault="00853A74" w:rsidP="00C27F79">
            <w:pPr>
              <w:pStyle w:val="TableText"/>
              <w:ind w:right="142"/>
            </w:pPr>
            <w:r w:rsidRPr="00E07B1B">
              <w:t>GDM cases (</w:t>
            </w:r>
            <w:r w:rsidRPr="00C42D7A">
              <w:rPr>
                <w:i/>
              </w:rPr>
              <w:t>n</w:t>
            </w:r>
            <w:r>
              <w:t xml:space="preserve"> </w:t>
            </w:r>
            <w:r w:rsidRPr="00E07B1B">
              <w:t>=</w:t>
            </w:r>
            <w:r>
              <w:t xml:space="preserve"> </w:t>
            </w:r>
            <w:r w:rsidRPr="00E07B1B">
              <w:t>176): On the basis of Carpenter and Coustan</w:t>
            </w:r>
            <w:r>
              <w:t>’</w:t>
            </w:r>
            <w:r w:rsidRPr="00E07B1B">
              <w:t>s modification of O</w:t>
            </w:r>
            <w:r>
              <w:t>’</w:t>
            </w:r>
            <w:r w:rsidRPr="00E07B1B">
              <w:t>Sullivan-Mahan</w:t>
            </w:r>
            <w:r>
              <w:t>’</w:t>
            </w:r>
            <w:r w:rsidRPr="00E07B1B">
              <w:t>s criteria.</w:t>
            </w:r>
          </w:p>
        </w:tc>
        <w:tc>
          <w:tcPr>
            <w:tcW w:w="1408" w:type="pct"/>
            <w:tcBorders>
              <w:top w:val="nil"/>
              <w:left w:val="nil"/>
              <w:bottom w:val="single" w:sz="4" w:space="0" w:color="auto"/>
              <w:right w:val="nil"/>
            </w:tcBorders>
            <w:shd w:val="clear" w:color="auto" w:fill="F2F2F2" w:themeFill="background1" w:themeFillShade="F2"/>
          </w:tcPr>
          <w:p w:rsidR="00853A74" w:rsidRDefault="00853A74" w:rsidP="00EF5FF5">
            <w:pPr>
              <w:pStyle w:val="TableText"/>
              <w:ind w:left="425" w:right="142" w:hanging="425"/>
            </w:pPr>
            <w:r w:rsidRPr="00E07B1B">
              <w:t>(1)</w:t>
            </w:r>
            <w:r w:rsidR="00EF5FF5">
              <w:tab/>
            </w:r>
            <w:r w:rsidRPr="00E07B1B">
              <w:t xml:space="preserve">Tight </w:t>
            </w:r>
            <w:r>
              <w:t>g</w:t>
            </w:r>
            <w:r w:rsidRPr="00E07B1B">
              <w:t xml:space="preserve">lycaemic </w:t>
            </w:r>
            <w:r>
              <w:t>c</w:t>
            </w:r>
            <w:r w:rsidRPr="00E07B1B">
              <w:t xml:space="preserve">ontrol: Patients with </w:t>
            </w:r>
            <w:r>
              <w:t>fasting plasma glucose</w:t>
            </w:r>
            <w:r w:rsidRPr="00E07B1B">
              <w:t xml:space="preserve"> level &lt;</w:t>
            </w:r>
            <w:r w:rsidR="00EF5FF5">
              <w:t> </w:t>
            </w:r>
            <w:r w:rsidRPr="00E07B1B">
              <w:t>70</w:t>
            </w:r>
            <w:r w:rsidR="00EF5FF5">
              <w:t> </w:t>
            </w:r>
            <w:r w:rsidRPr="00E07B1B">
              <w:t>mg</w:t>
            </w:r>
            <w:r>
              <w:t>/dL</w:t>
            </w:r>
            <w:r w:rsidRPr="00E07B1B">
              <w:t>, 2</w:t>
            </w:r>
            <w:r>
              <w:t>-hour postprandial</w:t>
            </w:r>
            <w:r w:rsidRPr="00E07B1B">
              <w:t xml:space="preserve"> </w:t>
            </w:r>
            <w:r>
              <w:t>plasma glucose</w:t>
            </w:r>
            <w:r w:rsidRPr="00E07B1B">
              <w:t xml:space="preserve"> level &lt;</w:t>
            </w:r>
            <w:r>
              <w:t> </w:t>
            </w:r>
            <w:r w:rsidRPr="00E07B1B">
              <w:t>100 mg</w:t>
            </w:r>
            <w:r>
              <w:t>/dL</w:t>
            </w:r>
            <w:r w:rsidRPr="00E07B1B">
              <w:t>, and HbA1C &lt; 6.5% following treatment.</w:t>
            </w:r>
          </w:p>
          <w:p w:rsidR="00853A74" w:rsidRPr="00E07B1B" w:rsidRDefault="00853A74" w:rsidP="00EF5FF5">
            <w:pPr>
              <w:pStyle w:val="TableText"/>
              <w:ind w:left="425" w:right="142" w:hanging="425"/>
            </w:pPr>
            <w:r w:rsidRPr="00E07B1B">
              <w:t>(2)</w:t>
            </w:r>
            <w:r w:rsidR="00EF5FF5">
              <w:tab/>
            </w:r>
            <w:r w:rsidRPr="00E07B1B">
              <w:t xml:space="preserve">Acceptable glycaemic control: Patients with </w:t>
            </w:r>
            <w:r>
              <w:t>fasting plasma glucose</w:t>
            </w:r>
            <w:r w:rsidRPr="00E07B1B">
              <w:t xml:space="preserve"> level between 70</w:t>
            </w:r>
            <w:r>
              <w:t xml:space="preserve"> and </w:t>
            </w:r>
            <w:r w:rsidRPr="00E07B1B">
              <w:t>95</w:t>
            </w:r>
            <w:r w:rsidR="00EF5FF5">
              <w:t> </w:t>
            </w:r>
            <w:r w:rsidRPr="00E07B1B">
              <w:t>mg</w:t>
            </w:r>
            <w:r>
              <w:t>/dL,</w:t>
            </w:r>
            <w:r w:rsidRPr="00E07B1B">
              <w:t xml:space="preserve"> 2</w:t>
            </w:r>
            <w:r>
              <w:t>-hour postprandial</w:t>
            </w:r>
            <w:r w:rsidRPr="00E07B1B">
              <w:t xml:space="preserve"> </w:t>
            </w:r>
            <w:r>
              <w:t>plasma glucose</w:t>
            </w:r>
            <w:r w:rsidRPr="00E07B1B">
              <w:t xml:space="preserve"> level between 100</w:t>
            </w:r>
            <w:r w:rsidR="00EF5FF5">
              <w:t> </w:t>
            </w:r>
            <w:r>
              <w:t xml:space="preserve">and </w:t>
            </w:r>
            <w:r w:rsidRPr="00E07B1B">
              <w:t>120 mg</w:t>
            </w:r>
            <w:r>
              <w:t>/dL</w:t>
            </w:r>
            <w:r w:rsidRPr="00E07B1B">
              <w:t xml:space="preserve"> and HbA1C between 6.5</w:t>
            </w:r>
            <w:r>
              <w:t xml:space="preserve">% and </w:t>
            </w:r>
            <w:r w:rsidR="00EF5FF5">
              <w:t>7.5% following treatment.</w:t>
            </w:r>
          </w:p>
        </w:tc>
        <w:tc>
          <w:tcPr>
            <w:tcW w:w="631" w:type="pct"/>
            <w:tcBorders>
              <w:top w:val="nil"/>
              <w:left w:val="nil"/>
              <w:bottom w:val="single" w:sz="4" w:space="0" w:color="auto"/>
            </w:tcBorders>
            <w:shd w:val="clear" w:color="auto" w:fill="F2F2F2" w:themeFill="background1" w:themeFillShade="F2"/>
          </w:tcPr>
          <w:p w:rsidR="00853A74" w:rsidRPr="00E07B1B" w:rsidRDefault="00853A74" w:rsidP="00EF5FF5">
            <w:pPr>
              <w:pStyle w:val="TableText"/>
            </w:pPr>
            <w:r w:rsidRPr="00E07B1B">
              <w:t xml:space="preserve">Uncontrolled glycaemic group: Patients with </w:t>
            </w:r>
            <w:r>
              <w:t>fasting plasma glucose</w:t>
            </w:r>
            <w:r w:rsidRPr="00E07B1B">
              <w:t xml:space="preserve"> level &gt;</w:t>
            </w:r>
            <w:r w:rsidR="00EF5FF5">
              <w:t> </w:t>
            </w:r>
            <w:r w:rsidRPr="00E07B1B">
              <w:t>95</w:t>
            </w:r>
            <w:r w:rsidR="00EF5FF5">
              <w:t> </w:t>
            </w:r>
            <w:r w:rsidRPr="00E07B1B">
              <w:t>mg</w:t>
            </w:r>
            <w:r>
              <w:t>/dL</w:t>
            </w:r>
            <w:r w:rsidRPr="00E07B1B">
              <w:t>, 2</w:t>
            </w:r>
            <w:r w:rsidR="00EF5FF5">
              <w:noBreakHyphen/>
            </w:r>
            <w:r>
              <w:t>hour postprandial</w:t>
            </w:r>
            <w:r w:rsidRPr="00E07B1B">
              <w:t xml:space="preserve"> </w:t>
            </w:r>
            <w:r>
              <w:t>plasma glucose</w:t>
            </w:r>
            <w:r w:rsidRPr="00E07B1B">
              <w:t xml:space="preserve"> level &gt;</w:t>
            </w:r>
            <w:r w:rsidR="00EF5FF5">
              <w:t> </w:t>
            </w:r>
            <w:r w:rsidRPr="00E07B1B">
              <w:t>120</w:t>
            </w:r>
            <w:r w:rsidR="00EF5FF5">
              <w:t> </w:t>
            </w:r>
            <w:r w:rsidRPr="00E07B1B">
              <w:t>mg</w:t>
            </w:r>
            <w:r>
              <w:t>/dL</w:t>
            </w:r>
            <w:r w:rsidRPr="00E07B1B">
              <w:t xml:space="preserve"> and HbA1C &gt;</w:t>
            </w:r>
            <w:r w:rsidR="00EF5FF5">
              <w:t> </w:t>
            </w:r>
            <w:r w:rsidRPr="00E07B1B">
              <w:t>7.5% in spite of treatment were included in this group.</w:t>
            </w:r>
          </w:p>
        </w:tc>
      </w:tr>
    </w:tbl>
    <w:p w:rsidR="00853A74" w:rsidRDefault="00853A74" w:rsidP="00EF5FF5">
      <w:pPr>
        <w:pStyle w:val="Note"/>
      </w:pPr>
      <w:r>
        <w:t xml:space="preserve">Note: </w:t>
      </w:r>
      <w:r w:rsidRPr="00E07B1B">
        <w:rPr>
          <w:lang w:eastAsia="ja-JP"/>
        </w:rPr>
        <w:t xml:space="preserve">ADIPS </w:t>
      </w:r>
      <w:r>
        <w:rPr>
          <w:lang w:eastAsia="ja-JP"/>
        </w:rPr>
        <w:t>=</w:t>
      </w:r>
      <w:r w:rsidRPr="00E07B1B">
        <w:rPr>
          <w:lang w:eastAsia="ja-JP"/>
        </w:rPr>
        <w:t xml:space="preserve"> Australasian Diabetes in Pregnancy Society</w:t>
      </w:r>
      <w:r>
        <w:rPr>
          <w:lang w:eastAsia="ja-JP"/>
        </w:rPr>
        <w:t>;</w:t>
      </w:r>
      <w:r w:rsidRPr="00E07B1B">
        <w:t xml:space="preserve"> GDM </w:t>
      </w:r>
      <w:r>
        <w:t>=</w:t>
      </w:r>
      <w:r w:rsidRPr="00E07B1B">
        <w:t xml:space="preserve"> gestational diabetes mellitus</w:t>
      </w:r>
      <w:r w:rsidR="00EF5FF5">
        <w:t>.</w:t>
      </w:r>
    </w:p>
    <w:p w:rsidR="00EF5FF5" w:rsidRPr="00EF5FF5" w:rsidRDefault="00EF5FF5" w:rsidP="00EF5FF5"/>
    <w:p w:rsidR="00853A74" w:rsidRPr="00E07B1B" w:rsidRDefault="00853A74" w:rsidP="00EF5FF5">
      <w:pPr>
        <w:pStyle w:val="Table"/>
      </w:pPr>
      <w:bookmarkStart w:id="561" w:name="_Toc363717837"/>
      <w:bookmarkStart w:id="562" w:name="_Toc403635919"/>
      <w:r w:rsidRPr="00E07B1B">
        <w:t>Table 38</w:t>
      </w:r>
      <w:r w:rsidR="00EF5FF5">
        <w:t>:</w:t>
      </w:r>
      <w:r w:rsidRPr="00E07B1B">
        <w:t xml:space="preserve"> Trial characteristics for ultrasound guided treatment</w:t>
      </w:r>
      <w:bookmarkEnd w:id="561"/>
      <w:bookmarkEnd w:id="562"/>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327"/>
        <w:gridCol w:w="1225"/>
        <w:gridCol w:w="2269"/>
        <w:gridCol w:w="3259"/>
        <w:gridCol w:w="4112"/>
        <w:gridCol w:w="2409"/>
      </w:tblGrid>
      <w:tr w:rsidR="00EF5FF5" w:rsidRPr="00EF5FF5" w:rsidTr="009759EE">
        <w:trPr>
          <w:cantSplit/>
          <w:tblHeader/>
        </w:trPr>
        <w:tc>
          <w:tcPr>
            <w:tcW w:w="454" w:type="pct"/>
            <w:tcBorders>
              <w:top w:val="single" w:sz="4" w:space="0" w:color="auto"/>
              <w:bottom w:val="single" w:sz="4" w:space="0" w:color="auto"/>
              <w:right w:val="nil"/>
            </w:tcBorders>
            <w:shd w:val="clear" w:color="auto" w:fill="auto"/>
          </w:tcPr>
          <w:p w:rsidR="00853A74" w:rsidRPr="00EF5FF5" w:rsidRDefault="00853A74" w:rsidP="00EF5FF5">
            <w:pPr>
              <w:pStyle w:val="TableText"/>
              <w:keepNext/>
              <w:ind w:right="142"/>
              <w:rPr>
                <w:b/>
              </w:rPr>
            </w:pPr>
            <w:r w:rsidRPr="00EF5FF5">
              <w:rPr>
                <w:b/>
              </w:rPr>
              <w:t>Reference</w:t>
            </w:r>
          </w:p>
        </w:tc>
        <w:tc>
          <w:tcPr>
            <w:tcW w:w="419" w:type="pct"/>
            <w:tcBorders>
              <w:top w:val="single" w:sz="4" w:space="0" w:color="auto"/>
              <w:left w:val="nil"/>
              <w:bottom w:val="single" w:sz="4" w:space="0" w:color="auto"/>
              <w:right w:val="nil"/>
            </w:tcBorders>
            <w:shd w:val="clear" w:color="auto" w:fill="auto"/>
          </w:tcPr>
          <w:p w:rsidR="00853A74" w:rsidRPr="00EF5FF5" w:rsidRDefault="00853A74" w:rsidP="00EF5FF5">
            <w:pPr>
              <w:pStyle w:val="TableText"/>
              <w:keepNext/>
              <w:ind w:right="142"/>
              <w:rPr>
                <w:b/>
              </w:rPr>
            </w:pPr>
            <w:r w:rsidRPr="00EF5FF5">
              <w:rPr>
                <w:b/>
              </w:rPr>
              <w:t>Country</w:t>
            </w:r>
          </w:p>
        </w:tc>
        <w:tc>
          <w:tcPr>
            <w:tcW w:w="777" w:type="pct"/>
            <w:tcBorders>
              <w:top w:val="single" w:sz="4" w:space="0" w:color="auto"/>
              <w:left w:val="nil"/>
              <w:bottom w:val="single" w:sz="4" w:space="0" w:color="auto"/>
              <w:right w:val="nil"/>
            </w:tcBorders>
            <w:shd w:val="clear" w:color="auto" w:fill="auto"/>
          </w:tcPr>
          <w:p w:rsidR="00853A74" w:rsidRPr="00EF5FF5" w:rsidRDefault="00853A74" w:rsidP="00EF5FF5">
            <w:pPr>
              <w:pStyle w:val="TableText"/>
              <w:keepNext/>
              <w:ind w:right="142"/>
              <w:rPr>
                <w:b/>
              </w:rPr>
            </w:pPr>
            <w:r w:rsidRPr="00EF5FF5">
              <w:rPr>
                <w:b/>
              </w:rPr>
              <w:t>Participant characteristics</w:t>
            </w:r>
          </w:p>
        </w:tc>
        <w:tc>
          <w:tcPr>
            <w:tcW w:w="1116" w:type="pct"/>
            <w:tcBorders>
              <w:top w:val="single" w:sz="4" w:space="0" w:color="auto"/>
              <w:left w:val="nil"/>
              <w:bottom w:val="single" w:sz="4" w:space="0" w:color="auto"/>
              <w:right w:val="nil"/>
            </w:tcBorders>
            <w:shd w:val="clear" w:color="auto" w:fill="auto"/>
          </w:tcPr>
          <w:p w:rsidR="00853A74" w:rsidRPr="00EF5FF5" w:rsidRDefault="00853A74" w:rsidP="00EF5FF5">
            <w:pPr>
              <w:pStyle w:val="TableText"/>
              <w:keepNext/>
              <w:ind w:right="142"/>
              <w:rPr>
                <w:b/>
              </w:rPr>
            </w:pPr>
            <w:r w:rsidRPr="00EF5FF5">
              <w:rPr>
                <w:b/>
              </w:rPr>
              <w:t>Inclusion criteria</w:t>
            </w:r>
          </w:p>
        </w:tc>
        <w:tc>
          <w:tcPr>
            <w:tcW w:w="1408" w:type="pct"/>
            <w:tcBorders>
              <w:top w:val="single" w:sz="4" w:space="0" w:color="auto"/>
              <w:left w:val="nil"/>
              <w:bottom w:val="single" w:sz="4" w:space="0" w:color="auto"/>
              <w:right w:val="nil"/>
            </w:tcBorders>
            <w:shd w:val="clear" w:color="auto" w:fill="auto"/>
          </w:tcPr>
          <w:p w:rsidR="00853A74" w:rsidRPr="00EF5FF5" w:rsidRDefault="00853A74" w:rsidP="00EF5FF5">
            <w:pPr>
              <w:pStyle w:val="TableText"/>
              <w:keepNext/>
              <w:ind w:right="142"/>
              <w:rPr>
                <w:b/>
              </w:rPr>
            </w:pPr>
            <w:r w:rsidRPr="00EF5FF5">
              <w:rPr>
                <w:b/>
              </w:rPr>
              <w:t>Intervention</w:t>
            </w:r>
          </w:p>
        </w:tc>
        <w:tc>
          <w:tcPr>
            <w:tcW w:w="825" w:type="pct"/>
            <w:tcBorders>
              <w:top w:val="single" w:sz="4" w:space="0" w:color="auto"/>
              <w:left w:val="nil"/>
              <w:bottom w:val="single" w:sz="4" w:space="0" w:color="auto"/>
            </w:tcBorders>
            <w:shd w:val="clear" w:color="auto" w:fill="auto"/>
          </w:tcPr>
          <w:p w:rsidR="00853A74" w:rsidRPr="00EF5FF5" w:rsidRDefault="00853A74" w:rsidP="00EF5FF5">
            <w:pPr>
              <w:pStyle w:val="TableText"/>
              <w:keepNext/>
              <w:rPr>
                <w:b/>
              </w:rPr>
            </w:pPr>
            <w:r w:rsidRPr="00EF5FF5">
              <w:rPr>
                <w:b/>
              </w:rPr>
              <w:t>Comparison</w:t>
            </w:r>
          </w:p>
        </w:tc>
      </w:tr>
      <w:tr w:rsidR="00EF5FF5" w:rsidRPr="00175F33" w:rsidTr="009759EE">
        <w:trPr>
          <w:cantSplit/>
        </w:trPr>
        <w:tc>
          <w:tcPr>
            <w:tcW w:w="454" w:type="pct"/>
            <w:tcBorders>
              <w:top w:val="single" w:sz="4" w:space="0" w:color="auto"/>
              <w:bottom w:val="nil"/>
            </w:tcBorders>
            <w:shd w:val="clear" w:color="auto" w:fill="F2F2F2" w:themeFill="background1" w:themeFillShade="F2"/>
          </w:tcPr>
          <w:p w:rsidR="00853A74" w:rsidRPr="00175F33" w:rsidRDefault="00853A74" w:rsidP="00EF5FF5">
            <w:pPr>
              <w:pStyle w:val="TableText"/>
              <w:keepNext/>
              <w:ind w:right="142"/>
            </w:pPr>
            <w:r w:rsidRPr="00175F33">
              <w:t>Buchanan</w:t>
            </w:r>
            <w:r w:rsidR="00EF5FF5">
              <w:br/>
            </w:r>
            <w:r>
              <w:t>(</w:t>
            </w:r>
            <w:r w:rsidRPr="00175F33">
              <w:t>1994</w:t>
            </w:r>
            <w:r>
              <w:t>)</w:t>
            </w:r>
          </w:p>
        </w:tc>
        <w:tc>
          <w:tcPr>
            <w:tcW w:w="419" w:type="pct"/>
            <w:tcBorders>
              <w:top w:val="single" w:sz="4" w:space="0" w:color="auto"/>
              <w:bottom w:val="nil"/>
            </w:tcBorders>
            <w:shd w:val="clear" w:color="auto" w:fill="F2F2F2" w:themeFill="background1" w:themeFillShade="F2"/>
          </w:tcPr>
          <w:p w:rsidR="00853A74" w:rsidRPr="00175F33" w:rsidRDefault="00853A74" w:rsidP="00EF5FF5">
            <w:pPr>
              <w:pStyle w:val="TableText"/>
              <w:keepNext/>
              <w:ind w:right="142"/>
            </w:pPr>
            <w:r w:rsidRPr="00175F33">
              <w:t>USA</w:t>
            </w:r>
          </w:p>
        </w:tc>
        <w:tc>
          <w:tcPr>
            <w:tcW w:w="777" w:type="pct"/>
            <w:tcBorders>
              <w:top w:val="single" w:sz="4" w:space="0" w:color="auto"/>
              <w:bottom w:val="nil"/>
            </w:tcBorders>
            <w:shd w:val="clear" w:color="auto" w:fill="F2F2F2" w:themeFill="background1" w:themeFillShade="F2"/>
          </w:tcPr>
          <w:p w:rsidR="00853A74" w:rsidRPr="00175F33" w:rsidRDefault="00853A74" w:rsidP="00EF5FF5">
            <w:pPr>
              <w:pStyle w:val="TableText"/>
              <w:keepNext/>
              <w:ind w:right="142"/>
            </w:pPr>
            <w:r w:rsidRPr="00175F33">
              <w:rPr>
                <w:rFonts w:eastAsia="MS Mincho"/>
                <w:lang w:eastAsia="ja-JP"/>
              </w:rPr>
              <w:t>Hispanic women between 29 and 33 weeks</w:t>
            </w:r>
            <w:r>
              <w:rPr>
                <w:rFonts w:eastAsia="MS Mincho"/>
                <w:lang w:eastAsia="ja-JP"/>
              </w:rPr>
              <w:t>’</w:t>
            </w:r>
            <w:r w:rsidRPr="00175F33">
              <w:rPr>
                <w:rFonts w:eastAsia="MS Mincho"/>
                <w:lang w:eastAsia="ja-JP"/>
              </w:rPr>
              <w:t xml:space="preserve"> gestation with otherwise uncomplicated singleton pregnancies</w:t>
            </w:r>
            <w:r>
              <w:rPr>
                <w:rFonts w:eastAsia="MS Mincho"/>
                <w:lang w:eastAsia="ja-JP"/>
              </w:rPr>
              <w:t>.</w:t>
            </w:r>
          </w:p>
        </w:tc>
        <w:tc>
          <w:tcPr>
            <w:tcW w:w="1116" w:type="pct"/>
            <w:tcBorders>
              <w:top w:val="single" w:sz="4" w:space="0" w:color="auto"/>
              <w:bottom w:val="nil"/>
            </w:tcBorders>
            <w:shd w:val="clear" w:color="auto" w:fill="F2F2F2" w:themeFill="background1" w:themeFillShade="F2"/>
          </w:tcPr>
          <w:p w:rsidR="00853A74" w:rsidRPr="00175F33" w:rsidRDefault="00853A74" w:rsidP="00EF5FF5">
            <w:pPr>
              <w:pStyle w:val="TableText"/>
              <w:keepNext/>
              <w:ind w:right="142"/>
              <w:rPr>
                <w:rFonts w:eastAsia="MS Mincho"/>
                <w:lang w:eastAsia="ja-JP"/>
              </w:rPr>
            </w:pPr>
            <w:r w:rsidRPr="00175F33">
              <w:rPr>
                <w:rFonts w:eastAsia="MS Mincho"/>
                <w:lang w:eastAsia="ja-JP"/>
              </w:rPr>
              <w:t>Women who planned to deliver vaginally and whose fasting serum glucose concentrations were all &lt;</w:t>
            </w:r>
            <w:r>
              <w:rPr>
                <w:rFonts w:eastAsia="MS Mincho"/>
                <w:lang w:eastAsia="ja-JP"/>
              </w:rPr>
              <w:t> </w:t>
            </w:r>
            <w:r w:rsidRPr="00175F33">
              <w:rPr>
                <w:rFonts w:eastAsia="MS Mincho"/>
                <w:lang w:eastAsia="ja-JP"/>
              </w:rPr>
              <w:t>5.8</w:t>
            </w:r>
            <w:r w:rsidR="00EF5FF5">
              <w:rPr>
                <w:rFonts w:eastAsia="MS Mincho"/>
                <w:lang w:eastAsia="ja-JP"/>
              </w:rPr>
              <w:t> </w:t>
            </w:r>
            <w:r w:rsidRPr="00175F33">
              <w:rPr>
                <w:rFonts w:eastAsia="MS Mincho"/>
                <w:lang w:eastAsia="ja-JP"/>
              </w:rPr>
              <w:t>mmol/L after the initiation of diet therapy with high-risk fetal abdominal circumference (&gt;</w:t>
            </w:r>
            <w:r>
              <w:rPr>
                <w:rFonts w:eastAsia="MS Mincho"/>
                <w:lang w:eastAsia="ja-JP"/>
              </w:rPr>
              <w:t> </w:t>
            </w:r>
            <w:r w:rsidRPr="00175F33">
              <w:rPr>
                <w:rFonts w:eastAsia="MS Mincho"/>
                <w:lang w:eastAsia="ja-JP"/>
              </w:rPr>
              <w:t>75th percentile)</w:t>
            </w:r>
            <w:r>
              <w:rPr>
                <w:rFonts w:eastAsia="MS Mincho"/>
                <w:lang w:eastAsia="ja-JP"/>
              </w:rPr>
              <w:t>.</w:t>
            </w:r>
          </w:p>
        </w:tc>
        <w:tc>
          <w:tcPr>
            <w:tcW w:w="1408" w:type="pct"/>
            <w:tcBorders>
              <w:top w:val="single" w:sz="4" w:space="0" w:color="auto"/>
              <w:bottom w:val="nil"/>
            </w:tcBorders>
            <w:shd w:val="clear" w:color="auto" w:fill="F2F2F2" w:themeFill="background1" w:themeFillShade="F2"/>
          </w:tcPr>
          <w:p w:rsidR="00853A74" w:rsidRPr="00175F33" w:rsidRDefault="00853A74" w:rsidP="00EF5FF5">
            <w:pPr>
              <w:pStyle w:val="TableText"/>
              <w:keepNext/>
              <w:ind w:right="142"/>
            </w:pPr>
            <w:r w:rsidRPr="00C42D7A">
              <w:rPr>
                <w:rFonts w:eastAsia="MS Mincho"/>
                <w:i/>
                <w:lang w:eastAsia="ja-JP"/>
              </w:rPr>
              <w:t>n</w:t>
            </w:r>
            <w:r>
              <w:rPr>
                <w:rFonts w:eastAsia="MS Mincho"/>
                <w:lang w:eastAsia="ja-JP"/>
              </w:rPr>
              <w:t xml:space="preserve"> </w:t>
            </w:r>
            <w:r w:rsidRPr="00175F33">
              <w:rPr>
                <w:rFonts w:eastAsia="MS Mincho"/>
                <w:lang w:eastAsia="ja-JP"/>
              </w:rPr>
              <w:t>=</w:t>
            </w:r>
            <w:r>
              <w:rPr>
                <w:rFonts w:eastAsia="MS Mincho"/>
                <w:lang w:eastAsia="ja-JP"/>
              </w:rPr>
              <w:t xml:space="preserve"> </w:t>
            </w:r>
            <w:r w:rsidRPr="00175F33">
              <w:rPr>
                <w:rFonts w:eastAsia="MS Mincho"/>
                <w:lang w:eastAsia="ja-JP"/>
              </w:rPr>
              <w:t>30 Diet + insulin with strict glucose targets (4.4</w:t>
            </w:r>
            <w:r>
              <w:rPr>
                <w:rFonts w:eastAsia="MS Mincho"/>
                <w:lang w:eastAsia="ja-JP"/>
              </w:rPr>
              <w:t>–</w:t>
            </w:r>
            <w:r w:rsidRPr="00175F33">
              <w:rPr>
                <w:rFonts w:eastAsia="MS Mincho"/>
                <w:lang w:eastAsia="ja-JP"/>
              </w:rPr>
              <w:t xml:space="preserve"> 6.2 mmol/L).</w:t>
            </w:r>
          </w:p>
        </w:tc>
        <w:tc>
          <w:tcPr>
            <w:tcW w:w="825" w:type="pct"/>
            <w:tcBorders>
              <w:top w:val="single" w:sz="4" w:space="0" w:color="auto"/>
              <w:bottom w:val="nil"/>
            </w:tcBorders>
            <w:shd w:val="clear" w:color="auto" w:fill="F2F2F2" w:themeFill="background1" w:themeFillShade="F2"/>
          </w:tcPr>
          <w:p w:rsidR="00853A74" w:rsidRPr="00175F33" w:rsidRDefault="00853A74" w:rsidP="00EF5FF5">
            <w:pPr>
              <w:pStyle w:val="TableText"/>
              <w:keepNext/>
            </w:pPr>
            <w:r w:rsidRPr="00C42D7A">
              <w:rPr>
                <w:i/>
              </w:rPr>
              <w:t>n</w:t>
            </w:r>
            <w:r>
              <w:t xml:space="preserve"> </w:t>
            </w:r>
            <w:r w:rsidRPr="00175F33">
              <w:t>=</w:t>
            </w:r>
            <w:r>
              <w:t xml:space="preserve"> </w:t>
            </w:r>
            <w:r w:rsidRPr="00175F33">
              <w:t>29. Di</w:t>
            </w:r>
            <w:r>
              <w:t>et al</w:t>
            </w:r>
            <w:r w:rsidRPr="00175F33">
              <w:t>one</w:t>
            </w:r>
            <w:r>
              <w:t>.</w:t>
            </w:r>
          </w:p>
        </w:tc>
      </w:tr>
      <w:tr w:rsidR="00EF5FF5" w:rsidRPr="00175F33" w:rsidTr="009759EE">
        <w:trPr>
          <w:cantSplit/>
        </w:trPr>
        <w:tc>
          <w:tcPr>
            <w:tcW w:w="454" w:type="pct"/>
            <w:tcBorders>
              <w:top w:val="nil"/>
              <w:bottom w:val="nil"/>
            </w:tcBorders>
            <w:shd w:val="clear" w:color="auto" w:fill="auto"/>
          </w:tcPr>
          <w:p w:rsidR="00853A74" w:rsidRPr="00175F33" w:rsidRDefault="00853A74" w:rsidP="009759EE">
            <w:pPr>
              <w:pStyle w:val="TableText"/>
              <w:ind w:right="142"/>
            </w:pPr>
            <w:r w:rsidRPr="00175F33">
              <w:t>Bonomo</w:t>
            </w:r>
            <w:r w:rsidR="009759EE">
              <w:br/>
            </w:r>
            <w:r>
              <w:t>(</w:t>
            </w:r>
            <w:r w:rsidRPr="00175F33">
              <w:t>2004</w:t>
            </w:r>
            <w:r>
              <w:t>)</w:t>
            </w:r>
          </w:p>
        </w:tc>
        <w:tc>
          <w:tcPr>
            <w:tcW w:w="419" w:type="pct"/>
            <w:tcBorders>
              <w:top w:val="nil"/>
              <w:bottom w:val="nil"/>
            </w:tcBorders>
            <w:shd w:val="clear" w:color="auto" w:fill="auto"/>
          </w:tcPr>
          <w:p w:rsidR="00853A74" w:rsidRPr="00175F33" w:rsidRDefault="00853A74" w:rsidP="00EF5FF5">
            <w:pPr>
              <w:pStyle w:val="TableText"/>
              <w:ind w:right="142"/>
            </w:pPr>
            <w:r w:rsidRPr="00175F33">
              <w:t>Italy</w:t>
            </w:r>
          </w:p>
        </w:tc>
        <w:tc>
          <w:tcPr>
            <w:tcW w:w="777" w:type="pct"/>
            <w:tcBorders>
              <w:top w:val="nil"/>
              <w:bottom w:val="nil"/>
            </w:tcBorders>
            <w:shd w:val="clear" w:color="auto" w:fill="auto"/>
          </w:tcPr>
          <w:p w:rsidR="00853A74" w:rsidRPr="00175F33" w:rsidRDefault="00853A74" w:rsidP="00EF5FF5">
            <w:pPr>
              <w:pStyle w:val="TableText"/>
              <w:ind w:right="142"/>
            </w:pPr>
            <w:r w:rsidRPr="00175F33">
              <w:rPr>
                <w:bCs/>
              </w:rPr>
              <w:t>All women diagnosed with GDM between 24</w:t>
            </w:r>
            <w:r w:rsidR="00EF5FF5">
              <w:rPr>
                <w:bCs/>
              </w:rPr>
              <w:t> </w:t>
            </w:r>
            <w:r w:rsidRPr="00175F33">
              <w:rPr>
                <w:bCs/>
              </w:rPr>
              <w:t>and 28 weeks of gestation, in each of the three hospitals taking part in the study, were considered eligible for enrolment.</w:t>
            </w:r>
          </w:p>
        </w:tc>
        <w:tc>
          <w:tcPr>
            <w:tcW w:w="1116" w:type="pct"/>
            <w:tcBorders>
              <w:top w:val="nil"/>
              <w:bottom w:val="nil"/>
            </w:tcBorders>
            <w:shd w:val="clear" w:color="auto" w:fill="auto"/>
          </w:tcPr>
          <w:p w:rsidR="00853A74" w:rsidRPr="00175F33" w:rsidRDefault="00853A74" w:rsidP="00EF5FF5">
            <w:pPr>
              <w:pStyle w:val="TableText"/>
              <w:ind w:right="142"/>
            </w:pPr>
            <w:r w:rsidRPr="00175F33">
              <w:rPr>
                <w:bCs/>
              </w:rPr>
              <w:t xml:space="preserve">Singleton pregnancies, without medical complications other than GDM potentially affecting fetal growth or neonatal outcome </w:t>
            </w:r>
            <w:r w:rsidRPr="00175F33">
              <w:rPr>
                <w:rFonts w:eastAsia="MS Mincho"/>
                <w:color w:val="292526"/>
                <w:lang w:eastAsia="ja-JP"/>
              </w:rPr>
              <w:t>admitted.</w:t>
            </w:r>
          </w:p>
        </w:tc>
        <w:tc>
          <w:tcPr>
            <w:tcW w:w="1408" w:type="pct"/>
            <w:tcBorders>
              <w:top w:val="nil"/>
              <w:bottom w:val="nil"/>
            </w:tcBorders>
            <w:shd w:val="clear" w:color="auto" w:fill="auto"/>
          </w:tcPr>
          <w:p w:rsidR="00853A74" w:rsidRPr="00175F33" w:rsidRDefault="00853A74" w:rsidP="008910FB">
            <w:pPr>
              <w:pStyle w:val="TableText"/>
              <w:ind w:right="142"/>
              <w:rPr>
                <w:bCs/>
              </w:rPr>
            </w:pPr>
            <w:r w:rsidRPr="00C42D7A">
              <w:rPr>
                <w:bCs/>
                <w:i/>
              </w:rPr>
              <w:t>n</w:t>
            </w:r>
            <w:r>
              <w:rPr>
                <w:bCs/>
              </w:rPr>
              <w:t xml:space="preserve"> </w:t>
            </w:r>
            <w:r w:rsidRPr="00175F33">
              <w:rPr>
                <w:bCs/>
              </w:rPr>
              <w:t>=</w:t>
            </w:r>
            <w:r>
              <w:rPr>
                <w:bCs/>
              </w:rPr>
              <w:t xml:space="preserve"> </w:t>
            </w:r>
            <w:r w:rsidRPr="00175F33">
              <w:rPr>
                <w:bCs/>
              </w:rPr>
              <w:t xml:space="preserve">160. Modified management; the glycaemic target varied according to ultrasound measurement of the abdominal circumference centile performed every </w:t>
            </w:r>
            <w:r>
              <w:rPr>
                <w:bCs/>
              </w:rPr>
              <w:t>two</w:t>
            </w:r>
            <w:r w:rsidRPr="00175F33">
              <w:rPr>
                <w:bCs/>
              </w:rPr>
              <w:t xml:space="preserve"> weeks: 4.4</w:t>
            </w:r>
            <w:r>
              <w:rPr>
                <w:bCs/>
              </w:rPr>
              <w:t>–</w:t>
            </w:r>
            <w:r w:rsidRPr="00175F33">
              <w:rPr>
                <w:bCs/>
              </w:rPr>
              <w:t>5.6 mmol/L if abdominal circumference ≥</w:t>
            </w:r>
            <w:r w:rsidR="008910FB">
              <w:rPr>
                <w:bCs/>
              </w:rPr>
              <w:t> </w:t>
            </w:r>
            <w:r w:rsidRPr="00393CE9">
              <w:rPr>
                <w:bCs/>
              </w:rPr>
              <w:t>75</w:t>
            </w:r>
            <w:r w:rsidRPr="00C42D7A">
              <w:rPr>
                <w:bCs/>
              </w:rPr>
              <w:t>th</w:t>
            </w:r>
            <w:r w:rsidRPr="00175F33">
              <w:rPr>
                <w:bCs/>
              </w:rPr>
              <w:t xml:space="preserve"> percentile, 5.6</w:t>
            </w:r>
            <w:r>
              <w:rPr>
                <w:bCs/>
              </w:rPr>
              <w:t>–</w:t>
            </w:r>
            <w:r w:rsidRPr="00175F33">
              <w:rPr>
                <w:bCs/>
              </w:rPr>
              <w:t>7.8</w:t>
            </w:r>
            <w:r>
              <w:rPr>
                <w:bCs/>
              </w:rPr>
              <w:t xml:space="preserve"> </w:t>
            </w:r>
            <w:r w:rsidRPr="00175F33">
              <w:rPr>
                <w:bCs/>
              </w:rPr>
              <w:t>mmol/L if abdominal circumference &lt;</w:t>
            </w:r>
            <w:r w:rsidR="00EF5FF5">
              <w:rPr>
                <w:bCs/>
              </w:rPr>
              <w:t> </w:t>
            </w:r>
            <w:r w:rsidRPr="00175F33">
              <w:rPr>
                <w:bCs/>
              </w:rPr>
              <w:t>75th. Therapy was tailored to mean fasting and postprandial glycaemia. Ultrasound exams for fetal biometry were scheduled every two weeks.</w:t>
            </w:r>
          </w:p>
        </w:tc>
        <w:tc>
          <w:tcPr>
            <w:tcW w:w="825" w:type="pct"/>
            <w:tcBorders>
              <w:top w:val="nil"/>
              <w:bottom w:val="nil"/>
            </w:tcBorders>
            <w:shd w:val="clear" w:color="auto" w:fill="auto"/>
          </w:tcPr>
          <w:p w:rsidR="00853A74" w:rsidRPr="00175F33" w:rsidRDefault="00853A74" w:rsidP="00EF5FF5">
            <w:pPr>
              <w:pStyle w:val="TableText"/>
            </w:pPr>
            <w:r w:rsidRPr="00C42D7A">
              <w:rPr>
                <w:bCs/>
                <w:i/>
              </w:rPr>
              <w:t>n</w:t>
            </w:r>
            <w:r>
              <w:rPr>
                <w:bCs/>
              </w:rPr>
              <w:t xml:space="preserve"> </w:t>
            </w:r>
            <w:r w:rsidRPr="00175F33">
              <w:rPr>
                <w:bCs/>
              </w:rPr>
              <w:t>=</w:t>
            </w:r>
            <w:r>
              <w:rPr>
                <w:bCs/>
              </w:rPr>
              <w:t xml:space="preserve"> </w:t>
            </w:r>
            <w:r w:rsidRPr="00175F33">
              <w:rPr>
                <w:bCs/>
              </w:rPr>
              <w:t>80. Conventional management; the glyc</w:t>
            </w:r>
            <w:r>
              <w:rPr>
                <w:bCs/>
              </w:rPr>
              <w:t>a</w:t>
            </w:r>
            <w:r w:rsidRPr="00175F33">
              <w:rPr>
                <w:bCs/>
              </w:rPr>
              <w:t>emic target was fixed at 90</w:t>
            </w:r>
            <w:r w:rsidR="00EF5FF5">
              <w:rPr>
                <w:bCs/>
              </w:rPr>
              <w:t> </w:t>
            </w:r>
            <w:r w:rsidRPr="00175F33">
              <w:rPr>
                <w:bCs/>
              </w:rPr>
              <w:t>fasting/120 postprandial mg/dL. Ultrasound exams for fetal biometry were scheduled at 34</w:t>
            </w:r>
            <w:r w:rsidR="00EF5FF5">
              <w:rPr>
                <w:bCs/>
              </w:rPr>
              <w:t> </w:t>
            </w:r>
            <w:r w:rsidRPr="00175F33">
              <w:rPr>
                <w:bCs/>
              </w:rPr>
              <w:t>and 38</w:t>
            </w:r>
            <w:r w:rsidR="008910FB">
              <w:rPr>
                <w:bCs/>
              </w:rPr>
              <w:t> </w:t>
            </w:r>
            <w:r w:rsidRPr="00175F33">
              <w:rPr>
                <w:bCs/>
              </w:rPr>
              <w:t xml:space="preserve"> weeks</w:t>
            </w:r>
            <w:r>
              <w:rPr>
                <w:bCs/>
              </w:rPr>
              <w:t>.</w:t>
            </w:r>
          </w:p>
        </w:tc>
      </w:tr>
      <w:tr w:rsidR="00EF5FF5" w:rsidRPr="00175F33" w:rsidTr="009759EE">
        <w:trPr>
          <w:cantSplit/>
        </w:trPr>
        <w:tc>
          <w:tcPr>
            <w:tcW w:w="454" w:type="pct"/>
            <w:tcBorders>
              <w:top w:val="nil"/>
              <w:bottom w:val="nil"/>
            </w:tcBorders>
            <w:shd w:val="clear" w:color="auto" w:fill="F2F2F2" w:themeFill="background1" w:themeFillShade="F2"/>
          </w:tcPr>
          <w:p w:rsidR="00853A74" w:rsidRPr="00175F33" w:rsidRDefault="00853A74" w:rsidP="009759EE">
            <w:pPr>
              <w:pStyle w:val="TableText"/>
              <w:ind w:right="142"/>
            </w:pPr>
            <w:r w:rsidRPr="00175F33">
              <w:t>Kjos</w:t>
            </w:r>
            <w:r w:rsidR="009759EE">
              <w:br/>
            </w:r>
            <w:r>
              <w:t>(</w:t>
            </w:r>
            <w:r w:rsidRPr="00175F33">
              <w:t>2001</w:t>
            </w:r>
            <w:r>
              <w:t>)</w:t>
            </w:r>
          </w:p>
        </w:tc>
        <w:tc>
          <w:tcPr>
            <w:tcW w:w="419" w:type="pct"/>
            <w:tcBorders>
              <w:top w:val="nil"/>
              <w:bottom w:val="nil"/>
            </w:tcBorders>
            <w:shd w:val="clear" w:color="auto" w:fill="F2F2F2" w:themeFill="background1" w:themeFillShade="F2"/>
          </w:tcPr>
          <w:p w:rsidR="00853A74" w:rsidRPr="00175F33" w:rsidRDefault="00853A74" w:rsidP="00EF5FF5">
            <w:pPr>
              <w:pStyle w:val="TableText"/>
              <w:ind w:right="142"/>
            </w:pPr>
            <w:r w:rsidRPr="00175F33">
              <w:t>USA</w:t>
            </w:r>
          </w:p>
        </w:tc>
        <w:tc>
          <w:tcPr>
            <w:tcW w:w="777" w:type="pct"/>
            <w:tcBorders>
              <w:top w:val="nil"/>
              <w:bottom w:val="nil"/>
            </w:tcBorders>
            <w:shd w:val="clear" w:color="auto" w:fill="F2F2F2" w:themeFill="background1" w:themeFillShade="F2"/>
          </w:tcPr>
          <w:p w:rsidR="00853A74" w:rsidRPr="00175F33" w:rsidRDefault="00853A74" w:rsidP="008910FB">
            <w:pPr>
              <w:pStyle w:val="TableText"/>
              <w:ind w:right="142"/>
            </w:pPr>
            <w:r w:rsidRPr="00175F33">
              <w:rPr>
                <w:rFonts w:eastAsia="MS Mincho"/>
                <w:lang w:eastAsia="ja-JP"/>
              </w:rPr>
              <w:t>98 women with fasting plasma glucose concentrations of</w:t>
            </w:r>
            <w:r w:rsidR="008910FB">
              <w:rPr>
                <w:rFonts w:eastAsia="MS Mincho"/>
                <w:lang w:eastAsia="ja-JP"/>
              </w:rPr>
              <w:br/>
            </w:r>
            <w:r w:rsidRPr="00175F33">
              <w:rPr>
                <w:rFonts w:eastAsia="MS Mincho"/>
                <w:lang w:eastAsia="ja-JP"/>
              </w:rPr>
              <w:t>105–120 mg/dL</w:t>
            </w:r>
            <w:r>
              <w:rPr>
                <w:rFonts w:eastAsia="MS Mincho"/>
                <w:lang w:eastAsia="ja-JP"/>
              </w:rPr>
              <w:t>.</w:t>
            </w:r>
          </w:p>
        </w:tc>
        <w:tc>
          <w:tcPr>
            <w:tcW w:w="1116" w:type="pct"/>
            <w:tcBorders>
              <w:top w:val="nil"/>
              <w:bottom w:val="nil"/>
            </w:tcBorders>
            <w:shd w:val="clear" w:color="auto" w:fill="F2F2F2" w:themeFill="background1" w:themeFillShade="F2"/>
          </w:tcPr>
          <w:p w:rsidR="00853A74" w:rsidRDefault="00853A74" w:rsidP="008910FB">
            <w:pPr>
              <w:pStyle w:val="TableText"/>
              <w:ind w:left="284" w:right="142" w:hanging="284"/>
              <w:rPr>
                <w:rFonts w:eastAsia="MS Mincho"/>
                <w:lang w:eastAsia="ja-JP"/>
              </w:rPr>
            </w:pPr>
            <w:r w:rsidRPr="00175F33">
              <w:rPr>
                <w:rFonts w:eastAsia="MS Mincho"/>
                <w:lang w:eastAsia="ja-JP"/>
              </w:rPr>
              <w:t>1</w:t>
            </w:r>
            <w:r>
              <w:rPr>
                <w:rFonts w:eastAsia="MS Mincho"/>
                <w:lang w:eastAsia="ja-JP"/>
              </w:rPr>
              <w:tab/>
            </w:r>
            <w:r w:rsidRPr="00175F33">
              <w:rPr>
                <w:rFonts w:eastAsia="MS Mincho"/>
                <w:lang w:eastAsia="ja-JP"/>
              </w:rPr>
              <w:t>Diagnosis of GDM</w:t>
            </w:r>
            <w:r>
              <w:rPr>
                <w:rFonts w:eastAsia="MS Mincho"/>
                <w:lang w:eastAsia="ja-JP"/>
              </w:rPr>
              <w:t>.</w:t>
            </w:r>
          </w:p>
          <w:p w:rsidR="00853A74" w:rsidRPr="00175F33" w:rsidRDefault="00853A74" w:rsidP="008910FB">
            <w:pPr>
              <w:pStyle w:val="TableText"/>
              <w:ind w:left="284" w:right="142" w:hanging="284"/>
              <w:rPr>
                <w:rFonts w:eastAsia="MS Mincho"/>
                <w:lang w:eastAsia="ja-JP"/>
              </w:rPr>
            </w:pPr>
            <w:r w:rsidRPr="00175F33">
              <w:rPr>
                <w:rFonts w:eastAsia="MS Mincho"/>
                <w:lang w:eastAsia="ja-JP"/>
              </w:rPr>
              <w:t>2</w:t>
            </w:r>
            <w:r>
              <w:rPr>
                <w:rFonts w:eastAsia="MS Mincho"/>
                <w:lang w:eastAsia="ja-JP"/>
              </w:rPr>
              <w:tab/>
              <w:t>F</w:t>
            </w:r>
            <w:r w:rsidRPr="00175F33">
              <w:rPr>
                <w:rFonts w:eastAsia="MS Mincho"/>
                <w:lang w:eastAsia="ja-JP"/>
              </w:rPr>
              <w:t>asting plasma glucose concentrations &gt;</w:t>
            </w:r>
            <w:r w:rsidR="008910FB">
              <w:rPr>
                <w:rFonts w:eastAsia="MS Mincho"/>
                <w:lang w:eastAsia="ja-JP"/>
              </w:rPr>
              <w:t> </w:t>
            </w:r>
            <w:r w:rsidRPr="00175F33">
              <w:rPr>
                <w:rFonts w:eastAsia="MS Mincho"/>
                <w:lang w:eastAsia="ja-JP"/>
              </w:rPr>
              <w:t>5.8 and &lt;</w:t>
            </w:r>
            <w:r>
              <w:rPr>
                <w:rFonts w:eastAsia="MS Mincho"/>
                <w:lang w:eastAsia="ja-JP"/>
              </w:rPr>
              <w:t> </w:t>
            </w:r>
            <w:r w:rsidRPr="00175F33">
              <w:rPr>
                <w:rFonts w:eastAsia="MS Mincho"/>
                <w:lang w:eastAsia="ja-JP"/>
              </w:rPr>
              <w:t>6.7</w:t>
            </w:r>
            <w:r>
              <w:rPr>
                <w:rFonts w:eastAsia="MS Mincho"/>
                <w:lang w:eastAsia="ja-JP"/>
              </w:rPr>
              <w:t> </w:t>
            </w:r>
            <w:r w:rsidRPr="00175F33">
              <w:rPr>
                <w:rFonts w:eastAsia="MS Mincho"/>
                <w:lang w:eastAsia="ja-JP"/>
              </w:rPr>
              <w:t>mmol/L</w:t>
            </w:r>
            <w:r>
              <w:rPr>
                <w:rFonts w:eastAsia="MS Mincho"/>
                <w:lang w:eastAsia="ja-JP"/>
              </w:rPr>
              <w:t>.</w:t>
            </w:r>
          </w:p>
          <w:p w:rsidR="00853A74" w:rsidRPr="00175F33" w:rsidRDefault="00853A74" w:rsidP="008910FB">
            <w:pPr>
              <w:pStyle w:val="TableText"/>
              <w:ind w:left="284" w:right="142" w:hanging="284"/>
              <w:rPr>
                <w:rFonts w:eastAsia="MS Mincho"/>
                <w:lang w:eastAsia="ja-JP"/>
              </w:rPr>
            </w:pPr>
            <w:r w:rsidRPr="00175F33">
              <w:rPr>
                <w:rFonts w:eastAsia="MS Mincho"/>
                <w:lang w:eastAsia="ja-JP"/>
              </w:rPr>
              <w:t>3</w:t>
            </w:r>
            <w:r>
              <w:rPr>
                <w:rFonts w:eastAsia="MS Mincho"/>
                <w:lang w:eastAsia="ja-JP"/>
              </w:rPr>
              <w:tab/>
            </w:r>
            <w:r w:rsidRPr="00175F33">
              <w:rPr>
                <w:rFonts w:eastAsia="MS Mincho"/>
                <w:lang w:eastAsia="ja-JP"/>
              </w:rPr>
              <w:t>Gestational age &gt;</w:t>
            </w:r>
            <w:r w:rsidR="008910FB">
              <w:rPr>
                <w:rFonts w:eastAsia="MS Mincho"/>
                <w:lang w:eastAsia="ja-JP"/>
              </w:rPr>
              <w:t> </w:t>
            </w:r>
            <w:r w:rsidRPr="00175F33">
              <w:rPr>
                <w:rFonts w:eastAsia="MS Mincho"/>
                <w:lang w:eastAsia="ja-JP"/>
              </w:rPr>
              <w:t>14 and &lt;</w:t>
            </w:r>
            <w:r>
              <w:rPr>
                <w:rFonts w:eastAsia="MS Mincho"/>
                <w:lang w:eastAsia="ja-JP"/>
              </w:rPr>
              <w:t> </w:t>
            </w:r>
            <w:r w:rsidRPr="00175F33">
              <w:rPr>
                <w:rFonts w:eastAsia="MS Mincho"/>
                <w:lang w:eastAsia="ja-JP"/>
              </w:rPr>
              <w:t>34</w:t>
            </w:r>
            <w:r w:rsidR="008910FB">
              <w:rPr>
                <w:rFonts w:eastAsia="MS Mincho"/>
                <w:lang w:eastAsia="ja-JP"/>
              </w:rPr>
              <w:t> </w:t>
            </w:r>
            <w:r w:rsidRPr="00175F33">
              <w:rPr>
                <w:rFonts w:eastAsia="MS Mincho"/>
                <w:lang w:eastAsia="ja-JP"/>
              </w:rPr>
              <w:t>weeks at time of study entry</w:t>
            </w:r>
            <w:r>
              <w:rPr>
                <w:rFonts w:eastAsia="MS Mincho"/>
                <w:lang w:eastAsia="ja-JP"/>
              </w:rPr>
              <w:t>.</w:t>
            </w:r>
          </w:p>
          <w:p w:rsidR="00853A74" w:rsidRPr="00175F33" w:rsidRDefault="00853A74" w:rsidP="008910FB">
            <w:pPr>
              <w:pStyle w:val="TableText"/>
              <w:ind w:left="284" w:right="142" w:hanging="284"/>
              <w:rPr>
                <w:rFonts w:eastAsia="MS Mincho"/>
                <w:lang w:eastAsia="ja-JP"/>
              </w:rPr>
            </w:pPr>
            <w:r w:rsidRPr="00175F33">
              <w:rPr>
                <w:rFonts w:eastAsia="MS Mincho"/>
                <w:lang w:eastAsia="ja-JP"/>
              </w:rPr>
              <w:t>4</w:t>
            </w:r>
            <w:r>
              <w:rPr>
                <w:rFonts w:eastAsia="MS Mincho"/>
                <w:lang w:eastAsia="ja-JP"/>
              </w:rPr>
              <w:tab/>
              <w:t>S</w:t>
            </w:r>
            <w:r w:rsidRPr="00175F33">
              <w:rPr>
                <w:rFonts w:eastAsia="MS Mincho"/>
                <w:lang w:eastAsia="ja-JP"/>
              </w:rPr>
              <w:t>ingleton pregnancy</w:t>
            </w:r>
            <w:r>
              <w:rPr>
                <w:rFonts w:eastAsia="MS Mincho"/>
                <w:lang w:eastAsia="ja-JP"/>
              </w:rPr>
              <w:t>.</w:t>
            </w:r>
          </w:p>
          <w:p w:rsidR="00853A74" w:rsidRPr="00175F33" w:rsidRDefault="00853A74" w:rsidP="008910FB">
            <w:pPr>
              <w:pStyle w:val="TableText"/>
              <w:ind w:left="284" w:right="142" w:hanging="284"/>
              <w:rPr>
                <w:rFonts w:eastAsia="MS Mincho"/>
                <w:lang w:eastAsia="ja-JP"/>
              </w:rPr>
            </w:pPr>
            <w:r w:rsidRPr="00175F33">
              <w:rPr>
                <w:rFonts w:eastAsia="MS Mincho"/>
                <w:lang w:eastAsia="ja-JP"/>
              </w:rPr>
              <w:t>5</w:t>
            </w:r>
            <w:r>
              <w:rPr>
                <w:rFonts w:eastAsia="MS Mincho"/>
                <w:lang w:eastAsia="ja-JP"/>
              </w:rPr>
              <w:tab/>
              <w:t>N</w:t>
            </w:r>
            <w:r w:rsidRPr="00175F33">
              <w:rPr>
                <w:rFonts w:eastAsia="MS Mincho"/>
                <w:lang w:eastAsia="ja-JP"/>
              </w:rPr>
              <w:t>o medical complications (eg</w:t>
            </w:r>
            <w:r>
              <w:rPr>
                <w:rFonts w:eastAsia="MS Mincho"/>
                <w:lang w:eastAsia="ja-JP"/>
              </w:rPr>
              <w:t>,</w:t>
            </w:r>
            <w:r w:rsidR="008910FB">
              <w:rPr>
                <w:rFonts w:eastAsia="MS Mincho"/>
                <w:lang w:eastAsia="ja-JP"/>
              </w:rPr>
              <w:t> </w:t>
            </w:r>
            <w:r w:rsidRPr="00175F33">
              <w:rPr>
                <w:rFonts w:eastAsia="MS Mincho"/>
                <w:lang w:eastAsia="ja-JP"/>
              </w:rPr>
              <w:t>hypertension or vascular disease, except GDM known to affect fetal growth or neonatal</w:t>
            </w:r>
            <w:r>
              <w:rPr>
                <w:rFonts w:eastAsia="MS Mincho"/>
                <w:lang w:eastAsia="ja-JP"/>
              </w:rPr>
              <w:t xml:space="preserve"> </w:t>
            </w:r>
            <w:r w:rsidRPr="00175F33">
              <w:rPr>
                <w:rFonts w:eastAsia="MS Mincho"/>
                <w:lang w:eastAsia="ja-JP"/>
              </w:rPr>
              <w:t>morbidity</w:t>
            </w:r>
            <w:r>
              <w:rPr>
                <w:rFonts w:eastAsia="MS Mincho"/>
                <w:lang w:eastAsia="ja-JP"/>
              </w:rPr>
              <w:t>.</w:t>
            </w:r>
          </w:p>
          <w:p w:rsidR="00853A74" w:rsidRPr="00175F33" w:rsidRDefault="00853A74" w:rsidP="008910FB">
            <w:pPr>
              <w:pStyle w:val="TableText"/>
              <w:ind w:left="284" w:right="142" w:hanging="284"/>
              <w:rPr>
                <w:rFonts w:eastAsia="MS Mincho"/>
                <w:lang w:eastAsia="ja-JP"/>
              </w:rPr>
            </w:pPr>
            <w:r w:rsidRPr="00175F33">
              <w:rPr>
                <w:rFonts w:eastAsia="MS Mincho"/>
                <w:lang w:eastAsia="ja-JP"/>
              </w:rPr>
              <w:t>6</w:t>
            </w:r>
            <w:r>
              <w:rPr>
                <w:rFonts w:eastAsia="MS Mincho"/>
                <w:lang w:eastAsia="ja-JP"/>
              </w:rPr>
              <w:tab/>
              <w:t>R</w:t>
            </w:r>
            <w:r w:rsidRPr="00175F33">
              <w:rPr>
                <w:rFonts w:eastAsia="MS Mincho"/>
                <w:lang w:eastAsia="ja-JP"/>
              </w:rPr>
              <w:t>eliable estimation of</w:t>
            </w:r>
            <w:r>
              <w:rPr>
                <w:rFonts w:eastAsia="MS Mincho"/>
                <w:lang w:eastAsia="ja-JP"/>
              </w:rPr>
              <w:t xml:space="preserve"> </w:t>
            </w:r>
            <w:r w:rsidRPr="00175F33">
              <w:rPr>
                <w:rFonts w:eastAsia="MS Mincho"/>
                <w:lang w:eastAsia="ja-JP"/>
              </w:rPr>
              <w:t>gestational age, with either the first clinical examination &lt;</w:t>
            </w:r>
            <w:r w:rsidR="008910FB">
              <w:rPr>
                <w:rFonts w:eastAsia="MS Mincho"/>
                <w:lang w:eastAsia="ja-JP"/>
              </w:rPr>
              <w:t> </w:t>
            </w:r>
            <w:r w:rsidRPr="00175F33">
              <w:rPr>
                <w:rFonts w:eastAsia="MS Mincho"/>
                <w:lang w:eastAsia="ja-JP"/>
              </w:rPr>
              <w:t>12</w:t>
            </w:r>
            <w:r w:rsidR="008910FB">
              <w:rPr>
                <w:rFonts w:eastAsia="MS Mincho"/>
                <w:lang w:eastAsia="ja-JP"/>
              </w:rPr>
              <w:t> </w:t>
            </w:r>
            <w:r w:rsidRPr="00175F33">
              <w:rPr>
                <w:rFonts w:eastAsia="MS Mincho"/>
                <w:lang w:eastAsia="ja-JP"/>
              </w:rPr>
              <w:t>weeks or the first ultrasound examination &lt;</w:t>
            </w:r>
            <w:r w:rsidR="008910FB">
              <w:rPr>
                <w:rFonts w:eastAsia="MS Mincho"/>
                <w:lang w:eastAsia="ja-JP"/>
              </w:rPr>
              <w:t> </w:t>
            </w:r>
            <w:r w:rsidRPr="00175F33">
              <w:rPr>
                <w:rFonts w:eastAsia="MS Mincho"/>
                <w:lang w:eastAsia="ja-JP"/>
              </w:rPr>
              <w:t>20</w:t>
            </w:r>
            <w:r w:rsidR="008910FB">
              <w:rPr>
                <w:rFonts w:eastAsia="MS Mincho"/>
                <w:lang w:eastAsia="ja-JP"/>
              </w:rPr>
              <w:t> </w:t>
            </w:r>
            <w:r w:rsidRPr="00175F33">
              <w:rPr>
                <w:rFonts w:eastAsia="MS Mincho"/>
                <w:lang w:eastAsia="ja-JP"/>
              </w:rPr>
              <w:t>weeks</w:t>
            </w:r>
            <w:r>
              <w:rPr>
                <w:rFonts w:eastAsia="MS Mincho"/>
                <w:lang w:eastAsia="ja-JP"/>
              </w:rPr>
              <w:t>.</w:t>
            </w:r>
          </w:p>
          <w:p w:rsidR="00853A74" w:rsidRPr="00175F33" w:rsidRDefault="00853A74" w:rsidP="008910FB">
            <w:pPr>
              <w:pStyle w:val="TableText"/>
              <w:ind w:left="284" w:right="142" w:hanging="284"/>
            </w:pPr>
            <w:r>
              <w:rPr>
                <w:rFonts w:eastAsia="MS Mincho"/>
                <w:lang w:eastAsia="ja-JP"/>
              </w:rPr>
              <w:t>7</w:t>
            </w:r>
            <w:r>
              <w:rPr>
                <w:rFonts w:eastAsia="MS Mincho"/>
                <w:lang w:eastAsia="ja-JP"/>
              </w:rPr>
              <w:tab/>
              <w:t>L</w:t>
            </w:r>
            <w:r w:rsidRPr="00175F33">
              <w:rPr>
                <w:rFonts w:eastAsia="MS Mincho"/>
                <w:lang w:eastAsia="ja-JP"/>
              </w:rPr>
              <w:t>iteracy</w:t>
            </w:r>
            <w:r>
              <w:rPr>
                <w:rFonts w:eastAsia="MS Mincho"/>
                <w:lang w:eastAsia="ja-JP"/>
              </w:rPr>
              <w:t>.</w:t>
            </w:r>
          </w:p>
        </w:tc>
        <w:tc>
          <w:tcPr>
            <w:tcW w:w="1408" w:type="pct"/>
            <w:tcBorders>
              <w:top w:val="nil"/>
              <w:bottom w:val="nil"/>
            </w:tcBorders>
            <w:shd w:val="clear" w:color="auto" w:fill="F2F2F2" w:themeFill="background1" w:themeFillShade="F2"/>
          </w:tcPr>
          <w:p w:rsidR="00853A74" w:rsidRDefault="00853A74" w:rsidP="00EF5FF5">
            <w:pPr>
              <w:pStyle w:val="TableText"/>
              <w:ind w:right="142"/>
              <w:rPr>
                <w:rFonts w:eastAsia="MS Mincho"/>
                <w:lang w:eastAsia="ja-JP"/>
              </w:rPr>
            </w:pPr>
            <w:r w:rsidRPr="00C42D7A">
              <w:rPr>
                <w:rFonts w:eastAsia="MS Mincho"/>
                <w:i/>
                <w:lang w:eastAsia="ja-JP"/>
              </w:rPr>
              <w:t>n</w:t>
            </w:r>
            <w:r>
              <w:rPr>
                <w:rFonts w:eastAsia="MS Mincho"/>
                <w:lang w:eastAsia="ja-JP"/>
              </w:rPr>
              <w:t xml:space="preserve"> </w:t>
            </w:r>
            <w:r w:rsidRPr="00175F33">
              <w:rPr>
                <w:rFonts w:eastAsia="MS Mincho"/>
                <w:lang w:eastAsia="ja-JP"/>
              </w:rPr>
              <w:t>=</w:t>
            </w:r>
            <w:r>
              <w:rPr>
                <w:rFonts w:eastAsia="MS Mincho"/>
                <w:lang w:eastAsia="ja-JP"/>
              </w:rPr>
              <w:t xml:space="preserve"> </w:t>
            </w:r>
            <w:r w:rsidRPr="00175F33">
              <w:rPr>
                <w:rFonts w:eastAsia="MS Mincho"/>
                <w:lang w:eastAsia="ja-JP"/>
              </w:rPr>
              <w:t>49. Women were prescribed insulin immediately only if the fetal abdominal circumference was ≥</w:t>
            </w:r>
            <w:r>
              <w:rPr>
                <w:rFonts w:eastAsia="MS Mincho"/>
                <w:lang w:eastAsia="ja-JP"/>
              </w:rPr>
              <w:t xml:space="preserve"> </w:t>
            </w:r>
            <w:r w:rsidRPr="00175F33">
              <w:rPr>
                <w:rFonts w:eastAsia="MS Mincho"/>
                <w:lang w:eastAsia="ja-JP"/>
              </w:rPr>
              <w:t>70</w:t>
            </w:r>
            <w:r w:rsidRPr="00C42D7A">
              <w:rPr>
                <w:rFonts w:eastAsia="MS Mincho"/>
                <w:lang w:eastAsia="ja-JP"/>
              </w:rPr>
              <w:t>th</w:t>
            </w:r>
            <w:r w:rsidRPr="00175F33">
              <w:rPr>
                <w:rFonts w:eastAsia="MS Mincho"/>
                <w:lang w:eastAsia="ja-JP"/>
              </w:rPr>
              <w:t xml:space="preserve"> percentile for gestational age. Initial doses were assigned as in the standard management group, but glycaemic targets were ≤</w:t>
            </w:r>
            <w:r>
              <w:rPr>
                <w:rFonts w:eastAsia="MS Mincho"/>
                <w:lang w:eastAsia="ja-JP"/>
              </w:rPr>
              <w:t> </w:t>
            </w:r>
            <w:r w:rsidRPr="00175F33">
              <w:rPr>
                <w:rFonts w:eastAsia="MS Mincho"/>
                <w:lang w:eastAsia="ja-JP"/>
              </w:rPr>
              <w:t>4.4</w:t>
            </w:r>
            <w:r>
              <w:rPr>
                <w:rFonts w:eastAsia="MS Mincho"/>
                <w:lang w:eastAsia="ja-JP"/>
              </w:rPr>
              <w:t> </w:t>
            </w:r>
            <w:r w:rsidRPr="00175F33">
              <w:rPr>
                <w:rFonts w:eastAsia="MS Mincho"/>
                <w:lang w:eastAsia="ja-JP"/>
              </w:rPr>
              <w:t>mmol/L before meals and ≤</w:t>
            </w:r>
            <w:r>
              <w:rPr>
                <w:rFonts w:eastAsia="MS Mincho"/>
                <w:lang w:eastAsia="ja-JP"/>
              </w:rPr>
              <w:t> </w:t>
            </w:r>
            <w:r w:rsidRPr="00175F33">
              <w:rPr>
                <w:rFonts w:eastAsia="MS Mincho"/>
                <w:lang w:eastAsia="ja-JP"/>
              </w:rPr>
              <w:t>6.2</w:t>
            </w:r>
            <w:r>
              <w:rPr>
                <w:rFonts w:eastAsia="MS Mincho"/>
                <w:lang w:eastAsia="ja-JP"/>
              </w:rPr>
              <w:t> </w:t>
            </w:r>
            <w:r w:rsidRPr="00175F33">
              <w:rPr>
                <w:rFonts w:eastAsia="MS Mincho"/>
                <w:lang w:eastAsia="ja-JP"/>
              </w:rPr>
              <w:t>mmol/L two hours after meals. After the baseline ultrasound, additional fetal abdominal circumference measurements were made at 20, 24, 28, 32 and 36 weeks gestation. Insulin therapy was prescribed using the initial doses and glycaemic targets described above if</w:t>
            </w:r>
            <w:r>
              <w:rPr>
                <w:rFonts w:eastAsia="MS Mincho"/>
                <w:lang w:eastAsia="ja-JP"/>
              </w:rPr>
              <w:t>:</w:t>
            </w:r>
          </w:p>
          <w:p w:rsidR="00853A74" w:rsidRDefault="00853A74" w:rsidP="008910FB">
            <w:pPr>
              <w:pStyle w:val="TableText"/>
              <w:ind w:left="284" w:right="142" w:hanging="284"/>
              <w:rPr>
                <w:rFonts w:eastAsia="MS Mincho"/>
                <w:lang w:eastAsia="ja-JP"/>
              </w:rPr>
            </w:pPr>
            <w:r w:rsidRPr="00175F33">
              <w:rPr>
                <w:rFonts w:eastAsia="MS Mincho"/>
                <w:lang w:eastAsia="ja-JP"/>
              </w:rPr>
              <w:t>1</w:t>
            </w:r>
            <w:r>
              <w:rPr>
                <w:rFonts w:eastAsia="MS Mincho"/>
                <w:lang w:eastAsia="ja-JP"/>
              </w:rPr>
              <w:tab/>
            </w:r>
            <w:r w:rsidRPr="00175F33">
              <w:rPr>
                <w:rFonts w:eastAsia="MS Mincho"/>
                <w:lang w:eastAsia="ja-JP"/>
              </w:rPr>
              <w:t>the fetal abdominal circumference at entry or any subsequent ultrasound examination was ≥</w:t>
            </w:r>
            <w:r>
              <w:rPr>
                <w:rFonts w:eastAsia="MS Mincho"/>
                <w:lang w:eastAsia="ja-JP"/>
              </w:rPr>
              <w:t xml:space="preserve"> </w:t>
            </w:r>
            <w:r w:rsidRPr="00175F33">
              <w:rPr>
                <w:rFonts w:eastAsia="MS Mincho"/>
                <w:lang w:eastAsia="ja-JP"/>
              </w:rPr>
              <w:t>70th percentile for gestational age</w:t>
            </w:r>
          </w:p>
          <w:p w:rsidR="00853A74" w:rsidRDefault="00853A74" w:rsidP="008910FB">
            <w:pPr>
              <w:pStyle w:val="TableText"/>
              <w:ind w:left="284" w:right="142" w:hanging="284"/>
              <w:rPr>
                <w:rFonts w:eastAsia="MS Mincho"/>
                <w:lang w:eastAsia="ja-JP"/>
              </w:rPr>
            </w:pPr>
            <w:r w:rsidRPr="00175F33">
              <w:rPr>
                <w:rFonts w:eastAsia="MS Mincho"/>
                <w:lang w:eastAsia="ja-JP"/>
              </w:rPr>
              <w:t>2</w:t>
            </w:r>
            <w:r>
              <w:rPr>
                <w:rFonts w:eastAsia="MS Mincho"/>
                <w:lang w:eastAsia="ja-JP"/>
              </w:rPr>
              <w:tab/>
            </w:r>
            <w:r w:rsidRPr="00175F33">
              <w:rPr>
                <w:rFonts w:eastAsia="MS Mincho"/>
                <w:lang w:eastAsia="ja-JP"/>
              </w:rPr>
              <w:t>any fasting plasma glucose concentration measured during a clinic visit exceeded 6.7</w:t>
            </w:r>
            <w:r>
              <w:rPr>
                <w:rFonts w:eastAsia="MS Mincho"/>
                <w:lang w:eastAsia="ja-JP"/>
              </w:rPr>
              <w:t xml:space="preserve"> </w:t>
            </w:r>
            <w:r w:rsidRPr="00175F33">
              <w:rPr>
                <w:rFonts w:eastAsia="MS Mincho"/>
                <w:lang w:eastAsia="ja-JP"/>
              </w:rPr>
              <w:t>mmol/L or</w:t>
            </w:r>
          </w:p>
          <w:p w:rsidR="00853A74" w:rsidRPr="00175F33" w:rsidRDefault="00853A74" w:rsidP="008910FB">
            <w:pPr>
              <w:pStyle w:val="TableText"/>
              <w:ind w:left="284" w:right="142" w:hanging="284"/>
              <w:rPr>
                <w:rFonts w:eastAsia="MS Mincho"/>
                <w:lang w:eastAsia="ja-JP"/>
              </w:rPr>
            </w:pPr>
            <w:r w:rsidRPr="00175F33">
              <w:rPr>
                <w:rFonts w:eastAsia="MS Mincho"/>
                <w:lang w:eastAsia="ja-JP"/>
              </w:rPr>
              <w:t>3</w:t>
            </w:r>
            <w:r>
              <w:rPr>
                <w:rFonts w:eastAsia="MS Mincho"/>
                <w:lang w:eastAsia="ja-JP"/>
              </w:rPr>
              <w:tab/>
            </w:r>
            <w:r w:rsidRPr="00175F33">
              <w:rPr>
                <w:rFonts w:eastAsia="MS Mincho"/>
                <w:lang w:eastAsia="ja-JP"/>
              </w:rPr>
              <w:t>the subject failed to perform ≥</w:t>
            </w:r>
            <w:r>
              <w:rPr>
                <w:rFonts w:eastAsia="MS Mincho"/>
                <w:lang w:eastAsia="ja-JP"/>
              </w:rPr>
              <w:t xml:space="preserve"> </w:t>
            </w:r>
            <w:r w:rsidRPr="00175F33">
              <w:rPr>
                <w:rFonts w:eastAsia="MS Mincho"/>
                <w:lang w:eastAsia="ja-JP"/>
              </w:rPr>
              <w:t>50% of the recommended capillary glucose measurements</w:t>
            </w:r>
            <w:r>
              <w:rPr>
                <w:rFonts w:eastAsia="MS Mincho"/>
                <w:lang w:eastAsia="ja-JP"/>
              </w:rPr>
              <w:t>.</w:t>
            </w:r>
          </w:p>
        </w:tc>
        <w:tc>
          <w:tcPr>
            <w:tcW w:w="825" w:type="pct"/>
            <w:tcBorders>
              <w:top w:val="nil"/>
              <w:bottom w:val="nil"/>
            </w:tcBorders>
            <w:shd w:val="clear" w:color="auto" w:fill="F2F2F2" w:themeFill="background1" w:themeFillShade="F2"/>
          </w:tcPr>
          <w:p w:rsidR="00853A74" w:rsidRPr="00175F33" w:rsidRDefault="00853A74" w:rsidP="00EF5FF5">
            <w:pPr>
              <w:pStyle w:val="TableText"/>
            </w:pPr>
            <w:r w:rsidRPr="00C42D7A">
              <w:rPr>
                <w:rFonts w:eastAsia="MS Mincho"/>
                <w:i/>
                <w:lang w:eastAsia="ja-JP"/>
              </w:rPr>
              <w:t>n</w:t>
            </w:r>
            <w:r>
              <w:rPr>
                <w:rFonts w:eastAsia="MS Mincho"/>
                <w:lang w:eastAsia="ja-JP"/>
              </w:rPr>
              <w:t xml:space="preserve"> </w:t>
            </w:r>
            <w:r w:rsidRPr="00175F33">
              <w:rPr>
                <w:rFonts w:eastAsia="MS Mincho"/>
                <w:lang w:eastAsia="ja-JP"/>
              </w:rPr>
              <w:t>=</w:t>
            </w:r>
            <w:r>
              <w:rPr>
                <w:rFonts w:eastAsia="MS Mincho"/>
                <w:lang w:eastAsia="ja-JP"/>
              </w:rPr>
              <w:t xml:space="preserve"> </w:t>
            </w:r>
            <w:r w:rsidRPr="00175F33">
              <w:rPr>
                <w:rFonts w:eastAsia="MS Mincho"/>
                <w:lang w:eastAsia="ja-JP"/>
              </w:rPr>
              <w:t>49. Women were prescribed NPH and regular insulin before breakfast and dinner. The initial daily dose (0.8, 0.9, 1.0, 1.1 or 1.2 units/kg body weight, respectively) was assigned according to the gestational age at entry. Insulin doses were adjusted to achieve preprandial capillary blood glucose concentrations ≤</w:t>
            </w:r>
            <w:r>
              <w:rPr>
                <w:rFonts w:eastAsia="MS Mincho"/>
                <w:lang w:eastAsia="ja-JP"/>
              </w:rPr>
              <w:t> </w:t>
            </w:r>
            <w:r w:rsidRPr="00175F33">
              <w:rPr>
                <w:rFonts w:eastAsia="MS Mincho"/>
                <w:lang w:eastAsia="ja-JP"/>
              </w:rPr>
              <w:t>5.0</w:t>
            </w:r>
            <w:r>
              <w:rPr>
                <w:rFonts w:eastAsia="MS Mincho"/>
                <w:lang w:eastAsia="ja-JP"/>
              </w:rPr>
              <w:t> </w:t>
            </w:r>
            <w:r w:rsidRPr="00175F33">
              <w:rPr>
                <w:rFonts w:eastAsia="MS Mincho"/>
                <w:lang w:eastAsia="ja-JP"/>
              </w:rPr>
              <w:t>mmol/L and 2</w:t>
            </w:r>
            <w:r>
              <w:rPr>
                <w:rFonts w:eastAsia="MS Mincho"/>
                <w:lang w:eastAsia="ja-JP"/>
              </w:rPr>
              <w:t>-</w:t>
            </w:r>
            <w:r w:rsidRPr="00175F33">
              <w:rPr>
                <w:rFonts w:eastAsia="MS Mincho"/>
                <w:lang w:eastAsia="ja-JP"/>
              </w:rPr>
              <w:t>hour postprandial concentrations ≤6.7</w:t>
            </w:r>
            <w:r w:rsidR="00EF5FF5">
              <w:rPr>
                <w:rFonts w:eastAsia="MS Mincho"/>
                <w:lang w:eastAsia="ja-JP"/>
              </w:rPr>
              <w:t> </w:t>
            </w:r>
            <w:r w:rsidRPr="00175F33">
              <w:rPr>
                <w:rFonts w:eastAsia="MS Mincho"/>
                <w:lang w:eastAsia="ja-JP"/>
              </w:rPr>
              <w:t>mmol/L</w:t>
            </w:r>
            <w:r>
              <w:rPr>
                <w:rFonts w:eastAsia="MS Mincho"/>
                <w:lang w:eastAsia="ja-JP"/>
              </w:rPr>
              <w:t>.</w:t>
            </w:r>
          </w:p>
        </w:tc>
      </w:tr>
      <w:tr w:rsidR="00EF5FF5" w:rsidRPr="00175F33" w:rsidTr="009759EE">
        <w:trPr>
          <w:cantSplit/>
        </w:trPr>
        <w:tc>
          <w:tcPr>
            <w:tcW w:w="454" w:type="pct"/>
            <w:tcBorders>
              <w:top w:val="nil"/>
              <w:bottom w:val="nil"/>
            </w:tcBorders>
            <w:shd w:val="clear" w:color="auto" w:fill="auto"/>
          </w:tcPr>
          <w:p w:rsidR="00853A74" w:rsidRPr="00175F33" w:rsidRDefault="00853A74" w:rsidP="009759EE">
            <w:pPr>
              <w:pStyle w:val="TableText"/>
              <w:ind w:right="142"/>
            </w:pPr>
            <w:r w:rsidRPr="00175F33">
              <w:t>Schaefer-Graf</w:t>
            </w:r>
            <w:r w:rsidR="009759EE">
              <w:br/>
            </w:r>
            <w:r>
              <w:t>(</w:t>
            </w:r>
            <w:r w:rsidRPr="00175F33">
              <w:t>2004</w:t>
            </w:r>
            <w:r>
              <w:t>)</w:t>
            </w:r>
          </w:p>
        </w:tc>
        <w:tc>
          <w:tcPr>
            <w:tcW w:w="419" w:type="pct"/>
            <w:tcBorders>
              <w:top w:val="nil"/>
              <w:bottom w:val="nil"/>
            </w:tcBorders>
            <w:shd w:val="clear" w:color="auto" w:fill="auto"/>
          </w:tcPr>
          <w:p w:rsidR="00853A74" w:rsidRPr="00175F33" w:rsidRDefault="00853A74" w:rsidP="00EF5FF5">
            <w:pPr>
              <w:pStyle w:val="TableText"/>
              <w:ind w:right="142"/>
            </w:pPr>
            <w:r w:rsidRPr="00175F33">
              <w:t>Germany</w:t>
            </w:r>
          </w:p>
        </w:tc>
        <w:tc>
          <w:tcPr>
            <w:tcW w:w="777" w:type="pct"/>
            <w:tcBorders>
              <w:top w:val="nil"/>
              <w:bottom w:val="nil"/>
            </w:tcBorders>
            <w:shd w:val="clear" w:color="auto" w:fill="auto"/>
          </w:tcPr>
          <w:p w:rsidR="00853A74" w:rsidRPr="00175F33" w:rsidRDefault="00853A74" w:rsidP="008910FB">
            <w:pPr>
              <w:pStyle w:val="TableText"/>
              <w:ind w:right="142"/>
            </w:pPr>
            <w:r w:rsidRPr="00175F33">
              <w:rPr>
                <w:rFonts w:eastAsia="MS Mincho"/>
                <w:lang w:eastAsia="ja-JP"/>
              </w:rPr>
              <w:t>Women with GDM who attained fasting capillary glucose &lt;</w:t>
            </w:r>
            <w:r>
              <w:rPr>
                <w:rFonts w:eastAsia="MS Mincho"/>
                <w:lang w:eastAsia="ja-JP"/>
              </w:rPr>
              <w:t> </w:t>
            </w:r>
            <w:r w:rsidRPr="00175F33">
              <w:rPr>
                <w:rFonts w:eastAsia="MS Mincho"/>
                <w:lang w:eastAsia="ja-JP"/>
              </w:rPr>
              <w:t>6.7mmol/L and 2</w:t>
            </w:r>
            <w:r w:rsidR="008910FB">
              <w:rPr>
                <w:rFonts w:eastAsia="MS Mincho"/>
                <w:lang w:eastAsia="ja-JP"/>
              </w:rPr>
              <w:noBreakHyphen/>
            </w:r>
            <w:r w:rsidRPr="00175F33">
              <w:rPr>
                <w:rFonts w:eastAsia="MS Mincho"/>
                <w:lang w:eastAsia="ja-JP"/>
              </w:rPr>
              <w:t>hour postprandial capillary glucose &lt;</w:t>
            </w:r>
            <w:r>
              <w:rPr>
                <w:rFonts w:eastAsia="MS Mincho"/>
                <w:lang w:eastAsia="ja-JP"/>
              </w:rPr>
              <w:t> </w:t>
            </w:r>
            <w:r w:rsidRPr="00175F33">
              <w:rPr>
                <w:rFonts w:eastAsia="MS Mincho"/>
                <w:lang w:eastAsia="ja-JP"/>
              </w:rPr>
              <w:t>11.1</w:t>
            </w:r>
            <w:r>
              <w:rPr>
                <w:rFonts w:eastAsia="MS Mincho"/>
                <w:lang w:eastAsia="ja-JP"/>
              </w:rPr>
              <w:t> </w:t>
            </w:r>
            <w:r w:rsidRPr="00175F33">
              <w:rPr>
                <w:rFonts w:eastAsia="MS Mincho"/>
                <w:lang w:eastAsia="ja-JP"/>
              </w:rPr>
              <w:t>mmol/L after 1</w:t>
            </w:r>
            <w:r w:rsidR="008910FB">
              <w:rPr>
                <w:rFonts w:eastAsia="MS Mincho"/>
                <w:lang w:eastAsia="ja-JP"/>
              </w:rPr>
              <w:t> </w:t>
            </w:r>
            <w:r w:rsidRPr="00175F33">
              <w:rPr>
                <w:rFonts w:eastAsia="MS Mincho"/>
                <w:lang w:eastAsia="ja-JP"/>
              </w:rPr>
              <w:t>week of diet</w:t>
            </w:r>
            <w:r>
              <w:rPr>
                <w:rFonts w:eastAsia="MS Mincho"/>
                <w:lang w:eastAsia="ja-JP"/>
              </w:rPr>
              <w:t>.</w:t>
            </w:r>
          </w:p>
        </w:tc>
        <w:tc>
          <w:tcPr>
            <w:tcW w:w="1116" w:type="pct"/>
            <w:tcBorders>
              <w:top w:val="nil"/>
              <w:bottom w:val="nil"/>
            </w:tcBorders>
            <w:shd w:val="clear" w:color="auto" w:fill="auto"/>
          </w:tcPr>
          <w:p w:rsidR="00853A74" w:rsidRDefault="00853A74" w:rsidP="008910FB">
            <w:pPr>
              <w:pStyle w:val="TableText"/>
              <w:ind w:left="284" w:right="142" w:hanging="284"/>
              <w:rPr>
                <w:rFonts w:eastAsia="MS Mincho"/>
                <w:lang w:eastAsia="ja-JP"/>
              </w:rPr>
            </w:pPr>
            <w:r w:rsidRPr="00175F33">
              <w:rPr>
                <w:rFonts w:eastAsia="MS Mincho"/>
                <w:lang w:eastAsia="ja-JP"/>
              </w:rPr>
              <w:t>1</w:t>
            </w:r>
            <w:r>
              <w:rPr>
                <w:rFonts w:eastAsia="MS Mincho"/>
                <w:lang w:eastAsia="ja-JP"/>
              </w:rPr>
              <w:tab/>
            </w:r>
            <w:r w:rsidRPr="00175F33">
              <w:rPr>
                <w:rFonts w:eastAsia="MS Mincho"/>
                <w:lang w:eastAsia="ja-JP"/>
              </w:rPr>
              <w:t>GDM, diagnosed by at least two abnormal values in a 75</w:t>
            </w:r>
            <w:r>
              <w:rPr>
                <w:rFonts w:eastAsia="MS Mincho"/>
                <w:lang w:eastAsia="ja-JP"/>
              </w:rPr>
              <w:t> </w:t>
            </w:r>
            <w:r w:rsidRPr="00175F33">
              <w:rPr>
                <w:rFonts w:eastAsia="MS Mincho"/>
                <w:lang w:eastAsia="ja-JP"/>
              </w:rPr>
              <w:t>g oral glucose tolerance test (fasting ≥</w:t>
            </w:r>
            <w:r w:rsidR="008910FB">
              <w:rPr>
                <w:rFonts w:eastAsia="MS Mincho"/>
                <w:lang w:eastAsia="ja-JP"/>
              </w:rPr>
              <w:t> </w:t>
            </w:r>
            <w:r w:rsidRPr="00175F33">
              <w:rPr>
                <w:rFonts w:eastAsia="MS Mincho"/>
                <w:lang w:eastAsia="ja-JP"/>
              </w:rPr>
              <w:t>5.0 mmol/L; 1 hour ≥</w:t>
            </w:r>
            <w:r w:rsidR="008910FB">
              <w:rPr>
                <w:rFonts w:eastAsia="MS Mincho"/>
                <w:lang w:eastAsia="ja-JP"/>
              </w:rPr>
              <w:t> </w:t>
            </w:r>
            <w:r w:rsidRPr="00175F33">
              <w:rPr>
                <w:rFonts w:eastAsia="MS Mincho"/>
                <w:lang w:eastAsia="ja-JP"/>
              </w:rPr>
              <w:t>9.1 mmol/L, 2 hour ≥</w:t>
            </w:r>
            <w:r w:rsidR="008910FB">
              <w:rPr>
                <w:rFonts w:eastAsia="MS Mincho"/>
                <w:lang w:eastAsia="ja-JP"/>
              </w:rPr>
              <w:t> </w:t>
            </w:r>
            <w:r w:rsidRPr="00175F33">
              <w:rPr>
                <w:rFonts w:eastAsia="MS Mincho"/>
                <w:lang w:eastAsia="ja-JP"/>
              </w:rPr>
              <w:t>8.0</w:t>
            </w:r>
            <w:r w:rsidR="008910FB">
              <w:rPr>
                <w:rFonts w:eastAsia="MS Mincho"/>
                <w:lang w:eastAsia="ja-JP"/>
              </w:rPr>
              <w:t> </w:t>
            </w:r>
            <w:r w:rsidRPr="00175F33">
              <w:rPr>
                <w:rFonts w:eastAsia="MS Mincho"/>
                <w:lang w:eastAsia="ja-JP"/>
              </w:rPr>
              <w:t>mmol/L)</w:t>
            </w:r>
            <w:r>
              <w:rPr>
                <w:rFonts w:eastAsia="MS Mincho"/>
                <w:lang w:eastAsia="ja-JP"/>
              </w:rPr>
              <w:t>.</w:t>
            </w:r>
          </w:p>
          <w:p w:rsidR="00853A74" w:rsidRDefault="00853A74" w:rsidP="008910FB">
            <w:pPr>
              <w:pStyle w:val="TableText"/>
              <w:ind w:left="284" w:right="142" w:hanging="284"/>
              <w:rPr>
                <w:rFonts w:eastAsia="MS Mincho"/>
                <w:lang w:eastAsia="ja-JP"/>
              </w:rPr>
            </w:pPr>
            <w:r w:rsidRPr="00175F33">
              <w:rPr>
                <w:rFonts w:eastAsia="MS Mincho"/>
                <w:lang w:eastAsia="ja-JP"/>
              </w:rPr>
              <w:t>2</w:t>
            </w:r>
            <w:r>
              <w:rPr>
                <w:rFonts w:eastAsia="MS Mincho"/>
                <w:lang w:eastAsia="ja-JP"/>
              </w:rPr>
              <w:tab/>
              <w:t>A</w:t>
            </w:r>
            <w:r w:rsidRPr="00175F33">
              <w:rPr>
                <w:rFonts w:eastAsia="MS Mincho"/>
                <w:lang w:eastAsia="ja-JP"/>
              </w:rPr>
              <w:t>ll capillary fasting glucose measurements ≤</w:t>
            </w:r>
            <w:r w:rsidR="008910FB">
              <w:rPr>
                <w:rFonts w:eastAsia="MS Mincho"/>
                <w:lang w:eastAsia="ja-JP"/>
              </w:rPr>
              <w:t> </w:t>
            </w:r>
            <w:r w:rsidRPr="00175F33">
              <w:rPr>
                <w:rFonts w:eastAsia="MS Mincho"/>
                <w:lang w:eastAsia="ja-JP"/>
              </w:rPr>
              <w:t>6.6 mmol/L and 2 hour postprandial capillary glucose measurements ≤</w:t>
            </w:r>
            <w:r w:rsidR="008910FB">
              <w:rPr>
                <w:rFonts w:eastAsia="MS Mincho"/>
                <w:lang w:eastAsia="ja-JP"/>
              </w:rPr>
              <w:t> </w:t>
            </w:r>
            <w:r w:rsidRPr="00175F33">
              <w:rPr>
                <w:rFonts w:eastAsia="MS Mincho"/>
                <w:lang w:eastAsia="ja-JP"/>
              </w:rPr>
              <w:t>11.1</w:t>
            </w:r>
            <w:r w:rsidR="008910FB">
              <w:rPr>
                <w:rFonts w:eastAsia="MS Mincho"/>
                <w:lang w:eastAsia="ja-JP"/>
              </w:rPr>
              <w:t> </w:t>
            </w:r>
            <w:r w:rsidRPr="00175F33">
              <w:rPr>
                <w:rFonts w:eastAsia="MS Mincho"/>
                <w:lang w:eastAsia="ja-JP"/>
              </w:rPr>
              <w:t>mmol/L)</w:t>
            </w:r>
            <w:r w:rsidR="008910FB">
              <w:rPr>
                <w:rFonts w:eastAsia="MS Mincho"/>
                <w:lang w:eastAsia="ja-JP"/>
              </w:rPr>
              <w:t>.</w:t>
            </w:r>
          </w:p>
          <w:p w:rsidR="00853A74" w:rsidRPr="00175F33" w:rsidRDefault="00853A74" w:rsidP="008910FB">
            <w:pPr>
              <w:pStyle w:val="TableText"/>
              <w:ind w:left="284" w:right="142" w:hanging="284"/>
              <w:rPr>
                <w:rFonts w:eastAsia="MS Mincho"/>
                <w:lang w:eastAsia="ja-JP"/>
              </w:rPr>
            </w:pPr>
            <w:r w:rsidRPr="00175F33">
              <w:rPr>
                <w:rFonts w:eastAsia="MS Mincho"/>
                <w:lang w:eastAsia="ja-JP"/>
              </w:rPr>
              <w:t>3</w:t>
            </w:r>
            <w:r w:rsidR="008910FB">
              <w:rPr>
                <w:rFonts w:eastAsia="MS Mincho"/>
                <w:lang w:eastAsia="ja-JP"/>
              </w:rPr>
              <w:tab/>
              <w:t>S</w:t>
            </w:r>
            <w:r w:rsidRPr="00175F33">
              <w:rPr>
                <w:rFonts w:eastAsia="MS Mincho"/>
                <w:lang w:eastAsia="ja-JP"/>
              </w:rPr>
              <w:t>ingleton pregnancy 16 to 34 completed weeks confirmed by ultrasound performed before 20 weeks</w:t>
            </w:r>
            <w:r w:rsidR="008910FB">
              <w:rPr>
                <w:rFonts w:eastAsia="MS Mincho"/>
                <w:lang w:eastAsia="ja-JP"/>
              </w:rPr>
              <w:t>.</w:t>
            </w:r>
          </w:p>
          <w:p w:rsidR="00853A74" w:rsidRPr="00175F33" w:rsidRDefault="00853A74" w:rsidP="008910FB">
            <w:pPr>
              <w:pStyle w:val="TableText"/>
              <w:ind w:left="284" w:right="142" w:hanging="284"/>
            </w:pPr>
            <w:r w:rsidRPr="00175F33">
              <w:rPr>
                <w:rFonts w:eastAsia="MS Mincho"/>
                <w:lang w:eastAsia="ja-JP"/>
              </w:rPr>
              <w:t>4</w:t>
            </w:r>
            <w:r w:rsidR="008910FB">
              <w:rPr>
                <w:rFonts w:eastAsia="MS Mincho"/>
                <w:lang w:eastAsia="ja-JP"/>
              </w:rPr>
              <w:tab/>
              <w:t>N</w:t>
            </w:r>
            <w:r w:rsidRPr="00175F33">
              <w:rPr>
                <w:rFonts w:eastAsia="MS Mincho"/>
                <w:lang w:eastAsia="ja-JP"/>
              </w:rPr>
              <w:t>o maternal medical conditions known to affect fetal growth.</w:t>
            </w:r>
          </w:p>
        </w:tc>
        <w:tc>
          <w:tcPr>
            <w:tcW w:w="1408" w:type="pct"/>
            <w:tcBorders>
              <w:top w:val="nil"/>
              <w:bottom w:val="nil"/>
            </w:tcBorders>
            <w:shd w:val="clear" w:color="auto" w:fill="auto"/>
          </w:tcPr>
          <w:p w:rsidR="00853A74" w:rsidRDefault="00853A74" w:rsidP="00EF5FF5">
            <w:pPr>
              <w:pStyle w:val="TableText"/>
              <w:ind w:right="142"/>
              <w:rPr>
                <w:rFonts w:eastAsia="MS Mincho"/>
                <w:lang w:eastAsia="ja-JP"/>
              </w:rPr>
            </w:pPr>
            <w:r w:rsidRPr="008910FB">
              <w:rPr>
                <w:rFonts w:eastAsia="MS Mincho"/>
                <w:i/>
                <w:lang w:eastAsia="ja-JP"/>
              </w:rPr>
              <w:t>n=99</w:t>
            </w:r>
            <w:r w:rsidRPr="00175F33">
              <w:rPr>
                <w:rFonts w:eastAsia="MS Mincho"/>
                <w:lang w:eastAsia="ja-JP"/>
              </w:rPr>
              <w:t>. Insulin was initiated if capillary fasting glucose was 6.7 and 11.1</w:t>
            </w:r>
            <w:r w:rsidR="008910FB">
              <w:rPr>
                <w:rFonts w:eastAsia="MS Mincho"/>
                <w:lang w:eastAsia="ja-JP"/>
              </w:rPr>
              <w:t> </w:t>
            </w:r>
            <w:r w:rsidRPr="00175F33">
              <w:rPr>
                <w:rFonts w:eastAsia="MS Mincho"/>
                <w:lang w:eastAsia="ja-JP"/>
              </w:rPr>
              <w:t>mmol/L, respectively, or a foetal abdominal circumference &gt;</w:t>
            </w:r>
            <w:r w:rsidR="008910FB">
              <w:rPr>
                <w:rFonts w:eastAsia="MS Mincho"/>
                <w:lang w:eastAsia="ja-JP"/>
              </w:rPr>
              <w:t> </w:t>
            </w:r>
            <w:r w:rsidRPr="00175F33">
              <w:rPr>
                <w:rFonts w:eastAsia="MS Mincho"/>
                <w:lang w:eastAsia="ja-JP"/>
              </w:rPr>
              <w:t>75th percentile. Insulin was started whenever the abdominal circumference exceeded the 75th percentile before 36 completed weeks. In this group, glucose targets were not discussed with patients, and glucose values were not used to guide management, unless any capillary fasting glucose was &gt;</w:t>
            </w:r>
            <w:r w:rsidR="008910FB">
              <w:rPr>
                <w:rFonts w:eastAsia="MS Mincho"/>
                <w:lang w:eastAsia="ja-JP"/>
              </w:rPr>
              <w:t> </w:t>
            </w:r>
            <w:r w:rsidRPr="00175F33">
              <w:rPr>
                <w:rFonts w:eastAsia="MS Mincho"/>
                <w:lang w:eastAsia="ja-JP"/>
              </w:rPr>
              <w:t>6.7</w:t>
            </w:r>
            <w:r w:rsidR="008910FB">
              <w:rPr>
                <w:rFonts w:eastAsia="MS Mincho"/>
                <w:lang w:eastAsia="ja-JP"/>
              </w:rPr>
              <w:t> </w:t>
            </w:r>
            <w:r w:rsidRPr="00175F33">
              <w:rPr>
                <w:rFonts w:eastAsia="MS Mincho"/>
                <w:lang w:eastAsia="ja-JP"/>
              </w:rPr>
              <w:t>mmol/L and/or any 2</w:t>
            </w:r>
            <w:r w:rsidR="008910FB">
              <w:rPr>
                <w:rFonts w:eastAsia="MS Mincho"/>
                <w:lang w:eastAsia="ja-JP"/>
              </w:rPr>
              <w:t> </w:t>
            </w:r>
            <w:r w:rsidRPr="00175F33">
              <w:rPr>
                <w:rFonts w:eastAsia="MS Mincho"/>
                <w:lang w:eastAsia="ja-JP"/>
              </w:rPr>
              <w:t>hour post prandial ≥</w:t>
            </w:r>
            <w:r w:rsidR="008910FB">
              <w:rPr>
                <w:rFonts w:eastAsia="MS Mincho"/>
                <w:lang w:eastAsia="ja-JP"/>
              </w:rPr>
              <w:t> </w:t>
            </w:r>
            <w:r w:rsidRPr="00175F33">
              <w:rPr>
                <w:rFonts w:eastAsia="MS Mincho"/>
                <w:lang w:eastAsia="ja-JP"/>
              </w:rPr>
              <w:t>11.1</w:t>
            </w:r>
            <w:r w:rsidR="008910FB">
              <w:rPr>
                <w:rFonts w:eastAsia="MS Mincho"/>
                <w:lang w:eastAsia="ja-JP"/>
              </w:rPr>
              <w:t> </w:t>
            </w:r>
            <w:r w:rsidRPr="00175F33">
              <w:rPr>
                <w:rFonts w:eastAsia="MS Mincho"/>
                <w:lang w:eastAsia="ja-JP"/>
              </w:rPr>
              <w:t>mmol/L was measured, at which point insulin was prescribed irrespective of AC measurement.</w:t>
            </w:r>
          </w:p>
          <w:p w:rsidR="00853A74" w:rsidRPr="00175F33" w:rsidRDefault="00853A74" w:rsidP="008910FB">
            <w:pPr>
              <w:pStyle w:val="TableText"/>
              <w:ind w:right="142"/>
              <w:rPr>
                <w:rFonts w:eastAsia="MS Mincho"/>
                <w:lang w:eastAsia="ja-JP"/>
              </w:rPr>
            </w:pPr>
            <w:r w:rsidRPr="00175F33">
              <w:rPr>
                <w:rFonts w:eastAsia="MS Mincho"/>
                <w:lang w:eastAsia="ja-JP"/>
              </w:rPr>
              <w:t>Because of the risk of maternal hypoglycaemia, insulin was not prescribed irrespective of foetal abdominal circumference when capillary fasting glucose was &lt;</w:t>
            </w:r>
            <w:r w:rsidR="008910FB">
              <w:rPr>
                <w:rFonts w:eastAsia="MS Mincho"/>
                <w:lang w:eastAsia="ja-JP"/>
              </w:rPr>
              <w:t> </w:t>
            </w:r>
            <w:r w:rsidRPr="00175F33">
              <w:rPr>
                <w:rFonts w:eastAsia="MS Mincho"/>
                <w:lang w:eastAsia="ja-JP"/>
              </w:rPr>
              <w:t>4.4</w:t>
            </w:r>
            <w:r w:rsidR="008910FB">
              <w:rPr>
                <w:rFonts w:eastAsia="MS Mincho"/>
                <w:lang w:eastAsia="ja-JP"/>
              </w:rPr>
              <w:t> </w:t>
            </w:r>
            <w:r w:rsidRPr="00175F33">
              <w:rPr>
                <w:rFonts w:eastAsia="MS Mincho"/>
                <w:lang w:eastAsia="ja-JP"/>
              </w:rPr>
              <w:t>mmol/L and/or 2</w:t>
            </w:r>
            <w:r w:rsidR="008910FB">
              <w:rPr>
                <w:rFonts w:eastAsia="MS Mincho"/>
                <w:lang w:eastAsia="ja-JP"/>
              </w:rPr>
              <w:t> </w:t>
            </w:r>
            <w:r w:rsidRPr="00175F33">
              <w:rPr>
                <w:rFonts w:eastAsia="MS Mincho"/>
                <w:lang w:eastAsia="ja-JP"/>
              </w:rPr>
              <w:t>hour post prandial value was &lt;</w:t>
            </w:r>
            <w:r w:rsidR="008910FB">
              <w:rPr>
                <w:rFonts w:eastAsia="MS Mincho"/>
                <w:lang w:eastAsia="ja-JP"/>
              </w:rPr>
              <w:t> </w:t>
            </w:r>
            <w:r w:rsidRPr="00175F33">
              <w:rPr>
                <w:rFonts w:eastAsia="MS Mincho"/>
                <w:lang w:eastAsia="ja-JP"/>
              </w:rPr>
              <w:t>15.6</w:t>
            </w:r>
            <w:r w:rsidR="008910FB">
              <w:rPr>
                <w:rFonts w:eastAsia="MS Mincho"/>
                <w:lang w:eastAsia="ja-JP"/>
              </w:rPr>
              <w:t> </w:t>
            </w:r>
            <w:r w:rsidRPr="00175F33">
              <w:rPr>
                <w:rFonts w:eastAsia="MS Mincho"/>
                <w:lang w:eastAsia="ja-JP"/>
              </w:rPr>
              <w:t>mmol/L. Ultrasound examinations were performed at entry and thereafter at 4</w:t>
            </w:r>
            <w:r w:rsidR="008910FB">
              <w:rPr>
                <w:rFonts w:eastAsia="MS Mincho"/>
                <w:lang w:eastAsia="ja-JP"/>
              </w:rPr>
              <w:noBreakHyphen/>
            </w:r>
            <w:r w:rsidRPr="00175F33">
              <w:rPr>
                <w:rFonts w:eastAsia="MS Mincho"/>
                <w:lang w:eastAsia="ja-JP"/>
              </w:rPr>
              <w:t>week intervals at 20, 24, 28, 32, and 36 weeks of gestation.</w:t>
            </w:r>
          </w:p>
        </w:tc>
        <w:tc>
          <w:tcPr>
            <w:tcW w:w="825" w:type="pct"/>
            <w:tcBorders>
              <w:top w:val="nil"/>
              <w:bottom w:val="nil"/>
            </w:tcBorders>
            <w:shd w:val="clear" w:color="auto" w:fill="auto"/>
          </w:tcPr>
          <w:p w:rsidR="00853A74" w:rsidRPr="00175F33" w:rsidRDefault="00853A74" w:rsidP="00EF5FF5">
            <w:pPr>
              <w:pStyle w:val="TableText"/>
            </w:pPr>
            <w:r w:rsidRPr="00C42D7A">
              <w:rPr>
                <w:rFonts w:eastAsia="MS Mincho"/>
                <w:lang w:eastAsia="ja-JP"/>
              </w:rPr>
              <w:t>n</w:t>
            </w:r>
            <w:r w:rsidRPr="00175F33">
              <w:rPr>
                <w:rFonts w:eastAsia="MS Mincho"/>
                <w:lang w:eastAsia="ja-JP"/>
              </w:rPr>
              <w:t>=100. Insulin was prescribed before 36</w:t>
            </w:r>
            <w:r w:rsidR="00EF5FF5">
              <w:rPr>
                <w:rFonts w:eastAsia="MS Mincho"/>
                <w:lang w:eastAsia="ja-JP"/>
              </w:rPr>
              <w:t> </w:t>
            </w:r>
            <w:r w:rsidRPr="00175F33">
              <w:rPr>
                <w:rFonts w:eastAsia="MS Mincho"/>
                <w:lang w:eastAsia="ja-JP"/>
              </w:rPr>
              <w:t>weeks gestation if two glucose profiles had two or more elevated values (capillary fasting glucose &gt;5.0</w:t>
            </w:r>
            <w:r w:rsidR="00EF5FF5">
              <w:rPr>
                <w:rFonts w:eastAsia="MS Mincho"/>
                <w:lang w:eastAsia="ja-JP"/>
              </w:rPr>
              <w:t> </w:t>
            </w:r>
            <w:r w:rsidRPr="00175F33">
              <w:rPr>
                <w:rFonts w:eastAsia="MS Mincho"/>
                <w:lang w:eastAsia="ja-JP"/>
              </w:rPr>
              <w:t>mmol/L or 2 hour post prandial &gt;6.7</w:t>
            </w:r>
            <w:r w:rsidR="00EF5FF5">
              <w:rPr>
                <w:rFonts w:eastAsia="MS Mincho"/>
                <w:lang w:eastAsia="ja-JP"/>
              </w:rPr>
              <w:t> </w:t>
            </w:r>
            <w:r w:rsidRPr="00175F33">
              <w:rPr>
                <w:rFonts w:eastAsia="MS Mincho"/>
                <w:lang w:eastAsia="ja-JP"/>
              </w:rPr>
              <w:t>mmol/L) or four profiles had at least one elevated value during a 2</w:t>
            </w:r>
            <w:r w:rsidR="00EF5FF5">
              <w:rPr>
                <w:rFonts w:eastAsia="MS Mincho"/>
                <w:lang w:eastAsia="ja-JP"/>
              </w:rPr>
              <w:noBreakHyphen/>
            </w:r>
            <w:r w:rsidRPr="00175F33">
              <w:rPr>
                <w:rFonts w:eastAsia="MS Mincho"/>
                <w:lang w:eastAsia="ja-JP"/>
              </w:rPr>
              <w:t>week period.</w:t>
            </w:r>
          </w:p>
        </w:tc>
      </w:tr>
      <w:tr w:rsidR="00EF5FF5" w:rsidRPr="00175F33" w:rsidTr="009759EE">
        <w:trPr>
          <w:cantSplit/>
        </w:trPr>
        <w:tc>
          <w:tcPr>
            <w:tcW w:w="454" w:type="pct"/>
            <w:tcBorders>
              <w:top w:val="nil"/>
              <w:bottom w:val="single" w:sz="4" w:space="0" w:color="auto"/>
            </w:tcBorders>
            <w:shd w:val="clear" w:color="auto" w:fill="F2F2F2" w:themeFill="background1" w:themeFillShade="F2"/>
          </w:tcPr>
          <w:p w:rsidR="00853A74" w:rsidRPr="00175F33" w:rsidRDefault="00853A74" w:rsidP="009759EE">
            <w:pPr>
              <w:pStyle w:val="TableText"/>
              <w:ind w:right="142"/>
            </w:pPr>
            <w:r w:rsidRPr="00175F33">
              <w:t>Rossi</w:t>
            </w:r>
            <w:r w:rsidR="009759EE">
              <w:br/>
            </w:r>
            <w:r>
              <w:t>(</w:t>
            </w:r>
            <w:r w:rsidRPr="00175F33">
              <w:t>2000</w:t>
            </w:r>
            <w:r>
              <w:t>)</w:t>
            </w:r>
          </w:p>
        </w:tc>
        <w:tc>
          <w:tcPr>
            <w:tcW w:w="419" w:type="pct"/>
            <w:tcBorders>
              <w:top w:val="nil"/>
              <w:bottom w:val="single" w:sz="4" w:space="0" w:color="auto"/>
            </w:tcBorders>
            <w:shd w:val="clear" w:color="auto" w:fill="F2F2F2" w:themeFill="background1" w:themeFillShade="F2"/>
          </w:tcPr>
          <w:p w:rsidR="00853A74" w:rsidRPr="00175F33" w:rsidRDefault="00853A74" w:rsidP="00EF5FF5">
            <w:pPr>
              <w:pStyle w:val="TableText"/>
              <w:ind w:right="142"/>
            </w:pPr>
            <w:r w:rsidRPr="00175F33">
              <w:t>Italy</w:t>
            </w:r>
          </w:p>
        </w:tc>
        <w:tc>
          <w:tcPr>
            <w:tcW w:w="777" w:type="pct"/>
            <w:tcBorders>
              <w:top w:val="nil"/>
              <w:bottom w:val="single" w:sz="4" w:space="0" w:color="auto"/>
            </w:tcBorders>
            <w:shd w:val="clear" w:color="auto" w:fill="F2F2F2" w:themeFill="background1" w:themeFillShade="F2"/>
          </w:tcPr>
          <w:p w:rsidR="00853A74" w:rsidRPr="00175F33" w:rsidRDefault="00853A74" w:rsidP="00EF5FF5">
            <w:pPr>
              <w:pStyle w:val="TableText"/>
              <w:ind w:right="142"/>
            </w:pPr>
            <w:r w:rsidRPr="00175F33">
              <w:t>Women of all races, with otherwise uncomplicated singleton pregnancies</w:t>
            </w:r>
            <w:r>
              <w:t>.</w:t>
            </w:r>
          </w:p>
        </w:tc>
        <w:tc>
          <w:tcPr>
            <w:tcW w:w="1116" w:type="pct"/>
            <w:tcBorders>
              <w:top w:val="nil"/>
              <w:bottom w:val="single" w:sz="4" w:space="0" w:color="auto"/>
            </w:tcBorders>
            <w:shd w:val="clear" w:color="auto" w:fill="F2F2F2" w:themeFill="background1" w:themeFillShade="F2"/>
          </w:tcPr>
          <w:p w:rsidR="00853A74" w:rsidRPr="00175F33" w:rsidRDefault="00853A74" w:rsidP="008910FB">
            <w:pPr>
              <w:pStyle w:val="TableText"/>
              <w:ind w:right="142"/>
            </w:pPr>
            <w:r w:rsidRPr="00175F33">
              <w:t>Women who planned to deliver vaginally and whose diagnosis of GDM was established before 28</w:t>
            </w:r>
            <w:r w:rsidR="008910FB">
              <w:t> </w:t>
            </w:r>
            <w:r w:rsidRPr="00175F33">
              <w:t>weeks</w:t>
            </w:r>
            <w:r>
              <w:t>’</w:t>
            </w:r>
            <w:r w:rsidRPr="00175F33">
              <w:t xml:space="preserve"> gestation were identified. In all cases, gestational age had been previously verified by first-trimester ultrasound. All these patients were prescribed an individual dietary regimen and instruction for daily multiple self-monitoring of capillary blood glucose levels.</w:t>
            </w:r>
          </w:p>
        </w:tc>
        <w:tc>
          <w:tcPr>
            <w:tcW w:w="1408" w:type="pct"/>
            <w:tcBorders>
              <w:top w:val="nil"/>
              <w:bottom w:val="single" w:sz="4" w:space="0" w:color="auto"/>
            </w:tcBorders>
            <w:shd w:val="clear" w:color="auto" w:fill="F2F2F2" w:themeFill="background1" w:themeFillShade="F2"/>
          </w:tcPr>
          <w:p w:rsidR="00853A74" w:rsidRPr="00175F33" w:rsidRDefault="00853A74" w:rsidP="00EF5FF5">
            <w:pPr>
              <w:pStyle w:val="TableText"/>
              <w:ind w:right="142"/>
            </w:pPr>
            <w:r w:rsidRPr="001C1A6B">
              <w:rPr>
                <w:i/>
              </w:rPr>
              <w:t>n</w:t>
            </w:r>
            <w:r>
              <w:rPr>
                <w:i/>
              </w:rPr>
              <w:t xml:space="preserve"> </w:t>
            </w:r>
            <w:r w:rsidRPr="00175F33">
              <w:t>=</w:t>
            </w:r>
            <w:r>
              <w:t xml:space="preserve"> </w:t>
            </w:r>
            <w:r w:rsidRPr="00175F33">
              <w:t>73. Fetal ultrasound was assessed at both 28 and 32 weeks</w:t>
            </w:r>
            <w:r>
              <w:t>’</w:t>
            </w:r>
            <w:r w:rsidRPr="00175F33">
              <w:t xml:space="preserve"> gestation. Insulin plus diet therapy was established as soon as fetal abdominal circumference exceeded 75th percentile. Women whose abdominal circumference was &lt;</w:t>
            </w:r>
            <w:r>
              <w:t xml:space="preserve"> </w:t>
            </w:r>
            <w:r w:rsidRPr="00175F33">
              <w:t>75th percentile were treated with di</w:t>
            </w:r>
            <w:r>
              <w:t>et al</w:t>
            </w:r>
            <w:r w:rsidR="008910FB">
              <w:t>one.</w:t>
            </w:r>
          </w:p>
        </w:tc>
        <w:tc>
          <w:tcPr>
            <w:tcW w:w="825" w:type="pct"/>
            <w:tcBorders>
              <w:top w:val="nil"/>
              <w:bottom w:val="single" w:sz="4" w:space="0" w:color="auto"/>
            </w:tcBorders>
            <w:shd w:val="clear" w:color="auto" w:fill="F2F2F2" w:themeFill="background1" w:themeFillShade="F2"/>
          </w:tcPr>
          <w:p w:rsidR="00853A74" w:rsidRPr="00175F33" w:rsidRDefault="00853A74" w:rsidP="00EF5FF5">
            <w:pPr>
              <w:pStyle w:val="TableText"/>
            </w:pPr>
            <w:r w:rsidRPr="001C1A6B">
              <w:rPr>
                <w:i/>
              </w:rPr>
              <w:t>n</w:t>
            </w:r>
            <w:r>
              <w:t xml:space="preserve"> </w:t>
            </w:r>
            <w:r w:rsidRPr="00175F33">
              <w:t>=</w:t>
            </w:r>
            <w:r>
              <w:t xml:space="preserve"> </w:t>
            </w:r>
            <w:r w:rsidRPr="00175F33">
              <w:t>68. Fetal ultrasound was assessed at 32</w:t>
            </w:r>
            <w:r w:rsidR="00EF5FF5">
              <w:t> </w:t>
            </w:r>
            <w:r w:rsidRPr="00175F33">
              <w:t>weeks</w:t>
            </w:r>
            <w:r>
              <w:t>’</w:t>
            </w:r>
            <w:r w:rsidRPr="00175F33">
              <w:t xml:space="preserve"> gestation. Insulin plus diet therapy was established as soon as fetal abdominal circumference exceeded 75th percentile. Women whose abdominal circumference was &lt;</w:t>
            </w:r>
            <w:r>
              <w:t> </w:t>
            </w:r>
            <w:r w:rsidRPr="00175F33">
              <w:t>75th percentile were treated with di</w:t>
            </w:r>
            <w:r>
              <w:t>et al</w:t>
            </w:r>
            <w:r w:rsidR="00EF5FF5">
              <w:t>one.</w:t>
            </w:r>
          </w:p>
        </w:tc>
      </w:tr>
    </w:tbl>
    <w:p w:rsidR="00853A74" w:rsidRDefault="00853A74" w:rsidP="00EF5FF5">
      <w:pPr>
        <w:pStyle w:val="Note"/>
      </w:pPr>
      <w:r>
        <w:t>Note: GDM = gestational diabetes mellitus</w:t>
      </w:r>
      <w:r w:rsidR="00EF5FF5">
        <w:t>.</w:t>
      </w:r>
    </w:p>
    <w:p w:rsidR="00853A74" w:rsidRDefault="00853A74" w:rsidP="00EF5FF5">
      <w:pPr>
        <w:pStyle w:val="Source"/>
      </w:pPr>
      <w:r w:rsidRPr="00175F33">
        <w:t xml:space="preserve">Source: National Institute for Health and </w:t>
      </w:r>
      <w:r w:rsidRPr="00175F33">
        <w:rPr>
          <w:szCs w:val="24"/>
        </w:rPr>
        <w:t xml:space="preserve">Care </w:t>
      </w:r>
      <w:r w:rsidRPr="00175F33">
        <w:t xml:space="preserve">Excellence </w:t>
      </w:r>
      <w:r>
        <w:t xml:space="preserve">(NICE </w:t>
      </w:r>
      <w:r w:rsidRPr="00175F33">
        <w:t>2008</w:t>
      </w:r>
      <w:r>
        <w:t>)</w:t>
      </w:r>
    </w:p>
    <w:p w:rsidR="00EF5FF5" w:rsidRPr="00EF5FF5" w:rsidRDefault="00EF5FF5" w:rsidP="00EF5FF5"/>
    <w:p w:rsidR="00853A74" w:rsidRPr="00E07B1B" w:rsidRDefault="00853A74" w:rsidP="009759EE">
      <w:pPr>
        <w:pStyle w:val="Table"/>
      </w:pPr>
      <w:bookmarkStart w:id="563" w:name="_Toc363717838"/>
      <w:bookmarkStart w:id="564" w:name="_Toc403635920"/>
      <w:r w:rsidRPr="00E07B1B">
        <w:t>Table 39</w:t>
      </w:r>
      <w:r w:rsidR="009759EE">
        <w:t>:</w:t>
      </w:r>
      <w:r w:rsidRPr="00E07B1B">
        <w:t xml:space="preserve"> Maternal and fetal outcomes for ultrasound guided treatment</w:t>
      </w:r>
      <w:bookmarkEnd w:id="563"/>
      <w:bookmarkEnd w:id="564"/>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2127"/>
        <w:gridCol w:w="35"/>
        <w:gridCol w:w="2341"/>
        <w:gridCol w:w="33"/>
        <w:gridCol w:w="2577"/>
        <w:gridCol w:w="22"/>
        <w:gridCol w:w="2588"/>
        <w:gridCol w:w="11"/>
        <w:gridCol w:w="2599"/>
        <w:gridCol w:w="2268"/>
      </w:tblGrid>
      <w:tr w:rsidR="00853A74" w:rsidRPr="009759EE" w:rsidTr="004E4EE1">
        <w:trPr>
          <w:cantSplit/>
          <w:tblHeader/>
        </w:trPr>
        <w:tc>
          <w:tcPr>
            <w:tcW w:w="2162" w:type="dxa"/>
            <w:gridSpan w:val="2"/>
            <w:tcBorders>
              <w:top w:val="single" w:sz="4" w:space="0" w:color="auto"/>
              <w:bottom w:val="single" w:sz="4" w:space="0" w:color="auto"/>
            </w:tcBorders>
            <w:shd w:val="clear" w:color="auto" w:fill="auto"/>
          </w:tcPr>
          <w:p w:rsidR="00853A74" w:rsidRPr="00D55BE7" w:rsidRDefault="00853A74" w:rsidP="009759EE">
            <w:pPr>
              <w:pStyle w:val="TableText"/>
              <w:keepNext/>
              <w:rPr>
                <w:b/>
                <w:sz w:val="18"/>
                <w:szCs w:val="18"/>
              </w:rPr>
            </w:pPr>
            <w:r w:rsidRPr="00D55BE7">
              <w:rPr>
                <w:b/>
                <w:sz w:val="18"/>
                <w:szCs w:val="18"/>
              </w:rPr>
              <w:t>Outcome</w:t>
            </w:r>
          </w:p>
        </w:tc>
        <w:tc>
          <w:tcPr>
            <w:tcW w:w="2374" w:type="dxa"/>
            <w:gridSpan w:val="2"/>
            <w:tcBorders>
              <w:top w:val="single" w:sz="4" w:space="0" w:color="auto"/>
              <w:bottom w:val="single" w:sz="4" w:space="0" w:color="auto"/>
            </w:tcBorders>
            <w:shd w:val="clear" w:color="auto" w:fill="auto"/>
          </w:tcPr>
          <w:p w:rsidR="00853A74" w:rsidRPr="00D55BE7" w:rsidRDefault="00853A74" w:rsidP="00D55BE7">
            <w:pPr>
              <w:pStyle w:val="TableText"/>
              <w:keepNext/>
              <w:jc w:val="center"/>
              <w:rPr>
                <w:b/>
                <w:sz w:val="18"/>
                <w:szCs w:val="18"/>
              </w:rPr>
            </w:pPr>
            <w:r w:rsidRPr="00D55BE7">
              <w:rPr>
                <w:b/>
                <w:sz w:val="18"/>
                <w:szCs w:val="18"/>
              </w:rPr>
              <w:t>Buchanan (1994)</w:t>
            </w:r>
          </w:p>
        </w:tc>
        <w:tc>
          <w:tcPr>
            <w:tcW w:w="2599" w:type="dxa"/>
            <w:gridSpan w:val="2"/>
            <w:tcBorders>
              <w:top w:val="single" w:sz="4" w:space="0" w:color="auto"/>
              <w:bottom w:val="single" w:sz="4" w:space="0" w:color="auto"/>
            </w:tcBorders>
            <w:shd w:val="clear" w:color="auto" w:fill="auto"/>
          </w:tcPr>
          <w:p w:rsidR="00853A74" w:rsidRPr="00D55BE7" w:rsidRDefault="00853A74" w:rsidP="00D55BE7">
            <w:pPr>
              <w:pStyle w:val="TableText"/>
              <w:keepNext/>
              <w:jc w:val="center"/>
              <w:rPr>
                <w:b/>
                <w:sz w:val="18"/>
                <w:szCs w:val="18"/>
              </w:rPr>
            </w:pPr>
            <w:r w:rsidRPr="00D55BE7">
              <w:rPr>
                <w:b/>
                <w:sz w:val="18"/>
                <w:szCs w:val="18"/>
              </w:rPr>
              <w:t>Bonomo (2004)</w:t>
            </w:r>
          </w:p>
        </w:tc>
        <w:tc>
          <w:tcPr>
            <w:tcW w:w="2599" w:type="dxa"/>
            <w:gridSpan w:val="2"/>
            <w:tcBorders>
              <w:top w:val="single" w:sz="4" w:space="0" w:color="auto"/>
              <w:bottom w:val="single" w:sz="4" w:space="0" w:color="auto"/>
            </w:tcBorders>
            <w:shd w:val="clear" w:color="auto" w:fill="auto"/>
          </w:tcPr>
          <w:p w:rsidR="00853A74" w:rsidRPr="00D55BE7" w:rsidRDefault="00853A74" w:rsidP="00D55BE7">
            <w:pPr>
              <w:pStyle w:val="TableText"/>
              <w:keepNext/>
              <w:jc w:val="center"/>
              <w:rPr>
                <w:b/>
                <w:sz w:val="18"/>
                <w:szCs w:val="18"/>
              </w:rPr>
            </w:pPr>
            <w:r w:rsidRPr="00D55BE7">
              <w:rPr>
                <w:b/>
                <w:sz w:val="18"/>
                <w:szCs w:val="18"/>
              </w:rPr>
              <w:t>Kjos (2001)</w:t>
            </w:r>
          </w:p>
        </w:tc>
        <w:tc>
          <w:tcPr>
            <w:tcW w:w="2599" w:type="dxa"/>
            <w:tcBorders>
              <w:top w:val="single" w:sz="4" w:space="0" w:color="auto"/>
              <w:bottom w:val="single" w:sz="4" w:space="0" w:color="auto"/>
            </w:tcBorders>
            <w:shd w:val="clear" w:color="auto" w:fill="auto"/>
          </w:tcPr>
          <w:p w:rsidR="00853A74" w:rsidRPr="00D55BE7" w:rsidRDefault="00853A74" w:rsidP="00D55BE7">
            <w:pPr>
              <w:pStyle w:val="TableText"/>
              <w:keepNext/>
              <w:jc w:val="center"/>
              <w:rPr>
                <w:b/>
                <w:sz w:val="18"/>
                <w:szCs w:val="18"/>
              </w:rPr>
            </w:pPr>
            <w:r w:rsidRPr="00D55BE7">
              <w:rPr>
                <w:b/>
                <w:sz w:val="18"/>
                <w:szCs w:val="18"/>
              </w:rPr>
              <w:t>Rossi (2000)</w:t>
            </w:r>
          </w:p>
        </w:tc>
        <w:tc>
          <w:tcPr>
            <w:tcW w:w="2268" w:type="dxa"/>
            <w:tcBorders>
              <w:top w:val="single" w:sz="4" w:space="0" w:color="auto"/>
              <w:bottom w:val="single" w:sz="4" w:space="0" w:color="auto"/>
            </w:tcBorders>
            <w:shd w:val="clear" w:color="auto" w:fill="auto"/>
          </w:tcPr>
          <w:p w:rsidR="00853A74" w:rsidRPr="00D55BE7" w:rsidRDefault="00853A74" w:rsidP="00D55BE7">
            <w:pPr>
              <w:pStyle w:val="TableText"/>
              <w:keepNext/>
              <w:jc w:val="center"/>
              <w:rPr>
                <w:b/>
                <w:sz w:val="18"/>
                <w:szCs w:val="18"/>
              </w:rPr>
            </w:pPr>
            <w:r w:rsidRPr="00D55BE7">
              <w:rPr>
                <w:b/>
                <w:sz w:val="18"/>
                <w:szCs w:val="18"/>
              </w:rPr>
              <w:t>Schaefer-Graf (2004)</w:t>
            </w:r>
          </w:p>
        </w:tc>
      </w:tr>
      <w:tr w:rsidR="00853A74" w:rsidRPr="009759EE" w:rsidTr="009759EE">
        <w:trPr>
          <w:cantSplit/>
        </w:trPr>
        <w:tc>
          <w:tcPr>
            <w:tcW w:w="14601" w:type="dxa"/>
            <w:gridSpan w:val="10"/>
            <w:tcBorders>
              <w:top w:val="single" w:sz="4" w:space="0" w:color="auto"/>
              <w:bottom w:val="nil"/>
            </w:tcBorders>
            <w:shd w:val="clear" w:color="auto" w:fill="F2F2F2" w:themeFill="background1" w:themeFillShade="F2"/>
          </w:tcPr>
          <w:p w:rsidR="00853A74" w:rsidRPr="00D55BE7" w:rsidRDefault="00853A74" w:rsidP="00D55BE7">
            <w:pPr>
              <w:pStyle w:val="TableText"/>
              <w:keepNext/>
              <w:rPr>
                <w:b/>
                <w:sz w:val="18"/>
                <w:szCs w:val="18"/>
              </w:rPr>
            </w:pPr>
            <w:r w:rsidRPr="00D55BE7">
              <w:rPr>
                <w:b/>
                <w:sz w:val="18"/>
                <w:szCs w:val="18"/>
              </w:rPr>
              <w:t>Neonatal outcomes</w:t>
            </w:r>
          </w:p>
        </w:tc>
      </w:tr>
      <w:tr w:rsidR="00853A74" w:rsidRPr="00E07B1B" w:rsidTr="004E4EE1">
        <w:trPr>
          <w:cantSplit/>
        </w:trPr>
        <w:tc>
          <w:tcPr>
            <w:tcW w:w="2127" w:type="dxa"/>
            <w:tcBorders>
              <w:top w:val="nil"/>
              <w:bottom w:val="nil"/>
            </w:tcBorders>
            <w:shd w:val="clear" w:color="auto" w:fill="auto"/>
          </w:tcPr>
          <w:p w:rsidR="00853A74" w:rsidRPr="00D55BE7" w:rsidRDefault="00853A74" w:rsidP="009759EE">
            <w:pPr>
              <w:pStyle w:val="TableText"/>
              <w:keepNext/>
              <w:rPr>
                <w:sz w:val="18"/>
                <w:szCs w:val="18"/>
              </w:rPr>
            </w:pPr>
            <w:r w:rsidRPr="00D55BE7">
              <w:rPr>
                <w:sz w:val="18"/>
                <w:szCs w:val="18"/>
              </w:rPr>
              <w:t>Gestational age at delivery (weeks)</w:t>
            </w:r>
          </w:p>
        </w:tc>
        <w:tc>
          <w:tcPr>
            <w:tcW w:w="2409" w:type="dxa"/>
            <w:gridSpan w:val="3"/>
            <w:tcBorders>
              <w:top w:val="nil"/>
              <w:bottom w:val="nil"/>
            </w:tcBorders>
            <w:shd w:val="clear" w:color="auto" w:fill="auto"/>
          </w:tcPr>
          <w:p w:rsidR="00853A74" w:rsidRPr="00D55BE7" w:rsidRDefault="00853A74" w:rsidP="00D55BE7">
            <w:pPr>
              <w:pStyle w:val="TableText"/>
              <w:keepNext/>
              <w:jc w:val="center"/>
              <w:rPr>
                <w:sz w:val="18"/>
                <w:szCs w:val="18"/>
              </w:rPr>
            </w:pPr>
            <w:r w:rsidRPr="00D55BE7">
              <w:rPr>
                <w:sz w:val="18"/>
                <w:szCs w:val="18"/>
              </w:rPr>
              <w:t>Intervention: 39.6 ± 0.2</w:t>
            </w:r>
          </w:p>
          <w:p w:rsidR="00853A74" w:rsidRPr="00D55BE7" w:rsidRDefault="00853A74" w:rsidP="00D55BE7">
            <w:pPr>
              <w:pStyle w:val="TableText"/>
              <w:keepNext/>
              <w:jc w:val="center"/>
              <w:rPr>
                <w:sz w:val="18"/>
                <w:szCs w:val="18"/>
              </w:rPr>
            </w:pPr>
            <w:r w:rsidRPr="00D55BE7">
              <w:rPr>
                <w:rFonts w:eastAsia="MS Mincho"/>
                <w:sz w:val="18"/>
                <w:szCs w:val="18"/>
                <w:lang w:eastAsia="ja-JP"/>
              </w:rPr>
              <w:t>Comparison</w:t>
            </w:r>
            <w:r w:rsidRPr="00D55BE7">
              <w:rPr>
                <w:sz w:val="18"/>
                <w:szCs w:val="18"/>
              </w:rPr>
              <w:t>: 39.5 ± 0.2</w:t>
            </w:r>
          </w:p>
        </w:tc>
        <w:tc>
          <w:tcPr>
            <w:tcW w:w="2599" w:type="dxa"/>
            <w:gridSpan w:val="2"/>
            <w:tcBorders>
              <w:top w:val="nil"/>
              <w:bottom w:val="nil"/>
            </w:tcBorders>
            <w:shd w:val="clear" w:color="auto" w:fill="auto"/>
          </w:tcPr>
          <w:p w:rsidR="00853A74" w:rsidRPr="00D55BE7" w:rsidRDefault="00853A74" w:rsidP="00D55BE7">
            <w:pPr>
              <w:pStyle w:val="TableText"/>
              <w:keepNext/>
              <w:jc w:val="center"/>
              <w:rPr>
                <w:bCs/>
                <w:sz w:val="18"/>
                <w:szCs w:val="18"/>
              </w:rPr>
            </w:pPr>
            <w:r w:rsidRPr="00D55BE7">
              <w:rPr>
                <w:bCs/>
                <w:sz w:val="18"/>
                <w:szCs w:val="18"/>
              </w:rPr>
              <w:t>Intervention 39.0 ± 1.6</w:t>
            </w:r>
          </w:p>
          <w:p w:rsidR="00853A74" w:rsidRPr="00D55BE7" w:rsidRDefault="00853A74" w:rsidP="00D55BE7">
            <w:pPr>
              <w:pStyle w:val="TableText"/>
              <w:keepNext/>
              <w:jc w:val="center"/>
              <w:rPr>
                <w:bCs/>
                <w:sz w:val="18"/>
                <w:szCs w:val="18"/>
              </w:rPr>
            </w:pPr>
            <w:r w:rsidRPr="00D55BE7">
              <w:rPr>
                <w:bCs/>
                <w:sz w:val="18"/>
                <w:szCs w:val="18"/>
              </w:rPr>
              <w:t>Comparison: 39.0 ± 1.5</w:t>
            </w:r>
          </w:p>
        </w:tc>
        <w:tc>
          <w:tcPr>
            <w:tcW w:w="2599" w:type="dxa"/>
            <w:gridSpan w:val="2"/>
            <w:tcBorders>
              <w:top w:val="nil"/>
              <w:bottom w:val="nil"/>
            </w:tcBorders>
            <w:shd w:val="clear" w:color="auto" w:fill="auto"/>
          </w:tcPr>
          <w:p w:rsidR="00853A74" w:rsidRPr="00D55BE7" w:rsidRDefault="00853A74" w:rsidP="00D55BE7">
            <w:pPr>
              <w:pStyle w:val="TableText"/>
              <w:keepNext/>
              <w:jc w:val="center"/>
              <w:rPr>
                <w:bCs/>
                <w:sz w:val="18"/>
                <w:szCs w:val="18"/>
              </w:rPr>
            </w:pPr>
            <w:r w:rsidRPr="00D55BE7">
              <w:rPr>
                <w:bCs/>
                <w:sz w:val="18"/>
                <w:szCs w:val="18"/>
              </w:rPr>
              <w:t>Intervention 38.3 ± 1.2</w:t>
            </w:r>
          </w:p>
          <w:p w:rsidR="00853A74" w:rsidRPr="00D55BE7" w:rsidRDefault="00853A74" w:rsidP="00D55BE7">
            <w:pPr>
              <w:pStyle w:val="TableText"/>
              <w:keepNext/>
              <w:jc w:val="center"/>
              <w:rPr>
                <w:bCs/>
                <w:sz w:val="18"/>
                <w:szCs w:val="18"/>
              </w:rPr>
            </w:pPr>
            <w:r w:rsidRPr="00D55BE7">
              <w:rPr>
                <w:bCs/>
                <w:sz w:val="18"/>
                <w:szCs w:val="18"/>
              </w:rPr>
              <w:t>Comparison: 38.2 ± 0.9</w:t>
            </w:r>
          </w:p>
        </w:tc>
        <w:tc>
          <w:tcPr>
            <w:tcW w:w="2599" w:type="dxa"/>
            <w:tcBorders>
              <w:top w:val="nil"/>
              <w:bottom w:val="nil"/>
            </w:tcBorders>
            <w:shd w:val="clear" w:color="auto" w:fill="auto"/>
          </w:tcPr>
          <w:p w:rsidR="00853A74" w:rsidRPr="00D55BE7" w:rsidRDefault="00853A74" w:rsidP="00D55BE7">
            <w:pPr>
              <w:pStyle w:val="TableText"/>
              <w:keepNext/>
              <w:jc w:val="center"/>
              <w:rPr>
                <w:sz w:val="18"/>
                <w:szCs w:val="18"/>
              </w:rPr>
            </w:pPr>
            <w:r w:rsidRPr="00D55BE7">
              <w:rPr>
                <w:sz w:val="18"/>
                <w:szCs w:val="18"/>
              </w:rPr>
              <w:t>Intervention: 38.2 ± 1.4</w:t>
            </w:r>
          </w:p>
          <w:p w:rsidR="00853A74" w:rsidRPr="00D55BE7" w:rsidRDefault="00853A74" w:rsidP="00D55BE7">
            <w:pPr>
              <w:pStyle w:val="TableText"/>
              <w:keepNext/>
              <w:jc w:val="center"/>
              <w:rPr>
                <w:sz w:val="18"/>
                <w:szCs w:val="18"/>
              </w:rPr>
            </w:pPr>
            <w:r w:rsidRPr="00D55BE7">
              <w:rPr>
                <w:sz w:val="18"/>
                <w:szCs w:val="18"/>
              </w:rPr>
              <w:t>Comparison: 38.5 ± 1.4</w:t>
            </w:r>
          </w:p>
        </w:tc>
        <w:tc>
          <w:tcPr>
            <w:tcW w:w="2268" w:type="dxa"/>
            <w:tcBorders>
              <w:top w:val="nil"/>
              <w:bottom w:val="nil"/>
            </w:tcBorders>
            <w:shd w:val="clear" w:color="auto" w:fill="auto"/>
          </w:tcPr>
          <w:p w:rsidR="00853A74" w:rsidRPr="00D55BE7" w:rsidRDefault="00853A74" w:rsidP="00D55BE7">
            <w:pPr>
              <w:pStyle w:val="TableText"/>
              <w:keepNext/>
              <w:jc w:val="center"/>
              <w:rPr>
                <w:sz w:val="18"/>
                <w:szCs w:val="18"/>
              </w:rPr>
            </w:pPr>
            <w:r w:rsidRPr="00D55BE7">
              <w:rPr>
                <w:sz w:val="18"/>
                <w:szCs w:val="18"/>
              </w:rPr>
              <w:t>Intervention: 39.0 ±1.9</w:t>
            </w:r>
          </w:p>
          <w:p w:rsidR="00853A74" w:rsidRPr="00D55BE7" w:rsidRDefault="00853A74" w:rsidP="00D55BE7">
            <w:pPr>
              <w:pStyle w:val="TableText"/>
              <w:keepNext/>
              <w:jc w:val="center"/>
              <w:rPr>
                <w:sz w:val="18"/>
                <w:szCs w:val="18"/>
              </w:rPr>
            </w:pPr>
            <w:r w:rsidRPr="00D55BE7">
              <w:rPr>
                <w:sz w:val="18"/>
                <w:szCs w:val="18"/>
              </w:rPr>
              <w:t>Comparison: 39.3 ± 1.3</w:t>
            </w:r>
          </w:p>
        </w:tc>
      </w:tr>
      <w:tr w:rsidR="00853A74" w:rsidRPr="00E07B1B" w:rsidTr="004E4EE1">
        <w:trPr>
          <w:cantSplit/>
        </w:trPr>
        <w:tc>
          <w:tcPr>
            <w:tcW w:w="2127" w:type="dxa"/>
            <w:tcBorders>
              <w:top w:val="nil"/>
              <w:bottom w:val="nil"/>
            </w:tcBorders>
            <w:shd w:val="clear" w:color="auto" w:fill="F2F2F2" w:themeFill="background1" w:themeFillShade="F2"/>
          </w:tcPr>
          <w:p w:rsidR="00853A74" w:rsidRPr="00D55BE7" w:rsidRDefault="00853A74" w:rsidP="00D55BE7">
            <w:pPr>
              <w:pStyle w:val="TableText"/>
              <w:keepNext/>
              <w:rPr>
                <w:sz w:val="18"/>
                <w:szCs w:val="18"/>
              </w:rPr>
            </w:pPr>
            <w:r w:rsidRPr="00D55BE7">
              <w:rPr>
                <w:sz w:val="18"/>
                <w:szCs w:val="18"/>
              </w:rPr>
              <w:t>Large for gestational age/macrosomia</w:t>
            </w:r>
          </w:p>
        </w:tc>
        <w:tc>
          <w:tcPr>
            <w:tcW w:w="2409" w:type="dxa"/>
            <w:gridSpan w:val="3"/>
            <w:tcBorders>
              <w:top w:val="nil"/>
              <w:bottom w:val="nil"/>
            </w:tcBorders>
            <w:shd w:val="clear" w:color="auto" w:fill="F2F2F2" w:themeFill="background1" w:themeFillShade="F2"/>
          </w:tcPr>
          <w:p w:rsidR="00853A74" w:rsidRPr="00D55BE7" w:rsidRDefault="009759EE" w:rsidP="00D55BE7">
            <w:pPr>
              <w:pStyle w:val="TableText"/>
              <w:keepNext/>
              <w:jc w:val="center"/>
              <w:rPr>
                <w:sz w:val="18"/>
                <w:szCs w:val="18"/>
              </w:rPr>
            </w:pPr>
            <w:r w:rsidRPr="00D55BE7">
              <w:rPr>
                <w:sz w:val="18"/>
                <w:szCs w:val="18"/>
              </w:rPr>
              <w:t>–</w:t>
            </w:r>
          </w:p>
        </w:tc>
        <w:tc>
          <w:tcPr>
            <w:tcW w:w="2599" w:type="dxa"/>
            <w:gridSpan w:val="2"/>
            <w:tcBorders>
              <w:top w:val="nil"/>
              <w:bottom w:val="nil"/>
            </w:tcBorders>
            <w:shd w:val="clear" w:color="auto" w:fill="F2F2F2" w:themeFill="background1" w:themeFillShade="F2"/>
          </w:tcPr>
          <w:p w:rsidR="00853A74" w:rsidRPr="00D55BE7" w:rsidRDefault="00853A74" w:rsidP="00D55BE7">
            <w:pPr>
              <w:pStyle w:val="TableText"/>
              <w:keepNext/>
              <w:jc w:val="center"/>
              <w:rPr>
                <w:sz w:val="18"/>
                <w:szCs w:val="18"/>
              </w:rPr>
            </w:pPr>
            <w:r w:rsidRPr="00D55BE7">
              <w:rPr>
                <w:sz w:val="18"/>
                <w:szCs w:val="18"/>
              </w:rPr>
              <w:t>Intervention: 12/151 (7.9%)</w:t>
            </w:r>
          </w:p>
          <w:p w:rsidR="004E4EE1" w:rsidRDefault="00853A74" w:rsidP="00D55BE7">
            <w:pPr>
              <w:pStyle w:val="TableText"/>
              <w:keepNext/>
              <w:jc w:val="center"/>
              <w:rPr>
                <w:sz w:val="18"/>
                <w:szCs w:val="18"/>
              </w:rPr>
            </w:pPr>
            <w:r w:rsidRPr="00D55BE7">
              <w:rPr>
                <w:sz w:val="18"/>
                <w:szCs w:val="18"/>
              </w:rPr>
              <w:t>Comparison: 14/78 (17.9%)</w:t>
            </w:r>
          </w:p>
          <w:p w:rsidR="00853A74" w:rsidRPr="00D55BE7" w:rsidRDefault="00853A74" w:rsidP="00D55BE7">
            <w:pPr>
              <w:pStyle w:val="TableText"/>
              <w:keepNext/>
              <w:jc w:val="center"/>
              <w:rPr>
                <w:sz w:val="18"/>
                <w:szCs w:val="18"/>
              </w:rPr>
            </w:pPr>
            <w:r w:rsidRPr="00D55BE7">
              <w:rPr>
                <w:i/>
                <w:sz w:val="18"/>
                <w:szCs w:val="18"/>
              </w:rPr>
              <w:t>p</w:t>
            </w:r>
            <w:r w:rsidRPr="00D55BE7">
              <w:rPr>
                <w:sz w:val="18"/>
                <w:szCs w:val="18"/>
              </w:rPr>
              <w:t xml:space="preserve"> &lt; 0.05</w:t>
            </w:r>
          </w:p>
        </w:tc>
        <w:tc>
          <w:tcPr>
            <w:tcW w:w="2599" w:type="dxa"/>
            <w:gridSpan w:val="2"/>
            <w:tcBorders>
              <w:top w:val="nil"/>
              <w:bottom w:val="nil"/>
            </w:tcBorders>
            <w:shd w:val="clear" w:color="auto" w:fill="F2F2F2" w:themeFill="background1" w:themeFillShade="F2"/>
          </w:tcPr>
          <w:p w:rsidR="00853A74" w:rsidRPr="00D55BE7" w:rsidRDefault="00853A74" w:rsidP="00D55BE7">
            <w:pPr>
              <w:pStyle w:val="TableText"/>
              <w:keepNext/>
              <w:jc w:val="center"/>
              <w:rPr>
                <w:sz w:val="18"/>
                <w:szCs w:val="18"/>
              </w:rPr>
            </w:pPr>
            <w:r w:rsidRPr="00D55BE7">
              <w:rPr>
                <w:sz w:val="18"/>
                <w:szCs w:val="18"/>
              </w:rPr>
              <w:t>Intervention: 4/48 (8.3%)</w:t>
            </w:r>
          </w:p>
          <w:p w:rsidR="00853A74" w:rsidRPr="00D55BE7" w:rsidRDefault="00853A74" w:rsidP="00D55BE7">
            <w:pPr>
              <w:pStyle w:val="TableText"/>
              <w:keepNext/>
              <w:jc w:val="center"/>
              <w:rPr>
                <w:sz w:val="18"/>
                <w:szCs w:val="18"/>
              </w:rPr>
            </w:pPr>
            <w:r w:rsidRPr="00D55BE7">
              <w:rPr>
                <w:sz w:val="18"/>
                <w:szCs w:val="18"/>
              </w:rPr>
              <w:t>Comparison: 3/48 (6.3%)</w:t>
            </w:r>
          </w:p>
        </w:tc>
        <w:tc>
          <w:tcPr>
            <w:tcW w:w="2599" w:type="dxa"/>
            <w:tcBorders>
              <w:top w:val="nil"/>
              <w:bottom w:val="nil"/>
            </w:tcBorders>
            <w:shd w:val="clear" w:color="auto" w:fill="F2F2F2" w:themeFill="background1" w:themeFillShade="F2"/>
          </w:tcPr>
          <w:p w:rsidR="00853A74" w:rsidRPr="00D55BE7" w:rsidRDefault="00853A74" w:rsidP="00D55BE7">
            <w:pPr>
              <w:pStyle w:val="TableText"/>
              <w:keepNext/>
              <w:jc w:val="center"/>
              <w:rPr>
                <w:sz w:val="18"/>
                <w:szCs w:val="18"/>
              </w:rPr>
            </w:pPr>
            <w:r w:rsidRPr="00D55BE7">
              <w:rPr>
                <w:sz w:val="18"/>
                <w:szCs w:val="18"/>
              </w:rPr>
              <w:t>Intervention: 8/73 (11.0%)</w:t>
            </w:r>
          </w:p>
          <w:p w:rsidR="00853A74" w:rsidRPr="00D55BE7" w:rsidRDefault="00853A74" w:rsidP="00D55BE7">
            <w:pPr>
              <w:pStyle w:val="TableText"/>
              <w:keepNext/>
              <w:jc w:val="center"/>
              <w:rPr>
                <w:sz w:val="18"/>
                <w:szCs w:val="18"/>
              </w:rPr>
            </w:pPr>
            <w:r w:rsidRPr="00D55BE7">
              <w:rPr>
                <w:sz w:val="18"/>
                <w:szCs w:val="18"/>
              </w:rPr>
              <w:t>Comparison: 12/68 (17.6%)</w:t>
            </w:r>
          </w:p>
        </w:tc>
        <w:tc>
          <w:tcPr>
            <w:tcW w:w="2268" w:type="dxa"/>
            <w:tcBorders>
              <w:top w:val="nil"/>
              <w:bottom w:val="nil"/>
            </w:tcBorders>
            <w:shd w:val="clear" w:color="auto" w:fill="F2F2F2" w:themeFill="background1" w:themeFillShade="F2"/>
          </w:tcPr>
          <w:p w:rsidR="00853A74" w:rsidRPr="00D55BE7" w:rsidRDefault="00853A74" w:rsidP="00D55BE7">
            <w:pPr>
              <w:pStyle w:val="TableText"/>
              <w:keepNext/>
              <w:jc w:val="center"/>
              <w:rPr>
                <w:sz w:val="18"/>
                <w:szCs w:val="18"/>
              </w:rPr>
            </w:pPr>
            <w:r w:rsidRPr="00D55BE7">
              <w:rPr>
                <w:sz w:val="18"/>
                <w:szCs w:val="18"/>
              </w:rPr>
              <w:t>Intervention: 12.1%</w:t>
            </w:r>
          </w:p>
          <w:p w:rsidR="00853A74" w:rsidRPr="00D55BE7" w:rsidRDefault="00853A74" w:rsidP="00D55BE7">
            <w:pPr>
              <w:pStyle w:val="TableText"/>
              <w:keepNext/>
              <w:jc w:val="center"/>
              <w:rPr>
                <w:sz w:val="18"/>
                <w:szCs w:val="18"/>
              </w:rPr>
            </w:pPr>
            <w:r w:rsidRPr="00D55BE7">
              <w:rPr>
                <w:sz w:val="18"/>
                <w:szCs w:val="18"/>
              </w:rPr>
              <w:t>Comparison: 10.0%</w:t>
            </w:r>
          </w:p>
        </w:tc>
      </w:tr>
      <w:tr w:rsidR="00853A74" w:rsidRPr="00E07B1B" w:rsidTr="004E4EE1">
        <w:trPr>
          <w:cantSplit/>
        </w:trPr>
        <w:tc>
          <w:tcPr>
            <w:tcW w:w="2127" w:type="dxa"/>
            <w:tcBorders>
              <w:top w:val="nil"/>
              <w:bottom w:val="nil"/>
            </w:tcBorders>
            <w:shd w:val="clear" w:color="auto" w:fill="auto"/>
          </w:tcPr>
          <w:p w:rsidR="00853A74" w:rsidRPr="00D55BE7" w:rsidRDefault="00853A74" w:rsidP="00D55BE7">
            <w:pPr>
              <w:pStyle w:val="TableText"/>
              <w:keepNext/>
              <w:rPr>
                <w:sz w:val="18"/>
                <w:szCs w:val="18"/>
              </w:rPr>
            </w:pPr>
            <w:r w:rsidRPr="00D55BE7">
              <w:rPr>
                <w:sz w:val="18"/>
                <w:szCs w:val="18"/>
              </w:rPr>
              <w:t>Large for gestational age/macrosomia in women with abdominal circumference ≥ 75th centile</w:t>
            </w:r>
          </w:p>
        </w:tc>
        <w:tc>
          <w:tcPr>
            <w:tcW w:w="2409" w:type="dxa"/>
            <w:gridSpan w:val="3"/>
            <w:tcBorders>
              <w:top w:val="nil"/>
              <w:bottom w:val="nil"/>
            </w:tcBorders>
            <w:shd w:val="clear" w:color="auto" w:fill="auto"/>
          </w:tcPr>
          <w:p w:rsidR="00853A74" w:rsidRPr="00D55BE7" w:rsidRDefault="00853A74" w:rsidP="00D55BE7">
            <w:pPr>
              <w:pStyle w:val="TableText"/>
              <w:keepNext/>
              <w:jc w:val="center"/>
              <w:rPr>
                <w:sz w:val="18"/>
                <w:szCs w:val="18"/>
              </w:rPr>
            </w:pPr>
            <w:r w:rsidRPr="00D55BE7">
              <w:rPr>
                <w:sz w:val="18"/>
                <w:szCs w:val="18"/>
              </w:rPr>
              <w:t>Intervention: 4/30 (13%)</w:t>
            </w:r>
          </w:p>
          <w:p w:rsidR="00853A74" w:rsidRPr="00D55BE7" w:rsidRDefault="00853A74" w:rsidP="00D55BE7">
            <w:pPr>
              <w:pStyle w:val="TableText"/>
              <w:keepNext/>
              <w:jc w:val="center"/>
              <w:rPr>
                <w:sz w:val="18"/>
                <w:szCs w:val="18"/>
              </w:rPr>
            </w:pPr>
            <w:r w:rsidRPr="00D55BE7">
              <w:rPr>
                <w:rFonts w:eastAsia="MS Mincho"/>
                <w:sz w:val="18"/>
                <w:szCs w:val="18"/>
                <w:lang w:eastAsia="ja-JP"/>
              </w:rPr>
              <w:t>Comparison</w:t>
            </w:r>
            <w:r w:rsidRPr="00D55BE7">
              <w:rPr>
                <w:sz w:val="18"/>
                <w:szCs w:val="18"/>
              </w:rPr>
              <w:t>: 13/29 (45%)</w:t>
            </w:r>
          </w:p>
          <w:p w:rsidR="00853A74" w:rsidRPr="00D55BE7" w:rsidRDefault="00853A74" w:rsidP="00D55BE7">
            <w:pPr>
              <w:pStyle w:val="TableText"/>
              <w:keepNext/>
              <w:jc w:val="center"/>
              <w:rPr>
                <w:sz w:val="18"/>
                <w:szCs w:val="18"/>
              </w:rPr>
            </w:pPr>
            <w:r w:rsidRPr="00D55BE7">
              <w:rPr>
                <w:i/>
                <w:sz w:val="18"/>
                <w:szCs w:val="18"/>
              </w:rPr>
              <w:t>p</w:t>
            </w:r>
            <w:r w:rsidRPr="00D55BE7">
              <w:rPr>
                <w:sz w:val="18"/>
                <w:szCs w:val="18"/>
              </w:rPr>
              <w:t xml:space="preserve"> &lt; 0.001</w:t>
            </w:r>
          </w:p>
        </w:tc>
        <w:tc>
          <w:tcPr>
            <w:tcW w:w="2599" w:type="dxa"/>
            <w:gridSpan w:val="2"/>
            <w:tcBorders>
              <w:top w:val="nil"/>
              <w:bottom w:val="nil"/>
            </w:tcBorders>
            <w:shd w:val="clear" w:color="auto" w:fill="auto"/>
          </w:tcPr>
          <w:p w:rsidR="00853A74" w:rsidRPr="00D55BE7" w:rsidRDefault="00853A74" w:rsidP="00D55BE7">
            <w:pPr>
              <w:pStyle w:val="TableText"/>
              <w:keepNext/>
              <w:jc w:val="center"/>
              <w:rPr>
                <w:sz w:val="18"/>
                <w:szCs w:val="18"/>
              </w:rPr>
            </w:pPr>
            <w:r w:rsidRPr="00D55BE7">
              <w:rPr>
                <w:sz w:val="18"/>
                <w:szCs w:val="18"/>
              </w:rPr>
              <w:t>Intervention: 5/62 (7.9%)</w:t>
            </w:r>
          </w:p>
          <w:p w:rsidR="00853A74" w:rsidRPr="00D55BE7" w:rsidRDefault="00853A74" w:rsidP="00D55BE7">
            <w:pPr>
              <w:pStyle w:val="TableText"/>
              <w:keepNext/>
              <w:jc w:val="center"/>
              <w:rPr>
                <w:sz w:val="18"/>
                <w:szCs w:val="18"/>
              </w:rPr>
            </w:pPr>
            <w:r w:rsidRPr="00D55BE7">
              <w:rPr>
                <w:sz w:val="18"/>
                <w:szCs w:val="18"/>
              </w:rPr>
              <w:t>Comparison: 12/39 (30.8%)</w:t>
            </w:r>
          </w:p>
          <w:p w:rsidR="00853A74" w:rsidRPr="00D55BE7" w:rsidRDefault="00853A74" w:rsidP="00D55BE7">
            <w:pPr>
              <w:pStyle w:val="TableText"/>
              <w:keepNext/>
              <w:jc w:val="center"/>
              <w:rPr>
                <w:sz w:val="18"/>
                <w:szCs w:val="18"/>
              </w:rPr>
            </w:pPr>
            <w:r w:rsidRPr="00D55BE7">
              <w:rPr>
                <w:i/>
                <w:sz w:val="18"/>
                <w:szCs w:val="18"/>
              </w:rPr>
              <w:t>p</w:t>
            </w:r>
            <w:r w:rsidRPr="00D55BE7">
              <w:rPr>
                <w:sz w:val="18"/>
                <w:szCs w:val="18"/>
              </w:rPr>
              <w:t xml:space="preserve"> &lt; 0.001</w:t>
            </w:r>
          </w:p>
        </w:tc>
        <w:tc>
          <w:tcPr>
            <w:tcW w:w="2599" w:type="dxa"/>
            <w:gridSpan w:val="2"/>
            <w:tcBorders>
              <w:top w:val="nil"/>
              <w:bottom w:val="nil"/>
            </w:tcBorders>
            <w:shd w:val="clear" w:color="auto" w:fill="auto"/>
          </w:tcPr>
          <w:p w:rsidR="00853A74" w:rsidRPr="00D55BE7" w:rsidRDefault="009759EE" w:rsidP="00D55BE7">
            <w:pPr>
              <w:pStyle w:val="TableText"/>
              <w:keepNext/>
              <w:jc w:val="center"/>
              <w:rPr>
                <w:sz w:val="18"/>
                <w:szCs w:val="18"/>
              </w:rPr>
            </w:pPr>
            <w:r w:rsidRPr="00D55BE7">
              <w:rPr>
                <w:sz w:val="18"/>
                <w:szCs w:val="18"/>
              </w:rPr>
              <w:t>–</w:t>
            </w:r>
          </w:p>
        </w:tc>
        <w:tc>
          <w:tcPr>
            <w:tcW w:w="2599" w:type="dxa"/>
            <w:tcBorders>
              <w:top w:val="nil"/>
              <w:bottom w:val="nil"/>
            </w:tcBorders>
            <w:shd w:val="clear" w:color="auto" w:fill="auto"/>
          </w:tcPr>
          <w:p w:rsidR="00853A74" w:rsidRPr="00D55BE7" w:rsidRDefault="00853A74" w:rsidP="00D55BE7">
            <w:pPr>
              <w:pStyle w:val="TableText"/>
              <w:keepNext/>
              <w:jc w:val="center"/>
              <w:rPr>
                <w:sz w:val="18"/>
                <w:szCs w:val="18"/>
              </w:rPr>
            </w:pPr>
            <w:r w:rsidRPr="00D55BE7">
              <w:rPr>
                <w:sz w:val="18"/>
                <w:szCs w:val="18"/>
              </w:rPr>
              <w:t>Intervention: 5/15 (33.3%)</w:t>
            </w:r>
          </w:p>
          <w:p w:rsidR="00853A74" w:rsidRPr="00D55BE7" w:rsidRDefault="00853A74" w:rsidP="00D55BE7">
            <w:pPr>
              <w:pStyle w:val="TableText"/>
              <w:keepNext/>
              <w:jc w:val="center"/>
              <w:rPr>
                <w:sz w:val="18"/>
                <w:szCs w:val="18"/>
              </w:rPr>
            </w:pPr>
            <w:r w:rsidRPr="00D55BE7">
              <w:rPr>
                <w:sz w:val="18"/>
                <w:szCs w:val="18"/>
              </w:rPr>
              <w:t>Comparison: 10/14 (71.4%)</w:t>
            </w:r>
          </w:p>
          <w:p w:rsidR="00853A74" w:rsidRPr="00D55BE7" w:rsidRDefault="00853A74" w:rsidP="00D55BE7">
            <w:pPr>
              <w:pStyle w:val="TableText"/>
              <w:keepNext/>
              <w:jc w:val="center"/>
              <w:rPr>
                <w:sz w:val="18"/>
                <w:szCs w:val="18"/>
              </w:rPr>
            </w:pPr>
            <w:r w:rsidRPr="00D55BE7">
              <w:rPr>
                <w:i/>
                <w:sz w:val="18"/>
                <w:szCs w:val="18"/>
              </w:rPr>
              <w:t>p</w:t>
            </w:r>
            <w:r w:rsidRPr="00D55BE7">
              <w:rPr>
                <w:sz w:val="18"/>
                <w:szCs w:val="18"/>
              </w:rPr>
              <w:t xml:space="preserve"> &lt; 0.05</w:t>
            </w:r>
          </w:p>
        </w:tc>
        <w:tc>
          <w:tcPr>
            <w:tcW w:w="2268" w:type="dxa"/>
            <w:tcBorders>
              <w:top w:val="nil"/>
              <w:bottom w:val="nil"/>
            </w:tcBorders>
            <w:shd w:val="clear" w:color="auto" w:fill="auto"/>
          </w:tcPr>
          <w:p w:rsidR="00853A74" w:rsidRPr="00D55BE7" w:rsidRDefault="009759EE" w:rsidP="00D55BE7">
            <w:pPr>
              <w:pStyle w:val="TableText"/>
              <w:keepNext/>
              <w:jc w:val="center"/>
              <w:rPr>
                <w:sz w:val="18"/>
                <w:szCs w:val="18"/>
              </w:rPr>
            </w:pPr>
            <w:r w:rsidRPr="00D55BE7">
              <w:rPr>
                <w:sz w:val="18"/>
                <w:szCs w:val="18"/>
              </w:rPr>
              <w:t>–</w:t>
            </w:r>
          </w:p>
        </w:tc>
      </w:tr>
      <w:tr w:rsidR="00853A74" w:rsidRPr="00E07B1B" w:rsidTr="004E4EE1">
        <w:trPr>
          <w:cantSplit/>
        </w:trPr>
        <w:tc>
          <w:tcPr>
            <w:tcW w:w="2127" w:type="dxa"/>
            <w:tcBorders>
              <w:top w:val="nil"/>
              <w:bottom w:val="nil"/>
            </w:tcBorders>
            <w:shd w:val="clear" w:color="auto" w:fill="F2F2F2" w:themeFill="background1" w:themeFillShade="F2"/>
          </w:tcPr>
          <w:p w:rsidR="00853A74" w:rsidRPr="00D55BE7" w:rsidRDefault="00853A74" w:rsidP="00D55BE7">
            <w:pPr>
              <w:pStyle w:val="TableText"/>
              <w:keepNext/>
              <w:rPr>
                <w:sz w:val="18"/>
                <w:szCs w:val="18"/>
              </w:rPr>
            </w:pPr>
            <w:r w:rsidRPr="00D55BE7">
              <w:rPr>
                <w:sz w:val="18"/>
                <w:szCs w:val="18"/>
              </w:rPr>
              <w:t>Neonatal hypoglycaemia</w:t>
            </w:r>
          </w:p>
        </w:tc>
        <w:tc>
          <w:tcPr>
            <w:tcW w:w="2409" w:type="dxa"/>
            <w:gridSpan w:val="3"/>
            <w:tcBorders>
              <w:top w:val="nil"/>
              <w:bottom w:val="nil"/>
            </w:tcBorders>
            <w:shd w:val="clear" w:color="auto" w:fill="F2F2F2" w:themeFill="background1" w:themeFillShade="F2"/>
          </w:tcPr>
          <w:p w:rsidR="00853A74" w:rsidRPr="00D55BE7" w:rsidRDefault="00853A74" w:rsidP="00D55BE7">
            <w:pPr>
              <w:pStyle w:val="TableText"/>
              <w:keepNext/>
              <w:jc w:val="center"/>
              <w:rPr>
                <w:sz w:val="18"/>
                <w:szCs w:val="18"/>
              </w:rPr>
            </w:pPr>
            <w:r w:rsidRPr="00D55BE7">
              <w:rPr>
                <w:rFonts w:eastAsia="MS Mincho"/>
                <w:sz w:val="18"/>
                <w:szCs w:val="18"/>
                <w:lang w:eastAsia="ja-JP"/>
              </w:rPr>
              <w:t xml:space="preserve">Intervention: </w:t>
            </w:r>
            <w:r w:rsidRPr="00D55BE7">
              <w:rPr>
                <w:sz w:val="18"/>
                <w:szCs w:val="18"/>
              </w:rPr>
              <w:t>4/30 (13%)</w:t>
            </w:r>
          </w:p>
          <w:p w:rsidR="00853A74" w:rsidRPr="00D55BE7" w:rsidRDefault="00853A74" w:rsidP="00D55BE7">
            <w:pPr>
              <w:pStyle w:val="TableText"/>
              <w:keepNext/>
              <w:jc w:val="center"/>
              <w:rPr>
                <w:rFonts w:eastAsia="MS Mincho"/>
                <w:sz w:val="18"/>
                <w:szCs w:val="18"/>
                <w:lang w:eastAsia="ja-JP"/>
              </w:rPr>
            </w:pPr>
            <w:r w:rsidRPr="00D55BE7">
              <w:rPr>
                <w:rFonts w:eastAsia="MS Mincho"/>
                <w:sz w:val="18"/>
                <w:szCs w:val="18"/>
                <w:lang w:eastAsia="ja-JP"/>
              </w:rPr>
              <w:t>Comparison: 5/29 (17%)</w:t>
            </w:r>
          </w:p>
        </w:tc>
        <w:tc>
          <w:tcPr>
            <w:tcW w:w="2599" w:type="dxa"/>
            <w:gridSpan w:val="2"/>
            <w:tcBorders>
              <w:top w:val="nil"/>
              <w:bottom w:val="nil"/>
            </w:tcBorders>
            <w:shd w:val="clear" w:color="auto" w:fill="F2F2F2" w:themeFill="background1" w:themeFillShade="F2"/>
          </w:tcPr>
          <w:p w:rsidR="00853A74" w:rsidRPr="00D55BE7" w:rsidRDefault="00853A74" w:rsidP="00D55BE7">
            <w:pPr>
              <w:pStyle w:val="TableText"/>
              <w:keepNext/>
              <w:jc w:val="center"/>
              <w:rPr>
                <w:sz w:val="18"/>
                <w:szCs w:val="18"/>
              </w:rPr>
            </w:pPr>
            <w:r w:rsidRPr="00D55BE7">
              <w:rPr>
                <w:sz w:val="18"/>
                <w:szCs w:val="18"/>
              </w:rPr>
              <w:t>Intervention: 11/151 (7.3%)</w:t>
            </w:r>
          </w:p>
          <w:p w:rsidR="00853A74" w:rsidRPr="00D55BE7" w:rsidRDefault="00853A74" w:rsidP="00D55BE7">
            <w:pPr>
              <w:pStyle w:val="TableText"/>
              <w:keepNext/>
              <w:jc w:val="center"/>
              <w:rPr>
                <w:sz w:val="18"/>
                <w:szCs w:val="18"/>
              </w:rPr>
            </w:pPr>
            <w:r w:rsidRPr="00D55BE7">
              <w:rPr>
                <w:sz w:val="18"/>
                <w:szCs w:val="18"/>
              </w:rPr>
              <w:t>Comparison: 9/78 (11.5%)</w:t>
            </w:r>
          </w:p>
        </w:tc>
        <w:tc>
          <w:tcPr>
            <w:tcW w:w="2599" w:type="dxa"/>
            <w:gridSpan w:val="2"/>
            <w:tcBorders>
              <w:top w:val="nil"/>
              <w:bottom w:val="nil"/>
            </w:tcBorders>
            <w:shd w:val="clear" w:color="auto" w:fill="F2F2F2" w:themeFill="background1" w:themeFillShade="F2"/>
          </w:tcPr>
          <w:p w:rsidR="00853A74" w:rsidRPr="00D55BE7" w:rsidRDefault="00853A74" w:rsidP="00D55BE7">
            <w:pPr>
              <w:pStyle w:val="TableText"/>
              <w:keepNext/>
              <w:jc w:val="center"/>
              <w:rPr>
                <w:sz w:val="18"/>
                <w:szCs w:val="18"/>
              </w:rPr>
            </w:pPr>
            <w:r w:rsidRPr="00D55BE7">
              <w:rPr>
                <w:sz w:val="18"/>
                <w:szCs w:val="18"/>
              </w:rPr>
              <w:t>Intervention: 5/48 (10.4%)</w:t>
            </w:r>
          </w:p>
          <w:p w:rsidR="00853A74" w:rsidRPr="00D55BE7" w:rsidRDefault="00853A74" w:rsidP="00D55BE7">
            <w:pPr>
              <w:pStyle w:val="TableText"/>
              <w:keepNext/>
              <w:jc w:val="center"/>
              <w:rPr>
                <w:sz w:val="18"/>
                <w:szCs w:val="18"/>
              </w:rPr>
            </w:pPr>
            <w:r w:rsidRPr="00D55BE7">
              <w:rPr>
                <w:sz w:val="18"/>
                <w:szCs w:val="18"/>
              </w:rPr>
              <w:t>Comparison: 5/48 (10.4%)</w:t>
            </w:r>
          </w:p>
        </w:tc>
        <w:tc>
          <w:tcPr>
            <w:tcW w:w="2599" w:type="dxa"/>
            <w:tcBorders>
              <w:top w:val="nil"/>
              <w:bottom w:val="nil"/>
            </w:tcBorders>
            <w:shd w:val="clear" w:color="auto" w:fill="F2F2F2" w:themeFill="background1" w:themeFillShade="F2"/>
          </w:tcPr>
          <w:p w:rsidR="00853A74" w:rsidRPr="00D55BE7" w:rsidRDefault="00853A74" w:rsidP="00D55BE7">
            <w:pPr>
              <w:pStyle w:val="TableText"/>
              <w:keepNext/>
              <w:jc w:val="center"/>
              <w:rPr>
                <w:sz w:val="18"/>
                <w:szCs w:val="18"/>
              </w:rPr>
            </w:pPr>
            <w:r w:rsidRPr="00D55BE7">
              <w:rPr>
                <w:sz w:val="18"/>
                <w:szCs w:val="18"/>
              </w:rPr>
              <w:t>Intervention: 10/73 (13.7%)</w:t>
            </w:r>
          </w:p>
          <w:p w:rsidR="00853A74" w:rsidRPr="00D55BE7" w:rsidRDefault="00853A74" w:rsidP="00D55BE7">
            <w:pPr>
              <w:pStyle w:val="TableText"/>
              <w:keepNext/>
              <w:jc w:val="center"/>
              <w:rPr>
                <w:sz w:val="18"/>
                <w:szCs w:val="18"/>
              </w:rPr>
            </w:pPr>
            <w:r w:rsidRPr="00D55BE7">
              <w:rPr>
                <w:sz w:val="18"/>
                <w:szCs w:val="18"/>
              </w:rPr>
              <w:t>Comparison: 10/68 (14.7%)</w:t>
            </w:r>
          </w:p>
        </w:tc>
        <w:tc>
          <w:tcPr>
            <w:tcW w:w="2268" w:type="dxa"/>
            <w:tcBorders>
              <w:top w:val="nil"/>
              <w:bottom w:val="nil"/>
            </w:tcBorders>
            <w:shd w:val="clear" w:color="auto" w:fill="F2F2F2" w:themeFill="background1" w:themeFillShade="F2"/>
          </w:tcPr>
          <w:p w:rsidR="00853A74" w:rsidRPr="00D55BE7" w:rsidRDefault="00853A74" w:rsidP="00D55BE7">
            <w:pPr>
              <w:pStyle w:val="TableText"/>
              <w:keepNext/>
              <w:jc w:val="center"/>
              <w:rPr>
                <w:sz w:val="18"/>
                <w:szCs w:val="18"/>
              </w:rPr>
            </w:pPr>
            <w:r w:rsidRPr="00D55BE7">
              <w:rPr>
                <w:sz w:val="18"/>
                <w:szCs w:val="18"/>
              </w:rPr>
              <w:t>Intervention: 17.0%</w:t>
            </w:r>
          </w:p>
          <w:p w:rsidR="00853A74" w:rsidRPr="00D55BE7" w:rsidRDefault="00853A74" w:rsidP="00D55BE7">
            <w:pPr>
              <w:pStyle w:val="TableText"/>
              <w:keepNext/>
              <w:jc w:val="center"/>
              <w:rPr>
                <w:sz w:val="18"/>
                <w:szCs w:val="18"/>
              </w:rPr>
            </w:pPr>
            <w:r w:rsidRPr="00D55BE7">
              <w:rPr>
                <w:sz w:val="18"/>
                <w:szCs w:val="18"/>
              </w:rPr>
              <w:t>Comparison: 16.0%</w:t>
            </w:r>
          </w:p>
        </w:tc>
      </w:tr>
      <w:tr w:rsidR="00853A74" w:rsidRPr="00E07B1B" w:rsidTr="004E4EE1">
        <w:trPr>
          <w:cantSplit/>
        </w:trPr>
        <w:tc>
          <w:tcPr>
            <w:tcW w:w="2127" w:type="dxa"/>
            <w:tcBorders>
              <w:top w:val="nil"/>
              <w:bottom w:val="nil"/>
            </w:tcBorders>
            <w:shd w:val="clear" w:color="auto" w:fill="auto"/>
          </w:tcPr>
          <w:p w:rsidR="00853A74" w:rsidRPr="00D55BE7" w:rsidRDefault="00853A74" w:rsidP="009759EE">
            <w:pPr>
              <w:pStyle w:val="TableText"/>
              <w:rPr>
                <w:sz w:val="18"/>
                <w:szCs w:val="18"/>
              </w:rPr>
            </w:pPr>
            <w:r w:rsidRPr="00D55BE7">
              <w:rPr>
                <w:sz w:val="18"/>
                <w:szCs w:val="18"/>
              </w:rPr>
              <w:t>Hyperbilirubinaemia</w:t>
            </w:r>
          </w:p>
        </w:tc>
        <w:tc>
          <w:tcPr>
            <w:tcW w:w="2409" w:type="dxa"/>
            <w:gridSpan w:val="3"/>
            <w:tcBorders>
              <w:top w:val="nil"/>
              <w:bottom w:val="nil"/>
            </w:tcBorders>
            <w:shd w:val="clear" w:color="auto" w:fill="auto"/>
          </w:tcPr>
          <w:p w:rsidR="00853A74" w:rsidRPr="00D55BE7" w:rsidRDefault="009759EE" w:rsidP="00D55BE7">
            <w:pPr>
              <w:pStyle w:val="TableText"/>
              <w:jc w:val="center"/>
              <w:rPr>
                <w:sz w:val="18"/>
                <w:szCs w:val="18"/>
              </w:rPr>
            </w:pPr>
            <w:r w:rsidRPr="00D55BE7">
              <w:rPr>
                <w:sz w:val="18"/>
                <w:szCs w:val="18"/>
              </w:rPr>
              <w:t>–</w:t>
            </w:r>
          </w:p>
        </w:tc>
        <w:tc>
          <w:tcPr>
            <w:tcW w:w="2599" w:type="dxa"/>
            <w:gridSpan w:val="2"/>
            <w:tcBorders>
              <w:top w:val="nil"/>
              <w:bottom w:val="nil"/>
            </w:tcBorders>
            <w:shd w:val="clear" w:color="auto" w:fill="auto"/>
          </w:tcPr>
          <w:p w:rsidR="00853A74" w:rsidRPr="00D55BE7" w:rsidRDefault="00853A74" w:rsidP="00D55BE7">
            <w:pPr>
              <w:pStyle w:val="TableText"/>
              <w:jc w:val="center"/>
              <w:rPr>
                <w:sz w:val="18"/>
                <w:szCs w:val="18"/>
              </w:rPr>
            </w:pPr>
            <w:r w:rsidRPr="00D55BE7">
              <w:rPr>
                <w:sz w:val="18"/>
                <w:szCs w:val="18"/>
              </w:rPr>
              <w:t>Intervention: 10/151 (6.9%)</w:t>
            </w:r>
          </w:p>
          <w:p w:rsidR="00853A74" w:rsidRPr="00D55BE7" w:rsidRDefault="00853A74" w:rsidP="00D55BE7">
            <w:pPr>
              <w:pStyle w:val="TableText"/>
              <w:jc w:val="center"/>
              <w:rPr>
                <w:sz w:val="18"/>
                <w:szCs w:val="18"/>
              </w:rPr>
            </w:pPr>
            <w:r w:rsidRPr="00D55BE7">
              <w:rPr>
                <w:sz w:val="18"/>
                <w:szCs w:val="18"/>
              </w:rPr>
              <w:t>Comparison: 8/78 (9.7%)</w:t>
            </w:r>
          </w:p>
        </w:tc>
        <w:tc>
          <w:tcPr>
            <w:tcW w:w="2599" w:type="dxa"/>
            <w:gridSpan w:val="2"/>
            <w:tcBorders>
              <w:top w:val="nil"/>
              <w:bottom w:val="nil"/>
            </w:tcBorders>
            <w:shd w:val="clear" w:color="auto" w:fill="auto"/>
          </w:tcPr>
          <w:p w:rsidR="00853A74" w:rsidRPr="00D55BE7" w:rsidRDefault="009759EE" w:rsidP="00D55BE7">
            <w:pPr>
              <w:pStyle w:val="TableText"/>
              <w:jc w:val="center"/>
              <w:rPr>
                <w:sz w:val="18"/>
                <w:szCs w:val="18"/>
              </w:rPr>
            </w:pPr>
            <w:r w:rsidRPr="00D55BE7">
              <w:rPr>
                <w:sz w:val="18"/>
                <w:szCs w:val="18"/>
              </w:rPr>
              <w:t>–</w:t>
            </w:r>
          </w:p>
        </w:tc>
        <w:tc>
          <w:tcPr>
            <w:tcW w:w="2599" w:type="dxa"/>
            <w:tcBorders>
              <w:top w:val="nil"/>
              <w:bottom w:val="nil"/>
            </w:tcBorders>
            <w:shd w:val="clear" w:color="auto" w:fill="auto"/>
          </w:tcPr>
          <w:p w:rsidR="00853A74" w:rsidRPr="00D55BE7" w:rsidRDefault="00853A74" w:rsidP="00D55BE7">
            <w:pPr>
              <w:pStyle w:val="TableText"/>
              <w:jc w:val="center"/>
              <w:rPr>
                <w:sz w:val="18"/>
                <w:szCs w:val="18"/>
              </w:rPr>
            </w:pPr>
            <w:r w:rsidRPr="00D55BE7">
              <w:rPr>
                <w:sz w:val="18"/>
                <w:szCs w:val="18"/>
              </w:rPr>
              <w:t>Intervention: 7/73 (9.5%)</w:t>
            </w:r>
          </w:p>
          <w:p w:rsidR="00853A74" w:rsidRPr="00D55BE7" w:rsidRDefault="00853A74" w:rsidP="00D55BE7">
            <w:pPr>
              <w:pStyle w:val="TableText"/>
              <w:jc w:val="center"/>
              <w:rPr>
                <w:sz w:val="18"/>
                <w:szCs w:val="18"/>
              </w:rPr>
            </w:pPr>
            <w:r w:rsidRPr="00D55BE7">
              <w:rPr>
                <w:sz w:val="18"/>
                <w:szCs w:val="18"/>
              </w:rPr>
              <w:t>Comparison: 7/68 (10.3%)</w:t>
            </w:r>
          </w:p>
        </w:tc>
        <w:tc>
          <w:tcPr>
            <w:tcW w:w="2268" w:type="dxa"/>
            <w:tcBorders>
              <w:top w:val="nil"/>
              <w:bottom w:val="nil"/>
            </w:tcBorders>
            <w:shd w:val="clear" w:color="auto" w:fill="auto"/>
          </w:tcPr>
          <w:p w:rsidR="00853A74" w:rsidRPr="00D55BE7" w:rsidRDefault="009759EE" w:rsidP="00D55BE7">
            <w:pPr>
              <w:pStyle w:val="TableText"/>
              <w:jc w:val="center"/>
              <w:rPr>
                <w:sz w:val="18"/>
                <w:szCs w:val="18"/>
              </w:rPr>
            </w:pPr>
            <w:r w:rsidRPr="00D55BE7">
              <w:rPr>
                <w:sz w:val="18"/>
                <w:szCs w:val="18"/>
              </w:rPr>
              <w:t>–</w:t>
            </w:r>
          </w:p>
        </w:tc>
      </w:tr>
      <w:tr w:rsidR="00853A74" w:rsidRPr="00E07B1B" w:rsidTr="004E4EE1">
        <w:trPr>
          <w:cantSplit/>
        </w:trPr>
        <w:tc>
          <w:tcPr>
            <w:tcW w:w="2127" w:type="dxa"/>
            <w:tcBorders>
              <w:top w:val="nil"/>
              <w:bottom w:val="nil"/>
            </w:tcBorders>
            <w:shd w:val="clear" w:color="auto" w:fill="F2F2F2" w:themeFill="background1" w:themeFillShade="F2"/>
          </w:tcPr>
          <w:p w:rsidR="00853A74" w:rsidRPr="00D55BE7" w:rsidRDefault="00853A74" w:rsidP="009759EE">
            <w:pPr>
              <w:pStyle w:val="TableText"/>
              <w:rPr>
                <w:sz w:val="18"/>
                <w:szCs w:val="18"/>
              </w:rPr>
            </w:pPr>
            <w:r w:rsidRPr="00D55BE7">
              <w:rPr>
                <w:sz w:val="18"/>
                <w:szCs w:val="18"/>
              </w:rPr>
              <w:t>Admission to neonatal intensive care unit</w:t>
            </w:r>
          </w:p>
        </w:tc>
        <w:tc>
          <w:tcPr>
            <w:tcW w:w="2409" w:type="dxa"/>
            <w:gridSpan w:val="3"/>
            <w:tcBorders>
              <w:top w:val="nil"/>
              <w:bottom w:val="nil"/>
            </w:tcBorders>
            <w:shd w:val="clear" w:color="auto" w:fill="F2F2F2" w:themeFill="background1" w:themeFillShade="F2"/>
          </w:tcPr>
          <w:p w:rsidR="00853A74" w:rsidRPr="00D55BE7" w:rsidRDefault="009759EE" w:rsidP="00D55BE7">
            <w:pPr>
              <w:pStyle w:val="TableText"/>
              <w:jc w:val="center"/>
              <w:rPr>
                <w:sz w:val="18"/>
                <w:szCs w:val="18"/>
              </w:rPr>
            </w:pPr>
            <w:r w:rsidRPr="00D55BE7">
              <w:rPr>
                <w:sz w:val="18"/>
                <w:szCs w:val="18"/>
              </w:rPr>
              <w:t>–</w:t>
            </w:r>
          </w:p>
        </w:tc>
        <w:tc>
          <w:tcPr>
            <w:tcW w:w="2599" w:type="dxa"/>
            <w:gridSpan w:val="2"/>
            <w:tcBorders>
              <w:top w:val="nil"/>
              <w:bottom w:val="nil"/>
            </w:tcBorders>
            <w:shd w:val="clear" w:color="auto" w:fill="F2F2F2" w:themeFill="background1" w:themeFillShade="F2"/>
          </w:tcPr>
          <w:p w:rsidR="00853A74" w:rsidRPr="00D55BE7" w:rsidRDefault="009759EE" w:rsidP="00D55BE7">
            <w:pPr>
              <w:pStyle w:val="TableText"/>
              <w:jc w:val="center"/>
              <w:rPr>
                <w:sz w:val="18"/>
                <w:szCs w:val="18"/>
              </w:rPr>
            </w:pPr>
            <w:r w:rsidRPr="00D55BE7">
              <w:rPr>
                <w:sz w:val="18"/>
                <w:szCs w:val="18"/>
              </w:rPr>
              <w:t>–</w:t>
            </w:r>
          </w:p>
        </w:tc>
        <w:tc>
          <w:tcPr>
            <w:tcW w:w="2599" w:type="dxa"/>
            <w:gridSpan w:val="2"/>
            <w:tcBorders>
              <w:top w:val="nil"/>
              <w:bottom w:val="nil"/>
            </w:tcBorders>
            <w:shd w:val="clear" w:color="auto" w:fill="F2F2F2" w:themeFill="background1" w:themeFillShade="F2"/>
          </w:tcPr>
          <w:p w:rsidR="00853A74" w:rsidRPr="00D55BE7" w:rsidRDefault="009759EE" w:rsidP="00D55BE7">
            <w:pPr>
              <w:pStyle w:val="TableText"/>
              <w:jc w:val="center"/>
              <w:rPr>
                <w:sz w:val="18"/>
                <w:szCs w:val="18"/>
              </w:rPr>
            </w:pPr>
            <w:r w:rsidRPr="00D55BE7">
              <w:rPr>
                <w:sz w:val="18"/>
                <w:szCs w:val="18"/>
              </w:rPr>
              <w:t>–</w:t>
            </w:r>
          </w:p>
        </w:tc>
        <w:tc>
          <w:tcPr>
            <w:tcW w:w="2599" w:type="dxa"/>
            <w:tcBorders>
              <w:top w:val="nil"/>
              <w:bottom w:val="nil"/>
            </w:tcBorders>
            <w:shd w:val="clear" w:color="auto" w:fill="F2F2F2" w:themeFill="background1" w:themeFillShade="F2"/>
          </w:tcPr>
          <w:p w:rsidR="00853A74" w:rsidRPr="00D55BE7" w:rsidRDefault="009759EE" w:rsidP="00D55BE7">
            <w:pPr>
              <w:pStyle w:val="TableText"/>
              <w:jc w:val="center"/>
              <w:rPr>
                <w:sz w:val="18"/>
                <w:szCs w:val="18"/>
              </w:rPr>
            </w:pPr>
            <w:r w:rsidRPr="00D55BE7">
              <w:rPr>
                <w:sz w:val="18"/>
                <w:szCs w:val="18"/>
              </w:rPr>
              <w:t>–</w:t>
            </w:r>
          </w:p>
        </w:tc>
        <w:tc>
          <w:tcPr>
            <w:tcW w:w="2268" w:type="dxa"/>
            <w:tcBorders>
              <w:top w:val="nil"/>
              <w:bottom w:val="nil"/>
            </w:tcBorders>
            <w:shd w:val="clear" w:color="auto" w:fill="F2F2F2" w:themeFill="background1" w:themeFillShade="F2"/>
          </w:tcPr>
          <w:p w:rsidR="00853A74" w:rsidRPr="00D55BE7" w:rsidRDefault="00853A74" w:rsidP="00D55BE7">
            <w:pPr>
              <w:pStyle w:val="TableText"/>
              <w:jc w:val="center"/>
              <w:rPr>
                <w:sz w:val="18"/>
                <w:szCs w:val="18"/>
              </w:rPr>
            </w:pPr>
            <w:r w:rsidRPr="00D55BE7">
              <w:rPr>
                <w:sz w:val="18"/>
                <w:szCs w:val="18"/>
              </w:rPr>
              <w:t>Intervention: 14.1%</w:t>
            </w:r>
          </w:p>
          <w:p w:rsidR="00853A74" w:rsidRPr="00D55BE7" w:rsidRDefault="00853A74" w:rsidP="00D55BE7">
            <w:pPr>
              <w:pStyle w:val="TableText"/>
              <w:jc w:val="center"/>
              <w:rPr>
                <w:sz w:val="18"/>
                <w:szCs w:val="18"/>
              </w:rPr>
            </w:pPr>
            <w:r w:rsidRPr="00D55BE7">
              <w:rPr>
                <w:sz w:val="18"/>
                <w:szCs w:val="18"/>
              </w:rPr>
              <w:t>Comparison: 15.0%</w:t>
            </w:r>
          </w:p>
        </w:tc>
      </w:tr>
      <w:tr w:rsidR="00853A74" w:rsidRPr="00E07B1B" w:rsidTr="000A767D">
        <w:trPr>
          <w:cantSplit/>
        </w:trPr>
        <w:tc>
          <w:tcPr>
            <w:tcW w:w="2127" w:type="dxa"/>
            <w:tcBorders>
              <w:top w:val="nil"/>
              <w:bottom w:val="single" w:sz="4" w:space="0" w:color="A6A6A6" w:themeColor="background1" w:themeShade="A6"/>
            </w:tcBorders>
            <w:shd w:val="clear" w:color="auto" w:fill="auto"/>
          </w:tcPr>
          <w:p w:rsidR="00853A74" w:rsidRPr="00D55BE7" w:rsidRDefault="00853A74" w:rsidP="009759EE">
            <w:pPr>
              <w:pStyle w:val="TableText"/>
              <w:rPr>
                <w:sz w:val="18"/>
                <w:szCs w:val="18"/>
              </w:rPr>
            </w:pPr>
            <w:r w:rsidRPr="00D55BE7">
              <w:rPr>
                <w:sz w:val="18"/>
                <w:szCs w:val="18"/>
              </w:rPr>
              <w:t>Birth trauma (shoulder dystocia, bone fracture, nerve palsy)</w:t>
            </w:r>
          </w:p>
        </w:tc>
        <w:tc>
          <w:tcPr>
            <w:tcW w:w="2409" w:type="dxa"/>
            <w:gridSpan w:val="3"/>
            <w:tcBorders>
              <w:top w:val="nil"/>
              <w:bottom w:val="single" w:sz="4" w:space="0" w:color="A6A6A6" w:themeColor="background1" w:themeShade="A6"/>
            </w:tcBorders>
            <w:shd w:val="clear" w:color="auto" w:fill="auto"/>
          </w:tcPr>
          <w:p w:rsidR="00853A74" w:rsidRPr="00D55BE7" w:rsidRDefault="009759EE" w:rsidP="00D55BE7">
            <w:pPr>
              <w:pStyle w:val="TableText"/>
              <w:jc w:val="center"/>
              <w:rPr>
                <w:sz w:val="18"/>
                <w:szCs w:val="18"/>
              </w:rPr>
            </w:pPr>
            <w:r w:rsidRPr="00D55BE7">
              <w:rPr>
                <w:sz w:val="18"/>
                <w:szCs w:val="18"/>
              </w:rPr>
              <w:t>–</w:t>
            </w:r>
          </w:p>
        </w:tc>
        <w:tc>
          <w:tcPr>
            <w:tcW w:w="2599" w:type="dxa"/>
            <w:gridSpan w:val="2"/>
            <w:tcBorders>
              <w:top w:val="nil"/>
              <w:bottom w:val="single" w:sz="4" w:space="0" w:color="A6A6A6" w:themeColor="background1" w:themeShade="A6"/>
            </w:tcBorders>
            <w:shd w:val="clear" w:color="auto" w:fill="auto"/>
          </w:tcPr>
          <w:p w:rsidR="00853A74" w:rsidRPr="00D55BE7" w:rsidRDefault="009759EE" w:rsidP="00D55BE7">
            <w:pPr>
              <w:pStyle w:val="TableText"/>
              <w:jc w:val="center"/>
              <w:rPr>
                <w:sz w:val="18"/>
                <w:szCs w:val="18"/>
              </w:rPr>
            </w:pPr>
            <w:r w:rsidRPr="00D55BE7">
              <w:rPr>
                <w:sz w:val="18"/>
                <w:szCs w:val="18"/>
              </w:rPr>
              <w:t>–</w:t>
            </w:r>
          </w:p>
        </w:tc>
        <w:tc>
          <w:tcPr>
            <w:tcW w:w="2599" w:type="dxa"/>
            <w:gridSpan w:val="2"/>
            <w:tcBorders>
              <w:top w:val="nil"/>
              <w:bottom w:val="single" w:sz="4" w:space="0" w:color="A6A6A6" w:themeColor="background1" w:themeShade="A6"/>
            </w:tcBorders>
            <w:shd w:val="clear" w:color="auto" w:fill="auto"/>
          </w:tcPr>
          <w:p w:rsidR="00853A74" w:rsidRPr="00D55BE7" w:rsidRDefault="00853A74" w:rsidP="00D55BE7">
            <w:pPr>
              <w:pStyle w:val="TableText"/>
              <w:jc w:val="center"/>
              <w:rPr>
                <w:bCs/>
                <w:sz w:val="18"/>
                <w:szCs w:val="18"/>
              </w:rPr>
            </w:pPr>
            <w:r w:rsidRPr="00D55BE7">
              <w:rPr>
                <w:bCs/>
                <w:sz w:val="18"/>
                <w:szCs w:val="18"/>
              </w:rPr>
              <w:t>Intervention: 2/48 (4.2%)</w:t>
            </w:r>
          </w:p>
          <w:p w:rsidR="00853A74" w:rsidRPr="00D55BE7" w:rsidRDefault="00853A74" w:rsidP="00D55BE7">
            <w:pPr>
              <w:pStyle w:val="TableText"/>
              <w:jc w:val="center"/>
              <w:rPr>
                <w:sz w:val="18"/>
                <w:szCs w:val="18"/>
              </w:rPr>
            </w:pPr>
            <w:r w:rsidRPr="00D55BE7">
              <w:rPr>
                <w:sz w:val="18"/>
                <w:szCs w:val="18"/>
              </w:rPr>
              <w:t>Comparison</w:t>
            </w:r>
            <w:r w:rsidRPr="00D55BE7">
              <w:rPr>
                <w:bCs/>
                <w:sz w:val="18"/>
                <w:szCs w:val="18"/>
              </w:rPr>
              <w:t>: 1/48 (2.1%)</w:t>
            </w:r>
          </w:p>
        </w:tc>
        <w:tc>
          <w:tcPr>
            <w:tcW w:w="2599" w:type="dxa"/>
            <w:tcBorders>
              <w:top w:val="nil"/>
              <w:bottom w:val="single" w:sz="4" w:space="0" w:color="A6A6A6" w:themeColor="background1" w:themeShade="A6"/>
            </w:tcBorders>
            <w:shd w:val="clear" w:color="auto" w:fill="auto"/>
          </w:tcPr>
          <w:p w:rsidR="00853A74" w:rsidRPr="00D55BE7" w:rsidRDefault="009759EE" w:rsidP="00D55BE7">
            <w:pPr>
              <w:pStyle w:val="TableText"/>
              <w:jc w:val="center"/>
              <w:rPr>
                <w:sz w:val="18"/>
                <w:szCs w:val="18"/>
              </w:rPr>
            </w:pPr>
            <w:r w:rsidRPr="00D55BE7">
              <w:rPr>
                <w:sz w:val="18"/>
                <w:szCs w:val="18"/>
              </w:rPr>
              <w:t>–</w:t>
            </w:r>
          </w:p>
        </w:tc>
        <w:tc>
          <w:tcPr>
            <w:tcW w:w="2268" w:type="dxa"/>
            <w:tcBorders>
              <w:top w:val="nil"/>
              <w:bottom w:val="single" w:sz="4" w:space="0" w:color="A6A6A6" w:themeColor="background1" w:themeShade="A6"/>
            </w:tcBorders>
            <w:shd w:val="clear" w:color="auto" w:fill="auto"/>
          </w:tcPr>
          <w:p w:rsidR="00853A74" w:rsidRPr="00D55BE7" w:rsidRDefault="009759EE" w:rsidP="00D55BE7">
            <w:pPr>
              <w:pStyle w:val="TableText"/>
              <w:jc w:val="center"/>
              <w:rPr>
                <w:sz w:val="18"/>
                <w:szCs w:val="18"/>
              </w:rPr>
            </w:pPr>
            <w:r w:rsidRPr="00D55BE7">
              <w:rPr>
                <w:sz w:val="18"/>
                <w:szCs w:val="18"/>
              </w:rPr>
              <w:t>–</w:t>
            </w:r>
          </w:p>
        </w:tc>
      </w:tr>
      <w:tr w:rsidR="00853A74" w:rsidRPr="009759EE" w:rsidTr="000A767D">
        <w:trPr>
          <w:cantSplit/>
        </w:trPr>
        <w:tc>
          <w:tcPr>
            <w:tcW w:w="14601" w:type="dxa"/>
            <w:gridSpan w:val="10"/>
            <w:tcBorders>
              <w:top w:val="single" w:sz="4" w:space="0" w:color="A6A6A6" w:themeColor="background1" w:themeShade="A6"/>
              <w:bottom w:val="nil"/>
            </w:tcBorders>
            <w:shd w:val="clear" w:color="auto" w:fill="F2F2F2" w:themeFill="background1" w:themeFillShade="F2"/>
          </w:tcPr>
          <w:p w:rsidR="00853A74" w:rsidRPr="00D55BE7" w:rsidRDefault="00853A74" w:rsidP="00D55BE7">
            <w:pPr>
              <w:pStyle w:val="TableText"/>
              <w:keepNext/>
              <w:rPr>
                <w:b/>
                <w:sz w:val="18"/>
                <w:szCs w:val="18"/>
              </w:rPr>
            </w:pPr>
            <w:r w:rsidRPr="00D55BE7">
              <w:rPr>
                <w:b/>
                <w:sz w:val="18"/>
                <w:szCs w:val="18"/>
              </w:rPr>
              <w:t>Maternal outcomes</w:t>
            </w:r>
          </w:p>
        </w:tc>
      </w:tr>
      <w:tr w:rsidR="00853A74" w:rsidRPr="00E07B1B" w:rsidTr="004E4EE1">
        <w:trPr>
          <w:cantSplit/>
        </w:trPr>
        <w:tc>
          <w:tcPr>
            <w:tcW w:w="2162" w:type="dxa"/>
            <w:gridSpan w:val="2"/>
            <w:tcBorders>
              <w:top w:val="nil"/>
              <w:bottom w:val="nil"/>
            </w:tcBorders>
            <w:shd w:val="clear" w:color="auto" w:fill="auto"/>
          </w:tcPr>
          <w:p w:rsidR="00853A74" w:rsidRPr="00D55BE7" w:rsidRDefault="00853A74" w:rsidP="009759EE">
            <w:pPr>
              <w:pStyle w:val="TableText"/>
              <w:rPr>
                <w:sz w:val="18"/>
                <w:szCs w:val="18"/>
              </w:rPr>
            </w:pPr>
            <w:r w:rsidRPr="00D55BE7">
              <w:rPr>
                <w:sz w:val="18"/>
                <w:szCs w:val="18"/>
              </w:rPr>
              <w:t>Induction of labour</w:t>
            </w:r>
          </w:p>
        </w:tc>
        <w:tc>
          <w:tcPr>
            <w:tcW w:w="2341" w:type="dxa"/>
            <w:tcBorders>
              <w:top w:val="nil"/>
              <w:bottom w:val="nil"/>
            </w:tcBorders>
            <w:shd w:val="clear" w:color="auto" w:fill="auto"/>
          </w:tcPr>
          <w:p w:rsidR="00853A74" w:rsidRPr="00D55BE7" w:rsidRDefault="00853A74" w:rsidP="00D55BE7">
            <w:pPr>
              <w:pStyle w:val="TableText"/>
              <w:jc w:val="center"/>
              <w:rPr>
                <w:sz w:val="18"/>
                <w:szCs w:val="18"/>
              </w:rPr>
            </w:pPr>
          </w:p>
        </w:tc>
        <w:tc>
          <w:tcPr>
            <w:tcW w:w="2610" w:type="dxa"/>
            <w:gridSpan w:val="2"/>
            <w:tcBorders>
              <w:top w:val="nil"/>
              <w:bottom w:val="nil"/>
            </w:tcBorders>
            <w:shd w:val="clear" w:color="auto" w:fill="auto"/>
          </w:tcPr>
          <w:p w:rsidR="00853A74" w:rsidRPr="00D55BE7" w:rsidRDefault="00D55BE7" w:rsidP="00D55BE7">
            <w:pPr>
              <w:pStyle w:val="TableText"/>
              <w:jc w:val="center"/>
              <w:rPr>
                <w:sz w:val="18"/>
                <w:szCs w:val="18"/>
              </w:rPr>
            </w:pPr>
            <w:r w:rsidRPr="00D55BE7">
              <w:rPr>
                <w:sz w:val="18"/>
                <w:szCs w:val="18"/>
              </w:rPr>
              <w:t>–</w:t>
            </w:r>
          </w:p>
        </w:tc>
        <w:tc>
          <w:tcPr>
            <w:tcW w:w="2610" w:type="dxa"/>
            <w:gridSpan w:val="2"/>
            <w:tcBorders>
              <w:top w:val="nil"/>
              <w:bottom w:val="nil"/>
            </w:tcBorders>
            <w:shd w:val="clear" w:color="auto" w:fill="auto"/>
          </w:tcPr>
          <w:p w:rsidR="00853A74" w:rsidRPr="00D55BE7" w:rsidRDefault="00853A74" w:rsidP="00D55BE7">
            <w:pPr>
              <w:pStyle w:val="TableText"/>
              <w:jc w:val="center"/>
              <w:rPr>
                <w:sz w:val="18"/>
                <w:szCs w:val="18"/>
              </w:rPr>
            </w:pPr>
            <w:r w:rsidRPr="00D55BE7">
              <w:rPr>
                <w:sz w:val="18"/>
                <w:szCs w:val="18"/>
              </w:rPr>
              <w:t>Intervention: 38/49 (77.6%)</w:t>
            </w:r>
          </w:p>
          <w:p w:rsidR="00853A74" w:rsidRPr="00D55BE7" w:rsidRDefault="00853A74" w:rsidP="00D55BE7">
            <w:pPr>
              <w:pStyle w:val="TableText"/>
              <w:jc w:val="center"/>
              <w:rPr>
                <w:sz w:val="18"/>
                <w:szCs w:val="18"/>
              </w:rPr>
            </w:pPr>
            <w:r w:rsidRPr="00D55BE7">
              <w:rPr>
                <w:sz w:val="18"/>
                <w:szCs w:val="18"/>
              </w:rPr>
              <w:t>Comparison:32/49 (65.3%)</w:t>
            </w:r>
          </w:p>
        </w:tc>
        <w:tc>
          <w:tcPr>
            <w:tcW w:w="2610" w:type="dxa"/>
            <w:gridSpan w:val="2"/>
            <w:tcBorders>
              <w:top w:val="nil"/>
              <w:bottom w:val="nil"/>
            </w:tcBorders>
            <w:shd w:val="clear" w:color="auto" w:fill="auto"/>
          </w:tcPr>
          <w:p w:rsidR="00853A74" w:rsidRPr="00D55BE7" w:rsidRDefault="00D55BE7" w:rsidP="00D55BE7">
            <w:pPr>
              <w:pStyle w:val="TableText"/>
              <w:jc w:val="center"/>
              <w:rPr>
                <w:sz w:val="18"/>
                <w:szCs w:val="18"/>
              </w:rPr>
            </w:pPr>
            <w:r w:rsidRPr="00D55BE7">
              <w:rPr>
                <w:sz w:val="18"/>
                <w:szCs w:val="18"/>
              </w:rPr>
              <w:t>–</w:t>
            </w:r>
          </w:p>
        </w:tc>
        <w:tc>
          <w:tcPr>
            <w:tcW w:w="2268" w:type="dxa"/>
            <w:tcBorders>
              <w:top w:val="nil"/>
              <w:bottom w:val="nil"/>
            </w:tcBorders>
            <w:shd w:val="clear" w:color="auto" w:fill="auto"/>
          </w:tcPr>
          <w:p w:rsidR="00853A74" w:rsidRPr="00D55BE7" w:rsidRDefault="00853A74" w:rsidP="00D55BE7">
            <w:pPr>
              <w:pStyle w:val="TableText"/>
              <w:jc w:val="center"/>
              <w:rPr>
                <w:sz w:val="18"/>
                <w:szCs w:val="18"/>
              </w:rPr>
            </w:pPr>
            <w:r w:rsidRPr="00D55BE7">
              <w:rPr>
                <w:sz w:val="18"/>
                <w:szCs w:val="18"/>
              </w:rPr>
              <w:t>Intervention: 23.2%</w:t>
            </w:r>
          </w:p>
          <w:p w:rsidR="00853A74" w:rsidRPr="00D55BE7" w:rsidRDefault="00853A74" w:rsidP="00D55BE7">
            <w:pPr>
              <w:pStyle w:val="TableText"/>
              <w:jc w:val="center"/>
              <w:rPr>
                <w:sz w:val="18"/>
                <w:szCs w:val="18"/>
              </w:rPr>
            </w:pPr>
            <w:r w:rsidRPr="00D55BE7">
              <w:rPr>
                <w:sz w:val="18"/>
                <w:szCs w:val="18"/>
              </w:rPr>
              <w:t>Comparison: 23.0%</w:t>
            </w:r>
          </w:p>
        </w:tc>
      </w:tr>
      <w:tr w:rsidR="00853A74" w:rsidRPr="00E07B1B" w:rsidTr="004E4EE1">
        <w:trPr>
          <w:cantSplit/>
        </w:trPr>
        <w:tc>
          <w:tcPr>
            <w:tcW w:w="2162" w:type="dxa"/>
            <w:gridSpan w:val="2"/>
            <w:tcBorders>
              <w:top w:val="nil"/>
              <w:bottom w:val="nil"/>
            </w:tcBorders>
            <w:shd w:val="clear" w:color="auto" w:fill="F2F2F2" w:themeFill="background1" w:themeFillShade="F2"/>
          </w:tcPr>
          <w:p w:rsidR="00853A74" w:rsidRPr="00D55BE7" w:rsidRDefault="00853A74" w:rsidP="009759EE">
            <w:pPr>
              <w:pStyle w:val="TableText"/>
              <w:rPr>
                <w:sz w:val="18"/>
                <w:szCs w:val="18"/>
              </w:rPr>
            </w:pPr>
            <w:r w:rsidRPr="00D55BE7">
              <w:rPr>
                <w:sz w:val="18"/>
                <w:szCs w:val="18"/>
              </w:rPr>
              <w:t>Caesarean section</w:t>
            </w:r>
          </w:p>
        </w:tc>
        <w:tc>
          <w:tcPr>
            <w:tcW w:w="2341" w:type="dxa"/>
            <w:tcBorders>
              <w:top w:val="nil"/>
              <w:bottom w:val="nil"/>
            </w:tcBorders>
            <w:shd w:val="clear" w:color="auto" w:fill="F2F2F2" w:themeFill="background1" w:themeFillShade="F2"/>
          </w:tcPr>
          <w:p w:rsidR="00853A74" w:rsidRPr="00D55BE7" w:rsidRDefault="00D55BE7" w:rsidP="00D55BE7">
            <w:pPr>
              <w:pStyle w:val="TableText"/>
              <w:jc w:val="center"/>
              <w:rPr>
                <w:sz w:val="18"/>
                <w:szCs w:val="18"/>
              </w:rPr>
            </w:pPr>
            <w:r w:rsidRPr="00D55BE7">
              <w:rPr>
                <w:sz w:val="18"/>
                <w:szCs w:val="18"/>
              </w:rPr>
              <w:t>–</w:t>
            </w:r>
          </w:p>
        </w:tc>
        <w:tc>
          <w:tcPr>
            <w:tcW w:w="2610" w:type="dxa"/>
            <w:gridSpan w:val="2"/>
            <w:tcBorders>
              <w:top w:val="nil"/>
              <w:bottom w:val="nil"/>
            </w:tcBorders>
            <w:shd w:val="clear" w:color="auto" w:fill="F2F2F2" w:themeFill="background1" w:themeFillShade="F2"/>
          </w:tcPr>
          <w:p w:rsidR="00853A74" w:rsidRPr="00D55BE7" w:rsidRDefault="00853A74" w:rsidP="00D55BE7">
            <w:pPr>
              <w:pStyle w:val="TableText"/>
              <w:jc w:val="center"/>
              <w:rPr>
                <w:bCs/>
                <w:sz w:val="18"/>
                <w:szCs w:val="18"/>
              </w:rPr>
            </w:pPr>
            <w:r w:rsidRPr="00D55BE7">
              <w:rPr>
                <w:bCs/>
                <w:sz w:val="18"/>
                <w:szCs w:val="18"/>
              </w:rPr>
              <w:t>Intervention: 62/151 (30.5%)</w:t>
            </w:r>
          </w:p>
          <w:p w:rsidR="00853A74" w:rsidRPr="00D55BE7" w:rsidRDefault="00853A74" w:rsidP="00D55BE7">
            <w:pPr>
              <w:pStyle w:val="TableText"/>
              <w:jc w:val="center"/>
              <w:rPr>
                <w:sz w:val="18"/>
                <w:szCs w:val="18"/>
              </w:rPr>
            </w:pPr>
            <w:r w:rsidRPr="00D55BE7">
              <w:rPr>
                <w:sz w:val="18"/>
                <w:szCs w:val="18"/>
              </w:rPr>
              <w:t>Comparison</w:t>
            </w:r>
            <w:r w:rsidRPr="00D55BE7">
              <w:rPr>
                <w:bCs/>
                <w:sz w:val="18"/>
                <w:szCs w:val="18"/>
              </w:rPr>
              <w:t>: 24/78 (41.0%)</w:t>
            </w:r>
          </w:p>
        </w:tc>
        <w:tc>
          <w:tcPr>
            <w:tcW w:w="2610" w:type="dxa"/>
            <w:gridSpan w:val="2"/>
            <w:tcBorders>
              <w:top w:val="nil"/>
              <w:bottom w:val="nil"/>
            </w:tcBorders>
            <w:shd w:val="clear" w:color="auto" w:fill="F2F2F2" w:themeFill="background1" w:themeFillShade="F2"/>
          </w:tcPr>
          <w:p w:rsidR="00853A74" w:rsidRPr="00D55BE7" w:rsidRDefault="00853A74" w:rsidP="00D55BE7">
            <w:pPr>
              <w:pStyle w:val="TableText"/>
              <w:jc w:val="center"/>
              <w:rPr>
                <w:sz w:val="18"/>
                <w:szCs w:val="18"/>
              </w:rPr>
            </w:pPr>
            <w:r w:rsidRPr="00D55BE7">
              <w:rPr>
                <w:sz w:val="18"/>
                <w:szCs w:val="18"/>
              </w:rPr>
              <w:t>Intervention:16/49 (33.3%)</w:t>
            </w:r>
          </w:p>
          <w:p w:rsidR="00853A74" w:rsidRPr="00D55BE7" w:rsidRDefault="00853A74" w:rsidP="00D55BE7">
            <w:pPr>
              <w:pStyle w:val="TableText"/>
              <w:jc w:val="center"/>
              <w:rPr>
                <w:sz w:val="18"/>
                <w:szCs w:val="18"/>
              </w:rPr>
            </w:pPr>
            <w:r w:rsidRPr="00D55BE7">
              <w:rPr>
                <w:sz w:val="18"/>
                <w:szCs w:val="18"/>
              </w:rPr>
              <w:t>Comparison: 7/49 (14.6%)</w:t>
            </w:r>
          </w:p>
        </w:tc>
        <w:tc>
          <w:tcPr>
            <w:tcW w:w="2610" w:type="dxa"/>
            <w:gridSpan w:val="2"/>
            <w:tcBorders>
              <w:top w:val="nil"/>
              <w:bottom w:val="nil"/>
            </w:tcBorders>
            <w:shd w:val="clear" w:color="auto" w:fill="F2F2F2" w:themeFill="background1" w:themeFillShade="F2"/>
          </w:tcPr>
          <w:p w:rsidR="00853A74" w:rsidRPr="00D55BE7" w:rsidRDefault="00853A74" w:rsidP="00D55BE7">
            <w:pPr>
              <w:pStyle w:val="TableText"/>
              <w:jc w:val="center"/>
              <w:rPr>
                <w:sz w:val="18"/>
                <w:szCs w:val="18"/>
              </w:rPr>
            </w:pPr>
            <w:r w:rsidRPr="00D55BE7">
              <w:rPr>
                <w:sz w:val="18"/>
                <w:szCs w:val="18"/>
              </w:rPr>
              <w:t>Intervention: 17/73 (23.3%)</w:t>
            </w:r>
          </w:p>
          <w:p w:rsidR="00853A74" w:rsidRPr="00D55BE7" w:rsidRDefault="00853A74" w:rsidP="00D55BE7">
            <w:pPr>
              <w:pStyle w:val="TableText"/>
              <w:jc w:val="center"/>
              <w:rPr>
                <w:sz w:val="18"/>
                <w:szCs w:val="18"/>
              </w:rPr>
            </w:pPr>
            <w:r w:rsidRPr="00D55BE7">
              <w:rPr>
                <w:sz w:val="18"/>
                <w:szCs w:val="18"/>
              </w:rPr>
              <w:t>Comparison: 17/68 (25%)</w:t>
            </w:r>
          </w:p>
        </w:tc>
        <w:tc>
          <w:tcPr>
            <w:tcW w:w="2268" w:type="dxa"/>
            <w:tcBorders>
              <w:top w:val="nil"/>
              <w:bottom w:val="nil"/>
            </w:tcBorders>
            <w:shd w:val="clear" w:color="auto" w:fill="F2F2F2" w:themeFill="background1" w:themeFillShade="F2"/>
          </w:tcPr>
          <w:p w:rsidR="00853A74" w:rsidRPr="00D55BE7" w:rsidRDefault="00853A74" w:rsidP="00D55BE7">
            <w:pPr>
              <w:pStyle w:val="TableText"/>
              <w:jc w:val="center"/>
              <w:rPr>
                <w:sz w:val="18"/>
                <w:szCs w:val="18"/>
              </w:rPr>
            </w:pPr>
            <w:r w:rsidRPr="00D55BE7">
              <w:rPr>
                <w:sz w:val="18"/>
                <w:szCs w:val="18"/>
              </w:rPr>
              <w:t>Intervention: 18.2%</w:t>
            </w:r>
          </w:p>
          <w:p w:rsidR="00853A74" w:rsidRPr="00D55BE7" w:rsidRDefault="00853A74" w:rsidP="00D55BE7">
            <w:pPr>
              <w:pStyle w:val="TableText"/>
              <w:jc w:val="center"/>
              <w:rPr>
                <w:sz w:val="18"/>
                <w:szCs w:val="18"/>
              </w:rPr>
            </w:pPr>
            <w:r w:rsidRPr="00D55BE7">
              <w:rPr>
                <w:sz w:val="18"/>
                <w:szCs w:val="18"/>
              </w:rPr>
              <w:t>Comparison: 19.0%</w:t>
            </w:r>
          </w:p>
        </w:tc>
      </w:tr>
      <w:tr w:rsidR="00853A74" w:rsidRPr="00E07B1B" w:rsidTr="004E4EE1">
        <w:trPr>
          <w:cantSplit/>
        </w:trPr>
        <w:tc>
          <w:tcPr>
            <w:tcW w:w="2162" w:type="dxa"/>
            <w:gridSpan w:val="2"/>
            <w:tcBorders>
              <w:top w:val="nil"/>
            </w:tcBorders>
            <w:shd w:val="clear" w:color="auto" w:fill="auto"/>
          </w:tcPr>
          <w:p w:rsidR="00853A74" w:rsidRPr="00D55BE7" w:rsidRDefault="00853A74" w:rsidP="009759EE">
            <w:pPr>
              <w:pStyle w:val="TableText"/>
              <w:rPr>
                <w:sz w:val="18"/>
                <w:szCs w:val="18"/>
              </w:rPr>
            </w:pPr>
            <w:r w:rsidRPr="00D55BE7">
              <w:rPr>
                <w:sz w:val="18"/>
                <w:szCs w:val="18"/>
              </w:rPr>
              <w:t>Maternal weight gain (kg)</w:t>
            </w:r>
          </w:p>
        </w:tc>
        <w:tc>
          <w:tcPr>
            <w:tcW w:w="2341" w:type="dxa"/>
            <w:tcBorders>
              <w:top w:val="nil"/>
            </w:tcBorders>
            <w:shd w:val="clear" w:color="auto" w:fill="auto"/>
          </w:tcPr>
          <w:p w:rsidR="00853A74" w:rsidRPr="00D55BE7" w:rsidRDefault="00853A74" w:rsidP="00D55BE7">
            <w:pPr>
              <w:pStyle w:val="TableText"/>
              <w:jc w:val="center"/>
              <w:rPr>
                <w:sz w:val="18"/>
                <w:szCs w:val="18"/>
              </w:rPr>
            </w:pPr>
            <w:r w:rsidRPr="00D55BE7">
              <w:rPr>
                <w:rFonts w:eastAsia="MS Mincho"/>
                <w:sz w:val="18"/>
                <w:szCs w:val="18"/>
                <w:lang w:eastAsia="ja-JP"/>
              </w:rPr>
              <w:t xml:space="preserve">Intervention: 2.9 </w:t>
            </w:r>
            <w:r w:rsidRPr="00D55BE7">
              <w:rPr>
                <w:sz w:val="18"/>
                <w:szCs w:val="18"/>
              </w:rPr>
              <w:t>± 0.4</w:t>
            </w:r>
          </w:p>
          <w:p w:rsidR="00853A74" w:rsidRPr="00D55BE7" w:rsidRDefault="00853A74" w:rsidP="00D55BE7">
            <w:pPr>
              <w:pStyle w:val="TableText"/>
              <w:jc w:val="center"/>
              <w:rPr>
                <w:sz w:val="18"/>
                <w:szCs w:val="18"/>
              </w:rPr>
            </w:pPr>
            <w:r w:rsidRPr="00D55BE7">
              <w:rPr>
                <w:rFonts w:eastAsia="MS Mincho"/>
                <w:sz w:val="18"/>
                <w:szCs w:val="18"/>
                <w:lang w:eastAsia="ja-JP"/>
              </w:rPr>
              <w:t xml:space="preserve">Comparison: 1.7 </w:t>
            </w:r>
            <w:r w:rsidRPr="00D55BE7">
              <w:rPr>
                <w:sz w:val="18"/>
                <w:szCs w:val="18"/>
              </w:rPr>
              <w:t>± 0.4</w:t>
            </w:r>
          </w:p>
        </w:tc>
        <w:tc>
          <w:tcPr>
            <w:tcW w:w="2610" w:type="dxa"/>
            <w:gridSpan w:val="2"/>
            <w:tcBorders>
              <w:top w:val="nil"/>
            </w:tcBorders>
            <w:shd w:val="clear" w:color="auto" w:fill="auto"/>
          </w:tcPr>
          <w:p w:rsidR="00853A74" w:rsidRPr="00D55BE7" w:rsidRDefault="00853A74" w:rsidP="00D55BE7">
            <w:pPr>
              <w:pStyle w:val="TableText"/>
              <w:jc w:val="center"/>
              <w:rPr>
                <w:bCs/>
                <w:sz w:val="18"/>
                <w:szCs w:val="18"/>
              </w:rPr>
            </w:pPr>
            <w:r w:rsidRPr="00D55BE7">
              <w:rPr>
                <w:bCs/>
                <w:sz w:val="18"/>
                <w:szCs w:val="18"/>
              </w:rPr>
              <w:t>Intervention: 11.2 ± 5.0</w:t>
            </w:r>
          </w:p>
          <w:p w:rsidR="00853A74" w:rsidRPr="00D55BE7" w:rsidRDefault="00853A74" w:rsidP="00D55BE7">
            <w:pPr>
              <w:pStyle w:val="TableText"/>
              <w:jc w:val="center"/>
              <w:rPr>
                <w:bCs/>
                <w:sz w:val="18"/>
                <w:szCs w:val="18"/>
              </w:rPr>
            </w:pPr>
            <w:r w:rsidRPr="00D55BE7">
              <w:rPr>
                <w:bCs/>
                <w:sz w:val="18"/>
                <w:szCs w:val="18"/>
              </w:rPr>
              <w:t>Comparison: 10.9 ± 4.5</w:t>
            </w:r>
          </w:p>
        </w:tc>
        <w:tc>
          <w:tcPr>
            <w:tcW w:w="2610" w:type="dxa"/>
            <w:gridSpan w:val="2"/>
            <w:tcBorders>
              <w:top w:val="nil"/>
            </w:tcBorders>
            <w:shd w:val="clear" w:color="auto" w:fill="auto"/>
          </w:tcPr>
          <w:p w:rsidR="00853A74" w:rsidRPr="00D55BE7" w:rsidRDefault="00D55BE7" w:rsidP="00D55BE7">
            <w:pPr>
              <w:pStyle w:val="TableText"/>
              <w:jc w:val="center"/>
              <w:rPr>
                <w:sz w:val="18"/>
                <w:szCs w:val="18"/>
              </w:rPr>
            </w:pPr>
            <w:r>
              <w:rPr>
                <w:sz w:val="18"/>
                <w:szCs w:val="18"/>
              </w:rPr>
              <w:t>–</w:t>
            </w:r>
          </w:p>
        </w:tc>
        <w:tc>
          <w:tcPr>
            <w:tcW w:w="2610" w:type="dxa"/>
            <w:gridSpan w:val="2"/>
            <w:tcBorders>
              <w:top w:val="nil"/>
            </w:tcBorders>
            <w:shd w:val="clear" w:color="auto" w:fill="auto"/>
          </w:tcPr>
          <w:p w:rsidR="00853A74" w:rsidRPr="00D55BE7" w:rsidRDefault="00D55BE7" w:rsidP="00D55BE7">
            <w:pPr>
              <w:pStyle w:val="TableText"/>
              <w:jc w:val="center"/>
              <w:rPr>
                <w:sz w:val="18"/>
                <w:szCs w:val="18"/>
              </w:rPr>
            </w:pPr>
            <w:r>
              <w:rPr>
                <w:sz w:val="18"/>
                <w:szCs w:val="18"/>
              </w:rPr>
              <w:t>–</w:t>
            </w:r>
          </w:p>
        </w:tc>
        <w:tc>
          <w:tcPr>
            <w:tcW w:w="2268" w:type="dxa"/>
            <w:tcBorders>
              <w:top w:val="nil"/>
            </w:tcBorders>
            <w:shd w:val="clear" w:color="auto" w:fill="auto"/>
          </w:tcPr>
          <w:p w:rsidR="00853A74" w:rsidRPr="00D55BE7" w:rsidRDefault="00D55BE7" w:rsidP="00D55BE7">
            <w:pPr>
              <w:pStyle w:val="TableText"/>
              <w:jc w:val="center"/>
              <w:rPr>
                <w:sz w:val="18"/>
                <w:szCs w:val="18"/>
              </w:rPr>
            </w:pPr>
            <w:r>
              <w:rPr>
                <w:sz w:val="18"/>
                <w:szCs w:val="18"/>
              </w:rPr>
              <w:t>–</w:t>
            </w:r>
          </w:p>
        </w:tc>
      </w:tr>
    </w:tbl>
    <w:p w:rsidR="00853A74" w:rsidRPr="00175F33" w:rsidRDefault="00853A74" w:rsidP="00D55BE7">
      <w:pPr>
        <w:pStyle w:val="Source"/>
      </w:pPr>
      <w:r w:rsidRPr="00175F33">
        <w:t xml:space="preserve">Source: National Institute for Health and </w:t>
      </w:r>
      <w:r w:rsidRPr="00175F33">
        <w:rPr>
          <w:szCs w:val="24"/>
        </w:rPr>
        <w:t xml:space="preserve">Care </w:t>
      </w:r>
      <w:r w:rsidRPr="00175F33">
        <w:t xml:space="preserve">Excellence </w:t>
      </w:r>
      <w:r>
        <w:t xml:space="preserve">(NICE </w:t>
      </w:r>
      <w:r w:rsidRPr="00175F33">
        <w:t>2008</w:t>
      </w:r>
      <w:r>
        <w:t>)</w:t>
      </w:r>
    </w:p>
    <w:p w:rsidR="00853A74" w:rsidRPr="00E07B1B" w:rsidRDefault="00853A74" w:rsidP="00853A74">
      <w:pPr>
        <w:pStyle w:val="Heading2"/>
        <w:spacing w:before="0" w:after="240"/>
        <w:ind w:left="0" w:firstLine="0"/>
      </w:pPr>
      <w:r w:rsidRPr="00E07B1B">
        <w:rPr>
          <w:szCs w:val="24"/>
        </w:rPr>
        <w:br w:type="page"/>
      </w:r>
      <w:bookmarkStart w:id="565" w:name="_Toc363717839"/>
      <w:bookmarkStart w:id="566" w:name="_Toc402873643"/>
      <w:bookmarkStart w:id="567" w:name="_Toc403469704"/>
      <w:r w:rsidRPr="00E07B1B">
        <w:t>Appendix L</w:t>
      </w:r>
      <w:r>
        <w:t>: Supporting evidence for</w:t>
      </w:r>
      <w:r w:rsidRPr="00E07B1B">
        <w:t xml:space="preserve"> Chapter</w:t>
      </w:r>
      <w:r>
        <w:t> </w:t>
      </w:r>
      <w:bookmarkEnd w:id="565"/>
      <w:r w:rsidRPr="00E07B1B">
        <w:t>6</w:t>
      </w:r>
      <w:bookmarkEnd w:id="566"/>
      <w:bookmarkEnd w:id="567"/>
    </w:p>
    <w:p w:rsidR="00853A74" w:rsidRPr="00E07B1B" w:rsidRDefault="00853A74" w:rsidP="00A125BF">
      <w:pPr>
        <w:pStyle w:val="Table"/>
      </w:pPr>
      <w:bookmarkStart w:id="568" w:name="_Toc363717840"/>
      <w:bookmarkStart w:id="569" w:name="_Toc403635921"/>
      <w:r w:rsidRPr="00E07B1B">
        <w:t>Table 40</w:t>
      </w:r>
      <w:r w:rsidR="00A125BF">
        <w:t>:</w:t>
      </w:r>
      <w:r w:rsidRPr="00E07B1B">
        <w:t xml:space="preserve"> Recommendations for the timing of delivery in women diagnosed with gestational diabetes</w:t>
      </w:r>
      <w:bookmarkEnd w:id="568"/>
      <w:bookmarkEnd w:id="569"/>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3119"/>
        <w:gridCol w:w="3827"/>
        <w:gridCol w:w="7655"/>
      </w:tblGrid>
      <w:tr w:rsidR="00853A74" w:rsidRPr="00A125BF" w:rsidTr="00A125BF">
        <w:trPr>
          <w:cantSplit/>
          <w:tblHeader/>
        </w:trPr>
        <w:tc>
          <w:tcPr>
            <w:tcW w:w="3119" w:type="dxa"/>
            <w:tcBorders>
              <w:top w:val="single" w:sz="4" w:space="0" w:color="auto"/>
              <w:bottom w:val="single" w:sz="4" w:space="0" w:color="auto"/>
            </w:tcBorders>
            <w:shd w:val="clear" w:color="auto" w:fill="auto"/>
          </w:tcPr>
          <w:p w:rsidR="00853A74" w:rsidRPr="00A125BF" w:rsidRDefault="00853A74" w:rsidP="00A125BF">
            <w:pPr>
              <w:pStyle w:val="TableText"/>
              <w:ind w:right="142"/>
              <w:rPr>
                <w:b/>
              </w:rPr>
            </w:pPr>
            <w:r w:rsidRPr="00A125BF">
              <w:rPr>
                <w:b/>
              </w:rPr>
              <w:t>Reference</w:t>
            </w:r>
          </w:p>
        </w:tc>
        <w:tc>
          <w:tcPr>
            <w:tcW w:w="3827" w:type="dxa"/>
            <w:tcBorders>
              <w:top w:val="single" w:sz="4" w:space="0" w:color="auto"/>
              <w:bottom w:val="single" w:sz="4" w:space="0" w:color="auto"/>
            </w:tcBorders>
            <w:shd w:val="clear" w:color="auto" w:fill="auto"/>
          </w:tcPr>
          <w:p w:rsidR="00853A74" w:rsidRPr="00A125BF" w:rsidRDefault="00853A74" w:rsidP="00A125BF">
            <w:pPr>
              <w:pStyle w:val="TableText"/>
              <w:ind w:right="142"/>
              <w:rPr>
                <w:b/>
              </w:rPr>
            </w:pPr>
            <w:r w:rsidRPr="00A125BF">
              <w:rPr>
                <w:b/>
              </w:rPr>
              <w:t>Evidence base</w:t>
            </w:r>
          </w:p>
        </w:tc>
        <w:tc>
          <w:tcPr>
            <w:tcW w:w="7655" w:type="dxa"/>
            <w:tcBorders>
              <w:top w:val="single" w:sz="4" w:space="0" w:color="auto"/>
              <w:bottom w:val="single" w:sz="4" w:space="0" w:color="auto"/>
            </w:tcBorders>
            <w:shd w:val="clear" w:color="auto" w:fill="auto"/>
          </w:tcPr>
          <w:p w:rsidR="00853A74" w:rsidRPr="00A125BF" w:rsidRDefault="00853A74" w:rsidP="00A125BF">
            <w:pPr>
              <w:pStyle w:val="TableText"/>
              <w:rPr>
                <w:b/>
              </w:rPr>
            </w:pPr>
            <w:r w:rsidRPr="00A125BF">
              <w:rPr>
                <w:b/>
              </w:rPr>
              <w:t>Recommendation/conclusion</w:t>
            </w:r>
          </w:p>
        </w:tc>
      </w:tr>
      <w:tr w:rsidR="00853A74" w:rsidRPr="00E07B1B" w:rsidTr="00A125BF">
        <w:trPr>
          <w:cantSplit/>
        </w:trPr>
        <w:tc>
          <w:tcPr>
            <w:tcW w:w="3119" w:type="dxa"/>
            <w:tcBorders>
              <w:top w:val="single" w:sz="4" w:space="0" w:color="auto"/>
              <w:bottom w:val="nil"/>
            </w:tcBorders>
            <w:shd w:val="clear" w:color="auto" w:fill="F2F2F2" w:themeFill="background1" w:themeFillShade="F2"/>
          </w:tcPr>
          <w:p w:rsidR="00853A74" w:rsidRPr="00E07B1B" w:rsidRDefault="00853A74" w:rsidP="00A125BF">
            <w:pPr>
              <w:pStyle w:val="TableText"/>
              <w:ind w:right="142"/>
            </w:pPr>
            <w:r w:rsidRPr="00E07B1B">
              <w:t>Health Service Executive</w:t>
            </w:r>
            <w:r>
              <w:t>, Ireland</w:t>
            </w:r>
            <w:r w:rsidR="00A125BF">
              <w:t xml:space="preserve"> </w:t>
            </w:r>
            <w:r w:rsidRPr="00E07B1B">
              <w:t>(2010)</w:t>
            </w:r>
          </w:p>
        </w:tc>
        <w:tc>
          <w:tcPr>
            <w:tcW w:w="3827" w:type="dxa"/>
            <w:tcBorders>
              <w:top w:val="single" w:sz="4" w:space="0" w:color="auto"/>
              <w:bottom w:val="nil"/>
            </w:tcBorders>
            <w:shd w:val="clear" w:color="auto" w:fill="F2F2F2" w:themeFill="background1" w:themeFillShade="F2"/>
          </w:tcPr>
          <w:p w:rsidR="00853A74" w:rsidRPr="00E07B1B" w:rsidRDefault="00853A74" w:rsidP="00A125BF">
            <w:pPr>
              <w:pStyle w:val="TableText"/>
              <w:ind w:right="142"/>
            </w:pPr>
            <w:r>
              <w:t>One</w:t>
            </w:r>
            <w:r w:rsidRPr="00E07B1B">
              <w:t xml:space="preserve"> randomised controlled trial</w:t>
            </w:r>
          </w:p>
          <w:p w:rsidR="00853A74" w:rsidRPr="00E07B1B" w:rsidRDefault="00853A74" w:rsidP="00A125BF">
            <w:pPr>
              <w:pStyle w:val="TableText"/>
              <w:ind w:right="142"/>
            </w:pPr>
            <w:r>
              <w:t>Fif</w:t>
            </w:r>
            <w:r w:rsidRPr="001C1A6B">
              <w:t>th</w:t>
            </w:r>
            <w:r w:rsidRPr="00E07B1B">
              <w:t xml:space="preserve"> International Workshop</w:t>
            </w:r>
            <w:r>
              <w:t>–</w:t>
            </w:r>
            <w:r w:rsidRPr="00E07B1B">
              <w:t xml:space="preserve">Conference on Gestational Diabetes </w:t>
            </w:r>
            <w:r>
              <w:t>Mellitus</w:t>
            </w:r>
          </w:p>
        </w:tc>
        <w:tc>
          <w:tcPr>
            <w:tcW w:w="7655" w:type="dxa"/>
            <w:tcBorders>
              <w:top w:val="single" w:sz="4" w:space="0" w:color="auto"/>
              <w:bottom w:val="nil"/>
            </w:tcBorders>
            <w:shd w:val="clear" w:color="auto" w:fill="F2F2F2" w:themeFill="background1" w:themeFillShade="F2"/>
          </w:tcPr>
          <w:p w:rsidR="00853A74" w:rsidRDefault="00853A74" w:rsidP="00A125BF">
            <w:pPr>
              <w:pStyle w:val="TableText"/>
            </w:pPr>
            <w:r w:rsidRPr="00E07B1B">
              <w:t>Where there had been excellent glycaemic control</w:t>
            </w:r>
            <w:r>
              <w:t xml:space="preserve"> and</w:t>
            </w:r>
            <w:r w:rsidRPr="00E07B1B">
              <w:t xml:space="preserve"> adherence to therapy</w:t>
            </w:r>
            <w:r>
              <w:t>,</w:t>
            </w:r>
            <w:r w:rsidRPr="00E07B1B">
              <w:t xml:space="preserve"> and in the absence of maternal and fetal compromise, women with gestational diabetes could be allowed to wait for spontaneous labour up to 39</w:t>
            </w:r>
            <w:r>
              <w:t>–</w:t>
            </w:r>
            <w:r w:rsidRPr="00E07B1B">
              <w:t>40 weeks</w:t>
            </w:r>
            <w:r>
              <w:t>’</w:t>
            </w:r>
            <w:r w:rsidRPr="00E07B1B">
              <w:t xml:space="preserve"> gestation</w:t>
            </w:r>
            <w:r>
              <w:t>.</w:t>
            </w:r>
          </w:p>
          <w:p w:rsidR="00853A74" w:rsidRPr="00E07B1B" w:rsidRDefault="00853A74" w:rsidP="00A125BF">
            <w:pPr>
              <w:pStyle w:val="TableText"/>
            </w:pPr>
            <w:r w:rsidRPr="00E07B1B">
              <w:t>Fetal surveillance should increase if the pregnancy is allowed to continue beyond 40</w:t>
            </w:r>
            <w:r w:rsidR="00A125BF">
              <w:t> </w:t>
            </w:r>
            <w:r w:rsidRPr="00E07B1B">
              <w:t>weeks</w:t>
            </w:r>
            <w:r>
              <w:t>.</w:t>
            </w:r>
          </w:p>
        </w:tc>
      </w:tr>
      <w:tr w:rsidR="00853A74" w:rsidRPr="00E07B1B" w:rsidTr="00A125BF">
        <w:trPr>
          <w:cantSplit/>
        </w:trPr>
        <w:tc>
          <w:tcPr>
            <w:tcW w:w="3119" w:type="dxa"/>
            <w:tcBorders>
              <w:top w:val="nil"/>
              <w:bottom w:val="nil"/>
            </w:tcBorders>
            <w:shd w:val="clear" w:color="auto" w:fill="auto"/>
          </w:tcPr>
          <w:p w:rsidR="00853A74" w:rsidRPr="00E07B1B" w:rsidRDefault="00853A74" w:rsidP="00A125BF">
            <w:pPr>
              <w:pStyle w:val="TableText"/>
              <w:ind w:right="142"/>
            </w:pPr>
            <w:r w:rsidRPr="00E07B1B">
              <w:t>Scottish Intercollegiate Guidelines Network</w:t>
            </w:r>
            <w:r w:rsidR="00A125BF">
              <w:br/>
            </w:r>
            <w:r w:rsidRPr="00E07B1B">
              <w:t>(SIGN 2010)</w:t>
            </w:r>
          </w:p>
        </w:tc>
        <w:tc>
          <w:tcPr>
            <w:tcW w:w="3827" w:type="dxa"/>
            <w:tcBorders>
              <w:top w:val="nil"/>
              <w:bottom w:val="nil"/>
            </w:tcBorders>
            <w:shd w:val="clear" w:color="auto" w:fill="auto"/>
          </w:tcPr>
          <w:p w:rsidR="00853A74" w:rsidRPr="00E07B1B" w:rsidRDefault="00853A74" w:rsidP="00A125BF">
            <w:pPr>
              <w:pStyle w:val="TableText"/>
              <w:ind w:right="142"/>
            </w:pPr>
            <w:r>
              <w:t>One</w:t>
            </w:r>
            <w:r w:rsidRPr="00E07B1B">
              <w:t xml:space="preserve"> randomised controlled trial</w:t>
            </w:r>
          </w:p>
        </w:tc>
        <w:tc>
          <w:tcPr>
            <w:tcW w:w="7655" w:type="dxa"/>
            <w:tcBorders>
              <w:top w:val="nil"/>
              <w:bottom w:val="nil"/>
            </w:tcBorders>
            <w:shd w:val="clear" w:color="auto" w:fill="auto"/>
          </w:tcPr>
          <w:p w:rsidR="00853A74" w:rsidRPr="00E07B1B" w:rsidRDefault="00853A74" w:rsidP="00A125BF">
            <w:pPr>
              <w:pStyle w:val="TableText"/>
            </w:pPr>
            <w:r w:rsidRPr="00E07B1B">
              <w:t>Women who require pharmacotherapy but are otherwise progressing normally should be assessed at 38 weeks</w:t>
            </w:r>
            <w:r>
              <w:t>’</w:t>
            </w:r>
            <w:r w:rsidRPr="00E07B1B">
              <w:t xml:space="preserve"> gestation and delivered shortly thereafter and certainly before 40 weeks (</w:t>
            </w:r>
            <w:r>
              <w:t>g</w:t>
            </w:r>
            <w:r w:rsidRPr="00E07B1B">
              <w:t>ood practice point)</w:t>
            </w:r>
            <w:r>
              <w:t>.</w:t>
            </w:r>
          </w:p>
        </w:tc>
      </w:tr>
      <w:tr w:rsidR="00853A74" w:rsidRPr="00E07B1B" w:rsidTr="00A125BF">
        <w:trPr>
          <w:cantSplit/>
        </w:trPr>
        <w:tc>
          <w:tcPr>
            <w:tcW w:w="3119" w:type="dxa"/>
            <w:tcBorders>
              <w:top w:val="nil"/>
              <w:bottom w:val="nil"/>
            </w:tcBorders>
            <w:shd w:val="clear" w:color="auto" w:fill="F2F2F2" w:themeFill="background1" w:themeFillShade="F2"/>
          </w:tcPr>
          <w:p w:rsidR="00853A74" w:rsidRPr="00E07B1B" w:rsidRDefault="00853A74" w:rsidP="00A125BF">
            <w:pPr>
              <w:pStyle w:val="TableText"/>
              <w:ind w:right="142"/>
            </w:pPr>
            <w:r w:rsidRPr="00E07B1B">
              <w:t>World Health Organization</w:t>
            </w:r>
            <w:r w:rsidR="00A125BF">
              <w:br/>
            </w:r>
            <w:r w:rsidRPr="00E07B1B">
              <w:t>(WHO 2011)</w:t>
            </w:r>
          </w:p>
        </w:tc>
        <w:tc>
          <w:tcPr>
            <w:tcW w:w="3827" w:type="dxa"/>
            <w:tcBorders>
              <w:top w:val="nil"/>
              <w:bottom w:val="nil"/>
            </w:tcBorders>
            <w:shd w:val="clear" w:color="auto" w:fill="F2F2F2" w:themeFill="background1" w:themeFillShade="F2"/>
          </w:tcPr>
          <w:p w:rsidR="00853A74" w:rsidRPr="00E07B1B" w:rsidRDefault="00853A74" w:rsidP="00A125BF">
            <w:pPr>
              <w:pStyle w:val="TableText"/>
              <w:ind w:right="142"/>
            </w:pPr>
            <w:r>
              <w:t>One</w:t>
            </w:r>
            <w:r w:rsidRPr="00E07B1B">
              <w:t xml:space="preserve"> randomised controlled trial</w:t>
            </w:r>
          </w:p>
        </w:tc>
        <w:tc>
          <w:tcPr>
            <w:tcW w:w="7655" w:type="dxa"/>
            <w:tcBorders>
              <w:top w:val="nil"/>
              <w:bottom w:val="nil"/>
            </w:tcBorders>
            <w:shd w:val="clear" w:color="auto" w:fill="F2F2F2" w:themeFill="background1" w:themeFillShade="F2"/>
          </w:tcPr>
          <w:p w:rsidR="00853A74" w:rsidRPr="00E07B1B" w:rsidRDefault="00853A74" w:rsidP="00A125BF">
            <w:pPr>
              <w:pStyle w:val="TableText"/>
            </w:pPr>
            <w:r>
              <w:t>‘I</w:t>
            </w:r>
            <w:r w:rsidRPr="00E07B1B">
              <w:t>f gestational diabetes is the only abnormality, induction of labour before 41</w:t>
            </w:r>
            <w:r w:rsidR="00A125BF">
              <w:t> </w:t>
            </w:r>
            <w:r w:rsidRPr="00E07B1B">
              <w:t>weeks of gestation is not recommended</w:t>
            </w:r>
            <w:r w:rsidR="00A125BF">
              <w:t>.</w:t>
            </w:r>
            <w:r>
              <w:t>’</w:t>
            </w:r>
            <w:r w:rsidRPr="00E07B1B">
              <w:t xml:space="preserve"> However, induction of labour may be required in some women with diabetes such as those with placental insufficiency or uncontrolled diabetes</w:t>
            </w:r>
            <w:r>
              <w:t>.</w:t>
            </w:r>
          </w:p>
        </w:tc>
      </w:tr>
      <w:tr w:rsidR="00853A74" w:rsidRPr="00E07B1B" w:rsidTr="00A125BF">
        <w:trPr>
          <w:cantSplit/>
        </w:trPr>
        <w:tc>
          <w:tcPr>
            <w:tcW w:w="3119" w:type="dxa"/>
            <w:tcBorders>
              <w:top w:val="nil"/>
              <w:bottom w:val="nil"/>
            </w:tcBorders>
            <w:shd w:val="clear" w:color="auto" w:fill="auto"/>
          </w:tcPr>
          <w:p w:rsidR="00853A74" w:rsidRPr="00E07B1B" w:rsidRDefault="00853A74" w:rsidP="00A125BF">
            <w:pPr>
              <w:pStyle w:val="TableText"/>
              <w:ind w:right="142"/>
            </w:pPr>
            <w:r w:rsidRPr="00E07B1B">
              <w:t xml:space="preserve">National Institute </w:t>
            </w:r>
            <w:r>
              <w:t>for</w:t>
            </w:r>
            <w:r w:rsidRPr="00E07B1B">
              <w:t xml:space="preserve"> Health and </w:t>
            </w:r>
            <w:r>
              <w:rPr>
                <w:szCs w:val="24"/>
              </w:rPr>
              <w:t>Care</w:t>
            </w:r>
            <w:r w:rsidRPr="00E07B1B">
              <w:rPr>
                <w:szCs w:val="24"/>
              </w:rPr>
              <w:t xml:space="preserve"> </w:t>
            </w:r>
            <w:r w:rsidRPr="00E07B1B">
              <w:t>Excellence</w:t>
            </w:r>
            <w:r w:rsidR="00A125BF">
              <w:br/>
            </w:r>
            <w:r w:rsidRPr="00E07B1B">
              <w:t>(</w:t>
            </w:r>
            <w:r>
              <w:t xml:space="preserve">NICE </w:t>
            </w:r>
            <w:r w:rsidRPr="00E07B1B">
              <w:t>2008)</w:t>
            </w:r>
          </w:p>
        </w:tc>
        <w:tc>
          <w:tcPr>
            <w:tcW w:w="3827" w:type="dxa"/>
            <w:tcBorders>
              <w:top w:val="nil"/>
              <w:bottom w:val="nil"/>
            </w:tcBorders>
            <w:shd w:val="clear" w:color="auto" w:fill="auto"/>
          </w:tcPr>
          <w:p w:rsidR="00853A74" w:rsidRPr="00E07B1B" w:rsidRDefault="00853A74" w:rsidP="00A125BF">
            <w:pPr>
              <w:pStyle w:val="TableText"/>
              <w:ind w:right="142"/>
            </w:pPr>
            <w:r>
              <w:t>One</w:t>
            </w:r>
            <w:r w:rsidRPr="00E07B1B">
              <w:t xml:space="preserve"> observational study</w:t>
            </w:r>
          </w:p>
          <w:p w:rsidR="00853A74" w:rsidRPr="00E07B1B" w:rsidRDefault="00853A74" w:rsidP="00A125BF">
            <w:pPr>
              <w:pStyle w:val="TableText"/>
              <w:ind w:right="142"/>
            </w:pPr>
            <w:r>
              <w:t>One</w:t>
            </w:r>
            <w:r w:rsidRPr="00E07B1B">
              <w:t xml:space="preserve"> case control study</w:t>
            </w:r>
          </w:p>
        </w:tc>
        <w:tc>
          <w:tcPr>
            <w:tcW w:w="7655" w:type="dxa"/>
            <w:tcBorders>
              <w:top w:val="nil"/>
              <w:bottom w:val="nil"/>
            </w:tcBorders>
            <w:shd w:val="clear" w:color="auto" w:fill="auto"/>
          </w:tcPr>
          <w:p w:rsidR="00853A74" w:rsidRPr="00E07B1B" w:rsidRDefault="00853A74" w:rsidP="00A125BF">
            <w:pPr>
              <w:pStyle w:val="TableText"/>
            </w:pPr>
            <w:r w:rsidRPr="00E07B1B">
              <w:t>Routine induction of labour at 38</w:t>
            </w:r>
            <w:r>
              <w:t>–</w:t>
            </w:r>
            <w:r w:rsidRPr="00E07B1B">
              <w:t>39 weeks</w:t>
            </w:r>
            <w:r>
              <w:t>’</w:t>
            </w:r>
            <w:r w:rsidRPr="00E07B1B">
              <w:t xml:space="preserve"> gestation reduced the risk of stillbirth and shoulder dystocia in women with diabetes without increasing the caesarean section rate</w:t>
            </w:r>
            <w:r>
              <w:t>.</w:t>
            </w:r>
          </w:p>
        </w:tc>
      </w:tr>
      <w:tr w:rsidR="00853A74" w:rsidRPr="00E07B1B" w:rsidTr="00A125BF">
        <w:trPr>
          <w:cantSplit/>
        </w:trPr>
        <w:tc>
          <w:tcPr>
            <w:tcW w:w="3119" w:type="dxa"/>
            <w:tcBorders>
              <w:top w:val="nil"/>
              <w:bottom w:val="nil"/>
            </w:tcBorders>
            <w:shd w:val="clear" w:color="auto" w:fill="F2F2F2" w:themeFill="background1" w:themeFillShade="F2"/>
          </w:tcPr>
          <w:p w:rsidR="00853A74" w:rsidRPr="00E07B1B" w:rsidRDefault="00853A74" w:rsidP="00A125BF">
            <w:pPr>
              <w:pStyle w:val="TableText"/>
              <w:ind w:right="142"/>
            </w:pPr>
            <w:r w:rsidRPr="00E07B1B">
              <w:t>Agency for Healthcare Research and Quality g</w:t>
            </w:r>
            <w:r w:rsidR="00A125BF">
              <w:t>uideline</w:t>
            </w:r>
            <w:r w:rsidR="00A125BF">
              <w:br/>
              <w:t>(Nicholson 2008)</w:t>
            </w:r>
          </w:p>
        </w:tc>
        <w:tc>
          <w:tcPr>
            <w:tcW w:w="3827" w:type="dxa"/>
            <w:tcBorders>
              <w:top w:val="nil"/>
              <w:bottom w:val="nil"/>
            </w:tcBorders>
            <w:shd w:val="clear" w:color="auto" w:fill="F2F2F2" w:themeFill="background1" w:themeFillShade="F2"/>
          </w:tcPr>
          <w:p w:rsidR="00853A74" w:rsidRPr="00E07B1B" w:rsidRDefault="00853A74" w:rsidP="00A125BF">
            <w:pPr>
              <w:pStyle w:val="TableText"/>
              <w:ind w:right="142"/>
            </w:pPr>
            <w:r>
              <w:t>Two</w:t>
            </w:r>
            <w:r w:rsidRPr="00E07B1B">
              <w:t xml:space="preserve"> observational studies</w:t>
            </w:r>
          </w:p>
        </w:tc>
        <w:tc>
          <w:tcPr>
            <w:tcW w:w="7655" w:type="dxa"/>
            <w:tcBorders>
              <w:top w:val="nil"/>
              <w:bottom w:val="nil"/>
            </w:tcBorders>
            <w:shd w:val="clear" w:color="auto" w:fill="F2F2F2" w:themeFill="background1" w:themeFillShade="F2"/>
          </w:tcPr>
          <w:p w:rsidR="00853A74" w:rsidRPr="00E07B1B" w:rsidRDefault="00853A74" w:rsidP="00A125BF">
            <w:pPr>
              <w:pStyle w:val="TableText"/>
            </w:pPr>
            <w:r w:rsidRPr="00E07B1B">
              <w:t>No differences in neonatal outcomes for ≥</w:t>
            </w:r>
            <w:r>
              <w:t xml:space="preserve"> </w:t>
            </w:r>
            <w:r w:rsidRPr="00E07B1B">
              <w:t>40 weeks versus 40</w:t>
            </w:r>
            <w:r>
              <w:t> </w:t>
            </w:r>
            <w:r w:rsidRPr="00E07B1B">
              <w:t>weeks</w:t>
            </w:r>
            <w:r>
              <w:t>.</w:t>
            </w:r>
          </w:p>
        </w:tc>
      </w:tr>
      <w:tr w:rsidR="00853A74" w:rsidRPr="00E07B1B" w:rsidTr="00A125BF">
        <w:trPr>
          <w:cantSplit/>
        </w:trPr>
        <w:tc>
          <w:tcPr>
            <w:tcW w:w="3119" w:type="dxa"/>
            <w:tcBorders>
              <w:top w:val="nil"/>
              <w:bottom w:val="nil"/>
            </w:tcBorders>
            <w:shd w:val="clear" w:color="auto" w:fill="auto"/>
          </w:tcPr>
          <w:p w:rsidR="00853A74" w:rsidRPr="00E07B1B" w:rsidRDefault="00853A74" w:rsidP="00A125BF">
            <w:pPr>
              <w:pStyle w:val="TableText"/>
              <w:ind w:right="142"/>
            </w:pPr>
            <w:r w:rsidRPr="00E07B1B">
              <w:t>Witkop</w:t>
            </w:r>
            <w:r w:rsidR="00A125BF">
              <w:br/>
            </w:r>
            <w:r w:rsidRPr="00E07B1B">
              <w:t>(2009)</w:t>
            </w:r>
          </w:p>
        </w:tc>
        <w:tc>
          <w:tcPr>
            <w:tcW w:w="3827" w:type="dxa"/>
            <w:tcBorders>
              <w:top w:val="nil"/>
              <w:bottom w:val="nil"/>
            </w:tcBorders>
            <w:shd w:val="clear" w:color="auto" w:fill="auto"/>
          </w:tcPr>
          <w:p w:rsidR="00853A74" w:rsidRPr="00E07B1B" w:rsidRDefault="00853A74" w:rsidP="00A125BF">
            <w:pPr>
              <w:pStyle w:val="TableText"/>
              <w:ind w:right="142"/>
            </w:pPr>
            <w:r>
              <w:t>Three</w:t>
            </w:r>
            <w:r w:rsidRPr="00E07B1B">
              <w:t xml:space="preserve"> observational studies (including the </w:t>
            </w:r>
            <w:r>
              <w:t>two</w:t>
            </w:r>
            <w:r w:rsidRPr="00E07B1B">
              <w:t xml:space="preserve"> from the Agency for Healthcare Research and Quality guideline (2009)</w:t>
            </w:r>
            <w:r>
              <w:t>)</w:t>
            </w:r>
          </w:p>
        </w:tc>
        <w:tc>
          <w:tcPr>
            <w:tcW w:w="7655" w:type="dxa"/>
            <w:tcBorders>
              <w:top w:val="nil"/>
              <w:bottom w:val="nil"/>
            </w:tcBorders>
            <w:shd w:val="clear" w:color="auto" w:fill="auto"/>
          </w:tcPr>
          <w:p w:rsidR="00853A74" w:rsidRPr="00E07B1B" w:rsidRDefault="00853A74" w:rsidP="00A125BF">
            <w:pPr>
              <w:pStyle w:val="TableText"/>
            </w:pPr>
            <w:r w:rsidRPr="00E07B1B">
              <w:t>Unclear</w:t>
            </w:r>
            <w:r>
              <w:t>.</w:t>
            </w:r>
          </w:p>
        </w:tc>
      </w:tr>
      <w:tr w:rsidR="00853A74" w:rsidRPr="00E07B1B" w:rsidTr="00A125BF">
        <w:trPr>
          <w:cantSplit/>
        </w:trPr>
        <w:tc>
          <w:tcPr>
            <w:tcW w:w="3119" w:type="dxa"/>
            <w:tcBorders>
              <w:top w:val="nil"/>
              <w:bottom w:val="nil"/>
            </w:tcBorders>
            <w:shd w:val="clear" w:color="auto" w:fill="F2F2F2" w:themeFill="background1" w:themeFillShade="F2"/>
          </w:tcPr>
          <w:p w:rsidR="00853A74" w:rsidRPr="00E07B1B" w:rsidRDefault="00853A74" w:rsidP="00A125BF">
            <w:pPr>
              <w:pStyle w:val="TableText"/>
              <w:ind w:right="142"/>
            </w:pPr>
            <w:r w:rsidRPr="00E07B1B">
              <w:t xml:space="preserve">American College of Obstetricians and Gynecologists </w:t>
            </w:r>
            <w:r>
              <w:t>(</w:t>
            </w:r>
            <w:r w:rsidRPr="00E07B1B">
              <w:t>2001</w:t>
            </w:r>
            <w:r>
              <w:t>)</w:t>
            </w:r>
          </w:p>
        </w:tc>
        <w:tc>
          <w:tcPr>
            <w:tcW w:w="3827" w:type="dxa"/>
            <w:tcBorders>
              <w:top w:val="nil"/>
              <w:bottom w:val="nil"/>
            </w:tcBorders>
            <w:shd w:val="clear" w:color="auto" w:fill="F2F2F2" w:themeFill="background1" w:themeFillShade="F2"/>
          </w:tcPr>
          <w:p w:rsidR="00853A74" w:rsidRPr="00E07B1B" w:rsidRDefault="00853A74" w:rsidP="00A125BF">
            <w:pPr>
              <w:pStyle w:val="TableText"/>
              <w:ind w:right="142"/>
            </w:pPr>
            <w:r w:rsidRPr="00E07B1B">
              <w:t>Unclear</w:t>
            </w:r>
          </w:p>
        </w:tc>
        <w:tc>
          <w:tcPr>
            <w:tcW w:w="7655" w:type="dxa"/>
            <w:tcBorders>
              <w:top w:val="nil"/>
              <w:bottom w:val="nil"/>
            </w:tcBorders>
            <w:shd w:val="clear" w:color="auto" w:fill="F2F2F2" w:themeFill="background1" w:themeFillShade="F2"/>
          </w:tcPr>
          <w:p w:rsidR="00853A74" w:rsidRPr="00E07B1B" w:rsidRDefault="00853A74" w:rsidP="00A125BF">
            <w:pPr>
              <w:pStyle w:val="TableText"/>
            </w:pPr>
            <w:r>
              <w:t>‘W</w:t>
            </w:r>
            <w:r w:rsidRPr="00E07B1B">
              <w:t>hen glucose control is good and no other complications supervene, there is no good evidence to support routine delivery before 40 weeks of gestation</w:t>
            </w:r>
            <w:r>
              <w:t>.’</w:t>
            </w:r>
          </w:p>
        </w:tc>
      </w:tr>
      <w:tr w:rsidR="00853A74" w:rsidRPr="00E07B1B" w:rsidTr="00A125BF">
        <w:trPr>
          <w:cantSplit/>
        </w:trPr>
        <w:tc>
          <w:tcPr>
            <w:tcW w:w="3119" w:type="dxa"/>
            <w:tcBorders>
              <w:top w:val="nil"/>
              <w:bottom w:val="nil"/>
            </w:tcBorders>
            <w:shd w:val="clear" w:color="auto" w:fill="auto"/>
          </w:tcPr>
          <w:p w:rsidR="00853A74" w:rsidRPr="00E07B1B" w:rsidRDefault="00853A74" w:rsidP="00A125BF">
            <w:pPr>
              <w:pStyle w:val="TableText"/>
              <w:ind w:right="142"/>
            </w:pPr>
            <w:r w:rsidRPr="00E07B1B">
              <w:t>American Diabetes Association</w:t>
            </w:r>
            <w:r w:rsidR="00A125BF">
              <w:br/>
            </w:r>
            <w:r w:rsidRPr="00E07B1B">
              <w:t>(2004)</w:t>
            </w:r>
          </w:p>
        </w:tc>
        <w:tc>
          <w:tcPr>
            <w:tcW w:w="3827" w:type="dxa"/>
            <w:tcBorders>
              <w:top w:val="nil"/>
              <w:bottom w:val="nil"/>
            </w:tcBorders>
            <w:shd w:val="clear" w:color="auto" w:fill="auto"/>
          </w:tcPr>
          <w:p w:rsidR="00853A74" w:rsidRPr="00E07B1B" w:rsidRDefault="00853A74" w:rsidP="00A125BF">
            <w:pPr>
              <w:pStyle w:val="TableText"/>
              <w:ind w:right="142"/>
            </w:pPr>
            <w:r w:rsidRPr="00E07B1B">
              <w:t>Unclear</w:t>
            </w:r>
          </w:p>
        </w:tc>
        <w:tc>
          <w:tcPr>
            <w:tcW w:w="7655" w:type="dxa"/>
            <w:tcBorders>
              <w:top w:val="nil"/>
              <w:bottom w:val="nil"/>
            </w:tcBorders>
            <w:shd w:val="clear" w:color="auto" w:fill="auto"/>
          </w:tcPr>
          <w:p w:rsidR="00853A74" w:rsidRPr="00E07B1B" w:rsidRDefault="00853A74" w:rsidP="00A125BF">
            <w:pPr>
              <w:pStyle w:val="TableText"/>
            </w:pPr>
            <w:r>
              <w:t>‘</w:t>
            </w:r>
            <w:r w:rsidRPr="00E07B1B">
              <w:t xml:space="preserve">Gestational diabetes is not </w:t>
            </w:r>
            <w:r>
              <w:t>of</w:t>
            </w:r>
            <w:r w:rsidRPr="00E07B1B">
              <w:t xml:space="preserve"> itself an indication for caesarean delivery or for delivery before 38 completed weeks of gestation. Prolongation of gestation past 38</w:t>
            </w:r>
            <w:r w:rsidR="00A125BF">
              <w:t> </w:t>
            </w:r>
            <w:r w:rsidRPr="00E07B1B">
              <w:t>weeks increases the risk of fetal macrosomia without reducing caesarean rates so that delivery during the 38</w:t>
            </w:r>
            <w:r w:rsidRPr="00B226A6">
              <w:t>th</w:t>
            </w:r>
            <w:r w:rsidRPr="00E07B1B">
              <w:t xml:space="preserve"> week is recommended</w:t>
            </w:r>
            <w:r>
              <w:t xml:space="preserve"> unless obstetric considerations dictate otherwise</w:t>
            </w:r>
            <w:r w:rsidRPr="00E07B1B">
              <w:t>.</w:t>
            </w:r>
            <w:r>
              <w:t>’</w:t>
            </w:r>
          </w:p>
        </w:tc>
      </w:tr>
      <w:tr w:rsidR="00853A74" w:rsidRPr="00E07B1B" w:rsidTr="00A125BF">
        <w:trPr>
          <w:cantSplit/>
        </w:trPr>
        <w:tc>
          <w:tcPr>
            <w:tcW w:w="3119" w:type="dxa"/>
            <w:tcBorders>
              <w:top w:val="nil"/>
              <w:bottom w:val="single" w:sz="4" w:space="0" w:color="auto"/>
            </w:tcBorders>
            <w:shd w:val="clear" w:color="auto" w:fill="F2F2F2" w:themeFill="background1" w:themeFillShade="F2"/>
          </w:tcPr>
          <w:p w:rsidR="00853A74" w:rsidRPr="00E07B1B" w:rsidRDefault="00853A74" w:rsidP="00A125BF">
            <w:pPr>
              <w:pStyle w:val="TableText"/>
              <w:ind w:right="142"/>
            </w:pPr>
            <w:r>
              <w:t>Fif</w:t>
            </w:r>
            <w:r w:rsidRPr="00B226A6">
              <w:t>th</w:t>
            </w:r>
            <w:r w:rsidRPr="00E07B1B">
              <w:t xml:space="preserve"> International Workshop</w:t>
            </w:r>
            <w:r>
              <w:t>–</w:t>
            </w:r>
            <w:r w:rsidRPr="00E07B1B">
              <w:t xml:space="preserve">Conference on </w:t>
            </w:r>
            <w:r>
              <w:t>G</w:t>
            </w:r>
            <w:r w:rsidRPr="00E07B1B">
              <w:t xml:space="preserve">estational </w:t>
            </w:r>
            <w:r>
              <w:t>D</w:t>
            </w:r>
            <w:r w:rsidRPr="00E07B1B">
              <w:t>iabetes</w:t>
            </w:r>
            <w:r>
              <w:t xml:space="preserve"> Mellitus</w:t>
            </w:r>
            <w:r w:rsidR="00A125BF">
              <w:br/>
            </w:r>
            <w:r w:rsidRPr="00E07B1B">
              <w:t>(Metzger 2007</w:t>
            </w:r>
            <w:r>
              <w:t>)</w:t>
            </w:r>
          </w:p>
        </w:tc>
        <w:tc>
          <w:tcPr>
            <w:tcW w:w="3827" w:type="dxa"/>
            <w:tcBorders>
              <w:top w:val="nil"/>
              <w:bottom w:val="single" w:sz="4" w:space="0" w:color="auto"/>
            </w:tcBorders>
            <w:shd w:val="clear" w:color="auto" w:fill="F2F2F2" w:themeFill="background1" w:themeFillShade="F2"/>
          </w:tcPr>
          <w:p w:rsidR="00853A74" w:rsidRPr="00E07B1B" w:rsidRDefault="00853A74" w:rsidP="00A125BF">
            <w:pPr>
              <w:pStyle w:val="TableText"/>
              <w:ind w:right="142"/>
            </w:pPr>
            <w:r w:rsidRPr="00E07B1B">
              <w:t>Unclear</w:t>
            </w:r>
          </w:p>
        </w:tc>
        <w:tc>
          <w:tcPr>
            <w:tcW w:w="7655" w:type="dxa"/>
            <w:tcBorders>
              <w:top w:val="nil"/>
              <w:bottom w:val="single" w:sz="4" w:space="0" w:color="auto"/>
            </w:tcBorders>
            <w:shd w:val="clear" w:color="auto" w:fill="F2F2F2" w:themeFill="background1" w:themeFillShade="F2"/>
          </w:tcPr>
          <w:p w:rsidR="00853A74" w:rsidRDefault="00853A74" w:rsidP="00A125BF">
            <w:pPr>
              <w:pStyle w:val="TableText"/>
            </w:pPr>
            <w:r w:rsidRPr="00E07B1B">
              <w:t>No data to support delivery in women with gestational diabetes prior to 38 weeks in the absence of clinical evidence of fetal or maternal compromise</w:t>
            </w:r>
            <w:r>
              <w:t>.</w:t>
            </w:r>
          </w:p>
          <w:p w:rsidR="00853A74" w:rsidRPr="00E07B1B" w:rsidRDefault="00853A74" w:rsidP="00A125BF">
            <w:pPr>
              <w:pStyle w:val="TableText"/>
            </w:pPr>
            <w:r w:rsidRPr="00E07B1B">
              <w:t>No data to indicate if there was an increased risk of perinatal morbidity or mortality in infants whose mothers had well-controlled gestational diabetes and whose pregnancy was allowed to continue beyond 40 weeks</w:t>
            </w:r>
            <w:r>
              <w:t>’</w:t>
            </w:r>
            <w:r w:rsidRPr="00E07B1B">
              <w:t xml:space="preserve"> gestation. In these cases</w:t>
            </w:r>
            <w:r>
              <w:t>,</w:t>
            </w:r>
            <w:r w:rsidRPr="00E07B1B">
              <w:t xml:space="preserve"> increased fetal surveillance should be instigated</w:t>
            </w:r>
            <w:r>
              <w:t>.</w:t>
            </w:r>
          </w:p>
        </w:tc>
      </w:tr>
    </w:tbl>
    <w:p w:rsidR="00853A74" w:rsidRDefault="00853A74" w:rsidP="00853A74">
      <w:bookmarkStart w:id="570" w:name="_Toc363717841"/>
    </w:p>
    <w:p w:rsidR="00853A74" w:rsidRPr="00E07B1B" w:rsidRDefault="00853A74" w:rsidP="00853A74">
      <w:pPr>
        <w:pStyle w:val="Heading2"/>
        <w:spacing w:before="0" w:after="240"/>
        <w:ind w:left="0" w:firstLine="0"/>
      </w:pPr>
      <w:r>
        <w:br w:type="page"/>
      </w:r>
      <w:bookmarkStart w:id="571" w:name="_Toc402873644"/>
      <w:bookmarkStart w:id="572" w:name="_Toc403469705"/>
      <w:r w:rsidRPr="00E07B1B">
        <w:t>Appendix M</w:t>
      </w:r>
      <w:r>
        <w:t>: Supporting evidence for</w:t>
      </w:r>
      <w:r w:rsidRPr="00E07B1B">
        <w:t xml:space="preserve"> Chapter</w:t>
      </w:r>
      <w:r>
        <w:t> </w:t>
      </w:r>
      <w:bookmarkEnd w:id="570"/>
      <w:r w:rsidRPr="00E07B1B">
        <w:t>7</w:t>
      </w:r>
      <w:bookmarkEnd w:id="571"/>
      <w:bookmarkEnd w:id="572"/>
    </w:p>
    <w:p w:rsidR="00853A74" w:rsidRPr="00E07B1B" w:rsidRDefault="00853A74" w:rsidP="00A125BF">
      <w:pPr>
        <w:pStyle w:val="Table"/>
      </w:pPr>
      <w:bookmarkStart w:id="573" w:name="_Toc363717842"/>
      <w:bookmarkStart w:id="574" w:name="_Toc403635922"/>
      <w:r w:rsidRPr="00E07B1B">
        <w:t>Table 41</w:t>
      </w:r>
      <w:r w:rsidR="00A125BF">
        <w:t>:</w:t>
      </w:r>
      <w:r w:rsidRPr="00E07B1B">
        <w:t xml:space="preserve"> Recommendations from local </w:t>
      </w:r>
      <w:r>
        <w:t>d</w:t>
      </w:r>
      <w:r w:rsidRPr="00E07B1B">
        <w:t xml:space="preserve">istrict </w:t>
      </w:r>
      <w:r>
        <w:t>h</w:t>
      </w:r>
      <w:r w:rsidRPr="00E07B1B">
        <w:t xml:space="preserve">ealth </w:t>
      </w:r>
      <w:r>
        <w:t>b</w:t>
      </w:r>
      <w:r w:rsidRPr="00E07B1B">
        <w:t>oards for the postpartum monitoring of blood glucose levels in women diagnosed with gestational diabetes</w:t>
      </w:r>
      <w:bookmarkEnd w:id="573"/>
      <w:bookmarkEnd w:id="574"/>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2694"/>
        <w:gridCol w:w="5811"/>
        <w:gridCol w:w="6096"/>
      </w:tblGrid>
      <w:tr w:rsidR="00853A74" w:rsidRPr="00A125BF" w:rsidTr="00A125BF">
        <w:trPr>
          <w:cantSplit/>
          <w:tblHeader/>
        </w:trPr>
        <w:tc>
          <w:tcPr>
            <w:tcW w:w="2694" w:type="dxa"/>
            <w:tcBorders>
              <w:top w:val="single" w:sz="4" w:space="0" w:color="auto"/>
              <w:bottom w:val="single" w:sz="4" w:space="0" w:color="auto"/>
            </w:tcBorders>
            <w:shd w:val="clear" w:color="auto" w:fill="auto"/>
          </w:tcPr>
          <w:p w:rsidR="00853A74" w:rsidRPr="00A125BF" w:rsidRDefault="00853A74" w:rsidP="00A125BF">
            <w:pPr>
              <w:pStyle w:val="TableText"/>
              <w:ind w:right="142"/>
              <w:rPr>
                <w:b/>
              </w:rPr>
            </w:pPr>
            <w:r w:rsidRPr="00A125BF">
              <w:rPr>
                <w:b/>
              </w:rPr>
              <w:t>District health board</w:t>
            </w:r>
          </w:p>
        </w:tc>
        <w:tc>
          <w:tcPr>
            <w:tcW w:w="5811" w:type="dxa"/>
            <w:tcBorders>
              <w:top w:val="single" w:sz="4" w:space="0" w:color="auto"/>
              <w:bottom w:val="single" w:sz="4" w:space="0" w:color="auto"/>
            </w:tcBorders>
            <w:shd w:val="clear" w:color="auto" w:fill="auto"/>
          </w:tcPr>
          <w:p w:rsidR="00853A74" w:rsidRPr="00A125BF" w:rsidRDefault="00853A74" w:rsidP="00A125BF">
            <w:pPr>
              <w:pStyle w:val="TableText"/>
              <w:ind w:right="142"/>
              <w:rPr>
                <w:b/>
              </w:rPr>
            </w:pPr>
            <w:r w:rsidRPr="00A125BF">
              <w:rPr>
                <w:b/>
              </w:rPr>
              <w:t>Timing of monitoring</w:t>
            </w:r>
          </w:p>
        </w:tc>
        <w:tc>
          <w:tcPr>
            <w:tcW w:w="6096" w:type="dxa"/>
            <w:tcBorders>
              <w:top w:val="single" w:sz="4" w:space="0" w:color="auto"/>
              <w:bottom w:val="single" w:sz="4" w:space="0" w:color="auto"/>
            </w:tcBorders>
            <w:shd w:val="clear" w:color="auto" w:fill="auto"/>
          </w:tcPr>
          <w:p w:rsidR="00853A74" w:rsidRPr="00A125BF" w:rsidRDefault="00853A74" w:rsidP="00A125BF">
            <w:pPr>
              <w:pStyle w:val="TableText"/>
              <w:rPr>
                <w:b/>
              </w:rPr>
            </w:pPr>
            <w:r w:rsidRPr="00A125BF">
              <w:rPr>
                <w:b/>
              </w:rPr>
              <w:t>Threshold</w:t>
            </w:r>
          </w:p>
        </w:tc>
      </w:tr>
      <w:tr w:rsidR="00853A74" w:rsidRPr="00E07B1B" w:rsidTr="00A125BF">
        <w:trPr>
          <w:cantSplit/>
        </w:trPr>
        <w:tc>
          <w:tcPr>
            <w:tcW w:w="2694" w:type="dxa"/>
            <w:tcBorders>
              <w:top w:val="single" w:sz="4" w:space="0" w:color="auto"/>
              <w:bottom w:val="nil"/>
            </w:tcBorders>
            <w:shd w:val="clear" w:color="auto" w:fill="F2F2F2" w:themeFill="background1" w:themeFillShade="F2"/>
          </w:tcPr>
          <w:p w:rsidR="00853A74" w:rsidRPr="00E07B1B" w:rsidRDefault="00853A74" w:rsidP="00A125BF">
            <w:pPr>
              <w:pStyle w:val="TableText"/>
              <w:ind w:right="142"/>
            </w:pPr>
            <w:r w:rsidRPr="00E07B1B">
              <w:t xml:space="preserve">Southland </w:t>
            </w:r>
            <w:r>
              <w:t>H</w:t>
            </w:r>
            <w:r w:rsidRPr="00E07B1B">
              <w:t>ospital</w:t>
            </w:r>
            <w:r w:rsidR="00A125BF">
              <w:br/>
            </w:r>
            <w:r>
              <w:t>(Southern DHB)</w:t>
            </w:r>
          </w:p>
        </w:tc>
        <w:tc>
          <w:tcPr>
            <w:tcW w:w="5811" w:type="dxa"/>
            <w:tcBorders>
              <w:top w:val="single" w:sz="4" w:space="0" w:color="auto"/>
              <w:bottom w:val="nil"/>
            </w:tcBorders>
            <w:shd w:val="clear" w:color="auto" w:fill="F2F2F2" w:themeFill="background1" w:themeFillShade="F2"/>
          </w:tcPr>
          <w:p w:rsidR="00853A74" w:rsidRPr="00E07B1B" w:rsidRDefault="00853A74" w:rsidP="00A125BF">
            <w:pPr>
              <w:pStyle w:val="TableText"/>
              <w:ind w:right="142"/>
            </w:pPr>
            <w:r w:rsidRPr="00E07B1B">
              <w:t>Monitor blood sugars</w:t>
            </w:r>
            <w:r>
              <w:t xml:space="preserve"> </w:t>
            </w:r>
            <w:r w:rsidRPr="00E07B1B">
              <w:t xml:space="preserve">hourly for </w:t>
            </w:r>
            <w:r>
              <w:t>four</w:t>
            </w:r>
            <w:r w:rsidRPr="00E07B1B">
              <w:t xml:space="preserve"> hours and then </w:t>
            </w:r>
            <w:r>
              <w:t>four-</w:t>
            </w:r>
            <w:r w:rsidRPr="00E07B1B">
              <w:t>hourly until 12 hours postpartum</w:t>
            </w:r>
            <w:r>
              <w:t>.</w:t>
            </w:r>
          </w:p>
        </w:tc>
        <w:tc>
          <w:tcPr>
            <w:tcW w:w="6096" w:type="dxa"/>
            <w:tcBorders>
              <w:top w:val="single" w:sz="4" w:space="0" w:color="auto"/>
              <w:bottom w:val="nil"/>
            </w:tcBorders>
            <w:shd w:val="clear" w:color="auto" w:fill="F2F2F2" w:themeFill="background1" w:themeFillShade="F2"/>
          </w:tcPr>
          <w:p w:rsidR="00853A74" w:rsidRPr="00E07B1B" w:rsidRDefault="00853A74" w:rsidP="00A125BF">
            <w:pPr>
              <w:pStyle w:val="TableText"/>
            </w:pPr>
            <w:r w:rsidRPr="00E07B1B">
              <w:t>Not specified</w:t>
            </w:r>
            <w:r>
              <w:t>.</w:t>
            </w:r>
          </w:p>
        </w:tc>
      </w:tr>
      <w:tr w:rsidR="00853A74" w:rsidRPr="00E07B1B" w:rsidTr="00A125BF">
        <w:trPr>
          <w:cantSplit/>
        </w:trPr>
        <w:tc>
          <w:tcPr>
            <w:tcW w:w="2694" w:type="dxa"/>
            <w:tcBorders>
              <w:top w:val="nil"/>
              <w:bottom w:val="nil"/>
            </w:tcBorders>
            <w:shd w:val="clear" w:color="auto" w:fill="auto"/>
          </w:tcPr>
          <w:p w:rsidR="00853A74" w:rsidRPr="00E07B1B" w:rsidRDefault="00853A74" w:rsidP="00A125BF">
            <w:pPr>
              <w:pStyle w:val="TableText"/>
              <w:ind w:right="142"/>
            </w:pPr>
            <w:r w:rsidRPr="00E07B1B">
              <w:t>South Canterbury DHB</w:t>
            </w:r>
          </w:p>
        </w:tc>
        <w:tc>
          <w:tcPr>
            <w:tcW w:w="5811" w:type="dxa"/>
            <w:tcBorders>
              <w:top w:val="nil"/>
              <w:bottom w:val="nil"/>
            </w:tcBorders>
            <w:shd w:val="clear" w:color="auto" w:fill="auto"/>
          </w:tcPr>
          <w:p w:rsidR="00853A74" w:rsidRPr="00E07B1B" w:rsidRDefault="00853A74" w:rsidP="00A125BF">
            <w:pPr>
              <w:pStyle w:val="TableText"/>
              <w:ind w:right="142"/>
            </w:pPr>
            <w:r w:rsidRPr="00E07B1B">
              <w:t xml:space="preserve">Monitor blood sugar </w:t>
            </w:r>
            <w:r>
              <w:t>six-</w:t>
            </w:r>
            <w:r w:rsidRPr="00E07B1B">
              <w:t>hourly for 24 hours.</w:t>
            </w:r>
          </w:p>
        </w:tc>
        <w:tc>
          <w:tcPr>
            <w:tcW w:w="6096" w:type="dxa"/>
            <w:tcBorders>
              <w:top w:val="nil"/>
              <w:bottom w:val="nil"/>
            </w:tcBorders>
            <w:shd w:val="clear" w:color="auto" w:fill="auto"/>
          </w:tcPr>
          <w:p w:rsidR="00853A74" w:rsidRPr="00E07B1B" w:rsidRDefault="00853A74" w:rsidP="00A125BF">
            <w:pPr>
              <w:pStyle w:val="TableText"/>
            </w:pPr>
            <w:r w:rsidRPr="00E07B1B">
              <w:t>If normal</w:t>
            </w:r>
            <w:r>
              <w:t>,</w:t>
            </w:r>
            <w:r w:rsidRPr="00E07B1B">
              <w:t xml:space="preserve"> stop monitoring (threshold not specified)</w:t>
            </w:r>
            <w:r>
              <w:t>.</w:t>
            </w:r>
          </w:p>
        </w:tc>
      </w:tr>
      <w:tr w:rsidR="00853A74" w:rsidRPr="00E07B1B" w:rsidTr="00A125BF">
        <w:trPr>
          <w:cantSplit/>
        </w:trPr>
        <w:tc>
          <w:tcPr>
            <w:tcW w:w="2694" w:type="dxa"/>
            <w:tcBorders>
              <w:top w:val="nil"/>
              <w:bottom w:val="nil"/>
            </w:tcBorders>
            <w:shd w:val="clear" w:color="auto" w:fill="F2F2F2" w:themeFill="background1" w:themeFillShade="F2"/>
          </w:tcPr>
          <w:p w:rsidR="00853A74" w:rsidRPr="00E07B1B" w:rsidRDefault="00853A74" w:rsidP="00A125BF">
            <w:pPr>
              <w:pStyle w:val="TableText"/>
              <w:ind w:right="142"/>
            </w:pPr>
            <w:r w:rsidRPr="00E07B1B">
              <w:t>Auckland DHB</w:t>
            </w:r>
          </w:p>
        </w:tc>
        <w:tc>
          <w:tcPr>
            <w:tcW w:w="5811" w:type="dxa"/>
            <w:tcBorders>
              <w:top w:val="nil"/>
              <w:bottom w:val="nil"/>
            </w:tcBorders>
            <w:shd w:val="clear" w:color="auto" w:fill="F2F2F2" w:themeFill="background1" w:themeFillShade="F2"/>
          </w:tcPr>
          <w:p w:rsidR="00853A74" w:rsidRPr="00E07B1B" w:rsidRDefault="00853A74" w:rsidP="00A125BF">
            <w:pPr>
              <w:pStyle w:val="TableText"/>
              <w:ind w:right="142"/>
            </w:pPr>
            <w:r w:rsidRPr="00E07B1B">
              <w:t>Monitor fasting and post</w:t>
            </w:r>
            <w:r>
              <w:t>-</w:t>
            </w:r>
            <w:r w:rsidRPr="00E07B1B">
              <w:t>meal blood sugars for 24 hours after delivery</w:t>
            </w:r>
          </w:p>
        </w:tc>
        <w:tc>
          <w:tcPr>
            <w:tcW w:w="6096" w:type="dxa"/>
            <w:tcBorders>
              <w:top w:val="nil"/>
              <w:bottom w:val="nil"/>
            </w:tcBorders>
            <w:shd w:val="clear" w:color="auto" w:fill="F2F2F2" w:themeFill="background1" w:themeFillShade="F2"/>
          </w:tcPr>
          <w:p w:rsidR="00853A74" w:rsidRPr="00E07B1B" w:rsidRDefault="00853A74" w:rsidP="00A125BF">
            <w:pPr>
              <w:pStyle w:val="TableText"/>
            </w:pPr>
            <w:r w:rsidRPr="00E07B1B">
              <w:t>Not specified</w:t>
            </w:r>
            <w:r>
              <w:t>.</w:t>
            </w:r>
          </w:p>
        </w:tc>
      </w:tr>
      <w:tr w:rsidR="00853A74" w:rsidRPr="00E07B1B" w:rsidTr="00A125BF">
        <w:trPr>
          <w:cantSplit/>
        </w:trPr>
        <w:tc>
          <w:tcPr>
            <w:tcW w:w="2694" w:type="dxa"/>
            <w:tcBorders>
              <w:top w:val="nil"/>
              <w:bottom w:val="nil"/>
            </w:tcBorders>
            <w:shd w:val="clear" w:color="auto" w:fill="auto"/>
          </w:tcPr>
          <w:p w:rsidR="00853A74" w:rsidRPr="00E07B1B" w:rsidRDefault="00853A74" w:rsidP="00A125BF">
            <w:pPr>
              <w:pStyle w:val="TableText"/>
              <w:ind w:right="142"/>
            </w:pPr>
            <w:r w:rsidRPr="00E07B1B">
              <w:t>Waikato DHB</w:t>
            </w:r>
          </w:p>
        </w:tc>
        <w:tc>
          <w:tcPr>
            <w:tcW w:w="5811" w:type="dxa"/>
            <w:tcBorders>
              <w:top w:val="nil"/>
              <w:bottom w:val="nil"/>
            </w:tcBorders>
            <w:shd w:val="clear" w:color="auto" w:fill="auto"/>
          </w:tcPr>
          <w:p w:rsidR="00853A74" w:rsidRPr="00E07B1B" w:rsidRDefault="00853A74" w:rsidP="00A125BF">
            <w:pPr>
              <w:pStyle w:val="TableText"/>
              <w:ind w:right="142"/>
            </w:pPr>
            <w:r w:rsidRPr="00E07B1B">
              <w:t xml:space="preserve">Monitor blood glucose levels fasting and </w:t>
            </w:r>
            <w:r>
              <w:t>two</w:t>
            </w:r>
            <w:r w:rsidRPr="00E07B1B">
              <w:t xml:space="preserve"> hours postprandial f</w:t>
            </w:r>
            <w:r w:rsidR="00A125BF">
              <w:t>or 24 hours.</w:t>
            </w:r>
          </w:p>
        </w:tc>
        <w:tc>
          <w:tcPr>
            <w:tcW w:w="6096" w:type="dxa"/>
            <w:tcBorders>
              <w:top w:val="nil"/>
              <w:bottom w:val="nil"/>
            </w:tcBorders>
            <w:shd w:val="clear" w:color="auto" w:fill="auto"/>
          </w:tcPr>
          <w:p w:rsidR="00853A74" w:rsidRPr="00E07B1B" w:rsidRDefault="00853A74" w:rsidP="00A125BF">
            <w:pPr>
              <w:pStyle w:val="TableText"/>
            </w:pPr>
            <w:r w:rsidRPr="00E07B1B">
              <w:t>If blood glucose level &gt;</w:t>
            </w:r>
            <w:r w:rsidR="00A125BF">
              <w:t> </w:t>
            </w:r>
            <w:r w:rsidRPr="00E07B1B">
              <w:t>8.0</w:t>
            </w:r>
            <w:r w:rsidR="00A125BF">
              <w:t> </w:t>
            </w:r>
            <w:r w:rsidRPr="00E07B1B">
              <w:t xml:space="preserve">mmol/L on </w:t>
            </w:r>
            <w:r>
              <w:t>two</w:t>
            </w:r>
            <w:r w:rsidRPr="00E07B1B">
              <w:t xml:space="preserve"> consecutive occasions</w:t>
            </w:r>
            <w:r>
              <w:t>,</w:t>
            </w:r>
            <w:r w:rsidRPr="00E07B1B">
              <w:t xml:space="preserve"> then inform diabetes or medical team</w:t>
            </w:r>
            <w:r>
              <w:t>.</w:t>
            </w:r>
          </w:p>
        </w:tc>
      </w:tr>
      <w:tr w:rsidR="00853A74" w:rsidRPr="00E07B1B" w:rsidTr="00A125BF">
        <w:trPr>
          <w:cantSplit/>
        </w:trPr>
        <w:tc>
          <w:tcPr>
            <w:tcW w:w="2694" w:type="dxa"/>
            <w:tcBorders>
              <w:top w:val="nil"/>
              <w:bottom w:val="nil"/>
            </w:tcBorders>
            <w:shd w:val="clear" w:color="auto" w:fill="F2F2F2" w:themeFill="background1" w:themeFillShade="F2"/>
          </w:tcPr>
          <w:p w:rsidR="00853A74" w:rsidRPr="00E07B1B" w:rsidRDefault="00853A74" w:rsidP="00A125BF">
            <w:pPr>
              <w:pStyle w:val="TableText"/>
              <w:ind w:right="142"/>
            </w:pPr>
            <w:r w:rsidRPr="00E07B1B">
              <w:t>Canterbury</w:t>
            </w:r>
            <w:r>
              <w:t xml:space="preserve"> </w:t>
            </w:r>
            <w:r w:rsidRPr="00E07B1B">
              <w:t>DHB</w:t>
            </w:r>
            <w:r w:rsidR="00A125BF">
              <w:br/>
            </w:r>
            <w:r w:rsidRPr="00E07B1B">
              <w:t>Hawke</w:t>
            </w:r>
            <w:r>
              <w:t>’</w:t>
            </w:r>
            <w:r w:rsidRPr="00E07B1B">
              <w:t>s</w:t>
            </w:r>
            <w:r w:rsidR="00A125BF">
              <w:t> </w:t>
            </w:r>
            <w:r w:rsidRPr="00E07B1B">
              <w:t>Bay DHB</w:t>
            </w:r>
          </w:p>
        </w:tc>
        <w:tc>
          <w:tcPr>
            <w:tcW w:w="5811" w:type="dxa"/>
            <w:tcBorders>
              <w:top w:val="nil"/>
              <w:bottom w:val="nil"/>
            </w:tcBorders>
            <w:shd w:val="clear" w:color="auto" w:fill="F2F2F2" w:themeFill="background1" w:themeFillShade="F2"/>
          </w:tcPr>
          <w:p w:rsidR="00853A74" w:rsidRPr="00E07B1B" w:rsidRDefault="00853A74" w:rsidP="00A125BF">
            <w:pPr>
              <w:pStyle w:val="TableText"/>
              <w:ind w:right="142"/>
            </w:pPr>
            <w:r w:rsidRPr="00E07B1B">
              <w:t>Monitor blood sugar levels before breakfast and after all meals for 24 hours.</w:t>
            </w:r>
          </w:p>
        </w:tc>
        <w:tc>
          <w:tcPr>
            <w:tcW w:w="6096" w:type="dxa"/>
            <w:tcBorders>
              <w:top w:val="nil"/>
              <w:bottom w:val="nil"/>
            </w:tcBorders>
            <w:shd w:val="clear" w:color="auto" w:fill="F2F2F2" w:themeFill="background1" w:themeFillShade="F2"/>
          </w:tcPr>
          <w:p w:rsidR="00853A74" w:rsidRPr="00E07B1B" w:rsidRDefault="00853A74" w:rsidP="00A125BF">
            <w:pPr>
              <w:pStyle w:val="TableText"/>
            </w:pPr>
            <w:r w:rsidRPr="00E07B1B">
              <w:t>If blood sugar levels</w:t>
            </w:r>
            <w:r>
              <w:t xml:space="preserve"> are</w:t>
            </w:r>
            <w:r w:rsidRPr="00E07B1B">
              <w:t xml:space="preserve"> </w:t>
            </w:r>
            <w:r>
              <w:t>f</w:t>
            </w:r>
            <w:r w:rsidRPr="00E07B1B">
              <w:t>asting &gt;</w:t>
            </w:r>
            <w:r w:rsidR="00A125BF">
              <w:t> </w:t>
            </w:r>
            <w:r w:rsidRPr="00E07B1B">
              <w:t>7</w:t>
            </w:r>
            <w:r w:rsidR="00A125BF">
              <w:t> </w:t>
            </w:r>
            <w:r w:rsidRPr="00E07B1B">
              <w:t>mmol/L and/or postprandial &gt;</w:t>
            </w:r>
            <w:r w:rsidR="00A125BF">
              <w:t> </w:t>
            </w:r>
            <w:r w:rsidRPr="00E07B1B">
              <w:t>11.1</w:t>
            </w:r>
            <w:r w:rsidR="00A125BF">
              <w:t> </w:t>
            </w:r>
            <w:r w:rsidRPr="00E07B1B">
              <w:t>mmol/L</w:t>
            </w:r>
            <w:r>
              <w:t>,</w:t>
            </w:r>
            <w:r w:rsidRPr="00E07B1B">
              <w:t xml:space="preserve"> advise physician before discharge</w:t>
            </w:r>
            <w:r>
              <w:t>.</w:t>
            </w:r>
          </w:p>
        </w:tc>
      </w:tr>
      <w:tr w:rsidR="00853A74" w:rsidRPr="00E07B1B" w:rsidTr="00A125BF">
        <w:trPr>
          <w:cantSplit/>
        </w:trPr>
        <w:tc>
          <w:tcPr>
            <w:tcW w:w="2694" w:type="dxa"/>
            <w:tcBorders>
              <w:top w:val="nil"/>
              <w:bottom w:val="nil"/>
            </w:tcBorders>
            <w:shd w:val="clear" w:color="auto" w:fill="auto"/>
          </w:tcPr>
          <w:p w:rsidR="00853A74" w:rsidRPr="00E07B1B" w:rsidRDefault="00853A74" w:rsidP="00A125BF">
            <w:pPr>
              <w:pStyle w:val="TableText"/>
              <w:ind w:right="142"/>
            </w:pPr>
            <w:r w:rsidRPr="00E07B1B">
              <w:t>Northland DHB</w:t>
            </w:r>
          </w:p>
        </w:tc>
        <w:tc>
          <w:tcPr>
            <w:tcW w:w="5811" w:type="dxa"/>
            <w:tcBorders>
              <w:top w:val="nil"/>
              <w:bottom w:val="nil"/>
            </w:tcBorders>
            <w:shd w:val="clear" w:color="auto" w:fill="auto"/>
          </w:tcPr>
          <w:p w:rsidR="00853A74" w:rsidRPr="00E07B1B" w:rsidRDefault="00853A74" w:rsidP="00A125BF">
            <w:pPr>
              <w:pStyle w:val="TableText"/>
              <w:ind w:right="142"/>
            </w:pPr>
            <w:r w:rsidRPr="00E07B1B">
              <w:t>Monitor blood glucose for at least one day or more</w:t>
            </w:r>
            <w:r>
              <w:t>.</w:t>
            </w:r>
          </w:p>
        </w:tc>
        <w:tc>
          <w:tcPr>
            <w:tcW w:w="6096" w:type="dxa"/>
            <w:tcBorders>
              <w:top w:val="nil"/>
              <w:bottom w:val="nil"/>
            </w:tcBorders>
            <w:shd w:val="clear" w:color="auto" w:fill="auto"/>
          </w:tcPr>
          <w:p w:rsidR="00853A74" w:rsidRPr="00E07B1B" w:rsidRDefault="00853A74" w:rsidP="00A125BF">
            <w:pPr>
              <w:pStyle w:val="TableText"/>
            </w:pPr>
            <w:r>
              <w:t>I</w:t>
            </w:r>
            <w:r w:rsidRPr="00E07B1B">
              <w:t>f elevated fasting and 1</w:t>
            </w:r>
            <w:r>
              <w:t>-</w:t>
            </w:r>
            <w:r w:rsidRPr="00E07B1B">
              <w:t>hour postprandial</w:t>
            </w:r>
            <w:r>
              <w:t>,</w:t>
            </w:r>
            <w:r w:rsidRPr="00E07B1B">
              <w:t xml:space="preserve"> refer to diabetes team</w:t>
            </w:r>
            <w:r>
              <w:t>.</w:t>
            </w:r>
          </w:p>
        </w:tc>
      </w:tr>
      <w:tr w:rsidR="00853A74" w:rsidRPr="00E07B1B" w:rsidTr="00A125BF">
        <w:trPr>
          <w:cantSplit/>
        </w:trPr>
        <w:tc>
          <w:tcPr>
            <w:tcW w:w="2694" w:type="dxa"/>
            <w:tcBorders>
              <w:top w:val="nil"/>
              <w:bottom w:val="nil"/>
            </w:tcBorders>
            <w:shd w:val="clear" w:color="auto" w:fill="F2F2F2" w:themeFill="background1" w:themeFillShade="F2"/>
          </w:tcPr>
          <w:p w:rsidR="00853A74" w:rsidRPr="00E07B1B" w:rsidRDefault="00853A74" w:rsidP="00A125BF">
            <w:pPr>
              <w:pStyle w:val="TableText"/>
              <w:ind w:right="142"/>
            </w:pPr>
            <w:r w:rsidRPr="00E07B1B">
              <w:t>Lakes DHB</w:t>
            </w:r>
          </w:p>
        </w:tc>
        <w:tc>
          <w:tcPr>
            <w:tcW w:w="5811" w:type="dxa"/>
            <w:tcBorders>
              <w:top w:val="nil"/>
              <w:bottom w:val="nil"/>
            </w:tcBorders>
            <w:shd w:val="clear" w:color="auto" w:fill="F2F2F2" w:themeFill="background1" w:themeFillShade="F2"/>
          </w:tcPr>
          <w:p w:rsidR="00853A74" w:rsidRPr="00E07B1B" w:rsidRDefault="00853A74" w:rsidP="00A125BF">
            <w:pPr>
              <w:pStyle w:val="TableText"/>
              <w:ind w:right="142"/>
            </w:pPr>
            <w:r w:rsidRPr="00E07B1B">
              <w:t xml:space="preserve">Monitor blood sugars </w:t>
            </w:r>
            <w:r>
              <w:t>two-</w:t>
            </w:r>
            <w:r w:rsidRPr="00E07B1B">
              <w:t>hourly until next meal for at least 48</w:t>
            </w:r>
            <w:r w:rsidR="00A125BF">
              <w:t> </w:t>
            </w:r>
            <w:r w:rsidRPr="00E07B1B">
              <w:t xml:space="preserve">hours. </w:t>
            </w:r>
          </w:p>
        </w:tc>
        <w:tc>
          <w:tcPr>
            <w:tcW w:w="6096" w:type="dxa"/>
            <w:tcBorders>
              <w:top w:val="nil"/>
              <w:bottom w:val="nil"/>
            </w:tcBorders>
            <w:shd w:val="clear" w:color="auto" w:fill="F2F2F2" w:themeFill="background1" w:themeFillShade="F2"/>
          </w:tcPr>
          <w:p w:rsidR="00853A74" w:rsidRPr="00E07B1B" w:rsidRDefault="00853A74" w:rsidP="00A125BF">
            <w:pPr>
              <w:pStyle w:val="TableText"/>
            </w:pPr>
            <w:r w:rsidRPr="00E07B1B">
              <w:t>Fasting, 2</w:t>
            </w:r>
            <w:r>
              <w:t>-</w:t>
            </w:r>
            <w:r w:rsidRPr="00E07B1B">
              <w:t xml:space="preserve">hour postprandial and before bed. Call </w:t>
            </w:r>
            <w:r>
              <w:t>Obstetrics and Gynaecology senior house officer</w:t>
            </w:r>
            <w:r w:rsidRPr="00E07B1B">
              <w:t xml:space="preserve"> if glucose &gt;</w:t>
            </w:r>
            <w:r>
              <w:t> </w:t>
            </w:r>
            <w:r w:rsidRPr="00E07B1B">
              <w:t>12</w:t>
            </w:r>
            <w:r>
              <w:t> </w:t>
            </w:r>
            <w:r w:rsidRPr="00E07B1B">
              <w:t xml:space="preserve">mmol/L for </w:t>
            </w:r>
            <w:r>
              <w:t>two</w:t>
            </w:r>
            <w:r w:rsidRPr="00E07B1B">
              <w:t xml:space="preserve"> consecutive readings. Monitor until glucose in normal range.</w:t>
            </w:r>
          </w:p>
        </w:tc>
      </w:tr>
      <w:tr w:rsidR="00853A74" w:rsidRPr="00E07B1B" w:rsidTr="00A125BF">
        <w:trPr>
          <w:cantSplit/>
        </w:trPr>
        <w:tc>
          <w:tcPr>
            <w:tcW w:w="2694" w:type="dxa"/>
            <w:tcBorders>
              <w:top w:val="nil"/>
            </w:tcBorders>
            <w:shd w:val="clear" w:color="auto" w:fill="auto"/>
          </w:tcPr>
          <w:p w:rsidR="00853A74" w:rsidRPr="00E07B1B" w:rsidRDefault="00853A74" w:rsidP="00A125BF">
            <w:pPr>
              <w:pStyle w:val="TableText"/>
              <w:ind w:right="142"/>
            </w:pPr>
            <w:r w:rsidRPr="00E07B1B">
              <w:t>Hutt Valley DHB</w:t>
            </w:r>
            <w:r w:rsidR="00A125BF">
              <w:br/>
            </w:r>
            <w:r w:rsidRPr="00E07B1B">
              <w:t xml:space="preserve">Capital </w:t>
            </w:r>
            <w:r>
              <w:t>&amp;</w:t>
            </w:r>
            <w:r w:rsidRPr="00E07B1B">
              <w:t xml:space="preserve"> Coast DHB</w:t>
            </w:r>
          </w:p>
        </w:tc>
        <w:tc>
          <w:tcPr>
            <w:tcW w:w="5811" w:type="dxa"/>
            <w:tcBorders>
              <w:top w:val="nil"/>
            </w:tcBorders>
            <w:shd w:val="clear" w:color="auto" w:fill="auto"/>
          </w:tcPr>
          <w:p w:rsidR="00853A74" w:rsidRPr="00E07B1B" w:rsidRDefault="00853A74" w:rsidP="00A125BF">
            <w:pPr>
              <w:pStyle w:val="TableText"/>
              <w:ind w:right="142"/>
            </w:pPr>
            <w:r w:rsidRPr="00E07B1B">
              <w:t xml:space="preserve">Monitor blood sugar levels before meals and </w:t>
            </w:r>
            <w:r>
              <w:t>two</w:t>
            </w:r>
            <w:r w:rsidRPr="00E07B1B">
              <w:t xml:space="preserve"> hours after meals and at bedtime for several days after birth</w:t>
            </w:r>
            <w:r>
              <w:t>.</w:t>
            </w:r>
          </w:p>
        </w:tc>
        <w:tc>
          <w:tcPr>
            <w:tcW w:w="6096" w:type="dxa"/>
            <w:tcBorders>
              <w:top w:val="nil"/>
            </w:tcBorders>
            <w:shd w:val="clear" w:color="auto" w:fill="auto"/>
          </w:tcPr>
          <w:p w:rsidR="00853A74" w:rsidRPr="00E07B1B" w:rsidRDefault="00853A74" w:rsidP="00A125BF">
            <w:pPr>
              <w:pStyle w:val="TableText"/>
            </w:pPr>
            <w:r w:rsidRPr="00E07B1B">
              <w:t>Monitor blood sugar levels until they normalise</w:t>
            </w:r>
            <w:r>
              <w:t>.</w:t>
            </w:r>
          </w:p>
        </w:tc>
      </w:tr>
    </w:tbl>
    <w:p w:rsidR="00853A74" w:rsidRDefault="00853A74" w:rsidP="00A125BF">
      <w:pPr>
        <w:pStyle w:val="Note"/>
      </w:pPr>
      <w:r w:rsidRPr="00B226A6">
        <w:t>Note: DHB = district health board</w:t>
      </w:r>
      <w:r w:rsidR="00A125BF">
        <w:t>.</w:t>
      </w:r>
    </w:p>
    <w:p w:rsidR="00A125BF" w:rsidRPr="00A125BF" w:rsidRDefault="00A125BF" w:rsidP="00A125BF"/>
    <w:p w:rsidR="00853A74" w:rsidRPr="00E07B1B" w:rsidRDefault="00853A74" w:rsidP="00853A74">
      <w:pPr>
        <w:pStyle w:val="Heading2"/>
        <w:spacing w:before="0" w:after="240"/>
        <w:ind w:left="0" w:firstLine="0"/>
      </w:pPr>
      <w:r w:rsidRPr="00E07B1B">
        <w:br w:type="page"/>
      </w:r>
      <w:bookmarkStart w:id="575" w:name="_Toc363717843"/>
      <w:bookmarkStart w:id="576" w:name="_Toc402873645"/>
      <w:bookmarkStart w:id="577" w:name="_Toc403469706"/>
      <w:r w:rsidRPr="00E07B1B">
        <w:t>Appendix N</w:t>
      </w:r>
      <w:r>
        <w:t>: Supporting evidence for</w:t>
      </w:r>
      <w:r w:rsidRPr="00E07B1B">
        <w:t xml:space="preserve"> Chapter</w:t>
      </w:r>
      <w:r>
        <w:t> </w:t>
      </w:r>
      <w:bookmarkEnd w:id="575"/>
      <w:r w:rsidRPr="00E07B1B">
        <w:t>9</w:t>
      </w:r>
      <w:bookmarkEnd w:id="576"/>
      <w:bookmarkEnd w:id="577"/>
    </w:p>
    <w:p w:rsidR="00853A74" w:rsidRPr="00E07B1B" w:rsidRDefault="00853A74" w:rsidP="00A125BF">
      <w:pPr>
        <w:pStyle w:val="Table"/>
        <w:rPr>
          <w:lang w:eastAsia="en-NZ"/>
        </w:rPr>
      </w:pPr>
      <w:bookmarkStart w:id="578" w:name="_Toc363717844"/>
      <w:bookmarkStart w:id="579" w:name="_Toc403635923"/>
      <w:r w:rsidRPr="00E07B1B">
        <w:rPr>
          <w:lang w:eastAsia="en-NZ"/>
        </w:rPr>
        <w:t>Table 42</w:t>
      </w:r>
      <w:r w:rsidR="00A125BF">
        <w:rPr>
          <w:lang w:eastAsia="en-NZ"/>
        </w:rPr>
        <w:t>:</w:t>
      </w:r>
      <w:r w:rsidRPr="00E07B1B">
        <w:rPr>
          <w:lang w:eastAsia="en-NZ"/>
        </w:rPr>
        <w:t xml:space="preserve"> Recommendations for postpartum screening in women diagnosed with gestational diabetes</w:t>
      </w:r>
      <w:bookmarkEnd w:id="578"/>
      <w:bookmarkEnd w:id="579"/>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2552"/>
        <w:gridCol w:w="1559"/>
        <w:gridCol w:w="2126"/>
        <w:gridCol w:w="3262"/>
        <w:gridCol w:w="2065"/>
        <w:gridCol w:w="3037"/>
      </w:tblGrid>
      <w:tr w:rsidR="009B3054" w:rsidRPr="00A125BF" w:rsidTr="009B3054">
        <w:trPr>
          <w:cantSplit/>
          <w:tblHeader/>
        </w:trPr>
        <w:tc>
          <w:tcPr>
            <w:tcW w:w="874" w:type="pct"/>
            <w:tcBorders>
              <w:top w:val="single" w:sz="4" w:space="0" w:color="auto"/>
              <w:bottom w:val="single" w:sz="4" w:space="0" w:color="auto"/>
            </w:tcBorders>
            <w:shd w:val="clear" w:color="auto" w:fill="auto"/>
          </w:tcPr>
          <w:p w:rsidR="00853A74" w:rsidRPr="00A125BF" w:rsidRDefault="00853A74" w:rsidP="009B3054">
            <w:pPr>
              <w:pStyle w:val="TableText"/>
              <w:ind w:right="142"/>
              <w:rPr>
                <w:b/>
                <w:lang w:eastAsia="en-NZ"/>
              </w:rPr>
            </w:pPr>
            <w:r w:rsidRPr="00A125BF">
              <w:rPr>
                <w:b/>
                <w:lang w:eastAsia="en-NZ"/>
              </w:rPr>
              <w:t>Organisation</w:t>
            </w:r>
          </w:p>
        </w:tc>
        <w:tc>
          <w:tcPr>
            <w:tcW w:w="534" w:type="pct"/>
            <w:tcBorders>
              <w:top w:val="single" w:sz="4" w:space="0" w:color="auto"/>
              <w:bottom w:val="single" w:sz="4" w:space="0" w:color="auto"/>
            </w:tcBorders>
            <w:shd w:val="clear" w:color="auto" w:fill="auto"/>
          </w:tcPr>
          <w:p w:rsidR="00853A74" w:rsidRPr="00A125BF" w:rsidRDefault="00853A74" w:rsidP="009B3054">
            <w:pPr>
              <w:pStyle w:val="TableText"/>
              <w:ind w:right="142"/>
              <w:rPr>
                <w:b/>
                <w:lang w:eastAsia="en-NZ"/>
              </w:rPr>
            </w:pPr>
            <w:r w:rsidRPr="00A125BF">
              <w:rPr>
                <w:b/>
                <w:lang w:eastAsia="en-NZ"/>
              </w:rPr>
              <w:t>Timing of postpartum test</w:t>
            </w:r>
          </w:p>
        </w:tc>
        <w:tc>
          <w:tcPr>
            <w:tcW w:w="728" w:type="pct"/>
            <w:tcBorders>
              <w:top w:val="single" w:sz="4" w:space="0" w:color="auto"/>
              <w:bottom w:val="single" w:sz="4" w:space="0" w:color="auto"/>
            </w:tcBorders>
            <w:shd w:val="clear" w:color="auto" w:fill="auto"/>
          </w:tcPr>
          <w:p w:rsidR="00853A74" w:rsidRPr="00A125BF" w:rsidRDefault="00853A74" w:rsidP="009B3054">
            <w:pPr>
              <w:pStyle w:val="TableText"/>
              <w:ind w:right="142"/>
              <w:rPr>
                <w:b/>
                <w:lang w:eastAsia="en-NZ"/>
              </w:rPr>
            </w:pPr>
            <w:r w:rsidRPr="00A125BF">
              <w:rPr>
                <w:b/>
                <w:lang w:eastAsia="en-NZ"/>
              </w:rPr>
              <w:t>Diagnostic method</w:t>
            </w:r>
          </w:p>
        </w:tc>
        <w:tc>
          <w:tcPr>
            <w:tcW w:w="1117" w:type="pct"/>
            <w:tcBorders>
              <w:top w:val="single" w:sz="4" w:space="0" w:color="auto"/>
              <w:bottom w:val="single" w:sz="4" w:space="0" w:color="auto"/>
            </w:tcBorders>
            <w:shd w:val="clear" w:color="auto" w:fill="auto"/>
          </w:tcPr>
          <w:p w:rsidR="00853A74" w:rsidRPr="00A125BF" w:rsidRDefault="00853A74" w:rsidP="009B3054">
            <w:pPr>
              <w:pStyle w:val="TableText"/>
              <w:ind w:right="142"/>
              <w:rPr>
                <w:b/>
                <w:lang w:eastAsia="en-NZ"/>
              </w:rPr>
            </w:pPr>
            <w:r w:rsidRPr="00A125BF">
              <w:rPr>
                <w:b/>
                <w:lang w:eastAsia="en-NZ"/>
              </w:rPr>
              <w:t>Diagnostic criteria (glucose levels measured in mmol/L)</w:t>
            </w:r>
          </w:p>
        </w:tc>
        <w:tc>
          <w:tcPr>
            <w:tcW w:w="707" w:type="pct"/>
            <w:tcBorders>
              <w:top w:val="single" w:sz="4" w:space="0" w:color="auto"/>
              <w:bottom w:val="single" w:sz="4" w:space="0" w:color="auto"/>
            </w:tcBorders>
            <w:shd w:val="clear" w:color="auto" w:fill="auto"/>
          </w:tcPr>
          <w:p w:rsidR="00853A74" w:rsidRPr="00A125BF" w:rsidRDefault="00853A74" w:rsidP="009B3054">
            <w:pPr>
              <w:pStyle w:val="TableText"/>
              <w:ind w:right="142"/>
              <w:rPr>
                <w:b/>
                <w:lang w:eastAsia="en-NZ"/>
              </w:rPr>
            </w:pPr>
            <w:r w:rsidRPr="00A125BF">
              <w:rPr>
                <w:b/>
                <w:lang w:eastAsia="en-NZ"/>
              </w:rPr>
              <w:t>Subsequent testing</w:t>
            </w:r>
          </w:p>
        </w:tc>
        <w:tc>
          <w:tcPr>
            <w:tcW w:w="1040" w:type="pct"/>
            <w:tcBorders>
              <w:top w:val="single" w:sz="4" w:space="0" w:color="auto"/>
              <w:bottom w:val="single" w:sz="4" w:space="0" w:color="auto"/>
            </w:tcBorders>
            <w:shd w:val="clear" w:color="auto" w:fill="auto"/>
          </w:tcPr>
          <w:p w:rsidR="00853A74" w:rsidRPr="00A125BF" w:rsidRDefault="00853A74" w:rsidP="00A125BF">
            <w:pPr>
              <w:pStyle w:val="TableText"/>
              <w:rPr>
                <w:b/>
                <w:lang w:eastAsia="en-NZ"/>
              </w:rPr>
            </w:pPr>
            <w:r w:rsidRPr="00A125BF">
              <w:rPr>
                <w:b/>
                <w:lang w:eastAsia="en-NZ"/>
              </w:rPr>
              <w:t>Additional comments or recommendations</w:t>
            </w:r>
          </w:p>
        </w:tc>
      </w:tr>
      <w:tr w:rsidR="009B3054" w:rsidRPr="00E07B1B" w:rsidTr="009B3054">
        <w:trPr>
          <w:cantSplit/>
        </w:trPr>
        <w:tc>
          <w:tcPr>
            <w:tcW w:w="874" w:type="pct"/>
            <w:tcBorders>
              <w:top w:val="single" w:sz="4" w:space="0" w:color="auto"/>
              <w:bottom w:val="nil"/>
            </w:tcBorders>
            <w:shd w:val="clear" w:color="auto" w:fill="F2F2F2" w:themeFill="background1" w:themeFillShade="F2"/>
          </w:tcPr>
          <w:p w:rsidR="00853A74" w:rsidRPr="00E304CF" w:rsidRDefault="00853A74" w:rsidP="009B3054">
            <w:pPr>
              <w:pStyle w:val="TableText"/>
              <w:ind w:right="142"/>
              <w:rPr>
                <w:lang w:eastAsia="en-NZ"/>
              </w:rPr>
            </w:pPr>
            <w:r w:rsidRPr="00E304CF">
              <w:rPr>
                <w:lang w:eastAsia="en-NZ"/>
              </w:rPr>
              <w:t>American Diabetes Association</w:t>
            </w:r>
            <w:r w:rsidR="009B3054">
              <w:rPr>
                <w:lang w:eastAsia="en-NZ"/>
              </w:rPr>
              <w:br/>
            </w:r>
            <w:r w:rsidRPr="00E304CF">
              <w:rPr>
                <w:lang w:eastAsia="en-NZ"/>
              </w:rPr>
              <w:t>(2012)</w:t>
            </w:r>
          </w:p>
        </w:tc>
        <w:tc>
          <w:tcPr>
            <w:tcW w:w="534" w:type="pct"/>
            <w:tcBorders>
              <w:top w:val="single" w:sz="4" w:space="0" w:color="auto"/>
              <w:bottom w:val="nil"/>
            </w:tcBorders>
            <w:shd w:val="clear" w:color="auto" w:fill="F2F2F2" w:themeFill="background1" w:themeFillShade="F2"/>
          </w:tcPr>
          <w:p w:rsidR="00853A74" w:rsidRPr="00E304CF" w:rsidRDefault="009B3054" w:rsidP="009B3054">
            <w:pPr>
              <w:pStyle w:val="TableText"/>
              <w:ind w:right="142"/>
              <w:rPr>
                <w:lang w:eastAsia="en-NZ"/>
              </w:rPr>
            </w:pPr>
            <w:r>
              <w:rPr>
                <w:lang w:eastAsia="en-NZ"/>
              </w:rPr>
              <w:t>6–12 weeks</w:t>
            </w:r>
          </w:p>
        </w:tc>
        <w:tc>
          <w:tcPr>
            <w:tcW w:w="728" w:type="pct"/>
            <w:tcBorders>
              <w:top w:val="single" w:sz="4" w:space="0" w:color="auto"/>
              <w:bottom w:val="nil"/>
            </w:tcBorders>
            <w:shd w:val="clear" w:color="auto" w:fill="F2F2F2" w:themeFill="background1" w:themeFillShade="F2"/>
          </w:tcPr>
          <w:p w:rsidR="00853A74" w:rsidRPr="00E304CF" w:rsidRDefault="00853A74" w:rsidP="009B3054">
            <w:pPr>
              <w:pStyle w:val="TableText"/>
              <w:ind w:right="142"/>
              <w:rPr>
                <w:lang w:eastAsia="en-NZ"/>
              </w:rPr>
            </w:pPr>
            <w:r w:rsidRPr="00E304CF">
              <w:rPr>
                <w:lang w:eastAsia="en-NZ"/>
              </w:rPr>
              <w:t>2-hour, 75 g OGTT</w:t>
            </w:r>
          </w:p>
          <w:p w:rsidR="00853A74" w:rsidRPr="00E304CF" w:rsidRDefault="00853A74" w:rsidP="009B3054">
            <w:pPr>
              <w:pStyle w:val="TableText"/>
              <w:ind w:right="142"/>
              <w:rPr>
                <w:lang w:eastAsia="en-NZ"/>
              </w:rPr>
            </w:pPr>
            <w:r w:rsidRPr="00E304CF">
              <w:rPr>
                <w:lang w:eastAsia="en-NZ"/>
              </w:rPr>
              <w:t>HbA</w:t>
            </w:r>
            <w:r w:rsidRPr="006543C3">
              <w:t>1c</w:t>
            </w:r>
            <w:r w:rsidRPr="00E304CF">
              <w:rPr>
                <w:lang w:eastAsia="en-NZ"/>
              </w:rPr>
              <w:t xml:space="preserve"> not recommended for immediate postpartum screening</w:t>
            </w:r>
          </w:p>
        </w:tc>
        <w:tc>
          <w:tcPr>
            <w:tcW w:w="1117" w:type="pct"/>
            <w:tcBorders>
              <w:top w:val="single" w:sz="4" w:space="0" w:color="auto"/>
              <w:bottom w:val="nil"/>
            </w:tcBorders>
            <w:shd w:val="clear" w:color="auto" w:fill="F2F2F2" w:themeFill="background1" w:themeFillShade="F2"/>
          </w:tcPr>
          <w:p w:rsidR="00853A74" w:rsidRPr="00E304CF" w:rsidRDefault="00853A74" w:rsidP="009B3054">
            <w:pPr>
              <w:pStyle w:val="TableText"/>
              <w:ind w:right="142"/>
              <w:rPr>
                <w:lang w:eastAsia="en-NZ"/>
              </w:rPr>
            </w:pPr>
            <w:r w:rsidRPr="00E304CF">
              <w:rPr>
                <w:lang w:eastAsia="en-NZ"/>
              </w:rPr>
              <w:t>Normal: FPG &lt; 5.6</w:t>
            </w:r>
            <w:r>
              <w:rPr>
                <w:lang w:eastAsia="en-NZ"/>
              </w:rPr>
              <w:t xml:space="preserve"> mmol/L</w:t>
            </w:r>
            <w:r w:rsidRPr="00E304CF">
              <w:rPr>
                <w:lang w:eastAsia="en-NZ"/>
              </w:rPr>
              <w:t xml:space="preserve"> and 2-hour PG &lt; 7.8</w:t>
            </w:r>
            <w:r>
              <w:rPr>
                <w:lang w:eastAsia="en-NZ"/>
              </w:rPr>
              <w:t xml:space="preserve"> mmol/L</w:t>
            </w:r>
          </w:p>
          <w:p w:rsidR="00853A74" w:rsidRPr="00E304CF" w:rsidRDefault="00853A74" w:rsidP="009B3054">
            <w:pPr>
              <w:pStyle w:val="TableText"/>
              <w:ind w:right="142"/>
              <w:rPr>
                <w:lang w:eastAsia="en-NZ"/>
              </w:rPr>
            </w:pPr>
            <w:r w:rsidRPr="00E304CF">
              <w:rPr>
                <w:lang w:eastAsia="en-NZ"/>
              </w:rPr>
              <w:t>IFG: FPG</w:t>
            </w:r>
            <w:r w:rsidR="009B3054">
              <w:rPr>
                <w:lang w:eastAsia="en-NZ"/>
              </w:rPr>
              <w:t xml:space="preserve"> ≥</w:t>
            </w:r>
            <w:r w:rsidRPr="00E304CF">
              <w:rPr>
                <w:noProof/>
              </w:rPr>
              <w:t> </w:t>
            </w:r>
            <w:r w:rsidRPr="00E304CF">
              <w:rPr>
                <w:lang w:eastAsia="en-NZ"/>
              </w:rPr>
              <w:t>5.6 but &lt; 7.0</w:t>
            </w:r>
            <w:r w:rsidR="009B3054">
              <w:rPr>
                <w:lang w:eastAsia="en-NZ"/>
              </w:rPr>
              <w:t> </w:t>
            </w:r>
            <w:r>
              <w:rPr>
                <w:lang w:eastAsia="en-NZ"/>
              </w:rPr>
              <w:t>mmol/L</w:t>
            </w:r>
          </w:p>
          <w:p w:rsidR="00853A74" w:rsidRPr="00E304CF" w:rsidRDefault="00853A74" w:rsidP="009B3054">
            <w:pPr>
              <w:pStyle w:val="TableText"/>
              <w:ind w:right="142"/>
              <w:rPr>
                <w:lang w:eastAsia="en-NZ"/>
              </w:rPr>
            </w:pPr>
            <w:r w:rsidRPr="00E304CF">
              <w:rPr>
                <w:lang w:eastAsia="en-NZ"/>
              </w:rPr>
              <w:t xml:space="preserve">IGT: 2-hour PG </w:t>
            </w:r>
            <w:r w:rsidR="009B3054">
              <w:rPr>
                <w:noProof/>
                <w:lang w:eastAsia="en-NZ"/>
              </w:rPr>
              <w:t>≥</w:t>
            </w:r>
            <w:r w:rsidRPr="00E304CF">
              <w:rPr>
                <w:noProof/>
              </w:rPr>
              <w:t> </w:t>
            </w:r>
            <w:r w:rsidRPr="00E304CF">
              <w:rPr>
                <w:lang w:eastAsia="en-NZ"/>
              </w:rPr>
              <w:t>7.8 but &lt; 11.1</w:t>
            </w:r>
            <w:r w:rsidR="009B3054">
              <w:rPr>
                <w:lang w:eastAsia="en-NZ"/>
              </w:rPr>
              <w:t> </w:t>
            </w:r>
            <w:r>
              <w:rPr>
                <w:lang w:eastAsia="en-NZ"/>
              </w:rPr>
              <w:t>mmol/L</w:t>
            </w:r>
          </w:p>
          <w:p w:rsidR="00853A74" w:rsidRPr="00E304CF" w:rsidRDefault="00853A74" w:rsidP="009B3054">
            <w:pPr>
              <w:pStyle w:val="TableText"/>
              <w:ind w:right="142"/>
              <w:rPr>
                <w:lang w:eastAsia="en-NZ"/>
              </w:rPr>
            </w:pPr>
            <w:r w:rsidRPr="00E304CF">
              <w:rPr>
                <w:lang w:eastAsia="en-NZ"/>
              </w:rPr>
              <w:t>Type 2 diabetes: FPG</w:t>
            </w:r>
            <w:r w:rsidR="009B3054">
              <w:rPr>
                <w:lang w:eastAsia="en-NZ"/>
              </w:rPr>
              <w:t xml:space="preserve"> ≥ </w:t>
            </w:r>
            <w:r w:rsidRPr="00E304CF">
              <w:rPr>
                <w:lang w:eastAsia="en-NZ"/>
              </w:rPr>
              <w:t>7.0</w:t>
            </w:r>
            <w:r w:rsidR="009B3054">
              <w:rPr>
                <w:lang w:eastAsia="en-NZ"/>
              </w:rPr>
              <w:t> </w:t>
            </w:r>
            <w:r>
              <w:rPr>
                <w:lang w:eastAsia="en-NZ"/>
              </w:rPr>
              <w:t>mmol/L</w:t>
            </w:r>
            <w:r w:rsidRPr="00E304CF">
              <w:rPr>
                <w:lang w:eastAsia="en-NZ"/>
              </w:rPr>
              <w:t xml:space="preserve"> or 2-hour PG</w:t>
            </w:r>
            <w:r w:rsidR="009B3054">
              <w:rPr>
                <w:lang w:eastAsia="en-NZ"/>
              </w:rPr>
              <w:t> ≥</w:t>
            </w:r>
            <w:r w:rsidRPr="00E304CF">
              <w:rPr>
                <w:noProof/>
              </w:rPr>
              <w:t> </w:t>
            </w:r>
            <w:r w:rsidRPr="00E304CF">
              <w:rPr>
                <w:lang w:eastAsia="en-NZ"/>
              </w:rPr>
              <w:t>11.1</w:t>
            </w:r>
            <w:r w:rsidR="009B3054">
              <w:rPr>
                <w:lang w:eastAsia="en-NZ"/>
              </w:rPr>
              <w:t> </w:t>
            </w:r>
            <w:r>
              <w:rPr>
                <w:lang w:eastAsia="en-NZ"/>
              </w:rPr>
              <w:t>mmol/L</w:t>
            </w:r>
            <w:r w:rsidRPr="00E304CF">
              <w:rPr>
                <w:lang w:eastAsia="en-NZ"/>
              </w:rPr>
              <w:t xml:space="preserve"> or symptoms of type 2 diabetes and a random PG level</w:t>
            </w:r>
            <w:r w:rsidR="009B3054">
              <w:rPr>
                <w:lang w:eastAsia="en-NZ"/>
              </w:rPr>
              <w:t xml:space="preserve"> ≥</w:t>
            </w:r>
            <w:r w:rsidR="009B3054">
              <w:rPr>
                <w:noProof/>
                <w:lang w:eastAsia="en-NZ"/>
              </w:rPr>
              <w:t> </w:t>
            </w:r>
            <w:r w:rsidRPr="00E304CF">
              <w:rPr>
                <w:lang w:eastAsia="en-NZ"/>
              </w:rPr>
              <w:t>11.1</w:t>
            </w:r>
            <w:r w:rsidR="009B3054">
              <w:rPr>
                <w:lang w:eastAsia="en-NZ"/>
              </w:rPr>
              <w:t> </w:t>
            </w:r>
            <w:r>
              <w:rPr>
                <w:lang w:eastAsia="en-NZ"/>
              </w:rPr>
              <w:t>mmol/L</w:t>
            </w:r>
          </w:p>
        </w:tc>
        <w:tc>
          <w:tcPr>
            <w:tcW w:w="707" w:type="pct"/>
            <w:tcBorders>
              <w:top w:val="single" w:sz="4" w:space="0" w:color="auto"/>
              <w:bottom w:val="nil"/>
            </w:tcBorders>
            <w:shd w:val="clear" w:color="auto" w:fill="F2F2F2" w:themeFill="background1" w:themeFillShade="F2"/>
          </w:tcPr>
          <w:p w:rsidR="00853A74" w:rsidRDefault="00853A74" w:rsidP="009B3054">
            <w:pPr>
              <w:pStyle w:val="TableText"/>
              <w:ind w:right="142"/>
              <w:rPr>
                <w:lang w:eastAsia="en-NZ"/>
              </w:rPr>
            </w:pPr>
            <w:r w:rsidRPr="00E304CF">
              <w:rPr>
                <w:lang w:eastAsia="en-NZ"/>
              </w:rPr>
              <w:t>Annually using HbA1c, FPG or OGTT if IFG or IGT is detected postpartum.</w:t>
            </w:r>
          </w:p>
          <w:p w:rsidR="00853A74" w:rsidRPr="00E304CF" w:rsidRDefault="00853A74" w:rsidP="009B3054">
            <w:pPr>
              <w:pStyle w:val="TableText"/>
              <w:ind w:right="142"/>
              <w:rPr>
                <w:lang w:eastAsia="en-NZ"/>
              </w:rPr>
            </w:pPr>
            <w:r w:rsidRPr="00E304CF">
              <w:rPr>
                <w:lang w:eastAsia="en-NZ"/>
              </w:rPr>
              <w:t>Otherwise minimum of three.</w:t>
            </w:r>
          </w:p>
        </w:tc>
        <w:tc>
          <w:tcPr>
            <w:tcW w:w="1040" w:type="pct"/>
            <w:tcBorders>
              <w:top w:val="single" w:sz="4" w:space="0" w:color="auto"/>
              <w:bottom w:val="nil"/>
            </w:tcBorders>
            <w:shd w:val="clear" w:color="auto" w:fill="F2F2F2" w:themeFill="background1" w:themeFillShade="F2"/>
          </w:tcPr>
          <w:p w:rsidR="00853A74" w:rsidRPr="00E304CF" w:rsidRDefault="00853A74" w:rsidP="00A125BF">
            <w:pPr>
              <w:pStyle w:val="TableText"/>
              <w:rPr>
                <w:lang w:eastAsia="en-NZ"/>
              </w:rPr>
            </w:pPr>
            <w:r w:rsidRPr="00E304CF">
              <w:rPr>
                <w:lang w:eastAsia="en-NZ"/>
              </w:rPr>
              <w:t>All patients with a history of GDM should be educated about lifestyle changes, including:</w:t>
            </w:r>
          </w:p>
          <w:p w:rsidR="00853A74" w:rsidRPr="00E304CF" w:rsidRDefault="00853A74" w:rsidP="009B3054">
            <w:pPr>
              <w:pStyle w:val="TableText"/>
              <w:ind w:left="284" w:hanging="284"/>
              <w:rPr>
                <w:lang w:eastAsia="en-NZ"/>
              </w:rPr>
            </w:pPr>
            <w:r w:rsidRPr="00E304CF">
              <w:rPr>
                <w:lang w:eastAsia="en-NZ"/>
              </w:rPr>
              <w:t>1</w:t>
            </w:r>
            <w:r w:rsidRPr="00E304CF">
              <w:rPr>
                <w:lang w:eastAsia="en-NZ"/>
              </w:rPr>
              <w:tab/>
              <w:t>maintenance of normal body weight through healthy diet and physical activity</w:t>
            </w:r>
          </w:p>
          <w:p w:rsidR="00853A74" w:rsidRPr="00E304CF" w:rsidRDefault="00853A74" w:rsidP="009B3054">
            <w:pPr>
              <w:pStyle w:val="TableText"/>
              <w:ind w:left="284" w:hanging="284"/>
              <w:rPr>
                <w:lang w:eastAsia="en-NZ"/>
              </w:rPr>
            </w:pPr>
            <w:r w:rsidRPr="00E304CF">
              <w:rPr>
                <w:lang w:eastAsia="en-NZ"/>
              </w:rPr>
              <w:t>2</w:t>
            </w:r>
            <w:r w:rsidRPr="00E304CF">
              <w:rPr>
                <w:lang w:eastAsia="en-NZ"/>
              </w:rPr>
              <w:tab/>
              <w:t>avoiding medications that worsen insulin resistance</w:t>
            </w:r>
          </w:p>
          <w:p w:rsidR="00853A74" w:rsidRPr="00E304CF" w:rsidRDefault="00853A74" w:rsidP="009B3054">
            <w:pPr>
              <w:pStyle w:val="TableText"/>
              <w:ind w:left="284" w:hanging="284"/>
              <w:rPr>
                <w:lang w:eastAsia="en-NZ"/>
              </w:rPr>
            </w:pPr>
            <w:r w:rsidRPr="00E304CF">
              <w:rPr>
                <w:lang w:eastAsia="en-NZ"/>
              </w:rPr>
              <w:t>3</w:t>
            </w:r>
            <w:r w:rsidRPr="00E304CF">
              <w:rPr>
                <w:lang w:eastAsia="en-NZ"/>
              </w:rPr>
              <w:tab/>
              <w:t>awareness of symptoms of hyperglycaemia.</w:t>
            </w:r>
          </w:p>
        </w:tc>
      </w:tr>
      <w:tr w:rsidR="009B3054" w:rsidRPr="00E07B1B" w:rsidTr="009B3054">
        <w:trPr>
          <w:cantSplit/>
        </w:trPr>
        <w:tc>
          <w:tcPr>
            <w:tcW w:w="874" w:type="pct"/>
            <w:tcBorders>
              <w:top w:val="nil"/>
              <w:bottom w:val="nil"/>
            </w:tcBorders>
            <w:shd w:val="clear" w:color="auto" w:fill="auto"/>
          </w:tcPr>
          <w:p w:rsidR="00853A74" w:rsidRPr="00E304CF" w:rsidRDefault="00853A74" w:rsidP="009B3054">
            <w:pPr>
              <w:pStyle w:val="TableText"/>
              <w:ind w:right="142"/>
            </w:pPr>
            <w:r w:rsidRPr="00E304CF">
              <w:t>Wisconsin Diabetes Mellitus Essential Care Guidelines</w:t>
            </w:r>
            <w:r w:rsidR="009B3054">
              <w:br/>
            </w:r>
            <w:r w:rsidRPr="00E304CF">
              <w:t>(Wisconsin Depa</w:t>
            </w:r>
            <w:r w:rsidR="009B3054">
              <w:t>rtment of Health Services 2012)</w:t>
            </w:r>
          </w:p>
        </w:tc>
        <w:tc>
          <w:tcPr>
            <w:tcW w:w="534" w:type="pct"/>
            <w:tcBorders>
              <w:top w:val="nil"/>
              <w:bottom w:val="nil"/>
            </w:tcBorders>
            <w:shd w:val="clear" w:color="auto" w:fill="auto"/>
          </w:tcPr>
          <w:p w:rsidR="00853A74" w:rsidRPr="00E304CF" w:rsidRDefault="00853A74" w:rsidP="009B3054">
            <w:pPr>
              <w:pStyle w:val="TableText"/>
              <w:ind w:right="142"/>
              <w:rPr>
                <w:lang w:eastAsia="en-NZ"/>
              </w:rPr>
            </w:pPr>
            <w:r w:rsidRPr="00E304CF">
              <w:rPr>
                <w:lang w:eastAsia="en-NZ"/>
              </w:rPr>
              <w:t>6–12 weeks</w:t>
            </w:r>
          </w:p>
        </w:tc>
        <w:tc>
          <w:tcPr>
            <w:tcW w:w="728" w:type="pct"/>
            <w:tcBorders>
              <w:top w:val="nil"/>
              <w:bottom w:val="nil"/>
            </w:tcBorders>
            <w:shd w:val="clear" w:color="auto" w:fill="auto"/>
          </w:tcPr>
          <w:p w:rsidR="00853A74" w:rsidRPr="00E304CF" w:rsidRDefault="009B3054" w:rsidP="009B3054">
            <w:pPr>
              <w:pStyle w:val="TableText"/>
              <w:ind w:right="142"/>
              <w:jc w:val="center"/>
              <w:rPr>
                <w:lang w:eastAsia="en-NZ"/>
              </w:rPr>
            </w:pPr>
            <w:r>
              <w:rPr>
                <w:lang w:eastAsia="en-NZ"/>
              </w:rPr>
              <w:t>–</w:t>
            </w:r>
          </w:p>
        </w:tc>
        <w:tc>
          <w:tcPr>
            <w:tcW w:w="1117" w:type="pct"/>
            <w:tcBorders>
              <w:top w:val="nil"/>
              <w:bottom w:val="nil"/>
            </w:tcBorders>
            <w:shd w:val="clear" w:color="auto" w:fill="auto"/>
          </w:tcPr>
          <w:p w:rsidR="00853A74" w:rsidRPr="00E304CF" w:rsidRDefault="009B3054" w:rsidP="009B3054">
            <w:pPr>
              <w:pStyle w:val="TableText"/>
              <w:ind w:right="142"/>
              <w:jc w:val="center"/>
              <w:rPr>
                <w:lang w:eastAsia="en-NZ"/>
              </w:rPr>
            </w:pPr>
            <w:r>
              <w:rPr>
                <w:lang w:eastAsia="en-NZ"/>
              </w:rPr>
              <w:t>–</w:t>
            </w:r>
          </w:p>
        </w:tc>
        <w:tc>
          <w:tcPr>
            <w:tcW w:w="707" w:type="pct"/>
            <w:tcBorders>
              <w:top w:val="nil"/>
              <w:bottom w:val="nil"/>
            </w:tcBorders>
            <w:shd w:val="clear" w:color="auto" w:fill="auto"/>
          </w:tcPr>
          <w:p w:rsidR="00853A74" w:rsidRPr="00E304CF" w:rsidRDefault="00853A74" w:rsidP="009B3054">
            <w:pPr>
              <w:pStyle w:val="TableText"/>
              <w:ind w:right="142"/>
              <w:rPr>
                <w:lang w:eastAsia="en-NZ"/>
              </w:rPr>
            </w:pPr>
            <w:r w:rsidRPr="00E304CF">
              <w:rPr>
                <w:lang w:eastAsia="en-NZ"/>
              </w:rPr>
              <w:t>3 yearly</w:t>
            </w:r>
          </w:p>
        </w:tc>
        <w:tc>
          <w:tcPr>
            <w:tcW w:w="1040" w:type="pct"/>
            <w:tcBorders>
              <w:top w:val="nil"/>
              <w:bottom w:val="nil"/>
            </w:tcBorders>
            <w:shd w:val="clear" w:color="auto" w:fill="auto"/>
          </w:tcPr>
          <w:p w:rsidR="00853A74" w:rsidRPr="00E304CF" w:rsidRDefault="009B3054" w:rsidP="009B3054">
            <w:pPr>
              <w:pStyle w:val="TableText"/>
              <w:jc w:val="center"/>
              <w:rPr>
                <w:lang w:eastAsia="en-NZ"/>
              </w:rPr>
            </w:pPr>
            <w:r>
              <w:rPr>
                <w:lang w:eastAsia="en-NZ"/>
              </w:rPr>
              <w:t>–</w:t>
            </w:r>
          </w:p>
        </w:tc>
      </w:tr>
      <w:tr w:rsidR="009B3054" w:rsidRPr="00E07B1B" w:rsidTr="009B3054">
        <w:trPr>
          <w:cantSplit/>
        </w:trPr>
        <w:tc>
          <w:tcPr>
            <w:tcW w:w="874" w:type="pct"/>
            <w:tcBorders>
              <w:top w:val="nil"/>
              <w:bottom w:val="nil"/>
            </w:tcBorders>
            <w:shd w:val="clear" w:color="auto" w:fill="F2F2F2" w:themeFill="background1" w:themeFillShade="F2"/>
          </w:tcPr>
          <w:p w:rsidR="00853A74" w:rsidRPr="00E304CF" w:rsidRDefault="00853A74" w:rsidP="009B3054">
            <w:pPr>
              <w:pStyle w:val="TableText"/>
              <w:ind w:right="142"/>
              <w:rPr>
                <w:lang w:eastAsia="en-NZ"/>
              </w:rPr>
            </w:pPr>
            <w:r w:rsidRPr="00E304CF">
              <w:rPr>
                <w:lang w:eastAsia="en-NZ"/>
              </w:rPr>
              <w:t>Health Service Executive, Ireland</w:t>
            </w:r>
            <w:r w:rsidR="009B3054">
              <w:rPr>
                <w:lang w:eastAsia="en-NZ"/>
              </w:rPr>
              <w:br/>
            </w:r>
            <w:r w:rsidRPr="00E304CF">
              <w:rPr>
                <w:lang w:eastAsia="en-NZ"/>
              </w:rPr>
              <w:t>(2010)</w:t>
            </w:r>
          </w:p>
        </w:tc>
        <w:tc>
          <w:tcPr>
            <w:tcW w:w="534" w:type="pct"/>
            <w:tcBorders>
              <w:top w:val="nil"/>
              <w:bottom w:val="nil"/>
            </w:tcBorders>
            <w:shd w:val="clear" w:color="auto" w:fill="F2F2F2" w:themeFill="background1" w:themeFillShade="F2"/>
          </w:tcPr>
          <w:p w:rsidR="00853A74" w:rsidRPr="00E304CF" w:rsidRDefault="00853A74" w:rsidP="009B3054">
            <w:pPr>
              <w:pStyle w:val="TableText"/>
              <w:ind w:right="142"/>
              <w:rPr>
                <w:lang w:eastAsia="en-NZ"/>
              </w:rPr>
            </w:pPr>
            <w:r w:rsidRPr="00E304CF">
              <w:rPr>
                <w:lang w:eastAsia="en-NZ"/>
              </w:rPr>
              <w:t>6 weeks</w:t>
            </w:r>
          </w:p>
        </w:tc>
        <w:tc>
          <w:tcPr>
            <w:tcW w:w="728" w:type="pct"/>
            <w:tcBorders>
              <w:top w:val="nil"/>
              <w:bottom w:val="nil"/>
            </w:tcBorders>
            <w:shd w:val="clear" w:color="auto" w:fill="F2F2F2" w:themeFill="background1" w:themeFillShade="F2"/>
          </w:tcPr>
          <w:p w:rsidR="00853A74" w:rsidRPr="00E304CF" w:rsidRDefault="009B3054" w:rsidP="009B3054">
            <w:pPr>
              <w:pStyle w:val="TableText"/>
              <w:ind w:right="142"/>
              <w:rPr>
                <w:lang w:eastAsia="en-NZ"/>
              </w:rPr>
            </w:pPr>
            <w:r>
              <w:rPr>
                <w:lang w:eastAsia="en-NZ"/>
              </w:rPr>
              <w:t>2-hour, 75 g OGTT</w:t>
            </w:r>
          </w:p>
        </w:tc>
        <w:tc>
          <w:tcPr>
            <w:tcW w:w="1117" w:type="pct"/>
            <w:tcBorders>
              <w:top w:val="nil"/>
              <w:bottom w:val="nil"/>
            </w:tcBorders>
            <w:shd w:val="clear" w:color="auto" w:fill="F2F2F2" w:themeFill="background1" w:themeFillShade="F2"/>
          </w:tcPr>
          <w:p w:rsidR="00853A74" w:rsidRPr="00E304CF" w:rsidRDefault="00853A74" w:rsidP="009B3054">
            <w:pPr>
              <w:pStyle w:val="TableText"/>
              <w:ind w:right="142"/>
              <w:rPr>
                <w:lang w:eastAsia="en-NZ"/>
              </w:rPr>
            </w:pPr>
            <w:r w:rsidRPr="00E304CF">
              <w:rPr>
                <w:lang w:eastAsia="en-NZ"/>
              </w:rPr>
              <w:t>IFG: FPG 6.1–6.9 mmol/L and (if</w:t>
            </w:r>
            <w:r w:rsidR="009B3054">
              <w:rPr>
                <w:lang w:eastAsia="en-NZ"/>
              </w:rPr>
              <w:t> </w:t>
            </w:r>
            <w:r w:rsidRPr="00E304CF">
              <w:rPr>
                <w:lang w:eastAsia="en-NZ"/>
              </w:rPr>
              <w:t>measured) 2-hour PG &lt; 7.8 mmol/L</w:t>
            </w:r>
          </w:p>
          <w:p w:rsidR="00853A74" w:rsidRPr="00E304CF" w:rsidRDefault="00853A74" w:rsidP="009B3054">
            <w:pPr>
              <w:pStyle w:val="TableText"/>
              <w:ind w:right="142"/>
              <w:rPr>
                <w:lang w:eastAsia="en-NZ"/>
              </w:rPr>
            </w:pPr>
            <w:r w:rsidRPr="00E304CF">
              <w:rPr>
                <w:lang w:eastAsia="en-NZ"/>
              </w:rPr>
              <w:t>IGT: FPG &lt; 7.0 mmol/L and 2</w:t>
            </w:r>
            <w:r w:rsidR="009B3054">
              <w:rPr>
                <w:lang w:eastAsia="en-NZ"/>
              </w:rPr>
              <w:noBreakHyphen/>
            </w:r>
            <w:r w:rsidRPr="00E304CF">
              <w:rPr>
                <w:lang w:eastAsia="en-NZ"/>
              </w:rPr>
              <w:t>hour PG ≥</w:t>
            </w:r>
            <w:r w:rsidR="009B3054">
              <w:rPr>
                <w:lang w:eastAsia="en-NZ"/>
              </w:rPr>
              <w:t> </w:t>
            </w:r>
            <w:r w:rsidRPr="00E304CF">
              <w:rPr>
                <w:lang w:eastAsia="en-NZ"/>
              </w:rPr>
              <w:t>7.8–&lt; 11.1 mmol/L</w:t>
            </w:r>
          </w:p>
          <w:p w:rsidR="00853A74" w:rsidRPr="00E304CF" w:rsidRDefault="00853A74" w:rsidP="009B3054">
            <w:pPr>
              <w:pStyle w:val="TableText"/>
              <w:ind w:right="142"/>
              <w:rPr>
                <w:lang w:eastAsia="en-NZ"/>
              </w:rPr>
            </w:pPr>
            <w:r w:rsidRPr="00E304CF">
              <w:rPr>
                <w:lang w:eastAsia="en-NZ"/>
              </w:rPr>
              <w:t>Type 2 diabetes: FPG ≥ 7.0 mmol/L or 2-hour PG ≥ 11.1 mmol/L</w:t>
            </w:r>
          </w:p>
        </w:tc>
        <w:tc>
          <w:tcPr>
            <w:tcW w:w="707" w:type="pct"/>
            <w:tcBorders>
              <w:top w:val="nil"/>
              <w:bottom w:val="nil"/>
            </w:tcBorders>
            <w:shd w:val="clear" w:color="auto" w:fill="F2F2F2" w:themeFill="background1" w:themeFillShade="F2"/>
          </w:tcPr>
          <w:p w:rsidR="00853A74" w:rsidRPr="00E304CF" w:rsidRDefault="00853A74" w:rsidP="009B3054">
            <w:pPr>
              <w:pStyle w:val="TableText"/>
              <w:ind w:right="142"/>
              <w:rPr>
                <w:lang w:eastAsia="en-NZ"/>
              </w:rPr>
            </w:pPr>
            <w:r w:rsidRPr="00E304CF">
              <w:rPr>
                <w:lang w:eastAsia="en-NZ"/>
              </w:rPr>
              <w:t>Annually</w:t>
            </w:r>
          </w:p>
        </w:tc>
        <w:tc>
          <w:tcPr>
            <w:tcW w:w="1040" w:type="pct"/>
            <w:tcBorders>
              <w:top w:val="nil"/>
              <w:bottom w:val="nil"/>
            </w:tcBorders>
            <w:shd w:val="clear" w:color="auto" w:fill="F2F2F2" w:themeFill="background1" w:themeFillShade="F2"/>
          </w:tcPr>
          <w:p w:rsidR="00853A74" w:rsidRPr="00E304CF" w:rsidRDefault="00853A74" w:rsidP="00A125BF">
            <w:pPr>
              <w:pStyle w:val="TableText"/>
              <w:rPr>
                <w:lang w:eastAsia="en-NZ"/>
              </w:rPr>
            </w:pPr>
            <w:r w:rsidRPr="00E304CF">
              <w:rPr>
                <w:lang w:eastAsia="en-NZ"/>
              </w:rPr>
              <w:t>Used WHO criteria</w:t>
            </w:r>
            <w:r>
              <w:rPr>
                <w:lang w:eastAsia="en-NZ"/>
              </w:rPr>
              <w:t>.</w:t>
            </w:r>
          </w:p>
        </w:tc>
      </w:tr>
      <w:tr w:rsidR="009B3054" w:rsidRPr="00E07B1B" w:rsidTr="009B3054">
        <w:trPr>
          <w:cantSplit/>
        </w:trPr>
        <w:tc>
          <w:tcPr>
            <w:tcW w:w="874" w:type="pct"/>
            <w:tcBorders>
              <w:top w:val="nil"/>
              <w:bottom w:val="nil"/>
            </w:tcBorders>
            <w:shd w:val="clear" w:color="auto" w:fill="auto"/>
          </w:tcPr>
          <w:p w:rsidR="00853A74" w:rsidRPr="00E304CF" w:rsidRDefault="00853A74" w:rsidP="009B3054">
            <w:pPr>
              <w:pStyle w:val="TableText"/>
              <w:ind w:right="142"/>
              <w:rPr>
                <w:lang w:eastAsia="en-NZ"/>
              </w:rPr>
            </w:pPr>
            <w:r w:rsidRPr="00E304CF">
              <w:rPr>
                <w:lang w:eastAsia="en-NZ"/>
              </w:rPr>
              <w:t>Scottish intercollegiate Guidelines Network</w:t>
            </w:r>
            <w:r w:rsidR="009B3054">
              <w:rPr>
                <w:lang w:eastAsia="en-NZ"/>
              </w:rPr>
              <w:br/>
            </w:r>
            <w:r w:rsidRPr="00E304CF">
              <w:rPr>
                <w:lang w:eastAsia="en-NZ"/>
              </w:rPr>
              <w:t>(SIGN 2010)</w:t>
            </w:r>
          </w:p>
        </w:tc>
        <w:tc>
          <w:tcPr>
            <w:tcW w:w="534" w:type="pct"/>
            <w:tcBorders>
              <w:top w:val="nil"/>
              <w:bottom w:val="nil"/>
            </w:tcBorders>
            <w:shd w:val="clear" w:color="auto" w:fill="auto"/>
          </w:tcPr>
          <w:p w:rsidR="00853A74" w:rsidRPr="00E304CF" w:rsidRDefault="00853A74" w:rsidP="009B3054">
            <w:pPr>
              <w:pStyle w:val="TableText"/>
              <w:ind w:right="142"/>
              <w:rPr>
                <w:lang w:eastAsia="en-NZ"/>
              </w:rPr>
            </w:pPr>
            <w:r w:rsidRPr="00E304CF">
              <w:rPr>
                <w:lang w:eastAsia="en-NZ"/>
              </w:rPr>
              <w:t>≥ 6 weeks</w:t>
            </w:r>
          </w:p>
        </w:tc>
        <w:tc>
          <w:tcPr>
            <w:tcW w:w="728" w:type="pct"/>
            <w:tcBorders>
              <w:top w:val="nil"/>
              <w:bottom w:val="nil"/>
            </w:tcBorders>
            <w:shd w:val="clear" w:color="auto" w:fill="auto"/>
          </w:tcPr>
          <w:p w:rsidR="00853A74" w:rsidRPr="00E304CF" w:rsidRDefault="00853A74" w:rsidP="009B3054">
            <w:pPr>
              <w:pStyle w:val="TableText"/>
              <w:ind w:right="142"/>
              <w:rPr>
                <w:lang w:eastAsia="en-NZ"/>
              </w:rPr>
            </w:pPr>
            <w:r w:rsidRPr="00E304CF">
              <w:rPr>
                <w:lang w:eastAsia="en-NZ"/>
              </w:rPr>
              <w:t>FPG and 75 g OGTT if clinically indicated</w:t>
            </w:r>
          </w:p>
        </w:tc>
        <w:tc>
          <w:tcPr>
            <w:tcW w:w="1117" w:type="pct"/>
            <w:tcBorders>
              <w:top w:val="nil"/>
              <w:bottom w:val="nil"/>
            </w:tcBorders>
            <w:shd w:val="clear" w:color="auto" w:fill="auto"/>
          </w:tcPr>
          <w:p w:rsidR="00853A74" w:rsidRPr="00E304CF" w:rsidRDefault="00853A74" w:rsidP="009B3054">
            <w:pPr>
              <w:pStyle w:val="TableText"/>
              <w:ind w:right="142"/>
              <w:rPr>
                <w:lang w:eastAsia="en-NZ"/>
              </w:rPr>
            </w:pPr>
            <w:r w:rsidRPr="00E304CF">
              <w:rPr>
                <w:lang w:eastAsia="en-NZ"/>
              </w:rPr>
              <w:t>Values not stated</w:t>
            </w:r>
          </w:p>
        </w:tc>
        <w:tc>
          <w:tcPr>
            <w:tcW w:w="707" w:type="pct"/>
            <w:tcBorders>
              <w:top w:val="nil"/>
              <w:bottom w:val="nil"/>
            </w:tcBorders>
            <w:shd w:val="clear" w:color="auto" w:fill="auto"/>
          </w:tcPr>
          <w:p w:rsidR="00853A74" w:rsidRPr="00E304CF" w:rsidRDefault="00853A74" w:rsidP="009B3054">
            <w:pPr>
              <w:pStyle w:val="TableText"/>
              <w:ind w:right="142"/>
              <w:rPr>
                <w:lang w:eastAsia="en-NZ"/>
              </w:rPr>
            </w:pPr>
            <w:r w:rsidRPr="00E304CF">
              <w:rPr>
                <w:lang w:eastAsia="en-NZ"/>
              </w:rPr>
              <w:t>Annually</w:t>
            </w:r>
          </w:p>
          <w:p w:rsidR="00853A74" w:rsidRPr="006543C3" w:rsidRDefault="00853A74" w:rsidP="009B3054">
            <w:pPr>
              <w:pStyle w:val="TableText"/>
              <w:ind w:right="142"/>
            </w:pPr>
            <w:r w:rsidRPr="00E304CF">
              <w:rPr>
                <w:lang w:eastAsia="en-NZ"/>
              </w:rPr>
              <w:t xml:space="preserve">FPG or </w:t>
            </w:r>
            <w:r w:rsidRPr="006543C3">
              <w:t>HbA1c</w:t>
            </w:r>
          </w:p>
        </w:tc>
        <w:tc>
          <w:tcPr>
            <w:tcW w:w="1040" w:type="pct"/>
            <w:tcBorders>
              <w:top w:val="nil"/>
              <w:bottom w:val="nil"/>
            </w:tcBorders>
            <w:shd w:val="clear" w:color="auto" w:fill="auto"/>
          </w:tcPr>
          <w:p w:rsidR="00853A74" w:rsidRPr="00E304CF" w:rsidRDefault="009B3054" w:rsidP="009B3054">
            <w:pPr>
              <w:pStyle w:val="TableText"/>
              <w:jc w:val="center"/>
              <w:rPr>
                <w:lang w:eastAsia="en-NZ"/>
              </w:rPr>
            </w:pPr>
            <w:r>
              <w:rPr>
                <w:lang w:eastAsia="en-NZ"/>
              </w:rPr>
              <w:t>–</w:t>
            </w:r>
          </w:p>
        </w:tc>
      </w:tr>
      <w:tr w:rsidR="009B3054" w:rsidRPr="00E07B1B" w:rsidTr="009B3054">
        <w:trPr>
          <w:cantSplit/>
        </w:trPr>
        <w:tc>
          <w:tcPr>
            <w:tcW w:w="874" w:type="pct"/>
            <w:tcBorders>
              <w:top w:val="nil"/>
              <w:bottom w:val="nil"/>
            </w:tcBorders>
            <w:shd w:val="clear" w:color="auto" w:fill="F2F2F2" w:themeFill="background1" w:themeFillShade="F2"/>
          </w:tcPr>
          <w:p w:rsidR="00853A74" w:rsidRPr="00E304CF" w:rsidRDefault="00853A74" w:rsidP="009B3054">
            <w:pPr>
              <w:pStyle w:val="TableText"/>
              <w:ind w:right="142"/>
              <w:rPr>
                <w:lang w:eastAsia="en-NZ"/>
              </w:rPr>
            </w:pPr>
            <w:r w:rsidRPr="00E304CF">
              <w:rPr>
                <w:lang w:eastAsia="en-NZ"/>
              </w:rPr>
              <w:t>Brazilian Diabetes Association and Brazilian Federations of Gynecology and Obstetrics Consensus Group (Negrato 2010)</w:t>
            </w:r>
          </w:p>
        </w:tc>
        <w:tc>
          <w:tcPr>
            <w:tcW w:w="534" w:type="pct"/>
            <w:tcBorders>
              <w:top w:val="nil"/>
              <w:bottom w:val="nil"/>
            </w:tcBorders>
            <w:shd w:val="clear" w:color="auto" w:fill="F2F2F2" w:themeFill="background1" w:themeFillShade="F2"/>
          </w:tcPr>
          <w:p w:rsidR="00853A74" w:rsidRPr="00E304CF" w:rsidRDefault="00853A74" w:rsidP="009B3054">
            <w:pPr>
              <w:pStyle w:val="TableText"/>
              <w:ind w:right="142"/>
              <w:rPr>
                <w:lang w:eastAsia="en-NZ"/>
              </w:rPr>
            </w:pPr>
            <w:r w:rsidRPr="00E304CF">
              <w:rPr>
                <w:lang w:eastAsia="en-NZ"/>
              </w:rPr>
              <w:t>6 weeks</w:t>
            </w:r>
          </w:p>
        </w:tc>
        <w:tc>
          <w:tcPr>
            <w:tcW w:w="728" w:type="pct"/>
            <w:tcBorders>
              <w:top w:val="nil"/>
              <w:bottom w:val="nil"/>
            </w:tcBorders>
            <w:shd w:val="clear" w:color="auto" w:fill="F2F2F2" w:themeFill="background1" w:themeFillShade="F2"/>
          </w:tcPr>
          <w:p w:rsidR="00853A74" w:rsidRPr="00E304CF" w:rsidRDefault="00853A74" w:rsidP="009B3054">
            <w:pPr>
              <w:pStyle w:val="TableText"/>
              <w:ind w:right="142"/>
              <w:rPr>
                <w:lang w:eastAsia="en-NZ"/>
              </w:rPr>
            </w:pPr>
            <w:r w:rsidRPr="00E304CF">
              <w:rPr>
                <w:lang w:eastAsia="en-NZ"/>
              </w:rPr>
              <w:t>75 g OGTT</w:t>
            </w:r>
          </w:p>
        </w:tc>
        <w:tc>
          <w:tcPr>
            <w:tcW w:w="1117" w:type="pct"/>
            <w:tcBorders>
              <w:top w:val="nil"/>
              <w:bottom w:val="nil"/>
            </w:tcBorders>
            <w:shd w:val="clear" w:color="auto" w:fill="F2F2F2" w:themeFill="background1" w:themeFillShade="F2"/>
          </w:tcPr>
          <w:p w:rsidR="00853A74" w:rsidRPr="00E304CF" w:rsidRDefault="00853A74" w:rsidP="009B3054">
            <w:pPr>
              <w:pStyle w:val="TableText"/>
              <w:ind w:right="142"/>
              <w:rPr>
                <w:lang w:eastAsia="en-NZ"/>
              </w:rPr>
            </w:pPr>
            <w:r w:rsidRPr="00E304CF">
              <w:rPr>
                <w:lang w:eastAsia="en-NZ"/>
              </w:rPr>
              <w:t>IFG: FPG 5.5–6.9 mmol/L and 2</w:t>
            </w:r>
            <w:r w:rsidR="009B3054">
              <w:rPr>
                <w:lang w:eastAsia="en-NZ"/>
              </w:rPr>
              <w:noBreakHyphen/>
            </w:r>
            <w:r w:rsidRPr="00E304CF">
              <w:rPr>
                <w:lang w:eastAsia="en-NZ"/>
              </w:rPr>
              <w:t>hour PG ≥ 6.94 mmol/L</w:t>
            </w:r>
          </w:p>
          <w:p w:rsidR="00853A74" w:rsidRPr="00E304CF" w:rsidRDefault="00853A74" w:rsidP="009B3054">
            <w:pPr>
              <w:pStyle w:val="TableText"/>
              <w:ind w:right="142"/>
              <w:rPr>
                <w:lang w:eastAsia="en-NZ"/>
              </w:rPr>
            </w:pPr>
            <w:r w:rsidRPr="00E304CF">
              <w:rPr>
                <w:lang w:eastAsia="en-NZ"/>
              </w:rPr>
              <w:t>IGT: 2-hour PG</w:t>
            </w:r>
            <w:r w:rsidR="009B3054">
              <w:rPr>
                <w:lang w:eastAsia="en-NZ"/>
              </w:rPr>
              <w:br/>
            </w:r>
            <w:r w:rsidRPr="00E304CF">
              <w:rPr>
                <w:lang w:eastAsia="en-NZ"/>
              </w:rPr>
              <w:t>7.8–11.06 mmol/L</w:t>
            </w:r>
          </w:p>
          <w:p w:rsidR="00853A74" w:rsidRPr="00E304CF" w:rsidRDefault="00853A74" w:rsidP="009B3054">
            <w:pPr>
              <w:pStyle w:val="TableText"/>
              <w:ind w:right="142"/>
              <w:rPr>
                <w:lang w:eastAsia="en-NZ"/>
              </w:rPr>
            </w:pPr>
            <w:r w:rsidRPr="00E304CF">
              <w:rPr>
                <w:lang w:eastAsia="en-NZ"/>
              </w:rPr>
              <w:t>Type 2 diabetes: FPG ≥ 7 mmol/L or 2-hour PG ≥ 11.1 mmol/L</w:t>
            </w:r>
          </w:p>
          <w:p w:rsidR="00853A74" w:rsidRPr="00E304CF" w:rsidRDefault="00853A74" w:rsidP="009B3054">
            <w:pPr>
              <w:pStyle w:val="TableText"/>
              <w:ind w:right="142"/>
              <w:rPr>
                <w:lang w:eastAsia="en-NZ"/>
              </w:rPr>
            </w:pPr>
            <w:r w:rsidRPr="00E304CF">
              <w:rPr>
                <w:lang w:eastAsia="en-NZ"/>
              </w:rPr>
              <w:t>HbA</w:t>
            </w:r>
            <w:r w:rsidRPr="006543C3">
              <w:t xml:space="preserve">1c </w:t>
            </w:r>
            <w:r w:rsidRPr="00E304CF">
              <w:rPr>
                <w:lang w:eastAsia="en-NZ"/>
              </w:rPr>
              <w:t>&gt; 6.5%</w:t>
            </w:r>
          </w:p>
        </w:tc>
        <w:tc>
          <w:tcPr>
            <w:tcW w:w="707" w:type="pct"/>
            <w:tcBorders>
              <w:top w:val="nil"/>
              <w:bottom w:val="nil"/>
            </w:tcBorders>
            <w:shd w:val="clear" w:color="auto" w:fill="F2F2F2" w:themeFill="background1" w:themeFillShade="F2"/>
          </w:tcPr>
          <w:p w:rsidR="00853A74" w:rsidRPr="00E304CF" w:rsidRDefault="00853A74" w:rsidP="009B3054">
            <w:pPr>
              <w:pStyle w:val="TableText"/>
              <w:ind w:right="142"/>
              <w:rPr>
                <w:lang w:eastAsia="en-NZ"/>
              </w:rPr>
            </w:pPr>
            <w:r w:rsidRPr="00E304CF">
              <w:rPr>
                <w:lang w:eastAsia="en-NZ"/>
              </w:rPr>
              <w:t>Annual FPG. Women should be screened for diabetes when planning other pregnancies and have an OGTT early in pregnancy</w:t>
            </w:r>
          </w:p>
        </w:tc>
        <w:tc>
          <w:tcPr>
            <w:tcW w:w="1040" w:type="pct"/>
            <w:tcBorders>
              <w:top w:val="nil"/>
              <w:bottom w:val="nil"/>
            </w:tcBorders>
            <w:shd w:val="clear" w:color="auto" w:fill="F2F2F2" w:themeFill="background1" w:themeFillShade="F2"/>
          </w:tcPr>
          <w:p w:rsidR="00853A74" w:rsidRPr="00E304CF" w:rsidRDefault="00853A74" w:rsidP="00A125BF">
            <w:pPr>
              <w:pStyle w:val="TableText"/>
              <w:rPr>
                <w:lang w:eastAsia="en-NZ"/>
              </w:rPr>
            </w:pPr>
            <w:r w:rsidRPr="00E304CF">
              <w:rPr>
                <w:lang w:eastAsia="en-NZ"/>
              </w:rPr>
              <w:t>Remind women of symptoms of hyperglycaemia</w:t>
            </w:r>
          </w:p>
        </w:tc>
      </w:tr>
      <w:tr w:rsidR="009B3054" w:rsidRPr="00E07B1B" w:rsidTr="00F26D17">
        <w:trPr>
          <w:cantSplit/>
        </w:trPr>
        <w:tc>
          <w:tcPr>
            <w:tcW w:w="874" w:type="pct"/>
            <w:tcBorders>
              <w:top w:val="nil"/>
              <w:bottom w:val="nil"/>
            </w:tcBorders>
            <w:shd w:val="clear" w:color="auto" w:fill="auto"/>
          </w:tcPr>
          <w:p w:rsidR="00853A74" w:rsidRPr="00E304CF" w:rsidRDefault="00853A74" w:rsidP="009B3054">
            <w:pPr>
              <w:pStyle w:val="TableText"/>
              <w:ind w:right="142"/>
              <w:rPr>
                <w:lang w:eastAsia="en-NZ"/>
              </w:rPr>
            </w:pPr>
            <w:r w:rsidRPr="00E304CF">
              <w:rPr>
                <w:lang w:eastAsia="en-NZ"/>
              </w:rPr>
              <w:t>European Evidence-Based Guideline for the Prevention of Type 2 Diabetes</w:t>
            </w:r>
            <w:r w:rsidR="009B3054">
              <w:rPr>
                <w:lang w:eastAsia="en-NZ"/>
              </w:rPr>
              <w:br/>
            </w:r>
            <w:r w:rsidRPr="00E304CF">
              <w:rPr>
                <w:lang w:eastAsia="en-NZ"/>
              </w:rPr>
              <w:t>(Paulweber 2010)</w:t>
            </w:r>
          </w:p>
        </w:tc>
        <w:tc>
          <w:tcPr>
            <w:tcW w:w="534" w:type="pct"/>
            <w:tcBorders>
              <w:top w:val="nil"/>
              <w:bottom w:val="nil"/>
            </w:tcBorders>
            <w:shd w:val="clear" w:color="auto" w:fill="auto"/>
          </w:tcPr>
          <w:p w:rsidR="00853A74" w:rsidRPr="00E304CF" w:rsidRDefault="00853A74" w:rsidP="009B3054">
            <w:pPr>
              <w:pStyle w:val="TableText"/>
              <w:ind w:right="142"/>
              <w:rPr>
                <w:lang w:eastAsia="en-NZ"/>
              </w:rPr>
            </w:pPr>
            <w:r w:rsidRPr="00E304CF">
              <w:rPr>
                <w:lang w:eastAsia="en-NZ"/>
              </w:rPr>
              <w:t>6–12 weeks</w:t>
            </w:r>
          </w:p>
        </w:tc>
        <w:tc>
          <w:tcPr>
            <w:tcW w:w="728" w:type="pct"/>
            <w:tcBorders>
              <w:top w:val="nil"/>
              <w:bottom w:val="nil"/>
            </w:tcBorders>
            <w:shd w:val="clear" w:color="auto" w:fill="auto"/>
          </w:tcPr>
          <w:p w:rsidR="00853A74" w:rsidRPr="00E304CF" w:rsidRDefault="00853A74" w:rsidP="009B3054">
            <w:pPr>
              <w:pStyle w:val="TableText"/>
              <w:ind w:right="142"/>
              <w:rPr>
                <w:lang w:eastAsia="en-NZ"/>
              </w:rPr>
            </w:pPr>
            <w:r w:rsidRPr="00E304CF">
              <w:rPr>
                <w:lang w:eastAsia="en-NZ"/>
              </w:rPr>
              <w:t>OGTT (no other details)</w:t>
            </w:r>
          </w:p>
        </w:tc>
        <w:tc>
          <w:tcPr>
            <w:tcW w:w="1117" w:type="pct"/>
            <w:tcBorders>
              <w:top w:val="nil"/>
              <w:bottom w:val="nil"/>
            </w:tcBorders>
            <w:shd w:val="clear" w:color="auto" w:fill="auto"/>
          </w:tcPr>
          <w:p w:rsidR="00853A74" w:rsidRPr="00E304CF" w:rsidRDefault="00853A74" w:rsidP="009B3054">
            <w:pPr>
              <w:pStyle w:val="TableText"/>
              <w:ind w:right="142"/>
              <w:rPr>
                <w:lang w:eastAsia="en-NZ"/>
              </w:rPr>
            </w:pPr>
            <w:r w:rsidRPr="00E304CF">
              <w:rPr>
                <w:lang w:eastAsia="en-NZ"/>
              </w:rPr>
              <w:t>No details</w:t>
            </w:r>
          </w:p>
        </w:tc>
        <w:tc>
          <w:tcPr>
            <w:tcW w:w="707" w:type="pct"/>
            <w:tcBorders>
              <w:top w:val="nil"/>
              <w:bottom w:val="nil"/>
            </w:tcBorders>
            <w:shd w:val="clear" w:color="auto" w:fill="auto"/>
          </w:tcPr>
          <w:p w:rsidR="00853A74" w:rsidRPr="00E304CF" w:rsidRDefault="00853A74" w:rsidP="009B3054">
            <w:pPr>
              <w:pStyle w:val="TableText"/>
              <w:ind w:right="142"/>
              <w:rPr>
                <w:lang w:eastAsia="en-NZ"/>
              </w:rPr>
            </w:pPr>
            <w:r w:rsidRPr="00E304CF">
              <w:rPr>
                <w:lang w:eastAsia="en-NZ"/>
              </w:rPr>
              <w:t>1-year OGTT and then annually OGTT, FPG triannually</w:t>
            </w:r>
          </w:p>
        </w:tc>
        <w:tc>
          <w:tcPr>
            <w:tcW w:w="1040" w:type="pct"/>
            <w:tcBorders>
              <w:top w:val="nil"/>
              <w:bottom w:val="nil"/>
            </w:tcBorders>
            <w:shd w:val="clear" w:color="auto" w:fill="auto"/>
          </w:tcPr>
          <w:p w:rsidR="00853A74" w:rsidRPr="00E304CF" w:rsidRDefault="00853A74" w:rsidP="00F26D17">
            <w:pPr>
              <w:pStyle w:val="TableText"/>
              <w:rPr>
                <w:lang w:eastAsia="en-NZ"/>
              </w:rPr>
            </w:pPr>
            <w:r w:rsidRPr="00E304CF">
              <w:rPr>
                <w:lang w:eastAsia="en-NZ"/>
              </w:rPr>
              <w:t>FPG should be conducted pre</w:t>
            </w:r>
            <w:r w:rsidR="00F26D17">
              <w:rPr>
                <w:lang w:eastAsia="en-NZ"/>
              </w:rPr>
              <w:noBreakHyphen/>
            </w:r>
            <w:r w:rsidRPr="00E304CF">
              <w:rPr>
                <w:lang w:eastAsia="en-NZ"/>
              </w:rPr>
              <w:t>pregnancy to establish glucose levels.</w:t>
            </w:r>
          </w:p>
        </w:tc>
      </w:tr>
      <w:tr w:rsidR="009B3054" w:rsidRPr="00E07B1B" w:rsidTr="00F26D17">
        <w:trPr>
          <w:cantSplit/>
        </w:trPr>
        <w:tc>
          <w:tcPr>
            <w:tcW w:w="874" w:type="pct"/>
            <w:tcBorders>
              <w:top w:val="nil"/>
              <w:bottom w:val="nil"/>
            </w:tcBorders>
            <w:shd w:val="clear" w:color="auto" w:fill="F2F2F2" w:themeFill="background1" w:themeFillShade="F2"/>
          </w:tcPr>
          <w:p w:rsidR="00853A74" w:rsidRPr="00E304CF" w:rsidRDefault="00853A74" w:rsidP="009B3054">
            <w:pPr>
              <w:pStyle w:val="TableText"/>
              <w:ind w:right="142"/>
              <w:rPr>
                <w:lang w:eastAsia="en-NZ"/>
              </w:rPr>
            </w:pPr>
            <w:r w:rsidRPr="00E304CF">
              <w:rPr>
                <w:lang w:eastAsia="en-NZ"/>
              </w:rPr>
              <w:t>American College of Obstetricians and Gynecologists</w:t>
            </w:r>
            <w:r w:rsidR="009B3054">
              <w:rPr>
                <w:lang w:eastAsia="en-NZ"/>
              </w:rPr>
              <w:br/>
            </w:r>
            <w:r w:rsidRPr="00E304CF">
              <w:rPr>
                <w:lang w:eastAsia="en-NZ"/>
              </w:rPr>
              <w:t>(2001, 2009)</w:t>
            </w:r>
          </w:p>
        </w:tc>
        <w:tc>
          <w:tcPr>
            <w:tcW w:w="534" w:type="pct"/>
            <w:tcBorders>
              <w:top w:val="nil"/>
              <w:bottom w:val="nil"/>
            </w:tcBorders>
            <w:shd w:val="clear" w:color="auto" w:fill="F2F2F2" w:themeFill="background1" w:themeFillShade="F2"/>
          </w:tcPr>
          <w:p w:rsidR="00853A74" w:rsidRPr="00E304CF" w:rsidRDefault="00853A74" w:rsidP="009B3054">
            <w:pPr>
              <w:pStyle w:val="TableText"/>
              <w:ind w:right="142"/>
              <w:rPr>
                <w:lang w:eastAsia="en-NZ"/>
              </w:rPr>
            </w:pPr>
            <w:r w:rsidRPr="00E304CF">
              <w:rPr>
                <w:lang w:eastAsia="en-NZ"/>
              </w:rPr>
              <w:t>6</w:t>
            </w:r>
            <w:r>
              <w:rPr>
                <w:lang w:eastAsia="en-NZ"/>
              </w:rPr>
              <w:t>–</w:t>
            </w:r>
            <w:r w:rsidRPr="00E304CF">
              <w:rPr>
                <w:lang w:eastAsia="en-NZ"/>
              </w:rPr>
              <w:t>12 weeks</w:t>
            </w:r>
          </w:p>
        </w:tc>
        <w:tc>
          <w:tcPr>
            <w:tcW w:w="728" w:type="pct"/>
            <w:tcBorders>
              <w:top w:val="nil"/>
              <w:bottom w:val="nil"/>
            </w:tcBorders>
            <w:shd w:val="clear" w:color="auto" w:fill="F2F2F2" w:themeFill="background1" w:themeFillShade="F2"/>
          </w:tcPr>
          <w:p w:rsidR="00853A74" w:rsidRPr="00E304CF" w:rsidRDefault="00853A74" w:rsidP="009B3054">
            <w:pPr>
              <w:pStyle w:val="TableText"/>
              <w:ind w:right="142"/>
              <w:rPr>
                <w:lang w:eastAsia="en-NZ"/>
              </w:rPr>
            </w:pPr>
            <w:r w:rsidRPr="00E304CF">
              <w:rPr>
                <w:lang w:eastAsia="en-NZ"/>
              </w:rPr>
              <w:t>75 g, 2-hour OGTT might be more advantageous than FPG as the initial test</w:t>
            </w:r>
          </w:p>
        </w:tc>
        <w:tc>
          <w:tcPr>
            <w:tcW w:w="1117" w:type="pct"/>
            <w:tcBorders>
              <w:top w:val="nil"/>
              <w:bottom w:val="nil"/>
            </w:tcBorders>
            <w:shd w:val="clear" w:color="auto" w:fill="F2F2F2" w:themeFill="background1" w:themeFillShade="F2"/>
          </w:tcPr>
          <w:p w:rsidR="00853A74" w:rsidRPr="00E304CF" w:rsidRDefault="00853A74" w:rsidP="009B3054">
            <w:pPr>
              <w:pStyle w:val="TableText"/>
              <w:ind w:right="142"/>
              <w:rPr>
                <w:lang w:eastAsia="en-NZ"/>
              </w:rPr>
            </w:pPr>
            <w:r w:rsidRPr="00E304CF">
              <w:rPr>
                <w:lang w:eastAsia="en-NZ"/>
              </w:rPr>
              <w:t>IFG (FPG or OGTT): FPG is</w:t>
            </w:r>
            <w:r w:rsidR="009B3054">
              <w:rPr>
                <w:lang w:eastAsia="en-NZ"/>
              </w:rPr>
              <w:br/>
            </w:r>
            <w:r w:rsidRPr="00E304CF">
              <w:rPr>
                <w:lang w:eastAsia="en-NZ"/>
              </w:rPr>
              <w:t>100–125 mg/dL</w:t>
            </w:r>
          </w:p>
          <w:p w:rsidR="00853A74" w:rsidRDefault="00853A74" w:rsidP="009B3054">
            <w:pPr>
              <w:pStyle w:val="TableText"/>
              <w:ind w:right="142"/>
              <w:rPr>
                <w:lang w:eastAsia="en-NZ"/>
              </w:rPr>
            </w:pPr>
            <w:r w:rsidRPr="00E304CF">
              <w:rPr>
                <w:lang w:eastAsia="en-NZ"/>
              </w:rPr>
              <w:t>IGT: OGTT only 2-hour plasma glucose 140–199 mg/dL</w:t>
            </w:r>
          </w:p>
          <w:p w:rsidR="00853A74" w:rsidRPr="00E304CF" w:rsidRDefault="00853A74" w:rsidP="009B3054">
            <w:pPr>
              <w:pStyle w:val="TableText"/>
              <w:ind w:right="142"/>
              <w:rPr>
                <w:lang w:eastAsia="en-NZ"/>
              </w:rPr>
            </w:pPr>
            <w:r w:rsidRPr="00E304CF">
              <w:rPr>
                <w:lang w:eastAsia="en-NZ"/>
              </w:rPr>
              <w:t>Type 2 diabetes: FPG ≥</w:t>
            </w:r>
            <w:r w:rsidR="009B3054">
              <w:rPr>
                <w:lang w:eastAsia="en-NZ"/>
              </w:rPr>
              <w:t> </w:t>
            </w:r>
            <w:r w:rsidRPr="00E304CF">
              <w:rPr>
                <w:lang w:eastAsia="en-NZ"/>
              </w:rPr>
              <w:t>126mg/dL, or OGTT FPG ≥</w:t>
            </w:r>
            <w:r w:rsidR="009B3054">
              <w:rPr>
                <w:lang w:eastAsia="en-NZ"/>
              </w:rPr>
              <w:t> </w:t>
            </w:r>
            <w:r w:rsidRPr="00E304CF">
              <w:rPr>
                <w:lang w:eastAsia="en-NZ"/>
              </w:rPr>
              <w:t>126</w:t>
            </w:r>
            <w:r w:rsidR="009B3054">
              <w:rPr>
                <w:lang w:eastAsia="en-NZ"/>
              </w:rPr>
              <w:t> </w:t>
            </w:r>
            <w:r w:rsidRPr="00E304CF">
              <w:rPr>
                <w:lang w:eastAsia="en-NZ"/>
              </w:rPr>
              <w:t>mg/dL or 2</w:t>
            </w:r>
            <w:r>
              <w:rPr>
                <w:lang w:eastAsia="en-NZ"/>
              </w:rPr>
              <w:t>-</w:t>
            </w:r>
            <w:r w:rsidRPr="00E304CF">
              <w:rPr>
                <w:lang w:eastAsia="en-NZ"/>
              </w:rPr>
              <w:t>hour plasma glucose ≥</w:t>
            </w:r>
            <w:r>
              <w:rPr>
                <w:lang w:eastAsia="en-NZ"/>
              </w:rPr>
              <w:t> </w:t>
            </w:r>
            <w:r w:rsidRPr="00E304CF">
              <w:rPr>
                <w:lang w:eastAsia="en-NZ"/>
              </w:rPr>
              <w:t>126</w:t>
            </w:r>
            <w:r>
              <w:rPr>
                <w:lang w:eastAsia="en-NZ"/>
              </w:rPr>
              <w:t> </w:t>
            </w:r>
            <w:r w:rsidRPr="00E304CF">
              <w:rPr>
                <w:lang w:eastAsia="en-NZ"/>
              </w:rPr>
              <w:t>mg</w:t>
            </w:r>
            <w:r>
              <w:rPr>
                <w:lang w:eastAsia="en-NZ"/>
              </w:rPr>
              <w:t>/dL-2</w:t>
            </w:r>
            <w:r w:rsidRPr="00E304CF">
              <w:rPr>
                <w:lang w:eastAsia="en-NZ"/>
              </w:rPr>
              <w:t>00</w:t>
            </w:r>
            <w:r>
              <w:rPr>
                <w:lang w:eastAsia="en-NZ"/>
              </w:rPr>
              <w:t xml:space="preserve"> </w:t>
            </w:r>
            <w:r w:rsidRPr="00E304CF">
              <w:rPr>
                <w:lang w:eastAsia="en-NZ"/>
              </w:rPr>
              <w:t>mg/dL</w:t>
            </w:r>
          </w:p>
        </w:tc>
        <w:tc>
          <w:tcPr>
            <w:tcW w:w="707" w:type="pct"/>
            <w:tcBorders>
              <w:top w:val="nil"/>
              <w:bottom w:val="nil"/>
            </w:tcBorders>
            <w:shd w:val="clear" w:color="auto" w:fill="F2F2F2" w:themeFill="background1" w:themeFillShade="F2"/>
          </w:tcPr>
          <w:p w:rsidR="00853A74" w:rsidRPr="00E304CF" w:rsidRDefault="00853A74" w:rsidP="009B3054">
            <w:pPr>
              <w:pStyle w:val="TableText"/>
              <w:ind w:right="142"/>
              <w:rPr>
                <w:lang w:eastAsia="en-NZ"/>
              </w:rPr>
            </w:pPr>
            <w:r w:rsidRPr="00E304CF">
              <w:rPr>
                <w:lang w:eastAsia="en-NZ"/>
              </w:rPr>
              <w:t>Annual follow-up</w:t>
            </w:r>
          </w:p>
          <w:p w:rsidR="00853A74" w:rsidRPr="00E304CF" w:rsidRDefault="00853A74" w:rsidP="009B3054">
            <w:pPr>
              <w:pStyle w:val="TableText"/>
              <w:ind w:right="142"/>
              <w:rPr>
                <w:lang w:eastAsia="en-NZ"/>
              </w:rPr>
            </w:pPr>
            <w:r w:rsidRPr="00E304CF">
              <w:rPr>
                <w:lang w:eastAsia="en-NZ"/>
              </w:rPr>
              <w:t>FPG can be used in subsequent testing if both FPG and OGTT are normal postpartum</w:t>
            </w:r>
          </w:p>
        </w:tc>
        <w:tc>
          <w:tcPr>
            <w:tcW w:w="1040" w:type="pct"/>
            <w:tcBorders>
              <w:top w:val="nil"/>
              <w:bottom w:val="nil"/>
            </w:tcBorders>
            <w:shd w:val="clear" w:color="auto" w:fill="F2F2F2" w:themeFill="background1" w:themeFillShade="F2"/>
          </w:tcPr>
          <w:p w:rsidR="00853A74" w:rsidRDefault="00853A74" w:rsidP="00A125BF">
            <w:pPr>
              <w:pStyle w:val="TableText"/>
              <w:rPr>
                <w:lang w:eastAsia="en-NZ"/>
              </w:rPr>
            </w:pPr>
            <w:r w:rsidRPr="00E304CF">
              <w:rPr>
                <w:lang w:eastAsia="en-NZ"/>
              </w:rPr>
              <w:t>Individuals with IFG/IGT should be counselled about diet, exercise and weight reduction or maintenance. Metformin might be considered.</w:t>
            </w:r>
          </w:p>
          <w:p w:rsidR="00853A74" w:rsidRPr="00E304CF" w:rsidRDefault="00853A74" w:rsidP="00A125BF">
            <w:pPr>
              <w:pStyle w:val="TableText"/>
              <w:rPr>
                <w:lang w:eastAsia="en-NZ"/>
              </w:rPr>
            </w:pPr>
            <w:r w:rsidRPr="00E304CF">
              <w:rPr>
                <w:lang w:eastAsia="en-NZ"/>
              </w:rPr>
              <w:t>For women with normal postpartum screening, glycaemic status should be assessed 3</w:t>
            </w:r>
            <w:r w:rsidR="009B3054">
              <w:rPr>
                <w:lang w:eastAsia="en-NZ"/>
              </w:rPr>
              <w:noBreakHyphen/>
            </w:r>
            <w:r w:rsidRPr="00E304CF">
              <w:rPr>
                <w:lang w:eastAsia="en-NZ"/>
              </w:rPr>
              <w:t>yearly and counselled as necessary for weight loss and physical activity.</w:t>
            </w:r>
          </w:p>
          <w:p w:rsidR="00853A74" w:rsidRPr="00E304CF" w:rsidRDefault="00853A74" w:rsidP="00A125BF">
            <w:pPr>
              <w:pStyle w:val="TableText"/>
              <w:rPr>
                <w:lang w:eastAsia="en-NZ"/>
              </w:rPr>
            </w:pPr>
            <w:r w:rsidRPr="00E304CF">
              <w:rPr>
                <w:lang w:eastAsia="en-NZ"/>
              </w:rPr>
              <w:t>Patients with IGT should be identified for future pregnancy counselling.</w:t>
            </w:r>
          </w:p>
        </w:tc>
      </w:tr>
      <w:tr w:rsidR="009B3054" w:rsidRPr="00E07B1B" w:rsidTr="00F26D17">
        <w:trPr>
          <w:cantSplit/>
        </w:trPr>
        <w:tc>
          <w:tcPr>
            <w:tcW w:w="874" w:type="pct"/>
            <w:tcBorders>
              <w:top w:val="nil"/>
              <w:bottom w:val="nil"/>
            </w:tcBorders>
            <w:shd w:val="clear" w:color="auto" w:fill="auto"/>
          </w:tcPr>
          <w:p w:rsidR="00853A74" w:rsidRPr="00E304CF" w:rsidRDefault="00853A74" w:rsidP="00F26D17">
            <w:pPr>
              <w:pStyle w:val="TableText"/>
              <w:ind w:right="142"/>
              <w:rPr>
                <w:lang w:eastAsia="en-NZ"/>
              </w:rPr>
            </w:pPr>
            <w:r w:rsidRPr="00E304CF">
              <w:rPr>
                <w:lang w:eastAsia="en-NZ"/>
              </w:rPr>
              <w:t>World Health Organization</w:t>
            </w:r>
            <w:r w:rsidR="00F26D17">
              <w:rPr>
                <w:lang w:eastAsia="en-NZ"/>
              </w:rPr>
              <w:br/>
            </w:r>
            <w:r w:rsidRPr="00E304CF">
              <w:rPr>
                <w:lang w:eastAsia="en-NZ"/>
              </w:rPr>
              <w:t>(WHO 2006)</w:t>
            </w:r>
          </w:p>
        </w:tc>
        <w:tc>
          <w:tcPr>
            <w:tcW w:w="534" w:type="pct"/>
            <w:tcBorders>
              <w:top w:val="nil"/>
              <w:bottom w:val="nil"/>
            </w:tcBorders>
            <w:shd w:val="clear" w:color="auto" w:fill="auto"/>
          </w:tcPr>
          <w:p w:rsidR="00853A74" w:rsidRPr="00E304CF" w:rsidRDefault="00853A74" w:rsidP="00F26D17">
            <w:pPr>
              <w:pStyle w:val="TableText"/>
              <w:ind w:right="142"/>
              <w:rPr>
                <w:lang w:eastAsia="en-NZ"/>
              </w:rPr>
            </w:pPr>
            <w:r w:rsidRPr="00E304CF">
              <w:rPr>
                <w:lang w:eastAsia="en-NZ"/>
              </w:rPr>
              <w:t>≥ 6 weeks</w:t>
            </w:r>
          </w:p>
        </w:tc>
        <w:tc>
          <w:tcPr>
            <w:tcW w:w="728" w:type="pct"/>
            <w:tcBorders>
              <w:top w:val="nil"/>
              <w:bottom w:val="nil"/>
            </w:tcBorders>
            <w:shd w:val="clear" w:color="auto" w:fill="auto"/>
          </w:tcPr>
          <w:p w:rsidR="00853A74" w:rsidRPr="00E304CF" w:rsidRDefault="00853A74" w:rsidP="009B3054">
            <w:pPr>
              <w:pStyle w:val="TableText"/>
              <w:ind w:right="142"/>
              <w:rPr>
                <w:lang w:eastAsia="en-NZ"/>
              </w:rPr>
            </w:pPr>
            <w:r w:rsidRPr="00E304CF">
              <w:rPr>
                <w:lang w:eastAsia="en-NZ"/>
              </w:rPr>
              <w:t>75 g OGTT</w:t>
            </w:r>
          </w:p>
        </w:tc>
        <w:tc>
          <w:tcPr>
            <w:tcW w:w="1117" w:type="pct"/>
            <w:tcBorders>
              <w:top w:val="nil"/>
              <w:bottom w:val="nil"/>
            </w:tcBorders>
            <w:shd w:val="clear" w:color="auto" w:fill="auto"/>
          </w:tcPr>
          <w:p w:rsidR="00853A74" w:rsidRPr="00E304CF" w:rsidRDefault="00853A74" w:rsidP="009B3054">
            <w:pPr>
              <w:pStyle w:val="TableText"/>
              <w:ind w:right="142"/>
              <w:rPr>
                <w:lang w:eastAsia="en-NZ"/>
              </w:rPr>
            </w:pPr>
            <w:r w:rsidRPr="00E304CF">
              <w:rPr>
                <w:lang w:eastAsia="en-NZ"/>
              </w:rPr>
              <w:t>Normal: FPG &lt; 6.1 and 2-hour PG &lt; 7.8</w:t>
            </w:r>
          </w:p>
          <w:p w:rsidR="00853A74" w:rsidRPr="00E304CF" w:rsidRDefault="00853A74" w:rsidP="009B3054">
            <w:pPr>
              <w:pStyle w:val="TableText"/>
              <w:ind w:right="142"/>
              <w:rPr>
                <w:lang w:eastAsia="en-NZ"/>
              </w:rPr>
            </w:pPr>
            <w:r w:rsidRPr="00E304CF">
              <w:rPr>
                <w:lang w:eastAsia="en-NZ"/>
              </w:rPr>
              <w:t xml:space="preserve">IFG: FPG </w:t>
            </w:r>
            <w:r>
              <w:rPr>
                <w:noProof/>
                <w:lang w:eastAsia="en-NZ"/>
              </w:rPr>
              <w:drawing>
                <wp:inline distT="0" distB="0" distL="0" distR="0" wp14:anchorId="2300DC14" wp14:editId="7307B0DF">
                  <wp:extent cx="76200" cy="104775"/>
                  <wp:effectExtent l="0" t="0" r="0" b="9525"/>
                  <wp:docPr id="26" name="Picture 26" descr="greater than or equal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ater than or equal to"/>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E304CF">
              <w:rPr>
                <w:noProof/>
              </w:rPr>
              <w:t xml:space="preserve"> </w:t>
            </w:r>
            <w:r w:rsidRPr="00E304CF">
              <w:rPr>
                <w:lang w:eastAsia="en-NZ"/>
              </w:rPr>
              <w:t>6.1 and &lt; 7.0</w:t>
            </w:r>
          </w:p>
          <w:p w:rsidR="00853A74" w:rsidRPr="00E304CF" w:rsidRDefault="00853A74" w:rsidP="009B3054">
            <w:pPr>
              <w:pStyle w:val="TableText"/>
              <w:ind w:right="142"/>
              <w:rPr>
                <w:lang w:eastAsia="en-NZ"/>
              </w:rPr>
            </w:pPr>
            <w:r w:rsidRPr="00E304CF">
              <w:rPr>
                <w:lang w:eastAsia="en-NZ"/>
              </w:rPr>
              <w:t xml:space="preserve">IGT: 2-hour PG </w:t>
            </w:r>
            <w:r>
              <w:rPr>
                <w:noProof/>
                <w:lang w:eastAsia="en-NZ"/>
              </w:rPr>
              <w:drawing>
                <wp:inline distT="0" distB="0" distL="0" distR="0" wp14:anchorId="09195167" wp14:editId="2B548F98">
                  <wp:extent cx="76200" cy="104775"/>
                  <wp:effectExtent l="0" t="0" r="0" b="9525"/>
                  <wp:docPr id="27" name="Picture 27" descr="greater than or equal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eater than or equal to"/>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E304CF">
              <w:rPr>
                <w:noProof/>
              </w:rPr>
              <w:t> </w:t>
            </w:r>
            <w:r w:rsidRPr="00E304CF">
              <w:rPr>
                <w:lang w:eastAsia="en-NZ"/>
              </w:rPr>
              <w:t>7.8 and &lt; 11.1</w:t>
            </w:r>
          </w:p>
          <w:p w:rsidR="00853A74" w:rsidRPr="00E304CF" w:rsidRDefault="00853A74" w:rsidP="00F26D17">
            <w:pPr>
              <w:pStyle w:val="TableText"/>
              <w:ind w:right="142"/>
              <w:rPr>
                <w:lang w:eastAsia="en-NZ"/>
              </w:rPr>
            </w:pPr>
            <w:r w:rsidRPr="00E304CF">
              <w:rPr>
                <w:lang w:eastAsia="en-NZ"/>
              </w:rPr>
              <w:t>Type 2 diabetes: FPG</w:t>
            </w:r>
            <w:r w:rsidR="00F26D17">
              <w:rPr>
                <w:lang w:eastAsia="en-NZ"/>
              </w:rPr>
              <w:t xml:space="preserve"> ≥</w:t>
            </w:r>
            <w:r w:rsidRPr="00E304CF">
              <w:rPr>
                <w:noProof/>
              </w:rPr>
              <w:t> </w:t>
            </w:r>
            <w:r w:rsidRPr="00E304CF">
              <w:rPr>
                <w:lang w:eastAsia="en-NZ"/>
              </w:rPr>
              <w:t>7.0 or 2</w:t>
            </w:r>
            <w:r w:rsidR="00F26D17">
              <w:rPr>
                <w:lang w:eastAsia="en-NZ"/>
              </w:rPr>
              <w:noBreakHyphen/>
            </w:r>
            <w:r w:rsidRPr="00E304CF">
              <w:rPr>
                <w:lang w:eastAsia="en-NZ"/>
              </w:rPr>
              <w:t>hour PG</w:t>
            </w:r>
            <w:r w:rsidR="00F26D17">
              <w:rPr>
                <w:lang w:eastAsia="en-NZ"/>
              </w:rPr>
              <w:t xml:space="preserve"> ≥</w:t>
            </w:r>
            <w:r w:rsidRPr="00E304CF">
              <w:rPr>
                <w:noProof/>
              </w:rPr>
              <w:t> </w:t>
            </w:r>
            <w:r w:rsidRPr="00E304CF">
              <w:rPr>
                <w:lang w:eastAsia="en-NZ"/>
              </w:rPr>
              <w:t>11.1 or both IFG and IGT</w:t>
            </w:r>
          </w:p>
        </w:tc>
        <w:tc>
          <w:tcPr>
            <w:tcW w:w="707" w:type="pct"/>
            <w:tcBorders>
              <w:top w:val="nil"/>
              <w:bottom w:val="nil"/>
            </w:tcBorders>
            <w:shd w:val="clear" w:color="auto" w:fill="auto"/>
          </w:tcPr>
          <w:p w:rsidR="00853A74" w:rsidRPr="00E304CF" w:rsidRDefault="00853A74" w:rsidP="009B3054">
            <w:pPr>
              <w:pStyle w:val="TableText"/>
              <w:ind w:right="142"/>
              <w:rPr>
                <w:lang w:eastAsia="en-NZ"/>
              </w:rPr>
            </w:pPr>
            <w:r w:rsidRPr="00E304CF">
              <w:rPr>
                <w:lang w:eastAsia="en-NZ"/>
              </w:rPr>
              <w:t>Not detailed</w:t>
            </w:r>
          </w:p>
        </w:tc>
        <w:tc>
          <w:tcPr>
            <w:tcW w:w="1040" w:type="pct"/>
            <w:tcBorders>
              <w:top w:val="nil"/>
              <w:bottom w:val="nil"/>
            </w:tcBorders>
            <w:shd w:val="clear" w:color="auto" w:fill="auto"/>
          </w:tcPr>
          <w:p w:rsidR="00853A74" w:rsidRPr="00E304CF" w:rsidRDefault="00853A74" w:rsidP="00A125BF">
            <w:pPr>
              <w:pStyle w:val="TableText"/>
              <w:rPr>
                <w:lang w:eastAsia="en-NZ"/>
              </w:rPr>
            </w:pPr>
          </w:p>
        </w:tc>
      </w:tr>
      <w:tr w:rsidR="009B3054" w:rsidRPr="00E07B1B" w:rsidTr="00F26D17">
        <w:trPr>
          <w:cantSplit/>
        </w:trPr>
        <w:tc>
          <w:tcPr>
            <w:tcW w:w="874" w:type="pct"/>
            <w:tcBorders>
              <w:top w:val="nil"/>
              <w:bottom w:val="nil"/>
            </w:tcBorders>
            <w:shd w:val="clear" w:color="auto" w:fill="F2F2F2" w:themeFill="background1" w:themeFillShade="F2"/>
          </w:tcPr>
          <w:p w:rsidR="00853A74" w:rsidRPr="00E304CF" w:rsidRDefault="00853A74" w:rsidP="00F26D17">
            <w:pPr>
              <w:pStyle w:val="TableText"/>
              <w:ind w:right="142"/>
            </w:pPr>
            <w:r w:rsidRPr="00E304CF">
              <w:t>Fifth International Workshop–Conference on Gestational Diabetes Mellitus</w:t>
            </w:r>
            <w:r w:rsidR="00F26D17">
              <w:br/>
            </w:r>
            <w:r w:rsidRPr="00E304CF">
              <w:t>(Metzger 2007)</w:t>
            </w:r>
          </w:p>
        </w:tc>
        <w:tc>
          <w:tcPr>
            <w:tcW w:w="534" w:type="pct"/>
            <w:tcBorders>
              <w:top w:val="nil"/>
              <w:bottom w:val="nil"/>
            </w:tcBorders>
            <w:shd w:val="clear" w:color="auto" w:fill="F2F2F2" w:themeFill="background1" w:themeFillShade="F2"/>
          </w:tcPr>
          <w:p w:rsidR="00853A74" w:rsidRPr="00E304CF" w:rsidRDefault="00853A74" w:rsidP="009B3054">
            <w:pPr>
              <w:pStyle w:val="TableText"/>
              <w:ind w:right="142"/>
            </w:pPr>
            <w:r w:rsidRPr="00E304CF">
              <w:t>FPG or random blood glucose after delivery (1</w:t>
            </w:r>
            <w:r>
              <w:t>–</w:t>
            </w:r>
            <w:r w:rsidRPr="00E304CF">
              <w:t>3 days)</w:t>
            </w:r>
          </w:p>
          <w:p w:rsidR="00853A74" w:rsidRPr="00E304CF" w:rsidRDefault="00853A74" w:rsidP="00F26D17">
            <w:pPr>
              <w:pStyle w:val="TableText"/>
              <w:ind w:right="142"/>
            </w:pPr>
            <w:r w:rsidRPr="00E304CF">
              <w:t>OGTT at 6</w:t>
            </w:r>
            <w:r w:rsidR="00F26D17">
              <w:t> </w:t>
            </w:r>
            <w:r w:rsidRPr="00E304CF">
              <w:t>weeks to 1</w:t>
            </w:r>
            <w:r w:rsidR="00F26D17">
              <w:noBreakHyphen/>
            </w:r>
            <w:r w:rsidRPr="00E304CF">
              <w:t>year postpartum</w:t>
            </w:r>
          </w:p>
        </w:tc>
        <w:tc>
          <w:tcPr>
            <w:tcW w:w="728" w:type="pct"/>
            <w:tcBorders>
              <w:top w:val="nil"/>
              <w:bottom w:val="nil"/>
            </w:tcBorders>
            <w:shd w:val="clear" w:color="auto" w:fill="F2F2F2" w:themeFill="background1" w:themeFillShade="F2"/>
          </w:tcPr>
          <w:p w:rsidR="00853A74" w:rsidRPr="00E304CF" w:rsidRDefault="00853A74" w:rsidP="009B3054">
            <w:pPr>
              <w:pStyle w:val="TableText"/>
              <w:ind w:right="142"/>
            </w:pPr>
            <w:r w:rsidRPr="00E304CF">
              <w:t>75</w:t>
            </w:r>
            <w:r>
              <w:t xml:space="preserve"> </w:t>
            </w:r>
            <w:r w:rsidRPr="00E304CF">
              <w:t>g, 2 hour OGTT</w:t>
            </w:r>
          </w:p>
        </w:tc>
        <w:tc>
          <w:tcPr>
            <w:tcW w:w="1117" w:type="pct"/>
            <w:tcBorders>
              <w:top w:val="nil"/>
              <w:bottom w:val="nil"/>
            </w:tcBorders>
            <w:shd w:val="clear" w:color="auto" w:fill="F2F2F2" w:themeFill="background1" w:themeFillShade="F2"/>
          </w:tcPr>
          <w:p w:rsidR="00853A74" w:rsidRPr="00E304CF" w:rsidRDefault="00853A74" w:rsidP="009B3054">
            <w:pPr>
              <w:pStyle w:val="TableText"/>
              <w:ind w:right="142"/>
            </w:pPr>
            <w:r w:rsidRPr="00E304CF">
              <w:t>Not stated</w:t>
            </w:r>
          </w:p>
        </w:tc>
        <w:tc>
          <w:tcPr>
            <w:tcW w:w="707" w:type="pct"/>
            <w:tcBorders>
              <w:top w:val="nil"/>
              <w:bottom w:val="nil"/>
            </w:tcBorders>
            <w:shd w:val="clear" w:color="auto" w:fill="F2F2F2" w:themeFill="background1" w:themeFillShade="F2"/>
          </w:tcPr>
          <w:p w:rsidR="00853A74" w:rsidRPr="00E304CF" w:rsidRDefault="00853A74" w:rsidP="00F26D17">
            <w:pPr>
              <w:pStyle w:val="TableText"/>
              <w:ind w:right="142"/>
            </w:pPr>
            <w:r w:rsidRPr="00E304CF">
              <w:t>A 75</w:t>
            </w:r>
            <w:r>
              <w:t xml:space="preserve"> </w:t>
            </w:r>
            <w:r w:rsidRPr="00E304CF">
              <w:t>g, 2</w:t>
            </w:r>
            <w:r>
              <w:t>-</w:t>
            </w:r>
            <w:r w:rsidRPr="00E304CF">
              <w:t>hour OGTT should be performed at 1 year and the</w:t>
            </w:r>
            <w:r>
              <w:t>reafter</w:t>
            </w:r>
            <w:r w:rsidRPr="00E304CF">
              <w:t xml:space="preserve"> a minimum of 3</w:t>
            </w:r>
            <w:r w:rsidR="00F26D17">
              <w:noBreakHyphen/>
            </w:r>
            <w:r w:rsidRPr="00E304CF">
              <w:t>yearly 75</w:t>
            </w:r>
            <w:r>
              <w:t xml:space="preserve"> </w:t>
            </w:r>
            <w:r w:rsidRPr="00E304CF">
              <w:t>g OGTT</w:t>
            </w:r>
            <w:r>
              <w:t>; a</w:t>
            </w:r>
            <w:r w:rsidRPr="00E304CF">
              <w:t>nnual FPG</w:t>
            </w:r>
          </w:p>
        </w:tc>
        <w:tc>
          <w:tcPr>
            <w:tcW w:w="1040" w:type="pct"/>
            <w:tcBorders>
              <w:top w:val="nil"/>
              <w:bottom w:val="nil"/>
            </w:tcBorders>
            <w:shd w:val="clear" w:color="auto" w:fill="F2F2F2" w:themeFill="background1" w:themeFillShade="F2"/>
          </w:tcPr>
          <w:p w:rsidR="00853A74" w:rsidRDefault="00853A74" w:rsidP="00A125BF">
            <w:pPr>
              <w:pStyle w:val="TableText"/>
            </w:pPr>
            <w:r w:rsidRPr="00E304CF">
              <w:t>Recommend implementation of the Diabetes Prevention Program lifestyle program</w:t>
            </w:r>
            <w:r>
              <w:t>me</w:t>
            </w:r>
            <w:r w:rsidRPr="00E304CF">
              <w:t>.</w:t>
            </w:r>
          </w:p>
          <w:p w:rsidR="00853A74" w:rsidRPr="00E304CF" w:rsidRDefault="00853A74" w:rsidP="00A125BF">
            <w:pPr>
              <w:pStyle w:val="TableText"/>
            </w:pPr>
            <w:r w:rsidRPr="00E304CF">
              <w:t>A 75</w:t>
            </w:r>
            <w:r>
              <w:t xml:space="preserve"> </w:t>
            </w:r>
            <w:r w:rsidRPr="00E304CF">
              <w:t>g, 2</w:t>
            </w:r>
            <w:r>
              <w:t>-</w:t>
            </w:r>
            <w:r w:rsidRPr="00E304CF">
              <w:t>hour OGTT should be performed pre-pregnancy</w:t>
            </w:r>
            <w:r>
              <w:t>.</w:t>
            </w:r>
          </w:p>
        </w:tc>
      </w:tr>
      <w:tr w:rsidR="009B3054" w:rsidRPr="00E07B1B" w:rsidTr="00F26D17">
        <w:trPr>
          <w:cantSplit/>
        </w:trPr>
        <w:tc>
          <w:tcPr>
            <w:tcW w:w="874" w:type="pct"/>
            <w:tcBorders>
              <w:top w:val="nil"/>
              <w:bottom w:val="nil"/>
            </w:tcBorders>
            <w:shd w:val="clear" w:color="auto" w:fill="auto"/>
          </w:tcPr>
          <w:p w:rsidR="00853A74" w:rsidRPr="00E304CF" w:rsidRDefault="00853A74" w:rsidP="00F26D17">
            <w:pPr>
              <w:pStyle w:val="TableText"/>
              <w:ind w:right="142"/>
            </w:pPr>
            <w:r w:rsidRPr="00E304CF">
              <w:t>Canadian Diabetes Association</w:t>
            </w:r>
            <w:r w:rsidR="00F26D17">
              <w:br/>
            </w:r>
            <w:r w:rsidRPr="00E304CF">
              <w:t>(2008)</w:t>
            </w:r>
          </w:p>
        </w:tc>
        <w:tc>
          <w:tcPr>
            <w:tcW w:w="534" w:type="pct"/>
            <w:tcBorders>
              <w:top w:val="nil"/>
              <w:bottom w:val="nil"/>
            </w:tcBorders>
            <w:shd w:val="clear" w:color="auto" w:fill="auto"/>
          </w:tcPr>
          <w:p w:rsidR="00853A74" w:rsidRPr="00E304CF" w:rsidRDefault="00F26D17" w:rsidP="00F26D17">
            <w:pPr>
              <w:pStyle w:val="TableText"/>
              <w:ind w:right="142"/>
            </w:pPr>
            <w:r>
              <w:t>6 weeks to 6 months</w:t>
            </w:r>
          </w:p>
        </w:tc>
        <w:tc>
          <w:tcPr>
            <w:tcW w:w="728" w:type="pct"/>
            <w:tcBorders>
              <w:top w:val="nil"/>
              <w:bottom w:val="nil"/>
            </w:tcBorders>
            <w:shd w:val="clear" w:color="auto" w:fill="auto"/>
          </w:tcPr>
          <w:p w:rsidR="00853A74" w:rsidRPr="00E304CF" w:rsidRDefault="00853A74" w:rsidP="00F26D17">
            <w:pPr>
              <w:pStyle w:val="TableText"/>
              <w:ind w:right="142"/>
            </w:pPr>
            <w:r w:rsidRPr="00E304CF">
              <w:t>FPG</w:t>
            </w:r>
            <w:r w:rsidR="00F26D17">
              <w:br/>
            </w:r>
            <w:r w:rsidRPr="00E304CF">
              <w:t>5.6</w:t>
            </w:r>
            <w:r>
              <w:t>–</w:t>
            </w:r>
            <w:r w:rsidRPr="00E304CF">
              <w:t>6.0</w:t>
            </w:r>
            <w:r>
              <w:t> </w:t>
            </w:r>
            <w:r w:rsidRPr="00E304CF">
              <w:t xml:space="preserve">mmol/L with </w:t>
            </w:r>
            <w:r>
              <w:t>more than one</w:t>
            </w:r>
            <w:r w:rsidRPr="00E304CF">
              <w:t xml:space="preserve"> risk factor then 75</w:t>
            </w:r>
            <w:r>
              <w:t xml:space="preserve"> </w:t>
            </w:r>
            <w:r w:rsidRPr="00E304CF">
              <w:t>g, 2</w:t>
            </w:r>
            <w:r w:rsidR="00F26D17">
              <w:noBreakHyphen/>
            </w:r>
            <w:r w:rsidRPr="00E304CF">
              <w:t>hour OGTT</w:t>
            </w:r>
          </w:p>
        </w:tc>
        <w:tc>
          <w:tcPr>
            <w:tcW w:w="1117" w:type="pct"/>
            <w:tcBorders>
              <w:top w:val="nil"/>
              <w:bottom w:val="nil"/>
            </w:tcBorders>
            <w:shd w:val="clear" w:color="auto" w:fill="auto"/>
          </w:tcPr>
          <w:p w:rsidR="00853A74" w:rsidRDefault="00853A74" w:rsidP="009B3054">
            <w:pPr>
              <w:pStyle w:val="TableText"/>
              <w:ind w:right="142"/>
            </w:pPr>
            <w:r w:rsidRPr="00E304CF">
              <w:t>Normal: &lt;</w:t>
            </w:r>
            <w:r>
              <w:t xml:space="preserve"> </w:t>
            </w:r>
            <w:r w:rsidRPr="00E304CF">
              <w:t>5.6</w:t>
            </w:r>
            <w:r>
              <w:t xml:space="preserve"> </w:t>
            </w:r>
            <w:r w:rsidRPr="00E304CF">
              <w:t>mmol/L</w:t>
            </w:r>
          </w:p>
          <w:p w:rsidR="00853A74" w:rsidRDefault="00853A74" w:rsidP="009B3054">
            <w:pPr>
              <w:pStyle w:val="TableText"/>
              <w:ind w:right="142"/>
            </w:pPr>
            <w:r w:rsidRPr="00E304CF">
              <w:t>IFG + IGT: FPG 6.1</w:t>
            </w:r>
            <w:r>
              <w:t>–</w:t>
            </w:r>
            <w:r w:rsidRPr="00E304CF">
              <w:t>6.9</w:t>
            </w:r>
            <w:r>
              <w:t xml:space="preserve"> </w:t>
            </w:r>
            <w:r w:rsidRPr="00E304CF">
              <w:t>mmol/L and 2</w:t>
            </w:r>
            <w:r>
              <w:t>-hour</w:t>
            </w:r>
            <w:r w:rsidRPr="00E304CF">
              <w:t xml:space="preserve"> PG 7.8</w:t>
            </w:r>
            <w:r>
              <w:t>–</w:t>
            </w:r>
            <w:r w:rsidRPr="00E304CF">
              <w:t>11.0</w:t>
            </w:r>
            <w:r>
              <w:t xml:space="preserve"> </w:t>
            </w:r>
            <w:r w:rsidRPr="00E304CF">
              <w:t>mmol/L</w:t>
            </w:r>
          </w:p>
          <w:p w:rsidR="00853A74" w:rsidRDefault="00853A74" w:rsidP="009B3054">
            <w:pPr>
              <w:pStyle w:val="TableText"/>
              <w:ind w:right="142"/>
            </w:pPr>
            <w:r w:rsidRPr="00E304CF">
              <w:t>IFG: FPG 6.1</w:t>
            </w:r>
            <w:r>
              <w:t>–</w:t>
            </w:r>
            <w:r w:rsidRPr="00E304CF">
              <w:t>6.9</w:t>
            </w:r>
            <w:r>
              <w:t> </w:t>
            </w:r>
            <w:r w:rsidRPr="00E304CF">
              <w:t>mmol/L and 2</w:t>
            </w:r>
            <w:r w:rsidR="00F26D17">
              <w:noBreakHyphen/>
            </w:r>
            <w:r>
              <w:t>hour</w:t>
            </w:r>
            <w:r w:rsidRPr="00E304CF">
              <w:t xml:space="preserve"> PG &lt; 7.8</w:t>
            </w:r>
            <w:r>
              <w:t xml:space="preserve"> </w:t>
            </w:r>
            <w:r w:rsidRPr="00E304CF">
              <w:t>mmol/L</w:t>
            </w:r>
          </w:p>
          <w:p w:rsidR="00853A74" w:rsidRDefault="00853A74" w:rsidP="009B3054">
            <w:pPr>
              <w:pStyle w:val="TableText"/>
              <w:ind w:right="142"/>
            </w:pPr>
            <w:r w:rsidRPr="00E304CF">
              <w:t>IGT: FPG &lt;</w:t>
            </w:r>
            <w:r>
              <w:t xml:space="preserve"> </w:t>
            </w:r>
            <w:r w:rsidRPr="00E304CF">
              <w:t>6.1 mmol/L and 2</w:t>
            </w:r>
            <w:r w:rsidR="00F26D17">
              <w:noBreakHyphen/>
            </w:r>
            <w:r w:rsidRPr="00E304CF">
              <w:t>hour PG 7.8</w:t>
            </w:r>
            <w:r>
              <w:t>–</w:t>
            </w:r>
            <w:r w:rsidRPr="00E304CF">
              <w:t>11.0</w:t>
            </w:r>
            <w:r>
              <w:t> </w:t>
            </w:r>
            <w:r w:rsidRPr="00E304CF">
              <w:t>mmol/L</w:t>
            </w:r>
          </w:p>
          <w:p w:rsidR="00853A74" w:rsidRPr="00E304CF" w:rsidRDefault="00853A74" w:rsidP="00F26D17">
            <w:pPr>
              <w:pStyle w:val="TableText"/>
              <w:ind w:right="142"/>
            </w:pPr>
            <w:r w:rsidRPr="00E304CF">
              <w:t>Type 2 diabetes: FPG ≥</w:t>
            </w:r>
            <w:r>
              <w:t> </w:t>
            </w:r>
            <w:r w:rsidRPr="00E304CF">
              <w:t>7.0</w:t>
            </w:r>
            <w:r>
              <w:t> </w:t>
            </w:r>
            <w:r w:rsidRPr="00E304CF">
              <w:t>mmol/L or 2</w:t>
            </w:r>
            <w:r>
              <w:t>-hour</w:t>
            </w:r>
            <w:r w:rsidRPr="00E304CF">
              <w:t xml:space="preserve"> PG ≥</w:t>
            </w:r>
            <w:r w:rsidR="00F26D17">
              <w:t> </w:t>
            </w:r>
            <w:r w:rsidRPr="00E304CF">
              <w:t>11.1</w:t>
            </w:r>
            <w:r w:rsidR="00F26D17">
              <w:t> </w:t>
            </w:r>
            <w:r w:rsidRPr="00E304CF">
              <w:t>mmol/L</w:t>
            </w:r>
          </w:p>
        </w:tc>
        <w:tc>
          <w:tcPr>
            <w:tcW w:w="707" w:type="pct"/>
            <w:tcBorders>
              <w:top w:val="nil"/>
              <w:bottom w:val="nil"/>
            </w:tcBorders>
            <w:shd w:val="clear" w:color="auto" w:fill="auto"/>
          </w:tcPr>
          <w:p w:rsidR="00853A74" w:rsidRPr="00E304CF" w:rsidRDefault="00853A74" w:rsidP="00F26D17">
            <w:pPr>
              <w:pStyle w:val="TableText"/>
              <w:ind w:right="142"/>
            </w:pPr>
            <w:r w:rsidRPr="00E304CF">
              <w:t>Maximum of 3</w:t>
            </w:r>
            <w:r w:rsidR="00F26D17">
              <w:noBreakHyphen/>
            </w:r>
            <w:r w:rsidRPr="00E304CF">
              <w:t>yearly or less</w:t>
            </w:r>
          </w:p>
        </w:tc>
        <w:tc>
          <w:tcPr>
            <w:tcW w:w="1040" w:type="pct"/>
            <w:tcBorders>
              <w:top w:val="nil"/>
              <w:bottom w:val="nil"/>
            </w:tcBorders>
            <w:shd w:val="clear" w:color="auto" w:fill="auto"/>
          </w:tcPr>
          <w:p w:rsidR="00853A74" w:rsidRPr="00E304CF" w:rsidRDefault="00853A74" w:rsidP="00A125BF">
            <w:pPr>
              <w:pStyle w:val="TableText"/>
            </w:pPr>
            <w:r w:rsidRPr="00E304CF">
              <w:t>Pre-pregnancy screening for type 2 diabetes is also recommended</w:t>
            </w:r>
            <w:r>
              <w:t>.</w:t>
            </w:r>
          </w:p>
        </w:tc>
      </w:tr>
      <w:tr w:rsidR="009B3054" w:rsidRPr="00E07B1B" w:rsidTr="00F26D17">
        <w:trPr>
          <w:cantSplit/>
        </w:trPr>
        <w:tc>
          <w:tcPr>
            <w:tcW w:w="874" w:type="pct"/>
            <w:tcBorders>
              <w:top w:val="nil"/>
              <w:bottom w:val="nil"/>
            </w:tcBorders>
            <w:shd w:val="clear" w:color="auto" w:fill="F2F2F2" w:themeFill="background1" w:themeFillShade="F2"/>
          </w:tcPr>
          <w:p w:rsidR="00853A74" w:rsidRPr="00E304CF" w:rsidRDefault="00853A74" w:rsidP="009B3054">
            <w:pPr>
              <w:pStyle w:val="TableText"/>
              <w:ind w:right="142"/>
            </w:pPr>
            <w:r w:rsidRPr="00E304CF">
              <w:t>Australasian Diabetes in Pregnancy Society (Nankervis 2013)</w:t>
            </w:r>
          </w:p>
        </w:tc>
        <w:tc>
          <w:tcPr>
            <w:tcW w:w="534" w:type="pct"/>
            <w:tcBorders>
              <w:top w:val="nil"/>
              <w:bottom w:val="nil"/>
            </w:tcBorders>
            <w:shd w:val="clear" w:color="auto" w:fill="F2F2F2" w:themeFill="background1" w:themeFillShade="F2"/>
          </w:tcPr>
          <w:p w:rsidR="00853A74" w:rsidRPr="00E304CF" w:rsidRDefault="00853A74" w:rsidP="00F26D17">
            <w:pPr>
              <w:pStyle w:val="TableText"/>
              <w:ind w:right="142"/>
            </w:pPr>
            <w:r w:rsidRPr="00E304CF">
              <w:t>6</w:t>
            </w:r>
            <w:r>
              <w:t>–</w:t>
            </w:r>
            <w:r w:rsidRPr="00E304CF">
              <w:t>12 weeks</w:t>
            </w:r>
          </w:p>
        </w:tc>
        <w:tc>
          <w:tcPr>
            <w:tcW w:w="728" w:type="pct"/>
            <w:tcBorders>
              <w:top w:val="nil"/>
              <w:bottom w:val="nil"/>
            </w:tcBorders>
            <w:shd w:val="clear" w:color="auto" w:fill="F2F2F2" w:themeFill="background1" w:themeFillShade="F2"/>
          </w:tcPr>
          <w:p w:rsidR="00853A74" w:rsidRPr="00E304CF" w:rsidRDefault="00853A74" w:rsidP="009B3054">
            <w:pPr>
              <w:pStyle w:val="TableText"/>
              <w:ind w:right="142"/>
            </w:pPr>
            <w:r w:rsidRPr="00E304CF">
              <w:t>2</w:t>
            </w:r>
            <w:r>
              <w:t>-</w:t>
            </w:r>
            <w:r w:rsidRPr="00E304CF">
              <w:t>hour</w:t>
            </w:r>
            <w:r>
              <w:t>,</w:t>
            </w:r>
            <w:r w:rsidRPr="00E304CF">
              <w:t xml:space="preserve"> 75</w:t>
            </w:r>
            <w:r>
              <w:t xml:space="preserve"> </w:t>
            </w:r>
            <w:r w:rsidRPr="00E304CF">
              <w:t>g OGTT</w:t>
            </w:r>
          </w:p>
        </w:tc>
        <w:tc>
          <w:tcPr>
            <w:tcW w:w="1117" w:type="pct"/>
            <w:tcBorders>
              <w:top w:val="nil"/>
              <w:bottom w:val="nil"/>
            </w:tcBorders>
            <w:shd w:val="clear" w:color="auto" w:fill="F2F2F2" w:themeFill="background1" w:themeFillShade="F2"/>
          </w:tcPr>
          <w:p w:rsidR="00853A74" w:rsidRPr="00E304CF" w:rsidRDefault="00F26D17" w:rsidP="00F26D17">
            <w:pPr>
              <w:pStyle w:val="TableText"/>
              <w:ind w:right="142"/>
              <w:jc w:val="center"/>
            </w:pPr>
            <w:r>
              <w:t>–</w:t>
            </w:r>
          </w:p>
        </w:tc>
        <w:tc>
          <w:tcPr>
            <w:tcW w:w="707" w:type="pct"/>
            <w:tcBorders>
              <w:top w:val="nil"/>
              <w:bottom w:val="nil"/>
            </w:tcBorders>
            <w:shd w:val="clear" w:color="auto" w:fill="F2F2F2" w:themeFill="background1" w:themeFillShade="F2"/>
          </w:tcPr>
          <w:p w:rsidR="00853A74" w:rsidRPr="00E304CF" w:rsidRDefault="00853A74" w:rsidP="009B3054">
            <w:pPr>
              <w:pStyle w:val="TableText"/>
              <w:ind w:right="142"/>
            </w:pPr>
            <w:r w:rsidRPr="00E304CF">
              <w:t>75</w:t>
            </w:r>
            <w:r>
              <w:t xml:space="preserve"> </w:t>
            </w:r>
            <w:r w:rsidRPr="00E304CF">
              <w:t>g OGTT at least annually (if high risk or contemplating another pregnancy) and FPG</w:t>
            </w:r>
            <w:r>
              <w:t xml:space="preserve"> every</w:t>
            </w:r>
            <w:r w:rsidRPr="00E304CF">
              <w:t xml:space="preserve"> 1</w:t>
            </w:r>
            <w:r>
              <w:t>–</w:t>
            </w:r>
            <w:r w:rsidRPr="00E304CF">
              <w:t>2 years if lower risk</w:t>
            </w:r>
          </w:p>
        </w:tc>
        <w:tc>
          <w:tcPr>
            <w:tcW w:w="1040" w:type="pct"/>
            <w:tcBorders>
              <w:top w:val="nil"/>
              <w:bottom w:val="nil"/>
            </w:tcBorders>
            <w:shd w:val="clear" w:color="auto" w:fill="F2F2F2" w:themeFill="background1" w:themeFillShade="F2"/>
          </w:tcPr>
          <w:p w:rsidR="00853A74" w:rsidRPr="00E304CF" w:rsidRDefault="00853A74" w:rsidP="00A125BF">
            <w:pPr>
              <w:pStyle w:val="TableText"/>
            </w:pPr>
            <w:r w:rsidRPr="00E304CF">
              <w:t>Frequency of continued testing is based on perceived risk of developing type 2 diabetes</w:t>
            </w:r>
            <w:r>
              <w:t>.</w:t>
            </w:r>
          </w:p>
        </w:tc>
      </w:tr>
      <w:tr w:rsidR="009B3054" w:rsidRPr="00E07B1B" w:rsidTr="00F26D17">
        <w:trPr>
          <w:cantSplit/>
        </w:trPr>
        <w:tc>
          <w:tcPr>
            <w:tcW w:w="874" w:type="pct"/>
            <w:tcBorders>
              <w:top w:val="nil"/>
              <w:bottom w:val="nil"/>
            </w:tcBorders>
            <w:shd w:val="clear" w:color="auto" w:fill="auto"/>
          </w:tcPr>
          <w:p w:rsidR="00853A74" w:rsidRPr="00E304CF" w:rsidRDefault="00853A74" w:rsidP="009B3054">
            <w:pPr>
              <w:pStyle w:val="TableText"/>
              <w:ind w:right="142"/>
            </w:pPr>
            <w:r w:rsidRPr="00E304CF">
              <w:t>Caribbean Health Research Council (2006)</w:t>
            </w:r>
          </w:p>
        </w:tc>
        <w:tc>
          <w:tcPr>
            <w:tcW w:w="534" w:type="pct"/>
            <w:tcBorders>
              <w:top w:val="nil"/>
              <w:bottom w:val="nil"/>
            </w:tcBorders>
            <w:shd w:val="clear" w:color="auto" w:fill="auto"/>
          </w:tcPr>
          <w:p w:rsidR="00853A74" w:rsidRPr="00E304CF" w:rsidRDefault="00F26D17" w:rsidP="009B3054">
            <w:pPr>
              <w:pStyle w:val="TableText"/>
              <w:ind w:right="142"/>
            </w:pPr>
            <w:r>
              <w:t>6 weeks</w:t>
            </w:r>
          </w:p>
        </w:tc>
        <w:tc>
          <w:tcPr>
            <w:tcW w:w="728" w:type="pct"/>
            <w:tcBorders>
              <w:top w:val="nil"/>
              <w:bottom w:val="nil"/>
            </w:tcBorders>
            <w:shd w:val="clear" w:color="auto" w:fill="auto"/>
          </w:tcPr>
          <w:p w:rsidR="00853A74" w:rsidRPr="00E304CF" w:rsidRDefault="00853A74" w:rsidP="009B3054">
            <w:pPr>
              <w:pStyle w:val="TableText"/>
              <w:ind w:right="142"/>
            </w:pPr>
            <w:r w:rsidRPr="00E304CF">
              <w:t>Not stated</w:t>
            </w:r>
          </w:p>
        </w:tc>
        <w:tc>
          <w:tcPr>
            <w:tcW w:w="1117" w:type="pct"/>
            <w:tcBorders>
              <w:top w:val="nil"/>
              <w:bottom w:val="nil"/>
            </w:tcBorders>
            <w:shd w:val="clear" w:color="auto" w:fill="auto"/>
          </w:tcPr>
          <w:p w:rsidR="00853A74" w:rsidRPr="00E304CF" w:rsidRDefault="00853A74" w:rsidP="009B3054">
            <w:pPr>
              <w:pStyle w:val="TableText"/>
              <w:ind w:right="142"/>
            </w:pPr>
            <w:r w:rsidRPr="00E304CF">
              <w:t>Not stated</w:t>
            </w:r>
          </w:p>
        </w:tc>
        <w:tc>
          <w:tcPr>
            <w:tcW w:w="707" w:type="pct"/>
            <w:tcBorders>
              <w:top w:val="nil"/>
              <w:bottom w:val="nil"/>
            </w:tcBorders>
            <w:shd w:val="clear" w:color="auto" w:fill="auto"/>
          </w:tcPr>
          <w:p w:rsidR="00853A74" w:rsidRPr="00E304CF" w:rsidRDefault="00853A74" w:rsidP="009B3054">
            <w:pPr>
              <w:pStyle w:val="TableText"/>
              <w:ind w:right="142"/>
            </w:pPr>
            <w:r w:rsidRPr="00E304CF">
              <w:t>Not stated</w:t>
            </w:r>
          </w:p>
        </w:tc>
        <w:tc>
          <w:tcPr>
            <w:tcW w:w="1040" w:type="pct"/>
            <w:tcBorders>
              <w:top w:val="nil"/>
              <w:bottom w:val="nil"/>
            </w:tcBorders>
            <w:shd w:val="clear" w:color="auto" w:fill="auto"/>
          </w:tcPr>
          <w:p w:rsidR="00853A74" w:rsidRPr="00E304CF" w:rsidRDefault="00F26D17" w:rsidP="00F26D17">
            <w:pPr>
              <w:pStyle w:val="TableText"/>
              <w:jc w:val="center"/>
            </w:pPr>
            <w:r>
              <w:t>–</w:t>
            </w:r>
          </w:p>
        </w:tc>
      </w:tr>
      <w:tr w:rsidR="009B3054" w:rsidRPr="00E07B1B" w:rsidTr="00F26D17">
        <w:trPr>
          <w:cantSplit/>
        </w:trPr>
        <w:tc>
          <w:tcPr>
            <w:tcW w:w="874" w:type="pct"/>
            <w:tcBorders>
              <w:top w:val="nil"/>
              <w:bottom w:val="nil"/>
            </w:tcBorders>
            <w:shd w:val="clear" w:color="auto" w:fill="F2F2F2" w:themeFill="background1" w:themeFillShade="F2"/>
          </w:tcPr>
          <w:p w:rsidR="00853A74" w:rsidRPr="00E304CF" w:rsidRDefault="00853A74" w:rsidP="00F26D17">
            <w:pPr>
              <w:pStyle w:val="TableText"/>
              <w:ind w:right="142"/>
            </w:pPr>
            <w:r w:rsidRPr="00E304CF">
              <w:t>International Diabetes Federation</w:t>
            </w:r>
            <w:r w:rsidR="00F26D17">
              <w:br/>
            </w:r>
            <w:r w:rsidRPr="00E304CF">
              <w:t>(2009)</w:t>
            </w:r>
          </w:p>
        </w:tc>
        <w:tc>
          <w:tcPr>
            <w:tcW w:w="534" w:type="pct"/>
            <w:tcBorders>
              <w:top w:val="nil"/>
              <w:bottom w:val="nil"/>
            </w:tcBorders>
            <w:shd w:val="clear" w:color="auto" w:fill="F2F2F2" w:themeFill="background1" w:themeFillShade="F2"/>
          </w:tcPr>
          <w:p w:rsidR="00853A74" w:rsidRPr="00E304CF" w:rsidRDefault="00853A74" w:rsidP="00F26D17">
            <w:pPr>
              <w:pStyle w:val="TableText"/>
              <w:ind w:right="142"/>
            </w:pPr>
            <w:r w:rsidRPr="00E304CF">
              <w:t>Before hospital discharge to 6</w:t>
            </w:r>
            <w:r w:rsidR="00F26D17">
              <w:t> </w:t>
            </w:r>
            <w:r w:rsidRPr="00E304CF">
              <w:t xml:space="preserve">weeks </w:t>
            </w:r>
          </w:p>
        </w:tc>
        <w:tc>
          <w:tcPr>
            <w:tcW w:w="728" w:type="pct"/>
            <w:tcBorders>
              <w:top w:val="nil"/>
              <w:bottom w:val="nil"/>
            </w:tcBorders>
            <w:shd w:val="clear" w:color="auto" w:fill="F2F2F2" w:themeFill="background1" w:themeFillShade="F2"/>
          </w:tcPr>
          <w:p w:rsidR="00853A74" w:rsidRPr="00E304CF" w:rsidRDefault="00853A74" w:rsidP="009B3054">
            <w:pPr>
              <w:pStyle w:val="TableText"/>
              <w:ind w:right="142"/>
            </w:pPr>
            <w:r w:rsidRPr="00E304CF">
              <w:t>OGTT (no details)</w:t>
            </w:r>
          </w:p>
        </w:tc>
        <w:tc>
          <w:tcPr>
            <w:tcW w:w="1117" w:type="pct"/>
            <w:tcBorders>
              <w:top w:val="nil"/>
              <w:bottom w:val="nil"/>
            </w:tcBorders>
            <w:shd w:val="clear" w:color="auto" w:fill="F2F2F2" w:themeFill="background1" w:themeFillShade="F2"/>
          </w:tcPr>
          <w:p w:rsidR="00853A74" w:rsidRPr="00E304CF" w:rsidRDefault="00853A74" w:rsidP="009B3054">
            <w:pPr>
              <w:pStyle w:val="TableText"/>
              <w:ind w:right="142"/>
            </w:pPr>
            <w:r w:rsidRPr="00E304CF">
              <w:t>Not stated</w:t>
            </w:r>
          </w:p>
        </w:tc>
        <w:tc>
          <w:tcPr>
            <w:tcW w:w="707" w:type="pct"/>
            <w:tcBorders>
              <w:top w:val="nil"/>
              <w:bottom w:val="nil"/>
            </w:tcBorders>
            <w:shd w:val="clear" w:color="auto" w:fill="F2F2F2" w:themeFill="background1" w:themeFillShade="F2"/>
          </w:tcPr>
          <w:p w:rsidR="00853A74" w:rsidRPr="00E304CF" w:rsidRDefault="00853A74" w:rsidP="009B3054">
            <w:pPr>
              <w:pStyle w:val="TableText"/>
              <w:ind w:right="142"/>
            </w:pPr>
            <w:r w:rsidRPr="00E304CF">
              <w:t>If high risk then annual OGTT</w:t>
            </w:r>
            <w:r>
              <w:t>;</w:t>
            </w:r>
            <w:r w:rsidRPr="00E304CF">
              <w:t xml:space="preserve"> if low risk then FPG every 2</w:t>
            </w:r>
            <w:r>
              <w:t>–</w:t>
            </w:r>
            <w:r w:rsidRPr="00E304CF">
              <w:t>3 years and an OGTT only if FPG ≥</w:t>
            </w:r>
            <w:r>
              <w:t> </w:t>
            </w:r>
            <w:r w:rsidRPr="00E304CF">
              <w:t>5.5</w:t>
            </w:r>
            <w:r>
              <w:t> </w:t>
            </w:r>
            <w:r w:rsidRPr="00E304CF">
              <w:t>mmol/L (100</w:t>
            </w:r>
            <w:r>
              <w:t> </w:t>
            </w:r>
            <w:r w:rsidRPr="00E304CF">
              <w:t>mg/dL)</w:t>
            </w:r>
          </w:p>
        </w:tc>
        <w:tc>
          <w:tcPr>
            <w:tcW w:w="1040" w:type="pct"/>
            <w:tcBorders>
              <w:top w:val="nil"/>
              <w:bottom w:val="nil"/>
            </w:tcBorders>
            <w:shd w:val="clear" w:color="auto" w:fill="F2F2F2" w:themeFill="background1" w:themeFillShade="F2"/>
          </w:tcPr>
          <w:p w:rsidR="00853A74" w:rsidRPr="00E304CF" w:rsidRDefault="00853A74" w:rsidP="00A125BF">
            <w:pPr>
              <w:pStyle w:val="TableText"/>
            </w:pPr>
            <w:r w:rsidRPr="00E304CF">
              <w:t xml:space="preserve">Repeat OGTT prior to conception in other pregnancies or within </w:t>
            </w:r>
            <w:r>
              <w:t>first</w:t>
            </w:r>
            <w:r w:rsidRPr="00E304CF">
              <w:t xml:space="preserve"> trimester</w:t>
            </w:r>
            <w:r>
              <w:t>.</w:t>
            </w:r>
          </w:p>
        </w:tc>
      </w:tr>
      <w:tr w:rsidR="009B3054" w:rsidRPr="00E07B1B" w:rsidTr="00F26D17">
        <w:trPr>
          <w:cantSplit/>
        </w:trPr>
        <w:tc>
          <w:tcPr>
            <w:tcW w:w="874" w:type="pct"/>
            <w:tcBorders>
              <w:top w:val="nil"/>
            </w:tcBorders>
            <w:shd w:val="clear" w:color="auto" w:fill="auto"/>
          </w:tcPr>
          <w:p w:rsidR="00853A74" w:rsidRPr="00E304CF" w:rsidRDefault="00853A74" w:rsidP="009B3054">
            <w:pPr>
              <w:pStyle w:val="TableText"/>
              <w:ind w:right="142"/>
            </w:pPr>
            <w:r w:rsidRPr="00E304CF">
              <w:t>American Association of Clinical Endocrinologists (Blonde 2007)</w:t>
            </w:r>
          </w:p>
        </w:tc>
        <w:tc>
          <w:tcPr>
            <w:tcW w:w="534" w:type="pct"/>
            <w:tcBorders>
              <w:top w:val="nil"/>
            </w:tcBorders>
            <w:shd w:val="clear" w:color="auto" w:fill="auto"/>
          </w:tcPr>
          <w:p w:rsidR="00853A74" w:rsidRPr="00E304CF" w:rsidRDefault="00853A74" w:rsidP="009B3054">
            <w:pPr>
              <w:pStyle w:val="TableText"/>
              <w:ind w:right="142"/>
            </w:pPr>
            <w:r w:rsidRPr="00E304CF">
              <w:t>45</w:t>
            </w:r>
            <w:r>
              <w:t>–</w:t>
            </w:r>
            <w:r w:rsidRPr="00E304CF">
              <w:t>60 days</w:t>
            </w:r>
          </w:p>
        </w:tc>
        <w:tc>
          <w:tcPr>
            <w:tcW w:w="728" w:type="pct"/>
            <w:tcBorders>
              <w:top w:val="nil"/>
            </w:tcBorders>
            <w:shd w:val="clear" w:color="auto" w:fill="auto"/>
          </w:tcPr>
          <w:p w:rsidR="00853A74" w:rsidRPr="00E304CF" w:rsidRDefault="00853A74" w:rsidP="009B3054">
            <w:pPr>
              <w:pStyle w:val="TableText"/>
              <w:ind w:right="142"/>
            </w:pPr>
            <w:r w:rsidRPr="00E304CF">
              <w:t>Not stated</w:t>
            </w:r>
          </w:p>
        </w:tc>
        <w:tc>
          <w:tcPr>
            <w:tcW w:w="1117" w:type="pct"/>
            <w:tcBorders>
              <w:top w:val="nil"/>
            </w:tcBorders>
            <w:shd w:val="clear" w:color="auto" w:fill="auto"/>
          </w:tcPr>
          <w:p w:rsidR="00853A74" w:rsidRPr="00E304CF" w:rsidRDefault="00853A74" w:rsidP="009B3054">
            <w:pPr>
              <w:pStyle w:val="TableText"/>
              <w:ind w:right="142"/>
            </w:pPr>
            <w:r w:rsidRPr="00E304CF">
              <w:t>Not stated</w:t>
            </w:r>
          </w:p>
        </w:tc>
        <w:tc>
          <w:tcPr>
            <w:tcW w:w="707" w:type="pct"/>
            <w:tcBorders>
              <w:top w:val="nil"/>
            </w:tcBorders>
            <w:shd w:val="clear" w:color="auto" w:fill="auto"/>
          </w:tcPr>
          <w:p w:rsidR="00853A74" w:rsidRPr="00E304CF" w:rsidRDefault="00853A74" w:rsidP="009B3054">
            <w:pPr>
              <w:pStyle w:val="TableText"/>
              <w:ind w:right="142"/>
            </w:pPr>
            <w:r w:rsidRPr="00E304CF">
              <w:t>Annually</w:t>
            </w:r>
          </w:p>
        </w:tc>
        <w:tc>
          <w:tcPr>
            <w:tcW w:w="1040" w:type="pct"/>
            <w:tcBorders>
              <w:top w:val="nil"/>
            </w:tcBorders>
            <w:shd w:val="clear" w:color="auto" w:fill="auto"/>
          </w:tcPr>
          <w:p w:rsidR="00853A74" w:rsidRPr="00E304CF" w:rsidRDefault="00853A74" w:rsidP="00A125BF">
            <w:pPr>
              <w:pStyle w:val="TableText"/>
            </w:pPr>
            <w:r w:rsidRPr="00E304CF">
              <w:t>-</w:t>
            </w:r>
          </w:p>
        </w:tc>
      </w:tr>
    </w:tbl>
    <w:p w:rsidR="00853A74" w:rsidRDefault="00853A74" w:rsidP="00A125BF">
      <w:pPr>
        <w:pStyle w:val="Note"/>
        <w:ind w:left="0" w:firstLine="0"/>
        <w:rPr>
          <w:lang w:eastAsia="en-NZ"/>
        </w:rPr>
      </w:pPr>
      <w:r>
        <w:rPr>
          <w:lang w:eastAsia="en-NZ"/>
        </w:rPr>
        <w:t>Note</w:t>
      </w:r>
      <w:r w:rsidRPr="00E07B1B">
        <w:rPr>
          <w:lang w:eastAsia="en-NZ"/>
        </w:rPr>
        <w:t>: FPG</w:t>
      </w:r>
      <w:r>
        <w:rPr>
          <w:lang w:eastAsia="en-NZ"/>
        </w:rPr>
        <w:t xml:space="preserve"> =</w:t>
      </w:r>
      <w:r w:rsidRPr="00E07B1B">
        <w:rPr>
          <w:lang w:eastAsia="en-NZ"/>
        </w:rPr>
        <w:t xml:space="preserve"> fasting plasma glucose; GDM</w:t>
      </w:r>
      <w:r>
        <w:rPr>
          <w:lang w:eastAsia="en-NZ"/>
        </w:rPr>
        <w:t xml:space="preserve"> =</w:t>
      </w:r>
      <w:r w:rsidRPr="00E07B1B">
        <w:rPr>
          <w:lang w:eastAsia="en-NZ"/>
        </w:rPr>
        <w:t xml:space="preserve"> gestational diabetes mellitus; IFG</w:t>
      </w:r>
      <w:r>
        <w:rPr>
          <w:lang w:eastAsia="en-NZ"/>
        </w:rPr>
        <w:t xml:space="preserve"> =</w:t>
      </w:r>
      <w:r w:rsidRPr="00E07B1B">
        <w:rPr>
          <w:lang w:eastAsia="en-NZ"/>
        </w:rPr>
        <w:t xml:space="preserve"> impaired fasting glucose; IGT</w:t>
      </w:r>
      <w:r>
        <w:rPr>
          <w:lang w:eastAsia="en-NZ"/>
        </w:rPr>
        <w:t xml:space="preserve"> =</w:t>
      </w:r>
      <w:r w:rsidRPr="00E07B1B">
        <w:rPr>
          <w:lang w:eastAsia="en-NZ"/>
        </w:rPr>
        <w:t xml:space="preserve"> impaired glucose tolerance; OGTT</w:t>
      </w:r>
      <w:r>
        <w:rPr>
          <w:lang w:eastAsia="en-NZ"/>
        </w:rPr>
        <w:t xml:space="preserve"> =</w:t>
      </w:r>
      <w:r w:rsidRPr="00E07B1B">
        <w:rPr>
          <w:lang w:eastAsia="en-NZ"/>
        </w:rPr>
        <w:t xml:space="preserve"> oral glucose tolerance test; PG</w:t>
      </w:r>
      <w:r w:rsidR="00A125BF">
        <w:rPr>
          <w:lang w:eastAsia="en-NZ"/>
        </w:rPr>
        <w:t> </w:t>
      </w:r>
      <w:r>
        <w:rPr>
          <w:lang w:eastAsia="en-NZ"/>
        </w:rPr>
        <w:t>=</w:t>
      </w:r>
      <w:r w:rsidR="00A125BF">
        <w:rPr>
          <w:lang w:eastAsia="en-NZ"/>
        </w:rPr>
        <w:t> </w:t>
      </w:r>
      <w:r w:rsidRPr="00E07B1B">
        <w:rPr>
          <w:lang w:eastAsia="en-NZ"/>
        </w:rPr>
        <w:t>plasma glucose.</w:t>
      </w:r>
    </w:p>
    <w:p w:rsidR="00A125BF" w:rsidRPr="00A125BF" w:rsidRDefault="00A125BF" w:rsidP="00A125BF">
      <w:pPr>
        <w:rPr>
          <w:lang w:eastAsia="en-NZ"/>
        </w:rPr>
      </w:pPr>
    </w:p>
    <w:p w:rsidR="00853A74" w:rsidRPr="00E07B1B" w:rsidRDefault="00853A74" w:rsidP="00A125BF">
      <w:pPr>
        <w:pStyle w:val="Table"/>
        <w:rPr>
          <w:lang w:eastAsia="en-NZ"/>
        </w:rPr>
      </w:pPr>
      <w:bookmarkStart w:id="580" w:name="_Toc363717845"/>
      <w:bookmarkStart w:id="581" w:name="_Toc403635924"/>
      <w:r w:rsidRPr="00E07B1B">
        <w:rPr>
          <w:lang w:eastAsia="en-NZ"/>
        </w:rPr>
        <w:t>Table 43</w:t>
      </w:r>
      <w:r w:rsidR="00A125BF">
        <w:rPr>
          <w:lang w:eastAsia="en-NZ"/>
        </w:rPr>
        <w:t>:</w:t>
      </w:r>
      <w:r w:rsidRPr="00E07B1B">
        <w:rPr>
          <w:lang w:eastAsia="en-NZ"/>
        </w:rPr>
        <w:t xml:space="preserve"> Demographic details of participants in diagnostic cohort study for postpartum screening</w:t>
      </w:r>
      <w:bookmarkEnd w:id="580"/>
      <w:bookmarkEnd w:id="581"/>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695"/>
        <w:gridCol w:w="1140"/>
        <w:gridCol w:w="1134"/>
        <w:gridCol w:w="1559"/>
        <w:gridCol w:w="2409"/>
        <w:gridCol w:w="1986"/>
        <w:gridCol w:w="1133"/>
        <w:gridCol w:w="1702"/>
        <w:gridCol w:w="1843"/>
      </w:tblGrid>
      <w:tr w:rsidR="00F26D17" w:rsidRPr="00A125BF" w:rsidTr="00F26D17">
        <w:trPr>
          <w:cantSplit/>
          <w:tblHeader/>
        </w:trPr>
        <w:tc>
          <w:tcPr>
            <w:tcW w:w="580" w:type="pct"/>
            <w:tcBorders>
              <w:top w:val="single" w:sz="4" w:space="0" w:color="auto"/>
              <w:bottom w:val="single" w:sz="4" w:space="0" w:color="auto"/>
            </w:tcBorders>
            <w:shd w:val="clear" w:color="auto" w:fill="auto"/>
          </w:tcPr>
          <w:p w:rsidR="00853A74" w:rsidRPr="00A125BF" w:rsidRDefault="00853A74" w:rsidP="00F26D17">
            <w:pPr>
              <w:pStyle w:val="TableText"/>
              <w:keepNext/>
              <w:rPr>
                <w:b/>
              </w:rPr>
            </w:pPr>
            <w:r w:rsidRPr="00A125BF">
              <w:rPr>
                <w:b/>
              </w:rPr>
              <w:t>Reference</w:t>
            </w:r>
          </w:p>
        </w:tc>
        <w:tc>
          <w:tcPr>
            <w:tcW w:w="390" w:type="pct"/>
            <w:tcBorders>
              <w:top w:val="single" w:sz="4" w:space="0" w:color="auto"/>
              <w:bottom w:val="single" w:sz="4" w:space="0" w:color="auto"/>
            </w:tcBorders>
            <w:shd w:val="clear" w:color="auto" w:fill="auto"/>
          </w:tcPr>
          <w:p w:rsidR="00853A74" w:rsidRPr="00A125BF" w:rsidRDefault="00853A74" w:rsidP="00F26D17">
            <w:pPr>
              <w:pStyle w:val="TableText"/>
              <w:keepNext/>
              <w:rPr>
                <w:b/>
              </w:rPr>
            </w:pPr>
            <w:r w:rsidRPr="00A125BF">
              <w:rPr>
                <w:b/>
              </w:rPr>
              <w:t>Country</w:t>
            </w:r>
          </w:p>
        </w:tc>
        <w:tc>
          <w:tcPr>
            <w:tcW w:w="388" w:type="pct"/>
            <w:tcBorders>
              <w:top w:val="single" w:sz="4" w:space="0" w:color="auto"/>
              <w:bottom w:val="single" w:sz="4" w:space="0" w:color="auto"/>
            </w:tcBorders>
            <w:shd w:val="clear" w:color="auto" w:fill="auto"/>
          </w:tcPr>
          <w:p w:rsidR="00853A74" w:rsidRPr="00A125BF" w:rsidRDefault="00853A74" w:rsidP="00F26D17">
            <w:pPr>
              <w:pStyle w:val="TableText"/>
              <w:keepNext/>
              <w:jc w:val="center"/>
              <w:rPr>
                <w:b/>
              </w:rPr>
            </w:pPr>
            <w:r w:rsidRPr="00A125BF">
              <w:rPr>
                <w:b/>
              </w:rPr>
              <w:t>Number</w:t>
            </w:r>
          </w:p>
        </w:tc>
        <w:tc>
          <w:tcPr>
            <w:tcW w:w="534" w:type="pct"/>
            <w:tcBorders>
              <w:top w:val="single" w:sz="4" w:space="0" w:color="auto"/>
              <w:bottom w:val="single" w:sz="4" w:space="0" w:color="auto"/>
            </w:tcBorders>
            <w:shd w:val="clear" w:color="auto" w:fill="auto"/>
          </w:tcPr>
          <w:p w:rsidR="00853A74" w:rsidRPr="00A125BF" w:rsidRDefault="00853A74" w:rsidP="00F26D17">
            <w:pPr>
              <w:pStyle w:val="TableText"/>
              <w:keepNext/>
              <w:jc w:val="center"/>
              <w:rPr>
                <w:b/>
              </w:rPr>
            </w:pPr>
            <w:r w:rsidRPr="00A125BF">
              <w:rPr>
                <w:b/>
              </w:rPr>
              <w:t>Age (years)</w:t>
            </w:r>
          </w:p>
        </w:tc>
        <w:tc>
          <w:tcPr>
            <w:tcW w:w="825" w:type="pct"/>
            <w:tcBorders>
              <w:top w:val="single" w:sz="4" w:space="0" w:color="auto"/>
              <w:bottom w:val="single" w:sz="4" w:space="0" w:color="auto"/>
            </w:tcBorders>
            <w:shd w:val="clear" w:color="auto" w:fill="auto"/>
          </w:tcPr>
          <w:p w:rsidR="00853A74" w:rsidRPr="00A125BF" w:rsidRDefault="00853A74" w:rsidP="00F26D17">
            <w:pPr>
              <w:pStyle w:val="TableText"/>
              <w:keepNext/>
              <w:jc w:val="center"/>
              <w:rPr>
                <w:b/>
              </w:rPr>
            </w:pPr>
            <w:r w:rsidRPr="00A125BF">
              <w:rPr>
                <w:b/>
              </w:rPr>
              <w:t>Body mass index</w:t>
            </w:r>
          </w:p>
        </w:tc>
        <w:tc>
          <w:tcPr>
            <w:tcW w:w="680" w:type="pct"/>
            <w:tcBorders>
              <w:top w:val="single" w:sz="4" w:space="0" w:color="auto"/>
              <w:bottom w:val="single" w:sz="4" w:space="0" w:color="auto"/>
            </w:tcBorders>
            <w:shd w:val="clear" w:color="auto" w:fill="auto"/>
          </w:tcPr>
          <w:p w:rsidR="00853A74" w:rsidRPr="00A125BF" w:rsidRDefault="00853A74" w:rsidP="00F26D17">
            <w:pPr>
              <w:pStyle w:val="TableText"/>
              <w:keepNext/>
              <w:rPr>
                <w:b/>
              </w:rPr>
            </w:pPr>
            <w:r w:rsidRPr="00A125BF">
              <w:rPr>
                <w:b/>
              </w:rPr>
              <w:t>Follow-up time</w:t>
            </w:r>
          </w:p>
        </w:tc>
        <w:tc>
          <w:tcPr>
            <w:tcW w:w="388" w:type="pct"/>
            <w:tcBorders>
              <w:top w:val="single" w:sz="4" w:space="0" w:color="auto"/>
              <w:bottom w:val="single" w:sz="4" w:space="0" w:color="auto"/>
            </w:tcBorders>
            <w:shd w:val="clear" w:color="auto" w:fill="auto"/>
          </w:tcPr>
          <w:p w:rsidR="00853A74" w:rsidRPr="00A125BF" w:rsidRDefault="00853A74" w:rsidP="00F26D17">
            <w:pPr>
              <w:pStyle w:val="TableText"/>
              <w:keepNext/>
              <w:jc w:val="center"/>
              <w:rPr>
                <w:b/>
              </w:rPr>
            </w:pPr>
            <w:r w:rsidRPr="00A125BF">
              <w:rPr>
                <w:b/>
              </w:rPr>
              <w:t>HbA1c cut-off</w:t>
            </w:r>
          </w:p>
        </w:tc>
        <w:tc>
          <w:tcPr>
            <w:tcW w:w="583" w:type="pct"/>
            <w:tcBorders>
              <w:top w:val="single" w:sz="4" w:space="0" w:color="auto"/>
              <w:bottom w:val="single" w:sz="4" w:space="0" w:color="auto"/>
            </w:tcBorders>
            <w:shd w:val="clear" w:color="auto" w:fill="auto"/>
          </w:tcPr>
          <w:p w:rsidR="00853A74" w:rsidRPr="00A125BF" w:rsidRDefault="00853A74" w:rsidP="00F26D17">
            <w:pPr>
              <w:pStyle w:val="TableText"/>
              <w:keepNext/>
              <w:jc w:val="center"/>
              <w:rPr>
                <w:b/>
              </w:rPr>
            </w:pPr>
            <w:r w:rsidRPr="00A125BF">
              <w:rPr>
                <w:b/>
              </w:rPr>
              <w:t>OGTT</w:t>
            </w:r>
            <w:r w:rsidR="00F26D17">
              <w:rPr>
                <w:b/>
              </w:rPr>
              <w:br/>
            </w:r>
            <w:r w:rsidRPr="00A125BF">
              <w:rPr>
                <w:b/>
              </w:rPr>
              <w:t>(2hr, 75g)</w:t>
            </w:r>
          </w:p>
        </w:tc>
        <w:tc>
          <w:tcPr>
            <w:tcW w:w="631" w:type="pct"/>
            <w:tcBorders>
              <w:top w:val="single" w:sz="4" w:space="0" w:color="auto"/>
              <w:bottom w:val="single" w:sz="4" w:space="0" w:color="auto"/>
            </w:tcBorders>
            <w:shd w:val="clear" w:color="auto" w:fill="auto"/>
          </w:tcPr>
          <w:p w:rsidR="00853A74" w:rsidRPr="00A125BF" w:rsidRDefault="00853A74" w:rsidP="00F26D17">
            <w:pPr>
              <w:pStyle w:val="TableText"/>
              <w:keepNext/>
              <w:jc w:val="center"/>
              <w:rPr>
                <w:b/>
              </w:rPr>
            </w:pPr>
            <w:r w:rsidRPr="00A125BF">
              <w:rPr>
                <w:b/>
              </w:rPr>
              <w:t>Fasting plasma glucose</w:t>
            </w:r>
          </w:p>
        </w:tc>
      </w:tr>
      <w:tr w:rsidR="00F26D17" w:rsidRPr="00E07B1B" w:rsidTr="00F26D17">
        <w:trPr>
          <w:cantSplit/>
        </w:trPr>
        <w:tc>
          <w:tcPr>
            <w:tcW w:w="580" w:type="pct"/>
            <w:tcBorders>
              <w:top w:val="single" w:sz="4" w:space="0" w:color="auto"/>
              <w:bottom w:val="nil"/>
            </w:tcBorders>
            <w:shd w:val="clear" w:color="auto" w:fill="F2F2F2" w:themeFill="background1" w:themeFillShade="F2"/>
          </w:tcPr>
          <w:p w:rsidR="00853A74" w:rsidRPr="00E07B1B" w:rsidRDefault="00853A74" w:rsidP="00F26D17">
            <w:pPr>
              <w:pStyle w:val="TableText"/>
              <w:keepNext/>
            </w:pPr>
            <w:r w:rsidRPr="00E07B1B">
              <w:t>Picon (2012)</w:t>
            </w:r>
          </w:p>
        </w:tc>
        <w:tc>
          <w:tcPr>
            <w:tcW w:w="390" w:type="pct"/>
            <w:tcBorders>
              <w:top w:val="single" w:sz="4" w:space="0" w:color="auto"/>
              <w:bottom w:val="nil"/>
            </w:tcBorders>
            <w:shd w:val="clear" w:color="auto" w:fill="F2F2F2" w:themeFill="background1" w:themeFillShade="F2"/>
          </w:tcPr>
          <w:p w:rsidR="00853A74" w:rsidRPr="00E07B1B" w:rsidRDefault="00853A74" w:rsidP="00F26D17">
            <w:pPr>
              <w:pStyle w:val="TableText"/>
              <w:keepNext/>
            </w:pPr>
            <w:r w:rsidRPr="00E07B1B">
              <w:t>Spain</w:t>
            </w:r>
          </w:p>
        </w:tc>
        <w:tc>
          <w:tcPr>
            <w:tcW w:w="388" w:type="pct"/>
            <w:tcBorders>
              <w:top w:val="single" w:sz="4" w:space="0" w:color="auto"/>
              <w:bottom w:val="nil"/>
            </w:tcBorders>
            <w:shd w:val="clear" w:color="auto" w:fill="F2F2F2" w:themeFill="background1" w:themeFillShade="F2"/>
          </w:tcPr>
          <w:p w:rsidR="00853A74" w:rsidRPr="00E07B1B" w:rsidRDefault="00853A74" w:rsidP="00F26D17">
            <w:pPr>
              <w:pStyle w:val="TableText"/>
              <w:keepNext/>
              <w:jc w:val="center"/>
            </w:pPr>
            <w:r w:rsidRPr="00E07B1B">
              <w:t>231</w:t>
            </w:r>
          </w:p>
        </w:tc>
        <w:tc>
          <w:tcPr>
            <w:tcW w:w="534" w:type="pct"/>
            <w:tcBorders>
              <w:top w:val="single" w:sz="4" w:space="0" w:color="auto"/>
              <w:bottom w:val="nil"/>
            </w:tcBorders>
            <w:shd w:val="clear" w:color="auto" w:fill="F2F2F2" w:themeFill="background1" w:themeFillShade="F2"/>
          </w:tcPr>
          <w:p w:rsidR="00853A74" w:rsidRPr="00E07B1B" w:rsidRDefault="00853A74" w:rsidP="00F26D17">
            <w:pPr>
              <w:pStyle w:val="TableText"/>
              <w:keepNext/>
              <w:jc w:val="center"/>
            </w:pPr>
            <w:r w:rsidRPr="00E07B1B">
              <w:t>34.63 (±</w:t>
            </w:r>
            <w:r w:rsidR="00F26D17">
              <w:t> </w:t>
            </w:r>
            <w:r w:rsidRPr="00E07B1B">
              <w:t>4.65)</w:t>
            </w:r>
          </w:p>
        </w:tc>
        <w:tc>
          <w:tcPr>
            <w:tcW w:w="825" w:type="pct"/>
            <w:tcBorders>
              <w:top w:val="single" w:sz="4" w:space="0" w:color="auto"/>
              <w:bottom w:val="nil"/>
            </w:tcBorders>
            <w:shd w:val="clear" w:color="auto" w:fill="F2F2F2" w:themeFill="background1" w:themeFillShade="F2"/>
          </w:tcPr>
          <w:p w:rsidR="00853A74" w:rsidRPr="00E07B1B" w:rsidRDefault="00853A74" w:rsidP="00F26D17">
            <w:pPr>
              <w:pStyle w:val="TableText"/>
              <w:keepNext/>
              <w:jc w:val="center"/>
            </w:pPr>
            <w:r w:rsidRPr="00E07B1B">
              <w:t>27.74 (± 5.95) kg/m</w:t>
            </w:r>
            <w:r w:rsidRPr="00F220E7">
              <w:rPr>
                <w:vertAlign w:val="superscript"/>
              </w:rPr>
              <w:t>2</w:t>
            </w:r>
          </w:p>
        </w:tc>
        <w:tc>
          <w:tcPr>
            <w:tcW w:w="680" w:type="pct"/>
            <w:tcBorders>
              <w:top w:val="single" w:sz="4" w:space="0" w:color="auto"/>
              <w:bottom w:val="nil"/>
            </w:tcBorders>
            <w:shd w:val="clear" w:color="auto" w:fill="F2F2F2" w:themeFill="background1" w:themeFillShade="F2"/>
          </w:tcPr>
          <w:p w:rsidR="00853A74" w:rsidRPr="00E07B1B" w:rsidRDefault="00853A74" w:rsidP="00F26D17">
            <w:pPr>
              <w:pStyle w:val="TableText"/>
              <w:keepNext/>
            </w:pPr>
            <w:r w:rsidRPr="00E07B1B">
              <w:t>Up to 12</w:t>
            </w:r>
            <w:r w:rsidR="00F26D17">
              <w:t> </w:t>
            </w:r>
            <w:r w:rsidRPr="00E07B1B">
              <w:t>months</w:t>
            </w:r>
          </w:p>
        </w:tc>
        <w:tc>
          <w:tcPr>
            <w:tcW w:w="388" w:type="pct"/>
            <w:tcBorders>
              <w:top w:val="single" w:sz="4" w:space="0" w:color="auto"/>
              <w:bottom w:val="nil"/>
            </w:tcBorders>
            <w:shd w:val="clear" w:color="auto" w:fill="F2F2F2" w:themeFill="background1" w:themeFillShade="F2"/>
          </w:tcPr>
          <w:p w:rsidR="00853A74" w:rsidRPr="00E07B1B" w:rsidRDefault="00853A74" w:rsidP="00F26D17">
            <w:pPr>
              <w:pStyle w:val="TableText"/>
              <w:keepNext/>
              <w:jc w:val="center"/>
            </w:pPr>
            <w:r w:rsidRPr="00E07B1B">
              <w:t>≥</w:t>
            </w:r>
            <w:r>
              <w:t xml:space="preserve"> </w:t>
            </w:r>
            <w:r w:rsidRPr="00E07B1B">
              <w:t>6.5%</w:t>
            </w:r>
          </w:p>
        </w:tc>
        <w:tc>
          <w:tcPr>
            <w:tcW w:w="583" w:type="pct"/>
            <w:tcBorders>
              <w:top w:val="single" w:sz="4" w:space="0" w:color="auto"/>
              <w:bottom w:val="nil"/>
            </w:tcBorders>
            <w:shd w:val="clear" w:color="auto" w:fill="F2F2F2" w:themeFill="background1" w:themeFillShade="F2"/>
          </w:tcPr>
          <w:p w:rsidR="00853A74" w:rsidRPr="00E07B1B" w:rsidRDefault="00853A74" w:rsidP="00F26D17">
            <w:pPr>
              <w:pStyle w:val="TableText"/>
              <w:keepNext/>
              <w:jc w:val="center"/>
            </w:pPr>
            <w:r w:rsidRPr="00E07B1B">
              <w:t>≥</w:t>
            </w:r>
            <w:r>
              <w:t xml:space="preserve"> </w:t>
            </w:r>
            <w:r w:rsidRPr="00E07B1B">
              <w:t>200 mg/dL</w:t>
            </w:r>
          </w:p>
        </w:tc>
        <w:tc>
          <w:tcPr>
            <w:tcW w:w="631" w:type="pct"/>
            <w:tcBorders>
              <w:top w:val="single" w:sz="4" w:space="0" w:color="auto"/>
              <w:bottom w:val="nil"/>
            </w:tcBorders>
            <w:shd w:val="clear" w:color="auto" w:fill="F2F2F2" w:themeFill="background1" w:themeFillShade="F2"/>
          </w:tcPr>
          <w:p w:rsidR="00853A74" w:rsidRPr="00E07B1B" w:rsidRDefault="00853A74" w:rsidP="00F26D17">
            <w:pPr>
              <w:pStyle w:val="TableText"/>
              <w:keepNext/>
              <w:jc w:val="center"/>
            </w:pPr>
            <w:r w:rsidRPr="00E07B1B">
              <w:t>≥</w:t>
            </w:r>
            <w:r>
              <w:t xml:space="preserve"> </w:t>
            </w:r>
            <w:r w:rsidRPr="00E07B1B">
              <w:t>126 mg/dL</w:t>
            </w:r>
          </w:p>
        </w:tc>
      </w:tr>
      <w:tr w:rsidR="00F26D17" w:rsidRPr="00E07B1B" w:rsidTr="00F26D17">
        <w:trPr>
          <w:cantSplit/>
        </w:trPr>
        <w:tc>
          <w:tcPr>
            <w:tcW w:w="580" w:type="pct"/>
            <w:tcBorders>
              <w:top w:val="nil"/>
              <w:bottom w:val="nil"/>
            </w:tcBorders>
            <w:shd w:val="clear" w:color="auto" w:fill="auto"/>
          </w:tcPr>
          <w:p w:rsidR="00853A74" w:rsidRPr="00E07B1B" w:rsidRDefault="00853A74" w:rsidP="00F26D17">
            <w:pPr>
              <w:pStyle w:val="TableText"/>
              <w:keepNext/>
            </w:pPr>
            <w:r w:rsidRPr="00E07B1B">
              <w:t>Megia (2012)</w:t>
            </w:r>
          </w:p>
        </w:tc>
        <w:tc>
          <w:tcPr>
            <w:tcW w:w="390" w:type="pct"/>
            <w:tcBorders>
              <w:top w:val="nil"/>
              <w:bottom w:val="nil"/>
            </w:tcBorders>
            <w:shd w:val="clear" w:color="auto" w:fill="auto"/>
          </w:tcPr>
          <w:p w:rsidR="00853A74" w:rsidRPr="00E07B1B" w:rsidRDefault="00853A74" w:rsidP="00F26D17">
            <w:pPr>
              <w:pStyle w:val="TableText"/>
              <w:keepNext/>
            </w:pPr>
            <w:r w:rsidRPr="00E07B1B">
              <w:t>Spain</w:t>
            </w:r>
          </w:p>
        </w:tc>
        <w:tc>
          <w:tcPr>
            <w:tcW w:w="388" w:type="pct"/>
            <w:tcBorders>
              <w:top w:val="nil"/>
              <w:bottom w:val="nil"/>
            </w:tcBorders>
            <w:shd w:val="clear" w:color="auto" w:fill="auto"/>
          </w:tcPr>
          <w:p w:rsidR="00853A74" w:rsidRPr="00E07B1B" w:rsidRDefault="00853A74" w:rsidP="00F26D17">
            <w:pPr>
              <w:pStyle w:val="TableText"/>
              <w:keepNext/>
              <w:jc w:val="center"/>
            </w:pPr>
            <w:r w:rsidRPr="00E07B1B">
              <w:t>364</w:t>
            </w:r>
          </w:p>
        </w:tc>
        <w:tc>
          <w:tcPr>
            <w:tcW w:w="534" w:type="pct"/>
            <w:tcBorders>
              <w:top w:val="nil"/>
              <w:bottom w:val="nil"/>
            </w:tcBorders>
            <w:shd w:val="clear" w:color="auto" w:fill="auto"/>
          </w:tcPr>
          <w:p w:rsidR="00853A74" w:rsidRPr="00E07B1B" w:rsidRDefault="00F26D17" w:rsidP="00F26D17">
            <w:pPr>
              <w:pStyle w:val="TableText"/>
              <w:keepNext/>
              <w:jc w:val="center"/>
            </w:pPr>
            <w:r>
              <w:t>–</w:t>
            </w:r>
          </w:p>
        </w:tc>
        <w:tc>
          <w:tcPr>
            <w:tcW w:w="825" w:type="pct"/>
            <w:tcBorders>
              <w:top w:val="nil"/>
              <w:bottom w:val="nil"/>
            </w:tcBorders>
            <w:shd w:val="clear" w:color="auto" w:fill="auto"/>
          </w:tcPr>
          <w:p w:rsidR="00853A74" w:rsidRPr="00E07B1B" w:rsidRDefault="00F26D17" w:rsidP="00F26D17">
            <w:pPr>
              <w:pStyle w:val="TableText"/>
              <w:keepNext/>
              <w:jc w:val="center"/>
            </w:pPr>
            <w:r>
              <w:t>–</w:t>
            </w:r>
          </w:p>
        </w:tc>
        <w:tc>
          <w:tcPr>
            <w:tcW w:w="680" w:type="pct"/>
            <w:tcBorders>
              <w:top w:val="nil"/>
              <w:bottom w:val="nil"/>
            </w:tcBorders>
            <w:shd w:val="clear" w:color="auto" w:fill="auto"/>
          </w:tcPr>
          <w:p w:rsidR="00853A74" w:rsidRPr="00E07B1B" w:rsidRDefault="00853A74" w:rsidP="00F26D17">
            <w:pPr>
              <w:pStyle w:val="TableText"/>
              <w:keepNext/>
            </w:pPr>
            <w:r w:rsidRPr="00E07B1B">
              <w:t>Up to 12</w:t>
            </w:r>
            <w:r w:rsidR="00F26D17">
              <w:t> </w:t>
            </w:r>
            <w:r w:rsidRPr="00E07B1B">
              <w:t>months</w:t>
            </w:r>
          </w:p>
        </w:tc>
        <w:tc>
          <w:tcPr>
            <w:tcW w:w="388" w:type="pct"/>
            <w:tcBorders>
              <w:top w:val="nil"/>
              <w:bottom w:val="nil"/>
            </w:tcBorders>
            <w:shd w:val="clear" w:color="auto" w:fill="auto"/>
          </w:tcPr>
          <w:p w:rsidR="00853A74" w:rsidRPr="00E07B1B" w:rsidRDefault="00853A74" w:rsidP="00F26D17">
            <w:pPr>
              <w:pStyle w:val="TableText"/>
              <w:keepNext/>
              <w:jc w:val="center"/>
            </w:pPr>
            <w:r w:rsidRPr="00E07B1B">
              <w:t>≥</w:t>
            </w:r>
            <w:r>
              <w:t xml:space="preserve"> </w:t>
            </w:r>
            <w:r w:rsidRPr="00E07B1B">
              <w:t>6.5%</w:t>
            </w:r>
          </w:p>
        </w:tc>
        <w:tc>
          <w:tcPr>
            <w:tcW w:w="583" w:type="pct"/>
            <w:tcBorders>
              <w:top w:val="nil"/>
              <w:bottom w:val="nil"/>
            </w:tcBorders>
            <w:shd w:val="clear" w:color="auto" w:fill="auto"/>
          </w:tcPr>
          <w:p w:rsidR="00853A74" w:rsidRPr="00E07B1B" w:rsidRDefault="00853A74" w:rsidP="00F26D17">
            <w:pPr>
              <w:pStyle w:val="TableText"/>
              <w:keepNext/>
              <w:jc w:val="center"/>
            </w:pPr>
            <w:r w:rsidRPr="00E07B1B">
              <w:t>≥</w:t>
            </w:r>
            <w:r>
              <w:t xml:space="preserve"> </w:t>
            </w:r>
            <w:r w:rsidRPr="00E07B1B">
              <w:t>200</w:t>
            </w:r>
            <w:r>
              <w:t xml:space="preserve"> </w:t>
            </w:r>
            <w:r w:rsidRPr="00E07B1B">
              <w:t>mg</w:t>
            </w:r>
            <w:r>
              <w:t>/</w:t>
            </w:r>
            <w:r w:rsidRPr="00E07B1B">
              <w:t>dL</w:t>
            </w:r>
          </w:p>
        </w:tc>
        <w:tc>
          <w:tcPr>
            <w:tcW w:w="631" w:type="pct"/>
            <w:tcBorders>
              <w:top w:val="nil"/>
              <w:bottom w:val="nil"/>
            </w:tcBorders>
            <w:shd w:val="clear" w:color="auto" w:fill="auto"/>
          </w:tcPr>
          <w:p w:rsidR="00853A74" w:rsidRPr="00E07B1B" w:rsidRDefault="00F26D17" w:rsidP="00F26D17">
            <w:pPr>
              <w:pStyle w:val="TableText"/>
              <w:keepNext/>
              <w:jc w:val="center"/>
            </w:pPr>
            <w:r>
              <w:t>–</w:t>
            </w:r>
          </w:p>
        </w:tc>
      </w:tr>
      <w:tr w:rsidR="00F26D17" w:rsidRPr="00E07B1B" w:rsidTr="00F26D17">
        <w:trPr>
          <w:cantSplit/>
        </w:trPr>
        <w:tc>
          <w:tcPr>
            <w:tcW w:w="580" w:type="pct"/>
            <w:tcBorders>
              <w:top w:val="nil"/>
              <w:bottom w:val="single" w:sz="4" w:space="0" w:color="auto"/>
            </w:tcBorders>
            <w:shd w:val="clear" w:color="auto" w:fill="F2F2F2" w:themeFill="background1" w:themeFillShade="F2"/>
          </w:tcPr>
          <w:p w:rsidR="00853A74" w:rsidRPr="00E07B1B" w:rsidRDefault="00853A74" w:rsidP="00F26D17">
            <w:pPr>
              <w:pStyle w:val="TableText"/>
              <w:keepNext/>
            </w:pPr>
            <w:r w:rsidRPr="00E07B1B">
              <w:t>Kim (2011)</w:t>
            </w:r>
          </w:p>
        </w:tc>
        <w:tc>
          <w:tcPr>
            <w:tcW w:w="390" w:type="pct"/>
            <w:tcBorders>
              <w:top w:val="nil"/>
              <w:bottom w:val="single" w:sz="4" w:space="0" w:color="auto"/>
            </w:tcBorders>
            <w:shd w:val="clear" w:color="auto" w:fill="F2F2F2" w:themeFill="background1" w:themeFillShade="F2"/>
          </w:tcPr>
          <w:p w:rsidR="00853A74" w:rsidRPr="00E07B1B" w:rsidRDefault="00853A74" w:rsidP="00F26D17">
            <w:pPr>
              <w:pStyle w:val="TableText"/>
              <w:keepNext/>
            </w:pPr>
            <w:r w:rsidRPr="00E07B1B">
              <w:t>USA</w:t>
            </w:r>
          </w:p>
        </w:tc>
        <w:tc>
          <w:tcPr>
            <w:tcW w:w="388" w:type="pct"/>
            <w:tcBorders>
              <w:top w:val="nil"/>
              <w:bottom w:val="single" w:sz="4" w:space="0" w:color="auto"/>
            </w:tcBorders>
            <w:shd w:val="clear" w:color="auto" w:fill="F2F2F2" w:themeFill="background1" w:themeFillShade="F2"/>
          </w:tcPr>
          <w:p w:rsidR="00853A74" w:rsidRPr="00E07B1B" w:rsidRDefault="00853A74" w:rsidP="00F26D17">
            <w:pPr>
              <w:pStyle w:val="TableText"/>
              <w:keepNext/>
              <w:jc w:val="center"/>
            </w:pPr>
            <w:r w:rsidRPr="00E07B1B">
              <w:t>54</w:t>
            </w:r>
          </w:p>
        </w:tc>
        <w:tc>
          <w:tcPr>
            <w:tcW w:w="534" w:type="pct"/>
            <w:tcBorders>
              <w:top w:val="nil"/>
              <w:bottom w:val="single" w:sz="4" w:space="0" w:color="auto"/>
            </w:tcBorders>
            <w:shd w:val="clear" w:color="auto" w:fill="F2F2F2" w:themeFill="background1" w:themeFillShade="F2"/>
          </w:tcPr>
          <w:p w:rsidR="00853A74" w:rsidRPr="00E07B1B" w:rsidRDefault="00853A74" w:rsidP="00F26D17">
            <w:pPr>
              <w:pStyle w:val="TableText"/>
              <w:keepNext/>
              <w:jc w:val="center"/>
            </w:pPr>
            <w:r w:rsidRPr="00E07B1B">
              <w:t>36 (± 4)</w:t>
            </w:r>
          </w:p>
        </w:tc>
        <w:tc>
          <w:tcPr>
            <w:tcW w:w="825" w:type="pct"/>
            <w:tcBorders>
              <w:top w:val="nil"/>
              <w:bottom w:val="single" w:sz="4" w:space="0" w:color="auto"/>
            </w:tcBorders>
            <w:shd w:val="clear" w:color="auto" w:fill="F2F2F2" w:themeFill="background1" w:themeFillShade="F2"/>
          </w:tcPr>
          <w:p w:rsidR="00853A74" w:rsidRPr="00E07B1B" w:rsidRDefault="00853A74" w:rsidP="00F26D17">
            <w:pPr>
              <w:pStyle w:val="TableText"/>
              <w:keepNext/>
              <w:jc w:val="center"/>
            </w:pPr>
            <w:r w:rsidRPr="00E07B1B">
              <w:t>30.6 (± 7.0) kg/m</w:t>
            </w:r>
            <w:r w:rsidRPr="00F220E7">
              <w:rPr>
                <w:vertAlign w:val="superscript"/>
              </w:rPr>
              <w:t>2</w:t>
            </w:r>
          </w:p>
        </w:tc>
        <w:tc>
          <w:tcPr>
            <w:tcW w:w="680" w:type="pct"/>
            <w:tcBorders>
              <w:top w:val="nil"/>
              <w:bottom w:val="single" w:sz="4" w:space="0" w:color="auto"/>
            </w:tcBorders>
            <w:shd w:val="clear" w:color="auto" w:fill="F2F2F2" w:themeFill="background1" w:themeFillShade="F2"/>
          </w:tcPr>
          <w:p w:rsidR="00853A74" w:rsidRPr="00E07B1B" w:rsidRDefault="00853A74" w:rsidP="00F26D17">
            <w:pPr>
              <w:pStyle w:val="TableText"/>
              <w:keepNext/>
            </w:pPr>
            <w:r w:rsidRPr="00E07B1B">
              <w:t>6 weeks–36</w:t>
            </w:r>
            <w:r w:rsidR="00F26D17">
              <w:t> </w:t>
            </w:r>
            <w:r w:rsidRPr="00E07B1B">
              <w:t>months</w:t>
            </w:r>
          </w:p>
        </w:tc>
        <w:tc>
          <w:tcPr>
            <w:tcW w:w="388" w:type="pct"/>
            <w:tcBorders>
              <w:top w:val="nil"/>
              <w:bottom w:val="single" w:sz="4" w:space="0" w:color="auto"/>
            </w:tcBorders>
            <w:shd w:val="clear" w:color="auto" w:fill="F2F2F2" w:themeFill="background1" w:themeFillShade="F2"/>
          </w:tcPr>
          <w:p w:rsidR="00853A74" w:rsidRPr="00E07B1B" w:rsidRDefault="00853A74" w:rsidP="00F26D17">
            <w:pPr>
              <w:pStyle w:val="TableText"/>
              <w:keepNext/>
              <w:jc w:val="center"/>
            </w:pPr>
            <w:r w:rsidRPr="00E07B1B">
              <w:t>≥</w:t>
            </w:r>
            <w:r>
              <w:t xml:space="preserve"> </w:t>
            </w:r>
            <w:r w:rsidRPr="00E07B1B">
              <w:t>5.7%</w:t>
            </w:r>
          </w:p>
        </w:tc>
        <w:tc>
          <w:tcPr>
            <w:tcW w:w="583" w:type="pct"/>
            <w:tcBorders>
              <w:top w:val="nil"/>
              <w:bottom w:val="single" w:sz="4" w:space="0" w:color="auto"/>
            </w:tcBorders>
            <w:shd w:val="clear" w:color="auto" w:fill="F2F2F2" w:themeFill="background1" w:themeFillShade="F2"/>
          </w:tcPr>
          <w:p w:rsidR="00853A74" w:rsidRPr="00E07B1B" w:rsidRDefault="00853A74" w:rsidP="00F26D17">
            <w:pPr>
              <w:pStyle w:val="TableText"/>
              <w:keepNext/>
              <w:jc w:val="center"/>
            </w:pPr>
            <w:r w:rsidRPr="00E07B1B">
              <w:t>≥</w:t>
            </w:r>
            <w:r>
              <w:t xml:space="preserve"> </w:t>
            </w:r>
            <w:r w:rsidRPr="00E07B1B">
              <w:t>140</w:t>
            </w:r>
            <w:r>
              <w:t xml:space="preserve"> </w:t>
            </w:r>
            <w:r w:rsidRPr="00E07B1B">
              <w:t>mg/dL</w:t>
            </w:r>
          </w:p>
        </w:tc>
        <w:tc>
          <w:tcPr>
            <w:tcW w:w="631" w:type="pct"/>
            <w:tcBorders>
              <w:top w:val="nil"/>
              <w:bottom w:val="single" w:sz="4" w:space="0" w:color="auto"/>
            </w:tcBorders>
            <w:shd w:val="clear" w:color="auto" w:fill="F2F2F2" w:themeFill="background1" w:themeFillShade="F2"/>
          </w:tcPr>
          <w:p w:rsidR="00853A74" w:rsidRPr="00E07B1B" w:rsidRDefault="00853A74" w:rsidP="00F26D17">
            <w:pPr>
              <w:pStyle w:val="TableText"/>
              <w:keepNext/>
              <w:jc w:val="center"/>
            </w:pPr>
            <w:r w:rsidRPr="00E07B1B">
              <w:t>≥</w:t>
            </w:r>
            <w:r>
              <w:t xml:space="preserve"> </w:t>
            </w:r>
            <w:r w:rsidRPr="00E07B1B">
              <w:t>100</w:t>
            </w:r>
            <w:r>
              <w:t xml:space="preserve"> </w:t>
            </w:r>
            <w:r w:rsidRPr="00E07B1B">
              <w:t>mg/dL</w:t>
            </w:r>
          </w:p>
        </w:tc>
      </w:tr>
    </w:tbl>
    <w:p w:rsidR="00853A74" w:rsidRDefault="00853A74" w:rsidP="00F26D17">
      <w:pPr>
        <w:pStyle w:val="Note"/>
        <w:keepNext/>
        <w:rPr>
          <w:lang w:eastAsia="en-NZ"/>
        </w:rPr>
      </w:pPr>
      <w:r>
        <w:rPr>
          <w:lang w:eastAsia="en-NZ"/>
        </w:rPr>
        <w:t>Note: OGTT = oral glucose tolerance test</w:t>
      </w:r>
      <w:r w:rsidR="00A125BF">
        <w:rPr>
          <w:lang w:eastAsia="en-NZ"/>
        </w:rPr>
        <w:t>.</w:t>
      </w:r>
    </w:p>
    <w:p w:rsidR="00A125BF" w:rsidRPr="00A125BF" w:rsidRDefault="00A125BF" w:rsidP="00A125BF">
      <w:pPr>
        <w:rPr>
          <w:lang w:eastAsia="en-NZ"/>
        </w:rPr>
      </w:pPr>
    </w:p>
    <w:p w:rsidR="00853A74" w:rsidRPr="00E07B1B" w:rsidRDefault="00853A74" w:rsidP="00A125BF">
      <w:pPr>
        <w:pStyle w:val="Table"/>
      </w:pPr>
      <w:bookmarkStart w:id="582" w:name="_Toc363717846"/>
      <w:bookmarkStart w:id="583" w:name="_Toc403635925"/>
      <w:r w:rsidRPr="00E07B1B">
        <w:t>Table 44</w:t>
      </w:r>
      <w:r w:rsidR="00A125BF">
        <w:t>:</w:t>
      </w:r>
      <w:r w:rsidRPr="00E07B1B">
        <w:t xml:space="preserve"> Diagnostic accuracy outcomes in diagnostic cohort study for postpartum screening</w:t>
      </w:r>
      <w:bookmarkEnd w:id="582"/>
      <w:bookmarkEnd w:id="583"/>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701"/>
        <w:gridCol w:w="1558"/>
        <w:gridCol w:w="2266"/>
        <w:gridCol w:w="1297"/>
        <w:gridCol w:w="1297"/>
        <w:gridCol w:w="1297"/>
        <w:gridCol w:w="1297"/>
        <w:gridCol w:w="1297"/>
        <w:gridCol w:w="1297"/>
        <w:gridCol w:w="1294"/>
      </w:tblGrid>
      <w:tr w:rsidR="00F26D17" w:rsidRPr="00A125BF" w:rsidTr="00F26D17">
        <w:trPr>
          <w:cantSplit/>
          <w:tblHeader/>
        </w:trPr>
        <w:tc>
          <w:tcPr>
            <w:tcW w:w="583" w:type="pct"/>
            <w:tcBorders>
              <w:top w:val="single" w:sz="4" w:space="0" w:color="auto"/>
              <w:bottom w:val="single" w:sz="4" w:space="0" w:color="auto"/>
            </w:tcBorders>
            <w:shd w:val="clear" w:color="auto" w:fill="auto"/>
          </w:tcPr>
          <w:p w:rsidR="00853A74" w:rsidRPr="00A125BF" w:rsidRDefault="00853A74" w:rsidP="00A125BF">
            <w:pPr>
              <w:pStyle w:val="TableText"/>
              <w:rPr>
                <w:b/>
              </w:rPr>
            </w:pPr>
            <w:r w:rsidRPr="00A125BF">
              <w:rPr>
                <w:b/>
              </w:rPr>
              <w:t>Reference</w:t>
            </w:r>
          </w:p>
        </w:tc>
        <w:tc>
          <w:tcPr>
            <w:tcW w:w="534" w:type="pct"/>
            <w:tcBorders>
              <w:top w:val="single" w:sz="4" w:space="0" w:color="auto"/>
              <w:bottom w:val="single" w:sz="4" w:space="0" w:color="auto"/>
            </w:tcBorders>
            <w:shd w:val="clear" w:color="auto" w:fill="auto"/>
          </w:tcPr>
          <w:p w:rsidR="00853A74" w:rsidRPr="00A125BF" w:rsidRDefault="00853A74" w:rsidP="00A125BF">
            <w:pPr>
              <w:pStyle w:val="TableText"/>
              <w:rPr>
                <w:b/>
              </w:rPr>
            </w:pPr>
            <w:r w:rsidRPr="00A125BF">
              <w:rPr>
                <w:b/>
              </w:rPr>
              <w:t>Test</w:t>
            </w:r>
          </w:p>
        </w:tc>
        <w:tc>
          <w:tcPr>
            <w:tcW w:w="776" w:type="pct"/>
            <w:tcBorders>
              <w:top w:val="single" w:sz="4" w:space="0" w:color="auto"/>
              <w:bottom w:val="single" w:sz="4" w:space="0" w:color="auto"/>
            </w:tcBorders>
            <w:shd w:val="clear" w:color="auto" w:fill="auto"/>
          </w:tcPr>
          <w:p w:rsidR="00853A74" w:rsidRPr="00A125BF" w:rsidRDefault="00853A74" w:rsidP="00F26D17">
            <w:pPr>
              <w:pStyle w:val="TableText"/>
              <w:jc w:val="center"/>
              <w:rPr>
                <w:b/>
              </w:rPr>
            </w:pPr>
            <w:r w:rsidRPr="00A125BF">
              <w:rPr>
                <w:b/>
              </w:rPr>
              <w:t>Reference standard</w:t>
            </w:r>
          </w:p>
        </w:tc>
        <w:tc>
          <w:tcPr>
            <w:tcW w:w="444" w:type="pct"/>
            <w:tcBorders>
              <w:top w:val="single" w:sz="4" w:space="0" w:color="auto"/>
              <w:bottom w:val="single" w:sz="4" w:space="0" w:color="auto"/>
            </w:tcBorders>
            <w:shd w:val="clear" w:color="auto" w:fill="auto"/>
          </w:tcPr>
          <w:p w:rsidR="00853A74" w:rsidRPr="00A125BF" w:rsidRDefault="00853A74" w:rsidP="00F26D17">
            <w:pPr>
              <w:pStyle w:val="TableText"/>
              <w:jc w:val="center"/>
              <w:rPr>
                <w:b/>
              </w:rPr>
            </w:pPr>
            <w:r w:rsidRPr="00A125BF">
              <w:rPr>
                <w:b/>
              </w:rPr>
              <w:t>Prev</w:t>
            </w:r>
          </w:p>
        </w:tc>
        <w:tc>
          <w:tcPr>
            <w:tcW w:w="444" w:type="pct"/>
            <w:tcBorders>
              <w:top w:val="single" w:sz="4" w:space="0" w:color="auto"/>
              <w:bottom w:val="single" w:sz="4" w:space="0" w:color="auto"/>
            </w:tcBorders>
            <w:shd w:val="clear" w:color="auto" w:fill="auto"/>
          </w:tcPr>
          <w:p w:rsidR="00853A74" w:rsidRPr="00A125BF" w:rsidRDefault="00853A74" w:rsidP="00F26D17">
            <w:pPr>
              <w:pStyle w:val="TableText"/>
              <w:jc w:val="center"/>
              <w:rPr>
                <w:b/>
              </w:rPr>
            </w:pPr>
            <w:r w:rsidRPr="00A125BF">
              <w:rPr>
                <w:b/>
              </w:rPr>
              <w:t>Sens</w:t>
            </w:r>
          </w:p>
        </w:tc>
        <w:tc>
          <w:tcPr>
            <w:tcW w:w="444" w:type="pct"/>
            <w:tcBorders>
              <w:top w:val="single" w:sz="4" w:space="0" w:color="auto"/>
              <w:bottom w:val="single" w:sz="4" w:space="0" w:color="auto"/>
            </w:tcBorders>
            <w:shd w:val="clear" w:color="auto" w:fill="auto"/>
          </w:tcPr>
          <w:p w:rsidR="00853A74" w:rsidRPr="00A125BF" w:rsidRDefault="00853A74" w:rsidP="00F26D17">
            <w:pPr>
              <w:pStyle w:val="TableText"/>
              <w:jc w:val="center"/>
              <w:rPr>
                <w:b/>
              </w:rPr>
            </w:pPr>
            <w:r w:rsidRPr="00A125BF">
              <w:rPr>
                <w:b/>
              </w:rPr>
              <w:t>Spec</w:t>
            </w:r>
          </w:p>
        </w:tc>
        <w:tc>
          <w:tcPr>
            <w:tcW w:w="444" w:type="pct"/>
            <w:tcBorders>
              <w:top w:val="single" w:sz="4" w:space="0" w:color="auto"/>
              <w:bottom w:val="single" w:sz="4" w:space="0" w:color="auto"/>
            </w:tcBorders>
            <w:shd w:val="clear" w:color="auto" w:fill="auto"/>
          </w:tcPr>
          <w:p w:rsidR="00853A74" w:rsidRPr="00A125BF" w:rsidRDefault="00853A74" w:rsidP="00F26D17">
            <w:pPr>
              <w:pStyle w:val="TableText"/>
              <w:jc w:val="center"/>
              <w:rPr>
                <w:b/>
              </w:rPr>
            </w:pPr>
            <w:r w:rsidRPr="00A125BF">
              <w:rPr>
                <w:b/>
              </w:rPr>
              <w:t>PPV</w:t>
            </w:r>
          </w:p>
        </w:tc>
        <w:tc>
          <w:tcPr>
            <w:tcW w:w="444" w:type="pct"/>
            <w:tcBorders>
              <w:top w:val="single" w:sz="4" w:space="0" w:color="auto"/>
              <w:bottom w:val="single" w:sz="4" w:space="0" w:color="auto"/>
            </w:tcBorders>
            <w:shd w:val="clear" w:color="auto" w:fill="auto"/>
          </w:tcPr>
          <w:p w:rsidR="00853A74" w:rsidRPr="00A125BF" w:rsidRDefault="00853A74" w:rsidP="00F26D17">
            <w:pPr>
              <w:pStyle w:val="TableText"/>
              <w:jc w:val="center"/>
              <w:rPr>
                <w:b/>
              </w:rPr>
            </w:pPr>
            <w:r w:rsidRPr="00A125BF">
              <w:rPr>
                <w:b/>
              </w:rPr>
              <w:t>NPV</w:t>
            </w:r>
          </w:p>
        </w:tc>
        <w:tc>
          <w:tcPr>
            <w:tcW w:w="444" w:type="pct"/>
            <w:tcBorders>
              <w:top w:val="single" w:sz="4" w:space="0" w:color="auto"/>
              <w:bottom w:val="single" w:sz="4" w:space="0" w:color="auto"/>
            </w:tcBorders>
            <w:shd w:val="clear" w:color="auto" w:fill="auto"/>
          </w:tcPr>
          <w:p w:rsidR="00853A74" w:rsidRPr="00A125BF" w:rsidRDefault="00853A74" w:rsidP="00F26D17">
            <w:pPr>
              <w:pStyle w:val="TableText"/>
              <w:jc w:val="center"/>
              <w:rPr>
                <w:b/>
              </w:rPr>
            </w:pPr>
            <w:r w:rsidRPr="00A125BF">
              <w:rPr>
                <w:b/>
              </w:rPr>
              <w:t>LR+</w:t>
            </w:r>
          </w:p>
        </w:tc>
        <w:tc>
          <w:tcPr>
            <w:tcW w:w="444" w:type="pct"/>
            <w:tcBorders>
              <w:top w:val="single" w:sz="4" w:space="0" w:color="auto"/>
              <w:bottom w:val="single" w:sz="4" w:space="0" w:color="auto"/>
            </w:tcBorders>
            <w:shd w:val="clear" w:color="auto" w:fill="auto"/>
          </w:tcPr>
          <w:p w:rsidR="00853A74" w:rsidRPr="00A125BF" w:rsidRDefault="00853A74" w:rsidP="00F26D17">
            <w:pPr>
              <w:pStyle w:val="TableText"/>
              <w:jc w:val="center"/>
              <w:rPr>
                <w:b/>
              </w:rPr>
            </w:pPr>
            <w:r w:rsidRPr="00A125BF">
              <w:rPr>
                <w:b/>
              </w:rPr>
              <w:t>LR-</w:t>
            </w:r>
          </w:p>
        </w:tc>
      </w:tr>
      <w:tr w:rsidR="00F26D17" w:rsidRPr="00E07B1B" w:rsidTr="00F26D17">
        <w:trPr>
          <w:cantSplit/>
        </w:trPr>
        <w:tc>
          <w:tcPr>
            <w:tcW w:w="583" w:type="pct"/>
            <w:vMerge w:val="restart"/>
            <w:tcBorders>
              <w:top w:val="single" w:sz="4" w:space="0" w:color="auto"/>
              <w:bottom w:val="nil"/>
            </w:tcBorders>
            <w:shd w:val="clear" w:color="auto" w:fill="F2F2F2" w:themeFill="background1" w:themeFillShade="F2"/>
          </w:tcPr>
          <w:p w:rsidR="00853A74" w:rsidRPr="00E07B1B" w:rsidRDefault="00853A74" w:rsidP="00A125BF">
            <w:pPr>
              <w:pStyle w:val="TableText"/>
            </w:pPr>
            <w:r w:rsidRPr="00E07B1B">
              <w:t>Picon (2012)</w:t>
            </w:r>
          </w:p>
        </w:tc>
        <w:tc>
          <w:tcPr>
            <w:tcW w:w="534" w:type="pct"/>
            <w:tcBorders>
              <w:top w:val="single" w:sz="4" w:space="0" w:color="auto"/>
              <w:bottom w:val="nil"/>
            </w:tcBorders>
            <w:shd w:val="clear" w:color="auto" w:fill="F2F2F2" w:themeFill="background1" w:themeFillShade="F2"/>
          </w:tcPr>
          <w:p w:rsidR="00853A74" w:rsidRPr="00E07B1B" w:rsidRDefault="00853A74" w:rsidP="00A125BF">
            <w:pPr>
              <w:pStyle w:val="TableText"/>
            </w:pPr>
            <w:r w:rsidRPr="00E07B1B">
              <w:t>HbA1c</w:t>
            </w:r>
          </w:p>
        </w:tc>
        <w:tc>
          <w:tcPr>
            <w:tcW w:w="776" w:type="pct"/>
            <w:vMerge w:val="restart"/>
            <w:tcBorders>
              <w:top w:val="single" w:sz="4" w:space="0" w:color="auto"/>
              <w:bottom w:val="nil"/>
            </w:tcBorders>
            <w:shd w:val="clear" w:color="auto" w:fill="F2F2F2" w:themeFill="background1" w:themeFillShade="F2"/>
          </w:tcPr>
          <w:p w:rsidR="00853A74" w:rsidRPr="00E07B1B" w:rsidRDefault="00853A74" w:rsidP="00F26D17">
            <w:pPr>
              <w:pStyle w:val="TableText"/>
              <w:jc w:val="center"/>
            </w:pPr>
            <w:r w:rsidRPr="00E07B1B">
              <w:t>OGTT</w:t>
            </w:r>
          </w:p>
        </w:tc>
        <w:tc>
          <w:tcPr>
            <w:tcW w:w="444" w:type="pct"/>
            <w:tcBorders>
              <w:top w:val="single" w:sz="4" w:space="0" w:color="auto"/>
              <w:bottom w:val="nil"/>
            </w:tcBorders>
            <w:shd w:val="clear" w:color="auto" w:fill="F2F2F2" w:themeFill="background1" w:themeFillShade="F2"/>
          </w:tcPr>
          <w:p w:rsidR="00853A74" w:rsidRPr="00E07B1B" w:rsidRDefault="00853A74" w:rsidP="00F26D17">
            <w:pPr>
              <w:pStyle w:val="TableText"/>
              <w:jc w:val="center"/>
            </w:pPr>
            <w:r w:rsidRPr="00E07B1B">
              <w:t>45.89%</w:t>
            </w:r>
          </w:p>
        </w:tc>
        <w:tc>
          <w:tcPr>
            <w:tcW w:w="444" w:type="pct"/>
            <w:tcBorders>
              <w:top w:val="single" w:sz="4" w:space="0" w:color="auto"/>
              <w:bottom w:val="nil"/>
            </w:tcBorders>
            <w:shd w:val="clear" w:color="auto" w:fill="F2F2F2" w:themeFill="background1" w:themeFillShade="F2"/>
          </w:tcPr>
          <w:p w:rsidR="00853A74" w:rsidRPr="00E07B1B" w:rsidRDefault="00853A74" w:rsidP="00F26D17">
            <w:pPr>
              <w:pStyle w:val="TableText"/>
              <w:jc w:val="center"/>
            </w:pPr>
            <w:r w:rsidRPr="00E07B1B">
              <w:t>22.64%</w:t>
            </w:r>
          </w:p>
        </w:tc>
        <w:tc>
          <w:tcPr>
            <w:tcW w:w="444" w:type="pct"/>
            <w:tcBorders>
              <w:top w:val="single" w:sz="4" w:space="0" w:color="auto"/>
              <w:bottom w:val="nil"/>
            </w:tcBorders>
            <w:shd w:val="clear" w:color="auto" w:fill="F2F2F2" w:themeFill="background1" w:themeFillShade="F2"/>
          </w:tcPr>
          <w:p w:rsidR="00853A74" w:rsidRPr="00E07B1B" w:rsidRDefault="00853A74" w:rsidP="00F26D17">
            <w:pPr>
              <w:pStyle w:val="TableText"/>
              <w:jc w:val="center"/>
            </w:pPr>
            <w:r w:rsidRPr="00E07B1B">
              <w:t>84.0%</w:t>
            </w:r>
          </w:p>
        </w:tc>
        <w:tc>
          <w:tcPr>
            <w:tcW w:w="444" w:type="pct"/>
            <w:tcBorders>
              <w:top w:val="single" w:sz="4" w:space="0" w:color="auto"/>
              <w:bottom w:val="nil"/>
            </w:tcBorders>
            <w:shd w:val="clear" w:color="auto" w:fill="F2F2F2" w:themeFill="background1" w:themeFillShade="F2"/>
          </w:tcPr>
          <w:p w:rsidR="00853A74" w:rsidRPr="00E07B1B" w:rsidRDefault="00853A74" w:rsidP="00F26D17">
            <w:pPr>
              <w:pStyle w:val="TableText"/>
              <w:jc w:val="center"/>
            </w:pPr>
            <w:r w:rsidRPr="00E07B1B">
              <w:t>54.55%</w:t>
            </w:r>
          </w:p>
        </w:tc>
        <w:tc>
          <w:tcPr>
            <w:tcW w:w="444" w:type="pct"/>
            <w:tcBorders>
              <w:top w:val="single" w:sz="4" w:space="0" w:color="auto"/>
              <w:bottom w:val="nil"/>
            </w:tcBorders>
            <w:shd w:val="clear" w:color="auto" w:fill="F2F2F2" w:themeFill="background1" w:themeFillShade="F2"/>
          </w:tcPr>
          <w:p w:rsidR="00853A74" w:rsidRPr="00E07B1B" w:rsidRDefault="00853A74" w:rsidP="00F26D17">
            <w:pPr>
              <w:pStyle w:val="TableText"/>
              <w:jc w:val="center"/>
            </w:pPr>
            <w:r w:rsidRPr="00E07B1B">
              <w:t>56.15%</w:t>
            </w:r>
          </w:p>
        </w:tc>
        <w:tc>
          <w:tcPr>
            <w:tcW w:w="444" w:type="pct"/>
            <w:tcBorders>
              <w:top w:val="single" w:sz="4" w:space="0" w:color="auto"/>
              <w:bottom w:val="nil"/>
            </w:tcBorders>
            <w:shd w:val="clear" w:color="auto" w:fill="F2F2F2" w:themeFill="background1" w:themeFillShade="F2"/>
          </w:tcPr>
          <w:p w:rsidR="00853A74" w:rsidRPr="00E07B1B" w:rsidRDefault="00853A74" w:rsidP="00F26D17">
            <w:pPr>
              <w:pStyle w:val="TableText"/>
              <w:jc w:val="center"/>
            </w:pPr>
            <w:r w:rsidRPr="00E07B1B">
              <w:t>1.42</w:t>
            </w:r>
          </w:p>
        </w:tc>
        <w:tc>
          <w:tcPr>
            <w:tcW w:w="444" w:type="pct"/>
            <w:tcBorders>
              <w:top w:val="single" w:sz="4" w:space="0" w:color="auto"/>
              <w:bottom w:val="nil"/>
            </w:tcBorders>
            <w:shd w:val="clear" w:color="auto" w:fill="F2F2F2" w:themeFill="background1" w:themeFillShade="F2"/>
          </w:tcPr>
          <w:p w:rsidR="00853A74" w:rsidRPr="00E07B1B" w:rsidRDefault="00853A74" w:rsidP="00F26D17">
            <w:pPr>
              <w:pStyle w:val="TableText"/>
              <w:jc w:val="center"/>
            </w:pPr>
            <w:r w:rsidRPr="00E07B1B">
              <w:t>0.92</w:t>
            </w:r>
          </w:p>
        </w:tc>
      </w:tr>
      <w:tr w:rsidR="00F26D17" w:rsidRPr="00E07B1B" w:rsidTr="00F26D17">
        <w:trPr>
          <w:cantSplit/>
        </w:trPr>
        <w:tc>
          <w:tcPr>
            <w:tcW w:w="583" w:type="pct"/>
            <w:vMerge/>
            <w:tcBorders>
              <w:top w:val="nil"/>
            </w:tcBorders>
            <w:shd w:val="clear" w:color="auto" w:fill="auto"/>
          </w:tcPr>
          <w:p w:rsidR="00853A74" w:rsidRPr="00E07B1B" w:rsidRDefault="00853A74" w:rsidP="00A125BF">
            <w:pPr>
              <w:pStyle w:val="TableText"/>
            </w:pPr>
          </w:p>
        </w:tc>
        <w:tc>
          <w:tcPr>
            <w:tcW w:w="534" w:type="pct"/>
            <w:tcBorders>
              <w:top w:val="nil"/>
              <w:bottom w:val="nil"/>
            </w:tcBorders>
            <w:shd w:val="clear" w:color="auto" w:fill="F2F2F2" w:themeFill="background1" w:themeFillShade="F2"/>
          </w:tcPr>
          <w:p w:rsidR="00853A74" w:rsidRPr="00E07B1B" w:rsidRDefault="00853A74" w:rsidP="00A125BF">
            <w:pPr>
              <w:pStyle w:val="TableText"/>
            </w:pPr>
            <w:r w:rsidRPr="00E07B1B">
              <w:t>FPG</w:t>
            </w:r>
          </w:p>
        </w:tc>
        <w:tc>
          <w:tcPr>
            <w:tcW w:w="776" w:type="pct"/>
            <w:vMerge/>
            <w:tcBorders>
              <w:top w:val="nil"/>
              <w:bottom w:val="nil"/>
            </w:tcBorders>
            <w:shd w:val="clear" w:color="auto" w:fill="F2F2F2" w:themeFill="background1" w:themeFillShade="F2"/>
          </w:tcPr>
          <w:p w:rsidR="00853A74" w:rsidRPr="00E07B1B" w:rsidRDefault="00853A74" w:rsidP="00F26D17">
            <w:pPr>
              <w:pStyle w:val="TableText"/>
              <w:jc w:val="center"/>
            </w:pPr>
          </w:p>
        </w:tc>
        <w:tc>
          <w:tcPr>
            <w:tcW w:w="444" w:type="pct"/>
            <w:tcBorders>
              <w:top w:val="nil"/>
              <w:bottom w:val="nil"/>
            </w:tcBorders>
            <w:shd w:val="clear" w:color="auto" w:fill="F2F2F2" w:themeFill="background1" w:themeFillShade="F2"/>
          </w:tcPr>
          <w:p w:rsidR="00853A74" w:rsidRPr="00E07B1B" w:rsidRDefault="00853A74" w:rsidP="00F26D17">
            <w:pPr>
              <w:pStyle w:val="TableText"/>
              <w:jc w:val="center"/>
            </w:pPr>
            <w:r w:rsidRPr="00E07B1B">
              <w:t>45.89%</w:t>
            </w:r>
          </w:p>
        </w:tc>
        <w:tc>
          <w:tcPr>
            <w:tcW w:w="444" w:type="pct"/>
            <w:tcBorders>
              <w:top w:val="nil"/>
              <w:bottom w:val="nil"/>
            </w:tcBorders>
            <w:shd w:val="clear" w:color="auto" w:fill="F2F2F2" w:themeFill="background1" w:themeFillShade="F2"/>
          </w:tcPr>
          <w:p w:rsidR="00853A74" w:rsidRPr="00E07B1B" w:rsidRDefault="00853A74" w:rsidP="00F26D17">
            <w:pPr>
              <w:pStyle w:val="TableText"/>
              <w:jc w:val="center"/>
            </w:pPr>
            <w:r w:rsidRPr="00E07B1B">
              <w:t>83.02%</w:t>
            </w:r>
          </w:p>
        </w:tc>
        <w:tc>
          <w:tcPr>
            <w:tcW w:w="444" w:type="pct"/>
            <w:tcBorders>
              <w:top w:val="nil"/>
              <w:bottom w:val="nil"/>
            </w:tcBorders>
            <w:shd w:val="clear" w:color="auto" w:fill="F2F2F2" w:themeFill="background1" w:themeFillShade="F2"/>
          </w:tcPr>
          <w:p w:rsidR="00853A74" w:rsidRPr="00E07B1B" w:rsidRDefault="00853A74" w:rsidP="00F26D17">
            <w:pPr>
              <w:pStyle w:val="TableText"/>
              <w:jc w:val="center"/>
            </w:pPr>
            <w:r w:rsidRPr="00E07B1B">
              <w:t>100%</w:t>
            </w:r>
          </w:p>
        </w:tc>
        <w:tc>
          <w:tcPr>
            <w:tcW w:w="444" w:type="pct"/>
            <w:tcBorders>
              <w:top w:val="nil"/>
              <w:bottom w:val="nil"/>
            </w:tcBorders>
            <w:shd w:val="clear" w:color="auto" w:fill="F2F2F2" w:themeFill="background1" w:themeFillShade="F2"/>
          </w:tcPr>
          <w:p w:rsidR="00853A74" w:rsidRPr="00E07B1B" w:rsidRDefault="00853A74" w:rsidP="00F26D17">
            <w:pPr>
              <w:pStyle w:val="TableText"/>
              <w:jc w:val="center"/>
            </w:pPr>
            <w:r w:rsidRPr="00E07B1B">
              <w:t>100%</w:t>
            </w:r>
          </w:p>
        </w:tc>
        <w:tc>
          <w:tcPr>
            <w:tcW w:w="444" w:type="pct"/>
            <w:tcBorders>
              <w:top w:val="nil"/>
              <w:bottom w:val="nil"/>
            </w:tcBorders>
            <w:shd w:val="clear" w:color="auto" w:fill="F2F2F2" w:themeFill="background1" w:themeFillShade="F2"/>
          </w:tcPr>
          <w:p w:rsidR="00853A74" w:rsidRPr="00E07B1B" w:rsidRDefault="00853A74" w:rsidP="00F26D17">
            <w:pPr>
              <w:pStyle w:val="TableText"/>
              <w:jc w:val="center"/>
            </w:pPr>
            <w:r w:rsidRPr="00E07B1B">
              <w:t>87.41%</w:t>
            </w:r>
          </w:p>
        </w:tc>
        <w:tc>
          <w:tcPr>
            <w:tcW w:w="444" w:type="pct"/>
            <w:tcBorders>
              <w:top w:val="nil"/>
              <w:bottom w:val="nil"/>
            </w:tcBorders>
            <w:shd w:val="clear" w:color="auto" w:fill="F2F2F2" w:themeFill="background1" w:themeFillShade="F2"/>
          </w:tcPr>
          <w:p w:rsidR="00853A74" w:rsidRPr="00E07B1B" w:rsidRDefault="00853A74" w:rsidP="00F26D17">
            <w:pPr>
              <w:pStyle w:val="TableText"/>
              <w:jc w:val="center"/>
            </w:pPr>
            <w:r>
              <w:t>Not stated</w:t>
            </w:r>
          </w:p>
        </w:tc>
        <w:tc>
          <w:tcPr>
            <w:tcW w:w="444" w:type="pct"/>
            <w:tcBorders>
              <w:top w:val="nil"/>
              <w:bottom w:val="nil"/>
            </w:tcBorders>
            <w:shd w:val="clear" w:color="auto" w:fill="F2F2F2" w:themeFill="background1" w:themeFillShade="F2"/>
          </w:tcPr>
          <w:p w:rsidR="00853A74" w:rsidRPr="00E07B1B" w:rsidRDefault="00853A74" w:rsidP="00F26D17">
            <w:pPr>
              <w:pStyle w:val="TableText"/>
              <w:jc w:val="center"/>
            </w:pPr>
            <w:r w:rsidRPr="00E07B1B">
              <w:t>0.17</w:t>
            </w:r>
          </w:p>
        </w:tc>
      </w:tr>
      <w:tr w:rsidR="00F26D17" w:rsidRPr="00E07B1B" w:rsidTr="00F26D17">
        <w:trPr>
          <w:cantSplit/>
        </w:trPr>
        <w:tc>
          <w:tcPr>
            <w:tcW w:w="583" w:type="pct"/>
            <w:vMerge/>
            <w:shd w:val="clear" w:color="auto" w:fill="auto"/>
          </w:tcPr>
          <w:p w:rsidR="00853A74" w:rsidRPr="00E07B1B" w:rsidRDefault="00853A74" w:rsidP="00A125BF">
            <w:pPr>
              <w:pStyle w:val="TableText"/>
            </w:pPr>
          </w:p>
        </w:tc>
        <w:tc>
          <w:tcPr>
            <w:tcW w:w="534" w:type="pct"/>
            <w:tcBorders>
              <w:top w:val="nil"/>
              <w:bottom w:val="nil"/>
            </w:tcBorders>
            <w:shd w:val="clear" w:color="auto" w:fill="F2F2F2" w:themeFill="background1" w:themeFillShade="F2"/>
          </w:tcPr>
          <w:p w:rsidR="00853A74" w:rsidRPr="00E07B1B" w:rsidRDefault="00853A74" w:rsidP="00A125BF">
            <w:pPr>
              <w:pStyle w:val="TableText"/>
            </w:pPr>
            <w:r w:rsidRPr="00E07B1B">
              <w:t>HbA1c + FPG</w:t>
            </w:r>
          </w:p>
        </w:tc>
        <w:tc>
          <w:tcPr>
            <w:tcW w:w="776" w:type="pct"/>
            <w:vMerge/>
            <w:tcBorders>
              <w:top w:val="nil"/>
              <w:bottom w:val="nil"/>
            </w:tcBorders>
            <w:shd w:val="clear" w:color="auto" w:fill="F2F2F2" w:themeFill="background1" w:themeFillShade="F2"/>
          </w:tcPr>
          <w:p w:rsidR="00853A74" w:rsidRPr="00E07B1B" w:rsidRDefault="00853A74" w:rsidP="00F26D17">
            <w:pPr>
              <w:pStyle w:val="TableText"/>
              <w:jc w:val="center"/>
            </w:pPr>
          </w:p>
        </w:tc>
        <w:tc>
          <w:tcPr>
            <w:tcW w:w="444" w:type="pct"/>
            <w:tcBorders>
              <w:top w:val="nil"/>
              <w:bottom w:val="nil"/>
            </w:tcBorders>
            <w:shd w:val="clear" w:color="auto" w:fill="F2F2F2" w:themeFill="background1" w:themeFillShade="F2"/>
          </w:tcPr>
          <w:p w:rsidR="00853A74" w:rsidRPr="00E07B1B" w:rsidRDefault="00853A74" w:rsidP="00F26D17">
            <w:pPr>
              <w:pStyle w:val="TableText"/>
              <w:jc w:val="center"/>
            </w:pPr>
            <w:r w:rsidRPr="00E07B1B">
              <w:t>45.89%</w:t>
            </w:r>
          </w:p>
        </w:tc>
        <w:tc>
          <w:tcPr>
            <w:tcW w:w="444" w:type="pct"/>
            <w:tcBorders>
              <w:top w:val="nil"/>
              <w:bottom w:val="nil"/>
            </w:tcBorders>
            <w:shd w:val="clear" w:color="auto" w:fill="F2F2F2" w:themeFill="background1" w:themeFillShade="F2"/>
          </w:tcPr>
          <w:p w:rsidR="00853A74" w:rsidRPr="00E07B1B" w:rsidRDefault="00853A74" w:rsidP="00F26D17">
            <w:pPr>
              <w:pStyle w:val="TableText"/>
              <w:jc w:val="center"/>
            </w:pPr>
            <w:r w:rsidRPr="00E07B1B">
              <w:t>83.02%</w:t>
            </w:r>
          </w:p>
        </w:tc>
        <w:tc>
          <w:tcPr>
            <w:tcW w:w="444" w:type="pct"/>
            <w:tcBorders>
              <w:top w:val="nil"/>
              <w:bottom w:val="nil"/>
            </w:tcBorders>
            <w:shd w:val="clear" w:color="auto" w:fill="F2F2F2" w:themeFill="background1" w:themeFillShade="F2"/>
          </w:tcPr>
          <w:p w:rsidR="00853A74" w:rsidRPr="00E07B1B" w:rsidRDefault="00853A74" w:rsidP="00F26D17">
            <w:pPr>
              <w:pStyle w:val="TableText"/>
              <w:jc w:val="center"/>
            </w:pPr>
            <w:r w:rsidRPr="00E07B1B">
              <w:t>84.0%</w:t>
            </w:r>
          </w:p>
        </w:tc>
        <w:tc>
          <w:tcPr>
            <w:tcW w:w="444" w:type="pct"/>
            <w:tcBorders>
              <w:top w:val="nil"/>
              <w:bottom w:val="nil"/>
            </w:tcBorders>
            <w:shd w:val="clear" w:color="auto" w:fill="F2F2F2" w:themeFill="background1" w:themeFillShade="F2"/>
          </w:tcPr>
          <w:p w:rsidR="00853A74" w:rsidRPr="00E07B1B" w:rsidRDefault="00853A74" w:rsidP="00F26D17">
            <w:pPr>
              <w:pStyle w:val="TableText"/>
              <w:jc w:val="center"/>
            </w:pPr>
            <w:r w:rsidRPr="00E07B1B">
              <w:t>81.48%</w:t>
            </w:r>
          </w:p>
        </w:tc>
        <w:tc>
          <w:tcPr>
            <w:tcW w:w="444" w:type="pct"/>
            <w:tcBorders>
              <w:top w:val="nil"/>
              <w:bottom w:val="nil"/>
            </w:tcBorders>
            <w:shd w:val="clear" w:color="auto" w:fill="F2F2F2" w:themeFill="background1" w:themeFillShade="F2"/>
          </w:tcPr>
          <w:p w:rsidR="00853A74" w:rsidRPr="00E07B1B" w:rsidRDefault="00853A74" w:rsidP="00F26D17">
            <w:pPr>
              <w:pStyle w:val="TableText"/>
              <w:jc w:val="center"/>
            </w:pPr>
            <w:r w:rsidRPr="00E07B1B">
              <w:t>85.37%</w:t>
            </w:r>
          </w:p>
        </w:tc>
        <w:tc>
          <w:tcPr>
            <w:tcW w:w="444" w:type="pct"/>
            <w:tcBorders>
              <w:top w:val="nil"/>
              <w:bottom w:val="nil"/>
            </w:tcBorders>
            <w:shd w:val="clear" w:color="auto" w:fill="F2F2F2" w:themeFill="background1" w:themeFillShade="F2"/>
          </w:tcPr>
          <w:p w:rsidR="00853A74" w:rsidRPr="00E07B1B" w:rsidRDefault="00853A74" w:rsidP="00F26D17">
            <w:pPr>
              <w:pStyle w:val="TableText"/>
              <w:jc w:val="center"/>
            </w:pPr>
            <w:r w:rsidRPr="00E07B1B">
              <w:t>5.19</w:t>
            </w:r>
          </w:p>
        </w:tc>
        <w:tc>
          <w:tcPr>
            <w:tcW w:w="444" w:type="pct"/>
            <w:tcBorders>
              <w:top w:val="nil"/>
              <w:bottom w:val="nil"/>
            </w:tcBorders>
            <w:shd w:val="clear" w:color="auto" w:fill="F2F2F2" w:themeFill="background1" w:themeFillShade="F2"/>
          </w:tcPr>
          <w:p w:rsidR="00853A74" w:rsidRPr="00E07B1B" w:rsidRDefault="00853A74" w:rsidP="00F26D17">
            <w:pPr>
              <w:pStyle w:val="TableText"/>
              <w:jc w:val="center"/>
            </w:pPr>
            <w:r w:rsidRPr="00E07B1B">
              <w:t>0.20</w:t>
            </w:r>
          </w:p>
        </w:tc>
      </w:tr>
      <w:tr w:rsidR="00F26D17" w:rsidRPr="00E07B1B" w:rsidTr="00F26D17">
        <w:trPr>
          <w:cantSplit/>
        </w:trPr>
        <w:tc>
          <w:tcPr>
            <w:tcW w:w="583" w:type="pct"/>
            <w:tcBorders>
              <w:bottom w:val="nil"/>
            </w:tcBorders>
            <w:shd w:val="clear" w:color="auto" w:fill="auto"/>
          </w:tcPr>
          <w:p w:rsidR="00853A74" w:rsidRPr="00E07B1B" w:rsidRDefault="00853A74" w:rsidP="00A125BF">
            <w:pPr>
              <w:pStyle w:val="TableText"/>
            </w:pPr>
            <w:r w:rsidRPr="00E07B1B">
              <w:t>Megia (2012)</w:t>
            </w:r>
          </w:p>
        </w:tc>
        <w:tc>
          <w:tcPr>
            <w:tcW w:w="534" w:type="pct"/>
            <w:tcBorders>
              <w:top w:val="nil"/>
              <w:bottom w:val="nil"/>
            </w:tcBorders>
            <w:shd w:val="clear" w:color="auto" w:fill="auto"/>
          </w:tcPr>
          <w:p w:rsidR="00853A74" w:rsidRPr="00E07B1B" w:rsidRDefault="00853A74" w:rsidP="00A125BF">
            <w:pPr>
              <w:pStyle w:val="TableText"/>
            </w:pPr>
            <w:r w:rsidRPr="00E07B1B">
              <w:t>HbA1c</w:t>
            </w:r>
          </w:p>
        </w:tc>
        <w:tc>
          <w:tcPr>
            <w:tcW w:w="776" w:type="pct"/>
            <w:tcBorders>
              <w:top w:val="nil"/>
              <w:bottom w:val="nil"/>
            </w:tcBorders>
            <w:shd w:val="clear" w:color="auto" w:fill="auto"/>
          </w:tcPr>
          <w:p w:rsidR="00853A74" w:rsidRPr="00E07B1B" w:rsidRDefault="00853A74" w:rsidP="00F26D17">
            <w:pPr>
              <w:pStyle w:val="TableText"/>
              <w:jc w:val="center"/>
            </w:pPr>
            <w:r w:rsidRPr="00E07B1B">
              <w:t>OGTT</w:t>
            </w:r>
          </w:p>
        </w:tc>
        <w:tc>
          <w:tcPr>
            <w:tcW w:w="444" w:type="pct"/>
            <w:tcBorders>
              <w:top w:val="nil"/>
              <w:bottom w:val="nil"/>
            </w:tcBorders>
            <w:shd w:val="clear" w:color="auto" w:fill="auto"/>
          </w:tcPr>
          <w:p w:rsidR="00853A74" w:rsidRPr="00E07B1B" w:rsidRDefault="00853A74" w:rsidP="00F26D17">
            <w:pPr>
              <w:pStyle w:val="TableText"/>
              <w:jc w:val="center"/>
            </w:pPr>
            <w:r w:rsidRPr="00E07B1B">
              <w:t>3.3%</w:t>
            </w:r>
          </w:p>
        </w:tc>
        <w:tc>
          <w:tcPr>
            <w:tcW w:w="444" w:type="pct"/>
            <w:tcBorders>
              <w:top w:val="nil"/>
              <w:bottom w:val="nil"/>
            </w:tcBorders>
            <w:shd w:val="clear" w:color="auto" w:fill="auto"/>
          </w:tcPr>
          <w:p w:rsidR="00853A74" w:rsidRPr="00E07B1B" w:rsidRDefault="00853A74" w:rsidP="00F26D17">
            <w:pPr>
              <w:pStyle w:val="TableText"/>
              <w:jc w:val="center"/>
            </w:pPr>
            <w:r w:rsidRPr="00E07B1B">
              <w:t>16.7%</w:t>
            </w:r>
          </w:p>
        </w:tc>
        <w:tc>
          <w:tcPr>
            <w:tcW w:w="444" w:type="pct"/>
            <w:tcBorders>
              <w:top w:val="nil"/>
              <w:bottom w:val="nil"/>
            </w:tcBorders>
            <w:shd w:val="clear" w:color="auto" w:fill="auto"/>
          </w:tcPr>
          <w:p w:rsidR="00853A74" w:rsidRPr="00E07B1B" w:rsidRDefault="00853A74" w:rsidP="00F26D17">
            <w:pPr>
              <w:pStyle w:val="TableText"/>
              <w:jc w:val="center"/>
            </w:pPr>
            <w:r w:rsidRPr="00E07B1B">
              <w:t>100%</w:t>
            </w:r>
          </w:p>
        </w:tc>
        <w:tc>
          <w:tcPr>
            <w:tcW w:w="444" w:type="pct"/>
            <w:tcBorders>
              <w:top w:val="nil"/>
              <w:bottom w:val="nil"/>
            </w:tcBorders>
            <w:shd w:val="clear" w:color="auto" w:fill="auto"/>
          </w:tcPr>
          <w:p w:rsidR="00853A74" w:rsidRPr="00E07B1B" w:rsidRDefault="00853A74" w:rsidP="00F26D17">
            <w:pPr>
              <w:pStyle w:val="TableText"/>
              <w:jc w:val="center"/>
            </w:pPr>
            <w:r w:rsidRPr="00E07B1B">
              <w:t>100%</w:t>
            </w:r>
          </w:p>
        </w:tc>
        <w:tc>
          <w:tcPr>
            <w:tcW w:w="444" w:type="pct"/>
            <w:tcBorders>
              <w:top w:val="nil"/>
              <w:bottom w:val="nil"/>
            </w:tcBorders>
            <w:shd w:val="clear" w:color="auto" w:fill="auto"/>
          </w:tcPr>
          <w:p w:rsidR="00853A74" w:rsidRPr="00E07B1B" w:rsidRDefault="00853A74" w:rsidP="00F26D17">
            <w:pPr>
              <w:pStyle w:val="TableText"/>
              <w:jc w:val="center"/>
            </w:pPr>
            <w:r w:rsidRPr="00E07B1B">
              <w:t>97.24%</w:t>
            </w:r>
          </w:p>
        </w:tc>
        <w:tc>
          <w:tcPr>
            <w:tcW w:w="444" w:type="pct"/>
            <w:tcBorders>
              <w:top w:val="nil"/>
              <w:bottom w:val="nil"/>
            </w:tcBorders>
            <w:shd w:val="clear" w:color="auto" w:fill="auto"/>
          </w:tcPr>
          <w:p w:rsidR="00853A74" w:rsidRPr="00E07B1B" w:rsidRDefault="00853A74" w:rsidP="00F26D17">
            <w:pPr>
              <w:pStyle w:val="TableText"/>
              <w:jc w:val="center"/>
            </w:pPr>
            <w:r>
              <w:t>Not stated</w:t>
            </w:r>
          </w:p>
        </w:tc>
        <w:tc>
          <w:tcPr>
            <w:tcW w:w="444" w:type="pct"/>
            <w:tcBorders>
              <w:top w:val="nil"/>
              <w:bottom w:val="nil"/>
            </w:tcBorders>
            <w:shd w:val="clear" w:color="auto" w:fill="auto"/>
          </w:tcPr>
          <w:p w:rsidR="00853A74" w:rsidRPr="00E07B1B" w:rsidRDefault="00853A74" w:rsidP="00F26D17">
            <w:pPr>
              <w:pStyle w:val="TableText"/>
              <w:jc w:val="center"/>
            </w:pPr>
            <w:r w:rsidRPr="00E07B1B">
              <w:t>0.83</w:t>
            </w:r>
          </w:p>
        </w:tc>
      </w:tr>
      <w:tr w:rsidR="00F26D17" w:rsidRPr="00E07B1B" w:rsidTr="00F26D17">
        <w:trPr>
          <w:cantSplit/>
        </w:trPr>
        <w:tc>
          <w:tcPr>
            <w:tcW w:w="583" w:type="pct"/>
            <w:tcBorders>
              <w:top w:val="nil"/>
              <w:bottom w:val="single" w:sz="4" w:space="0" w:color="auto"/>
            </w:tcBorders>
            <w:shd w:val="clear" w:color="auto" w:fill="F2F2F2" w:themeFill="background1" w:themeFillShade="F2"/>
          </w:tcPr>
          <w:p w:rsidR="00853A74" w:rsidRPr="00E07B1B" w:rsidRDefault="00853A74" w:rsidP="00A125BF">
            <w:pPr>
              <w:pStyle w:val="TableText"/>
            </w:pPr>
            <w:r w:rsidRPr="00E07B1B">
              <w:t>Kim (2011)</w:t>
            </w:r>
          </w:p>
        </w:tc>
        <w:tc>
          <w:tcPr>
            <w:tcW w:w="534" w:type="pct"/>
            <w:tcBorders>
              <w:top w:val="nil"/>
              <w:bottom w:val="single" w:sz="4" w:space="0" w:color="auto"/>
            </w:tcBorders>
            <w:shd w:val="clear" w:color="auto" w:fill="F2F2F2" w:themeFill="background1" w:themeFillShade="F2"/>
          </w:tcPr>
          <w:p w:rsidR="00853A74" w:rsidRPr="00E07B1B" w:rsidRDefault="00853A74" w:rsidP="00A125BF">
            <w:pPr>
              <w:pStyle w:val="TableText"/>
            </w:pPr>
            <w:r w:rsidRPr="00E07B1B">
              <w:t>HbA1c</w:t>
            </w:r>
          </w:p>
        </w:tc>
        <w:tc>
          <w:tcPr>
            <w:tcW w:w="776" w:type="pct"/>
            <w:tcBorders>
              <w:top w:val="nil"/>
              <w:bottom w:val="single" w:sz="4" w:space="0" w:color="auto"/>
            </w:tcBorders>
            <w:shd w:val="clear" w:color="auto" w:fill="F2F2F2" w:themeFill="background1" w:themeFillShade="F2"/>
          </w:tcPr>
          <w:p w:rsidR="00853A74" w:rsidRPr="00E07B1B" w:rsidRDefault="00853A74" w:rsidP="00F26D17">
            <w:pPr>
              <w:pStyle w:val="TableText"/>
              <w:jc w:val="center"/>
            </w:pPr>
            <w:r w:rsidRPr="00E07B1B">
              <w:t>OGTT</w:t>
            </w:r>
          </w:p>
        </w:tc>
        <w:tc>
          <w:tcPr>
            <w:tcW w:w="444" w:type="pct"/>
            <w:tcBorders>
              <w:top w:val="nil"/>
              <w:bottom w:val="single" w:sz="4" w:space="0" w:color="auto"/>
            </w:tcBorders>
            <w:shd w:val="clear" w:color="auto" w:fill="F2F2F2" w:themeFill="background1" w:themeFillShade="F2"/>
          </w:tcPr>
          <w:p w:rsidR="00853A74" w:rsidRPr="00E07B1B" w:rsidRDefault="00853A74" w:rsidP="00F26D17">
            <w:pPr>
              <w:pStyle w:val="TableText"/>
              <w:jc w:val="center"/>
            </w:pPr>
            <w:r w:rsidRPr="00E07B1B">
              <w:t>22.2%</w:t>
            </w:r>
          </w:p>
        </w:tc>
        <w:tc>
          <w:tcPr>
            <w:tcW w:w="444" w:type="pct"/>
            <w:tcBorders>
              <w:top w:val="nil"/>
              <w:bottom w:val="single" w:sz="4" w:space="0" w:color="auto"/>
            </w:tcBorders>
            <w:shd w:val="clear" w:color="auto" w:fill="F2F2F2" w:themeFill="background1" w:themeFillShade="F2"/>
          </w:tcPr>
          <w:p w:rsidR="00853A74" w:rsidRPr="00E07B1B" w:rsidRDefault="00853A74" w:rsidP="00F26D17">
            <w:pPr>
              <w:pStyle w:val="TableText"/>
              <w:jc w:val="center"/>
            </w:pPr>
            <w:r w:rsidRPr="00E07B1B">
              <w:t>75.0%</w:t>
            </w:r>
          </w:p>
        </w:tc>
        <w:tc>
          <w:tcPr>
            <w:tcW w:w="444" w:type="pct"/>
            <w:tcBorders>
              <w:top w:val="nil"/>
              <w:bottom w:val="single" w:sz="4" w:space="0" w:color="auto"/>
            </w:tcBorders>
            <w:shd w:val="clear" w:color="auto" w:fill="F2F2F2" w:themeFill="background1" w:themeFillShade="F2"/>
          </w:tcPr>
          <w:p w:rsidR="00853A74" w:rsidRPr="00E07B1B" w:rsidRDefault="00853A74" w:rsidP="00F26D17">
            <w:pPr>
              <w:pStyle w:val="TableText"/>
              <w:jc w:val="center"/>
            </w:pPr>
            <w:r w:rsidRPr="00E07B1B">
              <w:t>61.9%</w:t>
            </w:r>
          </w:p>
        </w:tc>
        <w:tc>
          <w:tcPr>
            <w:tcW w:w="444" w:type="pct"/>
            <w:tcBorders>
              <w:top w:val="nil"/>
              <w:bottom w:val="single" w:sz="4" w:space="0" w:color="auto"/>
            </w:tcBorders>
            <w:shd w:val="clear" w:color="auto" w:fill="F2F2F2" w:themeFill="background1" w:themeFillShade="F2"/>
          </w:tcPr>
          <w:p w:rsidR="00853A74" w:rsidRPr="00E07B1B" w:rsidRDefault="00853A74" w:rsidP="00F26D17">
            <w:pPr>
              <w:pStyle w:val="TableText"/>
              <w:jc w:val="center"/>
            </w:pPr>
            <w:r w:rsidRPr="00E07B1B">
              <w:t>36.0%</w:t>
            </w:r>
          </w:p>
        </w:tc>
        <w:tc>
          <w:tcPr>
            <w:tcW w:w="444" w:type="pct"/>
            <w:tcBorders>
              <w:top w:val="nil"/>
              <w:bottom w:val="single" w:sz="4" w:space="0" w:color="auto"/>
            </w:tcBorders>
            <w:shd w:val="clear" w:color="auto" w:fill="F2F2F2" w:themeFill="background1" w:themeFillShade="F2"/>
          </w:tcPr>
          <w:p w:rsidR="00853A74" w:rsidRPr="00E07B1B" w:rsidRDefault="00853A74" w:rsidP="00F26D17">
            <w:pPr>
              <w:pStyle w:val="TableText"/>
              <w:jc w:val="center"/>
            </w:pPr>
            <w:r w:rsidRPr="00E07B1B">
              <w:t>89.7%</w:t>
            </w:r>
          </w:p>
        </w:tc>
        <w:tc>
          <w:tcPr>
            <w:tcW w:w="444" w:type="pct"/>
            <w:tcBorders>
              <w:top w:val="nil"/>
              <w:bottom w:val="single" w:sz="4" w:space="0" w:color="auto"/>
            </w:tcBorders>
            <w:shd w:val="clear" w:color="auto" w:fill="F2F2F2" w:themeFill="background1" w:themeFillShade="F2"/>
          </w:tcPr>
          <w:p w:rsidR="00853A74" w:rsidRPr="00E07B1B" w:rsidRDefault="00853A74" w:rsidP="00F26D17">
            <w:pPr>
              <w:pStyle w:val="TableText"/>
              <w:jc w:val="center"/>
            </w:pPr>
            <w:r w:rsidRPr="00E07B1B">
              <w:t>1.97</w:t>
            </w:r>
          </w:p>
        </w:tc>
        <w:tc>
          <w:tcPr>
            <w:tcW w:w="444" w:type="pct"/>
            <w:tcBorders>
              <w:top w:val="nil"/>
              <w:bottom w:val="single" w:sz="4" w:space="0" w:color="auto"/>
            </w:tcBorders>
            <w:shd w:val="clear" w:color="auto" w:fill="F2F2F2" w:themeFill="background1" w:themeFillShade="F2"/>
          </w:tcPr>
          <w:p w:rsidR="00853A74" w:rsidRPr="00E07B1B" w:rsidRDefault="00853A74" w:rsidP="00F26D17">
            <w:pPr>
              <w:pStyle w:val="TableText"/>
              <w:jc w:val="center"/>
            </w:pPr>
            <w:r w:rsidRPr="00E07B1B">
              <w:t>0.40</w:t>
            </w:r>
          </w:p>
        </w:tc>
      </w:tr>
    </w:tbl>
    <w:p w:rsidR="00853A74" w:rsidRDefault="00853A74" w:rsidP="00A125BF">
      <w:pPr>
        <w:pStyle w:val="Note"/>
        <w:ind w:left="0" w:firstLine="0"/>
        <w:rPr>
          <w:lang w:eastAsia="en-NZ"/>
        </w:rPr>
      </w:pPr>
      <w:r>
        <w:rPr>
          <w:lang w:eastAsia="en-NZ"/>
        </w:rPr>
        <w:t xml:space="preserve">Note: FPG = fasting plasma glucose; LR- = likelihood ratio negative; LR+ = likelihood ratio positive; NPV = negative predictive value; </w:t>
      </w:r>
      <w:r w:rsidRPr="00E07B1B">
        <w:rPr>
          <w:lang w:eastAsia="en-NZ"/>
        </w:rPr>
        <w:t xml:space="preserve">OGTT </w:t>
      </w:r>
      <w:r>
        <w:rPr>
          <w:lang w:eastAsia="en-NZ"/>
        </w:rPr>
        <w:t>=</w:t>
      </w:r>
      <w:r w:rsidRPr="00E07B1B">
        <w:rPr>
          <w:lang w:eastAsia="en-NZ"/>
        </w:rPr>
        <w:t xml:space="preserve"> </w:t>
      </w:r>
      <w:r>
        <w:rPr>
          <w:lang w:eastAsia="en-NZ"/>
        </w:rPr>
        <w:t>o</w:t>
      </w:r>
      <w:r w:rsidRPr="00E07B1B">
        <w:rPr>
          <w:lang w:eastAsia="en-NZ"/>
        </w:rPr>
        <w:t>ral glucose tolerance test</w:t>
      </w:r>
      <w:bookmarkStart w:id="584" w:name="_Toc363717847"/>
      <w:r>
        <w:rPr>
          <w:lang w:eastAsia="en-NZ"/>
        </w:rPr>
        <w:t>; PPV</w:t>
      </w:r>
      <w:r w:rsidR="00A125BF">
        <w:rPr>
          <w:lang w:eastAsia="en-NZ"/>
        </w:rPr>
        <w:t> </w:t>
      </w:r>
      <w:r>
        <w:rPr>
          <w:lang w:eastAsia="en-NZ"/>
        </w:rPr>
        <w:t>=</w:t>
      </w:r>
      <w:r w:rsidR="00A125BF">
        <w:rPr>
          <w:lang w:eastAsia="en-NZ"/>
        </w:rPr>
        <w:t> </w:t>
      </w:r>
      <w:r>
        <w:rPr>
          <w:lang w:eastAsia="en-NZ"/>
        </w:rPr>
        <w:t>positive predictive value; Prev = prevalence; Sens = sensi</w:t>
      </w:r>
      <w:r w:rsidR="00EF4183">
        <w:rPr>
          <w:lang w:eastAsia="en-NZ"/>
        </w:rPr>
        <w:t>ti</w:t>
      </w:r>
      <w:r>
        <w:rPr>
          <w:lang w:eastAsia="en-NZ"/>
        </w:rPr>
        <w:t>vity; Spec = specificity</w:t>
      </w:r>
      <w:r w:rsidR="00A125BF">
        <w:rPr>
          <w:lang w:eastAsia="en-NZ"/>
        </w:rPr>
        <w:t>.</w:t>
      </w:r>
    </w:p>
    <w:p w:rsidR="00A125BF" w:rsidRPr="00A125BF" w:rsidRDefault="00A125BF" w:rsidP="00A125BF">
      <w:pPr>
        <w:rPr>
          <w:lang w:eastAsia="en-NZ"/>
        </w:rPr>
      </w:pPr>
    </w:p>
    <w:p w:rsidR="00853A74" w:rsidRPr="00E07B1B" w:rsidRDefault="00853A74" w:rsidP="00A125BF">
      <w:pPr>
        <w:pStyle w:val="Table"/>
      </w:pPr>
      <w:bookmarkStart w:id="585" w:name="_Toc403635926"/>
      <w:r w:rsidRPr="00E07B1B">
        <w:t>Table 45</w:t>
      </w:r>
      <w:r w:rsidR="00A125BF">
        <w:t>:</w:t>
      </w:r>
      <w:r w:rsidRPr="00E07B1B">
        <w:t xml:space="preserve"> Possible barriers and facilitators to attending postpartum screening</w:t>
      </w:r>
      <w:bookmarkEnd w:id="584"/>
      <w:bookmarkEnd w:id="585"/>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7655"/>
        <w:gridCol w:w="6946"/>
      </w:tblGrid>
      <w:tr w:rsidR="00853A74" w:rsidRPr="00A125BF" w:rsidTr="00F26D17">
        <w:trPr>
          <w:cantSplit/>
          <w:tblHeader/>
        </w:trPr>
        <w:tc>
          <w:tcPr>
            <w:tcW w:w="7655" w:type="dxa"/>
            <w:tcBorders>
              <w:top w:val="single" w:sz="4" w:space="0" w:color="auto"/>
              <w:bottom w:val="single" w:sz="4" w:space="0" w:color="auto"/>
            </w:tcBorders>
            <w:shd w:val="clear" w:color="auto" w:fill="auto"/>
          </w:tcPr>
          <w:p w:rsidR="00853A74" w:rsidRPr="00A125BF" w:rsidRDefault="00853A74" w:rsidP="00F26D17">
            <w:pPr>
              <w:pStyle w:val="TableText"/>
              <w:keepNext/>
              <w:rPr>
                <w:b/>
              </w:rPr>
            </w:pPr>
            <w:r w:rsidRPr="00A125BF">
              <w:rPr>
                <w:b/>
              </w:rPr>
              <w:t>Barriers</w:t>
            </w:r>
          </w:p>
        </w:tc>
        <w:tc>
          <w:tcPr>
            <w:tcW w:w="6946" w:type="dxa"/>
            <w:tcBorders>
              <w:top w:val="single" w:sz="4" w:space="0" w:color="auto"/>
              <w:bottom w:val="single" w:sz="4" w:space="0" w:color="auto"/>
            </w:tcBorders>
            <w:shd w:val="clear" w:color="auto" w:fill="auto"/>
          </w:tcPr>
          <w:p w:rsidR="00853A74" w:rsidRPr="00A125BF" w:rsidRDefault="00853A74" w:rsidP="00F26D17">
            <w:pPr>
              <w:pStyle w:val="TableText"/>
              <w:keepNext/>
              <w:rPr>
                <w:b/>
              </w:rPr>
            </w:pPr>
            <w:r w:rsidRPr="00A125BF">
              <w:rPr>
                <w:b/>
              </w:rPr>
              <w:t>Facilitators</w:t>
            </w:r>
          </w:p>
        </w:tc>
      </w:tr>
      <w:tr w:rsidR="00853A74" w:rsidRPr="00E07B1B" w:rsidTr="00F26D17">
        <w:trPr>
          <w:cantSplit/>
        </w:trPr>
        <w:tc>
          <w:tcPr>
            <w:tcW w:w="7655" w:type="dxa"/>
            <w:tcBorders>
              <w:top w:val="single" w:sz="4" w:space="0" w:color="auto"/>
            </w:tcBorders>
            <w:shd w:val="clear" w:color="auto" w:fill="auto"/>
          </w:tcPr>
          <w:p w:rsidR="00853A74" w:rsidRPr="00E07B1B" w:rsidRDefault="00853A74" w:rsidP="00A125BF">
            <w:pPr>
              <w:pStyle w:val="TableText"/>
            </w:pPr>
            <w:r w:rsidRPr="00E07B1B">
              <w:t>Baby</w:t>
            </w:r>
            <w:r>
              <w:t>’</w:t>
            </w:r>
            <w:r w:rsidRPr="00E07B1B">
              <w:t>s health (morbidity)</w:t>
            </w:r>
          </w:p>
          <w:p w:rsidR="00853A74" w:rsidRPr="00E07B1B" w:rsidRDefault="00853A74" w:rsidP="00A125BF">
            <w:pPr>
              <w:pStyle w:val="TableText"/>
            </w:pPr>
            <w:r w:rsidRPr="00E07B1B">
              <w:t>Emotional stress and fatigue, feeling overwhelmed with new baby</w:t>
            </w:r>
          </w:p>
          <w:p w:rsidR="00853A74" w:rsidRPr="00E07B1B" w:rsidRDefault="00853A74" w:rsidP="00A125BF">
            <w:pPr>
              <w:pStyle w:val="TableText"/>
            </w:pPr>
            <w:r w:rsidRPr="00E07B1B">
              <w:t>Demands of baby</w:t>
            </w:r>
            <w:r>
              <w:t>’</w:t>
            </w:r>
            <w:r w:rsidRPr="00E07B1B">
              <w:t>s schedule</w:t>
            </w:r>
          </w:p>
          <w:p w:rsidR="00853A74" w:rsidRPr="00E07B1B" w:rsidRDefault="00853A74" w:rsidP="00A125BF">
            <w:pPr>
              <w:pStyle w:val="TableText"/>
            </w:pPr>
            <w:r w:rsidRPr="00E07B1B">
              <w:t>Duration of test</w:t>
            </w:r>
          </w:p>
          <w:p w:rsidR="00853A74" w:rsidRPr="00E07B1B" w:rsidRDefault="00853A74" w:rsidP="00A125BF">
            <w:pPr>
              <w:pStyle w:val="TableText"/>
            </w:pPr>
            <w:r w:rsidRPr="00E07B1B">
              <w:t>Lack of time for self-care</w:t>
            </w:r>
          </w:p>
          <w:p w:rsidR="00853A74" w:rsidRPr="00E07B1B" w:rsidRDefault="00853A74" w:rsidP="00A125BF">
            <w:pPr>
              <w:pStyle w:val="TableText"/>
            </w:pPr>
            <w:r w:rsidRPr="00E07B1B">
              <w:t>Privacy for breastfeeding</w:t>
            </w:r>
          </w:p>
          <w:p w:rsidR="00853A74" w:rsidRPr="00E07B1B" w:rsidRDefault="00853A74" w:rsidP="00A125BF">
            <w:pPr>
              <w:pStyle w:val="TableText"/>
            </w:pPr>
            <w:r w:rsidRPr="00E07B1B">
              <w:t>Transport and logistics</w:t>
            </w:r>
          </w:p>
          <w:p w:rsidR="00853A74" w:rsidRPr="00E07B1B" w:rsidRDefault="00853A74" w:rsidP="00A125BF">
            <w:pPr>
              <w:pStyle w:val="TableText"/>
            </w:pPr>
            <w:r w:rsidRPr="00E07B1B">
              <w:t>Child care needs</w:t>
            </w:r>
          </w:p>
          <w:p w:rsidR="00853A74" w:rsidRPr="00E07B1B" w:rsidRDefault="00853A74" w:rsidP="00A125BF">
            <w:pPr>
              <w:pStyle w:val="TableText"/>
            </w:pPr>
            <w:r w:rsidRPr="00E07B1B">
              <w:t>Lack of understanding of personal risk</w:t>
            </w:r>
          </w:p>
          <w:p w:rsidR="00853A74" w:rsidRPr="00E07B1B" w:rsidRDefault="00853A74" w:rsidP="00A125BF">
            <w:pPr>
              <w:pStyle w:val="TableText"/>
            </w:pPr>
            <w:r w:rsidRPr="00E07B1B">
              <w:t>Poor communication from primary and secondary care providers</w:t>
            </w:r>
          </w:p>
          <w:p w:rsidR="00853A74" w:rsidRPr="00E07B1B" w:rsidRDefault="00853A74" w:rsidP="00A125BF">
            <w:pPr>
              <w:pStyle w:val="TableText"/>
            </w:pPr>
            <w:r w:rsidRPr="00E07B1B">
              <w:t>Fear of being diagnosed with diabetes</w:t>
            </w:r>
          </w:p>
          <w:p w:rsidR="00853A74" w:rsidRPr="00E07B1B" w:rsidRDefault="00853A74" w:rsidP="00A125BF">
            <w:pPr>
              <w:pStyle w:val="TableText"/>
            </w:pPr>
            <w:r w:rsidRPr="00E07B1B">
              <w:t>Dissatisfaction with medical care and services</w:t>
            </w:r>
          </w:p>
          <w:p w:rsidR="00853A74" w:rsidRPr="00E07B1B" w:rsidRDefault="00853A74" w:rsidP="00A125BF">
            <w:pPr>
              <w:pStyle w:val="TableText"/>
            </w:pPr>
            <w:r w:rsidRPr="00E07B1B">
              <w:t>Appropriate information about the requirements of the test</w:t>
            </w:r>
          </w:p>
          <w:p w:rsidR="00853A74" w:rsidRPr="00E07B1B" w:rsidRDefault="00853A74" w:rsidP="00A125BF">
            <w:pPr>
              <w:pStyle w:val="TableText"/>
            </w:pPr>
            <w:r w:rsidRPr="00E07B1B">
              <w:t>Poor communication between obstetric care providers and primary care providers</w:t>
            </w:r>
          </w:p>
          <w:p w:rsidR="00853A74" w:rsidRPr="00E07B1B" w:rsidRDefault="00853A74" w:rsidP="00A125BF">
            <w:pPr>
              <w:pStyle w:val="TableText"/>
            </w:pPr>
            <w:r w:rsidRPr="00E07B1B">
              <w:t>Dislike of the screening test (drink, blood tests, fasting)</w:t>
            </w:r>
          </w:p>
        </w:tc>
        <w:tc>
          <w:tcPr>
            <w:tcW w:w="6946" w:type="dxa"/>
            <w:tcBorders>
              <w:top w:val="single" w:sz="4" w:space="0" w:color="auto"/>
            </w:tcBorders>
            <w:shd w:val="clear" w:color="auto" w:fill="auto"/>
          </w:tcPr>
          <w:p w:rsidR="00853A74" w:rsidRPr="00E07B1B" w:rsidRDefault="00853A74" w:rsidP="00A125BF">
            <w:pPr>
              <w:pStyle w:val="TableText"/>
            </w:pPr>
            <w:r w:rsidRPr="00E07B1B">
              <w:t>Availability of child care</w:t>
            </w:r>
          </w:p>
          <w:p w:rsidR="00853A74" w:rsidRDefault="00853A74" w:rsidP="00A125BF">
            <w:pPr>
              <w:pStyle w:val="TableText"/>
            </w:pPr>
            <w:r w:rsidRPr="00E07B1B">
              <w:t>Health clearance provided</w:t>
            </w:r>
          </w:p>
          <w:p w:rsidR="00853A74" w:rsidRPr="00E07B1B" w:rsidRDefault="00853A74" w:rsidP="00A125BF">
            <w:pPr>
              <w:pStyle w:val="TableText"/>
            </w:pPr>
            <w:r w:rsidRPr="00E07B1B">
              <w:t>Connecting with clinical and office staff again</w:t>
            </w:r>
          </w:p>
          <w:p w:rsidR="00853A74" w:rsidRDefault="00853A74" w:rsidP="00A125BF">
            <w:pPr>
              <w:pStyle w:val="TableText"/>
            </w:pPr>
            <w:r w:rsidRPr="00E07B1B">
              <w:t>Timing of appointment</w:t>
            </w:r>
          </w:p>
          <w:p w:rsidR="00853A74" w:rsidRPr="00E07B1B" w:rsidRDefault="00853A74" w:rsidP="00A125BF">
            <w:pPr>
              <w:pStyle w:val="TableText"/>
            </w:pPr>
            <w:r w:rsidRPr="00E07B1B">
              <w:t>Chance to ask specific questions</w:t>
            </w:r>
          </w:p>
          <w:p w:rsidR="00853A74" w:rsidRPr="00E07B1B" w:rsidRDefault="00853A74" w:rsidP="00A125BF">
            <w:pPr>
              <w:pStyle w:val="TableText"/>
            </w:pPr>
            <w:r w:rsidRPr="00E07B1B">
              <w:t>Health professional delivered individualised risk reduction advice</w:t>
            </w:r>
          </w:p>
          <w:p w:rsidR="00853A74" w:rsidRPr="00E07B1B" w:rsidRDefault="00853A74" w:rsidP="00A125BF">
            <w:pPr>
              <w:pStyle w:val="TableText"/>
            </w:pPr>
            <w:r w:rsidRPr="00E07B1B">
              <w:t>Written information provided after the birth</w:t>
            </w:r>
          </w:p>
          <w:p w:rsidR="00853A74" w:rsidRPr="00E07B1B" w:rsidRDefault="00853A74" w:rsidP="00A125BF">
            <w:pPr>
              <w:pStyle w:val="TableText"/>
            </w:pPr>
            <w:r w:rsidRPr="00E07B1B">
              <w:t>Being under the care of an obstetrician and diabetes educator during pregnancy</w:t>
            </w:r>
          </w:p>
          <w:p w:rsidR="00853A74" w:rsidRPr="00E07B1B" w:rsidRDefault="00853A74" w:rsidP="00A125BF">
            <w:pPr>
              <w:pStyle w:val="TableText"/>
            </w:pPr>
            <w:r w:rsidRPr="00E07B1B">
              <w:t>Good information about the need for screening</w:t>
            </w:r>
          </w:p>
          <w:p w:rsidR="00853A74" w:rsidRPr="00E07B1B" w:rsidRDefault="00853A74" w:rsidP="00A125BF">
            <w:pPr>
              <w:pStyle w:val="TableText"/>
            </w:pPr>
            <w:r w:rsidRPr="00E07B1B">
              <w:t xml:space="preserve">Family member with diabetes or </w:t>
            </w:r>
            <w:r>
              <w:t>gestational diabetes</w:t>
            </w:r>
            <w:r w:rsidRPr="00E07B1B">
              <w:t xml:space="preserve"> in previous pregnancy</w:t>
            </w:r>
          </w:p>
          <w:p w:rsidR="00853A74" w:rsidRPr="00E07B1B" w:rsidRDefault="00853A74" w:rsidP="00A125BF">
            <w:pPr>
              <w:pStyle w:val="TableText"/>
            </w:pPr>
            <w:r w:rsidRPr="00E07B1B">
              <w:t>A postal, email or telephone reminder</w:t>
            </w:r>
          </w:p>
          <w:p w:rsidR="00853A74" w:rsidRPr="00E07B1B" w:rsidRDefault="00853A74" w:rsidP="00A125BF">
            <w:pPr>
              <w:pStyle w:val="TableText"/>
            </w:pPr>
            <w:r>
              <w:t>Oral glucose tolerance test</w:t>
            </w:r>
            <w:r w:rsidRPr="00E07B1B">
              <w:t xml:space="preserve"> conducted with other postpartum tests and checks</w:t>
            </w:r>
          </w:p>
          <w:p w:rsidR="00853A74" w:rsidRPr="00E07B1B" w:rsidRDefault="00853A74" w:rsidP="00A125BF">
            <w:pPr>
              <w:pStyle w:val="TableText"/>
            </w:pPr>
            <w:r w:rsidRPr="00E07B1B">
              <w:t>Need to know that they do not have diabetes</w:t>
            </w:r>
          </w:p>
        </w:tc>
      </w:tr>
    </w:tbl>
    <w:p w:rsidR="00853A74" w:rsidRDefault="00853A74" w:rsidP="00A125BF">
      <w:pPr>
        <w:pStyle w:val="Source"/>
      </w:pPr>
      <w:r w:rsidRPr="00F220E7">
        <w:t xml:space="preserve">Source: Morrison </w:t>
      </w:r>
      <w:r>
        <w:t>(</w:t>
      </w:r>
      <w:r w:rsidRPr="00F220E7">
        <w:t>2009</w:t>
      </w:r>
      <w:r>
        <w:t>)</w:t>
      </w:r>
      <w:r w:rsidRPr="00F220E7">
        <w:t>, Bennett</w:t>
      </w:r>
      <w:r>
        <w:t xml:space="preserve"> et al</w:t>
      </w:r>
      <w:r w:rsidRPr="00F220E7">
        <w:t xml:space="preserve"> </w:t>
      </w:r>
      <w:r>
        <w:t>(</w:t>
      </w:r>
      <w:r w:rsidRPr="00F220E7">
        <w:t>2011</w:t>
      </w:r>
      <w:r>
        <w:t>)</w:t>
      </w:r>
      <w:r w:rsidRPr="00F220E7">
        <w:t>, Sterne</w:t>
      </w:r>
      <w:r>
        <w:t xml:space="preserve"> et al</w:t>
      </w:r>
      <w:r w:rsidRPr="00F220E7">
        <w:t xml:space="preserve"> </w:t>
      </w:r>
      <w:r>
        <w:t>(</w:t>
      </w:r>
      <w:r w:rsidRPr="00F220E7">
        <w:t>2011</w:t>
      </w:r>
      <w:r>
        <w:t>) and</w:t>
      </w:r>
      <w:r w:rsidRPr="00F220E7">
        <w:t xml:space="preserve"> Stuebe</w:t>
      </w:r>
      <w:r>
        <w:t xml:space="preserve"> et al</w:t>
      </w:r>
      <w:r w:rsidRPr="00F220E7">
        <w:t xml:space="preserve"> </w:t>
      </w:r>
      <w:r>
        <w:t>(</w:t>
      </w:r>
      <w:r w:rsidRPr="00F220E7">
        <w:t>2010</w:t>
      </w:r>
      <w:r>
        <w:t>)</w:t>
      </w:r>
    </w:p>
    <w:p w:rsidR="00A125BF" w:rsidRPr="00A125BF" w:rsidRDefault="00A125BF" w:rsidP="00A125BF"/>
    <w:p w:rsidR="00853A74" w:rsidRDefault="00853A74" w:rsidP="00853A74">
      <w:pPr>
        <w:pStyle w:val="Heading2"/>
        <w:spacing w:before="0" w:after="240"/>
        <w:ind w:left="0" w:firstLine="0"/>
      </w:pPr>
      <w:r w:rsidRPr="00E07B1B">
        <w:br w:type="page"/>
      </w:r>
      <w:bookmarkStart w:id="586" w:name="_Toc363717848"/>
      <w:bookmarkStart w:id="587" w:name="_Toc402873646"/>
      <w:bookmarkStart w:id="588" w:name="_Toc403469707"/>
      <w:r w:rsidRPr="00E07B1B">
        <w:t>Appendix O</w:t>
      </w:r>
      <w:r>
        <w:t>: Supporting evidence for</w:t>
      </w:r>
      <w:r w:rsidRPr="00E07B1B">
        <w:t xml:space="preserve"> Chapter</w:t>
      </w:r>
      <w:r>
        <w:t> </w:t>
      </w:r>
      <w:r w:rsidRPr="00E07B1B">
        <w:t>1</w:t>
      </w:r>
      <w:bookmarkEnd w:id="586"/>
      <w:r w:rsidRPr="00E07B1B">
        <w:t>0</w:t>
      </w:r>
      <w:bookmarkEnd w:id="587"/>
      <w:bookmarkEnd w:id="588"/>
    </w:p>
    <w:p w:rsidR="00853A74" w:rsidRPr="00E07B1B" w:rsidRDefault="00853A74" w:rsidP="00A125BF">
      <w:pPr>
        <w:pStyle w:val="Table"/>
      </w:pPr>
      <w:bookmarkStart w:id="589" w:name="_Toc363717849"/>
      <w:bookmarkStart w:id="590" w:name="_Toc403635927"/>
      <w:r w:rsidRPr="00E07B1B">
        <w:t>Table 46</w:t>
      </w:r>
      <w:r w:rsidR="00A125BF">
        <w:t>:</w:t>
      </w:r>
      <w:r w:rsidRPr="00E07B1B">
        <w:t xml:space="preserve"> Prevalence of type 2 diabetes in women diagnosed with gestational diabetes</w:t>
      </w:r>
      <w:bookmarkEnd w:id="589"/>
      <w:bookmarkEnd w:id="590"/>
    </w:p>
    <w:tbl>
      <w:tblPr>
        <w:tblW w:w="5029"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911"/>
        <w:gridCol w:w="1066"/>
        <w:gridCol w:w="1701"/>
        <w:gridCol w:w="2551"/>
        <w:gridCol w:w="1701"/>
        <w:gridCol w:w="4728"/>
        <w:gridCol w:w="1107"/>
      </w:tblGrid>
      <w:tr w:rsidR="00F26D17" w:rsidRPr="00A125BF" w:rsidTr="00BB68CC">
        <w:trPr>
          <w:cantSplit/>
          <w:tblHeader/>
        </w:trPr>
        <w:tc>
          <w:tcPr>
            <w:tcW w:w="647" w:type="pct"/>
            <w:tcBorders>
              <w:top w:val="single" w:sz="4" w:space="0" w:color="auto"/>
              <w:bottom w:val="single" w:sz="4" w:space="0" w:color="auto"/>
            </w:tcBorders>
            <w:shd w:val="clear" w:color="auto" w:fill="auto"/>
          </w:tcPr>
          <w:p w:rsidR="00853A74" w:rsidRPr="00A125BF" w:rsidRDefault="00853A74" w:rsidP="00A125BF">
            <w:pPr>
              <w:pStyle w:val="TableText"/>
              <w:rPr>
                <w:b/>
              </w:rPr>
            </w:pPr>
            <w:r w:rsidRPr="00A125BF">
              <w:rPr>
                <w:b/>
              </w:rPr>
              <w:t>Reference</w:t>
            </w:r>
          </w:p>
        </w:tc>
        <w:tc>
          <w:tcPr>
            <w:tcW w:w="361" w:type="pct"/>
            <w:tcBorders>
              <w:top w:val="single" w:sz="4" w:space="0" w:color="auto"/>
              <w:bottom w:val="single" w:sz="4" w:space="0" w:color="auto"/>
            </w:tcBorders>
            <w:shd w:val="clear" w:color="auto" w:fill="auto"/>
          </w:tcPr>
          <w:p w:rsidR="00853A74" w:rsidRPr="00A125BF" w:rsidRDefault="00853A74" w:rsidP="00A125BF">
            <w:pPr>
              <w:pStyle w:val="TableText"/>
              <w:rPr>
                <w:b/>
              </w:rPr>
            </w:pPr>
            <w:r w:rsidRPr="00A125BF">
              <w:rPr>
                <w:b/>
              </w:rPr>
              <w:t>Country</w:t>
            </w:r>
          </w:p>
        </w:tc>
        <w:tc>
          <w:tcPr>
            <w:tcW w:w="576" w:type="pct"/>
            <w:tcBorders>
              <w:top w:val="single" w:sz="4" w:space="0" w:color="auto"/>
              <w:bottom w:val="single" w:sz="4" w:space="0" w:color="auto"/>
            </w:tcBorders>
            <w:shd w:val="clear" w:color="auto" w:fill="auto"/>
          </w:tcPr>
          <w:p w:rsidR="00853A74" w:rsidRPr="00A125BF" w:rsidRDefault="00853A74" w:rsidP="00BB68CC">
            <w:pPr>
              <w:pStyle w:val="TableText"/>
              <w:jc w:val="center"/>
              <w:rPr>
                <w:b/>
              </w:rPr>
            </w:pPr>
            <w:r w:rsidRPr="00A125BF">
              <w:rPr>
                <w:b/>
              </w:rPr>
              <w:t>Total number of participants</w:t>
            </w:r>
          </w:p>
        </w:tc>
        <w:tc>
          <w:tcPr>
            <w:tcW w:w="864" w:type="pct"/>
            <w:tcBorders>
              <w:top w:val="single" w:sz="4" w:space="0" w:color="auto"/>
              <w:bottom w:val="single" w:sz="4" w:space="0" w:color="auto"/>
            </w:tcBorders>
            <w:shd w:val="clear" w:color="auto" w:fill="auto"/>
          </w:tcPr>
          <w:p w:rsidR="00853A74" w:rsidRPr="00A125BF" w:rsidRDefault="00853A74" w:rsidP="00BB68CC">
            <w:pPr>
              <w:pStyle w:val="TableText"/>
              <w:jc w:val="center"/>
              <w:rPr>
                <w:b/>
              </w:rPr>
            </w:pPr>
            <w:r w:rsidRPr="00A125BF">
              <w:rPr>
                <w:b/>
              </w:rPr>
              <w:t>Incidence if reported</w:t>
            </w:r>
          </w:p>
        </w:tc>
        <w:tc>
          <w:tcPr>
            <w:tcW w:w="576" w:type="pct"/>
            <w:tcBorders>
              <w:top w:val="single" w:sz="4" w:space="0" w:color="auto"/>
              <w:bottom w:val="single" w:sz="4" w:space="0" w:color="auto"/>
            </w:tcBorders>
            <w:shd w:val="clear" w:color="auto" w:fill="auto"/>
          </w:tcPr>
          <w:p w:rsidR="00853A74" w:rsidRPr="00A125BF" w:rsidRDefault="00F26D17" w:rsidP="00BB68CC">
            <w:pPr>
              <w:pStyle w:val="TableText"/>
              <w:jc w:val="center"/>
              <w:rPr>
                <w:b/>
              </w:rPr>
            </w:pPr>
            <w:r>
              <w:rPr>
                <w:b/>
              </w:rPr>
              <w:t>Postpartum follow-up time</w:t>
            </w:r>
          </w:p>
        </w:tc>
        <w:tc>
          <w:tcPr>
            <w:tcW w:w="1601" w:type="pct"/>
            <w:tcBorders>
              <w:top w:val="single" w:sz="4" w:space="0" w:color="auto"/>
              <w:bottom w:val="single" w:sz="4" w:space="0" w:color="auto"/>
            </w:tcBorders>
            <w:shd w:val="clear" w:color="auto" w:fill="auto"/>
          </w:tcPr>
          <w:p w:rsidR="00853A74" w:rsidRPr="00A125BF" w:rsidRDefault="00853A74" w:rsidP="00BB68CC">
            <w:pPr>
              <w:pStyle w:val="TableText"/>
              <w:jc w:val="center"/>
              <w:rPr>
                <w:b/>
              </w:rPr>
            </w:pPr>
            <w:r w:rsidRPr="00A125BF">
              <w:rPr>
                <w:b/>
              </w:rPr>
              <w:t>Diagnostic criteria used</w:t>
            </w:r>
          </w:p>
        </w:tc>
        <w:tc>
          <w:tcPr>
            <w:tcW w:w="375" w:type="pct"/>
            <w:tcBorders>
              <w:top w:val="single" w:sz="4" w:space="0" w:color="auto"/>
              <w:bottom w:val="single" w:sz="4" w:space="0" w:color="auto"/>
            </w:tcBorders>
            <w:shd w:val="clear" w:color="auto" w:fill="auto"/>
          </w:tcPr>
          <w:p w:rsidR="00853A74" w:rsidRPr="00A125BF" w:rsidRDefault="00853A74" w:rsidP="00BB68CC">
            <w:pPr>
              <w:pStyle w:val="TableText"/>
              <w:jc w:val="center"/>
              <w:rPr>
                <w:b/>
              </w:rPr>
            </w:pPr>
            <w:r w:rsidRPr="00A125BF">
              <w:rPr>
                <w:b/>
              </w:rPr>
              <w:t>Quality</w:t>
            </w:r>
          </w:p>
        </w:tc>
      </w:tr>
      <w:tr w:rsidR="00F26D17" w:rsidRPr="00E07B1B" w:rsidTr="00BB68CC">
        <w:trPr>
          <w:cantSplit/>
        </w:trPr>
        <w:tc>
          <w:tcPr>
            <w:tcW w:w="647" w:type="pct"/>
            <w:tcBorders>
              <w:top w:val="single" w:sz="4" w:space="0" w:color="auto"/>
              <w:bottom w:val="nil"/>
            </w:tcBorders>
            <w:shd w:val="clear" w:color="auto" w:fill="F2F2F2" w:themeFill="background1" w:themeFillShade="F2"/>
          </w:tcPr>
          <w:p w:rsidR="00853A74" w:rsidRPr="00032F97" w:rsidRDefault="00853A74" w:rsidP="00F26D17">
            <w:pPr>
              <w:pStyle w:val="TableText"/>
            </w:pPr>
            <w:r w:rsidRPr="00032F97">
              <w:t xml:space="preserve">Ogonowski </w:t>
            </w:r>
            <w:r>
              <w:t>and Miazgowski</w:t>
            </w:r>
            <w:r w:rsidR="00F26D17">
              <w:br/>
            </w:r>
            <w:r>
              <w:t>(</w:t>
            </w:r>
            <w:r w:rsidRPr="00032F97">
              <w:t>2009</w:t>
            </w:r>
            <w:r>
              <w:t>)</w:t>
            </w:r>
          </w:p>
        </w:tc>
        <w:tc>
          <w:tcPr>
            <w:tcW w:w="361" w:type="pct"/>
            <w:tcBorders>
              <w:top w:val="single" w:sz="4" w:space="0" w:color="auto"/>
              <w:bottom w:val="nil"/>
            </w:tcBorders>
            <w:shd w:val="clear" w:color="auto" w:fill="F2F2F2" w:themeFill="background1" w:themeFillShade="F2"/>
          </w:tcPr>
          <w:p w:rsidR="00853A74" w:rsidRPr="00032F97" w:rsidRDefault="00853A74" w:rsidP="00A125BF">
            <w:pPr>
              <w:pStyle w:val="TableText"/>
            </w:pPr>
            <w:r w:rsidRPr="00032F97">
              <w:t>Poland</w:t>
            </w:r>
          </w:p>
        </w:tc>
        <w:tc>
          <w:tcPr>
            <w:tcW w:w="576" w:type="pct"/>
            <w:tcBorders>
              <w:top w:val="single" w:sz="4" w:space="0" w:color="auto"/>
              <w:bottom w:val="nil"/>
            </w:tcBorders>
            <w:shd w:val="clear" w:color="auto" w:fill="F2F2F2" w:themeFill="background1" w:themeFillShade="F2"/>
          </w:tcPr>
          <w:p w:rsidR="00853A74" w:rsidRPr="00032F97" w:rsidRDefault="00853A74" w:rsidP="00BB68CC">
            <w:pPr>
              <w:pStyle w:val="TableText"/>
              <w:jc w:val="center"/>
            </w:pPr>
            <w:r w:rsidRPr="00032F97">
              <w:t>855</w:t>
            </w:r>
          </w:p>
        </w:tc>
        <w:tc>
          <w:tcPr>
            <w:tcW w:w="864" w:type="pct"/>
            <w:tcBorders>
              <w:top w:val="single" w:sz="4" w:space="0" w:color="auto"/>
              <w:bottom w:val="nil"/>
            </w:tcBorders>
            <w:shd w:val="clear" w:color="auto" w:fill="F2F2F2" w:themeFill="background1" w:themeFillShade="F2"/>
          </w:tcPr>
          <w:p w:rsidR="00853A74" w:rsidRPr="00032F97" w:rsidRDefault="00853A74" w:rsidP="00A125BF">
            <w:pPr>
              <w:pStyle w:val="TableText"/>
            </w:pPr>
            <w:r w:rsidRPr="00032F97">
              <w:t>Only 37% (</w:t>
            </w:r>
            <w:r w:rsidRPr="000F6E87">
              <w:rPr>
                <w:i/>
              </w:rPr>
              <w:t>n</w:t>
            </w:r>
            <w:r>
              <w:t xml:space="preserve"> </w:t>
            </w:r>
            <w:r w:rsidRPr="00032F97">
              <w:t>=</w:t>
            </w:r>
            <w:r>
              <w:t xml:space="preserve"> </w:t>
            </w:r>
            <w:r w:rsidRPr="00032F97">
              <w:t>318) returned for screening.</w:t>
            </w:r>
          </w:p>
          <w:p w:rsidR="00853A74" w:rsidRPr="00032F97" w:rsidRDefault="00853A74" w:rsidP="00A125BF">
            <w:pPr>
              <w:pStyle w:val="TableText"/>
            </w:pPr>
            <w:r w:rsidRPr="00032F97">
              <w:t>Diabetes 1.3%</w:t>
            </w:r>
          </w:p>
          <w:p w:rsidR="00853A74" w:rsidRPr="00032F97" w:rsidRDefault="00853A74" w:rsidP="00A125BF">
            <w:pPr>
              <w:pStyle w:val="TableText"/>
            </w:pPr>
            <w:r w:rsidRPr="00032F97">
              <w:t>IFG 2.5%</w:t>
            </w:r>
          </w:p>
          <w:p w:rsidR="00853A74" w:rsidRPr="00032F97" w:rsidRDefault="00853A74" w:rsidP="00A125BF">
            <w:pPr>
              <w:pStyle w:val="TableText"/>
            </w:pPr>
            <w:r w:rsidRPr="00032F97">
              <w:t>IGT 7.5%</w:t>
            </w:r>
          </w:p>
          <w:p w:rsidR="00853A74" w:rsidRPr="00032F97" w:rsidRDefault="00853A74" w:rsidP="00A125BF">
            <w:pPr>
              <w:pStyle w:val="TableText"/>
            </w:pPr>
            <w:r w:rsidRPr="00032F97">
              <w:t>Both IFG and IGT 2.2%</w:t>
            </w:r>
          </w:p>
        </w:tc>
        <w:tc>
          <w:tcPr>
            <w:tcW w:w="576" w:type="pct"/>
            <w:tcBorders>
              <w:top w:val="single" w:sz="4" w:space="0" w:color="auto"/>
              <w:bottom w:val="nil"/>
            </w:tcBorders>
            <w:shd w:val="clear" w:color="auto" w:fill="F2F2F2" w:themeFill="background1" w:themeFillShade="F2"/>
          </w:tcPr>
          <w:p w:rsidR="00853A74" w:rsidRPr="00032F97" w:rsidRDefault="00853A74" w:rsidP="00BB68CC">
            <w:pPr>
              <w:pStyle w:val="TableText"/>
              <w:jc w:val="center"/>
            </w:pPr>
            <w:r w:rsidRPr="00032F97">
              <w:t>5</w:t>
            </w:r>
            <w:r>
              <w:t>–</w:t>
            </w:r>
            <w:r w:rsidR="00BB68CC">
              <w:t>9 weeks</w:t>
            </w:r>
          </w:p>
        </w:tc>
        <w:tc>
          <w:tcPr>
            <w:tcW w:w="1601" w:type="pct"/>
            <w:tcBorders>
              <w:top w:val="single" w:sz="4" w:space="0" w:color="auto"/>
              <w:bottom w:val="nil"/>
            </w:tcBorders>
            <w:shd w:val="clear" w:color="auto" w:fill="F2F2F2" w:themeFill="background1" w:themeFillShade="F2"/>
          </w:tcPr>
          <w:p w:rsidR="00853A74" w:rsidRPr="00032F97" w:rsidRDefault="00853A74" w:rsidP="00A125BF">
            <w:pPr>
              <w:pStyle w:val="TableText"/>
              <w:rPr>
                <w:lang w:eastAsia="en-NZ"/>
              </w:rPr>
            </w:pPr>
            <w:r w:rsidRPr="00032F97">
              <w:rPr>
                <w:lang w:eastAsia="en-NZ"/>
              </w:rPr>
              <w:t>Diabetes: FPG</w:t>
            </w:r>
            <w:r w:rsidR="00F26D17">
              <w:rPr>
                <w:lang w:eastAsia="en-NZ"/>
              </w:rPr>
              <w:t xml:space="preserve"> ≥</w:t>
            </w:r>
            <w:r>
              <w:rPr>
                <w:noProof/>
              </w:rPr>
              <w:t xml:space="preserve"> </w:t>
            </w:r>
            <w:r w:rsidRPr="00032F97">
              <w:rPr>
                <w:lang w:eastAsia="en-NZ"/>
              </w:rPr>
              <w:t>7.0</w:t>
            </w:r>
            <w:r w:rsidRPr="00032F97">
              <w:t xml:space="preserve"> mmol/L</w:t>
            </w:r>
            <w:r w:rsidRPr="00032F97">
              <w:rPr>
                <w:lang w:eastAsia="en-NZ"/>
              </w:rPr>
              <w:t xml:space="preserve"> or 2</w:t>
            </w:r>
            <w:r>
              <w:rPr>
                <w:lang w:eastAsia="en-NZ"/>
              </w:rPr>
              <w:t>-hour</w:t>
            </w:r>
            <w:r w:rsidRPr="00032F97">
              <w:rPr>
                <w:lang w:eastAsia="en-NZ"/>
              </w:rPr>
              <w:t xml:space="preserve"> value</w:t>
            </w:r>
            <w:r w:rsidR="00F26D17">
              <w:rPr>
                <w:lang w:eastAsia="en-NZ"/>
              </w:rPr>
              <w:t xml:space="preserve"> ≥</w:t>
            </w:r>
            <w:r>
              <w:rPr>
                <w:noProof/>
              </w:rPr>
              <w:t> </w:t>
            </w:r>
            <w:r w:rsidRPr="00032F97">
              <w:rPr>
                <w:lang w:eastAsia="en-NZ"/>
              </w:rPr>
              <w:t>11.1</w:t>
            </w:r>
            <w:r w:rsidR="00F26D17">
              <w:rPr>
                <w:lang w:eastAsia="en-NZ"/>
              </w:rPr>
              <w:t> </w:t>
            </w:r>
            <w:r w:rsidRPr="00032F97">
              <w:t>mmol/L</w:t>
            </w:r>
            <w:r w:rsidRPr="00032F97">
              <w:rPr>
                <w:lang w:eastAsia="en-NZ"/>
              </w:rPr>
              <w:t xml:space="preserve"> or symptoms of type 2 diabetes and a random </w:t>
            </w:r>
            <w:r>
              <w:rPr>
                <w:lang w:eastAsia="en-NZ"/>
              </w:rPr>
              <w:t>plasma glucose</w:t>
            </w:r>
            <w:r w:rsidRPr="00032F97">
              <w:rPr>
                <w:lang w:eastAsia="en-NZ"/>
              </w:rPr>
              <w:t xml:space="preserve"> level </w:t>
            </w:r>
            <w:r w:rsidR="00F26D17">
              <w:rPr>
                <w:noProof/>
                <w:lang w:eastAsia="en-NZ"/>
              </w:rPr>
              <w:t>≥</w:t>
            </w:r>
            <w:r>
              <w:rPr>
                <w:noProof/>
              </w:rPr>
              <w:t xml:space="preserve"> </w:t>
            </w:r>
            <w:r w:rsidRPr="00032F97">
              <w:rPr>
                <w:lang w:eastAsia="en-NZ"/>
              </w:rPr>
              <w:t>11.1</w:t>
            </w:r>
            <w:r w:rsidRPr="00032F97">
              <w:t xml:space="preserve"> mmol/L</w:t>
            </w:r>
          </w:p>
          <w:p w:rsidR="00853A74" w:rsidRDefault="00853A74" w:rsidP="00A125BF">
            <w:pPr>
              <w:pStyle w:val="TableText"/>
              <w:rPr>
                <w:lang w:eastAsia="en-NZ"/>
              </w:rPr>
            </w:pPr>
            <w:r w:rsidRPr="00032F97">
              <w:rPr>
                <w:lang w:eastAsia="en-NZ"/>
              </w:rPr>
              <w:t xml:space="preserve">IFG: FPG </w:t>
            </w:r>
            <w:r w:rsidR="00F26D17">
              <w:rPr>
                <w:lang w:eastAsia="en-NZ"/>
              </w:rPr>
              <w:t>≥</w:t>
            </w:r>
            <w:r>
              <w:rPr>
                <w:noProof/>
              </w:rPr>
              <w:t xml:space="preserve"> </w:t>
            </w:r>
            <w:r w:rsidRPr="00032F97">
              <w:rPr>
                <w:lang w:eastAsia="en-NZ"/>
              </w:rPr>
              <w:t>5.6 but &lt;</w:t>
            </w:r>
            <w:r>
              <w:rPr>
                <w:lang w:eastAsia="en-NZ"/>
              </w:rPr>
              <w:t xml:space="preserve"> </w:t>
            </w:r>
            <w:r w:rsidRPr="00032F97">
              <w:rPr>
                <w:lang w:eastAsia="en-NZ"/>
              </w:rPr>
              <w:t>7.0</w:t>
            </w:r>
            <w:r w:rsidRPr="00032F97">
              <w:t xml:space="preserve"> mmol/L</w:t>
            </w:r>
          </w:p>
          <w:p w:rsidR="00853A74" w:rsidRPr="00032F97" w:rsidRDefault="00853A74" w:rsidP="00A125BF">
            <w:pPr>
              <w:pStyle w:val="TableText"/>
              <w:rPr>
                <w:lang w:eastAsia="en-NZ"/>
              </w:rPr>
            </w:pPr>
            <w:r w:rsidRPr="00032F97">
              <w:rPr>
                <w:lang w:eastAsia="en-NZ"/>
              </w:rPr>
              <w:t>IGT: 2</w:t>
            </w:r>
            <w:r>
              <w:rPr>
                <w:lang w:eastAsia="en-NZ"/>
              </w:rPr>
              <w:t>-hour</w:t>
            </w:r>
            <w:r w:rsidRPr="00032F97">
              <w:rPr>
                <w:lang w:eastAsia="en-NZ"/>
              </w:rPr>
              <w:t xml:space="preserve"> </w:t>
            </w:r>
            <w:r>
              <w:rPr>
                <w:lang w:eastAsia="en-NZ"/>
              </w:rPr>
              <w:t>plasma glucose</w:t>
            </w:r>
            <w:r w:rsidRPr="00032F97">
              <w:rPr>
                <w:lang w:eastAsia="en-NZ"/>
              </w:rPr>
              <w:t xml:space="preserve"> </w:t>
            </w:r>
            <w:r w:rsidR="00F26D17">
              <w:rPr>
                <w:noProof/>
                <w:lang w:eastAsia="en-NZ"/>
              </w:rPr>
              <w:t>≥</w:t>
            </w:r>
            <w:r>
              <w:rPr>
                <w:noProof/>
              </w:rPr>
              <w:t xml:space="preserve"> </w:t>
            </w:r>
            <w:r w:rsidRPr="00032F97">
              <w:rPr>
                <w:lang w:eastAsia="en-NZ"/>
              </w:rPr>
              <w:t xml:space="preserve">7.8 </w:t>
            </w:r>
            <w:r>
              <w:rPr>
                <w:lang w:eastAsia="en-NZ"/>
              </w:rPr>
              <w:t>but</w:t>
            </w:r>
            <w:r w:rsidRPr="00032F97">
              <w:rPr>
                <w:lang w:eastAsia="en-NZ"/>
              </w:rPr>
              <w:t xml:space="preserve"> &lt;</w:t>
            </w:r>
            <w:r>
              <w:rPr>
                <w:lang w:eastAsia="en-NZ"/>
              </w:rPr>
              <w:t xml:space="preserve"> </w:t>
            </w:r>
            <w:r w:rsidRPr="00032F97">
              <w:rPr>
                <w:lang w:eastAsia="en-NZ"/>
              </w:rPr>
              <w:t>11.1</w:t>
            </w:r>
            <w:r w:rsidRPr="00032F97">
              <w:t xml:space="preserve"> mmol/L</w:t>
            </w:r>
          </w:p>
          <w:p w:rsidR="00853A74" w:rsidRPr="00032F97" w:rsidRDefault="00853A74" w:rsidP="00F26D17">
            <w:pPr>
              <w:pStyle w:val="TableText"/>
              <w:rPr>
                <w:lang w:eastAsia="en-NZ"/>
              </w:rPr>
            </w:pPr>
            <w:r w:rsidRPr="00032F97">
              <w:rPr>
                <w:lang w:eastAsia="en-NZ"/>
              </w:rPr>
              <w:t>Normal: FPG &lt;</w:t>
            </w:r>
            <w:r>
              <w:rPr>
                <w:lang w:eastAsia="en-NZ"/>
              </w:rPr>
              <w:t xml:space="preserve"> </w:t>
            </w:r>
            <w:r w:rsidRPr="00032F97">
              <w:rPr>
                <w:lang w:eastAsia="en-NZ"/>
              </w:rPr>
              <w:t>5.6 and 2</w:t>
            </w:r>
            <w:r>
              <w:rPr>
                <w:lang w:eastAsia="en-NZ"/>
              </w:rPr>
              <w:t>-hour</w:t>
            </w:r>
            <w:r w:rsidRPr="00032F97">
              <w:rPr>
                <w:lang w:eastAsia="en-NZ"/>
              </w:rPr>
              <w:t xml:space="preserve"> </w:t>
            </w:r>
            <w:r>
              <w:rPr>
                <w:lang w:eastAsia="en-NZ"/>
              </w:rPr>
              <w:t>plasma glucose</w:t>
            </w:r>
            <w:r w:rsidRPr="00032F97">
              <w:rPr>
                <w:lang w:eastAsia="en-NZ"/>
              </w:rPr>
              <w:t xml:space="preserve"> &lt;</w:t>
            </w:r>
            <w:r w:rsidR="00F26D17">
              <w:rPr>
                <w:lang w:eastAsia="en-NZ"/>
              </w:rPr>
              <w:t> </w:t>
            </w:r>
            <w:r w:rsidRPr="00032F97">
              <w:rPr>
                <w:lang w:eastAsia="en-NZ"/>
              </w:rPr>
              <w:t>7.8</w:t>
            </w:r>
            <w:r w:rsidR="00F26D17">
              <w:rPr>
                <w:lang w:eastAsia="en-NZ"/>
              </w:rPr>
              <w:t> </w:t>
            </w:r>
            <w:r w:rsidRPr="00032F97">
              <w:t>mmol/L</w:t>
            </w:r>
          </w:p>
        </w:tc>
        <w:tc>
          <w:tcPr>
            <w:tcW w:w="375" w:type="pct"/>
            <w:tcBorders>
              <w:top w:val="single" w:sz="4" w:space="0" w:color="auto"/>
              <w:bottom w:val="nil"/>
            </w:tcBorders>
            <w:shd w:val="clear" w:color="auto" w:fill="F2F2F2" w:themeFill="background1" w:themeFillShade="F2"/>
          </w:tcPr>
          <w:p w:rsidR="00853A74" w:rsidRPr="00032F97" w:rsidRDefault="00853A74" w:rsidP="00F26D17">
            <w:pPr>
              <w:pStyle w:val="TableText"/>
              <w:jc w:val="center"/>
            </w:pPr>
            <w:r w:rsidRPr="00032F97">
              <w:t>MEDIUM</w:t>
            </w:r>
          </w:p>
        </w:tc>
      </w:tr>
      <w:tr w:rsidR="00F26D17" w:rsidRPr="00E07B1B" w:rsidTr="00BB68CC">
        <w:trPr>
          <w:cantSplit/>
        </w:trPr>
        <w:tc>
          <w:tcPr>
            <w:tcW w:w="647" w:type="pct"/>
            <w:tcBorders>
              <w:top w:val="nil"/>
              <w:bottom w:val="nil"/>
            </w:tcBorders>
            <w:shd w:val="clear" w:color="auto" w:fill="auto"/>
          </w:tcPr>
          <w:p w:rsidR="00853A74" w:rsidRPr="00032F97" w:rsidRDefault="00853A74" w:rsidP="00A125BF">
            <w:pPr>
              <w:pStyle w:val="TableText"/>
            </w:pPr>
            <w:r w:rsidRPr="00032F97">
              <w:t>Mc</w:t>
            </w:r>
            <w:r>
              <w:t>Cl</w:t>
            </w:r>
            <w:r w:rsidRPr="00032F97">
              <w:t xml:space="preserve">ean </w:t>
            </w:r>
            <w:r>
              <w:t>(</w:t>
            </w:r>
            <w:r w:rsidRPr="00032F97">
              <w:t>2010</w:t>
            </w:r>
            <w:r>
              <w:t>)</w:t>
            </w:r>
          </w:p>
        </w:tc>
        <w:tc>
          <w:tcPr>
            <w:tcW w:w="361" w:type="pct"/>
            <w:tcBorders>
              <w:top w:val="nil"/>
              <w:bottom w:val="nil"/>
            </w:tcBorders>
            <w:shd w:val="clear" w:color="auto" w:fill="auto"/>
          </w:tcPr>
          <w:p w:rsidR="00853A74" w:rsidRPr="00032F97" w:rsidRDefault="00853A74" w:rsidP="00A125BF">
            <w:pPr>
              <w:pStyle w:val="TableText"/>
            </w:pPr>
            <w:r w:rsidRPr="00032F97">
              <w:t>England</w:t>
            </w:r>
          </w:p>
        </w:tc>
        <w:tc>
          <w:tcPr>
            <w:tcW w:w="576" w:type="pct"/>
            <w:tcBorders>
              <w:top w:val="nil"/>
              <w:bottom w:val="nil"/>
            </w:tcBorders>
            <w:shd w:val="clear" w:color="auto" w:fill="auto"/>
          </w:tcPr>
          <w:p w:rsidR="00853A74" w:rsidRPr="00032F97" w:rsidRDefault="00F26D17" w:rsidP="00BB68CC">
            <w:pPr>
              <w:pStyle w:val="TableText"/>
              <w:jc w:val="center"/>
            </w:pPr>
            <w:r>
              <w:t>985</w:t>
            </w:r>
          </w:p>
        </w:tc>
        <w:tc>
          <w:tcPr>
            <w:tcW w:w="864" w:type="pct"/>
            <w:tcBorders>
              <w:top w:val="nil"/>
              <w:bottom w:val="nil"/>
            </w:tcBorders>
            <w:shd w:val="clear" w:color="auto" w:fill="auto"/>
          </w:tcPr>
          <w:p w:rsidR="00853A74" w:rsidRPr="00032F97" w:rsidRDefault="00853A74" w:rsidP="00A125BF">
            <w:pPr>
              <w:pStyle w:val="TableText"/>
            </w:pPr>
            <w:r w:rsidRPr="00032F97">
              <w:t>Diabetes 11.1%*</w:t>
            </w:r>
          </w:p>
        </w:tc>
        <w:tc>
          <w:tcPr>
            <w:tcW w:w="576" w:type="pct"/>
            <w:tcBorders>
              <w:top w:val="nil"/>
              <w:bottom w:val="nil"/>
            </w:tcBorders>
            <w:shd w:val="clear" w:color="auto" w:fill="auto"/>
          </w:tcPr>
          <w:p w:rsidR="00853A74" w:rsidRPr="00032F97" w:rsidRDefault="00853A74" w:rsidP="00BB68CC">
            <w:pPr>
              <w:pStyle w:val="TableText"/>
              <w:jc w:val="center"/>
            </w:pPr>
            <w:r w:rsidRPr="00032F97">
              <w:t>6 weeks</w:t>
            </w:r>
          </w:p>
        </w:tc>
        <w:tc>
          <w:tcPr>
            <w:tcW w:w="1601" w:type="pct"/>
            <w:tcBorders>
              <w:top w:val="nil"/>
              <w:bottom w:val="nil"/>
            </w:tcBorders>
            <w:shd w:val="clear" w:color="auto" w:fill="auto"/>
          </w:tcPr>
          <w:p w:rsidR="00853A74" w:rsidRPr="00032F97" w:rsidRDefault="00853A74" w:rsidP="00A125BF">
            <w:pPr>
              <w:pStyle w:val="TableText"/>
            </w:pPr>
            <w:r w:rsidRPr="00032F97">
              <w:t>FPG &gt;</w:t>
            </w:r>
            <w:r>
              <w:t xml:space="preserve"> </w:t>
            </w:r>
            <w:r w:rsidRPr="00032F97">
              <w:t>6.1</w:t>
            </w:r>
            <w:r w:rsidR="00F26D17">
              <w:t> </w:t>
            </w:r>
            <w:r w:rsidRPr="00032F97">
              <w:t>mmol/L</w:t>
            </w:r>
          </w:p>
        </w:tc>
        <w:tc>
          <w:tcPr>
            <w:tcW w:w="375" w:type="pct"/>
            <w:tcBorders>
              <w:top w:val="nil"/>
              <w:bottom w:val="nil"/>
            </w:tcBorders>
            <w:shd w:val="clear" w:color="auto" w:fill="auto"/>
          </w:tcPr>
          <w:p w:rsidR="00853A74" w:rsidRPr="00032F97" w:rsidRDefault="00853A74" w:rsidP="00F26D17">
            <w:pPr>
              <w:pStyle w:val="TableText"/>
              <w:jc w:val="center"/>
            </w:pPr>
            <w:r w:rsidRPr="00032F97">
              <w:t>LOW</w:t>
            </w:r>
          </w:p>
        </w:tc>
      </w:tr>
      <w:tr w:rsidR="00F26D17" w:rsidRPr="00E07B1B" w:rsidTr="00BB68CC">
        <w:trPr>
          <w:cantSplit/>
        </w:trPr>
        <w:tc>
          <w:tcPr>
            <w:tcW w:w="647" w:type="pct"/>
            <w:tcBorders>
              <w:top w:val="nil"/>
              <w:bottom w:val="nil"/>
            </w:tcBorders>
            <w:shd w:val="clear" w:color="auto" w:fill="F2F2F2" w:themeFill="background1" w:themeFillShade="F2"/>
          </w:tcPr>
          <w:p w:rsidR="00853A74" w:rsidRPr="00032F97" w:rsidRDefault="00853A74" w:rsidP="00A125BF">
            <w:pPr>
              <w:pStyle w:val="TableText"/>
            </w:pPr>
            <w:r w:rsidRPr="00032F97">
              <w:t xml:space="preserve">Kim </w:t>
            </w:r>
            <w:r>
              <w:t>(</w:t>
            </w:r>
            <w:r w:rsidRPr="00032F97">
              <w:t>2011</w:t>
            </w:r>
            <w:r>
              <w:t>)</w:t>
            </w:r>
          </w:p>
        </w:tc>
        <w:tc>
          <w:tcPr>
            <w:tcW w:w="361" w:type="pct"/>
            <w:tcBorders>
              <w:top w:val="nil"/>
              <w:bottom w:val="nil"/>
            </w:tcBorders>
            <w:shd w:val="clear" w:color="auto" w:fill="F2F2F2" w:themeFill="background1" w:themeFillShade="F2"/>
          </w:tcPr>
          <w:p w:rsidR="00853A74" w:rsidRPr="00032F97" w:rsidRDefault="00853A74" w:rsidP="00A125BF">
            <w:pPr>
              <w:pStyle w:val="TableText"/>
            </w:pPr>
            <w:r w:rsidRPr="00032F97">
              <w:t>Korea</w:t>
            </w:r>
          </w:p>
        </w:tc>
        <w:tc>
          <w:tcPr>
            <w:tcW w:w="576" w:type="pct"/>
            <w:tcBorders>
              <w:top w:val="nil"/>
              <w:bottom w:val="nil"/>
            </w:tcBorders>
            <w:shd w:val="clear" w:color="auto" w:fill="F2F2F2" w:themeFill="background1" w:themeFillShade="F2"/>
          </w:tcPr>
          <w:p w:rsidR="00853A74" w:rsidRPr="00032F97" w:rsidRDefault="00853A74" w:rsidP="00BB68CC">
            <w:pPr>
              <w:pStyle w:val="TableText"/>
              <w:jc w:val="center"/>
            </w:pPr>
            <w:r w:rsidRPr="00032F97">
              <w:t>381</w:t>
            </w:r>
          </w:p>
        </w:tc>
        <w:tc>
          <w:tcPr>
            <w:tcW w:w="864" w:type="pct"/>
            <w:tcBorders>
              <w:top w:val="nil"/>
              <w:bottom w:val="nil"/>
            </w:tcBorders>
            <w:shd w:val="clear" w:color="auto" w:fill="F2F2F2" w:themeFill="background1" w:themeFillShade="F2"/>
          </w:tcPr>
          <w:p w:rsidR="00853A74" w:rsidRPr="00032F97" w:rsidRDefault="00853A74" w:rsidP="00A125BF">
            <w:pPr>
              <w:pStyle w:val="TableText"/>
            </w:pPr>
            <w:r w:rsidRPr="00032F97">
              <w:t>Diabetes 5.2%</w:t>
            </w:r>
          </w:p>
          <w:p w:rsidR="00853A74" w:rsidRPr="00032F97" w:rsidRDefault="00853A74" w:rsidP="00A125BF">
            <w:pPr>
              <w:pStyle w:val="TableText"/>
            </w:pPr>
            <w:r w:rsidRPr="00032F97">
              <w:t>IFG/IGT 44.8%</w:t>
            </w:r>
          </w:p>
        </w:tc>
        <w:tc>
          <w:tcPr>
            <w:tcW w:w="576" w:type="pct"/>
            <w:tcBorders>
              <w:top w:val="nil"/>
              <w:bottom w:val="nil"/>
            </w:tcBorders>
            <w:shd w:val="clear" w:color="auto" w:fill="F2F2F2" w:themeFill="background1" w:themeFillShade="F2"/>
          </w:tcPr>
          <w:p w:rsidR="00853A74" w:rsidRPr="00032F97" w:rsidRDefault="00853A74" w:rsidP="00BB68CC">
            <w:pPr>
              <w:pStyle w:val="TableText"/>
              <w:jc w:val="center"/>
            </w:pPr>
            <w:r w:rsidRPr="00032F97">
              <w:t>6</w:t>
            </w:r>
            <w:r>
              <w:t>–</w:t>
            </w:r>
            <w:r w:rsidRPr="00032F97">
              <w:t>12 weeks</w:t>
            </w:r>
          </w:p>
        </w:tc>
        <w:tc>
          <w:tcPr>
            <w:tcW w:w="1601" w:type="pct"/>
            <w:tcBorders>
              <w:top w:val="nil"/>
              <w:bottom w:val="nil"/>
            </w:tcBorders>
            <w:shd w:val="clear" w:color="auto" w:fill="F2F2F2" w:themeFill="background1" w:themeFillShade="F2"/>
          </w:tcPr>
          <w:p w:rsidR="00853A74" w:rsidRPr="00032F97" w:rsidRDefault="00853A74" w:rsidP="00A125BF">
            <w:pPr>
              <w:pStyle w:val="TableText"/>
            </w:pPr>
            <w:r w:rsidRPr="00032F97">
              <w:t>Diabetes</w:t>
            </w:r>
            <w:r>
              <w:t>:</w:t>
            </w:r>
            <w:r w:rsidRPr="00032F97">
              <w:t xml:space="preserve"> FPG ≥</w:t>
            </w:r>
            <w:r>
              <w:t xml:space="preserve"> </w:t>
            </w:r>
            <w:r w:rsidRPr="00032F97">
              <w:t>7.0</w:t>
            </w:r>
            <w:r>
              <w:t xml:space="preserve"> </w:t>
            </w:r>
            <w:r w:rsidRPr="00032F97">
              <w:t>mmol/L, 2</w:t>
            </w:r>
            <w:r>
              <w:t>-</w:t>
            </w:r>
            <w:r w:rsidRPr="00032F97">
              <w:t>hour glucose value ≥</w:t>
            </w:r>
            <w:r w:rsidR="00F26D17">
              <w:t> </w:t>
            </w:r>
            <w:r w:rsidRPr="00032F97">
              <w:t>11.0</w:t>
            </w:r>
            <w:r w:rsidR="00F26D17">
              <w:t> </w:t>
            </w:r>
            <w:r w:rsidRPr="00032F97">
              <w:t>mmol/L</w:t>
            </w:r>
          </w:p>
          <w:p w:rsidR="00853A74" w:rsidRPr="00032F97" w:rsidRDefault="00853A74" w:rsidP="00A125BF">
            <w:pPr>
              <w:pStyle w:val="TableText"/>
            </w:pPr>
            <w:r w:rsidRPr="00032F97">
              <w:t>IGT</w:t>
            </w:r>
            <w:r>
              <w:t>:</w:t>
            </w:r>
            <w:r w:rsidRPr="00032F97">
              <w:t xml:space="preserve"> FPG &lt;</w:t>
            </w:r>
            <w:r>
              <w:t xml:space="preserve"> </w:t>
            </w:r>
            <w:r w:rsidRPr="00032F97">
              <w:t>6.1</w:t>
            </w:r>
            <w:r>
              <w:t xml:space="preserve"> </w:t>
            </w:r>
            <w:r w:rsidRPr="00032F97">
              <w:t>mmol/L and 2</w:t>
            </w:r>
            <w:r>
              <w:t>-</w:t>
            </w:r>
            <w:r w:rsidRPr="00032F97">
              <w:t>hour glucose value</w:t>
            </w:r>
            <w:r w:rsidR="00F26D17">
              <w:br/>
            </w:r>
            <w:r w:rsidRPr="00032F97">
              <w:t>7.8</w:t>
            </w:r>
            <w:r>
              <w:t>–</w:t>
            </w:r>
            <w:r w:rsidRPr="00032F97">
              <w:t>11.0</w:t>
            </w:r>
            <w:r>
              <w:t xml:space="preserve"> </w:t>
            </w:r>
            <w:r w:rsidRPr="00032F97">
              <w:t>mmol/L</w:t>
            </w:r>
          </w:p>
          <w:p w:rsidR="00853A74" w:rsidRPr="00032F97" w:rsidRDefault="00853A74" w:rsidP="00A125BF">
            <w:pPr>
              <w:pStyle w:val="TableText"/>
            </w:pPr>
            <w:r w:rsidRPr="00032F97">
              <w:t>IFG</w:t>
            </w:r>
            <w:r>
              <w:t>:</w:t>
            </w:r>
            <w:r w:rsidRPr="00032F97">
              <w:t xml:space="preserve"> FPG 6.1</w:t>
            </w:r>
            <w:r>
              <w:t>–</w:t>
            </w:r>
            <w:r w:rsidRPr="00032F97">
              <w:t>6.9</w:t>
            </w:r>
            <w:r>
              <w:t xml:space="preserve"> </w:t>
            </w:r>
            <w:r w:rsidRPr="00032F97">
              <w:t>mmol/L, 2</w:t>
            </w:r>
            <w:r>
              <w:t>-</w:t>
            </w:r>
            <w:r w:rsidRPr="00032F97">
              <w:t xml:space="preserve">hour glucose </w:t>
            </w:r>
            <w:r>
              <w:t xml:space="preserve">value </w:t>
            </w:r>
            <w:r w:rsidRPr="00032F97">
              <w:t>&lt;</w:t>
            </w:r>
            <w:r>
              <w:t> </w:t>
            </w:r>
            <w:r w:rsidRPr="00032F97">
              <w:t>7.8</w:t>
            </w:r>
            <w:r>
              <w:t> </w:t>
            </w:r>
            <w:r w:rsidRPr="00032F97">
              <w:t>mmol/L</w:t>
            </w:r>
          </w:p>
        </w:tc>
        <w:tc>
          <w:tcPr>
            <w:tcW w:w="375" w:type="pct"/>
            <w:tcBorders>
              <w:top w:val="nil"/>
              <w:bottom w:val="nil"/>
            </w:tcBorders>
            <w:shd w:val="clear" w:color="auto" w:fill="F2F2F2" w:themeFill="background1" w:themeFillShade="F2"/>
          </w:tcPr>
          <w:p w:rsidR="00853A74" w:rsidRPr="00032F97" w:rsidRDefault="00853A74" w:rsidP="00F26D17">
            <w:pPr>
              <w:pStyle w:val="TableText"/>
              <w:jc w:val="center"/>
            </w:pPr>
            <w:r w:rsidRPr="00032F97">
              <w:t>LOW</w:t>
            </w:r>
          </w:p>
        </w:tc>
      </w:tr>
      <w:tr w:rsidR="00F26D17" w:rsidRPr="00E07B1B" w:rsidTr="00BB68CC">
        <w:trPr>
          <w:cantSplit/>
        </w:trPr>
        <w:tc>
          <w:tcPr>
            <w:tcW w:w="647" w:type="pct"/>
            <w:tcBorders>
              <w:top w:val="nil"/>
              <w:bottom w:val="nil"/>
            </w:tcBorders>
            <w:shd w:val="clear" w:color="auto" w:fill="auto"/>
          </w:tcPr>
          <w:p w:rsidR="00853A74" w:rsidRPr="00032F97" w:rsidRDefault="00853A74" w:rsidP="00A125BF">
            <w:pPr>
              <w:pStyle w:val="TableText"/>
            </w:pPr>
            <w:r w:rsidRPr="00032F97">
              <w:t xml:space="preserve">Schaefer-Graf </w:t>
            </w:r>
            <w:r>
              <w:t>(</w:t>
            </w:r>
            <w:r w:rsidRPr="00032F97">
              <w:t>2009</w:t>
            </w:r>
            <w:r>
              <w:t>)</w:t>
            </w:r>
          </w:p>
        </w:tc>
        <w:tc>
          <w:tcPr>
            <w:tcW w:w="361" w:type="pct"/>
            <w:tcBorders>
              <w:top w:val="nil"/>
              <w:bottom w:val="nil"/>
            </w:tcBorders>
            <w:shd w:val="clear" w:color="auto" w:fill="auto"/>
          </w:tcPr>
          <w:p w:rsidR="00853A74" w:rsidRPr="00032F97" w:rsidRDefault="00853A74" w:rsidP="00A125BF">
            <w:pPr>
              <w:pStyle w:val="TableText"/>
            </w:pPr>
            <w:r w:rsidRPr="00032F97">
              <w:t>Germany</w:t>
            </w:r>
          </w:p>
        </w:tc>
        <w:tc>
          <w:tcPr>
            <w:tcW w:w="576" w:type="pct"/>
            <w:tcBorders>
              <w:top w:val="nil"/>
              <w:bottom w:val="nil"/>
            </w:tcBorders>
            <w:shd w:val="clear" w:color="auto" w:fill="auto"/>
          </w:tcPr>
          <w:p w:rsidR="00853A74" w:rsidRPr="00032F97" w:rsidRDefault="00853A74" w:rsidP="00BB68CC">
            <w:pPr>
              <w:pStyle w:val="TableText"/>
              <w:jc w:val="center"/>
            </w:pPr>
            <w:r w:rsidRPr="00032F97">
              <w:t>605</w:t>
            </w:r>
          </w:p>
        </w:tc>
        <w:tc>
          <w:tcPr>
            <w:tcW w:w="864" w:type="pct"/>
            <w:tcBorders>
              <w:top w:val="nil"/>
              <w:bottom w:val="nil"/>
            </w:tcBorders>
            <w:shd w:val="clear" w:color="auto" w:fill="auto"/>
          </w:tcPr>
          <w:p w:rsidR="00853A74" w:rsidRPr="00032F97" w:rsidRDefault="00853A74" w:rsidP="00A125BF">
            <w:pPr>
              <w:pStyle w:val="TableText"/>
            </w:pPr>
            <w:r w:rsidRPr="00032F97">
              <w:t>Diabetes 5.5%</w:t>
            </w:r>
          </w:p>
          <w:p w:rsidR="00853A74" w:rsidRPr="00032F97" w:rsidRDefault="00853A74" w:rsidP="00A125BF">
            <w:pPr>
              <w:pStyle w:val="TableText"/>
            </w:pPr>
            <w:r w:rsidRPr="00032F97">
              <w:t>IFG 2.8%</w:t>
            </w:r>
          </w:p>
          <w:p w:rsidR="00853A74" w:rsidRPr="00032F97" w:rsidRDefault="00853A74" w:rsidP="00A125BF">
            <w:pPr>
              <w:pStyle w:val="TableText"/>
            </w:pPr>
            <w:r w:rsidRPr="00032F97">
              <w:t>IGT 13.6%</w:t>
            </w:r>
          </w:p>
        </w:tc>
        <w:tc>
          <w:tcPr>
            <w:tcW w:w="576" w:type="pct"/>
            <w:tcBorders>
              <w:top w:val="nil"/>
              <w:bottom w:val="nil"/>
            </w:tcBorders>
            <w:shd w:val="clear" w:color="auto" w:fill="auto"/>
          </w:tcPr>
          <w:p w:rsidR="00853A74" w:rsidRPr="00032F97" w:rsidRDefault="00853A74" w:rsidP="00BB68CC">
            <w:pPr>
              <w:pStyle w:val="TableText"/>
              <w:jc w:val="center"/>
            </w:pPr>
            <w:r w:rsidRPr="00032F97">
              <w:t>6</w:t>
            </w:r>
            <w:r>
              <w:t>–</w:t>
            </w:r>
            <w:r w:rsidRPr="00032F97">
              <w:t>12 weeks</w:t>
            </w:r>
          </w:p>
        </w:tc>
        <w:tc>
          <w:tcPr>
            <w:tcW w:w="1601" w:type="pct"/>
            <w:tcBorders>
              <w:top w:val="nil"/>
              <w:bottom w:val="nil"/>
            </w:tcBorders>
            <w:shd w:val="clear" w:color="auto" w:fill="auto"/>
          </w:tcPr>
          <w:p w:rsidR="00853A74" w:rsidRPr="00032F97" w:rsidRDefault="00853A74" w:rsidP="00A125BF">
            <w:pPr>
              <w:pStyle w:val="TableText"/>
            </w:pPr>
            <w:r w:rsidRPr="00032F97">
              <w:t>Diabetes</w:t>
            </w:r>
            <w:r>
              <w:t>: FPG</w:t>
            </w:r>
            <w:r w:rsidRPr="00032F97">
              <w:t xml:space="preserve"> ≥</w:t>
            </w:r>
            <w:r>
              <w:t> </w:t>
            </w:r>
            <w:r w:rsidRPr="00032F97">
              <w:t>7.0</w:t>
            </w:r>
            <w:r>
              <w:t> </w:t>
            </w:r>
            <w:r w:rsidRPr="00032F97">
              <w:t>mmol/L or 2</w:t>
            </w:r>
            <w:r>
              <w:t>-</w:t>
            </w:r>
            <w:r w:rsidRPr="00032F97">
              <w:t>hour value ≥</w:t>
            </w:r>
            <w:r>
              <w:t> </w:t>
            </w:r>
            <w:r w:rsidRPr="00032F97">
              <w:t>11.12</w:t>
            </w:r>
            <w:r>
              <w:t> </w:t>
            </w:r>
            <w:r w:rsidRPr="00032F97">
              <w:t>mmol/L</w:t>
            </w:r>
          </w:p>
          <w:p w:rsidR="00853A74" w:rsidRPr="00032F97" w:rsidRDefault="00853A74" w:rsidP="00A125BF">
            <w:pPr>
              <w:pStyle w:val="TableText"/>
            </w:pPr>
            <w:r w:rsidRPr="00032F97">
              <w:t>IFG</w:t>
            </w:r>
            <w:r>
              <w:t>:</w:t>
            </w:r>
            <w:r w:rsidRPr="00032F97">
              <w:t xml:space="preserve"> fasting glucose &gt;</w:t>
            </w:r>
            <w:r>
              <w:t xml:space="preserve"> </w:t>
            </w:r>
            <w:r w:rsidRPr="00032F97">
              <w:t>6.1</w:t>
            </w:r>
            <w:r>
              <w:t xml:space="preserve"> </w:t>
            </w:r>
            <w:r w:rsidRPr="00032F97">
              <w:t>mmol/L</w:t>
            </w:r>
          </w:p>
          <w:p w:rsidR="00853A74" w:rsidRPr="00032F97" w:rsidRDefault="00853A74" w:rsidP="00A125BF">
            <w:pPr>
              <w:pStyle w:val="TableText"/>
            </w:pPr>
            <w:r w:rsidRPr="00032F97">
              <w:t>IGT</w:t>
            </w:r>
            <w:r>
              <w:t>:</w:t>
            </w:r>
            <w:r w:rsidRPr="00032F97">
              <w:t xml:space="preserve"> 2 hour glucose &gt; 7.7</w:t>
            </w:r>
            <w:r>
              <w:t xml:space="preserve"> </w:t>
            </w:r>
            <w:r w:rsidRPr="00032F97">
              <w:t>mmol/L</w:t>
            </w:r>
          </w:p>
        </w:tc>
        <w:tc>
          <w:tcPr>
            <w:tcW w:w="375" w:type="pct"/>
            <w:tcBorders>
              <w:top w:val="nil"/>
              <w:bottom w:val="nil"/>
            </w:tcBorders>
            <w:shd w:val="clear" w:color="auto" w:fill="auto"/>
          </w:tcPr>
          <w:p w:rsidR="00853A74" w:rsidRPr="00032F97" w:rsidRDefault="00853A74" w:rsidP="00F26D17">
            <w:pPr>
              <w:pStyle w:val="TableText"/>
              <w:jc w:val="center"/>
            </w:pPr>
            <w:r w:rsidRPr="00032F97">
              <w:t>LOW</w:t>
            </w:r>
          </w:p>
        </w:tc>
      </w:tr>
      <w:tr w:rsidR="00F26D17" w:rsidRPr="00E07B1B" w:rsidTr="00BB68CC">
        <w:trPr>
          <w:cantSplit/>
        </w:trPr>
        <w:tc>
          <w:tcPr>
            <w:tcW w:w="647" w:type="pct"/>
            <w:tcBorders>
              <w:top w:val="nil"/>
              <w:bottom w:val="nil"/>
            </w:tcBorders>
            <w:shd w:val="clear" w:color="auto" w:fill="F2F2F2" w:themeFill="background1" w:themeFillShade="F2"/>
          </w:tcPr>
          <w:p w:rsidR="00853A74" w:rsidRPr="00032F97" w:rsidRDefault="00853A74" w:rsidP="00A125BF">
            <w:pPr>
              <w:pStyle w:val="TableText"/>
            </w:pPr>
            <w:r w:rsidRPr="00032F97">
              <w:t>Hossein-</w:t>
            </w:r>
            <w:r>
              <w:t>N</w:t>
            </w:r>
            <w:r w:rsidRPr="00032F97">
              <w:t xml:space="preserve">ezhad </w:t>
            </w:r>
            <w:r>
              <w:t>(</w:t>
            </w:r>
            <w:r w:rsidRPr="00032F97">
              <w:t>2009</w:t>
            </w:r>
            <w:r>
              <w:t>)</w:t>
            </w:r>
          </w:p>
        </w:tc>
        <w:tc>
          <w:tcPr>
            <w:tcW w:w="361" w:type="pct"/>
            <w:tcBorders>
              <w:top w:val="nil"/>
              <w:bottom w:val="nil"/>
            </w:tcBorders>
            <w:shd w:val="clear" w:color="auto" w:fill="F2F2F2" w:themeFill="background1" w:themeFillShade="F2"/>
          </w:tcPr>
          <w:p w:rsidR="00853A74" w:rsidRPr="00032F97" w:rsidRDefault="00853A74" w:rsidP="00A125BF">
            <w:pPr>
              <w:pStyle w:val="TableText"/>
            </w:pPr>
            <w:r w:rsidRPr="00032F97">
              <w:t>Iran</w:t>
            </w:r>
          </w:p>
        </w:tc>
        <w:tc>
          <w:tcPr>
            <w:tcW w:w="576" w:type="pct"/>
            <w:tcBorders>
              <w:top w:val="nil"/>
              <w:bottom w:val="nil"/>
            </w:tcBorders>
            <w:shd w:val="clear" w:color="auto" w:fill="F2F2F2" w:themeFill="background1" w:themeFillShade="F2"/>
          </w:tcPr>
          <w:p w:rsidR="00853A74" w:rsidRPr="00032F97" w:rsidRDefault="00853A74" w:rsidP="00D1791E">
            <w:pPr>
              <w:pStyle w:val="TableText"/>
              <w:jc w:val="center"/>
            </w:pPr>
            <w:r w:rsidRPr="00032F97">
              <w:t xml:space="preserve">2416 women of </w:t>
            </w:r>
            <w:r>
              <w:t>whom</w:t>
            </w:r>
            <w:r w:rsidRPr="00032F97">
              <w:t xml:space="preserve"> 114 had GDM</w:t>
            </w:r>
          </w:p>
        </w:tc>
        <w:tc>
          <w:tcPr>
            <w:tcW w:w="864" w:type="pct"/>
            <w:tcBorders>
              <w:top w:val="nil"/>
              <w:bottom w:val="nil"/>
            </w:tcBorders>
            <w:shd w:val="clear" w:color="auto" w:fill="F2F2F2" w:themeFill="background1" w:themeFillShade="F2"/>
          </w:tcPr>
          <w:p w:rsidR="00853A74" w:rsidRPr="00032F97" w:rsidRDefault="00853A74" w:rsidP="00A125BF">
            <w:pPr>
              <w:pStyle w:val="TableText"/>
            </w:pPr>
            <w:r w:rsidRPr="00032F97">
              <w:t>Diabetes 8.1% (95%CI</w:t>
            </w:r>
            <w:r w:rsidR="00F26D17">
              <w:br/>
            </w:r>
            <w:r w:rsidRPr="00032F97">
              <w:t>3.5</w:t>
            </w:r>
            <w:r>
              <w:t>–</w:t>
            </w:r>
            <w:r w:rsidRPr="00032F97">
              <w:t>15.4%)</w:t>
            </w:r>
          </w:p>
          <w:p w:rsidR="00853A74" w:rsidRPr="00032F97" w:rsidRDefault="00853A74" w:rsidP="00F26D17">
            <w:pPr>
              <w:pStyle w:val="TableText"/>
            </w:pPr>
            <w:r w:rsidRPr="00032F97">
              <w:t>IGT 21.4% (95%CI</w:t>
            </w:r>
            <w:r w:rsidR="00F26D17">
              <w:br/>
            </w:r>
            <w:r w:rsidRPr="00032F97">
              <w:t>13.7</w:t>
            </w:r>
            <w:r>
              <w:t>–</w:t>
            </w:r>
            <w:r w:rsidRPr="00032F97">
              <w:t>30.8%)</w:t>
            </w:r>
          </w:p>
        </w:tc>
        <w:tc>
          <w:tcPr>
            <w:tcW w:w="576" w:type="pct"/>
            <w:tcBorders>
              <w:top w:val="nil"/>
              <w:bottom w:val="nil"/>
            </w:tcBorders>
            <w:shd w:val="clear" w:color="auto" w:fill="F2F2F2" w:themeFill="background1" w:themeFillShade="F2"/>
          </w:tcPr>
          <w:p w:rsidR="00853A74" w:rsidRPr="00032F97" w:rsidRDefault="00853A74" w:rsidP="00BB68CC">
            <w:pPr>
              <w:pStyle w:val="TableText"/>
              <w:jc w:val="center"/>
            </w:pPr>
            <w:r w:rsidRPr="00032F97">
              <w:t>6</w:t>
            </w:r>
            <w:r>
              <w:t>–</w:t>
            </w:r>
            <w:r w:rsidRPr="00032F97">
              <w:t>12 weeks</w:t>
            </w:r>
          </w:p>
        </w:tc>
        <w:tc>
          <w:tcPr>
            <w:tcW w:w="1601" w:type="pct"/>
            <w:tcBorders>
              <w:top w:val="nil"/>
              <w:bottom w:val="nil"/>
            </w:tcBorders>
            <w:shd w:val="clear" w:color="auto" w:fill="F2F2F2" w:themeFill="background1" w:themeFillShade="F2"/>
          </w:tcPr>
          <w:p w:rsidR="00853A74" w:rsidRDefault="00853A74" w:rsidP="00A125BF">
            <w:pPr>
              <w:pStyle w:val="TableText"/>
            </w:pPr>
            <w:r w:rsidRPr="00032F97">
              <w:t>75</w:t>
            </w:r>
            <w:r>
              <w:t xml:space="preserve"> </w:t>
            </w:r>
            <w:r w:rsidRPr="00032F97">
              <w:t>g OGTT</w:t>
            </w:r>
          </w:p>
          <w:p w:rsidR="00853A74" w:rsidRPr="00032F97" w:rsidRDefault="00853A74" w:rsidP="00A125BF">
            <w:pPr>
              <w:pStyle w:val="TableText"/>
            </w:pPr>
            <w:r w:rsidRPr="00032F97">
              <w:t>Diabetes</w:t>
            </w:r>
            <w:r>
              <w:t>:</w:t>
            </w:r>
            <w:r w:rsidRPr="00032F97">
              <w:t xml:space="preserve"> FPG ≥</w:t>
            </w:r>
            <w:r>
              <w:t xml:space="preserve"> </w:t>
            </w:r>
            <w:r w:rsidRPr="00032F97">
              <w:t>126</w:t>
            </w:r>
            <w:r>
              <w:t xml:space="preserve"> </w:t>
            </w:r>
            <w:r w:rsidRPr="00032F97">
              <w:t>mg/dL</w:t>
            </w:r>
          </w:p>
          <w:p w:rsidR="00853A74" w:rsidRPr="00032F97" w:rsidRDefault="00853A74" w:rsidP="00A125BF">
            <w:pPr>
              <w:pStyle w:val="TableText"/>
            </w:pPr>
            <w:r w:rsidRPr="00032F97">
              <w:t>IGT</w:t>
            </w:r>
            <w:r>
              <w:t>:</w:t>
            </w:r>
            <w:r w:rsidRPr="00032F97">
              <w:t xml:space="preserve"> 2</w:t>
            </w:r>
            <w:r>
              <w:t>-</w:t>
            </w:r>
            <w:r w:rsidRPr="00032F97">
              <w:t>hour postprandial glucose between 140 and 199</w:t>
            </w:r>
            <w:r w:rsidR="00F26D17">
              <w:t> </w:t>
            </w:r>
            <w:r w:rsidRPr="00032F97">
              <w:t>mg/dL (7.8</w:t>
            </w:r>
            <w:r>
              <w:t>–</w:t>
            </w:r>
            <w:r w:rsidRPr="00032F97">
              <w:t>11.0</w:t>
            </w:r>
            <w:r>
              <w:t xml:space="preserve"> </w:t>
            </w:r>
            <w:r w:rsidRPr="00032F97">
              <w:t>mmol/L)</w:t>
            </w:r>
          </w:p>
          <w:p w:rsidR="00853A74" w:rsidRPr="00032F97" w:rsidRDefault="00853A74" w:rsidP="00F26D17">
            <w:pPr>
              <w:pStyle w:val="TableText"/>
            </w:pPr>
            <w:r w:rsidRPr="00032F97">
              <w:t>IFG</w:t>
            </w:r>
            <w:r>
              <w:t>:</w:t>
            </w:r>
            <w:r w:rsidRPr="00032F97">
              <w:t xml:space="preserve"> FPG between 100 and 125</w:t>
            </w:r>
            <w:r>
              <w:t xml:space="preserve"> </w:t>
            </w:r>
            <w:r w:rsidRPr="00032F97">
              <w:t>mg/dL (5.5 and 6.9</w:t>
            </w:r>
            <w:r w:rsidR="00F26D17">
              <w:t> </w:t>
            </w:r>
            <w:r w:rsidRPr="00032F97">
              <w:t>mmol/L).</w:t>
            </w:r>
          </w:p>
        </w:tc>
        <w:tc>
          <w:tcPr>
            <w:tcW w:w="375" w:type="pct"/>
            <w:tcBorders>
              <w:top w:val="nil"/>
              <w:bottom w:val="nil"/>
            </w:tcBorders>
            <w:shd w:val="clear" w:color="auto" w:fill="F2F2F2" w:themeFill="background1" w:themeFillShade="F2"/>
          </w:tcPr>
          <w:p w:rsidR="00853A74" w:rsidRPr="00032F97" w:rsidRDefault="00853A74" w:rsidP="00F26D17">
            <w:pPr>
              <w:pStyle w:val="TableText"/>
              <w:jc w:val="center"/>
            </w:pPr>
            <w:r w:rsidRPr="00032F97">
              <w:t>LOW</w:t>
            </w:r>
          </w:p>
        </w:tc>
      </w:tr>
      <w:tr w:rsidR="00F26D17" w:rsidRPr="00E07B1B" w:rsidTr="00D1791E">
        <w:trPr>
          <w:cantSplit/>
        </w:trPr>
        <w:tc>
          <w:tcPr>
            <w:tcW w:w="647" w:type="pct"/>
            <w:tcBorders>
              <w:top w:val="nil"/>
              <w:bottom w:val="nil"/>
            </w:tcBorders>
            <w:shd w:val="clear" w:color="auto" w:fill="auto"/>
          </w:tcPr>
          <w:p w:rsidR="00853A74" w:rsidRPr="00032F97" w:rsidRDefault="00853A74" w:rsidP="00D1791E">
            <w:pPr>
              <w:pStyle w:val="TableText"/>
            </w:pPr>
            <w:r w:rsidRPr="00032F97">
              <w:t>Rivas</w:t>
            </w:r>
            <w:r w:rsidR="00D1791E">
              <w:br/>
            </w:r>
            <w:r>
              <w:t>(</w:t>
            </w:r>
            <w:r w:rsidRPr="00032F97">
              <w:t>2007</w:t>
            </w:r>
            <w:r>
              <w:t>)</w:t>
            </w:r>
          </w:p>
        </w:tc>
        <w:tc>
          <w:tcPr>
            <w:tcW w:w="361" w:type="pct"/>
            <w:tcBorders>
              <w:top w:val="nil"/>
              <w:bottom w:val="nil"/>
            </w:tcBorders>
            <w:shd w:val="clear" w:color="auto" w:fill="auto"/>
          </w:tcPr>
          <w:p w:rsidR="00853A74" w:rsidRPr="00032F97" w:rsidRDefault="00853A74" w:rsidP="00A125BF">
            <w:pPr>
              <w:pStyle w:val="TableText"/>
            </w:pPr>
            <w:r w:rsidRPr="00032F97">
              <w:t>Venezuela</w:t>
            </w:r>
          </w:p>
        </w:tc>
        <w:tc>
          <w:tcPr>
            <w:tcW w:w="576" w:type="pct"/>
            <w:tcBorders>
              <w:top w:val="nil"/>
              <w:bottom w:val="nil"/>
            </w:tcBorders>
            <w:shd w:val="clear" w:color="auto" w:fill="auto"/>
          </w:tcPr>
          <w:p w:rsidR="00853A74" w:rsidRPr="00032F97" w:rsidRDefault="00853A74" w:rsidP="00D1791E">
            <w:pPr>
              <w:pStyle w:val="TableText"/>
              <w:jc w:val="center"/>
            </w:pPr>
            <w:r w:rsidRPr="00032F97">
              <w:t>117</w:t>
            </w:r>
          </w:p>
        </w:tc>
        <w:tc>
          <w:tcPr>
            <w:tcW w:w="864" w:type="pct"/>
            <w:tcBorders>
              <w:top w:val="nil"/>
              <w:bottom w:val="nil"/>
            </w:tcBorders>
            <w:shd w:val="clear" w:color="auto" w:fill="auto"/>
          </w:tcPr>
          <w:p w:rsidR="00853A74" w:rsidRPr="00032F97" w:rsidRDefault="00853A74" w:rsidP="00A125BF">
            <w:pPr>
              <w:pStyle w:val="TableText"/>
            </w:pPr>
            <w:r w:rsidRPr="00032F97">
              <w:t>Diabetes 18.8%</w:t>
            </w:r>
          </w:p>
          <w:p w:rsidR="00853A74" w:rsidRDefault="00853A74" w:rsidP="00A125BF">
            <w:pPr>
              <w:pStyle w:val="TableText"/>
            </w:pPr>
            <w:r w:rsidRPr="00032F97">
              <w:t>IGT 15.38%</w:t>
            </w:r>
          </w:p>
          <w:p w:rsidR="00853A74" w:rsidRPr="00032F97" w:rsidRDefault="00D1791E" w:rsidP="00A125BF">
            <w:pPr>
              <w:pStyle w:val="TableText"/>
            </w:pPr>
            <w:r>
              <w:t>IFG 11.97%</w:t>
            </w:r>
          </w:p>
        </w:tc>
        <w:tc>
          <w:tcPr>
            <w:tcW w:w="576" w:type="pct"/>
            <w:tcBorders>
              <w:top w:val="nil"/>
              <w:bottom w:val="nil"/>
            </w:tcBorders>
            <w:shd w:val="clear" w:color="auto" w:fill="auto"/>
          </w:tcPr>
          <w:p w:rsidR="00853A74" w:rsidRPr="00032F97" w:rsidRDefault="00853A74" w:rsidP="00BB68CC">
            <w:pPr>
              <w:pStyle w:val="TableText"/>
              <w:jc w:val="center"/>
            </w:pPr>
            <w:r w:rsidRPr="00032F97">
              <w:t>2</w:t>
            </w:r>
            <w:r>
              <w:t>–</w:t>
            </w:r>
            <w:r w:rsidRPr="00032F97">
              <w:t>4 months</w:t>
            </w:r>
          </w:p>
        </w:tc>
        <w:tc>
          <w:tcPr>
            <w:tcW w:w="1601" w:type="pct"/>
            <w:tcBorders>
              <w:top w:val="nil"/>
              <w:bottom w:val="nil"/>
            </w:tcBorders>
            <w:shd w:val="clear" w:color="auto" w:fill="auto"/>
          </w:tcPr>
          <w:p w:rsidR="00853A74" w:rsidRDefault="00853A74" w:rsidP="00A125BF">
            <w:pPr>
              <w:pStyle w:val="TableText"/>
            </w:pPr>
            <w:r w:rsidRPr="00032F97">
              <w:t>75</w:t>
            </w:r>
            <w:r>
              <w:t xml:space="preserve"> </w:t>
            </w:r>
            <w:r w:rsidRPr="00032F97">
              <w:t>g OGTT</w:t>
            </w:r>
          </w:p>
          <w:p w:rsidR="00853A74" w:rsidRPr="00032F97" w:rsidRDefault="00853A74" w:rsidP="00A125BF">
            <w:pPr>
              <w:pStyle w:val="TableText"/>
            </w:pPr>
            <w:r w:rsidRPr="00032F97">
              <w:t>Diabetes</w:t>
            </w:r>
            <w:r>
              <w:t>:</w:t>
            </w:r>
            <w:r w:rsidRPr="00032F97">
              <w:t xml:space="preserve"> FPG ≥</w:t>
            </w:r>
            <w:r>
              <w:t xml:space="preserve"> </w:t>
            </w:r>
            <w:r w:rsidRPr="00032F97">
              <w:t>126</w:t>
            </w:r>
            <w:r>
              <w:t xml:space="preserve"> </w:t>
            </w:r>
            <w:r w:rsidRPr="00032F97">
              <w:t>mg/dL</w:t>
            </w:r>
          </w:p>
          <w:p w:rsidR="00853A74" w:rsidRPr="00032F97" w:rsidRDefault="00853A74" w:rsidP="00A125BF">
            <w:pPr>
              <w:pStyle w:val="TableText"/>
            </w:pPr>
            <w:r w:rsidRPr="00032F97">
              <w:t>IGT</w:t>
            </w:r>
            <w:r>
              <w:t>:</w:t>
            </w:r>
            <w:r w:rsidRPr="00032F97">
              <w:t xml:space="preserve"> 2</w:t>
            </w:r>
            <w:r>
              <w:t>-</w:t>
            </w:r>
            <w:r w:rsidRPr="00032F97">
              <w:t xml:space="preserve">hour postprandial glucose between 140 and 199 mg/dL (7.8 </w:t>
            </w:r>
            <w:r>
              <w:t>and</w:t>
            </w:r>
            <w:r w:rsidRPr="00032F97">
              <w:t xml:space="preserve"> 11.0</w:t>
            </w:r>
            <w:r>
              <w:t xml:space="preserve"> </w:t>
            </w:r>
            <w:r w:rsidRPr="00032F97">
              <w:t>mmol/L)</w:t>
            </w:r>
          </w:p>
          <w:p w:rsidR="00853A74" w:rsidRPr="00032F97" w:rsidRDefault="00853A74" w:rsidP="00D1791E">
            <w:pPr>
              <w:pStyle w:val="TableText"/>
            </w:pPr>
            <w:r w:rsidRPr="00032F97">
              <w:t>IFG</w:t>
            </w:r>
            <w:r>
              <w:t>:</w:t>
            </w:r>
            <w:r w:rsidRPr="00032F97">
              <w:t xml:space="preserve"> FPG between 100 and 125</w:t>
            </w:r>
            <w:r>
              <w:t xml:space="preserve"> </w:t>
            </w:r>
            <w:r w:rsidRPr="00032F97">
              <w:t>mg/dL (5.5 and 6.9</w:t>
            </w:r>
            <w:r w:rsidR="00D1791E">
              <w:t> </w:t>
            </w:r>
            <w:r w:rsidRPr="00032F97">
              <w:t>mmol/L)</w:t>
            </w:r>
          </w:p>
        </w:tc>
        <w:tc>
          <w:tcPr>
            <w:tcW w:w="375" w:type="pct"/>
            <w:tcBorders>
              <w:top w:val="nil"/>
              <w:bottom w:val="nil"/>
            </w:tcBorders>
            <w:shd w:val="clear" w:color="auto" w:fill="auto"/>
          </w:tcPr>
          <w:p w:rsidR="00853A74" w:rsidRPr="00032F97" w:rsidRDefault="00853A74" w:rsidP="00F26D17">
            <w:pPr>
              <w:pStyle w:val="TableText"/>
              <w:jc w:val="center"/>
            </w:pPr>
            <w:r w:rsidRPr="00032F97">
              <w:t>LOW</w:t>
            </w:r>
          </w:p>
        </w:tc>
      </w:tr>
      <w:tr w:rsidR="00F26D17" w:rsidRPr="00E07B1B" w:rsidTr="00D1791E">
        <w:trPr>
          <w:cantSplit/>
        </w:trPr>
        <w:tc>
          <w:tcPr>
            <w:tcW w:w="647" w:type="pct"/>
            <w:tcBorders>
              <w:top w:val="nil"/>
              <w:bottom w:val="nil"/>
            </w:tcBorders>
            <w:shd w:val="clear" w:color="auto" w:fill="F2F2F2" w:themeFill="background1" w:themeFillShade="F2"/>
          </w:tcPr>
          <w:p w:rsidR="00853A74" w:rsidRPr="00032F97" w:rsidRDefault="00853A74" w:rsidP="00D1791E">
            <w:pPr>
              <w:pStyle w:val="TableText"/>
            </w:pPr>
            <w:r w:rsidRPr="00032F97">
              <w:t>Lawrence</w:t>
            </w:r>
            <w:r w:rsidR="00D1791E">
              <w:br/>
            </w:r>
            <w:r>
              <w:t>(</w:t>
            </w:r>
            <w:r w:rsidRPr="00032F97">
              <w:t>2010</w:t>
            </w:r>
            <w:r>
              <w:t>)</w:t>
            </w:r>
          </w:p>
        </w:tc>
        <w:tc>
          <w:tcPr>
            <w:tcW w:w="361" w:type="pct"/>
            <w:tcBorders>
              <w:top w:val="nil"/>
              <w:bottom w:val="nil"/>
            </w:tcBorders>
            <w:shd w:val="clear" w:color="auto" w:fill="F2F2F2" w:themeFill="background1" w:themeFillShade="F2"/>
          </w:tcPr>
          <w:p w:rsidR="00853A74" w:rsidRPr="00032F97" w:rsidRDefault="00853A74" w:rsidP="00A125BF">
            <w:pPr>
              <w:pStyle w:val="TableText"/>
            </w:pPr>
            <w:r w:rsidRPr="00032F97">
              <w:t>USA</w:t>
            </w:r>
          </w:p>
        </w:tc>
        <w:tc>
          <w:tcPr>
            <w:tcW w:w="576" w:type="pct"/>
            <w:tcBorders>
              <w:top w:val="nil"/>
              <w:bottom w:val="nil"/>
            </w:tcBorders>
            <w:shd w:val="clear" w:color="auto" w:fill="F2F2F2" w:themeFill="background1" w:themeFillShade="F2"/>
          </w:tcPr>
          <w:p w:rsidR="00853A74" w:rsidRPr="00032F97" w:rsidRDefault="00853A74" w:rsidP="00D1791E">
            <w:pPr>
              <w:pStyle w:val="TableText"/>
              <w:jc w:val="center"/>
            </w:pPr>
            <w:r w:rsidRPr="00032F97">
              <w:t>5939</w:t>
            </w:r>
          </w:p>
        </w:tc>
        <w:tc>
          <w:tcPr>
            <w:tcW w:w="864" w:type="pct"/>
            <w:tcBorders>
              <w:top w:val="nil"/>
              <w:bottom w:val="nil"/>
            </w:tcBorders>
            <w:shd w:val="clear" w:color="auto" w:fill="F2F2F2" w:themeFill="background1" w:themeFillShade="F2"/>
          </w:tcPr>
          <w:p w:rsidR="00853A74" w:rsidRPr="00032F97" w:rsidRDefault="00853A74" w:rsidP="00A125BF">
            <w:pPr>
              <w:pStyle w:val="TableText"/>
            </w:pPr>
            <w:r w:rsidRPr="00032F97">
              <w:t>Diabetes 1.1%</w:t>
            </w:r>
          </w:p>
          <w:p w:rsidR="00853A74" w:rsidRPr="00032F97" w:rsidRDefault="00853A74" w:rsidP="00A125BF">
            <w:pPr>
              <w:pStyle w:val="TableText"/>
            </w:pPr>
            <w:r w:rsidRPr="00032F97">
              <w:t>IFG/IGT 16.3%</w:t>
            </w:r>
          </w:p>
        </w:tc>
        <w:tc>
          <w:tcPr>
            <w:tcW w:w="576" w:type="pct"/>
            <w:tcBorders>
              <w:top w:val="nil"/>
              <w:bottom w:val="nil"/>
            </w:tcBorders>
            <w:shd w:val="clear" w:color="auto" w:fill="F2F2F2" w:themeFill="background1" w:themeFillShade="F2"/>
          </w:tcPr>
          <w:p w:rsidR="00853A74" w:rsidRPr="00032F97" w:rsidRDefault="00853A74" w:rsidP="00BB68CC">
            <w:pPr>
              <w:pStyle w:val="TableText"/>
              <w:jc w:val="center"/>
            </w:pPr>
            <w:r w:rsidRPr="00032F97">
              <w:t>6 months</w:t>
            </w:r>
          </w:p>
        </w:tc>
        <w:tc>
          <w:tcPr>
            <w:tcW w:w="1601" w:type="pct"/>
            <w:tcBorders>
              <w:top w:val="nil"/>
              <w:bottom w:val="nil"/>
            </w:tcBorders>
            <w:shd w:val="clear" w:color="auto" w:fill="F2F2F2" w:themeFill="background1" w:themeFillShade="F2"/>
          </w:tcPr>
          <w:p w:rsidR="00853A74" w:rsidRPr="00032F97" w:rsidRDefault="00853A74" w:rsidP="00A125BF">
            <w:pPr>
              <w:pStyle w:val="TableText"/>
            </w:pPr>
            <w:r w:rsidRPr="00032F97">
              <w:t>Diabetes</w:t>
            </w:r>
            <w:r>
              <w:t>:</w:t>
            </w:r>
            <w:r w:rsidRPr="00032F97">
              <w:t xml:space="preserve"> FPG ≥</w:t>
            </w:r>
            <w:r>
              <w:t xml:space="preserve"> </w:t>
            </w:r>
            <w:r w:rsidRPr="00032F97">
              <w:t>126</w:t>
            </w:r>
            <w:r>
              <w:t xml:space="preserve"> </w:t>
            </w:r>
            <w:r w:rsidRPr="00032F97">
              <w:t>mg/dL, 2</w:t>
            </w:r>
            <w:r>
              <w:t>-</w:t>
            </w:r>
            <w:r w:rsidRPr="00032F97">
              <w:t>hour plasma glucose ≥</w:t>
            </w:r>
            <w:r>
              <w:t xml:space="preserve"> </w:t>
            </w:r>
            <w:r w:rsidRPr="00032F97">
              <w:t>200</w:t>
            </w:r>
            <w:r>
              <w:t xml:space="preserve"> </w:t>
            </w:r>
            <w:r w:rsidRPr="00032F97">
              <w:t>mg/dL</w:t>
            </w:r>
          </w:p>
          <w:p w:rsidR="00853A74" w:rsidRPr="00032F97" w:rsidRDefault="00853A74" w:rsidP="00A125BF">
            <w:pPr>
              <w:pStyle w:val="TableText"/>
            </w:pPr>
            <w:r w:rsidRPr="00032F97">
              <w:t>IGT</w:t>
            </w:r>
            <w:r>
              <w:t>:</w:t>
            </w:r>
            <w:r w:rsidRPr="00032F97">
              <w:t xml:space="preserve"> 2</w:t>
            </w:r>
            <w:r>
              <w:t>-</w:t>
            </w:r>
            <w:r w:rsidRPr="00032F97">
              <w:t>hour plasma glucose 140</w:t>
            </w:r>
            <w:r>
              <w:t>–</w:t>
            </w:r>
            <w:r w:rsidRPr="00032F97">
              <w:t>199</w:t>
            </w:r>
            <w:r>
              <w:t xml:space="preserve"> </w:t>
            </w:r>
            <w:r w:rsidRPr="00032F97">
              <w:t>mg/dL</w:t>
            </w:r>
          </w:p>
          <w:p w:rsidR="00853A74" w:rsidRPr="00032F97" w:rsidRDefault="00853A74" w:rsidP="00A125BF">
            <w:pPr>
              <w:pStyle w:val="TableText"/>
            </w:pPr>
            <w:r w:rsidRPr="00032F97">
              <w:t>IFG</w:t>
            </w:r>
            <w:r>
              <w:t>:</w:t>
            </w:r>
            <w:r w:rsidRPr="00032F97">
              <w:t xml:space="preserve"> FPG 100</w:t>
            </w:r>
            <w:r>
              <w:t>–</w:t>
            </w:r>
            <w:r w:rsidRPr="00032F97">
              <w:t>125 mg/dL</w:t>
            </w:r>
          </w:p>
        </w:tc>
        <w:tc>
          <w:tcPr>
            <w:tcW w:w="375" w:type="pct"/>
            <w:tcBorders>
              <w:top w:val="nil"/>
              <w:bottom w:val="nil"/>
            </w:tcBorders>
            <w:shd w:val="clear" w:color="auto" w:fill="F2F2F2" w:themeFill="background1" w:themeFillShade="F2"/>
          </w:tcPr>
          <w:p w:rsidR="00853A74" w:rsidRPr="00032F97" w:rsidRDefault="00853A74" w:rsidP="00F26D17">
            <w:pPr>
              <w:pStyle w:val="TableText"/>
              <w:jc w:val="center"/>
            </w:pPr>
            <w:r w:rsidRPr="00032F97">
              <w:t>MEDIUM</w:t>
            </w:r>
          </w:p>
        </w:tc>
      </w:tr>
      <w:tr w:rsidR="00F26D17" w:rsidRPr="00E07B1B" w:rsidTr="00D1791E">
        <w:trPr>
          <w:cantSplit/>
        </w:trPr>
        <w:tc>
          <w:tcPr>
            <w:tcW w:w="647" w:type="pct"/>
            <w:tcBorders>
              <w:top w:val="nil"/>
              <w:bottom w:val="nil"/>
            </w:tcBorders>
            <w:shd w:val="clear" w:color="auto" w:fill="auto"/>
          </w:tcPr>
          <w:p w:rsidR="00853A74" w:rsidRPr="00032F97" w:rsidRDefault="00853A74" w:rsidP="00D1791E">
            <w:pPr>
              <w:pStyle w:val="TableText"/>
            </w:pPr>
            <w:r w:rsidRPr="00032F97">
              <w:t>Retnakaran</w:t>
            </w:r>
            <w:r w:rsidR="00D1791E">
              <w:br/>
            </w:r>
            <w:r>
              <w:t>(</w:t>
            </w:r>
            <w:r w:rsidRPr="00032F97">
              <w:t>2010</w:t>
            </w:r>
            <w:r>
              <w:t>)</w:t>
            </w:r>
          </w:p>
        </w:tc>
        <w:tc>
          <w:tcPr>
            <w:tcW w:w="361" w:type="pct"/>
            <w:tcBorders>
              <w:top w:val="nil"/>
              <w:bottom w:val="nil"/>
            </w:tcBorders>
            <w:shd w:val="clear" w:color="auto" w:fill="auto"/>
          </w:tcPr>
          <w:p w:rsidR="00853A74" w:rsidRPr="00032F97" w:rsidRDefault="00853A74" w:rsidP="00A125BF">
            <w:pPr>
              <w:pStyle w:val="TableText"/>
            </w:pPr>
            <w:r w:rsidRPr="00032F97">
              <w:t>Canada</w:t>
            </w:r>
          </w:p>
        </w:tc>
        <w:tc>
          <w:tcPr>
            <w:tcW w:w="576" w:type="pct"/>
            <w:tcBorders>
              <w:top w:val="nil"/>
              <w:bottom w:val="nil"/>
            </w:tcBorders>
            <w:shd w:val="clear" w:color="auto" w:fill="auto"/>
          </w:tcPr>
          <w:p w:rsidR="00853A74" w:rsidRPr="00032F97" w:rsidRDefault="00853A74" w:rsidP="00D1791E">
            <w:pPr>
              <w:pStyle w:val="TableText"/>
              <w:jc w:val="center"/>
            </w:pPr>
            <w:r w:rsidRPr="00032F97">
              <w:t>325/392 with normal glucose tolerance at 3</w:t>
            </w:r>
            <w:r w:rsidR="00D1791E">
              <w:t> </w:t>
            </w:r>
            <w:r w:rsidRPr="00032F97">
              <w:t>months postpartum</w:t>
            </w:r>
          </w:p>
        </w:tc>
        <w:tc>
          <w:tcPr>
            <w:tcW w:w="864" w:type="pct"/>
            <w:tcBorders>
              <w:top w:val="nil"/>
              <w:bottom w:val="nil"/>
            </w:tcBorders>
            <w:shd w:val="clear" w:color="auto" w:fill="auto"/>
          </w:tcPr>
          <w:p w:rsidR="00853A74" w:rsidRPr="00032F97" w:rsidRDefault="00853A74" w:rsidP="00A125BF">
            <w:pPr>
              <w:pStyle w:val="TableText"/>
            </w:pPr>
            <w:r w:rsidRPr="00032F97">
              <w:t>10% had progressed at one year to abnormal glucose tolerance.</w:t>
            </w:r>
          </w:p>
          <w:p w:rsidR="00853A74" w:rsidRPr="00032F97" w:rsidRDefault="00853A74" w:rsidP="00A125BF">
            <w:pPr>
              <w:pStyle w:val="TableText"/>
            </w:pPr>
            <w:r w:rsidRPr="00032F97">
              <w:t>Diabetes 3%</w:t>
            </w:r>
          </w:p>
          <w:p w:rsidR="00853A74" w:rsidRDefault="00853A74" w:rsidP="00A125BF">
            <w:pPr>
              <w:pStyle w:val="TableText"/>
            </w:pPr>
            <w:r w:rsidRPr="00032F97">
              <w:t>IFG 3%</w:t>
            </w:r>
          </w:p>
          <w:p w:rsidR="00853A74" w:rsidRPr="00032F97" w:rsidRDefault="00853A74" w:rsidP="00D1791E">
            <w:pPr>
              <w:pStyle w:val="TableText"/>
            </w:pPr>
            <w:r>
              <w:t>T</w:t>
            </w:r>
            <w:r w:rsidRPr="00032F97">
              <w:t>he remainder for IGT</w:t>
            </w:r>
          </w:p>
        </w:tc>
        <w:tc>
          <w:tcPr>
            <w:tcW w:w="576" w:type="pct"/>
            <w:tcBorders>
              <w:top w:val="nil"/>
              <w:bottom w:val="nil"/>
            </w:tcBorders>
            <w:shd w:val="clear" w:color="auto" w:fill="auto"/>
          </w:tcPr>
          <w:p w:rsidR="00853A74" w:rsidRPr="00032F97" w:rsidRDefault="00853A74" w:rsidP="00BB68CC">
            <w:pPr>
              <w:pStyle w:val="TableText"/>
              <w:jc w:val="center"/>
            </w:pPr>
            <w:r w:rsidRPr="00032F97">
              <w:t>1 year</w:t>
            </w:r>
          </w:p>
        </w:tc>
        <w:tc>
          <w:tcPr>
            <w:tcW w:w="1601" w:type="pct"/>
            <w:tcBorders>
              <w:top w:val="nil"/>
              <w:bottom w:val="nil"/>
            </w:tcBorders>
            <w:shd w:val="clear" w:color="auto" w:fill="auto"/>
          </w:tcPr>
          <w:p w:rsidR="00853A74" w:rsidRPr="00032F97" w:rsidRDefault="00853A74" w:rsidP="00A125BF">
            <w:pPr>
              <w:pStyle w:val="TableText"/>
            </w:pPr>
            <w:r w:rsidRPr="00032F97">
              <w:t>2</w:t>
            </w:r>
            <w:r>
              <w:t>-</w:t>
            </w:r>
            <w:r w:rsidRPr="00032F97">
              <w:t>hour OGTT (75</w:t>
            </w:r>
            <w:r>
              <w:t xml:space="preserve"> </w:t>
            </w:r>
            <w:r w:rsidRPr="00032F97">
              <w:t>g)</w:t>
            </w:r>
          </w:p>
          <w:p w:rsidR="00853A74" w:rsidRPr="00032F97" w:rsidRDefault="00853A74" w:rsidP="00A125BF">
            <w:pPr>
              <w:pStyle w:val="TableText"/>
            </w:pPr>
            <w:r w:rsidRPr="00032F97">
              <w:t>Diabetes</w:t>
            </w:r>
            <w:r>
              <w:t>:</w:t>
            </w:r>
            <w:r w:rsidRPr="00032F97">
              <w:t xml:space="preserve"> FPG ≥</w:t>
            </w:r>
            <w:r>
              <w:t xml:space="preserve"> </w:t>
            </w:r>
            <w:r w:rsidRPr="00032F97">
              <w:t>7.0</w:t>
            </w:r>
            <w:r>
              <w:t xml:space="preserve"> </w:t>
            </w:r>
            <w:r w:rsidRPr="00032F97">
              <w:t>mmol/L or 2</w:t>
            </w:r>
            <w:r>
              <w:t>-</w:t>
            </w:r>
            <w:r w:rsidRPr="00032F97">
              <w:t>hour ≥</w:t>
            </w:r>
            <w:r>
              <w:t> </w:t>
            </w:r>
            <w:r w:rsidRPr="00032F97">
              <w:t>11.1</w:t>
            </w:r>
            <w:r>
              <w:t> </w:t>
            </w:r>
            <w:r w:rsidRPr="00032F97">
              <w:t>mmol/L</w:t>
            </w:r>
          </w:p>
          <w:p w:rsidR="00853A74" w:rsidRPr="00032F97" w:rsidRDefault="00853A74" w:rsidP="00A125BF">
            <w:pPr>
              <w:pStyle w:val="TableText"/>
            </w:pPr>
            <w:r w:rsidRPr="00032F97">
              <w:t>IGT</w:t>
            </w:r>
            <w:r>
              <w:t>:</w:t>
            </w:r>
            <w:r w:rsidRPr="00032F97">
              <w:t xml:space="preserve"> fasting glucose &lt;</w:t>
            </w:r>
            <w:r>
              <w:t xml:space="preserve"> </w:t>
            </w:r>
            <w:r w:rsidRPr="00032F97">
              <w:t>6.1</w:t>
            </w:r>
            <w:r>
              <w:t xml:space="preserve"> </w:t>
            </w:r>
            <w:r w:rsidRPr="00032F97">
              <w:t>mmol/L and 2</w:t>
            </w:r>
            <w:r>
              <w:t>-</w:t>
            </w:r>
            <w:r w:rsidRPr="00032F97">
              <w:t>hour between 7.8 and 11.0</w:t>
            </w:r>
            <w:r>
              <w:t xml:space="preserve"> </w:t>
            </w:r>
            <w:r w:rsidRPr="00032F97">
              <w:t>mmol/L</w:t>
            </w:r>
          </w:p>
          <w:p w:rsidR="00853A74" w:rsidRPr="00032F97" w:rsidRDefault="00853A74" w:rsidP="00A125BF">
            <w:pPr>
              <w:pStyle w:val="TableText"/>
            </w:pPr>
            <w:r w:rsidRPr="00032F97">
              <w:t>IFG</w:t>
            </w:r>
            <w:r>
              <w:t>:</w:t>
            </w:r>
            <w:r w:rsidRPr="00032F97">
              <w:t xml:space="preserve"> fasting glucose between 6.1 and 6.9 mmol/L with 2</w:t>
            </w:r>
            <w:r>
              <w:t>-</w:t>
            </w:r>
            <w:r w:rsidRPr="00032F97">
              <w:t>hour &lt;</w:t>
            </w:r>
            <w:r>
              <w:t xml:space="preserve"> </w:t>
            </w:r>
            <w:r w:rsidRPr="00032F97">
              <w:t>7.8mmol/L</w:t>
            </w:r>
          </w:p>
        </w:tc>
        <w:tc>
          <w:tcPr>
            <w:tcW w:w="375" w:type="pct"/>
            <w:tcBorders>
              <w:top w:val="nil"/>
              <w:bottom w:val="nil"/>
            </w:tcBorders>
            <w:shd w:val="clear" w:color="auto" w:fill="auto"/>
          </w:tcPr>
          <w:p w:rsidR="00853A74" w:rsidRPr="00032F97" w:rsidRDefault="00853A74" w:rsidP="00F26D17">
            <w:pPr>
              <w:pStyle w:val="TableText"/>
              <w:jc w:val="center"/>
            </w:pPr>
            <w:r w:rsidRPr="00032F97">
              <w:t>MEDIUM</w:t>
            </w:r>
          </w:p>
        </w:tc>
      </w:tr>
      <w:tr w:rsidR="00F26D17" w:rsidRPr="00E07B1B" w:rsidTr="00D1791E">
        <w:trPr>
          <w:cantSplit/>
        </w:trPr>
        <w:tc>
          <w:tcPr>
            <w:tcW w:w="647" w:type="pct"/>
            <w:tcBorders>
              <w:top w:val="nil"/>
              <w:bottom w:val="nil"/>
            </w:tcBorders>
            <w:shd w:val="clear" w:color="auto" w:fill="F2F2F2" w:themeFill="background1" w:themeFillShade="F2"/>
          </w:tcPr>
          <w:p w:rsidR="00853A74" w:rsidRPr="00032F97" w:rsidRDefault="00853A74" w:rsidP="00D1791E">
            <w:pPr>
              <w:pStyle w:val="TableText"/>
            </w:pPr>
            <w:r w:rsidRPr="00032F97">
              <w:t>Madarasz</w:t>
            </w:r>
            <w:r w:rsidR="00D1791E">
              <w:br/>
            </w:r>
            <w:r>
              <w:t>(</w:t>
            </w:r>
            <w:r w:rsidRPr="00032F97">
              <w:t>2009</w:t>
            </w:r>
            <w:r>
              <w:t>)</w:t>
            </w:r>
          </w:p>
        </w:tc>
        <w:tc>
          <w:tcPr>
            <w:tcW w:w="361" w:type="pct"/>
            <w:tcBorders>
              <w:top w:val="nil"/>
              <w:bottom w:val="nil"/>
            </w:tcBorders>
            <w:shd w:val="clear" w:color="auto" w:fill="F2F2F2" w:themeFill="background1" w:themeFillShade="F2"/>
          </w:tcPr>
          <w:p w:rsidR="00853A74" w:rsidRPr="00032F97" w:rsidRDefault="00853A74" w:rsidP="00A125BF">
            <w:pPr>
              <w:pStyle w:val="TableText"/>
            </w:pPr>
            <w:r w:rsidRPr="00032F97">
              <w:t>Hungary</w:t>
            </w:r>
          </w:p>
        </w:tc>
        <w:tc>
          <w:tcPr>
            <w:tcW w:w="576" w:type="pct"/>
            <w:tcBorders>
              <w:top w:val="nil"/>
              <w:bottom w:val="nil"/>
            </w:tcBorders>
            <w:shd w:val="clear" w:color="auto" w:fill="F2F2F2" w:themeFill="background1" w:themeFillShade="F2"/>
          </w:tcPr>
          <w:p w:rsidR="00853A74" w:rsidRPr="00032F97" w:rsidRDefault="00853A74" w:rsidP="00D1791E">
            <w:pPr>
              <w:pStyle w:val="TableText"/>
              <w:jc w:val="center"/>
            </w:pPr>
            <w:r w:rsidRPr="00032F97">
              <w:t>68 cases</w:t>
            </w:r>
          </w:p>
          <w:p w:rsidR="00853A74" w:rsidRPr="00032F97" w:rsidRDefault="00853A74" w:rsidP="00D1791E">
            <w:pPr>
              <w:pStyle w:val="TableText"/>
              <w:jc w:val="center"/>
            </w:pPr>
            <w:r w:rsidRPr="00032F97">
              <w:t>39 controls</w:t>
            </w:r>
          </w:p>
        </w:tc>
        <w:tc>
          <w:tcPr>
            <w:tcW w:w="864" w:type="pct"/>
            <w:tcBorders>
              <w:top w:val="nil"/>
              <w:bottom w:val="nil"/>
            </w:tcBorders>
            <w:shd w:val="clear" w:color="auto" w:fill="F2F2F2" w:themeFill="background1" w:themeFillShade="F2"/>
          </w:tcPr>
          <w:p w:rsidR="00853A74" w:rsidRPr="00032F97" w:rsidRDefault="00853A74" w:rsidP="00A125BF">
            <w:pPr>
              <w:pStyle w:val="TableText"/>
            </w:pPr>
            <w:r w:rsidRPr="00032F97">
              <w:t>Diabetes</w:t>
            </w:r>
            <w:r>
              <w:t>:</w:t>
            </w:r>
            <w:r w:rsidRPr="00032F97">
              <w:t xml:space="preserve"> 21% in cases and 0% in controls</w:t>
            </w:r>
          </w:p>
          <w:p w:rsidR="00853A74" w:rsidRPr="00032F97" w:rsidRDefault="00853A74" w:rsidP="00A125BF">
            <w:pPr>
              <w:pStyle w:val="TableText"/>
            </w:pPr>
            <w:r w:rsidRPr="00032F97">
              <w:t>IGT</w:t>
            </w:r>
            <w:r>
              <w:t>:</w:t>
            </w:r>
            <w:r w:rsidRPr="00032F97">
              <w:t xml:space="preserve"> 16% in cases and 16% in controls</w:t>
            </w:r>
          </w:p>
          <w:p w:rsidR="00853A74" w:rsidRPr="00032F97" w:rsidRDefault="00853A74" w:rsidP="00A125BF">
            <w:pPr>
              <w:pStyle w:val="TableText"/>
            </w:pPr>
            <w:r w:rsidRPr="00032F97">
              <w:t>IFG</w:t>
            </w:r>
            <w:r>
              <w:t>:</w:t>
            </w:r>
            <w:r w:rsidRPr="00032F97">
              <w:t xml:space="preserve"> 6% in cases and 0% in controls</w:t>
            </w:r>
          </w:p>
        </w:tc>
        <w:tc>
          <w:tcPr>
            <w:tcW w:w="576" w:type="pct"/>
            <w:tcBorders>
              <w:top w:val="nil"/>
              <w:bottom w:val="nil"/>
            </w:tcBorders>
            <w:shd w:val="clear" w:color="auto" w:fill="F2F2F2" w:themeFill="background1" w:themeFillShade="F2"/>
          </w:tcPr>
          <w:p w:rsidR="00853A74" w:rsidRPr="00032F97" w:rsidRDefault="00853A74" w:rsidP="00BB68CC">
            <w:pPr>
              <w:pStyle w:val="TableText"/>
              <w:jc w:val="center"/>
            </w:pPr>
            <w:r w:rsidRPr="00032F97">
              <w:t>4 years</w:t>
            </w:r>
          </w:p>
        </w:tc>
        <w:tc>
          <w:tcPr>
            <w:tcW w:w="1601" w:type="pct"/>
            <w:tcBorders>
              <w:top w:val="nil"/>
              <w:bottom w:val="nil"/>
            </w:tcBorders>
            <w:shd w:val="clear" w:color="auto" w:fill="F2F2F2" w:themeFill="background1" w:themeFillShade="F2"/>
          </w:tcPr>
          <w:p w:rsidR="00853A74" w:rsidRPr="00032F97" w:rsidRDefault="00853A74" w:rsidP="00A125BF">
            <w:pPr>
              <w:pStyle w:val="TableText"/>
            </w:pPr>
            <w:r w:rsidRPr="00032F97">
              <w:t>Diabetes</w:t>
            </w:r>
            <w:r>
              <w:t>:</w:t>
            </w:r>
            <w:r w:rsidRPr="00032F97">
              <w:t xml:space="preserve"> FPG ≥</w:t>
            </w:r>
            <w:r>
              <w:t xml:space="preserve"> </w:t>
            </w:r>
            <w:r w:rsidRPr="00032F97">
              <w:t>7.0</w:t>
            </w:r>
            <w:r>
              <w:t xml:space="preserve"> </w:t>
            </w:r>
            <w:r w:rsidRPr="00032F97">
              <w:t>mmol/L or 2</w:t>
            </w:r>
            <w:r>
              <w:t>-</w:t>
            </w:r>
            <w:r w:rsidRPr="00032F97">
              <w:t>hour post-load glucose ≥</w:t>
            </w:r>
            <w:r>
              <w:t xml:space="preserve"> </w:t>
            </w:r>
            <w:r w:rsidRPr="00032F97">
              <w:t>11.0</w:t>
            </w:r>
            <w:r>
              <w:t xml:space="preserve"> </w:t>
            </w:r>
            <w:r w:rsidRPr="00032F97">
              <w:t>mmol/L or reported doctor diagnosis or use of diabetic medication</w:t>
            </w:r>
          </w:p>
          <w:p w:rsidR="00853A74" w:rsidRPr="00032F97" w:rsidRDefault="00853A74" w:rsidP="00A125BF">
            <w:pPr>
              <w:pStyle w:val="TableText"/>
            </w:pPr>
            <w:r w:rsidRPr="00032F97">
              <w:t>IGT</w:t>
            </w:r>
            <w:r>
              <w:t>:</w:t>
            </w:r>
            <w:r w:rsidRPr="00032F97">
              <w:t xml:space="preserve"> fasting glucose &lt;</w:t>
            </w:r>
            <w:r>
              <w:t xml:space="preserve"> </w:t>
            </w:r>
            <w:r w:rsidRPr="00032F97">
              <w:t>7.0</w:t>
            </w:r>
            <w:r>
              <w:t xml:space="preserve"> </w:t>
            </w:r>
            <w:r w:rsidRPr="00032F97">
              <w:t>mmol/L and 2</w:t>
            </w:r>
            <w:r>
              <w:t>-</w:t>
            </w:r>
            <w:r w:rsidRPr="00032F97">
              <w:t>hour between 7.8 and 11.0</w:t>
            </w:r>
            <w:r>
              <w:t xml:space="preserve"> </w:t>
            </w:r>
            <w:r w:rsidRPr="00032F97">
              <w:t>mmol/L</w:t>
            </w:r>
          </w:p>
          <w:p w:rsidR="00853A74" w:rsidRPr="00032F97" w:rsidRDefault="00853A74" w:rsidP="00A125BF">
            <w:pPr>
              <w:pStyle w:val="TableText"/>
            </w:pPr>
            <w:r w:rsidRPr="00032F97">
              <w:t>IFG</w:t>
            </w:r>
            <w:r>
              <w:t>:</w:t>
            </w:r>
            <w:r w:rsidRPr="00032F97">
              <w:t xml:space="preserve"> FPG between 6.1 </w:t>
            </w:r>
            <w:r>
              <w:t>and</w:t>
            </w:r>
            <w:r w:rsidRPr="00032F97">
              <w:t xml:space="preserve"> 6.9</w:t>
            </w:r>
            <w:r>
              <w:t xml:space="preserve"> </w:t>
            </w:r>
            <w:r w:rsidRPr="00032F97">
              <w:t>mmol/L</w:t>
            </w:r>
          </w:p>
        </w:tc>
        <w:tc>
          <w:tcPr>
            <w:tcW w:w="375" w:type="pct"/>
            <w:tcBorders>
              <w:top w:val="nil"/>
              <w:bottom w:val="nil"/>
            </w:tcBorders>
            <w:shd w:val="clear" w:color="auto" w:fill="F2F2F2" w:themeFill="background1" w:themeFillShade="F2"/>
          </w:tcPr>
          <w:p w:rsidR="00853A74" w:rsidRPr="00032F97" w:rsidRDefault="00853A74" w:rsidP="00F26D17">
            <w:pPr>
              <w:pStyle w:val="TableText"/>
              <w:jc w:val="center"/>
            </w:pPr>
            <w:r w:rsidRPr="00032F97">
              <w:t>LOW</w:t>
            </w:r>
          </w:p>
        </w:tc>
      </w:tr>
      <w:tr w:rsidR="00F26D17" w:rsidRPr="00E07B1B" w:rsidTr="007D1572">
        <w:trPr>
          <w:cantSplit/>
        </w:trPr>
        <w:tc>
          <w:tcPr>
            <w:tcW w:w="647" w:type="pct"/>
            <w:tcBorders>
              <w:top w:val="nil"/>
              <w:bottom w:val="nil"/>
            </w:tcBorders>
            <w:shd w:val="clear" w:color="auto" w:fill="auto"/>
          </w:tcPr>
          <w:p w:rsidR="00853A74" w:rsidRPr="00032F97" w:rsidRDefault="00853A74" w:rsidP="00D1791E">
            <w:pPr>
              <w:pStyle w:val="TableText"/>
            </w:pPr>
            <w:r w:rsidRPr="00032F97">
              <w:t>Lee</w:t>
            </w:r>
            <w:r w:rsidR="00D1791E">
              <w:br/>
            </w:r>
            <w:r>
              <w:t>(</w:t>
            </w:r>
            <w:r w:rsidRPr="00032F97">
              <w:t>2011</w:t>
            </w:r>
            <w:r>
              <w:t>)</w:t>
            </w:r>
          </w:p>
        </w:tc>
        <w:tc>
          <w:tcPr>
            <w:tcW w:w="361" w:type="pct"/>
            <w:tcBorders>
              <w:top w:val="nil"/>
              <w:bottom w:val="nil"/>
            </w:tcBorders>
            <w:shd w:val="clear" w:color="auto" w:fill="auto"/>
          </w:tcPr>
          <w:p w:rsidR="00853A74" w:rsidRPr="00032F97" w:rsidRDefault="00853A74" w:rsidP="00A125BF">
            <w:pPr>
              <w:pStyle w:val="TableText"/>
            </w:pPr>
            <w:r w:rsidRPr="00032F97">
              <w:t>Hong Kong</w:t>
            </w:r>
          </w:p>
        </w:tc>
        <w:tc>
          <w:tcPr>
            <w:tcW w:w="576" w:type="pct"/>
            <w:tcBorders>
              <w:top w:val="nil"/>
              <w:bottom w:val="nil"/>
            </w:tcBorders>
            <w:shd w:val="clear" w:color="auto" w:fill="auto"/>
          </w:tcPr>
          <w:p w:rsidR="00853A74" w:rsidRPr="00032F97" w:rsidRDefault="00853A74" w:rsidP="00D1791E">
            <w:pPr>
              <w:pStyle w:val="TableText"/>
              <w:jc w:val="center"/>
            </w:pPr>
            <w:r w:rsidRPr="00032F97">
              <w:t>238</w:t>
            </w:r>
          </w:p>
        </w:tc>
        <w:tc>
          <w:tcPr>
            <w:tcW w:w="864" w:type="pct"/>
            <w:tcBorders>
              <w:top w:val="nil"/>
              <w:bottom w:val="nil"/>
            </w:tcBorders>
            <w:shd w:val="clear" w:color="auto" w:fill="auto"/>
          </w:tcPr>
          <w:p w:rsidR="00853A74" w:rsidRDefault="00853A74" w:rsidP="00A125BF">
            <w:pPr>
              <w:pStyle w:val="TableText"/>
            </w:pPr>
            <w:r w:rsidRPr="00032F97">
              <w:t>Diabetes 20%</w:t>
            </w:r>
          </w:p>
          <w:p w:rsidR="00853A74" w:rsidRPr="00032F97" w:rsidRDefault="00853A74" w:rsidP="00A125BF">
            <w:pPr>
              <w:pStyle w:val="TableText"/>
            </w:pPr>
            <w:r w:rsidRPr="00032F97">
              <w:t>IGT 20%</w:t>
            </w:r>
          </w:p>
        </w:tc>
        <w:tc>
          <w:tcPr>
            <w:tcW w:w="576" w:type="pct"/>
            <w:tcBorders>
              <w:top w:val="nil"/>
              <w:bottom w:val="nil"/>
            </w:tcBorders>
            <w:shd w:val="clear" w:color="auto" w:fill="auto"/>
          </w:tcPr>
          <w:p w:rsidR="00853A74" w:rsidRPr="00032F97" w:rsidRDefault="00853A74" w:rsidP="00BB68CC">
            <w:pPr>
              <w:pStyle w:val="TableText"/>
              <w:jc w:val="center"/>
            </w:pPr>
            <w:r w:rsidRPr="00032F97">
              <w:t>Mean 52</w:t>
            </w:r>
            <w:r>
              <w:t xml:space="preserve"> </w:t>
            </w:r>
            <w:r w:rsidRPr="00032F97">
              <w:t>±</w:t>
            </w:r>
            <w:r>
              <w:t xml:space="preserve"> </w:t>
            </w:r>
            <w:r w:rsidRPr="00032F97">
              <w:t>22 months</w:t>
            </w:r>
          </w:p>
        </w:tc>
        <w:tc>
          <w:tcPr>
            <w:tcW w:w="1601" w:type="pct"/>
            <w:tcBorders>
              <w:top w:val="nil"/>
              <w:bottom w:val="nil"/>
            </w:tcBorders>
            <w:shd w:val="clear" w:color="auto" w:fill="auto"/>
          </w:tcPr>
          <w:p w:rsidR="00853A74" w:rsidRPr="00032F97" w:rsidRDefault="00853A74" w:rsidP="00A125BF">
            <w:pPr>
              <w:pStyle w:val="TableText"/>
            </w:pPr>
            <w:r w:rsidRPr="00032F97">
              <w:t>Diabetes</w:t>
            </w:r>
            <w:r>
              <w:t>:</w:t>
            </w:r>
            <w:r w:rsidRPr="00032F97">
              <w:t xml:space="preserve"> FPG ≥</w:t>
            </w:r>
            <w:r>
              <w:t xml:space="preserve"> </w:t>
            </w:r>
            <w:r w:rsidRPr="00032F97">
              <w:t>7mmol/L and/or 2</w:t>
            </w:r>
            <w:r>
              <w:t>-</w:t>
            </w:r>
            <w:r w:rsidRPr="00032F97">
              <w:t>hour glucose ≥</w:t>
            </w:r>
            <w:r w:rsidR="00D1791E">
              <w:t> </w:t>
            </w:r>
            <w:r w:rsidRPr="00032F97">
              <w:t>11.1</w:t>
            </w:r>
            <w:r>
              <w:t xml:space="preserve"> </w:t>
            </w:r>
            <w:r w:rsidRPr="00032F97">
              <w:t>mmol/L</w:t>
            </w:r>
          </w:p>
          <w:p w:rsidR="00853A74" w:rsidRPr="00032F97" w:rsidRDefault="00853A74" w:rsidP="00A125BF">
            <w:pPr>
              <w:pStyle w:val="TableText"/>
            </w:pPr>
            <w:r w:rsidRPr="00032F97">
              <w:t>IGT</w:t>
            </w:r>
            <w:r>
              <w:t>:</w:t>
            </w:r>
            <w:r w:rsidRPr="00032F97">
              <w:t xml:space="preserve"> FPG &lt;</w:t>
            </w:r>
            <w:r>
              <w:t xml:space="preserve"> </w:t>
            </w:r>
            <w:r w:rsidRPr="00032F97">
              <w:t>7.0</w:t>
            </w:r>
            <w:r>
              <w:t xml:space="preserve"> </w:t>
            </w:r>
            <w:r w:rsidRPr="00032F97">
              <w:t>mmol/L and 2</w:t>
            </w:r>
            <w:r>
              <w:t>-</w:t>
            </w:r>
            <w:r w:rsidRPr="00032F97">
              <w:t>hour glucose</w:t>
            </w:r>
            <w:r w:rsidR="00D1791E">
              <w:br/>
            </w:r>
            <w:r w:rsidRPr="00032F97">
              <w:t>7.8</w:t>
            </w:r>
            <w:r>
              <w:t>–</w:t>
            </w:r>
            <w:r w:rsidRPr="00032F97">
              <w:t>11.1</w:t>
            </w:r>
            <w:r>
              <w:t xml:space="preserve"> </w:t>
            </w:r>
            <w:r w:rsidRPr="00032F97">
              <w:t>mmol/L)</w:t>
            </w:r>
          </w:p>
          <w:p w:rsidR="00853A74" w:rsidRPr="00032F97" w:rsidRDefault="00853A74" w:rsidP="00A125BF">
            <w:pPr>
              <w:pStyle w:val="TableText"/>
            </w:pPr>
            <w:r w:rsidRPr="00032F97">
              <w:t>IFG</w:t>
            </w:r>
            <w:r>
              <w:t>:</w:t>
            </w:r>
            <w:r w:rsidRPr="00032F97">
              <w:t xml:space="preserve"> FPG ≥</w:t>
            </w:r>
            <w:r>
              <w:t xml:space="preserve"> </w:t>
            </w:r>
            <w:r w:rsidRPr="00032F97">
              <w:t>5.6 but &lt;</w:t>
            </w:r>
            <w:r>
              <w:t xml:space="preserve"> </w:t>
            </w:r>
            <w:r w:rsidRPr="00032F97">
              <w:t>7.0</w:t>
            </w:r>
            <w:r w:rsidR="00D1791E">
              <w:t> </w:t>
            </w:r>
            <w:r w:rsidRPr="00032F97">
              <w:t>mmol/L</w:t>
            </w:r>
          </w:p>
        </w:tc>
        <w:tc>
          <w:tcPr>
            <w:tcW w:w="375" w:type="pct"/>
            <w:tcBorders>
              <w:top w:val="nil"/>
              <w:bottom w:val="nil"/>
            </w:tcBorders>
            <w:shd w:val="clear" w:color="auto" w:fill="auto"/>
          </w:tcPr>
          <w:p w:rsidR="00853A74" w:rsidRPr="00032F97" w:rsidRDefault="00853A74" w:rsidP="00F26D17">
            <w:pPr>
              <w:pStyle w:val="TableText"/>
              <w:jc w:val="center"/>
            </w:pPr>
            <w:r w:rsidRPr="00032F97">
              <w:t>LOW</w:t>
            </w:r>
          </w:p>
        </w:tc>
      </w:tr>
      <w:tr w:rsidR="00F26D17" w:rsidRPr="00E07B1B" w:rsidTr="007D1572">
        <w:trPr>
          <w:cantSplit/>
        </w:trPr>
        <w:tc>
          <w:tcPr>
            <w:tcW w:w="647" w:type="pct"/>
            <w:tcBorders>
              <w:top w:val="nil"/>
              <w:bottom w:val="nil"/>
            </w:tcBorders>
            <w:shd w:val="clear" w:color="auto" w:fill="F2F2F2" w:themeFill="background1" w:themeFillShade="F2"/>
          </w:tcPr>
          <w:p w:rsidR="00853A74" w:rsidRPr="00032F97" w:rsidRDefault="00853A74" w:rsidP="007D1572">
            <w:pPr>
              <w:pStyle w:val="TableText"/>
            </w:pPr>
            <w:r w:rsidRPr="00032F97">
              <w:t>Oldfield</w:t>
            </w:r>
            <w:r w:rsidR="007D1572">
              <w:br/>
            </w:r>
            <w:r>
              <w:t>(</w:t>
            </w:r>
            <w:r w:rsidRPr="00032F97">
              <w:t>2007</w:t>
            </w:r>
            <w:r>
              <w:t>)</w:t>
            </w:r>
          </w:p>
        </w:tc>
        <w:tc>
          <w:tcPr>
            <w:tcW w:w="361" w:type="pct"/>
            <w:tcBorders>
              <w:top w:val="nil"/>
              <w:bottom w:val="nil"/>
            </w:tcBorders>
            <w:shd w:val="clear" w:color="auto" w:fill="F2F2F2" w:themeFill="background1" w:themeFillShade="F2"/>
          </w:tcPr>
          <w:p w:rsidR="00853A74" w:rsidRPr="00032F97" w:rsidRDefault="00853A74" w:rsidP="00A125BF">
            <w:pPr>
              <w:pStyle w:val="TableText"/>
            </w:pPr>
            <w:r w:rsidRPr="00032F97">
              <w:t>UK</w:t>
            </w:r>
          </w:p>
        </w:tc>
        <w:tc>
          <w:tcPr>
            <w:tcW w:w="576" w:type="pct"/>
            <w:tcBorders>
              <w:top w:val="nil"/>
              <w:bottom w:val="nil"/>
            </w:tcBorders>
            <w:shd w:val="clear" w:color="auto" w:fill="F2F2F2" w:themeFill="background1" w:themeFillShade="F2"/>
          </w:tcPr>
          <w:p w:rsidR="00853A74" w:rsidRPr="00032F97" w:rsidRDefault="00853A74" w:rsidP="007D1572">
            <w:pPr>
              <w:pStyle w:val="TableText"/>
              <w:jc w:val="center"/>
            </w:pPr>
            <w:r w:rsidRPr="00032F97">
              <w:t>73</w:t>
            </w:r>
          </w:p>
        </w:tc>
        <w:tc>
          <w:tcPr>
            <w:tcW w:w="864" w:type="pct"/>
            <w:tcBorders>
              <w:top w:val="nil"/>
              <w:bottom w:val="nil"/>
            </w:tcBorders>
            <w:shd w:val="clear" w:color="auto" w:fill="F2F2F2" w:themeFill="background1" w:themeFillShade="F2"/>
          </w:tcPr>
          <w:p w:rsidR="00853A74" w:rsidRPr="00032F97" w:rsidRDefault="00853A74" w:rsidP="00A125BF">
            <w:pPr>
              <w:pStyle w:val="TableText"/>
            </w:pPr>
            <w:r w:rsidRPr="00032F97">
              <w:t>Diabetes 37%</w:t>
            </w:r>
          </w:p>
          <w:p w:rsidR="00853A74" w:rsidRPr="00032F97" w:rsidRDefault="00853A74" w:rsidP="00A125BF">
            <w:pPr>
              <w:pStyle w:val="TableText"/>
            </w:pPr>
            <w:r w:rsidRPr="00032F97">
              <w:t>IGT 19.2%</w:t>
            </w:r>
          </w:p>
          <w:p w:rsidR="00853A74" w:rsidRPr="00032F97" w:rsidRDefault="00853A74" w:rsidP="00A125BF">
            <w:pPr>
              <w:pStyle w:val="TableText"/>
            </w:pPr>
            <w:r w:rsidRPr="00032F97">
              <w:t>IFG 2.7%</w:t>
            </w:r>
          </w:p>
        </w:tc>
        <w:tc>
          <w:tcPr>
            <w:tcW w:w="576" w:type="pct"/>
            <w:tcBorders>
              <w:top w:val="nil"/>
              <w:bottom w:val="nil"/>
            </w:tcBorders>
            <w:shd w:val="clear" w:color="auto" w:fill="F2F2F2" w:themeFill="background1" w:themeFillShade="F2"/>
          </w:tcPr>
          <w:p w:rsidR="00853A74" w:rsidRPr="00032F97" w:rsidRDefault="00853A74" w:rsidP="00BB68CC">
            <w:pPr>
              <w:pStyle w:val="TableText"/>
              <w:jc w:val="center"/>
            </w:pPr>
            <w:r w:rsidRPr="00032F97">
              <w:t>Mean 4.38 years</w:t>
            </w:r>
          </w:p>
        </w:tc>
        <w:tc>
          <w:tcPr>
            <w:tcW w:w="1601" w:type="pct"/>
            <w:tcBorders>
              <w:top w:val="nil"/>
              <w:bottom w:val="nil"/>
            </w:tcBorders>
            <w:shd w:val="clear" w:color="auto" w:fill="F2F2F2" w:themeFill="background1" w:themeFillShade="F2"/>
          </w:tcPr>
          <w:p w:rsidR="00853A74" w:rsidRPr="00032F97" w:rsidRDefault="00853A74" w:rsidP="00A125BF">
            <w:pPr>
              <w:pStyle w:val="TableText"/>
            </w:pPr>
            <w:r w:rsidRPr="00032F97">
              <w:t>WHO criteria</w:t>
            </w:r>
          </w:p>
          <w:p w:rsidR="00853A74" w:rsidRPr="00032F97" w:rsidRDefault="00853A74" w:rsidP="00A125BF">
            <w:pPr>
              <w:pStyle w:val="TableText"/>
            </w:pPr>
            <w:r w:rsidRPr="00032F97">
              <w:t>Diabetes</w:t>
            </w:r>
            <w:r>
              <w:t>:</w:t>
            </w:r>
            <w:r w:rsidRPr="00032F97">
              <w:t xml:space="preserve"> any plasma glucose level ≥</w:t>
            </w:r>
            <w:r>
              <w:t> </w:t>
            </w:r>
            <w:r w:rsidRPr="00032F97">
              <w:t>11.1</w:t>
            </w:r>
            <w:r>
              <w:t> </w:t>
            </w:r>
            <w:r w:rsidRPr="00032F97">
              <w:t>mmol/L</w:t>
            </w:r>
          </w:p>
          <w:p w:rsidR="00853A74" w:rsidRPr="00032F97" w:rsidRDefault="00853A74" w:rsidP="00A125BF">
            <w:pPr>
              <w:pStyle w:val="TableText"/>
            </w:pPr>
            <w:r w:rsidRPr="00032F97">
              <w:t>IGT</w:t>
            </w:r>
            <w:r>
              <w:t>:</w:t>
            </w:r>
            <w:r w:rsidRPr="00032F97">
              <w:t xml:space="preserve"> 2</w:t>
            </w:r>
            <w:r>
              <w:t>-</w:t>
            </w:r>
            <w:r w:rsidRPr="00032F97">
              <w:t>hour value ≥</w:t>
            </w:r>
            <w:r>
              <w:t xml:space="preserve"> </w:t>
            </w:r>
            <w:r w:rsidRPr="00032F97">
              <w:t>7.8</w:t>
            </w:r>
            <w:r>
              <w:t xml:space="preserve"> </w:t>
            </w:r>
            <w:r w:rsidRPr="00032F97">
              <w:t>mmol/L but &lt;</w:t>
            </w:r>
            <w:r>
              <w:t> </w:t>
            </w:r>
            <w:r w:rsidRPr="00032F97">
              <w:t>11.1</w:t>
            </w:r>
            <w:r>
              <w:t> </w:t>
            </w:r>
            <w:r w:rsidRPr="00032F97">
              <w:t>mmol/L</w:t>
            </w:r>
          </w:p>
          <w:p w:rsidR="00853A74" w:rsidRPr="00032F97" w:rsidRDefault="00853A74" w:rsidP="00A125BF">
            <w:pPr>
              <w:pStyle w:val="TableText"/>
            </w:pPr>
            <w:r w:rsidRPr="00032F97">
              <w:t>IFG</w:t>
            </w:r>
            <w:r>
              <w:t>:</w:t>
            </w:r>
            <w:r w:rsidRPr="00032F97">
              <w:t xml:space="preserve"> FPG between 6.1 and 7.0 mmol/L in the absence of a defining 2 hour value</w:t>
            </w:r>
          </w:p>
        </w:tc>
        <w:tc>
          <w:tcPr>
            <w:tcW w:w="375" w:type="pct"/>
            <w:tcBorders>
              <w:top w:val="nil"/>
              <w:bottom w:val="nil"/>
            </w:tcBorders>
            <w:shd w:val="clear" w:color="auto" w:fill="F2F2F2" w:themeFill="background1" w:themeFillShade="F2"/>
          </w:tcPr>
          <w:p w:rsidR="00853A74" w:rsidRPr="00032F97" w:rsidRDefault="00853A74" w:rsidP="00F26D17">
            <w:pPr>
              <w:pStyle w:val="TableText"/>
              <w:jc w:val="center"/>
            </w:pPr>
            <w:r w:rsidRPr="00032F97">
              <w:t>LOW</w:t>
            </w:r>
          </w:p>
        </w:tc>
      </w:tr>
      <w:tr w:rsidR="00F26D17" w:rsidRPr="00E07B1B" w:rsidTr="007D1572">
        <w:trPr>
          <w:cantSplit/>
        </w:trPr>
        <w:tc>
          <w:tcPr>
            <w:tcW w:w="647" w:type="pct"/>
            <w:tcBorders>
              <w:top w:val="nil"/>
              <w:bottom w:val="nil"/>
            </w:tcBorders>
            <w:shd w:val="clear" w:color="auto" w:fill="auto"/>
          </w:tcPr>
          <w:p w:rsidR="00853A74" w:rsidRPr="00032F97" w:rsidRDefault="00853A74" w:rsidP="00A125BF">
            <w:pPr>
              <w:pStyle w:val="TableText"/>
            </w:pPr>
            <w:r w:rsidRPr="00032F97">
              <w:t xml:space="preserve">Retnakaran </w:t>
            </w:r>
            <w:r>
              <w:t>(</w:t>
            </w:r>
            <w:r w:rsidRPr="00032F97">
              <w:t>2011</w:t>
            </w:r>
            <w:r>
              <w:t>)</w:t>
            </w:r>
          </w:p>
        </w:tc>
        <w:tc>
          <w:tcPr>
            <w:tcW w:w="361" w:type="pct"/>
            <w:tcBorders>
              <w:top w:val="nil"/>
              <w:bottom w:val="nil"/>
            </w:tcBorders>
            <w:shd w:val="clear" w:color="auto" w:fill="auto"/>
          </w:tcPr>
          <w:p w:rsidR="00853A74" w:rsidRPr="00032F97" w:rsidRDefault="00853A74" w:rsidP="00A125BF">
            <w:pPr>
              <w:pStyle w:val="TableText"/>
            </w:pPr>
            <w:r w:rsidRPr="00032F97">
              <w:t>Canada</w:t>
            </w:r>
          </w:p>
        </w:tc>
        <w:tc>
          <w:tcPr>
            <w:tcW w:w="576" w:type="pct"/>
            <w:tcBorders>
              <w:top w:val="nil"/>
              <w:bottom w:val="nil"/>
            </w:tcBorders>
            <w:shd w:val="clear" w:color="auto" w:fill="auto"/>
          </w:tcPr>
          <w:p w:rsidR="00853A74" w:rsidRPr="00032F97" w:rsidRDefault="00853A74" w:rsidP="007D1572">
            <w:pPr>
              <w:pStyle w:val="TableText"/>
              <w:jc w:val="center"/>
            </w:pPr>
            <w:r w:rsidRPr="00032F97">
              <w:t>16,817</w:t>
            </w:r>
          </w:p>
        </w:tc>
        <w:tc>
          <w:tcPr>
            <w:tcW w:w="864" w:type="pct"/>
            <w:tcBorders>
              <w:top w:val="nil"/>
              <w:bottom w:val="nil"/>
            </w:tcBorders>
            <w:shd w:val="clear" w:color="auto" w:fill="auto"/>
          </w:tcPr>
          <w:p w:rsidR="00853A74" w:rsidRPr="00032F97" w:rsidRDefault="00853A74" w:rsidP="00A125BF">
            <w:pPr>
              <w:pStyle w:val="TableText"/>
            </w:pPr>
            <w:r w:rsidRPr="00032F97">
              <w:t>Diabetes 16.2%</w:t>
            </w:r>
          </w:p>
        </w:tc>
        <w:tc>
          <w:tcPr>
            <w:tcW w:w="576" w:type="pct"/>
            <w:tcBorders>
              <w:top w:val="nil"/>
              <w:bottom w:val="nil"/>
            </w:tcBorders>
            <w:shd w:val="clear" w:color="auto" w:fill="auto"/>
          </w:tcPr>
          <w:p w:rsidR="00853A74" w:rsidRPr="00032F97" w:rsidRDefault="00853A74" w:rsidP="00BB68CC">
            <w:pPr>
              <w:pStyle w:val="TableText"/>
              <w:jc w:val="center"/>
            </w:pPr>
            <w:r w:rsidRPr="00032F97">
              <w:t>Median 4.8 years</w:t>
            </w:r>
          </w:p>
        </w:tc>
        <w:tc>
          <w:tcPr>
            <w:tcW w:w="1601" w:type="pct"/>
            <w:tcBorders>
              <w:top w:val="nil"/>
              <w:bottom w:val="nil"/>
            </w:tcBorders>
            <w:shd w:val="clear" w:color="auto" w:fill="auto"/>
          </w:tcPr>
          <w:p w:rsidR="00853A74" w:rsidRPr="00032F97" w:rsidRDefault="00853A74" w:rsidP="00A125BF">
            <w:pPr>
              <w:pStyle w:val="TableText"/>
            </w:pPr>
            <w:r w:rsidRPr="00032F97">
              <w:t>Not specified</w:t>
            </w:r>
          </w:p>
        </w:tc>
        <w:tc>
          <w:tcPr>
            <w:tcW w:w="375" w:type="pct"/>
            <w:tcBorders>
              <w:top w:val="nil"/>
              <w:bottom w:val="nil"/>
            </w:tcBorders>
            <w:shd w:val="clear" w:color="auto" w:fill="auto"/>
          </w:tcPr>
          <w:p w:rsidR="00853A74" w:rsidRPr="00032F97" w:rsidRDefault="00853A74" w:rsidP="00F26D17">
            <w:pPr>
              <w:pStyle w:val="TableText"/>
              <w:jc w:val="center"/>
            </w:pPr>
            <w:r w:rsidRPr="00032F97">
              <w:t>MEDIUM</w:t>
            </w:r>
          </w:p>
        </w:tc>
      </w:tr>
      <w:tr w:rsidR="00F26D17" w:rsidRPr="00E07B1B" w:rsidTr="007D1572">
        <w:trPr>
          <w:cantSplit/>
        </w:trPr>
        <w:tc>
          <w:tcPr>
            <w:tcW w:w="647" w:type="pct"/>
            <w:tcBorders>
              <w:top w:val="nil"/>
              <w:bottom w:val="nil"/>
            </w:tcBorders>
            <w:shd w:val="clear" w:color="auto" w:fill="F2F2F2" w:themeFill="background1" w:themeFillShade="F2"/>
          </w:tcPr>
          <w:p w:rsidR="00853A74" w:rsidRPr="00032F97" w:rsidRDefault="00853A74" w:rsidP="007D1572">
            <w:pPr>
              <w:pStyle w:val="TableText"/>
            </w:pPr>
            <w:r w:rsidRPr="00032F97">
              <w:t>Ekelund</w:t>
            </w:r>
            <w:r w:rsidR="007D1572">
              <w:br/>
            </w:r>
            <w:r>
              <w:t>(</w:t>
            </w:r>
            <w:r w:rsidRPr="00032F97">
              <w:t>2010</w:t>
            </w:r>
            <w:r>
              <w:t>)</w:t>
            </w:r>
          </w:p>
        </w:tc>
        <w:tc>
          <w:tcPr>
            <w:tcW w:w="361" w:type="pct"/>
            <w:tcBorders>
              <w:top w:val="nil"/>
              <w:bottom w:val="nil"/>
            </w:tcBorders>
            <w:shd w:val="clear" w:color="auto" w:fill="F2F2F2" w:themeFill="background1" w:themeFillShade="F2"/>
          </w:tcPr>
          <w:p w:rsidR="00853A74" w:rsidRPr="00032F97" w:rsidRDefault="00853A74" w:rsidP="00A125BF">
            <w:pPr>
              <w:pStyle w:val="TableText"/>
            </w:pPr>
            <w:r w:rsidRPr="00032F97">
              <w:t>Sweden</w:t>
            </w:r>
          </w:p>
        </w:tc>
        <w:tc>
          <w:tcPr>
            <w:tcW w:w="576" w:type="pct"/>
            <w:tcBorders>
              <w:top w:val="nil"/>
              <w:bottom w:val="nil"/>
            </w:tcBorders>
            <w:shd w:val="clear" w:color="auto" w:fill="F2F2F2" w:themeFill="background1" w:themeFillShade="F2"/>
          </w:tcPr>
          <w:p w:rsidR="00853A74" w:rsidRPr="00032F97" w:rsidRDefault="00853A74" w:rsidP="007D1572">
            <w:pPr>
              <w:pStyle w:val="TableText"/>
              <w:jc w:val="center"/>
            </w:pPr>
            <w:r w:rsidRPr="00032F97">
              <w:t>174</w:t>
            </w:r>
          </w:p>
        </w:tc>
        <w:tc>
          <w:tcPr>
            <w:tcW w:w="864" w:type="pct"/>
            <w:tcBorders>
              <w:top w:val="nil"/>
              <w:bottom w:val="nil"/>
            </w:tcBorders>
            <w:shd w:val="clear" w:color="auto" w:fill="F2F2F2" w:themeFill="background1" w:themeFillShade="F2"/>
          </w:tcPr>
          <w:p w:rsidR="00853A74" w:rsidRDefault="00853A74" w:rsidP="00A125BF">
            <w:pPr>
              <w:pStyle w:val="TableText"/>
            </w:pPr>
            <w:r w:rsidRPr="00032F97">
              <w:t>Diabetes 30%</w:t>
            </w:r>
          </w:p>
          <w:p w:rsidR="00853A74" w:rsidRDefault="00853A74" w:rsidP="00A125BF">
            <w:pPr>
              <w:pStyle w:val="TableText"/>
            </w:pPr>
            <w:r w:rsidRPr="00032F97">
              <w:t>IGT 19%</w:t>
            </w:r>
          </w:p>
          <w:p w:rsidR="00853A74" w:rsidRPr="00032F97" w:rsidRDefault="007D1572" w:rsidP="00A125BF">
            <w:pPr>
              <w:pStyle w:val="TableText"/>
            </w:pPr>
            <w:r>
              <w:t>IFG 2.8%</w:t>
            </w:r>
          </w:p>
        </w:tc>
        <w:tc>
          <w:tcPr>
            <w:tcW w:w="576" w:type="pct"/>
            <w:tcBorders>
              <w:top w:val="nil"/>
              <w:bottom w:val="nil"/>
            </w:tcBorders>
            <w:shd w:val="clear" w:color="auto" w:fill="F2F2F2" w:themeFill="background1" w:themeFillShade="F2"/>
          </w:tcPr>
          <w:p w:rsidR="00853A74" w:rsidRPr="00032F97" w:rsidRDefault="00853A74" w:rsidP="00BB68CC">
            <w:pPr>
              <w:pStyle w:val="TableText"/>
              <w:jc w:val="center"/>
            </w:pPr>
            <w:r w:rsidRPr="00032F97">
              <w:t>Up to 5 years</w:t>
            </w:r>
          </w:p>
        </w:tc>
        <w:tc>
          <w:tcPr>
            <w:tcW w:w="1601" w:type="pct"/>
            <w:tcBorders>
              <w:top w:val="nil"/>
              <w:bottom w:val="nil"/>
            </w:tcBorders>
            <w:shd w:val="clear" w:color="auto" w:fill="F2F2F2" w:themeFill="background1" w:themeFillShade="F2"/>
          </w:tcPr>
          <w:p w:rsidR="00853A74" w:rsidRPr="00032F97" w:rsidRDefault="00853A74" w:rsidP="00A125BF">
            <w:pPr>
              <w:pStyle w:val="TableText"/>
            </w:pPr>
            <w:r w:rsidRPr="00032F97">
              <w:t>75</w:t>
            </w:r>
            <w:r>
              <w:t xml:space="preserve"> </w:t>
            </w:r>
            <w:r w:rsidRPr="00032F97">
              <w:t>g OGTT</w:t>
            </w:r>
            <w:r>
              <w:t>,</w:t>
            </w:r>
            <w:r w:rsidRPr="00032F97">
              <w:t xml:space="preserve"> WHO (1999) criteria</w:t>
            </w:r>
          </w:p>
        </w:tc>
        <w:tc>
          <w:tcPr>
            <w:tcW w:w="375" w:type="pct"/>
            <w:tcBorders>
              <w:top w:val="nil"/>
              <w:bottom w:val="nil"/>
            </w:tcBorders>
            <w:shd w:val="clear" w:color="auto" w:fill="F2F2F2" w:themeFill="background1" w:themeFillShade="F2"/>
          </w:tcPr>
          <w:p w:rsidR="00853A74" w:rsidRPr="00032F97" w:rsidRDefault="00853A74" w:rsidP="00F26D17">
            <w:pPr>
              <w:pStyle w:val="TableText"/>
              <w:jc w:val="center"/>
            </w:pPr>
            <w:r w:rsidRPr="00032F97">
              <w:t>MEDIUM</w:t>
            </w:r>
          </w:p>
        </w:tc>
      </w:tr>
      <w:tr w:rsidR="00F26D17" w:rsidRPr="00E07B1B" w:rsidTr="007D1572">
        <w:trPr>
          <w:cantSplit/>
        </w:trPr>
        <w:tc>
          <w:tcPr>
            <w:tcW w:w="647" w:type="pct"/>
            <w:tcBorders>
              <w:top w:val="nil"/>
              <w:bottom w:val="nil"/>
            </w:tcBorders>
            <w:shd w:val="clear" w:color="auto" w:fill="auto"/>
          </w:tcPr>
          <w:p w:rsidR="00853A74" w:rsidRPr="00032F97" w:rsidRDefault="00853A74" w:rsidP="007D1572">
            <w:pPr>
              <w:pStyle w:val="TableText"/>
            </w:pPr>
            <w:r w:rsidRPr="00032F97">
              <w:t>Girgis</w:t>
            </w:r>
            <w:r w:rsidR="007D1572">
              <w:br/>
            </w:r>
            <w:r>
              <w:t>(</w:t>
            </w:r>
            <w:r w:rsidRPr="00032F97">
              <w:t>2012</w:t>
            </w:r>
            <w:r>
              <w:t>)</w:t>
            </w:r>
          </w:p>
        </w:tc>
        <w:tc>
          <w:tcPr>
            <w:tcW w:w="361" w:type="pct"/>
            <w:tcBorders>
              <w:top w:val="nil"/>
              <w:bottom w:val="nil"/>
            </w:tcBorders>
            <w:shd w:val="clear" w:color="auto" w:fill="auto"/>
          </w:tcPr>
          <w:p w:rsidR="00853A74" w:rsidRPr="00032F97" w:rsidRDefault="00853A74" w:rsidP="00A125BF">
            <w:pPr>
              <w:pStyle w:val="TableText"/>
            </w:pPr>
            <w:r w:rsidRPr="00032F97">
              <w:t>Australia</w:t>
            </w:r>
          </w:p>
        </w:tc>
        <w:tc>
          <w:tcPr>
            <w:tcW w:w="576" w:type="pct"/>
            <w:tcBorders>
              <w:top w:val="nil"/>
              <w:bottom w:val="nil"/>
            </w:tcBorders>
            <w:shd w:val="clear" w:color="auto" w:fill="auto"/>
          </w:tcPr>
          <w:p w:rsidR="00853A74" w:rsidRPr="00032F97" w:rsidRDefault="00853A74" w:rsidP="007D1572">
            <w:pPr>
              <w:pStyle w:val="TableText"/>
              <w:jc w:val="center"/>
            </w:pPr>
            <w:r w:rsidRPr="00032F97">
              <w:t>73 migrants</w:t>
            </w:r>
          </w:p>
          <w:p w:rsidR="00853A74" w:rsidRPr="00032F97" w:rsidRDefault="00853A74" w:rsidP="007D1572">
            <w:pPr>
              <w:pStyle w:val="TableText"/>
              <w:jc w:val="center"/>
            </w:pPr>
            <w:r w:rsidRPr="00032F97">
              <w:t>28 Australians</w:t>
            </w:r>
          </w:p>
        </w:tc>
        <w:tc>
          <w:tcPr>
            <w:tcW w:w="864" w:type="pct"/>
            <w:tcBorders>
              <w:top w:val="nil"/>
              <w:bottom w:val="nil"/>
            </w:tcBorders>
            <w:shd w:val="clear" w:color="auto" w:fill="auto"/>
          </w:tcPr>
          <w:p w:rsidR="00853A74" w:rsidRPr="00032F97" w:rsidRDefault="00853A74" w:rsidP="00A125BF">
            <w:pPr>
              <w:pStyle w:val="TableText"/>
            </w:pPr>
            <w:r w:rsidRPr="00032F97">
              <w:t>Diabetes 33% (in migrants)</w:t>
            </w:r>
          </w:p>
          <w:p w:rsidR="00853A74" w:rsidRPr="00032F97" w:rsidRDefault="00853A74" w:rsidP="00A125BF">
            <w:pPr>
              <w:pStyle w:val="TableText"/>
            </w:pPr>
            <w:r w:rsidRPr="00032F97">
              <w:t>IGT 15% (in migrants)</w:t>
            </w:r>
          </w:p>
          <w:p w:rsidR="00853A74" w:rsidRPr="00032F97" w:rsidRDefault="00853A74" w:rsidP="00A125BF">
            <w:pPr>
              <w:pStyle w:val="TableText"/>
            </w:pPr>
            <w:r w:rsidRPr="00032F97">
              <w:t>Diabetes/IGT 39% (in Australians)</w:t>
            </w:r>
          </w:p>
        </w:tc>
        <w:tc>
          <w:tcPr>
            <w:tcW w:w="576" w:type="pct"/>
            <w:tcBorders>
              <w:top w:val="nil"/>
              <w:bottom w:val="nil"/>
            </w:tcBorders>
            <w:shd w:val="clear" w:color="auto" w:fill="auto"/>
          </w:tcPr>
          <w:p w:rsidR="00853A74" w:rsidRPr="00032F97" w:rsidRDefault="00853A74" w:rsidP="00BB68CC">
            <w:pPr>
              <w:pStyle w:val="TableText"/>
              <w:jc w:val="center"/>
            </w:pPr>
            <w:r w:rsidRPr="00032F97">
              <w:t>5.5 years</w:t>
            </w:r>
          </w:p>
        </w:tc>
        <w:tc>
          <w:tcPr>
            <w:tcW w:w="1601" w:type="pct"/>
            <w:tcBorders>
              <w:top w:val="nil"/>
              <w:bottom w:val="nil"/>
            </w:tcBorders>
            <w:shd w:val="clear" w:color="auto" w:fill="auto"/>
          </w:tcPr>
          <w:p w:rsidR="00853A74" w:rsidRPr="00032F97" w:rsidRDefault="00853A74" w:rsidP="00A125BF">
            <w:pPr>
              <w:pStyle w:val="TableText"/>
            </w:pPr>
            <w:r w:rsidRPr="00032F97">
              <w:t>No details</w:t>
            </w:r>
          </w:p>
        </w:tc>
        <w:tc>
          <w:tcPr>
            <w:tcW w:w="375" w:type="pct"/>
            <w:tcBorders>
              <w:top w:val="nil"/>
              <w:bottom w:val="nil"/>
            </w:tcBorders>
            <w:shd w:val="clear" w:color="auto" w:fill="auto"/>
          </w:tcPr>
          <w:p w:rsidR="00853A74" w:rsidRPr="00032F97" w:rsidRDefault="00853A74" w:rsidP="00F26D17">
            <w:pPr>
              <w:pStyle w:val="TableText"/>
              <w:jc w:val="center"/>
            </w:pPr>
            <w:r w:rsidRPr="00032F97">
              <w:t>LOW</w:t>
            </w:r>
          </w:p>
        </w:tc>
      </w:tr>
      <w:tr w:rsidR="00F26D17" w:rsidRPr="00E07B1B" w:rsidTr="007D1572">
        <w:trPr>
          <w:cantSplit/>
        </w:trPr>
        <w:tc>
          <w:tcPr>
            <w:tcW w:w="647" w:type="pct"/>
            <w:tcBorders>
              <w:top w:val="nil"/>
              <w:bottom w:val="nil"/>
            </w:tcBorders>
            <w:shd w:val="clear" w:color="auto" w:fill="F2F2F2" w:themeFill="background1" w:themeFillShade="F2"/>
          </w:tcPr>
          <w:p w:rsidR="00853A74" w:rsidRPr="00032F97" w:rsidRDefault="00853A74" w:rsidP="007D1572">
            <w:pPr>
              <w:pStyle w:val="TableText"/>
            </w:pPr>
            <w:r w:rsidRPr="00032F97">
              <w:t>Mukerji</w:t>
            </w:r>
            <w:r w:rsidR="007D1572">
              <w:br/>
            </w:r>
            <w:r>
              <w:t>(</w:t>
            </w:r>
            <w:r w:rsidRPr="00032F97">
              <w:t>2012</w:t>
            </w:r>
            <w:r>
              <w:t>)</w:t>
            </w:r>
          </w:p>
        </w:tc>
        <w:tc>
          <w:tcPr>
            <w:tcW w:w="361" w:type="pct"/>
            <w:tcBorders>
              <w:top w:val="nil"/>
              <w:bottom w:val="nil"/>
            </w:tcBorders>
            <w:shd w:val="clear" w:color="auto" w:fill="F2F2F2" w:themeFill="background1" w:themeFillShade="F2"/>
          </w:tcPr>
          <w:p w:rsidR="00853A74" w:rsidRPr="00032F97" w:rsidRDefault="00853A74" w:rsidP="00A125BF">
            <w:pPr>
              <w:pStyle w:val="TableText"/>
            </w:pPr>
            <w:r w:rsidRPr="00032F97">
              <w:t>Canada</w:t>
            </w:r>
          </w:p>
        </w:tc>
        <w:tc>
          <w:tcPr>
            <w:tcW w:w="576" w:type="pct"/>
            <w:tcBorders>
              <w:top w:val="nil"/>
              <w:bottom w:val="nil"/>
            </w:tcBorders>
            <w:shd w:val="clear" w:color="auto" w:fill="F2F2F2" w:themeFill="background1" w:themeFillShade="F2"/>
          </w:tcPr>
          <w:p w:rsidR="00853A74" w:rsidRPr="00032F97" w:rsidRDefault="00853A74" w:rsidP="007D1572">
            <w:pPr>
              <w:pStyle w:val="TableText"/>
              <w:jc w:val="center"/>
            </w:pPr>
            <w:r w:rsidRPr="00032F97">
              <w:t>&gt;1,000,000</w:t>
            </w:r>
          </w:p>
        </w:tc>
        <w:tc>
          <w:tcPr>
            <w:tcW w:w="864" w:type="pct"/>
            <w:tcBorders>
              <w:top w:val="nil"/>
              <w:bottom w:val="nil"/>
            </w:tcBorders>
            <w:shd w:val="clear" w:color="auto" w:fill="F2F2F2" w:themeFill="background1" w:themeFillShade="F2"/>
          </w:tcPr>
          <w:p w:rsidR="00853A74" w:rsidRPr="00032F97" w:rsidRDefault="00853A74" w:rsidP="00A125BF">
            <w:pPr>
              <w:pStyle w:val="TableText"/>
            </w:pPr>
            <w:r w:rsidRPr="00032F97">
              <w:t>39.8 cases per 1000 person-years</w:t>
            </w:r>
          </w:p>
        </w:tc>
        <w:tc>
          <w:tcPr>
            <w:tcW w:w="576" w:type="pct"/>
            <w:tcBorders>
              <w:top w:val="nil"/>
              <w:bottom w:val="nil"/>
            </w:tcBorders>
            <w:shd w:val="clear" w:color="auto" w:fill="F2F2F2" w:themeFill="background1" w:themeFillShade="F2"/>
          </w:tcPr>
          <w:p w:rsidR="00853A74" w:rsidRPr="00032F97" w:rsidRDefault="00853A74" w:rsidP="00BB68CC">
            <w:pPr>
              <w:pStyle w:val="TableText"/>
              <w:jc w:val="center"/>
            </w:pPr>
            <w:r w:rsidRPr="00032F97">
              <w:t>Median 7.6 years</w:t>
            </w:r>
          </w:p>
        </w:tc>
        <w:tc>
          <w:tcPr>
            <w:tcW w:w="1601" w:type="pct"/>
            <w:tcBorders>
              <w:top w:val="nil"/>
              <w:bottom w:val="nil"/>
            </w:tcBorders>
            <w:shd w:val="clear" w:color="auto" w:fill="F2F2F2" w:themeFill="background1" w:themeFillShade="F2"/>
          </w:tcPr>
          <w:p w:rsidR="00853A74" w:rsidRPr="00032F97" w:rsidRDefault="00853A74" w:rsidP="00A125BF">
            <w:pPr>
              <w:pStyle w:val="TableText"/>
            </w:pPr>
            <w:r w:rsidRPr="00032F97">
              <w:t>Recorded in the Ontario Diabetes Database</w:t>
            </w:r>
          </w:p>
        </w:tc>
        <w:tc>
          <w:tcPr>
            <w:tcW w:w="375" w:type="pct"/>
            <w:tcBorders>
              <w:top w:val="nil"/>
              <w:bottom w:val="nil"/>
            </w:tcBorders>
            <w:shd w:val="clear" w:color="auto" w:fill="F2F2F2" w:themeFill="background1" w:themeFillShade="F2"/>
          </w:tcPr>
          <w:p w:rsidR="00853A74" w:rsidRPr="00032F97" w:rsidRDefault="00853A74" w:rsidP="00F26D17">
            <w:pPr>
              <w:pStyle w:val="TableText"/>
              <w:jc w:val="center"/>
            </w:pPr>
            <w:r w:rsidRPr="00032F97">
              <w:t>MEDIUM</w:t>
            </w:r>
          </w:p>
        </w:tc>
      </w:tr>
      <w:tr w:rsidR="00F26D17" w:rsidRPr="00E07B1B" w:rsidTr="007D1572">
        <w:trPr>
          <w:cantSplit/>
        </w:trPr>
        <w:tc>
          <w:tcPr>
            <w:tcW w:w="647" w:type="pct"/>
            <w:tcBorders>
              <w:top w:val="nil"/>
              <w:bottom w:val="nil"/>
            </w:tcBorders>
            <w:shd w:val="clear" w:color="auto" w:fill="auto"/>
          </w:tcPr>
          <w:p w:rsidR="00853A74" w:rsidRPr="00032F97" w:rsidRDefault="00853A74" w:rsidP="007D1572">
            <w:pPr>
              <w:pStyle w:val="TableText"/>
            </w:pPr>
            <w:r w:rsidRPr="00032F97">
              <w:t>Tehrani</w:t>
            </w:r>
            <w:r w:rsidR="007D1572">
              <w:br/>
            </w:r>
            <w:r>
              <w:t>(</w:t>
            </w:r>
            <w:r w:rsidRPr="00032F97">
              <w:t>2012</w:t>
            </w:r>
            <w:r>
              <w:t>)</w:t>
            </w:r>
          </w:p>
        </w:tc>
        <w:tc>
          <w:tcPr>
            <w:tcW w:w="361" w:type="pct"/>
            <w:tcBorders>
              <w:top w:val="nil"/>
              <w:bottom w:val="nil"/>
            </w:tcBorders>
            <w:shd w:val="clear" w:color="auto" w:fill="auto"/>
          </w:tcPr>
          <w:p w:rsidR="00853A74" w:rsidRPr="00032F97" w:rsidRDefault="00853A74" w:rsidP="00A125BF">
            <w:pPr>
              <w:pStyle w:val="TableText"/>
            </w:pPr>
            <w:r w:rsidRPr="00032F97">
              <w:t>Iran</w:t>
            </w:r>
          </w:p>
        </w:tc>
        <w:tc>
          <w:tcPr>
            <w:tcW w:w="576" w:type="pct"/>
            <w:tcBorders>
              <w:top w:val="nil"/>
              <w:bottom w:val="nil"/>
            </w:tcBorders>
            <w:shd w:val="clear" w:color="auto" w:fill="auto"/>
          </w:tcPr>
          <w:p w:rsidR="00853A74" w:rsidRPr="00032F97" w:rsidRDefault="00853A74" w:rsidP="007D1572">
            <w:pPr>
              <w:pStyle w:val="TableText"/>
              <w:jc w:val="center"/>
            </w:pPr>
            <w:r w:rsidRPr="00032F97">
              <w:t>29 cases</w:t>
            </w:r>
          </w:p>
          <w:p w:rsidR="00853A74" w:rsidRPr="00032F97" w:rsidRDefault="00853A74" w:rsidP="007D1572">
            <w:pPr>
              <w:pStyle w:val="TableText"/>
              <w:jc w:val="center"/>
            </w:pPr>
            <w:r w:rsidRPr="00032F97">
              <w:t>58 controls</w:t>
            </w:r>
          </w:p>
        </w:tc>
        <w:tc>
          <w:tcPr>
            <w:tcW w:w="864" w:type="pct"/>
            <w:tcBorders>
              <w:top w:val="nil"/>
              <w:bottom w:val="nil"/>
            </w:tcBorders>
            <w:shd w:val="clear" w:color="auto" w:fill="auto"/>
          </w:tcPr>
          <w:p w:rsidR="00853A74" w:rsidRDefault="00853A74" w:rsidP="00A125BF">
            <w:pPr>
              <w:pStyle w:val="TableText"/>
            </w:pPr>
            <w:r w:rsidRPr="00032F97">
              <w:t>Diabetes 27.3%</w:t>
            </w:r>
          </w:p>
          <w:p w:rsidR="00853A74" w:rsidRPr="00032F97" w:rsidRDefault="00853A74" w:rsidP="00A125BF">
            <w:pPr>
              <w:pStyle w:val="TableText"/>
            </w:pPr>
            <w:r w:rsidRPr="00032F97">
              <w:t>Diabetes 9.5%</w:t>
            </w:r>
          </w:p>
        </w:tc>
        <w:tc>
          <w:tcPr>
            <w:tcW w:w="576" w:type="pct"/>
            <w:tcBorders>
              <w:top w:val="nil"/>
              <w:bottom w:val="nil"/>
            </w:tcBorders>
            <w:shd w:val="clear" w:color="auto" w:fill="auto"/>
          </w:tcPr>
          <w:p w:rsidR="00853A74" w:rsidRPr="00032F97" w:rsidRDefault="00853A74" w:rsidP="00BB68CC">
            <w:pPr>
              <w:pStyle w:val="TableText"/>
              <w:jc w:val="center"/>
            </w:pPr>
            <w:r w:rsidRPr="00032F97">
              <w:t>Up to 9 years</w:t>
            </w:r>
          </w:p>
        </w:tc>
        <w:tc>
          <w:tcPr>
            <w:tcW w:w="1601" w:type="pct"/>
            <w:tcBorders>
              <w:top w:val="nil"/>
              <w:bottom w:val="nil"/>
            </w:tcBorders>
            <w:shd w:val="clear" w:color="auto" w:fill="auto"/>
          </w:tcPr>
          <w:p w:rsidR="00853A74" w:rsidRDefault="00853A74" w:rsidP="00A125BF">
            <w:pPr>
              <w:pStyle w:val="TableText"/>
            </w:pPr>
            <w:r w:rsidRPr="00032F97">
              <w:t>ADA criteria or using anti-diabetic drugs</w:t>
            </w:r>
          </w:p>
          <w:p w:rsidR="00853A74" w:rsidRPr="00032F97" w:rsidRDefault="00853A74" w:rsidP="00A125BF">
            <w:pPr>
              <w:pStyle w:val="TableText"/>
            </w:pPr>
            <w:r w:rsidRPr="00032F97">
              <w:t>Diabetes</w:t>
            </w:r>
            <w:r>
              <w:t>:</w:t>
            </w:r>
            <w:r w:rsidRPr="00032F97">
              <w:t xml:space="preserve"> FPG ≥</w:t>
            </w:r>
            <w:r>
              <w:t xml:space="preserve"> </w:t>
            </w:r>
            <w:r w:rsidRPr="00032F97">
              <w:t>7</w:t>
            </w:r>
            <w:r>
              <w:t xml:space="preserve"> </w:t>
            </w:r>
            <w:r w:rsidRPr="00032F97">
              <w:t>mmol/L or 2</w:t>
            </w:r>
            <w:r>
              <w:t>-</w:t>
            </w:r>
            <w:r w:rsidRPr="00032F97">
              <w:t>hour plasma glucose ≥ 11.1</w:t>
            </w:r>
            <w:r>
              <w:t xml:space="preserve"> </w:t>
            </w:r>
            <w:r w:rsidRPr="00032F97">
              <w:t>mmol/L</w:t>
            </w:r>
          </w:p>
          <w:p w:rsidR="00853A74" w:rsidRPr="00032F97" w:rsidRDefault="00853A74" w:rsidP="00A125BF">
            <w:pPr>
              <w:pStyle w:val="TableText"/>
            </w:pPr>
            <w:r w:rsidRPr="00032F97">
              <w:t>IGT</w:t>
            </w:r>
            <w:r>
              <w:t>:</w:t>
            </w:r>
            <w:r w:rsidRPr="00032F97">
              <w:t xml:space="preserve"> 2</w:t>
            </w:r>
            <w:r>
              <w:t>-</w:t>
            </w:r>
            <w:r w:rsidRPr="00032F97">
              <w:t>hour plasma glucose between 7.77 and 11.1</w:t>
            </w:r>
            <w:r>
              <w:t> </w:t>
            </w:r>
            <w:r w:rsidRPr="00032F97">
              <w:t>mmol/L</w:t>
            </w:r>
          </w:p>
          <w:p w:rsidR="00853A74" w:rsidRPr="00032F97" w:rsidRDefault="00853A74" w:rsidP="00A125BF">
            <w:pPr>
              <w:pStyle w:val="TableText"/>
            </w:pPr>
            <w:r w:rsidRPr="00032F97">
              <w:t>IFG</w:t>
            </w:r>
            <w:r>
              <w:t>:</w:t>
            </w:r>
            <w:r w:rsidRPr="00032F97">
              <w:t xml:space="preserve"> fasting blood sugar between 5.6 and 6.9</w:t>
            </w:r>
            <w:r>
              <w:t> </w:t>
            </w:r>
            <w:r w:rsidRPr="00032F97">
              <w:t>mmol/L</w:t>
            </w:r>
          </w:p>
        </w:tc>
        <w:tc>
          <w:tcPr>
            <w:tcW w:w="375" w:type="pct"/>
            <w:tcBorders>
              <w:top w:val="nil"/>
              <w:bottom w:val="nil"/>
            </w:tcBorders>
            <w:shd w:val="clear" w:color="auto" w:fill="auto"/>
          </w:tcPr>
          <w:p w:rsidR="00853A74" w:rsidRPr="00032F97" w:rsidRDefault="00853A74" w:rsidP="00F26D17">
            <w:pPr>
              <w:pStyle w:val="TableText"/>
              <w:jc w:val="center"/>
            </w:pPr>
            <w:r w:rsidRPr="00032F97">
              <w:t>LOW</w:t>
            </w:r>
          </w:p>
        </w:tc>
      </w:tr>
      <w:tr w:rsidR="00F26D17" w:rsidRPr="00E07B1B" w:rsidTr="007D1572">
        <w:trPr>
          <w:cantSplit/>
        </w:trPr>
        <w:tc>
          <w:tcPr>
            <w:tcW w:w="647" w:type="pct"/>
            <w:tcBorders>
              <w:top w:val="nil"/>
              <w:bottom w:val="nil"/>
            </w:tcBorders>
            <w:shd w:val="clear" w:color="auto" w:fill="F2F2F2" w:themeFill="background1" w:themeFillShade="F2"/>
          </w:tcPr>
          <w:p w:rsidR="00853A74" w:rsidRPr="00032F97" w:rsidRDefault="00853A74" w:rsidP="007D1572">
            <w:pPr>
              <w:pStyle w:val="TableText"/>
            </w:pPr>
            <w:r w:rsidRPr="00032F97">
              <w:t>Malinowski-Polubiec</w:t>
            </w:r>
            <w:r w:rsidR="007D1572">
              <w:br/>
            </w:r>
            <w:r>
              <w:t>(</w:t>
            </w:r>
            <w:r w:rsidRPr="00032F97">
              <w:t>2012</w:t>
            </w:r>
            <w:r>
              <w:t>)</w:t>
            </w:r>
          </w:p>
        </w:tc>
        <w:tc>
          <w:tcPr>
            <w:tcW w:w="361" w:type="pct"/>
            <w:tcBorders>
              <w:top w:val="nil"/>
              <w:bottom w:val="nil"/>
            </w:tcBorders>
            <w:shd w:val="clear" w:color="auto" w:fill="F2F2F2" w:themeFill="background1" w:themeFillShade="F2"/>
          </w:tcPr>
          <w:p w:rsidR="00853A74" w:rsidRPr="00032F97" w:rsidRDefault="00853A74" w:rsidP="00A125BF">
            <w:pPr>
              <w:pStyle w:val="TableText"/>
            </w:pPr>
            <w:r w:rsidRPr="00032F97">
              <w:t>Poland</w:t>
            </w:r>
          </w:p>
        </w:tc>
        <w:tc>
          <w:tcPr>
            <w:tcW w:w="576" w:type="pct"/>
            <w:tcBorders>
              <w:top w:val="nil"/>
              <w:bottom w:val="nil"/>
            </w:tcBorders>
            <w:shd w:val="clear" w:color="auto" w:fill="F2F2F2" w:themeFill="background1" w:themeFillShade="F2"/>
          </w:tcPr>
          <w:p w:rsidR="00853A74" w:rsidRPr="00032F97" w:rsidRDefault="00853A74" w:rsidP="007D1572">
            <w:pPr>
              <w:pStyle w:val="TableText"/>
              <w:jc w:val="center"/>
            </w:pPr>
            <w:r w:rsidRPr="00032F97">
              <w:t>155</w:t>
            </w:r>
          </w:p>
        </w:tc>
        <w:tc>
          <w:tcPr>
            <w:tcW w:w="864" w:type="pct"/>
            <w:tcBorders>
              <w:top w:val="nil"/>
              <w:bottom w:val="nil"/>
            </w:tcBorders>
            <w:shd w:val="clear" w:color="auto" w:fill="F2F2F2" w:themeFill="background1" w:themeFillShade="F2"/>
          </w:tcPr>
          <w:p w:rsidR="00853A74" w:rsidRPr="00032F97" w:rsidRDefault="00853A74" w:rsidP="00A125BF">
            <w:pPr>
              <w:pStyle w:val="TableText"/>
            </w:pPr>
            <w:r w:rsidRPr="00032F97">
              <w:t>Diabetes 23.2%</w:t>
            </w:r>
          </w:p>
          <w:p w:rsidR="00853A74" w:rsidRPr="00032F97" w:rsidRDefault="00853A74" w:rsidP="00A125BF">
            <w:pPr>
              <w:pStyle w:val="TableText"/>
            </w:pPr>
            <w:r w:rsidRPr="00032F97">
              <w:t>IGT 30%</w:t>
            </w:r>
          </w:p>
          <w:p w:rsidR="00853A74" w:rsidRPr="00032F97" w:rsidRDefault="00853A74" w:rsidP="00A125BF">
            <w:pPr>
              <w:pStyle w:val="TableText"/>
            </w:pPr>
            <w:r w:rsidRPr="00032F97">
              <w:t>IFG 18.1%</w:t>
            </w:r>
          </w:p>
        </w:tc>
        <w:tc>
          <w:tcPr>
            <w:tcW w:w="576" w:type="pct"/>
            <w:tcBorders>
              <w:top w:val="nil"/>
              <w:bottom w:val="nil"/>
            </w:tcBorders>
            <w:shd w:val="clear" w:color="auto" w:fill="F2F2F2" w:themeFill="background1" w:themeFillShade="F2"/>
          </w:tcPr>
          <w:p w:rsidR="00853A74" w:rsidRPr="00032F97" w:rsidRDefault="007D1572" w:rsidP="007D1572">
            <w:pPr>
              <w:pStyle w:val="TableText"/>
              <w:jc w:val="center"/>
            </w:pPr>
            <w:r>
              <w:t>U</w:t>
            </w:r>
            <w:r w:rsidR="00853A74" w:rsidRPr="00032F97">
              <w:t>p to 10 years</w:t>
            </w:r>
          </w:p>
        </w:tc>
        <w:tc>
          <w:tcPr>
            <w:tcW w:w="1601" w:type="pct"/>
            <w:tcBorders>
              <w:top w:val="nil"/>
              <w:bottom w:val="nil"/>
            </w:tcBorders>
            <w:shd w:val="clear" w:color="auto" w:fill="F2F2F2" w:themeFill="background1" w:themeFillShade="F2"/>
          </w:tcPr>
          <w:p w:rsidR="00853A74" w:rsidRPr="00032F97" w:rsidRDefault="00853A74" w:rsidP="00A125BF">
            <w:pPr>
              <w:pStyle w:val="TableText"/>
            </w:pPr>
            <w:r w:rsidRPr="00032F97">
              <w:t>Diabetes</w:t>
            </w:r>
            <w:r>
              <w:t>:</w:t>
            </w:r>
            <w:r w:rsidRPr="00032F97">
              <w:t xml:space="preserve"> FPG ≥</w:t>
            </w:r>
            <w:r>
              <w:t xml:space="preserve"> </w:t>
            </w:r>
            <w:r w:rsidRPr="00032F97">
              <w:t>7.0</w:t>
            </w:r>
            <w:r>
              <w:t xml:space="preserve"> </w:t>
            </w:r>
            <w:r w:rsidRPr="00032F97">
              <w:t>mmol/L or 2</w:t>
            </w:r>
            <w:r>
              <w:t>-</w:t>
            </w:r>
            <w:r w:rsidRPr="00032F97">
              <w:t>hour OGTT ≥</w:t>
            </w:r>
            <w:r>
              <w:t> </w:t>
            </w:r>
            <w:r w:rsidRPr="00032F97">
              <w:t>11.1</w:t>
            </w:r>
            <w:r>
              <w:t> </w:t>
            </w:r>
            <w:r w:rsidRPr="00032F97">
              <w:t>mmol/L</w:t>
            </w:r>
          </w:p>
          <w:p w:rsidR="00853A74" w:rsidRPr="00032F97" w:rsidRDefault="00853A74" w:rsidP="00A125BF">
            <w:pPr>
              <w:pStyle w:val="TableText"/>
            </w:pPr>
            <w:r w:rsidRPr="00032F97">
              <w:t>IGT</w:t>
            </w:r>
            <w:r>
              <w:t>:</w:t>
            </w:r>
            <w:r w:rsidRPr="00032F97">
              <w:t xml:space="preserve"> 2</w:t>
            </w:r>
            <w:r>
              <w:t>-</w:t>
            </w:r>
            <w:r w:rsidRPr="00032F97">
              <w:t>hour OGTT &gt;</w:t>
            </w:r>
            <w:r>
              <w:t xml:space="preserve"> </w:t>
            </w:r>
            <w:r w:rsidRPr="00032F97">
              <w:t>7.8</w:t>
            </w:r>
            <w:r>
              <w:t xml:space="preserve"> </w:t>
            </w:r>
            <w:r w:rsidRPr="00032F97">
              <w:t>mmol/L but &lt;</w:t>
            </w:r>
            <w:r>
              <w:t> </w:t>
            </w:r>
            <w:r w:rsidRPr="00032F97">
              <w:t>11.1</w:t>
            </w:r>
            <w:r>
              <w:t> </w:t>
            </w:r>
            <w:r w:rsidRPr="00032F97">
              <w:t>mmol/L</w:t>
            </w:r>
          </w:p>
          <w:p w:rsidR="00853A74" w:rsidRPr="00032F97" w:rsidRDefault="00853A74" w:rsidP="00A125BF">
            <w:pPr>
              <w:pStyle w:val="TableText"/>
            </w:pPr>
            <w:r w:rsidRPr="00032F97">
              <w:t>IFG</w:t>
            </w:r>
            <w:r>
              <w:t>:</w:t>
            </w:r>
            <w:r w:rsidRPr="00032F97">
              <w:t xml:space="preserve"> fasting glucose &gt;</w:t>
            </w:r>
            <w:r>
              <w:t xml:space="preserve"> </w:t>
            </w:r>
            <w:r w:rsidRPr="00032F97">
              <w:t>6.1</w:t>
            </w:r>
            <w:r>
              <w:t> </w:t>
            </w:r>
            <w:r w:rsidRPr="00032F97">
              <w:t>mmol/L but &lt;</w:t>
            </w:r>
            <w:r>
              <w:t> </w:t>
            </w:r>
            <w:r w:rsidRPr="00032F97">
              <w:t>7.0</w:t>
            </w:r>
            <w:r>
              <w:t> </w:t>
            </w:r>
            <w:r w:rsidRPr="00032F97">
              <w:t>mmol/L and normal 2</w:t>
            </w:r>
            <w:r>
              <w:t>-</w:t>
            </w:r>
            <w:r w:rsidRPr="00032F97">
              <w:t>hour OGTT</w:t>
            </w:r>
          </w:p>
        </w:tc>
        <w:tc>
          <w:tcPr>
            <w:tcW w:w="375" w:type="pct"/>
            <w:tcBorders>
              <w:top w:val="nil"/>
              <w:bottom w:val="nil"/>
            </w:tcBorders>
            <w:shd w:val="clear" w:color="auto" w:fill="F2F2F2" w:themeFill="background1" w:themeFillShade="F2"/>
          </w:tcPr>
          <w:p w:rsidR="00853A74" w:rsidRPr="00032F97" w:rsidRDefault="00853A74" w:rsidP="00F26D17">
            <w:pPr>
              <w:pStyle w:val="TableText"/>
              <w:jc w:val="center"/>
            </w:pPr>
            <w:r w:rsidRPr="00032F97">
              <w:t>LOW</w:t>
            </w:r>
          </w:p>
        </w:tc>
      </w:tr>
      <w:tr w:rsidR="00F26D17" w:rsidRPr="00E07B1B" w:rsidTr="007D1572">
        <w:trPr>
          <w:cantSplit/>
        </w:trPr>
        <w:tc>
          <w:tcPr>
            <w:tcW w:w="647" w:type="pct"/>
            <w:tcBorders>
              <w:top w:val="nil"/>
              <w:bottom w:val="nil"/>
            </w:tcBorders>
            <w:shd w:val="clear" w:color="auto" w:fill="auto"/>
          </w:tcPr>
          <w:p w:rsidR="00853A74" w:rsidRPr="00032F97" w:rsidRDefault="00853A74" w:rsidP="007D1572">
            <w:pPr>
              <w:pStyle w:val="TableText"/>
              <w:keepNext/>
            </w:pPr>
            <w:r w:rsidRPr="00032F97">
              <w:t>Chodick</w:t>
            </w:r>
            <w:r w:rsidR="007D1572">
              <w:t xml:space="preserve"> </w:t>
            </w:r>
            <w:r>
              <w:t>(</w:t>
            </w:r>
            <w:r w:rsidRPr="00032F97">
              <w:t>2010</w:t>
            </w:r>
            <w:r>
              <w:t>)</w:t>
            </w:r>
          </w:p>
        </w:tc>
        <w:tc>
          <w:tcPr>
            <w:tcW w:w="361" w:type="pct"/>
            <w:tcBorders>
              <w:top w:val="nil"/>
              <w:bottom w:val="nil"/>
            </w:tcBorders>
            <w:shd w:val="clear" w:color="auto" w:fill="auto"/>
          </w:tcPr>
          <w:p w:rsidR="00853A74" w:rsidRPr="00032F97" w:rsidRDefault="00853A74" w:rsidP="007D1572">
            <w:pPr>
              <w:pStyle w:val="TableText"/>
              <w:keepNext/>
            </w:pPr>
            <w:r w:rsidRPr="00032F97">
              <w:t>Israel</w:t>
            </w:r>
          </w:p>
        </w:tc>
        <w:tc>
          <w:tcPr>
            <w:tcW w:w="576" w:type="pct"/>
            <w:tcBorders>
              <w:top w:val="nil"/>
              <w:bottom w:val="nil"/>
            </w:tcBorders>
            <w:shd w:val="clear" w:color="auto" w:fill="auto"/>
          </w:tcPr>
          <w:p w:rsidR="00853A74" w:rsidRPr="00032F97" w:rsidRDefault="00853A74" w:rsidP="007D1572">
            <w:pPr>
              <w:pStyle w:val="TableText"/>
              <w:keepNext/>
            </w:pPr>
            <w:r w:rsidRPr="00032F97">
              <w:t>185,416</w:t>
            </w:r>
          </w:p>
        </w:tc>
        <w:tc>
          <w:tcPr>
            <w:tcW w:w="864" w:type="pct"/>
            <w:tcBorders>
              <w:top w:val="nil"/>
              <w:bottom w:val="nil"/>
            </w:tcBorders>
            <w:shd w:val="clear" w:color="auto" w:fill="auto"/>
          </w:tcPr>
          <w:p w:rsidR="00853A74" w:rsidRPr="00032F97" w:rsidRDefault="00853A74" w:rsidP="007D1572">
            <w:pPr>
              <w:pStyle w:val="TableText"/>
              <w:keepNext/>
            </w:pPr>
            <w:r w:rsidRPr="00032F97">
              <w:t>Diabetes 15.7%</w:t>
            </w:r>
          </w:p>
        </w:tc>
        <w:tc>
          <w:tcPr>
            <w:tcW w:w="576" w:type="pct"/>
            <w:tcBorders>
              <w:top w:val="nil"/>
              <w:bottom w:val="nil"/>
            </w:tcBorders>
            <w:shd w:val="clear" w:color="auto" w:fill="auto"/>
          </w:tcPr>
          <w:p w:rsidR="00853A74" w:rsidRPr="00032F97" w:rsidRDefault="00853A74" w:rsidP="007D1572">
            <w:pPr>
              <w:pStyle w:val="TableText"/>
              <w:keepNext/>
              <w:jc w:val="center"/>
            </w:pPr>
            <w:r w:rsidRPr="00032F97">
              <w:t>Up to 10 years</w:t>
            </w:r>
          </w:p>
        </w:tc>
        <w:tc>
          <w:tcPr>
            <w:tcW w:w="1601" w:type="pct"/>
            <w:tcBorders>
              <w:top w:val="nil"/>
              <w:bottom w:val="nil"/>
            </w:tcBorders>
            <w:shd w:val="clear" w:color="auto" w:fill="auto"/>
          </w:tcPr>
          <w:p w:rsidR="00853A74" w:rsidRPr="00032F97" w:rsidRDefault="00853A74" w:rsidP="007D1572">
            <w:pPr>
              <w:pStyle w:val="TableText"/>
              <w:keepNext/>
            </w:pPr>
            <w:r w:rsidRPr="00032F97">
              <w:t>Maccabi Healthcare Services Diabetes Registry</w:t>
            </w:r>
          </w:p>
        </w:tc>
        <w:tc>
          <w:tcPr>
            <w:tcW w:w="375" w:type="pct"/>
            <w:tcBorders>
              <w:top w:val="nil"/>
              <w:bottom w:val="nil"/>
            </w:tcBorders>
            <w:shd w:val="clear" w:color="auto" w:fill="auto"/>
          </w:tcPr>
          <w:p w:rsidR="00853A74" w:rsidRPr="00032F97" w:rsidRDefault="00853A74" w:rsidP="007D1572">
            <w:pPr>
              <w:pStyle w:val="TableText"/>
              <w:keepNext/>
              <w:jc w:val="center"/>
            </w:pPr>
            <w:r w:rsidRPr="00032F97">
              <w:t>HIGH</w:t>
            </w:r>
          </w:p>
        </w:tc>
      </w:tr>
      <w:tr w:rsidR="00F26D17" w:rsidRPr="00E07B1B" w:rsidTr="007D1572">
        <w:trPr>
          <w:cantSplit/>
        </w:trPr>
        <w:tc>
          <w:tcPr>
            <w:tcW w:w="647" w:type="pct"/>
            <w:tcBorders>
              <w:top w:val="nil"/>
              <w:bottom w:val="single" w:sz="4" w:space="0" w:color="auto"/>
            </w:tcBorders>
            <w:shd w:val="clear" w:color="auto" w:fill="F2F2F2" w:themeFill="background1" w:themeFillShade="F2"/>
          </w:tcPr>
          <w:p w:rsidR="00853A74" w:rsidRPr="00032F97" w:rsidRDefault="00853A74" w:rsidP="007D1572">
            <w:pPr>
              <w:pStyle w:val="TableText"/>
            </w:pPr>
            <w:r w:rsidRPr="00032F97">
              <w:t>Pirkola</w:t>
            </w:r>
            <w:r w:rsidR="007D1572">
              <w:br/>
            </w:r>
            <w:r>
              <w:t>(</w:t>
            </w:r>
            <w:r w:rsidRPr="00032F97">
              <w:t>2010</w:t>
            </w:r>
            <w:r>
              <w:t>)</w:t>
            </w:r>
          </w:p>
        </w:tc>
        <w:tc>
          <w:tcPr>
            <w:tcW w:w="361" w:type="pct"/>
            <w:tcBorders>
              <w:top w:val="nil"/>
              <w:bottom w:val="single" w:sz="4" w:space="0" w:color="auto"/>
            </w:tcBorders>
            <w:shd w:val="clear" w:color="auto" w:fill="F2F2F2" w:themeFill="background1" w:themeFillShade="F2"/>
          </w:tcPr>
          <w:p w:rsidR="00853A74" w:rsidRPr="00032F97" w:rsidRDefault="00853A74" w:rsidP="00A125BF">
            <w:pPr>
              <w:pStyle w:val="TableText"/>
            </w:pPr>
            <w:r w:rsidRPr="00032F97">
              <w:t>Finland</w:t>
            </w:r>
          </w:p>
        </w:tc>
        <w:tc>
          <w:tcPr>
            <w:tcW w:w="576" w:type="pct"/>
            <w:tcBorders>
              <w:top w:val="nil"/>
              <w:bottom w:val="single" w:sz="4" w:space="0" w:color="auto"/>
            </w:tcBorders>
            <w:shd w:val="clear" w:color="auto" w:fill="F2F2F2" w:themeFill="background1" w:themeFillShade="F2"/>
          </w:tcPr>
          <w:p w:rsidR="00853A74" w:rsidRPr="00032F97" w:rsidRDefault="00853A74" w:rsidP="00A125BF">
            <w:pPr>
              <w:pStyle w:val="TableText"/>
            </w:pPr>
            <w:r w:rsidRPr="00032F97">
              <w:t xml:space="preserve">9362 </w:t>
            </w:r>
          </w:p>
        </w:tc>
        <w:tc>
          <w:tcPr>
            <w:tcW w:w="864" w:type="pct"/>
            <w:tcBorders>
              <w:top w:val="nil"/>
              <w:bottom w:val="single" w:sz="4" w:space="0" w:color="auto"/>
            </w:tcBorders>
            <w:shd w:val="clear" w:color="auto" w:fill="F2F2F2" w:themeFill="background1" w:themeFillShade="F2"/>
          </w:tcPr>
          <w:p w:rsidR="00853A74" w:rsidRPr="00032F97" w:rsidRDefault="00853A74" w:rsidP="00A125BF">
            <w:pPr>
              <w:pStyle w:val="TableText"/>
            </w:pPr>
            <w:r w:rsidRPr="00032F97">
              <w:t>Diabetes 1.3%</w:t>
            </w:r>
          </w:p>
        </w:tc>
        <w:tc>
          <w:tcPr>
            <w:tcW w:w="576" w:type="pct"/>
            <w:tcBorders>
              <w:top w:val="nil"/>
              <w:bottom w:val="single" w:sz="4" w:space="0" w:color="auto"/>
            </w:tcBorders>
            <w:shd w:val="clear" w:color="auto" w:fill="F2F2F2" w:themeFill="background1" w:themeFillShade="F2"/>
          </w:tcPr>
          <w:p w:rsidR="00853A74" w:rsidRPr="00032F97" w:rsidRDefault="00853A74" w:rsidP="00BB68CC">
            <w:pPr>
              <w:pStyle w:val="TableText"/>
              <w:jc w:val="center"/>
            </w:pPr>
            <w:r w:rsidRPr="00032F97">
              <w:t>20 years</w:t>
            </w:r>
          </w:p>
        </w:tc>
        <w:tc>
          <w:tcPr>
            <w:tcW w:w="1601" w:type="pct"/>
            <w:tcBorders>
              <w:top w:val="nil"/>
              <w:bottom w:val="single" w:sz="4" w:space="0" w:color="auto"/>
            </w:tcBorders>
            <w:shd w:val="clear" w:color="auto" w:fill="F2F2F2" w:themeFill="background1" w:themeFillShade="F2"/>
          </w:tcPr>
          <w:p w:rsidR="00853A74" w:rsidRPr="00032F97" w:rsidRDefault="00853A74" w:rsidP="00A125BF">
            <w:pPr>
              <w:pStyle w:val="TableText"/>
            </w:pPr>
            <w:r w:rsidRPr="00032F97">
              <w:t xml:space="preserve">National registry </w:t>
            </w:r>
            <w:r>
              <w:t xml:space="preserve">– </w:t>
            </w:r>
            <w:r w:rsidRPr="00032F97">
              <w:t>diagnosed by doctor or by reimbursement for anti-diabetic drugs</w:t>
            </w:r>
          </w:p>
        </w:tc>
        <w:tc>
          <w:tcPr>
            <w:tcW w:w="375" w:type="pct"/>
            <w:tcBorders>
              <w:top w:val="nil"/>
              <w:bottom w:val="single" w:sz="4" w:space="0" w:color="auto"/>
            </w:tcBorders>
            <w:shd w:val="clear" w:color="auto" w:fill="F2F2F2" w:themeFill="background1" w:themeFillShade="F2"/>
          </w:tcPr>
          <w:p w:rsidR="00853A74" w:rsidRPr="00032F97" w:rsidRDefault="00853A74" w:rsidP="00F26D17">
            <w:pPr>
              <w:pStyle w:val="TableText"/>
              <w:jc w:val="center"/>
            </w:pPr>
            <w:r w:rsidRPr="00032F97">
              <w:t>MEDIUM</w:t>
            </w:r>
          </w:p>
        </w:tc>
      </w:tr>
    </w:tbl>
    <w:p w:rsidR="00853A74" w:rsidRPr="00A125BF" w:rsidRDefault="00853A74" w:rsidP="00A125BF">
      <w:pPr>
        <w:pStyle w:val="Note"/>
        <w:ind w:left="0" w:firstLine="0"/>
      </w:pPr>
      <w:r w:rsidRPr="000F6E87">
        <w:t>Note:</w:t>
      </w:r>
      <w:r>
        <w:t xml:space="preserve"> ADA = American Diabetes Association;</w:t>
      </w:r>
      <w:r w:rsidRPr="000F6E87">
        <w:t xml:space="preserve"> FPG </w:t>
      </w:r>
      <w:r>
        <w:t>= f</w:t>
      </w:r>
      <w:r w:rsidRPr="000F6E87">
        <w:t>asting plasma glucose</w:t>
      </w:r>
      <w:r>
        <w:t>;</w:t>
      </w:r>
      <w:r w:rsidRPr="000F6E87">
        <w:t xml:space="preserve"> IFG </w:t>
      </w:r>
      <w:r>
        <w:t>= i</w:t>
      </w:r>
      <w:r w:rsidRPr="000F6E87">
        <w:t>mpaired fasting glucose</w:t>
      </w:r>
      <w:r>
        <w:t>;</w:t>
      </w:r>
      <w:r w:rsidRPr="000F6E87">
        <w:t xml:space="preserve"> IGT</w:t>
      </w:r>
      <w:r>
        <w:t xml:space="preserve"> =</w:t>
      </w:r>
      <w:r w:rsidRPr="000F6E87">
        <w:t xml:space="preserve"> impaired glucose tolerance</w:t>
      </w:r>
      <w:r>
        <w:t>;</w:t>
      </w:r>
      <w:r w:rsidRPr="000F6E87">
        <w:t xml:space="preserve"> GDM </w:t>
      </w:r>
      <w:r>
        <w:t xml:space="preserve">= </w:t>
      </w:r>
      <w:r w:rsidRPr="000F6E87">
        <w:t>gestational diabetes mellitus</w:t>
      </w:r>
      <w:r>
        <w:t>;</w:t>
      </w:r>
      <w:r w:rsidRPr="000F6E87">
        <w:t xml:space="preserve"> OGTT</w:t>
      </w:r>
      <w:r>
        <w:t xml:space="preserve"> =</w:t>
      </w:r>
      <w:r w:rsidRPr="000F6E87">
        <w:t xml:space="preserve"> </w:t>
      </w:r>
      <w:r>
        <w:t>o</w:t>
      </w:r>
      <w:r w:rsidRPr="000F6E87">
        <w:t>ral glucose tolerance test</w:t>
      </w:r>
      <w:r>
        <w:t>;</w:t>
      </w:r>
      <w:r w:rsidRPr="000F6E87">
        <w:t xml:space="preserve"> WHO </w:t>
      </w:r>
      <w:r>
        <w:t xml:space="preserve">= </w:t>
      </w:r>
      <w:r w:rsidRPr="000F6E87">
        <w:t>World Health</w:t>
      </w:r>
      <w:r>
        <w:t xml:space="preserve"> </w:t>
      </w:r>
      <w:r w:rsidRPr="000F6E87">
        <w:t>Organization</w:t>
      </w:r>
      <w:r w:rsidR="00A125BF">
        <w:t>.</w:t>
      </w:r>
    </w:p>
    <w:p w:rsidR="00853A74" w:rsidRPr="00A125BF" w:rsidRDefault="00853A74" w:rsidP="00A125BF">
      <w:pPr>
        <w:pStyle w:val="Note"/>
      </w:pPr>
      <w:r w:rsidRPr="000F6E87">
        <w:t>*</w:t>
      </w:r>
      <w:r w:rsidR="00A125BF">
        <w:tab/>
      </w:r>
      <w:r w:rsidRPr="000F6E87">
        <w:t>The study included some women with more than one pregnancy affected by hyperglycaemia</w:t>
      </w:r>
      <w:r>
        <w:t>.</w:t>
      </w:r>
    </w:p>
    <w:p w:rsidR="00A125BF" w:rsidRDefault="00A125BF" w:rsidP="00853A74">
      <w:bookmarkStart w:id="591" w:name="_Toc363717850"/>
    </w:p>
    <w:p w:rsidR="00A66CC1" w:rsidRDefault="00A66CC1">
      <w:pPr>
        <w:spacing w:line="240" w:lineRule="auto"/>
        <w:rPr>
          <w:b/>
          <w:sz w:val="20"/>
        </w:rPr>
      </w:pPr>
      <w:r>
        <w:br w:type="page"/>
      </w:r>
    </w:p>
    <w:p w:rsidR="00853A74" w:rsidRPr="00E07B1B" w:rsidRDefault="00853A74" w:rsidP="00A66CC1">
      <w:pPr>
        <w:pStyle w:val="Table"/>
        <w:spacing w:before="0"/>
      </w:pPr>
      <w:bookmarkStart w:id="592" w:name="_Toc403635928"/>
      <w:r w:rsidRPr="00E07B1B">
        <w:t>Table 47</w:t>
      </w:r>
      <w:r w:rsidR="00A125BF">
        <w:t>:</w:t>
      </w:r>
      <w:r w:rsidRPr="00E07B1B">
        <w:t xml:space="preserve"> Risk factors associated with developing type 2 diabetes in women diagnosed with gestational diabetes</w:t>
      </w:r>
      <w:bookmarkEnd w:id="591"/>
      <w:bookmarkEnd w:id="592"/>
    </w:p>
    <w:tbl>
      <w:tblPr>
        <w:tblW w:w="4973"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2695"/>
        <w:gridCol w:w="2135"/>
        <w:gridCol w:w="981"/>
        <w:gridCol w:w="1276"/>
        <w:gridCol w:w="6451"/>
        <w:gridCol w:w="1063"/>
      </w:tblGrid>
      <w:tr w:rsidR="00853A74" w:rsidRPr="00A125BF" w:rsidTr="00F67B16">
        <w:trPr>
          <w:cantSplit/>
          <w:tblHeader/>
        </w:trPr>
        <w:tc>
          <w:tcPr>
            <w:tcW w:w="923" w:type="pct"/>
            <w:tcBorders>
              <w:top w:val="single" w:sz="4" w:space="0" w:color="auto"/>
              <w:bottom w:val="single" w:sz="4" w:space="0" w:color="auto"/>
            </w:tcBorders>
            <w:shd w:val="clear" w:color="auto" w:fill="auto"/>
          </w:tcPr>
          <w:p w:rsidR="00853A74" w:rsidRPr="00A125BF" w:rsidRDefault="00853A74" w:rsidP="00A66CC1">
            <w:pPr>
              <w:pStyle w:val="TableText"/>
              <w:rPr>
                <w:b/>
              </w:rPr>
            </w:pPr>
            <w:r w:rsidRPr="00A125BF">
              <w:rPr>
                <w:b/>
              </w:rPr>
              <w:t>Risk factor</w:t>
            </w:r>
          </w:p>
        </w:tc>
        <w:tc>
          <w:tcPr>
            <w:tcW w:w="731" w:type="pct"/>
            <w:tcBorders>
              <w:top w:val="single" w:sz="4" w:space="0" w:color="auto"/>
              <w:bottom w:val="single" w:sz="4" w:space="0" w:color="auto"/>
            </w:tcBorders>
            <w:shd w:val="clear" w:color="auto" w:fill="auto"/>
          </w:tcPr>
          <w:p w:rsidR="00853A74" w:rsidRPr="00A125BF" w:rsidRDefault="00853A74" w:rsidP="00A66CC1">
            <w:pPr>
              <w:pStyle w:val="TableText"/>
              <w:rPr>
                <w:b/>
              </w:rPr>
            </w:pPr>
            <w:r w:rsidRPr="00A125BF">
              <w:rPr>
                <w:b/>
              </w:rPr>
              <w:t>Reference</w:t>
            </w:r>
          </w:p>
        </w:tc>
        <w:tc>
          <w:tcPr>
            <w:tcW w:w="336" w:type="pct"/>
            <w:tcBorders>
              <w:top w:val="single" w:sz="4" w:space="0" w:color="auto"/>
              <w:bottom w:val="single" w:sz="4" w:space="0" w:color="auto"/>
            </w:tcBorders>
            <w:shd w:val="clear" w:color="auto" w:fill="auto"/>
          </w:tcPr>
          <w:p w:rsidR="00853A74" w:rsidRPr="00A125BF" w:rsidRDefault="00853A74" w:rsidP="00A66CC1">
            <w:pPr>
              <w:pStyle w:val="TableText"/>
              <w:rPr>
                <w:b/>
              </w:rPr>
            </w:pPr>
            <w:r w:rsidRPr="00A125BF">
              <w:rPr>
                <w:b/>
              </w:rPr>
              <w:t>Country</w:t>
            </w:r>
          </w:p>
        </w:tc>
        <w:tc>
          <w:tcPr>
            <w:tcW w:w="437" w:type="pct"/>
            <w:tcBorders>
              <w:top w:val="single" w:sz="4" w:space="0" w:color="auto"/>
              <w:bottom w:val="single" w:sz="4" w:space="0" w:color="auto"/>
            </w:tcBorders>
            <w:shd w:val="clear" w:color="auto" w:fill="auto"/>
          </w:tcPr>
          <w:p w:rsidR="00853A74" w:rsidRPr="00A125BF" w:rsidRDefault="00853A74" w:rsidP="00A66CC1">
            <w:pPr>
              <w:pStyle w:val="TableText"/>
              <w:jc w:val="center"/>
              <w:rPr>
                <w:b/>
              </w:rPr>
            </w:pPr>
            <w:r w:rsidRPr="00A125BF">
              <w:rPr>
                <w:b/>
              </w:rPr>
              <w:t>Number of women</w:t>
            </w:r>
          </w:p>
        </w:tc>
        <w:tc>
          <w:tcPr>
            <w:tcW w:w="2209" w:type="pct"/>
            <w:tcBorders>
              <w:top w:val="single" w:sz="4" w:space="0" w:color="auto"/>
              <w:bottom w:val="single" w:sz="4" w:space="0" w:color="auto"/>
            </w:tcBorders>
            <w:shd w:val="clear" w:color="auto" w:fill="auto"/>
          </w:tcPr>
          <w:p w:rsidR="00853A74" w:rsidRPr="00A125BF" w:rsidRDefault="00853A74" w:rsidP="00A66CC1">
            <w:pPr>
              <w:pStyle w:val="TableText"/>
              <w:jc w:val="center"/>
              <w:rPr>
                <w:b/>
              </w:rPr>
            </w:pPr>
            <w:r w:rsidRPr="00A125BF">
              <w:rPr>
                <w:b/>
              </w:rPr>
              <w:t>Risk estimate</w:t>
            </w:r>
          </w:p>
        </w:tc>
        <w:tc>
          <w:tcPr>
            <w:tcW w:w="364" w:type="pct"/>
            <w:tcBorders>
              <w:top w:val="single" w:sz="4" w:space="0" w:color="auto"/>
              <w:bottom w:val="single" w:sz="4" w:space="0" w:color="auto"/>
            </w:tcBorders>
            <w:shd w:val="clear" w:color="auto" w:fill="auto"/>
          </w:tcPr>
          <w:p w:rsidR="00853A74" w:rsidRPr="00A125BF" w:rsidRDefault="00853A74" w:rsidP="00A66CC1">
            <w:pPr>
              <w:pStyle w:val="TableText"/>
              <w:jc w:val="center"/>
              <w:rPr>
                <w:b/>
              </w:rPr>
            </w:pPr>
            <w:r w:rsidRPr="00A125BF">
              <w:rPr>
                <w:b/>
              </w:rPr>
              <w:t>Quality rating</w:t>
            </w:r>
          </w:p>
        </w:tc>
      </w:tr>
      <w:tr w:rsidR="00853A74" w:rsidRPr="00A66CC1" w:rsidTr="00F67B16">
        <w:trPr>
          <w:cantSplit/>
        </w:trPr>
        <w:tc>
          <w:tcPr>
            <w:tcW w:w="5000" w:type="pct"/>
            <w:gridSpan w:val="6"/>
            <w:tcBorders>
              <w:top w:val="single" w:sz="4" w:space="0" w:color="auto"/>
              <w:bottom w:val="nil"/>
            </w:tcBorders>
            <w:shd w:val="clear" w:color="auto" w:fill="F2F2F2" w:themeFill="background1" w:themeFillShade="F2"/>
          </w:tcPr>
          <w:p w:rsidR="00853A74" w:rsidRPr="00A66CC1" w:rsidRDefault="00853A74" w:rsidP="00A66CC1">
            <w:pPr>
              <w:pStyle w:val="TableText"/>
              <w:rPr>
                <w:b/>
              </w:rPr>
            </w:pPr>
            <w:r w:rsidRPr="00A66CC1">
              <w:rPr>
                <w:b/>
              </w:rPr>
              <w:t>Overweight/obesity</w:t>
            </w:r>
          </w:p>
        </w:tc>
      </w:tr>
      <w:tr w:rsidR="00853A74" w:rsidRPr="00E07B1B" w:rsidTr="00A66CC1">
        <w:trPr>
          <w:cantSplit/>
        </w:trPr>
        <w:tc>
          <w:tcPr>
            <w:tcW w:w="923" w:type="pct"/>
            <w:vMerge w:val="restart"/>
            <w:tcBorders>
              <w:top w:val="nil"/>
            </w:tcBorders>
            <w:shd w:val="clear" w:color="auto" w:fill="auto"/>
          </w:tcPr>
          <w:p w:rsidR="00853A74" w:rsidRPr="00E07B1B" w:rsidRDefault="00853A74" w:rsidP="00A66CC1">
            <w:pPr>
              <w:pStyle w:val="TableText"/>
            </w:pPr>
            <w:r w:rsidRPr="00E07B1B">
              <w:t>High pre-pregnancy weight</w:t>
            </w:r>
          </w:p>
        </w:tc>
        <w:tc>
          <w:tcPr>
            <w:tcW w:w="731" w:type="pct"/>
            <w:tcBorders>
              <w:top w:val="nil"/>
            </w:tcBorders>
            <w:shd w:val="clear" w:color="auto" w:fill="auto"/>
          </w:tcPr>
          <w:p w:rsidR="00853A74" w:rsidRPr="00E07B1B" w:rsidRDefault="00853A74" w:rsidP="00A66CC1">
            <w:pPr>
              <w:pStyle w:val="TableText"/>
            </w:pPr>
            <w:r w:rsidRPr="00E07B1B">
              <w:t xml:space="preserve">Russell </w:t>
            </w:r>
            <w:r>
              <w:t>(</w:t>
            </w:r>
            <w:r w:rsidRPr="00E07B1B">
              <w:t>2008</w:t>
            </w:r>
            <w:r>
              <w:t>)</w:t>
            </w:r>
          </w:p>
        </w:tc>
        <w:tc>
          <w:tcPr>
            <w:tcW w:w="336" w:type="pct"/>
            <w:tcBorders>
              <w:top w:val="nil"/>
            </w:tcBorders>
            <w:shd w:val="clear" w:color="auto" w:fill="auto"/>
          </w:tcPr>
          <w:p w:rsidR="00853A74" w:rsidRPr="00E07B1B" w:rsidRDefault="00853A74" w:rsidP="00A66CC1">
            <w:pPr>
              <w:pStyle w:val="TableText"/>
            </w:pPr>
            <w:r w:rsidRPr="00E07B1B">
              <w:t>Canada</w:t>
            </w:r>
          </w:p>
        </w:tc>
        <w:tc>
          <w:tcPr>
            <w:tcW w:w="437" w:type="pct"/>
            <w:tcBorders>
              <w:top w:val="nil"/>
            </w:tcBorders>
            <w:shd w:val="clear" w:color="auto" w:fill="auto"/>
          </w:tcPr>
          <w:p w:rsidR="00853A74" w:rsidRPr="00E07B1B" w:rsidRDefault="00853A74" w:rsidP="00A66CC1">
            <w:pPr>
              <w:pStyle w:val="TableText"/>
              <w:tabs>
                <w:tab w:val="decimal" w:pos="905"/>
              </w:tabs>
            </w:pPr>
            <w:r w:rsidRPr="00E07B1B">
              <w:t>1401</w:t>
            </w:r>
          </w:p>
        </w:tc>
        <w:tc>
          <w:tcPr>
            <w:tcW w:w="2209" w:type="pct"/>
            <w:tcBorders>
              <w:top w:val="nil"/>
            </w:tcBorders>
            <w:shd w:val="clear" w:color="auto" w:fill="auto"/>
          </w:tcPr>
          <w:p w:rsidR="00853A74" w:rsidRPr="00E07B1B" w:rsidRDefault="00853A74" w:rsidP="00A66CC1">
            <w:pPr>
              <w:pStyle w:val="TableText"/>
            </w:pPr>
            <w:r>
              <w:t>A</w:t>
            </w:r>
            <w:r w:rsidRPr="00E07B1B">
              <w:t>dj RR 1.8, 95%CI 1.2</w:t>
            </w:r>
            <w:r>
              <w:t>–</w:t>
            </w:r>
            <w:r w:rsidRPr="00E07B1B">
              <w:t>2.9</w:t>
            </w:r>
          </w:p>
        </w:tc>
        <w:tc>
          <w:tcPr>
            <w:tcW w:w="364" w:type="pct"/>
            <w:tcBorders>
              <w:top w:val="nil"/>
            </w:tcBorders>
            <w:shd w:val="clear" w:color="auto" w:fill="auto"/>
          </w:tcPr>
          <w:p w:rsidR="00853A74" w:rsidRPr="00E07B1B" w:rsidRDefault="00853A74" w:rsidP="00A66CC1">
            <w:pPr>
              <w:pStyle w:val="TableText"/>
              <w:jc w:val="center"/>
            </w:pPr>
            <w:r w:rsidRPr="00E07B1B">
              <w:t>MEDIUM</w:t>
            </w:r>
          </w:p>
        </w:tc>
      </w:tr>
      <w:tr w:rsidR="00853A74" w:rsidRPr="00E07B1B" w:rsidTr="00A66CC1">
        <w:trPr>
          <w:cantSplit/>
        </w:trPr>
        <w:tc>
          <w:tcPr>
            <w:tcW w:w="923" w:type="pct"/>
            <w:vMerge/>
            <w:tcBorders>
              <w:bottom w:val="nil"/>
            </w:tcBorders>
            <w:shd w:val="clear" w:color="auto" w:fill="auto"/>
          </w:tcPr>
          <w:p w:rsidR="00853A74" w:rsidRPr="00E07B1B" w:rsidRDefault="00853A74" w:rsidP="00A66CC1">
            <w:pPr>
              <w:pStyle w:val="TableText"/>
            </w:pPr>
          </w:p>
        </w:tc>
        <w:tc>
          <w:tcPr>
            <w:tcW w:w="731" w:type="pct"/>
            <w:tcBorders>
              <w:bottom w:val="nil"/>
            </w:tcBorders>
            <w:shd w:val="clear" w:color="auto" w:fill="auto"/>
          </w:tcPr>
          <w:p w:rsidR="00853A74" w:rsidRPr="00E07B1B" w:rsidRDefault="00F97CC8" w:rsidP="00A66CC1">
            <w:pPr>
              <w:pStyle w:val="TableText"/>
            </w:pPr>
            <w:hyperlink w:anchor="_ENREF_21" w:tooltip="Oldfield, 2007 #158" w:history="1">
              <w:r w:rsidR="00853A74" w:rsidRPr="00E07B1B">
                <w:rPr>
                  <w:noProof/>
                </w:rPr>
                <w:t xml:space="preserve">Oldfield </w:t>
              </w:r>
              <w:r w:rsidR="00853A74">
                <w:rPr>
                  <w:noProof/>
                </w:rPr>
                <w:t>(</w:t>
              </w:r>
              <w:r w:rsidR="00853A74" w:rsidRPr="00E07B1B">
                <w:rPr>
                  <w:noProof/>
                </w:rPr>
                <w:t>2007</w:t>
              </w:r>
            </w:hyperlink>
            <w:r w:rsidR="00853A74">
              <w:rPr>
                <w:noProof/>
              </w:rPr>
              <w:t>)</w:t>
            </w:r>
          </w:p>
        </w:tc>
        <w:tc>
          <w:tcPr>
            <w:tcW w:w="336" w:type="pct"/>
            <w:tcBorders>
              <w:bottom w:val="nil"/>
            </w:tcBorders>
            <w:shd w:val="clear" w:color="auto" w:fill="auto"/>
          </w:tcPr>
          <w:p w:rsidR="00853A74" w:rsidRPr="00E07B1B" w:rsidRDefault="00853A74" w:rsidP="00A66CC1">
            <w:pPr>
              <w:pStyle w:val="TableText"/>
            </w:pPr>
            <w:r w:rsidRPr="00E07B1B">
              <w:t>UK</w:t>
            </w:r>
          </w:p>
        </w:tc>
        <w:tc>
          <w:tcPr>
            <w:tcW w:w="437" w:type="pct"/>
            <w:tcBorders>
              <w:bottom w:val="nil"/>
            </w:tcBorders>
            <w:shd w:val="clear" w:color="auto" w:fill="auto"/>
          </w:tcPr>
          <w:p w:rsidR="00853A74" w:rsidRPr="00E07B1B" w:rsidRDefault="00853A74" w:rsidP="00A66CC1">
            <w:pPr>
              <w:pStyle w:val="TableText"/>
              <w:tabs>
                <w:tab w:val="decimal" w:pos="905"/>
              </w:tabs>
            </w:pPr>
            <w:r w:rsidRPr="00E07B1B">
              <w:t>73</w:t>
            </w:r>
          </w:p>
        </w:tc>
        <w:tc>
          <w:tcPr>
            <w:tcW w:w="2209" w:type="pct"/>
            <w:tcBorders>
              <w:bottom w:val="nil"/>
            </w:tcBorders>
            <w:shd w:val="clear" w:color="auto" w:fill="auto"/>
          </w:tcPr>
          <w:p w:rsidR="00853A74" w:rsidRPr="00E07B1B" w:rsidRDefault="00853A74" w:rsidP="00A66CC1">
            <w:pPr>
              <w:pStyle w:val="TableText"/>
            </w:pPr>
            <w:r w:rsidRPr="00E07B1B">
              <w:t>Caucasian OR 1.02 (95%CI 1.01</w:t>
            </w:r>
            <w:r>
              <w:t>–</w:t>
            </w:r>
            <w:r w:rsidRPr="00E07B1B">
              <w:t xml:space="preserve">1.05, </w:t>
            </w:r>
            <w:r w:rsidRPr="00B749B8">
              <w:rPr>
                <w:i/>
              </w:rPr>
              <w:t>p</w:t>
            </w:r>
            <w:r>
              <w:t xml:space="preserve"> </w:t>
            </w:r>
            <w:r w:rsidRPr="00E07B1B">
              <w:t>&lt;</w:t>
            </w:r>
            <w:r>
              <w:t xml:space="preserve"> </w:t>
            </w:r>
            <w:r w:rsidRPr="00E07B1B">
              <w:t>0.01), South Asian OR 1.04 (95%CI 1.03</w:t>
            </w:r>
            <w:r>
              <w:t>–</w:t>
            </w:r>
            <w:r w:rsidRPr="00E07B1B">
              <w:t xml:space="preserve">1.08, </w:t>
            </w:r>
            <w:r w:rsidRPr="00B749B8">
              <w:rPr>
                <w:i/>
              </w:rPr>
              <w:t>p</w:t>
            </w:r>
            <w:r>
              <w:t xml:space="preserve"> </w:t>
            </w:r>
            <w:r w:rsidRPr="00E07B1B">
              <w:t>=</w:t>
            </w:r>
            <w:r>
              <w:t xml:space="preserve"> </w:t>
            </w:r>
            <w:r w:rsidRPr="00E07B1B">
              <w:t>0.04)</w:t>
            </w:r>
          </w:p>
        </w:tc>
        <w:tc>
          <w:tcPr>
            <w:tcW w:w="364" w:type="pct"/>
            <w:tcBorders>
              <w:bottom w:val="nil"/>
            </w:tcBorders>
            <w:shd w:val="clear" w:color="auto" w:fill="auto"/>
          </w:tcPr>
          <w:p w:rsidR="00853A74" w:rsidRPr="00E07B1B" w:rsidRDefault="00853A74" w:rsidP="00A66CC1">
            <w:pPr>
              <w:pStyle w:val="TableText"/>
              <w:jc w:val="center"/>
            </w:pPr>
            <w:r w:rsidRPr="00E07B1B">
              <w:t>LOW</w:t>
            </w:r>
          </w:p>
        </w:tc>
      </w:tr>
      <w:tr w:rsidR="00853A74" w:rsidRPr="00E07B1B" w:rsidTr="00A66CC1">
        <w:trPr>
          <w:cantSplit/>
        </w:trPr>
        <w:tc>
          <w:tcPr>
            <w:tcW w:w="923" w:type="pct"/>
            <w:vMerge w:val="restart"/>
            <w:tcBorders>
              <w:top w:val="nil"/>
              <w:bottom w:val="nil"/>
            </w:tcBorders>
            <w:shd w:val="clear" w:color="auto" w:fill="F2F2F2" w:themeFill="background1" w:themeFillShade="F2"/>
          </w:tcPr>
          <w:p w:rsidR="00853A74" w:rsidRPr="00E07B1B" w:rsidRDefault="00853A74" w:rsidP="00A66CC1">
            <w:pPr>
              <w:pStyle w:val="TableText"/>
            </w:pPr>
            <w:r w:rsidRPr="00E07B1B">
              <w:t>BMI</w:t>
            </w:r>
            <w:r>
              <w:t xml:space="preserve"> </w:t>
            </w:r>
            <w:r w:rsidRPr="00E07B1B">
              <w:t>&gt;</w:t>
            </w:r>
            <w:r>
              <w:t xml:space="preserve"> </w:t>
            </w:r>
            <w:r w:rsidRPr="00E07B1B">
              <w:t>30</w:t>
            </w:r>
            <w:r>
              <w:t xml:space="preserve"> </w:t>
            </w:r>
            <w:r w:rsidRPr="00E07B1B">
              <w:t>kg/m</w:t>
            </w:r>
            <w:r w:rsidRPr="00E07B1B">
              <w:rPr>
                <w:vertAlign w:val="superscript"/>
              </w:rPr>
              <w:t>2</w:t>
            </w:r>
          </w:p>
        </w:tc>
        <w:tc>
          <w:tcPr>
            <w:tcW w:w="731" w:type="pct"/>
            <w:tcBorders>
              <w:top w:val="nil"/>
              <w:bottom w:val="nil"/>
            </w:tcBorders>
            <w:shd w:val="clear" w:color="auto" w:fill="F2F2F2" w:themeFill="background1" w:themeFillShade="F2"/>
          </w:tcPr>
          <w:p w:rsidR="00853A74" w:rsidRPr="00E07B1B" w:rsidRDefault="00853A74" w:rsidP="00A66CC1">
            <w:pPr>
              <w:pStyle w:val="TableText"/>
            </w:pPr>
            <w:r w:rsidRPr="00E07B1B">
              <w:t xml:space="preserve">Chodick </w:t>
            </w:r>
            <w:r>
              <w:t>(</w:t>
            </w:r>
            <w:r w:rsidRPr="00E07B1B">
              <w:t>2010</w:t>
            </w:r>
            <w:r>
              <w:t>)</w:t>
            </w:r>
          </w:p>
        </w:tc>
        <w:tc>
          <w:tcPr>
            <w:tcW w:w="336" w:type="pct"/>
            <w:tcBorders>
              <w:top w:val="nil"/>
              <w:bottom w:val="nil"/>
            </w:tcBorders>
            <w:shd w:val="clear" w:color="auto" w:fill="F2F2F2" w:themeFill="background1" w:themeFillShade="F2"/>
          </w:tcPr>
          <w:p w:rsidR="00853A74" w:rsidRPr="00E07B1B" w:rsidRDefault="00853A74" w:rsidP="00A66CC1">
            <w:pPr>
              <w:pStyle w:val="TableText"/>
            </w:pPr>
            <w:r w:rsidRPr="00E07B1B">
              <w:t>Israel</w:t>
            </w:r>
          </w:p>
        </w:tc>
        <w:tc>
          <w:tcPr>
            <w:tcW w:w="437" w:type="pct"/>
            <w:tcBorders>
              <w:top w:val="nil"/>
              <w:bottom w:val="nil"/>
            </w:tcBorders>
            <w:shd w:val="clear" w:color="auto" w:fill="F2F2F2" w:themeFill="background1" w:themeFillShade="F2"/>
          </w:tcPr>
          <w:p w:rsidR="00853A74" w:rsidRPr="00E07B1B" w:rsidRDefault="00853A74" w:rsidP="00A66CC1">
            <w:pPr>
              <w:pStyle w:val="TableText"/>
              <w:tabs>
                <w:tab w:val="decimal" w:pos="905"/>
              </w:tabs>
            </w:pPr>
            <w:r w:rsidRPr="00E07B1B">
              <w:t>185,416</w:t>
            </w:r>
          </w:p>
        </w:tc>
        <w:tc>
          <w:tcPr>
            <w:tcW w:w="2209" w:type="pct"/>
            <w:tcBorders>
              <w:top w:val="nil"/>
              <w:bottom w:val="nil"/>
            </w:tcBorders>
            <w:shd w:val="clear" w:color="auto" w:fill="F2F2F2" w:themeFill="background1" w:themeFillShade="F2"/>
          </w:tcPr>
          <w:p w:rsidR="00853A74" w:rsidRPr="00E07B1B" w:rsidRDefault="00853A74" w:rsidP="00A66CC1">
            <w:pPr>
              <w:pStyle w:val="TableText"/>
            </w:pPr>
            <w:r>
              <w:t>A</w:t>
            </w:r>
            <w:r w:rsidRPr="00E07B1B">
              <w:t>dj HR 5.12 (95%CI 4.38</w:t>
            </w:r>
            <w:r>
              <w:t>–</w:t>
            </w:r>
            <w:r w:rsidRPr="00E07B1B">
              <w:t xml:space="preserve">5.97, </w:t>
            </w:r>
            <w:r w:rsidRPr="00B749B8">
              <w:rPr>
                <w:i/>
              </w:rPr>
              <w:t>p</w:t>
            </w:r>
            <w:r>
              <w:t xml:space="preserve"> </w:t>
            </w:r>
            <w:r w:rsidRPr="00E07B1B">
              <w:t>&lt;</w:t>
            </w:r>
            <w:r>
              <w:t xml:space="preserve"> </w:t>
            </w:r>
            <w:r w:rsidRPr="00E07B1B">
              <w:t>0.001)</w:t>
            </w:r>
          </w:p>
        </w:tc>
        <w:tc>
          <w:tcPr>
            <w:tcW w:w="364" w:type="pct"/>
            <w:tcBorders>
              <w:top w:val="nil"/>
              <w:bottom w:val="nil"/>
            </w:tcBorders>
            <w:shd w:val="clear" w:color="auto" w:fill="F2F2F2" w:themeFill="background1" w:themeFillShade="F2"/>
          </w:tcPr>
          <w:p w:rsidR="00853A74" w:rsidRPr="00E07B1B" w:rsidRDefault="00853A74" w:rsidP="00A66CC1">
            <w:pPr>
              <w:pStyle w:val="TableText"/>
              <w:jc w:val="center"/>
            </w:pPr>
            <w:r w:rsidRPr="00E07B1B">
              <w:t>HIGH</w:t>
            </w:r>
          </w:p>
        </w:tc>
      </w:tr>
      <w:tr w:rsidR="00853A74" w:rsidRPr="00E07B1B" w:rsidTr="00A66CC1">
        <w:trPr>
          <w:cantSplit/>
        </w:trPr>
        <w:tc>
          <w:tcPr>
            <w:tcW w:w="923" w:type="pct"/>
            <w:vMerge/>
            <w:tcBorders>
              <w:top w:val="nil"/>
              <w:bottom w:val="nil"/>
            </w:tcBorders>
            <w:shd w:val="clear" w:color="auto" w:fill="F2F2F2" w:themeFill="background1" w:themeFillShade="F2"/>
          </w:tcPr>
          <w:p w:rsidR="00853A74" w:rsidRPr="00E07B1B" w:rsidRDefault="00853A74" w:rsidP="00A66CC1">
            <w:pPr>
              <w:pStyle w:val="TableText"/>
            </w:pPr>
          </w:p>
        </w:tc>
        <w:tc>
          <w:tcPr>
            <w:tcW w:w="731" w:type="pct"/>
            <w:tcBorders>
              <w:top w:val="nil"/>
              <w:bottom w:val="nil"/>
            </w:tcBorders>
            <w:shd w:val="clear" w:color="auto" w:fill="F2F2F2" w:themeFill="background1" w:themeFillShade="F2"/>
          </w:tcPr>
          <w:p w:rsidR="00853A74" w:rsidRPr="00E07B1B" w:rsidRDefault="00853A74" w:rsidP="00A66CC1">
            <w:pPr>
              <w:pStyle w:val="TableText"/>
            </w:pPr>
            <w:r w:rsidRPr="00E07B1B">
              <w:t xml:space="preserve">Schaefer-Graf </w:t>
            </w:r>
            <w:r>
              <w:t>(</w:t>
            </w:r>
            <w:r w:rsidRPr="00E07B1B">
              <w:t>2009</w:t>
            </w:r>
            <w:r>
              <w:t>)</w:t>
            </w:r>
          </w:p>
        </w:tc>
        <w:tc>
          <w:tcPr>
            <w:tcW w:w="336" w:type="pct"/>
            <w:tcBorders>
              <w:top w:val="nil"/>
              <w:bottom w:val="nil"/>
            </w:tcBorders>
            <w:shd w:val="clear" w:color="auto" w:fill="F2F2F2" w:themeFill="background1" w:themeFillShade="F2"/>
          </w:tcPr>
          <w:p w:rsidR="00853A74" w:rsidRPr="00E07B1B" w:rsidRDefault="00853A74" w:rsidP="00A66CC1">
            <w:pPr>
              <w:pStyle w:val="TableText"/>
            </w:pPr>
          </w:p>
        </w:tc>
        <w:tc>
          <w:tcPr>
            <w:tcW w:w="437" w:type="pct"/>
            <w:tcBorders>
              <w:top w:val="nil"/>
              <w:bottom w:val="nil"/>
            </w:tcBorders>
            <w:shd w:val="clear" w:color="auto" w:fill="F2F2F2" w:themeFill="background1" w:themeFillShade="F2"/>
          </w:tcPr>
          <w:p w:rsidR="00853A74" w:rsidRPr="00E07B1B" w:rsidRDefault="00853A74" w:rsidP="00A66CC1">
            <w:pPr>
              <w:pStyle w:val="TableText"/>
              <w:tabs>
                <w:tab w:val="decimal" w:pos="905"/>
              </w:tabs>
            </w:pPr>
          </w:p>
        </w:tc>
        <w:tc>
          <w:tcPr>
            <w:tcW w:w="2209" w:type="pct"/>
            <w:tcBorders>
              <w:top w:val="nil"/>
              <w:bottom w:val="nil"/>
            </w:tcBorders>
            <w:shd w:val="clear" w:color="auto" w:fill="F2F2F2" w:themeFill="background1" w:themeFillShade="F2"/>
          </w:tcPr>
          <w:p w:rsidR="00853A74" w:rsidRPr="00E07B1B" w:rsidRDefault="00853A74" w:rsidP="00A66CC1">
            <w:pPr>
              <w:pStyle w:val="TableText"/>
            </w:pPr>
            <w:r w:rsidRPr="00E07B1B">
              <w:t>OR 2.12 (95%CI 1.33</w:t>
            </w:r>
            <w:r>
              <w:t>–</w:t>
            </w:r>
            <w:r w:rsidRPr="00E07B1B">
              <w:t xml:space="preserve">3.40, </w:t>
            </w:r>
            <w:r w:rsidRPr="00B749B8">
              <w:rPr>
                <w:i/>
              </w:rPr>
              <w:t>p</w:t>
            </w:r>
            <w:r>
              <w:rPr>
                <w:i/>
              </w:rPr>
              <w:t xml:space="preserve"> </w:t>
            </w:r>
            <w:r w:rsidRPr="00E07B1B">
              <w:t>=</w:t>
            </w:r>
            <w:r>
              <w:t xml:space="preserve"> </w:t>
            </w:r>
            <w:r w:rsidRPr="00E07B1B">
              <w:t>0.002)</w:t>
            </w:r>
          </w:p>
        </w:tc>
        <w:tc>
          <w:tcPr>
            <w:tcW w:w="364" w:type="pct"/>
            <w:tcBorders>
              <w:top w:val="nil"/>
              <w:bottom w:val="nil"/>
            </w:tcBorders>
            <w:shd w:val="clear" w:color="auto" w:fill="F2F2F2" w:themeFill="background1" w:themeFillShade="F2"/>
          </w:tcPr>
          <w:p w:rsidR="00853A74" w:rsidRPr="00E07B1B" w:rsidRDefault="00853A74" w:rsidP="00A66CC1">
            <w:pPr>
              <w:pStyle w:val="TableText"/>
              <w:jc w:val="center"/>
            </w:pPr>
            <w:r w:rsidRPr="00E07B1B">
              <w:t>LOW</w:t>
            </w:r>
          </w:p>
        </w:tc>
      </w:tr>
      <w:tr w:rsidR="00853A74" w:rsidRPr="00E07B1B" w:rsidTr="00A66CC1">
        <w:trPr>
          <w:cantSplit/>
        </w:trPr>
        <w:tc>
          <w:tcPr>
            <w:tcW w:w="923" w:type="pct"/>
            <w:tcBorders>
              <w:top w:val="nil"/>
              <w:bottom w:val="nil"/>
            </w:tcBorders>
            <w:shd w:val="clear" w:color="auto" w:fill="auto"/>
          </w:tcPr>
          <w:p w:rsidR="00853A74" w:rsidRPr="00E07B1B" w:rsidRDefault="00853A74" w:rsidP="00A66CC1">
            <w:pPr>
              <w:pStyle w:val="TableText"/>
            </w:pPr>
            <w:r w:rsidRPr="00E07B1B">
              <w:t>BMI &gt;</w:t>
            </w:r>
            <w:r>
              <w:t xml:space="preserve"> </w:t>
            </w:r>
            <w:r w:rsidRPr="00E07B1B">
              <w:t>25</w:t>
            </w:r>
            <w:r>
              <w:t xml:space="preserve"> </w:t>
            </w:r>
            <w:r w:rsidRPr="00E07B1B">
              <w:t>kg/m</w:t>
            </w:r>
            <w:r w:rsidRPr="00E07B1B">
              <w:rPr>
                <w:vertAlign w:val="superscript"/>
              </w:rPr>
              <w:t>2</w:t>
            </w:r>
          </w:p>
        </w:tc>
        <w:tc>
          <w:tcPr>
            <w:tcW w:w="731" w:type="pct"/>
            <w:tcBorders>
              <w:top w:val="nil"/>
              <w:bottom w:val="nil"/>
            </w:tcBorders>
            <w:shd w:val="clear" w:color="auto" w:fill="auto"/>
          </w:tcPr>
          <w:p w:rsidR="00853A74" w:rsidRPr="00E07B1B" w:rsidRDefault="00853A74" w:rsidP="00A66CC1">
            <w:pPr>
              <w:pStyle w:val="TableText"/>
            </w:pPr>
            <w:r w:rsidRPr="00E07B1B">
              <w:t xml:space="preserve">Pirkola </w:t>
            </w:r>
            <w:r>
              <w:t>(</w:t>
            </w:r>
            <w:r w:rsidRPr="00E07B1B">
              <w:t>2010</w:t>
            </w:r>
            <w:r>
              <w:t>)</w:t>
            </w:r>
          </w:p>
        </w:tc>
        <w:tc>
          <w:tcPr>
            <w:tcW w:w="336" w:type="pct"/>
            <w:tcBorders>
              <w:top w:val="nil"/>
              <w:bottom w:val="nil"/>
            </w:tcBorders>
            <w:shd w:val="clear" w:color="auto" w:fill="auto"/>
          </w:tcPr>
          <w:p w:rsidR="00853A74" w:rsidRPr="00E07B1B" w:rsidRDefault="00853A74" w:rsidP="00A66CC1">
            <w:pPr>
              <w:pStyle w:val="TableText"/>
            </w:pPr>
            <w:r w:rsidRPr="00E07B1B">
              <w:t>Finland</w:t>
            </w:r>
          </w:p>
        </w:tc>
        <w:tc>
          <w:tcPr>
            <w:tcW w:w="437" w:type="pct"/>
            <w:tcBorders>
              <w:top w:val="nil"/>
              <w:bottom w:val="nil"/>
            </w:tcBorders>
            <w:shd w:val="clear" w:color="auto" w:fill="auto"/>
          </w:tcPr>
          <w:p w:rsidR="00853A74" w:rsidRPr="00E07B1B" w:rsidRDefault="00853A74" w:rsidP="00A66CC1">
            <w:pPr>
              <w:pStyle w:val="TableText"/>
              <w:tabs>
                <w:tab w:val="decimal" w:pos="905"/>
              </w:tabs>
            </w:pPr>
            <w:r w:rsidRPr="00E07B1B">
              <w:t>6483</w:t>
            </w:r>
          </w:p>
        </w:tc>
        <w:tc>
          <w:tcPr>
            <w:tcW w:w="2209" w:type="pct"/>
            <w:tcBorders>
              <w:top w:val="nil"/>
              <w:bottom w:val="nil"/>
            </w:tcBorders>
            <w:shd w:val="clear" w:color="auto" w:fill="auto"/>
          </w:tcPr>
          <w:p w:rsidR="00853A74" w:rsidRPr="00E07B1B" w:rsidRDefault="00853A74" w:rsidP="00A66CC1">
            <w:pPr>
              <w:pStyle w:val="TableText"/>
            </w:pPr>
            <w:r w:rsidRPr="00E07B1B">
              <w:t>HR 47.24 (95%CI 25.53</w:t>
            </w:r>
            <w:r>
              <w:t>–</w:t>
            </w:r>
            <w:r w:rsidRPr="00E07B1B">
              <w:t>87.40,</w:t>
            </w:r>
            <w:r>
              <w:t xml:space="preserve"> </w:t>
            </w:r>
            <w:r w:rsidRPr="00B749B8">
              <w:rPr>
                <w:i/>
              </w:rPr>
              <w:t>p</w:t>
            </w:r>
            <w:r>
              <w:t xml:space="preserve"> </w:t>
            </w:r>
            <w:r w:rsidRPr="00E07B1B">
              <w:t>&lt;</w:t>
            </w:r>
            <w:r>
              <w:t xml:space="preserve"> </w:t>
            </w:r>
            <w:r w:rsidRPr="00E07B1B">
              <w:t>0.001)</w:t>
            </w:r>
          </w:p>
        </w:tc>
        <w:tc>
          <w:tcPr>
            <w:tcW w:w="364" w:type="pct"/>
            <w:tcBorders>
              <w:top w:val="nil"/>
              <w:bottom w:val="nil"/>
            </w:tcBorders>
            <w:shd w:val="clear" w:color="auto" w:fill="auto"/>
          </w:tcPr>
          <w:p w:rsidR="00853A74" w:rsidRPr="00E07B1B" w:rsidRDefault="00853A74" w:rsidP="00A66CC1">
            <w:pPr>
              <w:pStyle w:val="TableText"/>
              <w:jc w:val="center"/>
            </w:pPr>
            <w:r w:rsidRPr="00E07B1B">
              <w:t>MEDIUM</w:t>
            </w:r>
          </w:p>
        </w:tc>
      </w:tr>
      <w:tr w:rsidR="00853A74" w:rsidRPr="00E07B1B" w:rsidTr="00A66CC1">
        <w:trPr>
          <w:cantSplit/>
        </w:trPr>
        <w:tc>
          <w:tcPr>
            <w:tcW w:w="923" w:type="pct"/>
            <w:tcBorders>
              <w:top w:val="nil"/>
              <w:bottom w:val="nil"/>
            </w:tcBorders>
            <w:shd w:val="clear" w:color="auto" w:fill="F2F2F2" w:themeFill="background1" w:themeFillShade="F2"/>
          </w:tcPr>
          <w:p w:rsidR="00853A74" w:rsidRPr="00E07B1B" w:rsidRDefault="00853A74" w:rsidP="00A66CC1">
            <w:pPr>
              <w:pStyle w:val="TableText"/>
            </w:pPr>
            <w:r w:rsidRPr="00E07B1B">
              <w:t>Obesity during pregnancy</w:t>
            </w:r>
          </w:p>
        </w:tc>
        <w:tc>
          <w:tcPr>
            <w:tcW w:w="731" w:type="pct"/>
            <w:tcBorders>
              <w:top w:val="nil"/>
              <w:bottom w:val="nil"/>
            </w:tcBorders>
            <w:shd w:val="clear" w:color="auto" w:fill="F2F2F2" w:themeFill="background1" w:themeFillShade="F2"/>
          </w:tcPr>
          <w:p w:rsidR="00853A74" w:rsidRPr="00E07B1B" w:rsidRDefault="00853A74" w:rsidP="00A66CC1">
            <w:pPr>
              <w:pStyle w:val="TableText"/>
            </w:pPr>
            <w:r w:rsidRPr="00E07B1B">
              <w:t xml:space="preserve">Oldfield </w:t>
            </w:r>
            <w:r>
              <w:t>(</w:t>
            </w:r>
            <w:r w:rsidRPr="00E07B1B">
              <w:t>2007</w:t>
            </w:r>
            <w:r>
              <w:t>)</w:t>
            </w:r>
          </w:p>
        </w:tc>
        <w:tc>
          <w:tcPr>
            <w:tcW w:w="336" w:type="pct"/>
            <w:tcBorders>
              <w:top w:val="nil"/>
              <w:bottom w:val="nil"/>
            </w:tcBorders>
            <w:shd w:val="clear" w:color="auto" w:fill="F2F2F2" w:themeFill="background1" w:themeFillShade="F2"/>
          </w:tcPr>
          <w:p w:rsidR="00853A74" w:rsidRPr="00E07B1B" w:rsidRDefault="00853A74" w:rsidP="00A66CC1">
            <w:pPr>
              <w:pStyle w:val="TableText"/>
            </w:pPr>
            <w:r w:rsidRPr="00E07B1B">
              <w:t>UK</w:t>
            </w:r>
          </w:p>
        </w:tc>
        <w:tc>
          <w:tcPr>
            <w:tcW w:w="437" w:type="pct"/>
            <w:tcBorders>
              <w:top w:val="nil"/>
              <w:bottom w:val="nil"/>
            </w:tcBorders>
            <w:shd w:val="clear" w:color="auto" w:fill="F2F2F2" w:themeFill="background1" w:themeFillShade="F2"/>
          </w:tcPr>
          <w:p w:rsidR="00853A74" w:rsidRPr="00E07B1B" w:rsidRDefault="00853A74" w:rsidP="00A66CC1">
            <w:pPr>
              <w:pStyle w:val="TableText"/>
              <w:tabs>
                <w:tab w:val="decimal" w:pos="905"/>
              </w:tabs>
            </w:pPr>
            <w:r w:rsidRPr="00E07B1B">
              <w:t>73</w:t>
            </w:r>
          </w:p>
        </w:tc>
        <w:tc>
          <w:tcPr>
            <w:tcW w:w="2209" w:type="pct"/>
            <w:tcBorders>
              <w:top w:val="nil"/>
              <w:bottom w:val="nil"/>
            </w:tcBorders>
            <w:shd w:val="clear" w:color="auto" w:fill="F2F2F2" w:themeFill="background1" w:themeFillShade="F2"/>
          </w:tcPr>
          <w:p w:rsidR="00853A74" w:rsidRPr="00E07B1B" w:rsidRDefault="00853A74" w:rsidP="00A66CC1">
            <w:pPr>
              <w:pStyle w:val="TableText"/>
            </w:pPr>
            <w:r w:rsidRPr="00E07B1B">
              <w:t>Caucasian OR</w:t>
            </w:r>
            <w:r>
              <w:t xml:space="preserve"> </w:t>
            </w:r>
            <w:r w:rsidRPr="00E07B1B">
              <w:t>1.21 (95%CI 1.05</w:t>
            </w:r>
            <w:r>
              <w:t>–</w:t>
            </w:r>
            <w:r w:rsidRPr="00E07B1B">
              <w:t xml:space="preserve">1.29, </w:t>
            </w:r>
            <w:r w:rsidRPr="00B749B8">
              <w:rPr>
                <w:i/>
              </w:rPr>
              <w:t>p</w:t>
            </w:r>
            <w:r>
              <w:t xml:space="preserve"> </w:t>
            </w:r>
            <w:r w:rsidRPr="00E07B1B">
              <w:t>&lt;</w:t>
            </w:r>
            <w:r>
              <w:t xml:space="preserve"> </w:t>
            </w:r>
            <w:r w:rsidRPr="00E07B1B">
              <w:t>0.01), South Asian OR</w:t>
            </w:r>
            <w:r>
              <w:t xml:space="preserve"> </w:t>
            </w:r>
            <w:r w:rsidRPr="00E07B1B">
              <w:t>1.20 (95%CI 1.11</w:t>
            </w:r>
            <w:r>
              <w:t>–</w:t>
            </w:r>
            <w:r w:rsidRPr="00E07B1B">
              <w:t xml:space="preserve">1.36, </w:t>
            </w:r>
            <w:r w:rsidRPr="00B749B8">
              <w:rPr>
                <w:i/>
              </w:rPr>
              <w:t>p</w:t>
            </w:r>
            <w:r>
              <w:t xml:space="preserve"> </w:t>
            </w:r>
            <w:r w:rsidRPr="00E07B1B">
              <w:t>&lt;</w:t>
            </w:r>
            <w:r>
              <w:t xml:space="preserve"> </w:t>
            </w:r>
            <w:r w:rsidRPr="00E07B1B">
              <w:t>0.01)</w:t>
            </w:r>
          </w:p>
        </w:tc>
        <w:tc>
          <w:tcPr>
            <w:tcW w:w="364" w:type="pct"/>
            <w:tcBorders>
              <w:top w:val="nil"/>
              <w:bottom w:val="nil"/>
            </w:tcBorders>
            <w:shd w:val="clear" w:color="auto" w:fill="F2F2F2" w:themeFill="background1" w:themeFillShade="F2"/>
          </w:tcPr>
          <w:p w:rsidR="00853A74" w:rsidRPr="00E07B1B" w:rsidRDefault="00853A74" w:rsidP="00A66CC1">
            <w:pPr>
              <w:pStyle w:val="TableText"/>
              <w:jc w:val="center"/>
            </w:pPr>
            <w:r w:rsidRPr="00E07B1B">
              <w:t>LOW</w:t>
            </w:r>
          </w:p>
        </w:tc>
      </w:tr>
      <w:tr w:rsidR="00853A74" w:rsidRPr="00E07B1B" w:rsidTr="00A66CC1">
        <w:trPr>
          <w:cantSplit/>
        </w:trPr>
        <w:tc>
          <w:tcPr>
            <w:tcW w:w="923" w:type="pct"/>
            <w:vMerge w:val="restart"/>
            <w:tcBorders>
              <w:top w:val="nil"/>
            </w:tcBorders>
            <w:shd w:val="clear" w:color="auto" w:fill="auto"/>
          </w:tcPr>
          <w:p w:rsidR="00853A74" w:rsidRPr="00E07B1B" w:rsidRDefault="00853A74" w:rsidP="00A66CC1">
            <w:pPr>
              <w:pStyle w:val="TableText"/>
            </w:pPr>
            <w:r w:rsidRPr="00E07B1B">
              <w:t>Pre-pregnancy BMI ≥</w:t>
            </w:r>
            <w:r>
              <w:t> </w:t>
            </w:r>
            <w:r w:rsidRPr="00E07B1B">
              <w:t>27</w:t>
            </w:r>
            <w:r>
              <w:t> </w:t>
            </w:r>
            <w:r w:rsidRPr="00E07B1B">
              <w:t>kg/m</w:t>
            </w:r>
            <w:r w:rsidRPr="00E07B1B">
              <w:rPr>
                <w:vertAlign w:val="superscript"/>
              </w:rPr>
              <w:t>2</w:t>
            </w:r>
          </w:p>
        </w:tc>
        <w:tc>
          <w:tcPr>
            <w:tcW w:w="731" w:type="pct"/>
            <w:tcBorders>
              <w:top w:val="nil"/>
            </w:tcBorders>
            <w:shd w:val="clear" w:color="auto" w:fill="auto"/>
          </w:tcPr>
          <w:p w:rsidR="00853A74" w:rsidRPr="00E07B1B" w:rsidRDefault="00853A74" w:rsidP="00A66CC1">
            <w:pPr>
              <w:pStyle w:val="TableText"/>
            </w:pPr>
            <w:r w:rsidRPr="00E07B1B">
              <w:t xml:space="preserve">Malinowski-Polubiec </w:t>
            </w:r>
            <w:r>
              <w:t>(</w:t>
            </w:r>
            <w:r w:rsidRPr="00E07B1B">
              <w:t>2012</w:t>
            </w:r>
            <w:r>
              <w:t>)</w:t>
            </w:r>
            <w:r w:rsidRPr="00E07B1B">
              <w:t>*</w:t>
            </w:r>
          </w:p>
        </w:tc>
        <w:tc>
          <w:tcPr>
            <w:tcW w:w="336" w:type="pct"/>
            <w:tcBorders>
              <w:top w:val="nil"/>
            </w:tcBorders>
            <w:shd w:val="clear" w:color="auto" w:fill="auto"/>
          </w:tcPr>
          <w:p w:rsidR="00853A74" w:rsidRPr="00E07B1B" w:rsidRDefault="00853A74" w:rsidP="00A66CC1">
            <w:pPr>
              <w:pStyle w:val="TableText"/>
            </w:pPr>
            <w:r w:rsidRPr="00E07B1B">
              <w:t>Poland</w:t>
            </w:r>
          </w:p>
        </w:tc>
        <w:tc>
          <w:tcPr>
            <w:tcW w:w="437" w:type="pct"/>
            <w:tcBorders>
              <w:top w:val="nil"/>
            </w:tcBorders>
            <w:shd w:val="clear" w:color="auto" w:fill="auto"/>
          </w:tcPr>
          <w:p w:rsidR="00853A74" w:rsidRPr="00E07B1B" w:rsidRDefault="00853A74" w:rsidP="00A66CC1">
            <w:pPr>
              <w:pStyle w:val="TableText"/>
              <w:tabs>
                <w:tab w:val="decimal" w:pos="905"/>
              </w:tabs>
            </w:pPr>
            <w:r w:rsidRPr="00E07B1B">
              <w:t>155</w:t>
            </w:r>
          </w:p>
        </w:tc>
        <w:tc>
          <w:tcPr>
            <w:tcW w:w="2209" w:type="pct"/>
            <w:tcBorders>
              <w:top w:val="nil"/>
            </w:tcBorders>
            <w:shd w:val="clear" w:color="auto" w:fill="auto"/>
          </w:tcPr>
          <w:p w:rsidR="00853A74" w:rsidRPr="00E07B1B" w:rsidRDefault="00853A74" w:rsidP="00A66CC1">
            <w:pPr>
              <w:pStyle w:val="TableText"/>
            </w:pPr>
            <w:r w:rsidRPr="00E07B1B">
              <w:t>BMI ≥</w:t>
            </w:r>
            <w:r>
              <w:t xml:space="preserve"> </w:t>
            </w:r>
            <w:r w:rsidRPr="00E07B1B">
              <w:t>27 kg/m</w:t>
            </w:r>
            <w:r w:rsidRPr="00E07B1B">
              <w:rPr>
                <w:vertAlign w:val="superscript"/>
              </w:rPr>
              <w:t>2</w:t>
            </w:r>
            <w:r w:rsidRPr="00E07B1B">
              <w:t xml:space="preserve"> versus BMI</w:t>
            </w:r>
            <w:r>
              <w:t xml:space="preserve"> </w:t>
            </w:r>
            <w:r w:rsidRPr="00E07B1B">
              <w:t>&lt;</w:t>
            </w:r>
            <w:r>
              <w:t xml:space="preserve"> </w:t>
            </w:r>
            <w:r w:rsidRPr="00E07B1B">
              <w:t>27 kg/m</w:t>
            </w:r>
            <w:r w:rsidRPr="00E07B1B">
              <w:rPr>
                <w:vertAlign w:val="superscript"/>
              </w:rPr>
              <w:t>2</w:t>
            </w:r>
            <w:r w:rsidRPr="00E07B1B">
              <w:t xml:space="preserve"> RR 1.60 (no CIs provided)</w:t>
            </w:r>
          </w:p>
        </w:tc>
        <w:tc>
          <w:tcPr>
            <w:tcW w:w="364" w:type="pct"/>
            <w:tcBorders>
              <w:top w:val="nil"/>
            </w:tcBorders>
            <w:shd w:val="clear" w:color="auto" w:fill="auto"/>
          </w:tcPr>
          <w:p w:rsidR="00853A74" w:rsidRPr="00E07B1B" w:rsidRDefault="00853A74" w:rsidP="00A66CC1">
            <w:pPr>
              <w:pStyle w:val="TableText"/>
              <w:jc w:val="center"/>
            </w:pPr>
            <w:r w:rsidRPr="00E07B1B">
              <w:t>LOW</w:t>
            </w:r>
          </w:p>
        </w:tc>
      </w:tr>
      <w:tr w:rsidR="00853A74" w:rsidRPr="00E07B1B" w:rsidTr="00A66CC1">
        <w:trPr>
          <w:cantSplit/>
        </w:trPr>
        <w:tc>
          <w:tcPr>
            <w:tcW w:w="923" w:type="pct"/>
            <w:vMerge/>
            <w:tcBorders>
              <w:bottom w:val="nil"/>
            </w:tcBorders>
            <w:shd w:val="clear" w:color="auto" w:fill="auto"/>
          </w:tcPr>
          <w:p w:rsidR="00853A74" w:rsidRPr="00E07B1B" w:rsidRDefault="00853A74" w:rsidP="00A66CC1">
            <w:pPr>
              <w:pStyle w:val="TableText"/>
            </w:pPr>
          </w:p>
        </w:tc>
        <w:tc>
          <w:tcPr>
            <w:tcW w:w="731" w:type="pct"/>
            <w:tcBorders>
              <w:bottom w:val="nil"/>
            </w:tcBorders>
            <w:shd w:val="clear" w:color="auto" w:fill="auto"/>
          </w:tcPr>
          <w:p w:rsidR="00853A74" w:rsidRPr="00E07B1B" w:rsidRDefault="00853A74" w:rsidP="00A66CC1">
            <w:pPr>
              <w:pStyle w:val="TableText"/>
            </w:pPr>
            <w:r w:rsidRPr="00E07B1B">
              <w:t xml:space="preserve">Kim </w:t>
            </w:r>
            <w:r>
              <w:t>(</w:t>
            </w:r>
            <w:r w:rsidRPr="00E07B1B">
              <w:t>2011</w:t>
            </w:r>
            <w:r>
              <w:t>)</w:t>
            </w:r>
          </w:p>
        </w:tc>
        <w:tc>
          <w:tcPr>
            <w:tcW w:w="336" w:type="pct"/>
            <w:tcBorders>
              <w:bottom w:val="nil"/>
            </w:tcBorders>
            <w:shd w:val="clear" w:color="auto" w:fill="auto"/>
          </w:tcPr>
          <w:p w:rsidR="00853A74" w:rsidRPr="00E07B1B" w:rsidRDefault="00853A74" w:rsidP="00A66CC1">
            <w:pPr>
              <w:pStyle w:val="TableText"/>
            </w:pPr>
            <w:r w:rsidRPr="00E07B1B">
              <w:t>Korea</w:t>
            </w:r>
          </w:p>
        </w:tc>
        <w:tc>
          <w:tcPr>
            <w:tcW w:w="437" w:type="pct"/>
            <w:tcBorders>
              <w:bottom w:val="nil"/>
            </w:tcBorders>
            <w:shd w:val="clear" w:color="auto" w:fill="auto"/>
          </w:tcPr>
          <w:p w:rsidR="00853A74" w:rsidRPr="00E07B1B" w:rsidRDefault="00853A74" w:rsidP="00A66CC1">
            <w:pPr>
              <w:pStyle w:val="TableText"/>
              <w:tabs>
                <w:tab w:val="decimal" w:pos="905"/>
              </w:tabs>
            </w:pPr>
            <w:r w:rsidRPr="00E07B1B">
              <w:t>882</w:t>
            </w:r>
          </w:p>
        </w:tc>
        <w:tc>
          <w:tcPr>
            <w:tcW w:w="2209" w:type="pct"/>
            <w:tcBorders>
              <w:bottom w:val="nil"/>
            </w:tcBorders>
            <w:shd w:val="clear" w:color="auto" w:fill="auto"/>
          </w:tcPr>
          <w:p w:rsidR="00853A74" w:rsidRPr="00E07B1B" w:rsidRDefault="00853A74" w:rsidP="00A66CC1">
            <w:pPr>
              <w:pStyle w:val="TableText"/>
            </w:pPr>
            <w:r w:rsidRPr="00B749B8">
              <w:rPr>
                <w:i/>
              </w:rPr>
              <w:t>β</w:t>
            </w:r>
            <w:r>
              <w:t xml:space="preserve"> </w:t>
            </w:r>
            <w:r w:rsidRPr="00E07B1B">
              <w:t>=</w:t>
            </w:r>
            <w:r>
              <w:t xml:space="preserve"> </w:t>
            </w:r>
            <w:r w:rsidRPr="00E07B1B">
              <w:t xml:space="preserve">0.05, </w:t>
            </w:r>
            <w:r w:rsidRPr="00B749B8">
              <w:rPr>
                <w:i/>
              </w:rPr>
              <w:t>p</w:t>
            </w:r>
            <w:r>
              <w:t xml:space="preserve"> </w:t>
            </w:r>
            <w:r w:rsidRPr="00E07B1B">
              <w:t>=</w:t>
            </w:r>
            <w:r>
              <w:t xml:space="preserve"> </w:t>
            </w:r>
            <w:r w:rsidRPr="00E07B1B">
              <w:t>0.03</w:t>
            </w:r>
          </w:p>
        </w:tc>
        <w:tc>
          <w:tcPr>
            <w:tcW w:w="364" w:type="pct"/>
            <w:tcBorders>
              <w:bottom w:val="nil"/>
            </w:tcBorders>
            <w:shd w:val="clear" w:color="auto" w:fill="auto"/>
          </w:tcPr>
          <w:p w:rsidR="00853A74" w:rsidRPr="00E07B1B" w:rsidRDefault="00853A74" w:rsidP="00A66CC1">
            <w:pPr>
              <w:pStyle w:val="TableText"/>
              <w:jc w:val="center"/>
            </w:pPr>
            <w:r w:rsidRPr="00E07B1B">
              <w:t>LOW</w:t>
            </w:r>
          </w:p>
        </w:tc>
      </w:tr>
      <w:tr w:rsidR="00853A74" w:rsidRPr="00E07B1B" w:rsidTr="00A66CC1">
        <w:trPr>
          <w:cantSplit/>
        </w:trPr>
        <w:tc>
          <w:tcPr>
            <w:tcW w:w="923" w:type="pct"/>
            <w:vMerge w:val="restart"/>
            <w:tcBorders>
              <w:top w:val="nil"/>
              <w:bottom w:val="nil"/>
            </w:tcBorders>
            <w:shd w:val="clear" w:color="auto" w:fill="F2F2F2" w:themeFill="background1" w:themeFillShade="F2"/>
          </w:tcPr>
          <w:p w:rsidR="00853A74" w:rsidRPr="00E07B1B" w:rsidRDefault="00853A74" w:rsidP="00A66CC1">
            <w:pPr>
              <w:pStyle w:val="TableText"/>
            </w:pPr>
            <w:r w:rsidRPr="00E07B1B">
              <w:t>High postpartum BMI</w:t>
            </w:r>
          </w:p>
        </w:tc>
        <w:tc>
          <w:tcPr>
            <w:tcW w:w="731" w:type="pct"/>
            <w:tcBorders>
              <w:top w:val="nil"/>
              <w:bottom w:val="nil"/>
            </w:tcBorders>
            <w:shd w:val="clear" w:color="auto" w:fill="F2F2F2" w:themeFill="background1" w:themeFillShade="F2"/>
          </w:tcPr>
          <w:p w:rsidR="00853A74" w:rsidRPr="00E07B1B" w:rsidRDefault="00853A74" w:rsidP="00A66CC1">
            <w:pPr>
              <w:pStyle w:val="TableText"/>
            </w:pPr>
            <w:r w:rsidRPr="00E07B1B">
              <w:t xml:space="preserve">Kim </w:t>
            </w:r>
            <w:r>
              <w:t>(</w:t>
            </w:r>
            <w:r w:rsidRPr="00E07B1B">
              <w:t>2011</w:t>
            </w:r>
            <w:r>
              <w:t>)</w:t>
            </w:r>
          </w:p>
        </w:tc>
        <w:tc>
          <w:tcPr>
            <w:tcW w:w="336" w:type="pct"/>
            <w:tcBorders>
              <w:top w:val="nil"/>
              <w:bottom w:val="nil"/>
            </w:tcBorders>
            <w:shd w:val="clear" w:color="auto" w:fill="F2F2F2" w:themeFill="background1" w:themeFillShade="F2"/>
          </w:tcPr>
          <w:p w:rsidR="00853A74" w:rsidRPr="00E07B1B" w:rsidRDefault="00853A74" w:rsidP="00A66CC1">
            <w:pPr>
              <w:pStyle w:val="TableText"/>
            </w:pPr>
            <w:r w:rsidRPr="00E07B1B">
              <w:t>Korea</w:t>
            </w:r>
          </w:p>
        </w:tc>
        <w:tc>
          <w:tcPr>
            <w:tcW w:w="437" w:type="pct"/>
            <w:tcBorders>
              <w:top w:val="nil"/>
              <w:bottom w:val="nil"/>
            </w:tcBorders>
            <w:shd w:val="clear" w:color="auto" w:fill="F2F2F2" w:themeFill="background1" w:themeFillShade="F2"/>
          </w:tcPr>
          <w:p w:rsidR="00853A74" w:rsidRPr="00E07B1B" w:rsidRDefault="00853A74" w:rsidP="00A66CC1">
            <w:pPr>
              <w:pStyle w:val="TableText"/>
              <w:tabs>
                <w:tab w:val="decimal" w:pos="905"/>
              </w:tabs>
            </w:pPr>
            <w:r w:rsidRPr="00E07B1B">
              <w:t>882</w:t>
            </w:r>
          </w:p>
        </w:tc>
        <w:tc>
          <w:tcPr>
            <w:tcW w:w="2209" w:type="pct"/>
            <w:tcBorders>
              <w:top w:val="nil"/>
              <w:bottom w:val="nil"/>
            </w:tcBorders>
            <w:shd w:val="clear" w:color="auto" w:fill="F2F2F2" w:themeFill="background1" w:themeFillShade="F2"/>
          </w:tcPr>
          <w:p w:rsidR="00853A74" w:rsidRPr="00E07B1B" w:rsidRDefault="00853A74" w:rsidP="00A66CC1">
            <w:pPr>
              <w:pStyle w:val="TableText"/>
            </w:pPr>
            <w:r w:rsidRPr="00B749B8">
              <w:rPr>
                <w:i/>
              </w:rPr>
              <w:t>β</w:t>
            </w:r>
            <w:r>
              <w:t xml:space="preserve"> </w:t>
            </w:r>
            <w:r w:rsidRPr="00E07B1B">
              <w:t>=</w:t>
            </w:r>
            <w:r>
              <w:t xml:space="preserve"> </w:t>
            </w:r>
            <w:r w:rsidRPr="00E07B1B">
              <w:t xml:space="preserve">0.06, </w:t>
            </w:r>
            <w:r w:rsidRPr="00B749B8">
              <w:rPr>
                <w:i/>
              </w:rPr>
              <w:t>p</w:t>
            </w:r>
            <w:r>
              <w:t xml:space="preserve"> </w:t>
            </w:r>
            <w:r w:rsidRPr="00E07B1B">
              <w:t>=</w:t>
            </w:r>
            <w:r>
              <w:t xml:space="preserve"> </w:t>
            </w:r>
            <w:r w:rsidRPr="00E07B1B">
              <w:t>0.04</w:t>
            </w:r>
          </w:p>
        </w:tc>
        <w:tc>
          <w:tcPr>
            <w:tcW w:w="364" w:type="pct"/>
            <w:tcBorders>
              <w:top w:val="nil"/>
              <w:bottom w:val="nil"/>
            </w:tcBorders>
            <w:shd w:val="clear" w:color="auto" w:fill="F2F2F2" w:themeFill="background1" w:themeFillShade="F2"/>
          </w:tcPr>
          <w:p w:rsidR="00853A74" w:rsidRPr="00E07B1B" w:rsidRDefault="00853A74" w:rsidP="00A66CC1">
            <w:pPr>
              <w:pStyle w:val="TableText"/>
              <w:jc w:val="center"/>
            </w:pPr>
            <w:r w:rsidRPr="00E07B1B">
              <w:t>LOW</w:t>
            </w:r>
          </w:p>
        </w:tc>
      </w:tr>
      <w:tr w:rsidR="00853A74" w:rsidRPr="00E07B1B" w:rsidTr="00A66CC1">
        <w:trPr>
          <w:cantSplit/>
        </w:trPr>
        <w:tc>
          <w:tcPr>
            <w:tcW w:w="923" w:type="pct"/>
            <w:vMerge/>
            <w:tcBorders>
              <w:top w:val="nil"/>
              <w:bottom w:val="nil"/>
            </w:tcBorders>
            <w:shd w:val="clear" w:color="auto" w:fill="F2F2F2" w:themeFill="background1" w:themeFillShade="F2"/>
          </w:tcPr>
          <w:p w:rsidR="00853A74" w:rsidRPr="00E07B1B" w:rsidRDefault="00853A74" w:rsidP="00A66CC1">
            <w:pPr>
              <w:pStyle w:val="TableText"/>
            </w:pPr>
          </w:p>
        </w:tc>
        <w:tc>
          <w:tcPr>
            <w:tcW w:w="731" w:type="pct"/>
            <w:tcBorders>
              <w:top w:val="nil"/>
              <w:bottom w:val="nil"/>
            </w:tcBorders>
            <w:shd w:val="clear" w:color="auto" w:fill="F2F2F2" w:themeFill="background1" w:themeFillShade="F2"/>
          </w:tcPr>
          <w:p w:rsidR="00853A74" w:rsidRPr="00E07B1B" w:rsidRDefault="00853A74" w:rsidP="00A66CC1">
            <w:pPr>
              <w:pStyle w:val="TableText"/>
            </w:pPr>
            <w:r w:rsidRPr="00E07B1B">
              <w:t xml:space="preserve">Retnakaran </w:t>
            </w:r>
            <w:r>
              <w:t>(</w:t>
            </w:r>
            <w:r w:rsidRPr="00E07B1B">
              <w:t>2010</w:t>
            </w:r>
            <w:r>
              <w:t>)</w:t>
            </w:r>
          </w:p>
        </w:tc>
        <w:tc>
          <w:tcPr>
            <w:tcW w:w="336" w:type="pct"/>
            <w:tcBorders>
              <w:top w:val="nil"/>
              <w:bottom w:val="nil"/>
            </w:tcBorders>
            <w:shd w:val="clear" w:color="auto" w:fill="F2F2F2" w:themeFill="background1" w:themeFillShade="F2"/>
          </w:tcPr>
          <w:p w:rsidR="00853A74" w:rsidRPr="00E07B1B" w:rsidRDefault="00853A74" w:rsidP="00A66CC1">
            <w:pPr>
              <w:pStyle w:val="TableText"/>
            </w:pPr>
            <w:r w:rsidRPr="00E07B1B">
              <w:t>Canada</w:t>
            </w:r>
          </w:p>
        </w:tc>
        <w:tc>
          <w:tcPr>
            <w:tcW w:w="437" w:type="pct"/>
            <w:tcBorders>
              <w:top w:val="nil"/>
              <w:bottom w:val="nil"/>
            </w:tcBorders>
            <w:shd w:val="clear" w:color="auto" w:fill="F2F2F2" w:themeFill="background1" w:themeFillShade="F2"/>
          </w:tcPr>
          <w:p w:rsidR="00853A74" w:rsidRPr="00E07B1B" w:rsidRDefault="00853A74" w:rsidP="00A66CC1">
            <w:pPr>
              <w:pStyle w:val="TableText"/>
              <w:tabs>
                <w:tab w:val="decimal" w:pos="905"/>
              </w:tabs>
            </w:pPr>
            <w:r w:rsidRPr="00E07B1B">
              <w:t>325</w:t>
            </w:r>
          </w:p>
        </w:tc>
        <w:tc>
          <w:tcPr>
            <w:tcW w:w="2209" w:type="pct"/>
            <w:tcBorders>
              <w:top w:val="nil"/>
              <w:bottom w:val="nil"/>
            </w:tcBorders>
            <w:shd w:val="clear" w:color="auto" w:fill="F2F2F2" w:themeFill="background1" w:themeFillShade="F2"/>
          </w:tcPr>
          <w:p w:rsidR="00853A74" w:rsidRPr="00E07B1B" w:rsidRDefault="00853A74" w:rsidP="00A66CC1">
            <w:pPr>
              <w:pStyle w:val="TableText"/>
            </w:pPr>
            <w:r>
              <w:t>A</w:t>
            </w:r>
            <w:r w:rsidRPr="00E07B1B">
              <w:t xml:space="preserve">dj OR 1.09 </w:t>
            </w:r>
            <w:r>
              <w:t>(</w:t>
            </w:r>
            <w:r w:rsidRPr="00E07B1B">
              <w:t>95%CI 1.03</w:t>
            </w:r>
            <w:r>
              <w:t>–</w:t>
            </w:r>
            <w:r w:rsidRPr="00E07B1B">
              <w:t xml:space="preserve">1.17, </w:t>
            </w:r>
            <w:r w:rsidRPr="00B749B8">
              <w:rPr>
                <w:i/>
              </w:rPr>
              <w:t>p</w:t>
            </w:r>
            <w:r>
              <w:t xml:space="preserve"> </w:t>
            </w:r>
            <w:r w:rsidRPr="00E07B1B">
              <w:t>=</w:t>
            </w:r>
            <w:r>
              <w:t xml:space="preserve"> </w:t>
            </w:r>
            <w:r w:rsidRPr="00E07B1B">
              <w:t>0.007</w:t>
            </w:r>
            <w:r>
              <w:t>)</w:t>
            </w:r>
          </w:p>
        </w:tc>
        <w:tc>
          <w:tcPr>
            <w:tcW w:w="364" w:type="pct"/>
            <w:tcBorders>
              <w:top w:val="nil"/>
              <w:bottom w:val="nil"/>
            </w:tcBorders>
            <w:shd w:val="clear" w:color="auto" w:fill="F2F2F2" w:themeFill="background1" w:themeFillShade="F2"/>
          </w:tcPr>
          <w:p w:rsidR="00853A74" w:rsidRPr="00E07B1B" w:rsidRDefault="00853A74" w:rsidP="00A66CC1">
            <w:pPr>
              <w:pStyle w:val="TableText"/>
              <w:jc w:val="center"/>
            </w:pPr>
            <w:r w:rsidRPr="00E07B1B">
              <w:t>MEDIUM</w:t>
            </w:r>
          </w:p>
        </w:tc>
      </w:tr>
      <w:tr w:rsidR="00853A74" w:rsidRPr="00E07B1B" w:rsidTr="00A66CC1">
        <w:trPr>
          <w:cantSplit/>
        </w:trPr>
        <w:tc>
          <w:tcPr>
            <w:tcW w:w="923" w:type="pct"/>
            <w:vMerge/>
            <w:tcBorders>
              <w:top w:val="nil"/>
              <w:bottom w:val="single" w:sz="4" w:space="0" w:color="A6A6A6" w:themeColor="background1" w:themeShade="A6"/>
            </w:tcBorders>
            <w:shd w:val="clear" w:color="auto" w:fill="F2F2F2" w:themeFill="background1" w:themeFillShade="F2"/>
          </w:tcPr>
          <w:p w:rsidR="00853A74" w:rsidRPr="00E07B1B" w:rsidRDefault="00853A74" w:rsidP="00A66CC1">
            <w:pPr>
              <w:pStyle w:val="TableText"/>
            </w:pPr>
          </w:p>
        </w:tc>
        <w:tc>
          <w:tcPr>
            <w:tcW w:w="731" w:type="pct"/>
            <w:tcBorders>
              <w:top w:val="nil"/>
              <w:bottom w:val="single" w:sz="4" w:space="0" w:color="A6A6A6" w:themeColor="background1" w:themeShade="A6"/>
            </w:tcBorders>
            <w:shd w:val="clear" w:color="auto" w:fill="F2F2F2" w:themeFill="background1" w:themeFillShade="F2"/>
          </w:tcPr>
          <w:p w:rsidR="00853A74" w:rsidRPr="00E07B1B" w:rsidRDefault="00853A74" w:rsidP="00A66CC1">
            <w:pPr>
              <w:pStyle w:val="TableText"/>
            </w:pPr>
            <w:r w:rsidRPr="00E07B1B">
              <w:t xml:space="preserve">Wang </w:t>
            </w:r>
            <w:r>
              <w:t>(2013)</w:t>
            </w:r>
          </w:p>
        </w:tc>
        <w:tc>
          <w:tcPr>
            <w:tcW w:w="336" w:type="pct"/>
            <w:tcBorders>
              <w:top w:val="nil"/>
              <w:bottom w:val="single" w:sz="4" w:space="0" w:color="A6A6A6" w:themeColor="background1" w:themeShade="A6"/>
            </w:tcBorders>
            <w:shd w:val="clear" w:color="auto" w:fill="F2F2F2" w:themeFill="background1" w:themeFillShade="F2"/>
          </w:tcPr>
          <w:p w:rsidR="00853A74" w:rsidRPr="00E07B1B" w:rsidRDefault="00853A74" w:rsidP="00A66CC1">
            <w:pPr>
              <w:pStyle w:val="TableText"/>
            </w:pPr>
            <w:r w:rsidRPr="00E07B1B">
              <w:t>USA</w:t>
            </w:r>
          </w:p>
        </w:tc>
        <w:tc>
          <w:tcPr>
            <w:tcW w:w="437" w:type="pct"/>
            <w:tcBorders>
              <w:top w:val="nil"/>
              <w:bottom w:val="single" w:sz="4" w:space="0" w:color="A6A6A6" w:themeColor="background1" w:themeShade="A6"/>
            </w:tcBorders>
            <w:shd w:val="clear" w:color="auto" w:fill="F2F2F2" w:themeFill="background1" w:themeFillShade="F2"/>
          </w:tcPr>
          <w:p w:rsidR="00853A74" w:rsidRPr="00E07B1B" w:rsidRDefault="00853A74" w:rsidP="00A66CC1">
            <w:pPr>
              <w:pStyle w:val="TableText"/>
              <w:tabs>
                <w:tab w:val="decimal" w:pos="905"/>
              </w:tabs>
            </w:pPr>
            <w:r w:rsidRPr="00E07B1B">
              <w:t>19,998</w:t>
            </w:r>
          </w:p>
        </w:tc>
        <w:tc>
          <w:tcPr>
            <w:tcW w:w="2209" w:type="pct"/>
            <w:tcBorders>
              <w:top w:val="nil"/>
              <w:bottom w:val="single" w:sz="4" w:space="0" w:color="A6A6A6" w:themeColor="background1" w:themeShade="A6"/>
            </w:tcBorders>
            <w:shd w:val="clear" w:color="auto" w:fill="F2F2F2" w:themeFill="background1" w:themeFillShade="F2"/>
          </w:tcPr>
          <w:p w:rsidR="00853A74" w:rsidRPr="00E07B1B" w:rsidRDefault="00853A74" w:rsidP="00A66CC1">
            <w:pPr>
              <w:pStyle w:val="TableText"/>
            </w:pPr>
            <w:r w:rsidRPr="00E07B1B">
              <w:t>&lt;</w:t>
            </w:r>
            <w:r>
              <w:t xml:space="preserve"> </w:t>
            </w:r>
            <w:r w:rsidRPr="00E07B1B">
              <w:t>25</w:t>
            </w:r>
            <w:r>
              <w:t xml:space="preserve"> </w:t>
            </w:r>
            <w:r w:rsidRPr="00E07B1B">
              <w:t>kg/m</w:t>
            </w:r>
            <w:r w:rsidRPr="00E07B1B">
              <w:rPr>
                <w:vertAlign w:val="superscript"/>
              </w:rPr>
              <w:t>2</w:t>
            </w:r>
            <w:r w:rsidRPr="00E07B1B">
              <w:t xml:space="preserve"> HR 7.10 (95%CI 4.53</w:t>
            </w:r>
            <w:r>
              <w:t>–</w:t>
            </w:r>
            <w:r w:rsidRPr="00E07B1B">
              <w:t>11.1)</w:t>
            </w:r>
          </w:p>
          <w:p w:rsidR="00853A74" w:rsidRPr="00E07B1B" w:rsidRDefault="00853A74" w:rsidP="00A66CC1">
            <w:pPr>
              <w:pStyle w:val="TableText"/>
            </w:pPr>
            <w:r w:rsidRPr="00E07B1B">
              <w:t>25</w:t>
            </w:r>
            <w:r>
              <w:t>–</w:t>
            </w:r>
            <w:r w:rsidRPr="00E07B1B">
              <w:t>29.9 kg/m</w:t>
            </w:r>
            <w:r w:rsidRPr="00E07B1B">
              <w:rPr>
                <w:vertAlign w:val="superscript"/>
              </w:rPr>
              <w:t>2</w:t>
            </w:r>
            <w:r w:rsidRPr="00E07B1B">
              <w:t xml:space="preserve"> HR 5.64 (95%CI 3.93</w:t>
            </w:r>
            <w:r>
              <w:t>–</w:t>
            </w:r>
            <w:r w:rsidRPr="00E07B1B">
              <w:t>8.09)</w:t>
            </w:r>
          </w:p>
          <w:p w:rsidR="00853A74" w:rsidRPr="00E07B1B" w:rsidRDefault="00853A74" w:rsidP="00A66CC1">
            <w:pPr>
              <w:pStyle w:val="TableText"/>
            </w:pPr>
            <w:r w:rsidRPr="00E07B1B">
              <w:t>30</w:t>
            </w:r>
            <w:r>
              <w:t>–</w:t>
            </w:r>
            <w:r w:rsidRPr="00E07B1B">
              <w:t>34.9 kg/m</w:t>
            </w:r>
            <w:r w:rsidRPr="00E07B1B">
              <w:rPr>
                <w:vertAlign w:val="superscript"/>
              </w:rPr>
              <w:t>2</w:t>
            </w:r>
            <w:r w:rsidRPr="00E07B1B">
              <w:t xml:space="preserve"> HR 8.39 (95%CI 6.29</w:t>
            </w:r>
            <w:r>
              <w:t>–</w:t>
            </w:r>
            <w:r w:rsidRPr="00E07B1B">
              <w:t>11.2)</w:t>
            </w:r>
          </w:p>
          <w:p w:rsidR="00853A74" w:rsidRPr="00E07B1B" w:rsidRDefault="00853A74" w:rsidP="00A66CC1">
            <w:pPr>
              <w:pStyle w:val="TableText"/>
            </w:pPr>
            <w:r w:rsidRPr="00E07B1B">
              <w:t>≥</w:t>
            </w:r>
            <w:r>
              <w:t xml:space="preserve"> </w:t>
            </w:r>
            <w:r w:rsidRPr="00E07B1B">
              <w:t>35 kg/m</w:t>
            </w:r>
            <w:r w:rsidRPr="00E07B1B">
              <w:rPr>
                <w:vertAlign w:val="superscript"/>
              </w:rPr>
              <w:t>2</w:t>
            </w:r>
            <w:r w:rsidRPr="00E07B1B">
              <w:t xml:space="preserve"> HR 6.03 (95%CI 5.31</w:t>
            </w:r>
            <w:r>
              <w:t>–</w:t>
            </w:r>
            <w:r w:rsidRPr="00E07B1B">
              <w:t>7.48)</w:t>
            </w:r>
          </w:p>
        </w:tc>
        <w:tc>
          <w:tcPr>
            <w:tcW w:w="364" w:type="pct"/>
            <w:tcBorders>
              <w:top w:val="nil"/>
              <w:bottom w:val="single" w:sz="4" w:space="0" w:color="A6A6A6" w:themeColor="background1" w:themeShade="A6"/>
            </w:tcBorders>
            <w:shd w:val="clear" w:color="auto" w:fill="F2F2F2" w:themeFill="background1" w:themeFillShade="F2"/>
          </w:tcPr>
          <w:p w:rsidR="00853A74" w:rsidRPr="00E07B1B" w:rsidRDefault="00853A74" w:rsidP="00A66CC1">
            <w:pPr>
              <w:pStyle w:val="TableText"/>
              <w:jc w:val="center"/>
            </w:pPr>
            <w:r w:rsidRPr="00E07B1B">
              <w:t>HIGH</w:t>
            </w:r>
          </w:p>
        </w:tc>
      </w:tr>
      <w:tr w:rsidR="00853A74" w:rsidRPr="00A66CC1" w:rsidTr="00A66CC1">
        <w:trPr>
          <w:cantSplit/>
        </w:trPr>
        <w:tc>
          <w:tcPr>
            <w:tcW w:w="5000" w:type="pct"/>
            <w:gridSpan w:val="6"/>
            <w:tcBorders>
              <w:top w:val="single" w:sz="4" w:space="0" w:color="A6A6A6" w:themeColor="background1" w:themeShade="A6"/>
              <w:bottom w:val="nil"/>
            </w:tcBorders>
            <w:shd w:val="clear" w:color="auto" w:fill="auto"/>
          </w:tcPr>
          <w:p w:rsidR="00853A74" w:rsidRPr="00A66CC1" w:rsidRDefault="00853A74" w:rsidP="00A66CC1">
            <w:pPr>
              <w:pStyle w:val="TableText"/>
              <w:keepNext/>
              <w:rPr>
                <w:b/>
              </w:rPr>
            </w:pPr>
            <w:r w:rsidRPr="00A66CC1">
              <w:rPr>
                <w:b/>
              </w:rPr>
              <w:t>Disease severity</w:t>
            </w:r>
          </w:p>
        </w:tc>
      </w:tr>
      <w:tr w:rsidR="00853A74" w:rsidRPr="00E07B1B" w:rsidTr="00A66CC1">
        <w:trPr>
          <w:cantSplit/>
        </w:trPr>
        <w:tc>
          <w:tcPr>
            <w:tcW w:w="923" w:type="pct"/>
            <w:vMerge w:val="restart"/>
            <w:tcBorders>
              <w:top w:val="nil"/>
              <w:bottom w:val="nil"/>
            </w:tcBorders>
            <w:shd w:val="clear" w:color="auto" w:fill="F2F2F2" w:themeFill="background1" w:themeFillShade="F2"/>
          </w:tcPr>
          <w:p w:rsidR="00853A74" w:rsidRPr="00E07B1B" w:rsidRDefault="00853A74" w:rsidP="0099772D">
            <w:pPr>
              <w:pStyle w:val="TableText"/>
              <w:keepNext/>
            </w:pPr>
            <w:r w:rsidRPr="00E07B1B">
              <w:t>Insulin therapy during index pregnancy</w:t>
            </w:r>
          </w:p>
        </w:tc>
        <w:tc>
          <w:tcPr>
            <w:tcW w:w="731" w:type="pct"/>
            <w:tcBorders>
              <w:top w:val="nil"/>
              <w:bottom w:val="nil"/>
            </w:tcBorders>
            <w:shd w:val="clear" w:color="auto" w:fill="F2F2F2" w:themeFill="background1" w:themeFillShade="F2"/>
          </w:tcPr>
          <w:p w:rsidR="00853A74" w:rsidRPr="00E07B1B" w:rsidRDefault="00853A74" w:rsidP="0099772D">
            <w:pPr>
              <w:pStyle w:val="TableText"/>
              <w:keepNext/>
            </w:pPr>
            <w:r w:rsidRPr="00E07B1B">
              <w:t xml:space="preserve">Chodick </w:t>
            </w:r>
            <w:r>
              <w:t>(</w:t>
            </w:r>
            <w:r w:rsidRPr="00E07B1B">
              <w:t>2010</w:t>
            </w:r>
            <w:r>
              <w:t>)</w:t>
            </w:r>
          </w:p>
        </w:tc>
        <w:tc>
          <w:tcPr>
            <w:tcW w:w="336" w:type="pct"/>
            <w:tcBorders>
              <w:top w:val="nil"/>
              <w:bottom w:val="nil"/>
            </w:tcBorders>
            <w:shd w:val="clear" w:color="auto" w:fill="F2F2F2" w:themeFill="background1" w:themeFillShade="F2"/>
          </w:tcPr>
          <w:p w:rsidR="00853A74" w:rsidRPr="00E07B1B" w:rsidRDefault="00853A74" w:rsidP="0099772D">
            <w:pPr>
              <w:pStyle w:val="TableText"/>
              <w:keepNext/>
            </w:pPr>
            <w:r w:rsidRPr="00E07B1B">
              <w:t>Israel</w:t>
            </w:r>
          </w:p>
        </w:tc>
        <w:tc>
          <w:tcPr>
            <w:tcW w:w="437" w:type="pct"/>
            <w:tcBorders>
              <w:top w:val="nil"/>
              <w:bottom w:val="nil"/>
            </w:tcBorders>
            <w:shd w:val="clear" w:color="auto" w:fill="F2F2F2" w:themeFill="background1" w:themeFillShade="F2"/>
          </w:tcPr>
          <w:p w:rsidR="00853A74" w:rsidRPr="00E07B1B" w:rsidRDefault="00853A74" w:rsidP="0099772D">
            <w:pPr>
              <w:pStyle w:val="TableText"/>
              <w:keepNext/>
              <w:tabs>
                <w:tab w:val="decimal" w:pos="936"/>
              </w:tabs>
            </w:pPr>
            <w:r w:rsidRPr="00E07B1B">
              <w:t>185,416</w:t>
            </w:r>
          </w:p>
        </w:tc>
        <w:tc>
          <w:tcPr>
            <w:tcW w:w="2209" w:type="pct"/>
            <w:tcBorders>
              <w:top w:val="nil"/>
              <w:bottom w:val="nil"/>
            </w:tcBorders>
            <w:shd w:val="clear" w:color="auto" w:fill="F2F2F2" w:themeFill="background1" w:themeFillShade="F2"/>
          </w:tcPr>
          <w:p w:rsidR="00853A74" w:rsidRPr="00E07B1B" w:rsidRDefault="00853A74" w:rsidP="0099772D">
            <w:pPr>
              <w:pStyle w:val="TableText"/>
              <w:keepNext/>
            </w:pPr>
            <w:r>
              <w:t>A</w:t>
            </w:r>
            <w:r w:rsidRPr="00E07B1B">
              <w:t>dj HR 2.77 (95%CI 2.39</w:t>
            </w:r>
            <w:r>
              <w:t>–</w:t>
            </w:r>
            <w:r w:rsidRPr="00E07B1B">
              <w:t xml:space="preserve">3.20, </w:t>
            </w:r>
            <w:r w:rsidRPr="00FB579C">
              <w:rPr>
                <w:i/>
              </w:rPr>
              <w:t>p</w:t>
            </w:r>
            <w:r>
              <w:t xml:space="preserve"> </w:t>
            </w:r>
            <w:r w:rsidRPr="00E07B1B">
              <w:t>&lt;</w:t>
            </w:r>
            <w:r>
              <w:t xml:space="preserve"> </w:t>
            </w:r>
            <w:r w:rsidRPr="00E07B1B">
              <w:t>0.001)</w:t>
            </w:r>
          </w:p>
        </w:tc>
        <w:tc>
          <w:tcPr>
            <w:tcW w:w="364" w:type="pct"/>
            <w:tcBorders>
              <w:top w:val="nil"/>
              <w:bottom w:val="nil"/>
            </w:tcBorders>
            <w:shd w:val="clear" w:color="auto" w:fill="F2F2F2" w:themeFill="background1" w:themeFillShade="F2"/>
          </w:tcPr>
          <w:p w:rsidR="00853A74" w:rsidRPr="00E07B1B" w:rsidRDefault="00853A74" w:rsidP="0099772D">
            <w:pPr>
              <w:pStyle w:val="TableText"/>
              <w:keepNext/>
              <w:jc w:val="center"/>
            </w:pPr>
            <w:r w:rsidRPr="00E07B1B">
              <w:t>HIGH</w:t>
            </w:r>
          </w:p>
        </w:tc>
      </w:tr>
      <w:tr w:rsidR="00853A74" w:rsidRPr="00E07B1B" w:rsidTr="00A66CC1">
        <w:trPr>
          <w:cantSplit/>
        </w:trPr>
        <w:tc>
          <w:tcPr>
            <w:tcW w:w="923" w:type="pct"/>
            <w:vMerge/>
            <w:tcBorders>
              <w:top w:val="nil"/>
              <w:bottom w:val="nil"/>
            </w:tcBorders>
            <w:shd w:val="clear" w:color="auto" w:fill="F2F2F2" w:themeFill="background1" w:themeFillShade="F2"/>
          </w:tcPr>
          <w:p w:rsidR="00853A74" w:rsidRPr="00E07B1B" w:rsidRDefault="00853A74" w:rsidP="0099772D">
            <w:pPr>
              <w:pStyle w:val="TableText"/>
              <w:keepNext/>
            </w:pPr>
          </w:p>
        </w:tc>
        <w:tc>
          <w:tcPr>
            <w:tcW w:w="731" w:type="pct"/>
            <w:tcBorders>
              <w:top w:val="nil"/>
              <w:bottom w:val="nil"/>
            </w:tcBorders>
            <w:shd w:val="clear" w:color="auto" w:fill="F2F2F2" w:themeFill="background1" w:themeFillShade="F2"/>
          </w:tcPr>
          <w:p w:rsidR="00853A74" w:rsidRPr="00E07B1B" w:rsidRDefault="00853A74" w:rsidP="0099772D">
            <w:pPr>
              <w:pStyle w:val="TableText"/>
              <w:keepNext/>
            </w:pPr>
            <w:r w:rsidRPr="00E07B1B">
              <w:t xml:space="preserve">Akinci </w:t>
            </w:r>
            <w:r>
              <w:t>(</w:t>
            </w:r>
            <w:r w:rsidRPr="00E07B1B">
              <w:t>2011</w:t>
            </w:r>
            <w:r>
              <w:t>)</w:t>
            </w:r>
          </w:p>
        </w:tc>
        <w:tc>
          <w:tcPr>
            <w:tcW w:w="336" w:type="pct"/>
            <w:tcBorders>
              <w:top w:val="nil"/>
              <w:bottom w:val="nil"/>
            </w:tcBorders>
            <w:shd w:val="clear" w:color="auto" w:fill="F2F2F2" w:themeFill="background1" w:themeFillShade="F2"/>
          </w:tcPr>
          <w:p w:rsidR="00853A74" w:rsidRPr="00E07B1B" w:rsidRDefault="00853A74" w:rsidP="0099772D">
            <w:pPr>
              <w:pStyle w:val="TableText"/>
              <w:keepNext/>
            </w:pPr>
            <w:r w:rsidRPr="00E07B1B">
              <w:t>Turkey</w:t>
            </w:r>
          </w:p>
        </w:tc>
        <w:tc>
          <w:tcPr>
            <w:tcW w:w="437" w:type="pct"/>
            <w:tcBorders>
              <w:top w:val="nil"/>
              <w:bottom w:val="nil"/>
            </w:tcBorders>
            <w:shd w:val="clear" w:color="auto" w:fill="F2F2F2" w:themeFill="background1" w:themeFillShade="F2"/>
          </w:tcPr>
          <w:p w:rsidR="00853A74" w:rsidRPr="00E07B1B" w:rsidRDefault="00853A74" w:rsidP="0099772D">
            <w:pPr>
              <w:pStyle w:val="TableText"/>
              <w:keepNext/>
              <w:tabs>
                <w:tab w:val="decimal" w:pos="936"/>
              </w:tabs>
            </w:pPr>
            <w:r w:rsidRPr="00E07B1B">
              <w:t>195</w:t>
            </w:r>
          </w:p>
        </w:tc>
        <w:tc>
          <w:tcPr>
            <w:tcW w:w="2209" w:type="pct"/>
            <w:tcBorders>
              <w:top w:val="nil"/>
              <w:bottom w:val="nil"/>
            </w:tcBorders>
            <w:shd w:val="clear" w:color="auto" w:fill="F2F2F2" w:themeFill="background1" w:themeFillShade="F2"/>
          </w:tcPr>
          <w:p w:rsidR="00853A74" w:rsidRPr="00E07B1B" w:rsidRDefault="00853A74" w:rsidP="0099772D">
            <w:pPr>
              <w:pStyle w:val="TableText"/>
              <w:keepNext/>
            </w:pPr>
            <w:r>
              <w:t>A</w:t>
            </w:r>
            <w:r w:rsidRPr="00E07B1B">
              <w:t>dj OR 4.67 (95%CI 1.66</w:t>
            </w:r>
            <w:r>
              <w:t>–</w:t>
            </w:r>
            <w:r w:rsidRPr="00E07B1B">
              <w:t xml:space="preserve">13.18, </w:t>
            </w:r>
            <w:r w:rsidRPr="00FB579C">
              <w:rPr>
                <w:i/>
              </w:rPr>
              <w:t>p</w:t>
            </w:r>
            <w:r>
              <w:t xml:space="preserve"> </w:t>
            </w:r>
            <w:r w:rsidRPr="00E07B1B">
              <w:t>=</w:t>
            </w:r>
            <w:r>
              <w:t xml:space="preserve"> </w:t>
            </w:r>
            <w:r w:rsidRPr="00E07B1B">
              <w:t>0.004</w:t>
            </w:r>
            <w:r>
              <w:t>)</w:t>
            </w:r>
          </w:p>
        </w:tc>
        <w:tc>
          <w:tcPr>
            <w:tcW w:w="364" w:type="pct"/>
            <w:tcBorders>
              <w:top w:val="nil"/>
              <w:bottom w:val="nil"/>
            </w:tcBorders>
            <w:shd w:val="clear" w:color="auto" w:fill="F2F2F2" w:themeFill="background1" w:themeFillShade="F2"/>
          </w:tcPr>
          <w:p w:rsidR="00853A74" w:rsidRPr="00E07B1B" w:rsidRDefault="00853A74" w:rsidP="0099772D">
            <w:pPr>
              <w:pStyle w:val="TableText"/>
              <w:keepNext/>
              <w:jc w:val="center"/>
            </w:pPr>
            <w:r w:rsidRPr="00E07B1B">
              <w:t>MEDIUM</w:t>
            </w:r>
          </w:p>
        </w:tc>
      </w:tr>
      <w:tr w:rsidR="00853A74" w:rsidRPr="00E07B1B" w:rsidTr="00A66CC1">
        <w:trPr>
          <w:cantSplit/>
        </w:trPr>
        <w:tc>
          <w:tcPr>
            <w:tcW w:w="923" w:type="pct"/>
            <w:vMerge/>
            <w:tcBorders>
              <w:top w:val="nil"/>
              <w:bottom w:val="nil"/>
            </w:tcBorders>
            <w:shd w:val="clear" w:color="auto" w:fill="F2F2F2" w:themeFill="background1" w:themeFillShade="F2"/>
          </w:tcPr>
          <w:p w:rsidR="00853A74" w:rsidRPr="00E07B1B" w:rsidRDefault="00853A74" w:rsidP="0099772D">
            <w:pPr>
              <w:pStyle w:val="TableText"/>
              <w:keepNext/>
            </w:pPr>
          </w:p>
        </w:tc>
        <w:tc>
          <w:tcPr>
            <w:tcW w:w="731" w:type="pct"/>
            <w:tcBorders>
              <w:top w:val="nil"/>
              <w:bottom w:val="nil"/>
            </w:tcBorders>
            <w:shd w:val="clear" w:color="auto" w:fill="F2F2F2" w:themeFill="background1" w:themeFillShade="F2"/>
          </w:tcPr>
          <w:p w:rsidR="00853A74" w:rsidRPr="00E07B1B" w:rsidRDefault="00853A74" w:rsidP="0099772D">
            <w:pPr>
              <w:pStyle w:val="TableText"/>
              <w:keepNext/>
            </w:pPr>
            <w:r w:rsidRPr="00E07B1B">
              <w:t xml:space="preserve">Russell </w:t>
            </w:r>
            <w:r>
              <w:t>(</w:t>
            </w:r>
            <w:r w:rsidRPr="00E07B1B">
              <w:t>2008</w:t>
            </w:r>
            <w:r>
              <w:t>)</w:t>
            </w:r>
          </w:p>
        </w:tc>
        <w:tc>
          <w:tcPr>
            <w:tcW w:w="336" w:type="pct"/>
            <w:tcBorders>
              <w:top w:val="nil"/>
              <w:bottom w:val="nil"/>
            </w:tcBorders>
            <w:shd w:val="clear" w:color="auto" w:fill="F2F2F2" w:themeFill="background1" w:themeFillShade="F2"/>
          </w:tcPr>
          <w:p w:rsidR="00853A74" w:rsidRPr="00E07B1B" w:rsidRDefault="00853A74" w:rsidP="0099772D">
            <w:pPr>
              <w:pStyle w:val="TableText"/>
              <w:keepNext/>
            </w:pPr>
            <w:r w:rsidRPr="00E07B1B">
              <w:t>Canada</w:t>
            </w:r>
          </w:p>
        </w:tc>
        <w:tc>
          <w:tcPr>
            <w:tcW w:w="437" w:type="pct"/>
            <w:tcBorders>
              <w:top w:val="nil"/>
              <w:bottom w:val="nil"/>
            </w:tcBorders>
            <w:shd w:val="clear" w:color="auto" w:fill="F2F2F2" w:themeFill="background1" w:themeFillShade="F2"/>
          </w:tcPr>
          <w:p w:rsidR="00853A74" w:rsidRPr="00E07B1B" w:rsidRDefault="00853A74" w:rsidP="0099772D">
            <w:pPr>
              <w:pStyle w:val="TableText"/>
              <w:keepNext/>
              <w:tabs>
                <w:tab w:val="decimal" w:pos="936"/>
              </w:tabs>
            </w:pPr>
            <w:r w:rsidRPr="00E07B1B">
              <w:t>1,401</w:t>
            </w:r>
          </w:p>
        </w:tc>
        <w:tc>
          <w:tcPr>
            <w:tcW w:w="2209" w:type="pct"/>
            <w:tcBorders>
              <w:top w:val="nil"/>
              <w:bottom w:val="nil"/>
            </w:tcBorders>
            <w:shd w:val="clear" w:color="auto" w:fill="F2F2F2" w:themeFill="background1" w:themeFillShade="F2"/>
          </w:tcPr>
          <w:p w:rsidR="00853A74" w:rsidRPr="00E07B1B" w:rsidRDefault="00853A74" w:rsidP="0099772D">
            <w:pPr>
              <w:pStyle w:val="TableText"/>
              <w:keepNext/>
            </w:pPr>
            <w:r>
              <w:t>A</w:t>
            </w:r>
            <w:r w:rsidRPr="00E07B1B">
              <w:t>dj RR 4.1</w:t>
            </w:r>
            <w:r>
              <w:t xml:space="preserve"> </w:t>
            </w:r>
            <w:r w:rsidRPr="00E07B1B">
              <w:t>(95%CI 2.1</w:t>
            </w:r>
            <w:r>
              <w:t>–</w:t>
            </w:r>
            <w:r w:rsidRPr="00E07B1B">
              <w:t>7.9)</w:t>
            </w:r>
          </w:p>
        </w:tc>
        <w:tc>
          <w:tcPr>
            <w:tcW w:w="364" w:type="pct"/>
            <w:tcBorders>
              <w:top w:val="nil"/>
              <w:bottom w:val="nil"/>
            </w:tcBorders>
            <w:shd w:val="clear" w:color="auto" w:fill="F2F2F2" w:themeFill="background1" w:themeFillShade="F2"/>
          </w:tcPr>
          <w:p w:rsidR="00853A74" w:rsidRPr="00E07B1B" w:rsidRDefault="00853A74" w:rsidP="0099772D">
            <w:pPr>
              <w:pStyle w:val="TableText"/>
              <w:keepNext/>
              <w:jc w:val="center"/>
            </w:pPr>
            <w:r w:rsidRPr="00E07B1B">
              <w:t>MEDIUM</w:t>
            </w:r>
          </w:p>
        </w:tc>
      </w:tr>
      <w:tr w:rsidR="00853A74" w:rsidRPr="00E07B1B" w:rsidTr="00A66CC1">
        <w:trPr>
          <w:cantSplit/>
        </w:trPr>
        <w:tc>
          <w:tcPr>
            <w:tcW w:w="923" w:type="pct"/>
            <w:vMerge/>
            <w:tcBorders>
              <w:top w:val="nil"/>
              <w:bottom w:val="nil"/>
            </w:tcBorders>
            <w:shd w:val="clear" w:color="auto" w:fill="F2F2F2" w:themeFill="background1" w:themeFillShade="F2"/>
          </w:tcPr>
          <w:p w:rsidR="00853A74" w:rsidRPr="00E07B1B" w:rsidRDefault="00853A74" w:rsidP="0099772D">
            <w:pPr>
              <w:pStyle w:val="TableText"/>
              <w:keepNext/>
            </w:pPr>
          </w:p>
        </w:tc>
        <w:tc>
          <w:tcPr>
            <w:tcW w:w="731" w:type="pct"/>
            <w:tcBorders>
              <w:top w:val="nil"/>
              <w:bottom w:val="nil"/>
            </w:tcBorders>
            <w:shd w:val="clear" w:color="auto" w:fill="F2F2F2" w:themeFill="background1" w:themeFillShade="F2"/>
          </w:tcPr>
          <w:p w:rsidR="00853A74" w:rsidRPr="00E07B1B" w:rsidRDefault="00853A74" w:rsidP="0099772D">
            <w:pPr>
              <w:pStyle w:val="TableText"/>
              <w:keepNext/>
            </w:pPr>
            <w:r w:rsidRPr="00E07B1B">
              <w:t xml:space="preserve">Ogonowski </w:t>
            </w:r>
            <w:r w:rsidRPr="00FB579C">
              <w:rPr>
                <w:szCs w:val="24"/>
              </w:rPr>
              <w:t>and Miazgowski</w:t>
            </w:r>
            <w:r>
              <w:t xml:space="preserve"> (</w:t>
            </w:r>
            <w:r w:rsidRPr="00E07B1B">
              <w:t>2009</w:t>
            </w:r>
            <w:r>
              <w:t>)</w:t>
            </w:r>
          </w:p>
        </w:tc>
        <w:tc>
          <w:tcPr>
            <w:tcW w:w="336" w:type="pct"/>
            <w:tcBorders>
              <w:top w:val="nil"/>
              <w:bottom w:val="nil"/>
            </w:tcBorders>
            <w:shd w:val="clear" w:color="auto" w:fill="F2F2F2" w:themeFill="background1" w:themeFillShade="F2"/>
          </w:tcPr>
          <w:p w:rsidR="00853A74" w:rsidRPr="00E07B1B" w:rsidRDefault="00853A74" w:rsidP="0099772D">
            <w:pPr>
              <w:pStyle w:val="TableText"/>
              <w:keepNext/>
            </w:pPr>
            <w:r w:rsidRPr="00E07B1B">
              <w:t>Poland</w:t>
            </w:r>
          </w:p>
        </w:tc>
        <w:tc>
          <w:tcPr>
            <w:tcW w:w="437" w:type="pct"/>
            <w:tcBorders>
              <w:top w:val="nil"/>
              <w:bottom w:val="nil"/>
            </w:tcBorders>
            <w:shd w:val="clear" w:color="auto" w:fill="F2F2F2" w:themeFill="background1" w:themeFillShade="F2"/>
          </w:tcPr>
          <w:p w:rsidR="00853A74" w:rsidRPr="00E07B1B" w:rsidRDefault="00853A74" w:rsidP="0099772D">
            <w:pPr>
              <w:pStyle w:val="TableText"/>
              <w:keepNext/>
              <w:tabs>
                <w:tab w:val="decimal" w:pos="936"/>
              </w:tabs>
            </w:pPr>
            <w:r w:rsidRPr="00E07B1B">
              <w:t>855</w:t>
            </w:r>
          </w:p>
        </w:tc>
        <w:tc>
          <w:tcPr>
            <w:tcW w:w="2209" w:type="pct"/>
            <w:tcBorders>
              <w:top w:val="nil"/>
              <w:bottom w:val="nil"/>
            </w:tcBorders>
            <w:shd w:val="clear" w:color="auto" w:fill="F2F2F2" w:themeFill="background1" w:themeFillShade="F2"/>
          </w:tcPr>
          <w:p w:rsidR="00853A74" w:rsidRPr="00E07B1B" w:rsidRDefault="00853A74" w:rsidP="0099772D">
            <w:pPr>
              <w:pStyle w:val="TableText"/>
              <w:keepNext/>
            </w:pPr>
            <w:r>
              <w:t>A</w:t>
            </w:r>
            <w:r w:rsidRPr="00E07B1B">
              <w:t xml:space="preserve">dj OR 1.57 </w:t>
            </w:r>
            <w:r>
              <w:t>(</w:t>
            </w:r>
            <w:r w:rsidRPr="00E07B1B">
              <w:t>95%CI 1.34</w:t>
            </w:r>
            <w:r>
              <w:t>–</w:t>
            </w:r>
            <w:r w:rsidRPr="00E07B1B">
              <w:t xml:space="preserve">1.83, </w:t>
            </w:r>
            <w:r w:rsidRPr="00FB579C">
              <w:rPr>
                <w:i/>
              </w:rPr>
              <w:t>p</w:t>
            </w:r>
            <w:r>
              <w:t xml:space="preserve"> </w:t>
            </w:r>
            <w:r w:rsidRPr="00E07B1B">
              <w:t>=</w:t>
            </w:r>
            <w:r>
              <w:t xml:space="preserve"> </w:t>
            </w:r>
            <w:r w:rsidRPr="00E07B1B">
              <w:t>0.05</w:t>
            </w:r>
            <w:r>
              <w:t>)</w:t>
            </w:r>
          </w:p>
        </w:tc>
        <w:tc>
          <w:tcPr>
            <w:tcW w:w="364" w:type="pct"/>
            <w:tcBorders>
              <w:top w:val="nil"/>
              <w:bottom w:val="nil"/>
            </w:tcBorders>
            <w:shd w:val="clear" w:color="auto" w:fill="F2F2F2" w:themeFill="background1" w:themeFillShade="F2"/>
          </w:tcPr>
          <w:p w:rsidR="00853A74" w:rsidRPr="00E07B1B" w:rsidRDefault="00853A74" w:rsidP="0099772D">
            <w:pPr>
              <w:pStyle w:val="TableText"/>
              <w:keepNext/>
              <w:jc w:val="center"/>
            </w:pPr>
            <w:r w:rsidRPr="00E07B1B">
              <w:t>MEDIUM</w:t>
            </w:r>
          </w:p>
        </w:tc>
      </w:tr>
      <w:tr w:rsidR="00853A74" w:rsidRPr="00E07B1B" w:rsidTr="00A66CC1">
        <w:trPr>
          <w:cantSplit/>
        </w:trPr>
        <w:tc>
          <w:tcPr>
            <w:tcW w:w="923" w:type="pct"/>
            <w:vMerge/>
            <w:tcBorders>
              <w:top w:val="nil"/>
              <w:bottom w:val="nil"/>
            </w:tcBorders>
            <w:shd w:val="clear" w:color="auto" w:fill="F2F2F2" w:themeFill="background1" w:themeFillShade="F2"/>
          </w:tcPr>
          <w:p w:rsidR="00853A74" w:rsidRPr="00E07B1B" w:rsidRDefault="00853A74" w:rsidP="0099772D">
            <w:pPr>
              <w:pStyle w:val="TableText"/>
              <w:keepNext/>
            </w:pPr>
          </w:p>
        </w:tc>
        <w:tc>
          <w:tcPr>
            <w:tcW w:w="731" w:type="pct"/>
            <w:tcBorders>
              <w:top w:val="nil"/>
              <w:bottom w:val="nil"/>
            </w:tcBorders>
            <w:shd w:val="clear" w:color="auto" w:fill="F2F2F2" w:themeFill="background1" w:themeFillShade="F2"/>
          </w:tcPr>
          <w:p w:rsidR="00853A74" w:rsidRPr="00E07B1B" w:rsidRDefault="00853A74" w:rsidP="0099772D">
            <w:pPr>
              <w:pStyle w:val="TableText"/>
              <w:keepNext/>
            </w:pPr>
            <w:r w:rsidRPr="00E07B1B">
              <w:t xml:space="preserve">Lawrence </w:t>
            </w:r>
            <w:r>
              <w:t>(</w:t>
            </w:r>
            <w:r w:rsidRPr="00E07B1B">
              <w:t>2010</w:t>
            </w:r>
            <w:r>
              <w:t>)</w:t>
            </w:r>
          </w:p>
        </w:tc>
        <w:tc>
          <w:tcPr>
            <w:tcW w:w="336" w:type="pct"/>
            <w:tcBorders>
              <w:top w:val="nil"/>
              <w:bottom w:val="nil"/>
            </w:tcBorders>
            <w:shd w:val="clear" w:color="auto" w:fill="F2F2F2" w:themeFill="background1" w:themeFillShade="F2"/>
          </w:tcPr>
          <w:p w:rsidR="00853A74" w:rsidRPr="00E07B1B" w:rsidRDefault="00853A74" w:rsidP="0099772D">
            <w:pPr>
              <w:pStyle w:val="TableText"/>
              <w:keepNext/>
            </w:pPr>
            <w:r w:rsidRPr="00E07B1B">
              <w:t>USA</w:t>
            </w:r>
          </w:p>
        </w:tc>
        <w:tc>
          <w:tcPr>
            <w:tcW w:w="437" w:type="pct"/>
            <w:tcBorders>
              <w:top w:val="nil"/>
              <w:bottom w:val="nil"/>
            </w:tcBorders>
            <w:shd w:val="clear" w:color="auto" w:fill="F2F2F2" w:themeFill="background1" w:themeFillShade="F2"/>
          </w:tcPr>
          <w:p w:rsidR="00853A74" w:rsidRPr="00E07B1B" w:rsidRDefault="00853A74" w:rsidP="0099772D">
            <w:pPr>
              <w:pStyle w:val="TableText"/>
              <w:keepNext/>
              <w:tabs>
                <w:tab w:val="decimal" w:pos="936"/>
              </w:tabs>
            </w:pPr>
            <w:r w:rsidRPr="00E07B1B">
              <w:t>11,825</w:t>
            </w:r>
          </w:p>
        </w:tc>
        <w:tc>
          <w:tcPr>
            <w:tcW w:w="2209" w:type="pct"/>
            <w:tcBorders>
              <w:top w:val="nil"/>
              <w:bottom w:val="nil"/>
            </w:tcBorders>
            <w:shd w:val="clear" w:color="auto" w:fill="F2F2F2" w:themeFill="background1" w:themeFillShade="F2"/>
          </w:tcPr>
          <w:p w:rsidR="00853A74" w:rsidRPr="00E07B1B" w:rsidRDefault="00853A74" w:rsidP="0099772D">
            <w:pPr>
              <w:pStyle w:val="TableText"/>
              <w:keepNext/>
            </w:pPr>
            <w:r w:rsidRPr="00E07B1B">
              <w:t xml:space="preserve">Adj OR 3.30 </w:t>
            </w:r>
            <w:r>
              <w:t>(</w:t>
            </w:r>
            <w:r w:rsidRPr="00E07B1B">
              <w:t>95%CI 2.15</w:t>
            </w:r>
            <w:r>
              <w:t>–</w:t>
            </w:r>
            <w:r w:rsidRPr="00E07B1B">
              <w:t>5.05</w:t>
            </w:r>
            <w:r>
              <w:t>)</w:t>
            </w:r>
          </w:p>
        </w:tc>
        <w:tc>
          <w:tcPr>
            <w:tcW w:w="364" w:type="pct"/>
            <w:tcBorders>
              <w:top w:val="nil"/>
              <w:bottom w:val="nil"/>
            </w:tcBorders>
            <w:shd w:val="clear" w:color="auto" w:fill="F2F2F2" w:themeFill="background1" w:themeFillShade="F2"/>
          </w:tcPr>
          <w:p w:rsidR="00853A74" w:rsidRPr="00E07B1B" w:rsidRDefault="00853A74" w:rsidP="0099772D">
            <w:pPr>
              <w:pStyle w:val="TableText"/>
              <w:keepNext/>
              <w:jc w:val="center"/>
            </w:pPr>
            <w:r w:rsidRPr="00E07B1B">
              <w:t>MEDIUM</w:t>
            </w:r>
          </w:p>
        </w:tc>
      </w:tr>
      <w:tr w:rsidR="00853A74" w:rsidRPr="00E07B1B" w:rsidTr="00A66CC1">
        <w:trPr>
          <w:cantSplit/>
        </w:trPr>
        <w:tc>
          <w:tcPr>
            <w:tcW w:w="923" w:type="pct"/>
            <w:vMerge/>
            <w:tcBorders>
              <w:top w:val="nil"/>
              <w:bottom w:val="nil"/>
            </w:tcBorders>
            <w:shd w:val="clear" w:color="auto" w:fill="F2F2F2" w:themeFill="background1" w:themeFillShade="F2"/>
          </w:tcPr>
          <w:p w:rsidR="00853A74" w:rsidRPr="00E07B1B" w:rsidRDefault="00853A74" w:rsidP="00A125BF">
            <w:pPr>
              <w:pStyle w:val="TableText"/>
            </w:pP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Schaefer-Graf </w:t>
            </w:r>
            <w:r>
              <w:t>(</w:t>
            </w:r>
            <w:r w:rsidRPr="00E07B1B">
              <w:t>2009</w:t>
            </w:r>
            <w:r>
              <w:t>)</w:t>
            </w:r>
          </w:p>
        </w:tc>
        <w:tc>
          <w:tcPr>
            <w:tcW w:w="336" w:type="pct"/>
            <w:tcBorders>
              <w:top w:val="nil"/>
              <w:bottom w:val="nil"/>
            </w:tcBorders>
            <w:shd w:val="clear" w:color="auto" w:fill="F2F2F2" w:themeFill="background1" w:themeFillShade="F2"/>
          </w:tcPr>
          <w:p w:rsidR="00853A74" w:rsidRPr="00E07B1B" w:rsidRDefault="00853A74" w:rsidP="00A125BF">
            <w:pPr>
              <w:pStyle w:val="TableText"/>
            </w:pPr>
            <w:r w:rsidRPr="00E07B1B">
              <w:t>Germany</w:t>
            </w:r>
          </w:p>
        </w:tc>
        <w:tc>
          <w:tcPr>
            <w:tcW w:w="437" w:type="pct"/>
            <w:tcBorders>
              <w:top w:val="nil"/>
              <w:bottom w:val="nil"/>
            </w:tcBorders>
            <w:shd w:val="clear" w:color="auto" w:fill="F2F2F2" w:themeFill="background1" w:themeFillShade="F2"/>
          </w:tcPr>
          <w:p w:rsidR="00853A74" w:rsidRPr="00E07B1B" w:rsidRDefault="00853A74" w:rsidP="0024015A">
            <w:pPr>
              <w:pStyle w:val="TableText"/>
              <w:tabs>
                <w:tab w:val="decimal" w:pos="936"/>
              </w:tabs>
            </w:pPr>
            <w:r w:rsidRPr="00E07B1B">
              <w:t>1184</w:t>
            </w:r>
          </w:p>
        </w:tc>
        <w:tc>
          <w:tcPr>
            <w:tcW w:w="2209"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OR 2.12 </w:t>
            </w:r>
            <w:r>
              <w:t>(</w:t>
            </w:r>
            <w:r w:rsidRPr="00E07B1B">
              <w:t>95%CI 1.36</w:t>
            </w:r>
            <w:r>
              <w:t>–</w:t>
            </w:r>
            <w:r w:rsidRPr="00E07B1B">
              <w:t xml:space="preserve">3.30, </w:t>
            </w:r>
            <w:r w:rsidRPr="00FB579C">
              <w:rPr>
                <w:i/>
              </w:rPr>
              <w:t>p</w:t>
            </w:r>
            <w:r>
              <w:t xml:space="preserve"> </w:t>
            </w:r>
            <w:r w:rsidRPr="00E07B1B">
              <w:t>=</w:t>
            </w:r>
            <w:r>
              <w:t xml:space="preserve"> </w:t>
            </w:r>
            <w:r w:rsidRPr="00E07B1B">
              <w:t>0.001</w:t>
            </w:r>
            <w:r>
              <w:t>)</w:t>
            </w:r>
          </w:p>
        </w:tc>
        <w:tc>
          <w:tcPr>
            <w:tcW w:w="364" w:type="pct"/>
            <w:tcBorders>
              <w:top w:val="nil"/>
              <w:bottom w:val="nil"/>
            </w:tcBorders>
            <w:shd w:val="clear" w:color="auto" w:fill="F2F2F2" w:themeFill="background1" w:themeFillShade="F2"/>
          </w:tcPr>
          <w:p w:rsidR="00853A74" w:rsidRPr="00E07B1B" w:rsidRDefault="00853A74" w:rsidP="0024015A">
            <w:pPr>
              <w:pStyle w:val="TableText"/>
              <w:jc w:val="center"/>
            </w:pPr>
            <w:r w:rsidRPr="00E07B1B">
              <w:t>LOW</w:t>
            </w:r>
          </w:p>
        </w:tc>
      </w:tr>
      <w:tr w:rsidR="00853A74" w:rsidRPr="00E07B1B" w:rsidTr="00A66CC1">
        <w:trPr>
          <w:cantSplit/>
        </w:trPr>
        <w:tc>
          <w:tcPr>
            <w:tcW w:w="923" w:type="pct"/>
            <w:vMerge/>
            <w:tcBorders>
              <w:top w:val="nil"/>
              <w:bottom w:val="nil"/>
            </w:tcBorders>
            <w:shd w:val="clear" w:color="auto" w:fill="F2F2F2" w:themeFill="background1" w:themeFillShade="F2"/>
          </w:tcPr>
          <w:p w:rsidR="00853A74" w:rsidRPr="00E07B1B" w:rsidRDefault="00853A74" w:rsidP="00A125BF">
            <w:pPr>
              <w:pStyle w:val="TableText"/>
            </w:pP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Oldfield </w:t>
            </w:r>
            <w:r>
              <w:t>(</w:t>
            </w:r>
            <w:r w:rsidRPr="00E07B1B">
              <w:t>2007</w:t>
            </w:r>
            <w:r>
              <w:t>)</w:t>
            </w:r>
          </w:p>
        </w:tc>
        <w:tc>
          <w:tcPr>
            <w:tcW w:w="336" w:type="pct"/>
            <w:tcBorders>
              <w:top w:val="nil"/>
              <w:bottom w:val="nil"/>
            </w:tcBorders>
            <w:shd w:val="clear" w:color="auto" w:fill="F2F2F2" w:themeFill="background1" w:themeFillShade="F2"/>
          </w:tcPr>
          <w:p w:rsidR="00853A74" w:rsidRPr="00E07B1B" w:rsidRDefault="00853A74" w:rsidP="00A125BF">
            <w:pPr>
              <w:pStyle w:val="TableText"/>
            </w:pPr>
            <w:r w:rsidRPr="00E07B1B">
              <w:t>UK</w:t>
            </w:r>
          </w:p>
        </w:tc>
        <w:tc>
          <w:tcPr>
            <w:tcW w:w="437" w:type="pct"/>
            <w:tcBorders>
              <w:top w:val="nil"/>
              <w:bottom w:val="nil"/>
            </w:tcBorders>
            <w:shd w:val="clear" w:color="auto" w:fill="F2F2F2" w:themeFill="background1" w:themeFillShade="F2"/>
          </w:tcPr>
          <w:p w:rsidR="00853A74" w:rsidRPr="00E07B1B" w:rsidRDefault="00853A74" w:rsidP="0024015A">
            <w:pPr>
              <w:pStyle w:val="TableText"/>
              <w:tabs>
                <w:tab w:val="decimal" w:pos="936"/>
              </w:tabs>
            </w:pPr>
            <w:r w:rsidRPr="00E07B1B">
              <w:t>73</w:t>
            </w:r>
          </w:p>
        </w:tc>
        <w:tc>
          <w:tcPr>
            <w:tcW w:w="2209" w:type="pct"/>
            <w:tcBorders>
              <w:top w:val="nil"/>
              <w:bottom w:val="nil"/>
            </w:tcBorders>
            <w:shd w:val="clear" w:color="auto" w:fill="F2F2F2" w:themeFill="background1" w:themeFillShade="F2"/>
          </w:tcPr>
          <w:p w:rsidR="00853A74" w:rsidRPr="00E07B1B" w:rsidRDefault="00853A74" w:rsidP="00A125BF">
            <w:pPr>
              <w:pStyle w:val="TableText"/>
            </w:pPr>
            <w:r w:rsidRPr="00E07B1B">
              <w:t>Caucasian</w:t>
            </w:r>
            <w:r>
              <w:t xml:space="preserve"> </w:t>
            </w:r>
            <w:r w:rsidRPr="00E07B1B">
              <w:t>OR 23.4 (95%CI 3.87</w:t>
            </w:r>
            <w:r>
              <w:t>–</w:t>
            </w:r>
            <w:r w:rsidRPr="00E07B1B">
              <w:t xml:space="preserve">158.31, </w:t>
            </w:r>
            <w:r w:rsidRPr="00C42FA8">
              <w:rPr>
                <w:i/>
              </w:rPr>
              <w:t>p</w:t>
            </w:r>
            <w:r>
              <w:t> </w:t>
            </w:r>
            <w:r w:rsidRPr="00E07B1B">
              <w:t>=</w:t>
            </w:r>
            <w:r>
              <w:t> 0.001), South Asian (</w:t>
            </w:r>
            <w:r w:rsidRPr="00E07B1B">
              <w:t>NS)</w:t>
            </w:r>
          </w:p>
        </w:tc>
        <w:tc>
          <w:tcPr>
            <w:tcW w:w="364" w:type="pct"/>
            <w:tcBorders>
              <w:top w:val="nil"/>
              <w:bottom w:val="nil"/>
            </w:tcBorders>
            <w:shd w:val="clear" w:color="auto" w:fill="F2F2F2" w:themeFill="background1" w:themeFillShade="F2"/>
          </w:tcPr>
          <w:p w:rsidR="00853A74" w:rsidRPr="00E07B1B" w:rsidRDefault="00853A74" w:rsidP="0024015A">
            <w:pPr>
              <w:pStyle w:val="TableText"/>
              <w:jc w:val="center"/>
            </w:pPr>
            <w:r w:rsidRPr="00E07B1B">
              <w:t>LOW</w:t>
            </w:r>
          </w:p>
        </w:tc>
      </w:tr>
      <w:tr w:rsidR="00853A74" w:rsidRPr="00E07B1B" w:rsidTr="00A66CC1">
        <w:trPr>
          <w:cantSplit/>
        </w:trPr>
        <w:tc>
          <w:tcPr>
            <w:tcW w:w="923" w:type="pct"/>
            <w:vMerge/>
            <w:tcBorders>
              <w:top w:val="nil"/>
              <w:bottom w:val="nil"/>
            </w:tcBorders>
            <w:shd w:val="clear" w:color="auto" w:fill="F2F2F2" w:themeFill="background1" w:themeFillShade="F2"/>
          </w:tcPr>
          <w:p w:rsidR="00853A74" w:rsidRPr="00E07B1B" w:rsidRDefault="00853A74" w:rsidP="00A125BF">
            <w:pPr>
              <w:pStyle w:val="TableText"/>
            </w:pP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Girgis </w:t>
            </w:r>
            <w:r>
              <w:t>(</w:t>
            </w:r>
            <w:r w:rsidRPr="00E07B1B">
              <w:t>2012</w:t>
            </w:r>
            <w:r>
              <w:t>)</w:t>
            </w:r>
            <w:r w:rsidRPr="00E07B1B">
              <w:t>*</w:t>
            </w:r>
          </w:p>
        </w:tc>
        <w:tc>
          <w:tcPr>
            <w:tcW w:w="336" w:type="pct"/>
            <w:tcBorders>
              <w:top w:val="nil"/>
              <w:bottom w:val="nil"/>
            </w:tcBorders>
            <w:shd w:val="clear" w:color="auto" w:fill="F2F2F2" w:themeFill="background1" w:themeFillShade="F2"/>
          </w:tcPr>
          <w:p w:rsidR="00853A74" w:rsidRPr="00E07B1B" w:rsidRDefault="00853A74" w:rsidP="00A125BF">
            <w:pPr>
              <w:pStyle w:val="TableText"/>
            </w:pPr>
            <w:r w:rsidRPr="00E07B1B">
              <w:t>Australia</w:t>
            </w:r>
          </w:p>
        </w:tc>
        <w:tc>
          <w:tcPr>
            <w:tcW w:w="437" w:type="pct"/>
            <w:tcBorders>
              <w:top w:val="nil"/>
              <w:bottom w:val="nil"/>
            </w:tcBorders>
            <w:shd w:val="clear" w:color="auto" w:fill="F2F2F2" w:themeFill="background1" w:themeFillShade="F2"/>
          </w:tcPr>
          <w:p w:rsidR="00853A74" w:rsidRPr="00E07B1B" w:rsidRDefault="00853A74" w:rsidP="0024015A">
            <w:pPr>
              <w:pStyle w:val="TableText"/>
              <w:tabs>
                <w:tab w:val="decimal" w:pos="936"/>
              </w:tabs>
            </w:pPr>
            <w:r w:rsidRPr="00E07B1B">
              <w:t>101</w:t>
            </w:r>
          </w:p>
        </w:tc>
        <w:tc>
          <w:tcPr>
            <w:tcW w:w="2209" w:type="pct"/>
            <w:tcBorders>
              <w:top w:val="nil"/>
              <w:bottom w:val="nil"/>
            </w:tcBorders>
            <w:shd w:val="clear" w:color="auto" w:fill="F2F2F2" w:themeFill="background1" w:themeFillShade="F2"/>
          </w:tcPr>
          <w:p w:rsidR="00853A74" w:rsidRPr="00E07B1B" w:rsidRDefault="00853A74" w:rsidP="0024015A">
            <w:pPr>
              <w:pStyle w:val="TableText"/>
            </w:pPr>
            <w:r w:rsidRPr="00E07B1B">
              <w:t>Abnormal versus normal glucose tolerance OR 4.5 (95%CI 1.6</w:t>
            </w:r>
            <w:r>
              <w:t>–</w:t>
            </w:r>
            <w:r w:rsidRPr="00E07B1B">
              <w:t xml:space="preserve">13.1, </w:t>
            </w:r>
            <w:r w:rsidRPr="00C42FA8">
              <w:rPr>
                <w:i/>
              </w:rPr>
              <w:t>p</w:t>
            </w:r>
            <w:r w:rsidR="0024015A">
              <w:rPr>
                <w:i/>
              </w:rPr>
              <w:t> </w:t>
            </w:r>
            <w:r w:rsidRPr="00E07B1B">
              <w:t>=</w:t>
            </w:r>
            <w:r w:rsidR="0024015A">
              <w:t> </w:t>
            </w:r>
            <w:r w:rsidRPr="00E07B1B">
              <w:t>0.005)</w:t>
            </w:r>
          </w:p>
        </w:tc>
        <w:tc>
          <w:tcPr>
            <w:tcW w:w="364" w:type="pct"/>
            <w:tcBorders>
              <w:top w:val="nil"/>
              <w:bottom w:val="nil"/>
            </w:tcBorders>
            <w:shd w:val="clear" w:color="auto" w:fill="F2F2F2" w:themeFill="background1" w:themeFillShade="F2"/>
          </w:tcPr>
          <w:p w:rsidR="00853A74" w:rsidRPr="00E07B1B" w:rsidRDefault="00853A74" w:rsidP="0024015A">
            <w:pPr>
              <w:pStyle w:val="TableText"/>
              <w:jc w:val="center"/>
            </w:pPr>
            <w:r w:rsidRPr="00E07B1B">
              <w:t>LOW</w:t>
            </w:r>
          </w:p>
        </w:tc>
      </w:tr>
      <w:tr w:rsidR="00853A74" w:rsidRPr="00E07B1B" w:rsidTr="00A66CC1">
        <w:trPr>
          <w:cantSplit/>
        </w:trPr>
        <w:tc>
          <w:tcPr>
            <w:tcW w:w="923" w:type="pct"/>
            <w:vMerge/>
            <w:tcBorders>
              <w:top w:val="nil"/>
              <w:bottom w:val="nil"/>
            </w:tcBorders>
            <w:shd w:val="clear" w:color="auto" w:fill="F2F2F2" w:themeFill="background1" w:themeFillShade="F2"/>
          </w:tcPr>
          <w:p w:rsidR="00853A74" w:rsidRPr="00E07B1B" w:rsidRDefault="00853A74" w:rsidP="00A125BF">
            <w:pPr>
              <w:pStyle w:val="TableText"/>
            </w:pP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Kim </w:t>
            </w:r>
            <w:r>
              <w:t>(</w:t>
            </w:r>
            <w:r w:rsidRPr="00E07B1B">
              <w:t>2011</w:t>
            </w:r>
            <w:r>
              <w:t>)</w:t>
            </w:r>
          </w:p>
        </w:tc>
        <w:tc>
          <w:tcPr>
            <w:tcW w:w="336" w:type="pct"/>
            <w:tcBorders>
              <w:top w:val="nil"/>
              <w:bottom w:val="nil"/>
            </w:tcBorders>
            <w:shd w:val="clear" w:color="auto" w:fill="F2F2F2" w:themeFill="background1" w:themeFillShade="F2"/>
          </w:tcPr>
          <w:p w:rsidR="00853A74" w:rsidRPr="00E07B1B" w:rsidRDefault="00853A74" w:rsidP="00A125BF">
            <w:pPr>
              <w:pStyle w:val="TableText"/>
            </w:pPr>
            <w:r w:rsidRPr="00E07B1B">
              <w:t>Korea</w:t>
            </w:r>
          </w:p>
        </w:tc>
        <w:tc>
          <w:tcPr>
            <w:tcW w:w="437" w:type="pct"/>
            <w:tcBorders>
              <w:top w:val="nil"/>
              <w:bottom w:val="nil"/>
            </w:tcBorders>
            <w:shd w:val="clear" w:color="auto" w:fill="F2F2F2" w:themeFill="background1" w:themeFillShade="F2"/>
          </w:tcPr>
          <w:p w:rsidR="00853A74" w:rsidRPr="00E07B1B" w:rsidRDefault="00853A74" w:rsidP="0024015A">
            <w:pPr>
              <w:pStyle w:val="TableText"/>
              <w:tabs>
                <w:tab w:val="decimal" w:pos="936"/>
              </w:tabs>
            </w:pPr>
            <w:r w:rsidRPr="00E07B1B">
              <w:t>882</w:t>
            </w:r>
          </w:p>
        </w:tc>
        <w:tc>
          <w:tcPr>
            <w:tcW w:w="2209" w:type="pct"/>
            <w:tcBorders>
              <w:top w:val="nil"/>
              <w:bottom w:val="nil"/>
            </w:tcBorders>
            <w:shd w:val="clear" w:color="auto" w:fill="F2F2F2" w:themeFill="background1" w:themeFillShade="F2"/>
          </w:tcPr>
          <w:p w:rsidR="00853A74" w:rsidRPr="00E07B1B" w:rsidRDefault="00853A74" w:rsidP="00A125BF">
            <w:pPr>
              <w:pStyle w:val="TableText"/>
            </w:pPr>
            <w:r w:rsidRPr="00C42FA8">
              <w:rPr>
                <w:i/>
              </w:rPr>
              <w:t>β</w:t>
            </w:r>
            <w:r>
              <w:t xml:space="preserve"> </w:t>
            </w:r>
            <w:r w:rsidRPr="00E07B1B">
              <w:t>=</w:t>
            </w:r>
            <w:r>
              <w:t xml:space="preserve"> </w:t>
            </w:r>
            <w:r w:rsidRPr="00E07B1B">
              <w:t xml:space="preserve">1.1, </w:t>
            </w:r>
            <w:r w:rsidRPr="00C42FA8">
              <w:rPr>
                <w:i/>
              </w:rPr>
              <w:t>p</w:t>
            </w:r>
            <w:r>
              <w:t xml:space="preserve"> </w:t>
            </w:r>
            <w:r w:rsidRPr="00E07B1B">
              <w:t>&lt;</w:t>
            </w:r>
            <w:r>
              <w:t xml:space="preserve"> </w:t>
            </w:r>
            <w:r w:rsidRPr="00E07B1B">
              <w:t>0.0001</w:t>
            </w:r>
          </w:p>
        </w:tc>
        <w:tc>
          <w:tcPr>
            <w:tcW w:w="364" w:type="pct"/>
            <w:tcBorders>
              <w:top w:val="nil"/>
              <w:bottom w:val="nil"/>
            </w:tcBorders>
            <w:shd w:val="clear" w:color="auto" w:fill="F2F2F2" w:themeFill="background1" w:themeFillShade="F2"/>
          </w:tcPr>
          <w:p w:rsidR="00853A74" w:rsidRPr="00E07B1B" w:rsidRDefault="00853A74" w:rsidP="0024015A">
            <w:pPr>
              <w:pStyle w:val="TableText"/>
              <w:jc w:val="center"/>
            </w:pPr>
            <w:r w:rsidRPr="00E07B1B">
              <w:t>LOW</w:t>
            </w:r>
          </w:p>
        </w:tc>
      </w:tr>
      <w:tr w:rsidR="00853A74" w:rsidRPr="00E07B1B" w:rsidTr="0099772D">
        <w:trPr>
          <w:cantSplit/>
        </w:trPr>
        <w:tc>
          <w:tcPr>
            <w:tcW w:w="923" w:type="pct"/>
            <w:tcBorders>
              <w:top w:val="nil"/>
              <w:bottom w:val="single" w:sz="4" w:space="0" w:color="A6A6A6" w:themeColor="background1" w:themeShade="A6"/>
            </w:tcBorders>
            <w:shd w:val="clear" w:color="auto" w:fill="auto"/>
          </w:tcPr>
          <w:p w:rsidR="00853A74" w:rsidRPr="00E07B1B" w:rsidRDefault="00853A74" w:rsidP="00A125BF">
            <w:pPr>
              <w:pStyle w:val="TableText"/>
            </w:pPr>
            <w:r w:rsidRPr="00E07B1B">
              <w:t>Insulin therapy after delivery</w:t>
            </w:r>
          </w:p>
        </w:tc>
        <w:tc>
          <w:tcPr>
            <w:tcW w:w="731" w:type="pct"/>
            <w:tcBorders>
              <w:top w:val="nil"/>
              <w:bottom w:val="single" w:sz="4" w:space="0" w:color="A6A6A6" w:themeColor="background1" w:themeShade="A6"/>
            </w:tcBorders>
            <w:shd w:val="clear" w:color="auto" w:fill="auto"/>
          </w:tcPr>
          <w:p w:rsidR="00853A74" w:rsidRPr="00E07B1B" w:rsidRDefault="00853A74" w:rsidP="00A125BF">
            <w:pPr>
              <w:pStyle w:val="TableText"/>
            </w:pPr>
            <w:r w:rsidRPr="00E07B1B">
              <w:t xml:space="preserve">Malinowski-Polubiec </w:t>
            </w:r>
            <w:r>
              <w:t>(</w:t>
            </w:r>
            <w:r w:rsidRPr="00E07B1B">
              <w:t>2012</w:t>
            </w:r>
            <w:r>
              <w:t>)</w:t>
            </w:r>
            <w:r w:rsidRPr="00E07B1B">
              <w:t>*</w:t>
            </w:r>
          </w:p>
        </w:tc>
        <w:tc>
          <w:tcPr>
            <w:tcW w:w="336" w:type="pct"/>
            <w:tcBorders>
              <w:top w:val="nil"/>
              <w:bottom w:val="single" w:sz="4" w:space="0" w:color="A6A6A6" w:themeColor="background1" w:themeShade="A6"/>
            </w:tcBorders>
            <w:shd w:val="clear" w:color="auto" w:fill="auto"/>
          </w:tcPr>
          <w:p w:rsidR="00853A74" w:rsidRPr="00E07B1B" w:rsidRDefault="00853A74" w:rsidP="00A125BF">
            <w:pPr>
              <w:pStyle w:val="TableText"/>
            </w:pPr>
            <w:r w:rsidRPr="00E07B1B">
              <w:t>Poland</w:t>
            </w:r>
          </w:p>
        </w:tc>
        <w:tc>
          <w:tcPr>
            <w:tcW w:w="437" w:type="pct"/>
            <w:tcBorders>
              <w:top w:val="nil"/>
              <w:bottom w:val="single" w:sz="4" w:space="0" w:color="A6A6A6" w:themeColor="background1" w:themeShade="A6"/>
            </w:tcBorders>
            <w:shd w:val="clear" w:color="auto" w:fill="auto"/>
          </w:tcPr>
          <w:p w:rsidR="00853A74" w:rsidRPr="00E07B1B" w:rsidRDefault="00853A74" w:rsidP="0024015A">
            <w:pPr>
              <w:pStyle w:val="TableText"/>
              <w:tabs>
                <w:tab w:val="decimal" w:pos="936"/>
              </w:tabs>
            </w:pPr>
            <w:r w:rsidRPr="00E07B1B">
              <w:t>155</w:t>
            </w:r>
          </w:p>
        </w:tc>
        <w:tc>
          <w:tcPr>
            <w:tcW w:w="2209" w:type="pct"/>
            <w:tcBorders>
              <w:top w:val="nil"/>
              <w:bottom w:val="single" w:sz="4" w:space="0" w:color="A6A6A6" w:themeColor="background1" w:themeShade="A6"/>
            </w:tcBorders>
            <w:shd w:val="clear" w:color="auto" w:fill="auto"/>
          </w:tcPr>
          <w:p w:rsidR="00853A74" w:rsidRPr="00E07B1B" w:rsidRDefault="00853A74" w:rsidP="00A125BF">
            <w:pPr>
              <w:pStyle w:val="TableText"/>
            </w:pPr>
            <w:r w:rsidRPr="00E07B1B">
              <w:t>RR 2.01 (no CIs provided)</w:t>
            </w:r>
          </w:p>
        </w:tc>
        <w:tc>
          <w:tcPr>
            <w:tcW w:w="364" w:type="pct"/>
            <w:tcBorders>
              <w:top w:val="nil"/>
              <w:bottom w:val="single" w:sz="4" w:space="0" w:color="A6A6A6" w:themeColor="background1" w:themeShade="A6"/>
            </w:tcBorders>
            <w:shd w:val="clear" w:color="auto" w:fill="auto"/>
          </w:tcPr>
          <w:p w:rsidR="00853A74" w:rsidRPr="00E07B1B" w:rsidRDefault="00853A74" w:rsidP="0024015A">
            <w:pPr>
              <w:pStyle w:val="TableText"/>
              <w:jc w:val="center"/>
            </w:pPr>
            <w:r w:rsidRPr="00E07B1B">
              <w:t>LOW</w:t>
            </w:r>
          </w:p>
        </w:tc>
      </w:tr>
      <w:tr w:rsidR="00853A74" w:rsidRPr="0024015A" w:rsidTr="0099772D">
        <w:trPr>
          <w:cantSplit/>
        </w:trPr>
        <w:tc>
          <w:tcPr>
            <w:tcW w:w="5000" w:type="pct"/>
            <w:gridSpan w:val="6"/>
            <w:tcBorders>
              <w:top w:val="single" w:sz="4" w:space="0" w:color="A6A6A6" w:themeColor="background1" w:themeShade="A6"/>
              <w:bottom w:val="nil"/>
            </w:tcBorders>
            <w:shd w:val="clear" w:color="auto" w:fill="F2F2F2" w:themeFill="background1" w:themeFillShade="F2"/>
          </w:tcPr>
          <w:p w:rsidR="00853A74" w:rsidRPr="0024015A" w:rsidRDefault="00853A74" w:rsidP="00A125BF">
            <w:pPr>
              <w:pStyle w:val="TableText"/>
              <w:rPr>
                <w:b/>
              </w:rPr>
            </w:pPr>
            <w:r w:rsidRPr="0024015A">
              <w:rPr>
                <w:b/>
              </w:rPr>
              <w:t>Poor glycaemic control</w:t>
            </w:r>
          </w:p>
        </w:tc>
      </w:tr>
      <w:tr w:rsidR="00853A74" w:rsidRPr="00E07B1B" w:rsidTr="0099772D">
        <w:trPr>
          <w:cantSplit/>
        </w:trPr>
        <w:tc>
          <w:tcPr>
            <w:tcW w:w="923" w:type="pct"/>
            <w:vMerge w:val="restart"/>
            <w:tcBorders>
              <w:top w:val="nil"/>
              <w:bottom w:val="nil"/>
            </w:tcBorders>
            <w:shd w:val="clear" w:color="auto" w:fill="auto"/>
          </w:tcPr>
          <w:p w:rsidR="00853A74" w:rsidRPr="00E07B1B" w:rsidRDefault="00853A74" w:rsidP="0024015A">
            <w:pPr>
              <w:pStyle w:val="TableText"/>
            </w:pPr>
            <w:r w:rsidRPr="00E07B1B">
              <w:t>High diagnostic fasting glucose level</w:t>
            </w:r>
          </w:p>
        </w:tc>
        <w:tc>
          <w:tcPr>
            <w:tcW w:w="731" w:type="pct"/>
            <w:tcBorders>
              <w:top w:val="nil"/>
              <w:bottom w:val="nil"/>
            </w:tcBorders>
            <w:shd w:val="clear" w:color="auto" w:fill="auto"/>
          </w:tcPr>
          <w:p w:rsidR="00853A74" w:rsidRPr="00E07B1B" w:rsidRDefault="00853A74" w:rsidP="00A125BF">
            <w:pPr>
              <w:pStyle w:val="TableText"/>
            </w:pPr>
            <w:r w:rsidRPr="00E07B1B">
              <w:t xml:space="preserve">Akinci </w:t>
            </w:r>
            <w:r>
              <w:t>(</w:t>
            </w:r>
            <w:r w:rsidRPr="00E07B1B">
              <w:t>2011</w:t>
            </w:r>
            <w:r>
              <w:t>)</w:t>
            </w:r>
          </w:p>
        </w:tc>
        <w:tc>
          <w:tcPr>
            <w:tcW w:w="336" w:type="pct"/>
            <w:tcBorders>
              <w:top w:val="nil"/>
              <w:bottom w:val="nil"/>
            </w:tcBorders>
            <w:shd w:val="clear" w:color="auto" w:fill="auto"/>
          </w:tcPr>
          <w:p w:rsidR="00853A74" w:rsidRPr="00E07B1B" w:rsidRDefault="00853A74" w:rsidP="00A125BF">
            <w:pPr>
              <w:pStyle w:val="TableText"/>
            </w:pPr>
            <w:r w:rsidRPr="00E07B1B">
              <w:t>Turkey</w:t>
            </w:r>
          </w:p>
        </w:tc>
        <w:tc>
          <w:tcPr>
            <w:tcW w:w="437" w:type="pct"/>
            <w:tcBorders>
              <w:top w:val="nil"/>
              <w:bottom w:val="nil"/>
            </w:tcBorders>
            <w:shd w:val="clear" w:color="auto" w:fill="auto"/>
          </w:tcPr>
          <w:p w:rsidR="00853A74" w:rsidRPr="00E07B1B" w:rsidRDefault="00853A74" w:rsidP="0024015A">
            <w:pPr>
              <w:pStyle w:val="TableText"/>
              <w:tabs>
                <w:tab w:val="decimal" w:pos="936"/>
              </w:tabs>
            </w:pPr>
            <w:r w:rsidRPr="00E07B1B">
              <w:t>195</w:t>
            </w:r>
          </w:p>
        </w:tc>
        <w:tc>
          <w:tcPr>
            <w:tcW w:w="2209" w:type="pct"/>
            <w:tcBorders>
              <w:top w:val="nil"/>
              <w:bottom w:val="nil"/>
            </w:tcBorders>
            <w:shd w:val="clear" w:color="auto" w:fill="auto"/>
          </w:tcPr>
          <w:p w:rsidR="00853A74" w:rsidRPr="00E07B1B" w:rsidRDefault="00853A74" w:rsidP="00A125BF">
            <w:pPr>
              <w:pStyle w:val="TableText"/>
            </w:pPr>
            <w:r w:rsidRPr="00E07B1B">
              <w:t>Adj OR 2.1 (95%CI 1.4</w:t>
            </w:r>
            <w:r>
              <w:t>–</w:t>
            </w:r>
            <w:r w:rsidRPr="00E07B1B">
              <w:t xml:space="preserve">3.2, </w:t>
            </w:r>
            <w:r w:rsidRPr="00C42FA8">
              <w:rPr>
                <w:i/>
              </w:rPr>
              <w:t>p</w:t>
            </w:r>
            <w:r>
              <w:t xml:space="preserve"> </w:t>
            </w:r>
            <w:r w:rsidRPr="00E07B1B">
              <w:t>&lt;</w:t>
            </w:r>
            <w:r>
              <w:t xml:space="preserve"> </w:t>
            </w:r>
            <w:r w:rsidRPr="00E07B1B">
              <w:t>0.001)</w:t>
            </w:r>
          </w:p>
        </w:tc>
        <w:tc>
          <w:tcPr>
            <w:tcW w:w="364" w:type="pct"/>
            <w:tcBorders>
              <w:top w:val="nil"/>
              <w:bottom w:val="nil"/>
            </w:tcBorders>
            <w:shd w:val="clear" w:color="auto" w:fill="auto"/>
          </w:tcPr>
          <w:p w:rsidR="00853A74" w:rsidRPr="00E07B1B" w:rsidRDefault="00853A74" w:rsidP="0024015A">
            <w:pPr>
              <w:pStyle w:val="TableText"/>
              <w:jc w:val="center"/>
            </w:pPr>
            <w:r w:rsidRPr="00E07B1B">
              <w:t>MEDIUM</w:t>
            </w:r>
          </w:p>
        </w:tc>
      </w:tr>
      <w:tr w:rsidR="00853A74" w:rsidRPr="00E07B1B" w:rsidTr="0099772D">
        <w:trPr>
          <w:cantSplit/>
        </w:trPr>
        <w:tc>
          <w:tcPr>
            <w:tcW w:w="923" w:type="pct"/>
            <w:vMerge/>
            <w:tcBorders>
              <w:top w:val="nil"/>
              <w:bottom w:val="nil"/>
            </w:tcBorders>
            <w:shd w:val="clear" w:color="auto" w:fill="auto"/>
          </w:tcPr>
          <w:p w:rsidR="00853A74" w:rsidRPr="00E07B1B" w:rsidRDefault="00853A74" w:rsidP="00A125BF">
            <w:pPr>
              <w:pStyle w:val="TableText"/>
            </w:pPr>
          </w:p>
        </w:tc>
        <w:tc>
          <w:tcPr>
            <w:tcW w:w="731" w:type="pct"/>
            <w:tcBorders>
              <w:top w:val="nil"/>
              <w:bottom w:val="nil"/>
            </w:tcBorders>
            <w:shd w:val="clear" w:color="auto" w:fill="auto"/>
          </w:tcPr>
          <w:p w:rsidR="00853A74" w:rsidRPr="00E07B1B" w:rsidRDefault="00853A74" w:rsidP="00A125BF">
            <w:pPr>
              <w:pStyle w:val="TableText"/>
            </w:pPr>
            <w:r w:rsidRPr="00E07B1B">
              <w:t>Ogonowski</w:t>
            </w:r>
            <w:r>
              <w:t xml:space="preserve"> </w:t>
            </w:r>
            <w:r w:rsidRPr="00C42FA8">
              <w:rPr>
                <w:szCs w:val="24"/>
              </w:rPr>
              <w:t>and Miazgowski</w:t>
            </w:r>
            <w:r w:rsidRPr="00E07B1B">
              <w:t xml:space="preserve"> </w:t>
            </w:r>
            <w:r>
              <w:t>(</w:t>
            </w:r>
            <w:r w:rsidRPr="00E07B1B">
              <w:t>2009</w:t>
            </w:r>
            <w:r>
              <w:t>)</w:t>
            </w:r>
          </w:p>
        </w:tc>
        <w:tc>
          <w:tcPr>
            <w:tcW w:w="336" w:type="pct"/>
            <w:tcBorders>
              <w:top w:val="nil"/>
              <w:bottom w:val="nil"/>
            </w:tcBorders>
            <w:shd w:val="clear" w:color="auto" w:fill="auto"/>
          </w:tcPr>
          <w:p w:rsidR="00853A74" w:rsidRPr="00E07B1B" w:rsidRDefault="00853A74" w:rsidP="00A125BF">
            <w:pPr>
              <w:pStyle w:val="TableText"/>
            </w:pPr>
            <w:r w:rsidRPr="00E07B1B">
              <w:t>Poland</w:t>
            </w:r>
          </w:p>
        </w:tc>
        <w:tc>
          <w:tcPr>
            <w:tcW w:w="437" w:type="pct"/>
            <w:tcBorders>
              <w:top w:val="nil"/>
              <w:bottom w:val="nil"/>
            </w:tcBorders>
            <w:shd w:val="clear" w:color="auto" w:fill="auto"/>
          </w:tcPr>
          <w:p w:rsidR="00853A74" w:rsidRPr="00E07B1B" w:rsidRDefault="00853A74" w:rsidP="0024015A">
            <w:pPr>
              <w:pStyle w:val="TableText"/>
              <w:tabs>
                <w:tab w:val="decimal" w:pos="936"/>
              </w:tabs>
            </w:pPr>
            <w:r w:rsidRPr="00E07B1B">
              <w:t>855</w:t>
            </w:r>
          </w:p>
        </w:tc>
        <w:tc>
          <w:tcPr>
            <w:tcW w:w="2209" w:type="pct"/>
            <w:tcBorders>
              <w:top w:val="nil"/>
              <w:bottom w:val="nil"/>
            </w:tcBorders>
            <w:shd w:val="clear" w:color="auto" w:fill="auto"/>
          </w:tcPr>
          <w:p w:rsidR="00853A74" w:rsidRPr="00E07B1B" w:rsidRDefault="00853A74" w:rsidP="00A125BF">
            <w:pPr>
              <w:pStyle w:val="TableText"/>
            </w:pPr>
            <w:r w:rsidRPr="00E07B1B">
              <w:t>Adj OR 1.05 (95%CI 1.02</w:t>
            </w:r>
            <w:r>
              <w:t>–</w:t>
            </w:r>
            <w:r w:rsidRPr="00E07B1B">
              <w:t>1.08,</w:t>
            </w:r>
            <w:r>
              <w:t xml:space="preserve"> </w:t>
            </w:r>
            <w:r w:rsidRPr="00C42FA8">
              <w:rPr>
                <w:i/>
              </w:rPr>
              <w:t>p</w:t>
            </w:r>
            <w:r>
              <w:t xml:space="preserve"> </w:t>
            </w:r>
            <w:r w:rsidRPr="00E07B1B">
              <w:t>= 0.001</w:t>
            </w:r>
            <w:r>
              <w:t>)</w:t>
            </w:r>
          </w:p>
        </w:tc>
        <w:tc>
          <w:tcPr>
            <w:tcW w:w="364" w:type="pct"/>
            <w:tcBorders>
              <w:top w:val="nil"/>
              <w:bottom w:val="nil"/>
            </w:tcBorders>
            <w:shd w:val="clear" w:color="auto" w:fill="auto"/>
          </w:tcPr>
          <w:p w:rsidR="00853A74" w:rsidRPr="00E07B1B" w:rsidRDefault="00853A74" w:rsidP="0024015A">
            <w:pPr>
              <w:pStyle w:val="TableText"/>
              <w:jc w:val="center"/>
            </w:pPr>
            <w:r w:rsidRPr="00E07B1B">
              <w:t>MEDIUM</w:t>
            </w:r>
          </w:p>
        </w:tc>
      </w:tr>
      <w:tr w:rsidR="00853A74" w:rsidRPr="00E07B1B" w:rsidTr="0099772D">
        <w:trPr>
          <w:cantSplit/>
        </w:trPr>
        <w:tc>
          <w:tcPr>
            <w:tcW w:w="923" w:type="pct"/>
            <w:vMerge/>
            <w:tcBorders>
              <w:top w:val="nil"/>
              <w:bottom w:val="nil"/>
            </w:tcBorders>
            <w:shd w:val="clear" w:color="auto" w:fill="auto"/>
          </w:tcPr>
          <w:p w:rsidR="00853A74" w:rsidRPr="00E07B1B" w:rsidRDefault="00853A74" w:rsidP="00A125BF">
            <w:pPr>
              <w:pStyle w:val="TableText"/>
            </w:pPr>
          </w:p>
        </w:tc>
        <w:tc>
          <w:tcPr>
            <w:tcW w:w="731" w:type="pct"/>
            <w:tcBorders>
              <w:top w:val="nil"/>
              <w:bottom w:val="nil"/>
            </w:tcBorders>
            <w:shd w:val="clear" w:color="auto" w:fill="auto"/>
          </w:tcPr>
          <w:p w:rsidR="00853A74" w:rsidRPr="00E07B1B" w:rsidRDefault="00853A74" w:rsidP="00A125BF">
            <w:pPr>
              <w:pStyle w:val="TableText"/>
            </w:pPr>
            <w:r w:rsidRPr="00E07B1B">
              <w:t xml:space="preserve">Schaefer-Graf </w:t>
            </w:r>
            <w:r>
              <w:t>(</w:t>
            </w:r>
            <w:r w:rsidRPr="00E07B1B">
              <w:t>2009</w:t>
            </w:r>
            <w:r>
              <w:t>)</w:t>
            </w:r>
          </w:p>
        </w:tc>
        <w:tc>
          <w:tcPr>
            <w:tcW w:w="336" w:type="pct"/>
            <w:tcBorders>
              <w:top w:val="nil"/>
              <w:bottom w:val="nil"/>
            </w:tcBorders>
            <w:shd w:val="clear" w:color="auto" w:fill="auto"/>
          </w:tcPr>
          <w:p w:rsidR="00853A74" w:rsidRPr="00E07B1B" w:rsidRDefault="00853A74" w:rsidP="00A125BF">
            <w:pPr>
              <w:pStyle w:val="TableText"/>
            </w:pPr>
            <w:r w:rsidRPr="00E07B1B">
              <w:t>Germany</w:t>
            </w:r>
          </w:p>
        </w:tc>
        <w:tc>
          <w:tcPr>
            <w:tcW w:w="437" w:type="pct"/>
            <w:tcBorders>
              <w:top w:val="nil"/>
              <w:bottom w:val="nil"/>
            </w:tcBorders>
            <w:shd w:val="clear" w:color="auto" w:fill="auto"/>
          </w:tcPr>
          <w:p w:rsidR="00853A74" w:rsidRPr="00E07B1B" w:rsidRDefault="00853A74" w:rsidP="0024015A">
            <w:pPr>
              <w:pStyle w:val="TableText"/>
              <w:tabs>
                <w:tab w:val="decimal" w:pos="936"/>
              </w:tabs>
            </w:pPr>
            <w:r w:rsidRPr="00E07B1B">
              <w:t>1184</w:t>
            </w:r>
          </w:p>
        </w:tc>
        <w:tc>
          <w:tcPr>
            <w:tcW w:w="2209" w:type="pct"/>
            <w:tcBorders>
              <w:top w:val="nil"/>
              <w:bottom w:val="nil"/>
            </w:tcBorders>
            <w:shd w:val="clear" w:color="auto" w:fill="auto"/>
          </w:tcPr>
          <w:p w:rsidR="00853A74" w:rsidRPr="00E07B1B" w:rsidRDefault="00853A74" w:rsidP="00A125BF">
            <w:pPr>
              <w:pStyle w:val="TableText"/>
            </w:pPr>
            <w:r w:rsidRPr="00E07B1B">
              <w:t>OR 2.73 (95%CI 1.77</w:t>
            </w:r>
            <w:r>
              <w:t>–</w:t>
            </w:r>
            <w:r w:rsidRPr="00E07B1B">
              <w:t xml:space="preserve">4.21, </w:t>
            </w:r>
            <w:r w:rsidRPr="00C42FA8">
              <w:rPr>
                <w:i/>
              </w:rPr>
              <w:t>p</w:t>
            </w:r>
            <w:r>
              <w:t xml:space="preserve"> </w:t>
            </w:r>
            <w:r w:rsidRPr="00E07B1B">
              <w:t>&lt;</w:t>
            </w:r>
            <w:r>
              <w:t xml:space="preserve"> </w:t>
            </w:r>
            <w:r w:rsidRPr="00E07B1B">
              <w:t>0.001</w:t>
            </w:r>
            <w:r>
              <w:t>)</w:t>
            </w:r>
          </w:p>
        </w:tc>
        <w:tc>
          <w:tcPr>
            <w:tcW w:w="364" w:type="pct"/>
            <w:tcBorders>
              <w:top w:val="nil"/>
              <w:bottom w:val="nil"/>
            </w:tcBorders>
            <w:shd w:val="clear" w:color="auto" w:fill="auto"/>
          </w:tcPr>
          <w:p w:rsidR="00853A74" w:rsidRPr="00E07B1B" w:rsidRDefault="00853A74" w:rsidP="0024015A">
            <w:pPr>
              <w:pStyle w:val="TableText"/>
              <w:jc w:val="center"/>
            </w:pPr>
            <w:r w:rsidRPr="00E07B1B">
              <w:t>LOW</w:t>
            </w:r>
          </w:p>
        </w:tc>
      </w:tr>
      <w:tr w:rsidR="00853A74" w:rsidRPr="00E07B1B" w:rsidTr="0099772D">
        <w:trPr>
          <w:cantSplit/>
        </w:trPr>
        <w:tc>
          <w:tcPr>
            <w:tcW w:w="923" w:type="pct"/>
            <w:vMerge/>
            <w:tcBorders>
              <w:top w:val="nil"/>
              <w:bottom w:val="nil"/>
            </w:tcBorders>
            <w:shd w:val="clear" w:color="auto" w:fill="auto"/>
          </w:tcPr>
          <w:p w:rsidR="00853A74" w:rsidRPr="00E07B1B" w:rsidRDefault="00853A74" w:rsidP="00A125BF">
            <w:pPr>
              <w:pStyle w:val="TableText"/>
            </w:pPr>
          </w:p>
        </w:tc>
        <w:tc>
          <w:tcPr>
            <w:tcW w:w="731" w:type="pct"/>
            <w:tcBorders>
              <w:top w:val="nil"/>
              <w:bottom w:val="nil"/>
            </w:tcBorders>
            <w:shd w:val="clear" w:color="auto" w:fill="auto"/>
          </w:tcPr>
          <w:p w:rsidR="00853A74" w:rsidRPr="00E07B1B" w:rsidRDefault="00853A74" w:rsidP="00A125BF">
            <w:pPr>
              <w:pStyle w:val="TableText"/>
            </w:pPr>
            <w:r w:rsidRPr="00E07B1B">
              <w:t xml:space="preserve">Lee </w:t>
            </w:r>
            <w:r>
              <w:t>(</w:t>
            </w:r>
            <w:r w:rsidRPr="00E07B1B">
              <w:t>2011</w:t>
            </w:r>
            <w:r>
              <w:t>)</w:t>
            </w:r>
          </w:p>
        </w:tc>
        <w:tc>
          <w:tcPr>
            <w:tcW w:w="336" w:type="pct"/>
            <w:tcBorders>
              <w:top w:val="nil"/>
              <w:bottom w:val="nil"/>
            </w:tcBorders>
            <w:shd w:val="clear" w:color="auto" w:fill="auto"/>
          </w:tcPr>
          <w:p w:rsidR="00853A74" w:rsidRPr="00E07B1B" w:rsidRDefault="00853A74" w:rsidP="00A125BF">
            <w:pPr>
              <w:pStyle w:val="TableText"/>
            </w:pPr>
            <w:r w:rsidRPr="00E07B1B">
              <w:t>Hong Kong</w:t>
            </w:r>
          </w:p>
        </w:tc>
        <w:tc>
          <w:tcPr>
            <w:tcW w:w="437" w:type="pct"/>
            <w:tcBorders>
              <w:top w:val="nil"/>
              <w:bottom w:val="nil"/>
            </w:tcBorders>
            <w:shd w:val="clear" w:color="auto" w:fill="auto"/>
          </w:tcPr>
          <w:p w:rsidR="00853A74" w:rsidRPr="00E07B1B" w:rsidRDefault="00853A74" w:rsidP="0024015A">
            <w:pPr>
              <w:pStyle w:val="TableText"/>
              <w:tabs>
                <w:tab w:val="decimal" w:pos="936"/>
              </w:tabs>
            </w:pPr>
            <w:r w:rsidRPr="00E07B1B">
              <w:t>238</w:t>
            </w:r>
          </w:p>
        </w:tc>
        <w:tc>
          <w:tcPr>
            <w:tcW w:w="2209" w:type="pct"/>
            <w:tcBorders>
              <w:top w:val="nil"/>
              <w:bottom w:val="nil"/>
            </w:tcBorders>
            <w:shd w:val="clear" w:color="auto" w:fill="auto"/>
          </w:tcPr>
          <w:p w:rsidR="00853A74" w:rsidRPr="00E07B1B" w:rsidRDefault="00853A74" w:rsidP="00A125BF">
            <w:pPr>
              <w:pStyle w:val="TableText"/>
            </w:pPr>
            <w:r w:rsidRPr="00E07B1B">
              <w:t>Adj HR 1.93 (95%CI 1.42</w:t>
            </w:r>
            <w:r>
              <w:t>–</w:t>
            </w:r>
            <w:r w:rsidRPr="00E07B1B">
              <w:t xml:space="preserve">2.63, </w:t>
            </w:r>
            <w:r w:rsidRPr="00C42FA8">
              <w:rPr>
                <w:i/>
              </w:rPr>
              <w:t>p</w:t>
            </w:r>
            <w:r>
              <w:t xml:space="preserve"> </w:t>
            </w:r>
            <w:r w:rsidRPr="00E07B1B">
              <w:t>&lt;</w:t>
            </w:r>
            <w:r>
              <w:t xml:space="preserve"> </w:t>
            </w:r>
            <w:r w:rsidRPr="00E07B1B">
              <w:t>0.001</w:t>
            </w:r>
            <w:r>
              <w:t>)</w:t>
            </w:r>
          </w:p>
        </w:tc>
        <w:tc>
          <w:tcPr>
            <w:tcW w:w="364" w:type="pct"/>
            <w:tcBorders>
              <w:top w:val="nil"/>
              <w:bottom w:val="nil"/>
            </w:tcBorders>
            <w:shd w:val="clear" w:color="auto" w:fill="auto"/>
          </w:tcPr>
          <w:p w:rsidR="00853A74" w:rsidRPr="00E07B1B" w:rsidRDefault="00853A74" w:rsidP="0024015A">
            <w:pPr>
              <w:pStyle w:val="TableText"/>
              <w:jc w:val="center"/>
            </w:pPr>
            <w:r w:rsidRPr="00E07B1B">
              <w:t>LOW</w:t>
            </w:r>
          </w:p>
        </w:tc>
      </w:tr>
      <w:tr w:rsidR="00853A74" w:rsidRPr="00E07B1B" w:rsidTr="00F80F4A">
        <w:trPr>
          <w:cantSplit/>
        </w:trPr>
        <w:tc>
          <w:tcPr>
            <w:tcW w:w="923" w:type="pct"/>
            <w:vMerge/>
            <w:tcBorders>
              <w:top w:val="nil"/>
              <w:bottom w:val="nil"/>
            </w:tcBorders>
            <w:shd w:val="clear" w:color="auto" w:fill="auto"/>
          </w:tcPr>
          <w:p w:rsidR="00853A74" w:rsidRPr="00E07B1B" w:rsidRDefault="00853A74" w:rsidP="00A125BF">
            <w:pPr>
              <w:pStyle w:val="TableText"/>
            </w:pPr>
          </w:p>
        </w:tc>
        <w:tc>
          <w:tcPr>
            <w:tcW w:w="731" w:type="pct"/>
            <w:tcBorders>
              <w:top w:val="nil"/>
              <w:bottom w:val="nil"/>
            </w:tcBorders>
            <w:shd w:val="clear" w:color="auto" w:fill="auto"/>
          </w:tcPr>
          <w:p w:rsidR="00853A74" w:rsidRPr="00E07B1B" w:rsidRDefault="00853A74" w:rsidP="00A125BF">
            <w:pPr>
              <w:pStyle w:val="TableText"/>
            </w:pPr>
            <w:r w:rsidRPr="00E07B1B">
              <w:t xml:space="preserve">Oldfield </w:t>
            </w:r>
            <w:r>
              <w:t>(</w:t>
            </w:r>
            <w:r w:rsidRPr="00E07B1B">
              <w:t>2007</w:t>
            </w:r>
            <w:r>
              <w:t>)</w:t>
            </w:r>
          </w:p>
        </w:tc>
        <w:tc>
          <w:tcPr>
            <w:tcW w:w="336" w:type="pct"/>
            <w:tcBorders>
              <w:top w:val="nil"/>
              <w:bottom w:val="nil"/>
            </w:tcBorders>
            <w:shd w:val="clear" w:color="auto" w:fill="auto"/>
          </w:tcPr>
          <w:p w:rsidR="00853A74" w:rsidRPr="00E07B1B" w:rsidRDefault="00853A74" w:rsidP="00A125BF">
            <w:pPr>
              <w:pStyle w:val="TableText"/>
            </w:pPr>
            <w:r w:rsidRPr="00E07B1B">
              <w:t>UK</w:t>
            </w:r>
          </w:p>
        </w:tc>
        <w:tc>
          <w:tcPr>
            <w:tcW w:w="437" w:type="pct"/>
            <w:tcBorders>
              <w:top w:val="nil"/>
              <w:bottom w:val="nil"/>
            </w:tcBorders>
            <w:shd w:val="clear" w:color="auto" w:fill="auto"/>
          </w:tcPr>
          <w:p w:rsidR="00853A74" w:rsidRPr="00E07B1B" w:rsidRDefault="00853A74" w:rsidP="0024015A">
            <w:pPr>
              <w:pStyle w:val="TableText"/>
              <w:tabs>
                <w:tab w:val="decimal" w:pos="936"/>
              </w:tabs>
            </w:pPr>
            <w:r w:rsidRPr="00E07B1B">
              <w:t>73</w:t>
            </w:r>
          </w:p>
        </w:tc>
        <w:tc>
          <w:tcPr>
            <w:tcW w:w="2209" w:type="pct"/>
            <w:tcBorders>
              <w:top w:val="nil"/>
              <w:bottom w:val="nil"/>
            </w:tcBorders>
            <w:shd w:val="clear" w:color="auto" w:fill="auto"/>
          </w:tcPr>
          <w:p w:rsidR="00853A74" w:rsidRPr="00E07B1B" w:rsidRDefault="00853A74" w:rsidP="00A125BF">
            <w:pPr>
              <w:pStyle w:val="TableText"/>
            </w:pPr>
            <w:r w:rsidRPr="00E07B1B">
              <w:t>Caucasian OR 5.93 (95%CI 1.33</w:t>
            </w:r>
            <w:r>
              <w:t>–</w:t>
            </w:r>
            <w:r w:rsidRPr="00E07B1B">
              <w:t xml:space="preserve">26.34, </w:t>
            </w:r>
            <w:r w:rsidRPr="00C42FA8">
              <w:rPr>
                <w:i/>
              </w:rPr>
              <w:t>p</w:t>
            </w:r>
            <w:r>
              <w:t xml:space="preserve"> </w:t>
            </w:r>
            <w:r w:rsidRPr="00E07B1B">
              <w:t>=</w:t>
            </w:r>
            <w:r>
              <w:t xml:space="preserve"> </w:t>
            </w:r>
            <w:r w:rsidRPr="00E07B1B">
              <w:t>0.02), South</w:t>
            </w:r>
            <w:r>
              <w:t xml:space="preserve"> </w:t>
            </w:r>
            <w:r w:rsidRPr="00E07B1B">
              <w:t>Asian OR 1.60 (95%CI 1.09</w:t>
            </w:r>
            <w:r>
              <w:t>–</w:t>
            </w:r>
            <w:r w:rsidRPr="00E07B1B">
              <w:t xml:space="preserve">2.45, </w:t>
            </w:r>
            <w:r w:rsidRPr="00C42FA8">
              <w:rPr>
                <w:i/>
              </w:rPr>
              <w:t>p</w:t>
            </w:r>
            <w:r>
              <w:t xml:space="preserve"> </w:t>
            </w:r>
            <w:r w:rsidRPr="00E07B1B">
              <w:t>=</w:t>
            </w:r>
            <w:r>
              <w:t xml:space="preserve"> </w:t>
            </w:r>
            <w:r w:rsidRPr="00E07B1B">
              <w:t>0.02)</w:t>
            </w:r>
          </w:p>
        </w:tc>
        <w:tc>
          <w:tcPr>
            <w:tcW w:w="364" w:type="pct"/>
            <w:tcBorders>
              <w:top w:val="nil"/>
              <w:bottom w:val="nil"/>
            </w:tcBorders>
            <w:shd w:val="clear" w:color="auto" w:fill="auto"/>
          </w:tcPr>
          <w:p w:rsidR="00853A74" w:rsidRPr="00E07B1B" w:rsidRDefault="00853A74" w:rsidP="0024015A">
            <w:pPr>
              <w:pStyle w:val="TableText"/>
              <w:jc w:val="center"/>
            </w:pPr>
            <w:r w:rsidRPr="00E07B1B">
              <w:t>LOW</w:t>
            </w:r>
          </w:p>
        </w:tc>
      </w:tr>
      <w:tr w:rsidR="00853A74" w:rsidRPr="00E07B1B" w:rsidTr="00F80F4A">
        <w:trPr>
          <w:cantSplit/>
        </w:trPr>
        <w:tc>
          <w:tcPr>
            <w:tcW w:w="923" w:type="pct"/>
            <w:tcBorders>
              <w:top w:val="nil"/>
              <w:bottom w:val="single" w:sz="4" w:space="0" w:color="auto"/>
            </w:tcBorders>
            <w:shd w:val="clear" w:color="auto" w:fill="F2F2F2" w:themeFill="background1" w:themeFillShade="F2"/>
          </w:tcPr>
          <w:p w:rsidR="00853A74" w:rsidRPr="00E07B1B" w:rsidRDefault="00853A74" w:rsidP="0099772D">
            <w:pPr>
              <w:pStyle w:val="TableText"/>
            </w:pPr>
            <w:r w:rsidRPr="00E07B1B">
              <w:t>High glucose challenge test levels</w:t>
            </w:r>
          </w:p>
        </w:tc>
        <w:tc>
          <w:tcPr>
            <w:tcW w:w="731" w:type="pct"/>
            <w:tcBorders>
              <w:top w:val="nil"/>
              <w:bottom w:val="single" w:sz="4" w:space="0" w:color="auto"/>
            </w:tcBorders>
            <w:shd w:val="clear" w:color="auto" w:fill="F2F2F2" w:themeFill="background1" w:themeFillShade="F2"/>
          </w:tcPr>
          <w:p w:rsidR="00853A74" w:rsidRPr="00E07B1B" w:rsidRDefault="00853A74" w:rsidP="0099772D">
            <w:pPr>
              <w:pStyle w:val="TableText"/>
            </w:pPr>
            <w:r w:rsidRPr="00C42FA8">
              <w:t xml:space="preserve">Ogonowski </w:t>
            </w:r>
            <w:r w:rsidRPr="00C42FA8">
              <w:rPr>
                <w:szCs w:val="24"/>
              </w:rPr>
              <w:t>and Miazgowski</w:t>
            </w:r>
            <w:r w:rsidRPr="00C42FA8">
              <w:t xml:space="preserve"> (2009)</w:t>
            </w:r>
          </w:p>
        </w:tc>
        <w:tc>
          <w:tcPr>
            <w:tcW w:w="336" w:type="pct"/>
            <w:tcBorders>
              <w:top w:val="nil"/>
              <w:bottom w:val="single" w:sz="4" w:space="0" w:color="auto"/>
            </w:tcBorders>
            <w:shd w:val="clear" w:color="auto" w:fill="F2F2F2" w:themeFill="background1" w:themeFillShade="F2"/>
          </w:tcPr>
          <w:p w:rsidR="00853A74" w:rsidRPr="00E07B1B" w:rsidRDefault="00853A74" w:rsidP="0099772D">
            <w:pPr>
              <w:pStyle w:val="TableText"/>
            </w:pPr>
            <w:r w:rsidRPr="00E07B1B">
              <w:t>Poland</w:t>
            </w:r>
          </w:p>
        </w:tc>
        <w:tc>
          <w:tcPr>
            <w:tcW w:w="437" w:type="pct"/>
            <w:tcBorders>
              <w:top w:val="nil"/>
              <w:bottom w:val="single" w:sz="4" w:space="0" w:color="auto"/>
            </w:tcBorders>
            <w:shd w:val="clear" w:color="auto" w:fill="F2F2F2" w:themeFill="background1" w:themeFillShade="F2"/>
          </w:tcPr>
          <w:p w:rsidR="00853A74" w:rsidRPr="00E07B1B" w:rsidRDefault="00853A74" w:rsidP="0099772D">
            <w:pPr>
              <w:pStyle w:val="TableText"/>
              <w:tabs>
                <w:tab w:val="decimal" w:pos="936"/>
              </w:tabs>
            </w:pPr>
            <w:r w:rsidRPr="00E07B1B">
              <w:t>855</w:t>
            </w:r>
          </w:p>
        </w:tc>
        <w:tc>
          <w:tcPr>
            <w:tcW w:w="2209" w:type="pct"/>
            <w:tcBorders>
              <w:top w:val="nil"/>
              <w:bottom w:val="single" w:sz="4" w:space="0" w:color="auto"/>
            </w:tcBorders>
            <w:shd w:val="clear" w:color="auto" w:fill="F2F2F2" w:themeFill="background1" w:themeFillShade="F2"/>
          </w:tcPr>
          <w:p w:rsidR="00853A74" w:rsidRPr="00E07B1B" w:rsidRDefault="00853A74" w:rsidP="0099772D">
            <w:pPr>
              <w:pStyle w:val="TableText"/>
            </w:pPr>
            <w:r w:rsidRPr="00E07B1B">
              <w:t>Adj OR 1.03 (95%CI 1.01</w:t>
            </w:r>
            <w:r>
              <w:t>–</w:t>
            </w:r>
            <w:r w:rsidRPr="00E07B1B">
              <w:t xml:space="preserve">1.08, </w:t>
            </w:r>
            <w:r w:rsidRPr="00C42FA8">
              <w:rPr>
                <w:i/>
              </w:rPr>
              <w:t>p</w:t>
            </w:r>
            <w:r>
              <w:t xml:space="preserve"> </w:t>
            </w:r>
            <w:r w:rsidRPr="00E07B1B">
              <w:t>=</w:t>
            </w:r>
            <w:r>
              <w:t xml:space="preserve"> </w:t>
            </w:r>
            <w:r w:rsidRPr="00E07B1B">
              <w:t>0.007</w:t>
            </w:r>
            <w:r>
              <w:t>)</w:t>
            </w:r>
          </w:p>
        </w:tc>
        <w:tc>
          <w:tcPr>
            <w:tcW w:w="364" w:type="pct"/>
            <w:tcBorders>
              <w:top w:val="nil"/>
              <w:bottom w:val="single" w:sz="4" w:space="0" w:color="auto"/>
            </w:tcBorders>
            <w:shd w:val="clear" w:color="auto" w:fill="F2F2F2" w:themeFill="background1" w:themeFillShade="F2"/>
          </w:tcPr>
          <w:p w:rsidR="00853A74" w:rsidRPr="00E07B1B" w:rsidRDefault="00853A74" w:rsidP="0099772D">
            <w:pPr>
              <w:pStyle w:val="TableText"/>
              <w:jc w:val="center"/>
            </w:pPr>
            <w:r w:rsidRPr="00E07B1B">
              <w:t>MEDIUM</w:t>
            </w:r>
          </w:p>
        </w:tc>
      </w:tr>
      <w:tr w:rsidR="00853A74" w:rsidRPr="00E07B1B" w:rsidTr="00F80F4A">
        <w:trPr>
          <w:cantSplit/>
        </w:trPr>
        <w:tc>
          <w:tcPr>
            <w:tcW w:w="923" w:type="pct"/>
            <w:vMerge w:val="restart"/>
            <w:tcBorders>
              <w:top w:val="single" w:sz="4" w:space="0" w:color="auto"/>
              <w:bottom w:val="nil"/>
            </w:tcBorders>
            <w:shd w:val="clear" w:color="auto" w:fill="auto"/>
          </w:tcPr>
          <w:p w:rsidR="00853A74" w:rsidRPr="00E07B1B" w:rsidRDefault="00853A74" w:rsidP="00A125BF">
            <w:pPr>
              <w:pStyle w:val="TableText"/>
            </w:pPr>
            <w:r w:rsidRPr="00E07B1B">
              <w:t>High diagnostic 2</w:t>
            </w:r>
            <w:r>
              <w:t>-hour</w:t>
            </w:r>
            <w:r w:rsidRPr="00E07B1B">
              <w:t xml:space="preserve"> OGTT</w:t>
            </w:r>
          </w:p>
        </w:tc>
        <w:tc>
          <w:tcPr>
            <w:tcW w:w="731" w:type="pct"/>
            <w:tcBorders>
              <w:top w:val="single" w:sz="4" w:space="0" w:color="auto"/>
              <w:bottom w:val="nil"/>
            </w:tcBorders>
            <w:shd w:val="clear" w:color="auto" w:fill="auto"/>
          </w:tcPr>
          <w:p w:rsidR="00853A74" w:rsidRPr="00E07B1B" w:rsidRDefault="00853A74" w:rsidP="00A125BF">
            <w:pPr>
              <w:pStyle w:val="TableText"/>
            </w:pPr>
            <w:r w:rsidRPr="00C42FA8">
              <w:t xml:space="preserve">Ogonowski </w:t>
            </w:r>
            <w:r w:rsidRPr="00C42FA8">
              <w:rPr>
                <w:szCs w:val="24"/>
              </w:rPr>
              <w:t xml:space="preserve">and Miazgowski </w:t>
            </w:r>
            <w:r w:rsidRPr="00C42FA8">
              <w:t>(2009)</w:t>
            </w:r>
          </w:p>
        </w:tc>
        <w:tc>
          <w:tcPr>
            <w:tcW w:w="336" w:type="pct"/>
            <w:tcBorders>
              <w:top w:val="single" w:sz="4" w:space="0" w:color="auto"/>
              <w:bottom w:val="nil"/>
            </w:tcBorders>
            <w:shd w:val="clear" w:color="auto" w:fill="auto"/>
          </w:tcPr>
          <w:p w:rsidR="00853A74" w:rsidRPr="00E07B1B" w:rsidRDefault="00853A74" w:rsidP="00A125BF">
            <w:pPr>
              <w:pStyle w:val="TableText"/>
            </w:pPr>
            <w:r w:rsidRPr="00E07B1B">
              <w:t>Poland</w:t>
            </w:r>
          </w:p>
        </w:tc>
        <w:tc>
          <w:tcPr>
            <w:tcW w:w="437" w:type="pct"/>
            <w:tcBorders>
              <w:top w:val="single" w:sz="4" w:space="0" w:color="auto"/>
              <w:bottom w:val="nil"/>
            </w:tcBorders>
            <w:shd w:val="clear" w:color="auto" w:fill="auto"/>
          </w:tcPr>
          <w:p w:rsidR="00853A74" w:rsidRPr="00E07B1B" w:rsidRDefault="00853A74" w:rsidP="00DE7576">
            <w:pPr>
              <w:pStyle w:val="TableText"/>
              <w:tabs>
                <w:tab w:val="decimal" w:pos="936"/>
              </w:tabs>
            </w:pPr>
            <w:r w:rsidRPr="00E07B1B">
              <w:t>855</w:t>
            </w:r>
          </w:p>
        </w:tc>
        <w:tc>
          <w:tcPr>
            <w:tcW w:w="2209" w:type="pct"/>
            <w:tcBorders>
              <w:top w:val="single" w:sz="4" w:space="0" w:color="auto"/>
              <w:bottom w:val="nil"/>
            </w:tcBorders>
            <w:shd w:val="clear" w:color="auto" w:fill="auto"/>
          </w:tcPr>
          <w:p w:rsidR="00853A74" w:rsidRPr="00E07B1B" w:rsidRDefault="00853A74" w:rsidP="00A125BF">
            <w:pPr>
              <w:pStyle w:val="TableText"/>
            </w:pPr>
            <w:r w:rsidRPr="00E07B1B">
              <w:t>Adj OR 1.02 (95%CI 1.01</w:t>
            </w:r>
            <w:r>
              <w:t>–</w:t>
            </w:r>
            <w:r w:rsidRPr="00E07B1B">
              <w:t xml:space="preserve">1.04, </w:t>
            </w:r>
            <w:r w:rsidRPr="00C42FA8">
              <w:rPr>
                <w:i/>
              </w:rPr>
              <w:t>p</w:t>
            </w:r>
            <w:r>
              <w:t xml:space="preserve"> </w:t>
            </w:r>
            <w:r w:rsidRPr="00E07B1B">
              <w:t>= 0.003</w:t>
            </w:r>
            <w:r>
              <w:t>)</w:t>
            </w:r>
          </w:p>
        </w:tc>
        <w:tc>
          <w:tcPr>
            <w:tcW w:w="364" w:type="pct"/>
            <w:tcBorders>
              <w:top w:val="single" w:sz="4" w:space="0" w:color="auto"/>
              <w:bottom w:val="nil"/>
            </w:tcBorders>
            <w:shd w:val="clear" w:color="auto" w:fill="auto"/>
          </w:tcPr>
          <w:p w:rsidR="00853A74" w:rsidRPr="00E07B1B" w:rsidRDefault="00853A74" w:rsidP="00DE7576">
            <w:pPr>
              <w:pStyle w:val="TableText"/>
              <w:jc w:val="center"/>
            </w:pPr>
            <w:r w:rsidRPr="00E07B1B">
              <w:t>MEDIUM</w:t>
            </w:r>
          </w:p>
        </w:tc>
      </w:tr>
      <w:tr w:rsidR="00853A74" w:rsidRPr="00E07B1B" w:rsidTr="007C3F5E">
        <w:trPr>
          <w:cantSplit/>
        </w:trPr>
        <w:tc>
          <w:tcPr>
            <w:tcW w:w="923" w:type="pct"/>
            <w:vMerge/>
            <w:tcBorders>
              <w:top w:val="nil"/>
              <w:bottom w:val="nil"/>
            </w:tcBorders>
            <w:shd w:val="clear" w:color="auto" w:fill="auto"/>
          </w:tcPr>
          <w:p w:rsidR="00853A74" w:rsidRPr="00E07B1B" w:rsidRDefault="00853A74" w:rsidP="00A125BF">
            <w:pPr>
              <w:pStyle w:val="TableText"/>
            </w:pPr>
          </w:p>
        </w:tc>
        <w:tc>
          <w:tcPr>
            <w:tcW w:w="731" w:type="pct"/>
            <w:tcBorders>
              <w:top w:val="nil"/>
              <w:bottom w:val="nil"/>
            </w:tcBorders>
            <w:shd w:val="clear" w:color="auto" w:fill="auto"/>
          </w:tcPr>
          <w:p w:rsidR="00853A74" w:rsidRPr="00E07B1B" w:rsidRDefault="00853A74" w:rsidP="00A125BF">
            <w:pPr>
              <w:pStyle w:val="TableText"/>
            </w:pPr>
            <w:r w:rsidRPr="00E07B1B">
              <w:t xml:space="preserve">Oldfield </w:t>
            </w:r>
            <w:r>
              <w:t>(</w:t>
            </w:r>
            <w:r w:rsidRPr="00E07B1B">
              <w:t>2007</w:t>
            </w:r>
            <w:r>
              <w:t>)</w:t>
            </w:r>
          </w:p>
        </w:tc>
        <w:tc>
          <w:tcPr>
            <w:tcW w:w="336" w:type="pct"/>
            <w:tcBorders>
              <w:top w:val="nil"/>
              <w:bottom w:val="nil"/>
            </w:tcBorders>
            <w:shd w:val="clear" w:color="auto" w:fill="auto"/>
          </w:tcPr>
          <w:p w:rsidR="00853A74" w:rsidRPr="00E07B1B" w:rsidRDefault="00853A74" w:rsidP="00A125BF">
            <w:pPr>
              <w:pStyle w:val="TableText"/>
            </w:pPr>
            <w:r w:rsidRPr="00E07B1B">
              <w:t>UK</w:t>
            </w:r>
          </w:p>
        </w:tc>
        <w:tc>
          <w:tcPr>
            <w:tcW w:w="437" w:type="pct"/>
            <w:tcBorders>
              <w:top w:val="nil"/>
              <w:bottom w:val="nil"/>
            </w:tcBorders>
            <w:shd w:val="clear" w:color="auto" w:fill="auto"/>
          </w:tcPr>
          <w:p w:rsidR="00853A74" w:rsidRPr="00E07B1B" w:rsidRDefault="00853A74" w:rsidP="00DE7576">
            <w:pPr>
              <w:pStyle w:val="TableText"/>
              <w:tabs>
                <w:tab w:val="decimal" w:pos="936"/>
              </w:tabs>
            </w:pPr>
            <w:r w:rsidRPr="00E07B1B">
              <w:t>73</w:t>
            </w:r>
          </w:p>
        </w:tc>
        <w:tc>
          <w:tcPr>
            <w:tcW w:w="2209" w:type="pct"/>
            <w:tcBorders>
              <w:top w:val="nil"/>
              <w:bottom w:val="nil"/>
            </w:tcBorders>
            <w:shd w:val="clear" w:color="auto" w:fill="auto"/>
          </w:tcPr>
          <w:p w:rsidR="00853A74" w:rsidRPr="00E07B1B" w:rsidRDefault="00853A74" w:rsidP="00A125BF">
            <w:pPr>
              <w:pStyle w:val="TableText"/>
            </w:pPr>
            <w:r w:rsidRPr="00E07B1B">
              <w:t>Caucasian OR 2.07 (95%CI 1.02</w:t>
            </w:r>
            <w:r>
              <w:t>–</w:t>
            </w:r>
            <w:r w:rsidRPr="00E07B1B">
              <w:t xml:space="preserve">4.15, </w:t>
            </w:r>
            <w:r w:rsidRPr="00C42FA8">
              <w:rPr>
                <w:i/>
              </w:rPr>
              <w:t>p</w:t>
            </w:r>
            <w:r>
              <w:t xml:space="preserve"> </w:t>
            </w:r>
            <w:r w:rsidRPr="00E07B1B">
              <w:t>=</w:t>
            </w:r>
            <w:r>
              <w:t xml:space="preserve"> </w:t>
            </w:r>
            <w:r w:rsidRPr="00E07B1B">
              <w:t>0.04), South Asian (NS)</w:t>
            </w:r>
          </w:p>
        </w:tc>
        <w:tc>
          <w:tcPr>
            <w:tcW w:w="364" w:type="pct"/>
            <w:tcBorders>
              <w:top w:val="nil"/>
              <w:bottom w:val="nil"/>
            </w:tcBorders>
            <w:shd w:val="clear" w:color="auto" w:fill="auto"/>
          </w:tcPr>
          <w:p w:rsidR="00853A74" w:rsidRPr="00E07B1B" w:rsidRDefault="00853A74" w:rsidP="00DE7576">
            <w:pPr>
              <w:pStyle w:val="TableText"/>
              <w:jc w:val="center"/>
            </w:pPr>
            <w:r w:rsidRPr="00E07B1B">
              <w:t>LOW</w:t>
            </w:r>
          </w:p>
        </w:tc>
      </w:tr>
      <w:tr w:rsidR="00853A74" w:rsidRPr="00E07B1B" w:rsidTr="007C3F5E">
        <w:trPr>
          <w:cantSplit/>
        </w:trPr>
        <w:tc>
          <w:tcPr>
            <w:tcW w:w="923" w:type="pct"/>
            <w:tcBorders>
              <w:top w:val="nil"/>
              <w:bottom w:val="nil"/>
            </w:tcBorders>
            <w:shd w:val="clear" w:color="auto" w:fill="F2F2F2" w:themeFill="background1" w:themeFillShade="F2"/>
          </w:tcPr>
          <w:p w:rsidR="00853A74" w:rsidRPr="00E07B1B" w:rsidRDefault="00853A74" w:rsidP="00A125BF">
            <w:pPr>
              <w:pStyle w:val="TableText"/>
            </w:pPr>
            <w:r w:rsidRPr="00E07B1B">
              <w:t>High HbA1c at diagnosis</w:t>
            </w: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Oldfield </w:t>
            </w:r>
            <w:r>
              <w:t>(</w:t>
            </w:r>
            <w:r w:rsidRPr="00E07B1B">
              <w:t>2007</w:t>
            </w:r>
            <w:r>
              <w:t>)</w:t>
            </w:r>
          </w:p>
        </w:tc>
        <w:tc>
          <w:tcPr>
            <w:tcW w:w="336" w:type="pct"/>
            <w:tcBorders>
              <w:top w:val="nil"/>
              <w:bottom w:val="nil"/>
            </w:tcBorders>
            <w:shd w:val="clear" w:color="auto" w:fill="F2F2F2" w:themeFill="background1" w:themeFillShade="F2"/>
          </w:tcPr>
          <w:p w:rsidR="00853A74" w:rsidRPr="00E07B1B" w:rsidRDefault="00853A74" w:rsidP="00A125BF">
            <w:pPr>
              <w:pStyle w:val="TableText"/>
            </w:pPr>
            <w:r w:rsidRPr="00E07B1B">
              <w:t>UK</w:t>
            </w:r>
          </w:p>
        </w:tc>
        <w:tc>
          <w:tcPr>
            <w:tcW w:w="437" w:type="pct"/>
            <w:tcBorders>
              <w:top w:val="nil"/>
              <w:bottom w:val="nil"/>
            </w:tcBorders>
            <w:shd w:val="clear" w:color="auto" w:fill="F2F2F2" w:themeFill="background1" w:themeFillShade="F2"/>
          </w:tcPr>
          <w:p w:rsidR="00853A74" w:rsidRPr="00E07B1B" w:rsidRDefault="00853A74" w:rsidP="00DE7576">
            <w:pPr>
              <w:pStyle w:val="TableText"/>
              <w:tabs>
                <w:tab w:val="decimal" w:pos="936"/>
              </w:tabs>
            </w:pPr>
            <w:r w:rsidRPr="00E07B1B">
              <w:t>73</w:t>
            </w:r>
          </w:p>
        </w:tc>
        <w:tc>
          <w:tcPr>
            <w:tcW w:w="2209" w:type="pct"/>
            <w:tcBorders>
              <w:top w:val="nil"/>
              <w:bottom w:val="nil"/>
            </w:tcBorders>
            <w:shd w:val="clear" w:color="auto" w:fill="F2F2F2" w:themeFill="background1" w:themeFillShade="F2"/>
          </w:tcPr>
          <w:p w:rsidR="00853A74" w:rsidRPr="00E07B1B" w:rsidRDefault="00853A74" w:rsidP="00A125BF">
            <w:pPr>
              <w:pStyle w:val="TableText"/>
            </w:pPr>
            <w:r w:rsidRPr="00E07B1B">
              <w:t>Caucasian OR 9.15 (95%CI 1.91</w:t>
            </w:r>
            <w:r>
              <w:t>–</w:t>
            </w:r>
            <w:r w:rsidRPr="00E07B1B">
              <w:t xml:space="preserve">43.87, </w:t>
            </w:r>
            <w:r w:rsidRPr="00C42FA8">
              <w:rPr>
                <w:i/>
              </w:rPr>
              <w:t>p</w:t>
            </w:r>
            <w:r>
              <w:rPr>
                <w:i/>
              </w:rPr>
              <w:t> </w:t>
            </w:r>
            <w:r w:rsidRPr="00E07B1B">
              <w:t>=</w:t>
            </w:r>
            <w:r>
              <w:t> </w:t>
            </w:r>
            <w:r w:rsidRPr="00E07B1B">
              <w:t>0.006</w:t>
            </w:r>
            <w:r>
              <w:t xml:space="preserve">), </w:t>
            </w:r>
            <w:r w:rsidRPr="00E07B1B">
              <w:t>South Asian</w:t>
            </w:r>
            <w:r>
              <w:t xml:space="preserve"> </w:t>
            </w:r>
            <w:r w:rsidRPr="00E07B1B">
              <w:t>OR 4.95 (95%CI 1.35</w:t>
            </w:r>
            <w:r>
              <w:t>–</w:t>
            </w:r>
            <w:r w:rsidRPr="00E07B1B">
              <w:t xml:space="preserve">12.40, </w:t>
            </w:r>
            <w:r w:rsidRPr="00C42FA8">
              <w:rPr>
                <w:i/>
              </w:rPr>
              <w:t>p</w:t>
            </w:r>
            <w:r>
              <w:t> </w:t>
            </w:r>
            <w:r w:rsidRPr="00E07B1B">
              <w:t>=</w:t>
            </w:r>
            <w:r>
              <w:t> </w:t>
            </w:r>
            <w:r w:rsidRPr="00E07B1B">
              <w:t>0.01</w:t>
            </w:r>
            <w:r>
              <w:t>)</w:t>
            </w:r>
          </w:p>
        </w:tc>
        <w:tc>
          <w:tcPr>
            <w:tcW w:w="364" w:type="pct"/>
            <w:tcBorders>
              <w:top w:val="nil"/>
              <w:bottom w:val="nil"/>
            </w:tcBorders>
            <w:shd w:val="clear" w:color="auto" w:fill="F2F2F2" w:themeFill="background1" w:themeFillShade="F2"/>
          </w:tcPr>
          <w:p w:rsidR="00853A74" w:rsidRPr="00E07B1B" w:rsidRDefault="00853A74" w:rsidP="00DE7576">
            <w:pPr>
              <w:pStyle w:val="TableText"/>
              <w:jc w:val="center"/>
            </w:pPr>
            <w:r w:rsidRPr="00E07B1B">
              <w:t>LOW</w:t>
            </w:r>
          </w:p>
        </w:tc>
      </w:tr>
      <w:tr w:rsidR="00853A74" w:rsidRPr="00E07B1B" w:rsidTr="007C3F5E">
        <w:trPr>
          <w:cantSplit/>
        </w:trPr>
        <w:tc>
          <w:tcPr>
            <w:tcW w:w="923" w:type="pct"/>
            <w:vMerge w:val="restart"/>
            <w:tcBorders>
              <w:top w:val="nil"/>
              <w:bottom w:val="nil"/>
            </w:tcBorders>
            <w:shd w:val="clear" w:color="auto" w:fill="auto"/>
          </w:tcPr>
          <w:p w:rsidR="00853A74" w:rsidRPr="00E07B1B" w:rsidRDefault="00853A74" w:rsidP="00A125BF">
            <w:pPr>
              <w:pStyle w:val="TableText"/>
            </w:pPr>
            <w:r w:rsidRPr="00E07B1B">
              <w:t>High HbA1C during pregnancy</w:t>
            </w:r>
          </w:p>
        </w:tc>
        <w:tc>
          <w:tcPr>
            <w:tcW w:w="731" w:type="pct"/>
            <w:tcBorders>
              <w:top w:val="nil"/>
              <w:bottom w:val="nil"/>
            </w:tcBorders>
            <w:shd w:val="clear" w:color="auto" w:fill="auto"/>
          </w:tcPr>
          <w:p w:rsidR="00853A74" w:rsidRPr="00E07B1B" w:rsidRDefault="00853A74" w:rsidP="00A125BF">
            <w:pPr>
              <w:pStyle w:val="TableText"/>
            </w:pPr>
            <w:r w:rsidRPr="00E07B1B">
              <w:t xml:space="preserve">Ekelund </w:t>
            </w:r>
            <w:r>
              <w:t>(</w:t>
            </w:r>
            <w:r w:rsidRPr="00E07B1B">
              <w:t>2010</w:t>
            </w:r>
            <w:r>
              <w:t>)</w:t>
            </w:r>
          </w:p>
        </w:tc>
        <w:tc>
          <w:tcPr>
            <w:tcW w:w="336" w:type="pct"/>
            <w:tcBorders>
              <w:top w:val="nil"/>
              <w:bottom w:val="nil"/>
            </w:tcBorders>
            <w:shd w:val="clear" w:color="auto" w:fill="auto"/>
          </w:tcPr>
          <w:p w:rsidR="00853A74" w:rsidRPr="00E07B1B" w:rsidRDefault="00853A74" w:rsidP="00A125BF">
            <w:pPr>
              <w:pStyle w:val="TableText"/>
            </w:pPr>
            <w:r w:rsidRPr="00E07B1B">
              <w:t>Sweden</w:t>
            </w:r>
          </w:p>
        </w:tc>
        <w:tc>
          <w:tcPr>
            <w:tcW w:w="437" w:type="pct"/>
            <w:tcBorders>
              <w:top w:val="nil"/>
              <w:bottom w:val="nil"/>
            </w:tcBorders>
            <w:shd w:val="clear" w:color="auto" w:fill="auto"/>
          </w:tcPr>
          <w:p w:rsidR="00853A74" w:rsidRPr="00E07B1B" w:rsidRDefault="00853A74" w:rsidP="00DE7576">
            <w:pPr>
              <w:pStyle w:val="TableText"/>
              <w:tabs>
                <w:tab w:val="decimal" w:pos="936"/>
              </w:tabs>
            </w:pPr>
            <w:r w:rsidRPr="00E07B1B">
              <w:t>174</w:t>
            </w:r>
          </w:p>
        </w:tc>
        <w:tc>
          <w:tcPr>
            <w:tcW w:w="2209" w:type="pct"/>
            <w:tcBorders>
              <w:top w:val="nil"/>
              <w:bottom w:val="nil"/>
            </w:tcBorders>
            <w:shd w:val="clear" w:color="auto" w:fill="auto"/>
          </w:tcPr>
          <w:p w:rsidR="00853A74" w:rsidRPr="00E07B1B" w:rsidRDefault="00853A74" w:rsidP="00A125BF">
            <w:pPr>
              <w:pStyle w:val="TableText"/>
            </w:pPr>
            <w:r w:rsidRPr="00E07B1B">
              <w:t xml:space="preserve">OR 2.6 </w:t>
            </w:r>
            <w:r>
              <w:t>(</w:t>
            </w:r>
            <w:r w:rsidRPr="00E07B1B">
              <w:t xml:space="preserve">95%CI not stated, </w:t>
            </w:r>
            <w:r w:rsidRPr="00C42FA8">
              <w:rPr>
                <w:i/>
              </w:rPr>
              <w:t>p</w:t>
            </w:r>
            <w:r>
              <w:t xml:space="preserve"> </w:t>
            </w:r>
            <w:r w:rsidRPr="00E07B1B">
              <w:t>=</w:t>
            </w:r>
            <w:r>
              <w:t xml:space="preserve"> </w:t>
            </w:r>
            <w:r w:rsidRPr="00E07B1B">
              <w:t>0.01</w:t>
            </w:r>
            <w:r>
              <w:t>)</w:t>
            </w:r>
          </w:p>
        </w:tc>
        <w:tc>
          <w:tcPr>
            <w:tcW w:w="364" w:type="pct"/>
            <w:tcBorders>
              <w:top w:val="nil"/>
              <w:bottom w:val="nil"/>
            </w:tcBorders>
            <w:shd w:val="clear" w:color="auto" w:fill="auto"/>
          </w:tcPr>
          <w:p w:rsidR="00853A74" w:rsidRPr="00E07B1B" w:rsidRDefault="00853A74" w:rsidP="00DE7576">
            <w:pPr>
              <w:pStyle w:val="TableText"/>
              <w:jc w:val="center"/>
            </w:pPr>
            <w:r w:rsidRPr="00E07B1B">
              <w:t>MEDIUM</w:t>
            </w:r>
          </w:p>
        </w:tc>
      </w:tr>
      <w:tr w:rsidR="00853A74" w:rsidRPr="00E07B1B" w:rsidTr="007C3F5E">
        <w:trPr>
          <w:cantSplit/>
        </w:trPr>
        <w:tc>
          <w:tcPr>
            <w:tcW w:w="923" w:type="pct"/>
            <w:vMerge/>
            <w:tcBorders>
              <w:top w:val="nil"/>
              <w:bottom w:val="nil"/>
            </w:tcBorders>
            <w:shd w:val="clear" w:color="auto" w:fill="auto"/>
          </w:tcPr>
          <w:p w:rsidR="00853A74" w:rsidRPr="00E07B1B" w:rsidRDefault="00853A74" w:rsidP="00A125BF">
            <w:pPr>
              <w:pStyle w:val="TableText"/>
            </w:pPr>
          </w:p>
        </w:tc>
        <w:tc>
          <w:tcPr>
            <w:tcW w:w="731" w:type="pct"/>
            <w:tcBorders>
              <w:top w:val="nil"/>
              <w:bottom w:val="nil"/>
            </w:tcBorders>
            <w:shd w:val="clear" w:color="auto" w:fill="auto"/>
          </w:tcPr>
          <w:p w:rsidR="00853A74" w:rsidRPr="00E07B1B" w:rsidRDefault="00853A74" w:rsidP="00A125BF">
            <w:pPr>
              <w:pStyle w:val="TableText"/>
            </w:pPr>
            <w:r w:rsidRPr="00C42FA8">
              <w:t xml:space="preserve">Ogonowski </w:t>
            </w:r>
            <w:r w:rsidRPr="00C42FA8">
              <w:rPr>
                <w:szCs w:val="24"/>
              </w:rPr>
              <w:t xml:space="preserve">and Miazgowski </w:t>
            </w:r>
            <w:r w:rsidRPr="00C42FA8">
              <w:t>(2009)</w:t>
            </w:r>
          </w:p>
        </w:tc>
        <w:tc>
          <w:tcPr>
            <w:tcW w:w="336" w:type="pct"/>
            <w:tcBorders>
              <w:top w:val="nil"/>
              <w:bottom w:val="nil"/>
            </w:tcBorders>
            <w:shd w:val="clear" w:color="auto" w:fill="auto"/>
          </w:tcPr>
          <w:p w:rsidR="00853A74" w:rsidRPr="00E07B1B" w:rsidRDefault="00853A74" w:rsidP="00A125BF">
            <w:pPr>
              <w:pStyle w:val="TableText"/>
            </w:pPr>
            <w:r>
              <w:t>Poland</w:t>
            </w:r>
          </w:p>
        </w:tc>
        <w:tc>
          <w:tcPr>
            <w:tcW w:w="437" w:type="pct"/>
            <w:tcBorders>
              <w:top w:val="nil"/>
              <w:bottom w:val="nil"/>
            </w:tcBorders>
            <w:shd w:val="clear" w:color="auto" w:fill="auto"/>
          </w:tcPr>
          <w:p w:rsidR="00853A74" w:rsidRPr="00E07B1B" w:rsidRDefault="00853A74" w:rsidP="00DE7576">
            <w:pPr>
              <w:pStyle w:val="TableText"/>
              <w:tabs>
                <w:tab w:val="decimal" w:pos="936"/>
              </w:tabs>
            </w:pPr>
            <w:r>
              <w:t>855</w:t>
            </w:r>
          </w:p>
        </w:tc>
        <w:tc>
          <w:tcPr>
            <w:tcW w:w="2209" w:type="pct"/>
            <w:tcBorders>
              <w:top w:val="nil"/>
              <w:bottom w:val="nil"/>
            </w:tcBorders>
            <w:shd w:val="clear" w:color="auto" w:fill="auto"/>
          </w:tcPr>
          <w:p w:rsidR="00853A74" w:rsidRPr="00E07B1B" w:rsidRDefault="00853A74" w:rsidP="00A125BF">
            <w:pPr>
              <w:pStyle w:val="TableText"/>
            </w:pPr>
            <w:r w:rsidRPr="00E07B1B">
              <w:t xml:space="preserve">OR 2.36 </w:t>
            </w:r>
            <w:r>
              <w:t>(</w:t>
            </w:r>
            <w:r w:rsidRPr="00E07B1B">
              <w:t>95%CI 1.19</w:t>
            </w:r>
            <w:r>
              <w:t>–</w:t>
            </w:r>
            <w:r w:rsidRPr="00E07B1B">
              <w:t>4.68,</w:t>
            </w:r>
            <w:r>
              <w:t xml:space="preserve"> </w:t>
            </w:r>
            <w:r w:rsidRPr="00C42FA8">
              <w:rPr>
                <w:i/>
              </w:rPr>
              <w:t>p</w:t>
            </w:r>
            <w:r>
              <w:t xml:space="preserve"> </w:t>
            </w:r>
            <w:r w:rsidRPr="00E07B1B">
              <w:t>= 0.01</w:t>
            </w:r>
            <w:r>
              <w:t>)</w:t>
            </w:r>
          </w:p>
        </w:tc>
        <w:tc>
          <w:tcPr>
            <w:tcW w:w="364" w:type="pct"/>
            <w:tcBorders>
              <w:top w:val="nil"/>
              <w:bottom w:val="nil"/>
            </w:tcBorders>
            <w:shd w:val="clear" w:color="auto" w:fill="auto"/>
          </w:tcPr>
          <w:p w:rsidR="00853A74" w:rsidRPr="00E07B1B" w:rsidRDefault="00853A74" w:rsidP="00DE7576">
            <w:pPr>
              <w:pStyle w:val="TableText"/>
              <w:jc w:val="center"/>
            </w:pPr>
            <w:r w:rsidRPr="00E07B1B">
              <w:t>MEDIUM</w:t>
            </w:r>
          </w:p>
        </w:tc>
      </w:tr>
      <w:tr w:rsidR="00853A74" w:rsidRPr="00E07B1B" w:rsidTr="00050E74">
        <w:trPr>
          <w:cantSplit/>
        </w:trPr>
        <w:tc>
          <w:tcPr>
            <w:tcW w:w="923" w:type="pct"/>
            <w:vMerge/>
            <w:tcBorders>
              <w:top w:val="nil"/>
              <w:bottom w:val="nil"/>
            </w:tcBorders>
            <w:shd w:val="clear" w:color="auto" w:fill="auto"/>
          </w:tcPr>
          <w:p w:rsidR="00853A74" w:rsidRPr="00E07B1B" w:rsidRDefault="00853A74" w:rsidP="00A125BF">
            <w:pPr>
              <w:pStyle w:val="TableText"/>
            </w:pPr>
          </w:p>
        </w:tc>
        <w:tc>
          <w:tcPr>
            <w:tcW w:w="731" w:type="pct"/>
            <w:tcBorders>
              <w:top w:val="nil"/>
              <w:bottom w:val="nil"/>
            </w:tcBorders>
            <w:shd w:val="clear" w:color="auto" w:fill="auto"/>
          </w:tcPr>
          <w:p w:rsidR="00853A74" w:rsidRPr="00E07B1B" w:rsidRDefault="00853A74" w:rsidP="00A125BF">
            <w:pPr>
              <w:pStyle w:val="TableText"/>
            </w:pPr>
            <w:r w:rsidRPr="00E07B1B">
              <w:t xml:space="preserve">Malinowski-Polubiec </w:t>
            </w:r>
            <w:r>
              <w:t>(</w:t>
            </w:r>
            <w:r w:rsidRPr="00E07B1B">
              <w:t>2012</w:t>
            </w:r>
            <w:r>
              <w:t>)</w:t>
            </w:r>
            <w:r w:rsidRPr="00E07B1B">
              <w:t>*</w:t>
            </w:r>
          </w:p>
        </w:tc>
        <w:tc>
          <w:tcPr>
            <w:tcW w:w="336" w:type="pct"/>
            <w:tcBorders>
              <w:top w:val="nil"/>
              <w:bottom w:val="nil"/>
            </w:tcBorders>
            <w:shd w:val="clear" w:color="auto" w:fill="auto"/>
          </w:tcPr>
          <w:p w:rsidR="00853A74" w:rsidRPr="00E07B1B" w:rsidRDefault="00853A74" w:rsidP="00A125BF">
            <w:pPr>
              <w:pStyle w:val="TableText"/>
            </w:pPr>
            <w:r w:rsidRPr="00E07B1B">
              <w:t>Poland</w:t>
            </w:r>
          </w:p>
        </w:tc>
        <w:tc>
          <w:tcPr>
            <w:tcW w:w="437" w:type="pct"/>
            <w:tcBorders>
              <w:top w:val="nil"/>
              <w:bottom w:val="nil"/>
            </w:tcBorders>
            <w:shd w:val="clear" w:color="auto" w:fill="auto"/>
          </w:tcPr>
          <w:p w:rsidR="00853A74" w:rsidRPr="00E07B1B" w:rsidRDefault="00853A74" w:rsidP="00DE7576">
            <w:pPr>
              <w:pStyle w:val="TableText"/>
              <w:tabs>
                <w:tab w:val="decimal" w:pos="936"/>
              </w:tabs>
            </w:pPr>
            <w:r>
              <w:t>1</w:t>
            </w:r>
            <w:r w:rsidRPr="00E07B1B">
              <w:t>55</w:t>
            </w:r>
          </w:p>
        </w:tc>
        <w:tc>
          <w:tcPr>
            <w:tcW w:w="2209" w:type="pct"/>
            <w:tcBorders>
              <w:top w:val="nil"/>
              <w:bottom w:val="nil"/>
            </w:tcBorders>
            <w:shd w:val="clear" w:color="auto" w:fill="auto"/>
          </w:tcPr>
          <w:p w:rsidR="00853A74" w:rsidRPr="00E07B1B" w:rsidRDefault="00853A74" w:rsidP="00A125BF">
            <w:pPr>
              <w:pStyle w:val="TableText"/>
            </w:pPr>
            <w:r w:rsidRPr="00E07B1B">
              <w:t>&gt;</w:t>
            </w:r>
            <w:r>
              <w:t xml:space="preserve"> </w:t>
            </w:r>
            <w:r w:rsidRPr="00E07B1B">
              <w:t>6.40% versus &lt;</w:t>
            </w:r>
            <w:r>
              <w:t xml:space="preserve"> </w:t>
            </w:r>
            <w:r w:rsidR="00DE7576">
              <w:t>5.40% RR 2.65 (no CIs provided)</w:t>
            </w:r>
          </w:p>
        </w:tc>
        <w:tc>
          <w:tcPr>
            <w:tcW w:w="364" w:type="pct"/>
            <w:tcBorders>
              <w:top w:val="nil"/>
              <w:bottom w:val="nil"/>
            </w:tcBorders>
            <w:shd w:val="clear" w:color="auto" w:fill="auto"/>
          </w:tcPr>
          <w:p w:rsidR="00853A74" w:rsidRPr="00E07B1B" w:rsidRDefault="00853A74" w:rsidP="00DE7576">
            <w:pPr>
              <w:pStyle w:val="TableText"/>
              <w:jc w:val="center"/>
            </w:pPr>
            <w:r w:rsidRPr="00E07B1B">
              <w:t>LOW</w:t>
            </w:r>
          </w:p>
        </w:tc>
      </w:tr>
      <w:tr w:rsidR="00853A74" w:rsidRPr="00E07B1B" w:rsidTr="00050E74">
        <w:trPr>
          <w:cantSplit/>
        </w:trPr>
        <w:tc>
          <w:tcPr>
            <w:tcW w:w="923" w:type="pct"/>
            <w:vMerge w:val="restart"/>
            <w:tcBorders>
              <w:top w:val="nil"/>
              <w:bottom w:val="nil"/>
            </w:tcBorders>
            <w:shd w:val="clear" w:color="auto" w:fill="F2F2F2" w:themeFill="background1" w:themeFillShade="F2"/>
          </w:tcPr>
          <w:p w:rsidR="00853A74" w:rsidRPr="00E07B1B" w:rsidRDefault="00853A74" w:rsidP="00A125BF">
            <w:pPr>
              <w:pStyle w:val="TableText"/>
            </w:pPr>
            <w:r w:rsidRPr="00E07B1B">
              <w:t>(High) fasting glucose levels during pregnancy</w:t>
            </w: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Ekelund </w:t>
            </w:r>
            <w:r>
              <w:t>(</w:t>
            </w:r>
            <w:r w:rsidRPr="00E07B1B">
              <w:t>2010</w:t>
            </w:r>
            <w:r>
              <w:t>)</w:t>
            </w:r>
          </w:p>
        </w:tc>
        <w:tc>
          <w:tcPr>
            <w:tcW w:w="336" w:type="pct"/>
            <w:tcBorders>
              <w:top w:val="nil"/>
              <w:bottom w:val="nil"/>
            </w:tcBorders>
            <w:shd w:val="clear" w:color="auto" w:fill="F2F2F2" w:themeFill="background1" w:themeFillShade="F2"/>
          </w:tcPr>
          <w:p w:rsidR="00853A74" w:rsidRPr="00E07B1B" w:rsidRDefault="00853A74" w:rsidP="00A125BF">
            <w:pPr>
              <w:pStyle w:val="TableText"/>
            </w:pPr>
            <w:r w:rsidRPr="00E07B1B">
              <w:t>Sweden</w:t>
            </w:r>
          </w:p>
        </w:tc>
        <w:tc>
          <w:tcPr>
            <w:tcW w:w="437" w:type="pct"/>
            <w:tcBorders>
              <w:top w:val="nil"/>
              <w:bottom w:val="nil"/>
            </w:tcBorders>
            <w:shd w:val="clear" w:color="auto" w:fill="F2F2F2" w:themeFill="background1" w:themeFillShade="F2"/>
          </w:tcPr>
          <w:p w:rsidR="00853A74" w:rsidRPr="00E07B1B" w:rsidRDefault="00853A74" w:rsidP="00DE7576">
            <w:pPr>
              <w:pStyle w:val="TableText"/>
              <w:tabs>
                <w:tab w:val="decimal" w:pos="936"/>
              </w:tabs>
            </w:pPr>
            <w:r w:rsidRPr="00E07B1B">
              <w:t>174</w:t>
            </w:r>
          </w:p>
        </w:tc>
        <w:tc>
          <w:tcPr>
            <w:tcW w:w="2209"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OR 2.1 </w:t>
            </w:r>
            <w:r>
              <w:t>(</w:t>
            </w:r>
            <w:r w:rsidRPr="00E07B1B">
              <w:t xml:space="preserve">95%CI </w:t>
            </w:r>
            <w:r>
              <w:t>n</w:t>
            </w:r>
            <w:r w:rsidRPr="00E07B1B">
              <w:t xml:space="preserve">ot stated, </w:t>
            </w:r>
            <w:r w:rsidRPr="00C42FA8">
              <w:rPr>
                <w:i/>
              </w:rPr>
              <w:t>p</w:t>
            </w:r>
            <w:r>
              <w:t xml:space="preserve"> </w:t>
            </w:r>
            <w:r w:rsidRPr="00E07B1B">
              <w:t>=</w:t>
            </w:r>
            <w:r>
              <w:t xml:space="preserve"> </w:t>
            </w:r>
            <w:r w:rsidRPr="00E07B1B">
              <w:t>0.04</w:t>
            </w:r>
            <w:r>
              <w:t>)</w:t>
            </w:r>
          </w:p>
        </w:tc>
        <w:tc>
          <w:tcPr>
            <w:tcW w:w="364" w:type="pct"/>
            <w:tcBorders>
              <w:top w:val="nil"/>
              <w:bottom w:val="nil"/>
            </w:tcBorders>
            <w:shd w:val="clear" w:color="auto" w:fill="F2F2F2" w:themeFill="background1" w:themeFillShade="F2"/>
          </w:tcPr>
          <w:p w:rsidR="00853A74" w:rsidRPr="00E07B1B" w:rsidRDefault="00853A74" w:rsidP="00DE7576">
            <w:pPr>
              <w:pStyle w:val="TableText"/>
              <w:jc w:val="center"/>
            </w:pPr>
            <w:r w:rsidRPr="00E07B1B">
              <w:t>MEDIUM</w:t>
            </w:r>
          </w:p>
        </w:tc>
      </w:tr>
      <w:tr w:rsidR="00853A74" w:rsidRPr="00E07B1B" w:rsidTr="00050E74">
        <w:trPr>
          <w:cantSplit/>
        </w:trPr>
        <w:tc>
          <w:tcPr>
            <w:tcW w:w="923" w:type="pct"/>
            <w:vMerge/>
            <w:tcBorders>
              <w:top w:val="nil"/>
              <w:bottom w:val="nil"/>
            </w:tcBorders>
            <w:shd w:val="clear" w:color="auto" w:fill="F2F2F2" w:themeFill="background1" w:themeFillShade="F2"/>
          </w:tcPr>
          <w:p w:rsidR="00853A74" w:rsidRPr="00E07B1B" w:rsidRDefault="00853A74" w:rsidP="00A125BF">
            <w:pPr>
              <w:pStyle w:val="TableText"/>
            </w:pP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Malinowski-Polubiec </w:t>
            </w:r>
            <w:r>
              <w:t>(</w:t>
            </w:r>
            <w:r w:rsidRPr="00E07B1B">
              <w:t>2012</w:t>
            </w:r>
            <w:r>
              <w:t>)</w:t>
            </w:r>
            <w:r w:rsidRPr="00E07B1B">
              <w:t>*</w:t>
            </w:r>
          </w:p>
        </w:tc>
        <w:tc>
          <w:tcPr>
            <w:tcW w:w="336" w:type="pct"/>
            <w:tcBorders>
              <w:top w:val="nil"/>
              <w:bottom w:val="nil"/>
            </w:tcBorders>
            <w:shd w:val="clear" w:color="auto" w:fill="F2F2F2" w:themeFill="background1" w:themeFillShade="F2"/>
          </w:tcPr>
          <w:p w:rsidR="00853A74" w:rsidRPr="00E07B1B" w:rsidRDefault="00DE7576" w:rsidP="00A125BF">
            <w:pPr>
              <w:pStyle w:val="TableText"/>
            </w:pPr>
            <w:r>
              <w:t>Poland</w:t>
            </w:r>
          </w:p>
        </w:tc>
        <w:tc>
          <w:tcPr>
            <w:tcW w:w="437" w:type="pct"/>
            <w:tcBorders>
              <w:top w:val="nil"/>
              <w:bottom w:val="nil"/>
            </w:tcBorders>
            <w:shd w:val="clear" w:color="auto" w:fill="F2F2F2" w:themeFill="background1" w:themeFillShade="F2"/>
          </w:tcPr>
          <w:p w:rsidR="00853A74" w:rsidRPr="00E07B1B" w:rsidRDefault="00853A74" w:rsidP="00DE7576">
            <w:pPr>
              <w:pStyle w:val="TableText"/>
              <w:tabs>
                <w:tab w:val="decimal" w:pos="936"/>
              </w:tabs>
            </w:pPr>
            <w:r w:rsidRPr="00E07B1B">
              <w:t>155</w:t>
            </w:r>
          </w:p>
        </w:tc>
        <w:tc>
          <w:tcPr>
            <w:tcW w:w="2209" w:type="pct"/>
            <w:tcBorders>
              <w:top w:val="nil"/>
              <w:bottom w:val="nil"/>
            </w:tcBorders>
            <w:shd w:val="clear" w:color="auto" w:fill="F2F2F2" w:themeFill="background1" w:themeFillShade="F2"/>
          </w:tcPr>
          <w:p w:rsidR="00853A74" w:rsidRPr="00E07B1B" w:rsidRDefault="00853A74" w:rsidP="00A125BF">
            <w:pPr>
              <w:pStyle w:val="TableText"/>
            </w:pPr>
            <w:r w:rsidRPr="00E07B1B">
              <w:t>Fasting glucose ≥</w:t>
            </w:r>
            <w:r>
              <w:t xml:space="preserve"> </w:t>
            </w:r>
            <w:r w:rsidRPr="00E07B1B">
              <w:t>7.0</w:t>
            </w:r>
            <w:r>
              <w:t xml:space="preserve"> </w:t>
            </w:r>
            <w:r w:rsidRPr="00E07B1B">
              <w:t>mmol</w:t>
            </w:r>
            <w:r>
              <w:t>/L</w:t>
            </w:r>
            <w:r w:rsidRPr="00E07B1B">
              <w:t xml:space="preserve"> RR 5.2 (no CIs provided)</w:t>
            </w:r>
          </w:p>
        </w:tc>
        <w:tc>
          <w:tcPr>
            <w:tcW w:w="364" w:type="pct"/>
            <w:tcBorders>
              <w:top w:val="nil"/>
              <w:bottom w:val="nil"/>
            </w:tcBorders>
            <w:shd w:val="clear" w:color="auto" w:fill="F2F2F2" w:themeFill="background1" w:themeFillShade="F2"/>
          </w:tcPr>
          <w:p w:rsidR="00853A74" w:rsidRPr="00E07B1B" w:rsidRDefault="00853A74" w:rsidP="00DE7576">
            <w:pPr>
              <w:pStyle w:val="TableText"/>
              <w:jc w:val="center"/>
            </w:pPr>
            <w:r w:rsidRPr="00E07B1B">
              <w:t>LOW</w:t>
            </w:r>
          </w:p>
        </w:tc>
      </w:tr>
      <w:tr w:rsidR="00853A74" w:rsidRPr="00E07B1B" w:rsidTr="00050E74">
        <w:trPr>
          <w:cantSplit/>
        </w:trPr>
        <w:tc>
          <w:tcPr>
            <w:tcW w:w="923" w:type="pct"/>
            <w:vMerge/>
            <w:tcBorders>
              <w:top w:val="nil"/>
              <w:bottom w:val="nil"/>
            </w:tcBorders>
            <w:shd w:val="clear" w:color="auto" w:fill="F2F2F2" w:themeFill="background1" w:themeFillShade="F2"/>
          </w:tcPr>
          <w:p w:rsidR="00853A74" w:rsidRPr="00E07B1B" w:rsidRDefault="00853A74" w:rsidP="00A125BF">
            <w:pPr>
              <w:pStyle w:val="TableText"/>
            </w:pP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Girgis </w:t>
            </w:r>
            <w:r>
              <w:t>(</w:t>
            </w:r>
            <w:r w:rsidRPr="00E07B1B">
              <w:t>2012</w:t>
            </w:r>
            <w:r>
              <w:t>)</w:t>
            </w:r>
            <w:r w:rsidRPr="00E07B1B">
              <w:t>*</w:t>
            </w:r>
          </w:p>
        </w:tc>
        <w:tc>
          <w:tcPr>
            <w:tcW w:w="336" w:type="pct"/>
            <w:tcBorders>
              <w:top w:val="nil"/>
              <w:bottom w:val="nil"/>
            </w:tcBorders>
            <w:shd w:val="clear" w:color="auto" w:fill="F2F2F2" w:themeFill="background1" w:themeFillShade="F2"/>
          </w:tcPr>
          <w:p w:rsidR="00853A74" w:rsidRPr="00E07B1B" w:rsidRDefault="00853A74" w:rsidP="00A125BF">
            <w:pPr>
              <w:pStyle w:val="TableText"/>
            </w:pPr>
            <w:r w:rsidRPr="00E07B1B">
              <w:t>Australia</w:t>
            </w:r>
          </w:p>
        </w:tc>
        <w:tc>
          <w:tcPr>
            <w:tcW w:w="437" w:type="pct"/>
            <w:tcBorders>
              <w:top w:val="nil"/>
              <w:bottom w:val="nil"/>
            </w:tcBorders>
            <w:shd w:val="clear" w:color="auto" w:fill="F2F2F2" w:themeFill="background1" w:themeFillShade="F2"/>
          </w:tcPr>
          <w:p w:rsidR="00853A74" w:rsidRPr="00E07B1B" w:rsidRDefault="00853A74" w:rsidP="00DE7576">
            <w:pPr>
              <w:pStyle w:val="TableText"/>
              <w:tabs>
                <w:tab w:val="decimal" w:pos="936"/>
              </w:tabs>
            </w:pPr>
            <w:r w:rsidRPr="00E07B1B">
              <w:t>101</w:t>
            </w:r>
          </w:p>
        </w:tc>
        <w:tc>
          <w:tcPr>
            <w:tcW w:w="2209" w:type="pct"/>
            <w:tcBorders>
              <w:top w:val="nil"/>
              <w:bottom w:val="nil"/>
            </w:tcBorders>
            <w:shd w:val="clear" w:color="auto" w:fill="F2F2F2" w:themeFill="background1" w:themeFillShade="F2"/>
          </w:tcPr>
          <w:p w:rsidR="00853A74" w:rsidRPr="00E07B1B" w:rsidRDefault="00853A74" w:rsidP="00DE7576">
            <w:pPr>
              <w:pStyle w:val="TableText"/>
            </w:pPr>
            <w:r w:rsidRPr="00E07B1B">
              <w:t>Abnormal versus normal glucose tolerance OR 2.8 (95%CI 1.2</w:t>
            </w:r>
            <w:r>
              <w:t>–</w:t>
            </w:r>
            <w:r w:rsidRPr="00E07B1B">
              <w:t xml:space="preserve">6.6, </w:t>
            </w:r>
            <w:r w:rsidRPr="00C42FA8">
              <w:rPr>
                <w:i/>
              </w:rPr>
              <w:t>p</w:t>
            </w:r>
            <w:r w:rsidR="00DE7576">
              <w:rPr>
                <w:i/>
              </w:rPr>
              <w:t> </w:t>
            </w:r>
            <w:r w:rsidRPr="00E07B1B">
              <w:t>=</w:t>
            </w:r>
            <w:r w:rsidR="00DE7576">
              <w:t> </w:t>
            </w:r>
            <w:r w:rsidRPr="00E07B1B">
              <w:t>0.02</w:t>
            </w:r>
            <w:r>
              <w:t>)</w:t>
            </w:r>
          </w:p>
        </w:tc>
        <w:tc>
          <w:tcPr>
            <w:tcW w:w="364" w:type="pct"/>
            <w:tcBorders>
              <w:top w:val="nil"/>
              <w:bottom w:val="nil"/>
            </w:tcBorders>
            <w:shd w:val="clear" w:color="auto" w:fill="F2F2F2" w:themeFill="background1" w:themeFillShade="F2"/>
          </w:tcPr>
          <w:p w:rsidR="00853A74" w:rsidRPr="00E07B1B" w:rsidRDefault="00853A74" w:rsidP="00DE7576">
            <w:pPr>
              <w:pStyle w:val="TableText"/>
              <w:jc w:val="center"/>
            </w:pPr>
            <w:r w:rsidRPr="00E07B1B">
              <w:t>LOW</w:t>
            </w:r>
          </w:p>
        </w:tc>
      </w:tr>
      <w:tr w:rsidR="00853A74" w:rsidRPr="00E07B1B" w:rsidTr="00050E74">
        <w:trPr>
          <w:cantSplit/>
        </w:trPr>
        <w:tc>
          <w:tcPr>
            <w:tcW w:w="923" w:type="pct"/>
            <w:vMerge w:val="restart"/>
            <w:tcBorders>
              <w:top w:val="nil"/>
              <w:bottom w:val="nil"/>
            </w:tcBorders>
            <w:shd w:val="clear" w:color="auto" w:fill="auto"/>
          </w:tcPr>
          <w:p w:rsidR="00853A74" w:rsidRPr="00E07B1B" w:rsidRDefault="00853A74" w:rsidP="00A125BF">
            <w:pPr>
              <w:pStyle w:val="TableText"/>
            </w:pPr>
            <w:r w:rsidRPr="00E07B1B">
              <w:t>High 2</w:t>
            </w:r>
            <w:r>
              <w:t>-</w:t>
            </w:r>
            <w:r w:rsidRPr="00E07B1B">
              <w:t>hour OGTT values during pregnancy</w:t>
            </w:r>
          </w:p>
        </w:tc>
        <w:tc>
          <w:tcPr>
            <w:tcW w:w="731" w:type="pct"/>
            <w:tcBorders>
              <w:top w:val="nil"/>
              <w:bottom w:val="nil"/>
            </w:tcBorders>
            <w:shd w:val="clear" w:color="auto" w:fill="auto"/>
          </w:tcPr>
          <w:p w:rsidR="00853A74" w:rsidRPr="00E07B1B" w:rsidRDefault="00853A74" w:rsidP="00A125BF">
            <w:pPr>
              <w:pStyle w:val="TableText"/>
            </w:pPr>
            <w:r w:rsidRPr="00E07B1B">
              <w:t xml:space="preserve">Malinowski-Polubiec </w:t>
            </w:r>
            <w:r>
              <w:t>(</w:t>
            </w:r>
            <w:r w:rsidRPr="00E07B1B">
              <w:t>2012</w:t>
            </w:r>
            <w:r>
              <w:t>)</w:t>
            </w:r>
            <w:r w:rsidRPr="00E07B1B">
              <w:t>*</w:t>
            </w:r>
          </w:p>
        </w:tc>
        <w:tc>
          <w:tcPr>
            <w:tcW w:w="336" w:type="pct"/>
            <w:tcBorders>
              <w:top w:val="nil"/>
              <w:bottom w:val="nil"/>
            </w:tcBorders>
            <w:shd w:val="clear" w:color="auto" w:fill="auto"/>
          </w:tcPr>
          <w:p w:rsidR="00853A74" w:rsidRPr="00E07B1B" w:rsidRDefault="00DE7576" w:rsidP="00A125BF">
            <w:pPr>
              <w:pStyle w:val="TableText"/>
            </w:pPr>
            <w:r>
              <w:t>Poland</w:t>
            </w:r>
          </w:p>
        </w:tc>
        <w:tc>
          <w:tcPr>
            <w:tcW w:w="437" w:type="pct"/>
            <w:tcBorders>
              <w:top w:val="nil"/>
              <w:bottom w:val="nil"/>
            </w:tcBorders>
            <w:shd w:val="clear" w:color="auto" w:fill="auto"/>
          </w:tcPr>
          <w:p w:rsidR="00853A74" w:rsidRPr="00E07B1B" w:rsidRDefault="00853A74" w:rsidP="00DE7576">
            <w:pPr>
              <w:pStyle w:val="TableText"/>
              <w:tabs>
                <w:tab w:val="decimal" w:pos="936"/>
              </w:tabs>
            </w:pPr>
            <w:r w:rsidRPr="00E07B1B">
              <w:t>155</w:t>
            </w:r>
          </w:p>
        </w:tc>
        <w:tc>
          <w:tcPr>
            <w:tcW w:w="2209" w:type="pct"/>
            <w:tcBorders>
              <w:top w:val="nil"/>
              <w:bottom w:val="nil"/>
            </w:tcBorders>
            <w:shd w:val="clear" w:color="auto" w:fill="auto"/>
          </w:tcPr>
          <w:p w:rsidR="00853A74" w:rsidRPr="00E07B1B" w:rsidRDefault="00853A74" w:rsidP="00A125BF">
            <w:pPr>
              <w:pStyle w:val="TableText"/>
            </w:pPr>
            <w:r w:rsidRPr="00E07B1B">
              <w:t>2</w:t>
            </w:r>
            <w:r>
              <w:t>-</w:t>
            </w:r>
            <w:r w:rsidRPr="00E07B1B">
              <w:t>hour glucose ≥</w:t>
            </w:r>
            <w:r>
              <w:t xml:space="preserve"> </w:t>
            </w:r>
            <w:r w:rsidRPr="00E07B1B">
              <w:t>7.8</w:t>
            </w:r>
            <w:r>
              <w:t xml:space="preserve"> </w:t>
            </w:r>
            <w:r w:rsidRPr="00E07B1B">
              <w:t>mmol/L RR 2.29 (no CIs provided)</w:t>
            </w:r>
          </w:p>
        </w:tc>
        <w:tc>
          <w:tcPr>
            <w:tcW w:w="364" w:type="pct"/>
            <w:tcBorders>
              <w:top w:val="nil"/>
              <w:bottom w:val="nil"/>
            </w:tcBorders>
            <w:shd w:val="clear" w:color="auto" w:fill="auto"/>
          </w:tcPr>
          <w:p w:rsidR="00853A74" w:rsidRPr="00E07B1B" w:rsidRDefault="00853A74" w:rsidP="00DE7576">
            <w:pPr>
              <w:pStyle w:val="TableText"/>
              <w:jc w:val="center"/>
            </w:pPr>
            <w:r w:rsidRPr="00E07B1B">
              <w:t>LOW</w:t>
            </w:r>
          </w:p>
        </w:tc>
      </w:tr>
      <w:tr w:rsidR="00853A74" w:rsidRPr="00E07B1B" w:rsidTr="00050E74">
        <w:trPr>
          <w:cantSplit/>
        </w:trPr>
        <w:tc>
          <w:tcPr>
            <w:tcW w:w="923" w:type="pct"/>
            <w:vMerge/>
            <w:tcBorders>
              <w:top w:val="nil"/>
              <w:bottom w:val="nil"/>
            </w:tcBorders>
            <w:shd w:val="clear" w:color="auto" w:fill="auto"/>
          </w:tcPr>
          <w:p w:rsidR="00853A74" w:rsidRPr="00E07B1B" w:rsidRDefault="00853A74" w:rsidP="00A125BF">
            <w:pPr>
              <w:pStyle w:val="TableText"/>
            </w:pPr>
          </w:p>
        </w:tc>
        <w:tc>
          <w:tcPr>
            <w:tcW w:w="731" w:type="pct"/>
            <w:tcBorders>
              <w:top w:val="nil"/>
              <w:bottom w:val="nil"/>
            </w:tcBorders>
            <w:shd w:val="clear" w:color="auto" w:fill="auto"/>
          </w:tcPr>
          <w:p w:rsidR="00853A74" w:rsidRPr="00E07B1B" w:rsidRDefault="00853A74" w:rsidP="00A125BF">
            <w:pPr>
              <w:pStyle w:val="TableText"/>
            </w:pPr>
            <w:r w:rsidRPr="00E07B1B">
              <w:t xml:space="preserve">Girgis </w:t>
            </w:r>
            <w:r>
              <w:t>(</w:t>
            </w:r>
            <w:r w:rsidRPr="00E07B1B">
              <w:t>2012</w:t>
            </w:r>
            <w:r>
              <w:t>)</w:t>
            </w:r>
            <w:r w:rsidRPr="00E07B1B">
              <w:t>*</w:t>
            </w:r>
          </w:p>
        </w:tc>
        <w:tc>
          <w:tcPr>
            <w:tcW w:w="336" w:type="pct"/>
            <w:tcBorders>
              <w:top w:val="nil"/>
              <w:bottom w:val="nil"/>
            </w:tcBorders>
            <w:shd w:val="clear" w:color="auto" w:fill="auto"/>
          </w:tcPr>
          <w:p w:rsidR="00853A74" w:rsidRPr="00E07B1B" w:rsidRDefault="00853A74" w:rsidP="00A125BF">
            <w:pPr>
              <w:pStyle w:val="TableText"/>
            </w:pPr>
            <w:r w:rsidRPr="00E07B1B">
              <w:t>Australia</w:t>
            </w:r>
          </w:p>
        </w:tc>
        <w:tc>
          <w:tcPr>
            <w:tcW w:w="437" w:type="pct"/>
            <w:tcBorders>
              <w:top w:val="nil"/>
              <w:bottom w:val="nil"/>
            </w:tcBorders>
            <w:shd w:val="clear" w:color="auto" w:fill="auto"/>
          </w:tcPr>
          <w:p w:rsidR="00853A74" w:rsidRPr="00E07B1B" w:rsidRDefault="00853A74" w:rsidP="00DE7576">
            <w:pPr>
              <w:pStyle w:val="TableText"/>
              <w:tabs>
                <w:tab w:val="decimal" w:pos="936"/>
              </w:tabs>
            </w:pPr>
            <w:r w:rsidRPr="00E07B1B">
              <w:t>101</w:t>
            </w:r>
          </w:p>
        </w:tc>
        <w:tc>
          <w:tcPr>
            <w:tcW w:w="2209" w:type="pct"/>
            <w:tcBorders>
              <w:top w:val="nil"/>
              <w:bottom w:val="nil"/>
            </w:tcBorders>
            <w:shd w:val="clear" w:color="auto" w:fill="auto"/>
          </w:tcPr>
          <w:p w:rsidR="00853A74" w:rsidRPr="00E07B1B" w:rsidRDefault="00853A74" w:rsidP="00DE7576">
            <w:pPr>
              <w:pStyle w:val="TableText"/>
            </w:pPr>
            <w:r w:rsidRPr="00E07B1B">
              <w:t>Abnormal versus normal glucose tolerance OR 2.1 (95%CI 1.3</w:t>
            </w:r>
            <w:r>
              <w:t>–</w:t>
            </w:r>
            <w:r w:rsidRPr="00E07B1B">
              <w:t xml:space="preserve">3.3, </w:t>
            </w:r>
            <w:r w:rsidRPr="00C42FA8">
              <w:rPr>
                <w:i/>
              </w:rPr>
              <w:t>p</w:t>
            </w:r>
            <w:r w:rsidR="00DE7576">
              <w:rPr>
                <w:i/>
              </w:rPr>
              <w:t> </w:t>
            </w:r>
            <w:r w:rsidRPr="00E07B1B">
              <w:t>=</w:t>
            </w:r>
            <w:r w:rsidR="00DE7576">
              <w:t> </w:t>
            </w:r>
            <w:r w:rsidRPr="00E07B1B">
              <w:t>0.003</w:t>
            </w:r>
            <w:r>
              <w:t>)</w:t>
            </w:r>
          </w:p>
        </w:tc>
        <w:tc>
          <w:tcPr>
            <w:tcW w:w="364" w:type="pct"/>
            <w:tcBorders>
              <w:top w:val="nil"/>
              <w:bottom w:val="nil"/>
            </w:tcBorders>
            <w:shd w:val="clear" w:color="auto" w:fill="auto"/>
          </w:tcPr>
          <w:p w:rsidR="00853A74" w:rsidRPr="00E07B1B" w:rsidRDefault="00853A74" w:rsidP="00DE7576">
            <w:pPr>
              <w:pStyle w:val="TableText"/>
              <w:jc w:val="center"/>
            </w:pPr>
            <w:r w:rsidRPr="00E07B1B">
              <w:t>LOW</w:t>
            </w:r>
          </w:p>
        </w:tc>
      </w:tr>
      <w:tr w:rsidR="00853A74" w:rsidRPr="00E07B1B" w:rsidTr="00050E74">
        <w:trPr>
          <w:cantSplit/>
        </w:trPr>
        <w:tc>
          <w:tcPr>
            <w:tcW w:w="923" w:type="pct"/>
            <w:tcBorders>
              <w:top w:val="nil"/>
              <w:bottom w:val="nil"/>
            </w:tcBorders>
            <w:shd w:val="clear" w:color="auto" w:fill="F2F2F2" w:themeFill="background1" w:themeFillShade="F2"/>
          </w:tcPr>
          <w:p w:rsidR="00853A74" w:rsidRPr="00E07B1B" w:rsidRDefault="00853A74" w:rsidP="00A125BF">
            <w:pPr>
              <w:pStyle w:val="TableText"/>
            </w:pPr>
            <w:r w:rsidRPr="00E07B1B">
              <w:t>High postpartum HbA1c</w:t>
            </w: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Kim </w:t>
            </w:r>
            <w:r>
              <w:t>(</w:t>
            </w:r>
            <w:r w:rsidRPr="00E07B1B">
              <w:t>2011</w:t>
            </w:r>
            <w:r>
              <w:t>)</w:t>
            </w:r>
          </w:p>
        </w:tc>
        <w:tc>
          <w:tcPr>
            <w:tcW w:w="336" w:type="pct"/>
            <w:tcBorders>
              <w:top w:val="nil"/>
              <w:bottom w:val="nil"/>
            </w:tcBorders>
            <w:shd w:val="clear" w:color="auto" w:fill="F2F2F2" w:themeFill="background1" w:themeFillShade="F2"/>
          </w:tcPr>
          <w:p w:rsidR="00853A74" w:rsidRPr="00E07B1B" w:rsidRDefault="00853A74" w:rsidP="00A125BF">
            <w:pPr>
              <w:pStyle w:val="TableText"/>
            </w:pPr>
            <w:r w:rsidRPr="00E07B1B">
              <w:t>Korea</w:t>
            </w:r>
          </w:p>
        </w:tc>
        <w:tc>
          <w:tcPr>
            <w:tcW w:w="437" w:type="pct"/>
            <w:tcBorders>
              <w:top w:val="nil"/>
              <w:bottom w:val="nil"/>
            </w:tcBorders>
            <w:shd w:val="clear" w:color="auto" w:fill="F2F2F2" w:themeFill="background1" w:themeFillShade="F2"/>
          </w:tcPr>
          <w:p w:rsidR="00853A74" w:rsidRPr="00E07B1B" w:rsidRDefault="00853A74" w:rsidP="00DE7576">
            <w:pPr>
              <w:pStyle w:val="TableText"/>
              <w:tabs>
                <w:tab w:val="decimal" w:pos="936"/>
              </w:tabs>
            </w:pPr>
            <w:r w:rsidRPr="00E07B1B">
              <w:t>882</w:t>
            </w:r>
          </w:p>
        </w:tc>
        <w:tc>
          <w:tcPr>
            <w:tcW w:w="2209" w:type="pct"/>
            <w:tcBorders>
              <w:top w:val="nil"/>
              <w:bottom w:val="nil"/>
            </w:tcBorders>
            <w:shd w:val="clear" w:color="auto" w:fill="F2F2F2" w:themeFill="background1" w:themeFillShade="F2"/>
          </w:tcPr>
          <w:p w:rsidR="00853A74" w:rsidRPr="00E07B1B" w:rsidRDefault="00853A74" w:rsidP="00A125BF">
            <w:pPr>
              <w:pStyle w:val="TableText"/>
            </w:pPr>
            <w:r w:rsidRPr="00C42FA8">
              <w:rPr>
                <w:i/>
              </w:rPr>
              <w:t>β</w:t>
            </w:r>
            <w:r>
              <w:t xml:space="preserve"> </w:t>
            </w:r>
            <w:r w:rsidRPr="00E07B1B">
              <w:t>=</w:t>
            </w:r>
            <w:r>
              <w:t xml:space="preserve"> </w:t>
            </w:r>
            <w:r w:rsidRPr="00E07B1B">
              <w:t xml:space="preserve">1.2, </w:t>
            </w:r>
            <w:r w:rsidRPr="00C42FA8">
              <w:rPr>
                <w:i/>
              </w:rPr>
              <w:t>p</w:t>
            </w:r>
            <w:r>
              <w:t xml:space="preserve"> </w:t>
            </w:r>
            <w:r w:rsidRPr="00E07B1B">
              <w:t>&lt;</w:t>
            </w:r>
            <w:r>
              <w:t xml:space="preserve"> </w:t>
            </w:r>
            <w:r w:rsidRPr="00E07B1B">
              <w:t>0.0001</w:t>
            </w:r>
          </w:p>
        </w:tc>
        <w:tc>
          <w:tcPr>
            <w:tcW w:w="364" w:type="pct"/>
            <w:tcBorders>
              <w:top w:val="nil"/>
              <w:bottom w:val="nil"/>
            </w:tcBorders>
            <w:shd w:val="clear" w:color="auto" w:fill="F2F2F2" w:themeFill="background1" w:themeFillShade="F2"/>
          </w:tcPr>
          <w:p w:rsidR="00853A74" w:rsidRPr="00E07B1B" w:rsidRDefault="00853A74" w:rsidP="00DE7576">
            <w:pPr>
              <w:pStyle w:val="TableText"/>
              <w:jc w:val="center"/>
            </w:pPr>
            <w:r w:rsidRPr="00E07B1B">
              <w:t>LOW</w:t>
            </w:r>
          </w:p>
        </w:tc>
      </w:tr>
      <w:tr w:rsidR="00853A74" w:rsidRPr="00E07B1B" w:rsidTr="00050E74">
        <w:trPr>
          <w:cantSplit/>
        </w:trPr>
        <w:tc>
          <w:tcPr>
            <w:tcW w:w="923" w:type="pct"/>
            <w:tcBorders>
              <w:top w:val="nil"/>
              <w:bottom w:val="nil"/>
            </w:tcBorders>
            <w:shd w:val="clear" w:color="auto" w:fill="auto"/>
          </w:tcPr>
          <w:p w:rsidR="00853A74" w:rsidRPr="00E07B1B" w:rsidRDefault="00853A74" w:rsidP="00A125BF">
            <w:pPr>
              <w:pStyle w:val="TableText"/>
            </w:pPr>
            <w:r w:rsidRPr="00E07B1B">
              <w:t>Area under the glucose curve at 3</w:t>
            </w:r>
            <w:r>
              <w:t>-</w:t>
            </w:r>
            <w:r w:rsidRPr="00E07B1B">
              <w:t>m</w:t>
            </w:r>
            <w:r w:rsidR="00DE7576">
              <w:t>onth OGTT</w:t>
            </w:r>
          </w:p>
        </w:tc>
        <w:tc>
          <w:tcPr>
            <w:tcW w:w="731" w:type="pct"/>
            <w:tcBorders>
              <w:top w:val="nil"/>
              <w:bottom w:val="nil"/>
            </w:tcBorders>
            <w:shd w:val="clear" w:color="auto" w:fill="auto"/>
          </w:tcPr>
          <w:p w:rsidR="00853A74" w:rsidRPr="00E07B1B" w:rsidRDefault="00853A74" w:rsidP="00A125BF">
            <w:pPr>
              <w:pStyle w:val="TableText"/>
            </w:pPr>
            <w:r w:rsidRPr="00E07B1B">
              <w:t xml:space="preserve">Retnakaran </w:t>
            </w:r>
            <w:r>
              <w:t>(</w:t>
            </w:r>
            <w:r w:rsidRPr="00E07B1B">
              <w:t>2010</w:t>
            </w:r>
            <w:r>
              <w:t>)</w:t>
            </w:r>
          </w:p>
        </w:tc>
        <w:tc>
          <w:tcPr>
            <w:tcW w:w="336" w:type="pct"/>
            <w:tcBorders>
              <w:top w:val="nil"/>
              <w:bottom w:val="nil"/>
            </w:tcBorders>
            <w:shd w:val="clear" w:color="auto" w:fill="auto"/>
          </w:tcPr>
          <w:p w:rsidR="00853A74" w:rsidRPr="00E07B1B" w:rsidRDefault="00853A74" w:rsidP="00A125BF">
            <w:pPr>
              <w:pStyle w:val="TableText"/>
            </w:pPr>
            <w:r w:rsidRPr="00E07B1B">
              <w:t>Canada</w:t>
            </w:r>
          </w:p>
        </w:tc>
        <w:tc>
          <w:tcPr>
            <w:tcW w:w="437" w:type="pct"/>
            <w:tcBorders>
              <w:top w:val="nil"/>
              <w:bottom w:val="nil"/>
            </w:tcBorders>
            <w:shd w:val="clear" w:color="auto" w:fill="auto"/>
          </w:tcPr>
          <w:p w:rsidR="00853A74" w:rsidRPr="00E07B1B" w:rsidRDefault="00853A74" w:rsidP="00DE7576">
            <w:pPr>
              <w:pStyle w:val="TableText"/>
              <w:tabs>
                <w:tab w:val="decimal" w:pos="936"/>
              </w:tabs>
            </w:pPr>
            <w:r w:rsidRPr="00E07B1B">
              <w:t>310</w:t>
            </w:r>
          </w:p>
        </w:tc>
        <w:tc>
          <w:tcPr>
            <w:tcW w:w="2209" w:type="pct"/>
            <w:tcBorders>
              <w:top w:val="nil"/>
              <w:bottom w:val="nil"/>
            </w:tcBorders>
            <w:shd w:val="clear" w:color="auto" w:fill="auto"/>
          </w:tcPr>
          <w:p w:rsidR="00853A74" w:rsidRPr="00E07B1B" w:rsidRDefault="00853A74" w:rsidP="00A125BF">
            <w:pPr>
              <w:pStyle w:val="TableText"/>
            </w:pPr>
            <w:r>
              <w:t>A</w:t>
            </w:r>
            <w:r w:rsidRPr="00E07B1B">
              <w:t>dj OR 1.37 (95%CI 1.13</w:t>
            </w:r>
            <w:r>
              <w:t>–</w:t>
            </w:r>
            <w:r w:rsidRPr="00E07B1B">
              <w:t xml:space="preserve">1.65, </w:t>
            </w:r>
            <w:r w:rsidRPr="00C42FA8">
              <w:rPr>
                <w:i/>
              </w:rPr>
              <w:t>p</w:t>
            </w:r>
            <w:r>
              <w:rPr>
                <w:i/>
              </w:rPr>
              <w:t xml:space="preserve"> </w:t>
            </w:r>
            <w:r w:rsidRPr="00E07B1B">
              <w:t>=</w:t>
            </w:r>
            <w:r>
              <w:t xml:space="preserve"> </w:t>
            </w:r>
            <w:r w:rsidRPr="00E07B1B">
              <w:t>0.001</w:t>
            </w:r>
            <w:r>
              <w:t>)</w:t>
            </w:r>
          </w:p>
        </w:tc>
        <w:tc>
          <w:tcPr>
            <w:tcW w:w="364" w:type="pct"/>
            <w:tcBorders>
              <w:top w:val="nil"/>
              <w:bottom w:val="nil"/>
            </w:tcBorders>
            <w:shd w:val="clear" w:color="auto" w:fill="auto"/>
          </w:tcPr>
          <w:p w:rsidR="00853A74" w:rsidRPr="00E07B1B" w:rsidRDefault="00853A74" w:rsidP="00DE7576">
            <w:pPr>
              <w:pStyle w:val="TableText"/>
              <w:jc w:val="center"/>
            </w:pPr>
            <w:r w:rsidRPr="00E07B1B">
              <w:t>MEDIUM</w:t>
            </w:r>
          </w:p>
        </w:tc>
      </w:tr>
      <w:tr w:rsidR="00853A74" w:rsidRPr="00E07B1B" w:rsidTr="00050E74">
        <w:trPr>
          <w:cantSplit/>
        </w:trPr>
        <w:tc>
          <w:tcPr>
            <w:tcW w:w="923" w:type="pct"/>
            <w:tcBorders>
              <w:top w:val="nil"/>
              <w:bottom w:val="nil"/>
            </w:tcBorders>
            <w:shd w:val="clear" w:color="auto" w:fill="F2F2F2" w:themeFill="background1" w:themeFillShade="F2"/>
          </w:tcPr>
          <w:p w:rsidR="00853A74" w:rsidRPr="00E07B1B" w:rsidRDefault="00853A74" w:rsidP="00050E74">
            <w:pPr>
              <w:pStyle w:val="TableText"/>
            </w:pPr>
            <w:r w:rsidRPr="00E07B1B">
              <w:t>Sum of the</w:t>
            </w:r>
            <w:r w:rsidR="00DE7576">
              <w:t xml:space="preserve"> glucose values at 3</w:t>
            </w:r>
            <w:r w:rsidR="00050E74">
              <w:noBreakHyphen/>
            </w:r>
            <w:r w:rsidR="00DE7576">
              <w:t>month OGTT</w:t>
            </w:r>
          </w:p>
        </w:tc>
        <w:tc>
          <w:tcPr>
            <w:tcW w:w="731" w:type="pct"/>
            <w:tcBorders>
              <w:top w:val="nil"/>
              <w:bottom w:val="nil"/>
            </w:tcBorders>
            <w:shd w:val="clear" w:color="auto" w:fill="F2F2F2" w:themeFill="background1" w:themeFillShade="F2"/>
          </w:tcPr>
          <w:p w:rsidR="00853A74" w:rsidRPr="00E07B1B" w:rsidRDefault="00853A74" w:rsidP="00050E74">
            <w:pPr>
              <w:pStyle w:val="TableText"/>
            </w:pPr>
            <w:r w:rsidRPr="00E07B1B">
              <w:t xml:space="preserve">Retnakaran </w:t>
            </w:r>
            <w:r>
              <w:t>(</w:t>
            </w:r>
            <w:r w:rsidRPr="00E07B1B">
              <w:t>2010</w:t>
            </w:r>
            <w:r>
              <w:t>)</w:t>
            </w:r>
          </w:p>
        </w:tc>
        <w:tc>
          <w:tcPr>
            <w:tcW w:w="336" w:type="pct"/>
            <w:tcBorders>
              <w:top w:val="nil"/>
              <w:bottom w:val="nil"/>
            </w:tcBorders>
            <w:shd w:val="clear" w:color="auto" w:fill="F2F2F2" w:themeFill="background1" w:themeFillShade="F2"/>
          </w:tcPr>
          <w:p w:rsidR="00853A74" w:rsidRPr="00E07B1B" w:rsidRDefault="00853A74" w:rsidP="00050E74">
            <w:pPr>
              <w:pStyle w:val="TableText"/>
            </w:pPr>
            <w:r w:rsidRPr="00E07B1B">
              <w:t>Canada</w:t>
            </w:r>
          </w:p>
        </w:tc>
        <w:tc>
          <w:tcPr>
            <w:tcW w:w="437" w:type="pct"/>
            <w:tcBorders>
              <w:top w:val="nil"/>
              <w:bottom w:val="nil"/>
            </w:tcBorders>
            <w:shd w:val="clear" w:color="auto" w:fill="F2F2F2" w:themeFill="background1" w:themeFillShade="F2"/>
          </w:tcPr>
          <w:p w:rsidR="00853A74" w:rsidRPr="00E07B1B" w:rsidRDefault="00853A74" w:rsidP="00050E74">
            <w:pPr>
              <w:pStyle w:val="TableText"/>
              <w:tabs>
                <w:tab w:val="decimal" w:pos="936"/>
              </w:tabs>
            </w:pPr>
            <w:r w:rsidRPr="00E07B1B">
              <w:t>310</w:t>
            </w:r>
          </w:p>
        </w:tc>
        <w:tc>
          <w:tcPr>
            <w:tcW w:w="2209" w:type="pct"/>
            <w:tcBorders>
              <w:top w:val="nil"/>
              <w:bottom w:val="nil"/>
            </w:tcBorders>
            <w:shd w:val="clear" w:color="auto" w:fill="F2F2F2" w:themeFill="background1" w:themeFillShade="F2"/>
          </w:tcPr>
          <w:p w:rsidR="00853A74" w:rsidRPr="00E07B1B" w:rsidRDefault="00853A74" w:rsidP="00050E74">
            <w:pPr>
              <w:pStyle w:val="TableText"/>
            </w:pPr>
            <w:r>
              <w:t>A</w:t>
            </w:r>
            <w:r w:rsidRPr="00E07B1B">
              <w:t>dj OR 1.16 (95%CI 1.05</w:t>
            </w:r>
            <w:r>
              <w:t>–</w:t>
            </w:r>
            <w:r w:rsidRPr="00E07B1B">
              <w:t xml:space="preserve">1.29, </w:t>
            </w:r>
            <w:r w:rsidRPr="00C42FA8">
              <w:rPr>
                <w:i/>
              </w:rPr>
              <w:t>p</w:t>
            </w:r>
            <w:r>
              <w:rPr>
                <w:i/>
              </w:rPr>
              <w:t xml:space="preserve"> </w:t>
            </w:r>
            <w:r w:rsidRPr="00E07B1B">
              <w:t>= 0.004</w:t>
            </w:r>
            <w:r>
              <w:t>)</w:t>
            </w:r>
          </w:p>
        </w:tc>
        <w:tc>
          <w:tcPr>
            <w:tcW w:w="364" w:type="pct"/>
            <w:tcBorders>
              <w:top w:val="nil"/>
              <w:bottom w:val="nil"/>
            </w:tcBorders>
            <w:shd w:val="clear" w:color="auto" w:fill="F2F2F2" w:themeFill="background1" w:themeFillShade="F2"/>
          </w:tcPr>
          <w:p w:rsidR="00853A74" w:rsidRPr="00E07B1B" w:rsidRDefault="00853A74" w:rsidP="00050E74">
            <w:pPr>
              <w:pStyle w:val="TableText"/>
              <w:jc w:val="center"/>
            </w:pPr>
            <w:r w:rsidRPr="00E07B1B">
              <w:t>MEDIUM</w:t>
            </w:r>
          </w:p>
        </w:tc>
      </w:tr>
      <w:tr w:rsidR="00853A74" w:rsidRPr="00E07B1B" w:rsidTr="00A36118">
        <w:trPr>
          <w:cantSplit/>
        </w:trPr>
        <w:tc>
          <w:tcPr>
            <w:tcW w:w="923" w:type="pct"/>
            <w:tcBorders>
              <w:top w:val="nil"/>
              <w:bottom w:val="single" w:sz="4" w:space="0" w:color="A6A6A6" w:themeColor="background1" w:themeShade="A6"/>
            </w:tcBorders>
            <w:shd w:val="clear" w:color="auto" w:fill="auto"/>
          </w:tcPr>
          <w:p w:rsidR="00853A74" w:rsidRPr="00E07B1B" w:rsidRDefault="00853A74" w:rsidP="00B1262D">
            <w:pPr>
              <w:pStyle w:val="TableText"/>
            </w:pPr>
            <w:r w:rsidRPr="00E07B1B">
              <w:t>Having a delayed blood glucose peak at 3</w:t>
            </w:r>
            <w:r>
              <w:t>-</w:t>
            </w:r>
            <w:r w:rsidRPr="00E07B1B">
              <w:t>month OGTT (&gt;</w:t>
            </w:r>
            <w:r>
              <w:t> </w:t>
            </w:r>
            <w:r w:rsidRPr="00E07B1B">
              <w:t>30 min post</w:t>
            </w:r>
            <w:r>
              <w:t>-</w:t>
            </w:r>
            <w:r w:rsidRPr="00E07B1B">
              <w:t>load)</w:t>
            </w:r>
          </w:p>
        </w:tc>
        <w:tc>
          <w:tcPr>
            <w:tcW w:w="731" w:type="pct"/>
            <w:tcBorders>
              <w:top w:val="nil"/>
              <w:bottom w:val="single" w:sz="4" w:space="0" w:color="A6A6A6" w:themeColor="background1" w:themeShade="A6"/>
            </w:tcBorders>
            <w:shd w:val="clear" w:color="auto" w:fill="auto"/>
          </w:tcPr>
          <w:p w:rsidR="00853A74" w:rsidRPr="00E07B1B" w:rsidRDefault="00853A74" w:rsidP="00A125BF">
            <w:pPr>
              <w:pStyle w:val="TableText"/>
            </w:pPr>
            <w:r w:rsidRPr="00E07B1B">
              <w:t xml:space="preserve">Retnakaran </w:t>
            </w:r>
            <w:r>
              <w:t>(</w:t>
            </w:r>
            <w:r w:rsidRPr="00E07B1B">
              <w:t>2010</w:t>
            </w:r>
            <w:r>
              <w:t>)</w:t>
            </w:r>
          </w:p>
        </w:tc>
        <w:tc>
          <w:tcPr>
            <w:tcW w:w="336" w:type="pct"/>
            <w:tcBorders>
              <w:top w:val="nil"/>
              <w:bottom w:val="single" w:sz="4" w:space="0" w:color="A6A6A6" w:themeColor="background1" w:themeShade="A6"/>
            </w:tcBorders>
            <w:shd w:val="clear" w:color="auto" w:fill="auto"/>
          </w:tcPr>
          <w:p w:rsidR="00853A74" w:rsidRPr="00E07B1B" w:rsidRDefault="00853A74" w:rsidP="00A125BF">
            <w:pPr>
              <w:pStyle w:val="TableText"/>
            </w:pPr>
            <w:r w:rsidRPr="00E07B1B">
              <w:t>Canada</w:t>
            </w:r>
          </w:p>
        </w:tc>
        <w:tc>
          <w:tcPr>
            <w:tcW w:w="437" w:type="pct"/>
            <w:tcBorders>
              <w:top w:val="nil"/>
              <w:bottom w:val="single" w:sz="4" w:space="0" w:color="A6A6A6" w:themeColor="background1" w:themeShade="A6"/>
            </w:tcBorders>
            <w:shd w:val="clear" w:color="auto" w:fill="auto"/>
          </w:tcPr>
          <w:p w:rsidR="00853A74" w:rsidRPr="00E07B1B" w:rsidRDefault="00853A74" w:rsidP="00B1262D">
            <w:pPr>
              <w:pStyle w:val="TableText"/>
              <w:tabs>
                <w:tab w:val="decimal" w:pos="936"/>
              </w:tabs>
            </w:pPr>
            <w:r w:rsidRPr="00E07B1B">
              <w:t>310</w:t>
            </w:r>
          </w:p>
        </w:tc>
        <w:tc>
          <w:tcPr>
            <w:tcW w:w="2209" w:type="pct"/>
            <w:tcBorders>
              <w:top w:val="nil"/>
              <w:bottom w:val="single" w:sz="4" w:space="0" w:color="A6A6A6" w:themeColor="background1" w:themeShade="A6"/>
            </w:tcBorders>
            <w:shd w:val="clear" w:color="auto" w:fill="auto"/>
          </w:tcPr>
          <w:p w:rsidR="00853A74" w:rsidRPr="00E07B1B" w:rsidRDefault="00853A74" w:rsidP="00A125BF">
            <w:pPr>
              <w:pStyle w:val="TableText"/>
            </w:pPr>
            <w:r>
              <w:t>A</w:t>
            </w:r>
            <w:r w:rsidRPr="00E07B1B">
              <w:t>dj OR 2.89 (95%CI 1.29</w:t>
            </w:r>
            <w:r>
              <w:t>–</w:t>
            </w:r>
            <w:r w:rsidRPr="00E07B1B">
              <w:t xml:space="preserve">6.45, </w:t>
            </w:r>
            <w:r w:rsidRPr="00C42FA8">
              <w:rPr>
                <w:i/>
              </w:rPr>
              <w:t>p</w:t>
            </w:r>
            <w:r>
              <w:rPr>
                <w:i/>
              </w:rPr>
              <w:t xml:space="preserve"> </w:t>
            </w:r>
            <w:r w:rsidRPr="00E07B1B">
              <w:t>=</w:t>
            </w:r>
            <w:r>
              <w:t xml:space="preserve"> </w:t>
            </w:r>
            <w:r w:rsidRPr="00E07B1B">
              <w:t>0.01</w:t>
            </w:r>
            <w:r>
              <w:t>)</w:t>
            </w:r>
          </w:p>
        </w:tc>
        <w:tc>
          <w:tcPr>
            <w:tcW w:w="364" w:type="pct"/>
            <w:tcBorders>
              <w:top w:val="nil"/>
              <w:bottom w:val="single" w:sz="4" w:space="0" w:color="A6A6A6" w:themeColor="background1" w:themeShade="A6"/>
            </w:tcBorders>
            <w:shd w:val="clear" w:color="auto" w:fill="auto"/>
          </w:tcPr>
          <w:p w:rsidR="00853A74" w:rsidRPr="00E07B1B" w:rsidRDefault="00853A74" w:rsidP="00B1262D">
            <w:pPr>
              <w:pStyle w:val="TableText"/>
              <w:jc w:val="center"/>
            </w:pPr>
            <w:r w:rsidRPr="00E07B1B">
              <w:t>MEDIUM</w:t>
            </w:r>
          </w:p>
        </w:tc>
      </w:tr>
      <w:tr w:rsidR="00853A74" w:rsidRPr="00B1262D" w:rsidTr="00A36118">
        <w:trPr>
          <w:cantSplit/>
        </w:trPr>
        <w:tc>
          <w:tcPr>
            <w:tcW w:w="5000" w:type="pct"/>
            <w:gridSpan w:val="6"/>
            <w:tcBorders>
              <w:top w:val="single" w:sz="4" w:space="0" w:color="A6A6A6" w:themeColor="background1" w:themeShade="A6"/>
              <w:bottom w:val="nil"/>
            </w:tcBorders>
            <w:shd w:val="clear" w:color="auto" w:fill="F2F2F2" w:themeFill="background1" w:themeFillShade="F2"/>
          </w:tcPr>
          <w:p w:rsidR="00853A74" w:rsidRPr="00B1262D" w:rsidRDefault="00853A74" w:rsidP="00050E74">
            <w:pPr>
              <w:pStyle w:val="TableText"/>
              <w:keepNext/>
              <w:rPr>
                <w:b/>
              </w:rPr>
            </w:pPr>
            <w:r w:rsidRPr="00B1262D">
              <w:rPr>
                <w:b/>
              </w:rPr>
              <w:t>Parity</w:t>
            </w:r>
          </w:p>
        </w:tc>
      </w:tr>
      <w:tr w:rsidR="00853A74" w:rsidRPr="00E07B1B" w:rsidTr="00A36118">
        <w:trPr>
          <w:cantSplit/>
        </w:trPr>
        <w:tc>
          <w:tcPr>
            <w:tcW w:w="923" w:type="pct"/>
            <w:tcBorders>
              <w:top w:val="nil"/>
              <w:bottom w:val="nil"/>
            </w:tcBorders>
            <w:shd w:val="clear" w:color="auto" w:fill="auto"/>
          </w:tcPr>
          <w:p w:rsidR="00853A74" w:rsidRPr="00E07B1B" w:rsidRDefault="00853A74" w:rsidP="00A125BF">
            <w:pPr>
              <w:pStyle w:val="TableText"/>
            </w:pPr>
            <w:r w:rsidRPr="00E07B1B">
              <w:t>Previous pregnancy</w:t>
            </w:r>
          </w:p>
        </w:tc>
        <w:tc>
          <w:tcPr>
            <w:tcW w:w="731" w:type="pct"/>
            <w:tcBorders>
              <w:top w:val="nil"/>
              <w:bottom w:val="nil"/>
            </w:tcBorders>
            <w:shd w:val="clear" w:color="auto" w:fill="auto"/>
          </w:tcPr>
          <w:p w:rsidR="00853A74" w:rsidRPr="00E07B1B" w:rsidRDefault="00853A74" w:rsidP="00A125BF">
            <w:pPr>
              <w:pStyle w:val="TableText"/>
            </w:pPr>
            <w:r w:rsidRPr="00E07B1B">
              <w:t xml:space="preserve">Ekelund </w:t>
            </w:r>
            <w:r>
              <w:t>(</w:t>
            </w:r>
            <w:r w:rsidRPr="00E07B1B">
              <w:t>2010</w:t>
            </w:r>
            <w:r>
              <w:t>)</w:t>
            </w:r>
          </w:p>
        </w:tc>
        <w:tc>
          <w:tcPr>
            <w:tcW w:w="336" w:type="pct"/>
            <w:tcBorders>
              <w:top w:val="nil"/>
              <w:bottom w:val="nil"/>
            </w:tcBorders>
            <w:shd w:val="clear" w:color="auto" w:fill="auto"/>
          </w:tcPr>
          <w:p w:rsidR="00853A74" w:rsidRPr="00E07B1B" w:rsidRDefault="00853A74" w:rsidP="00A125BF">
            <w:pPr>
              <w:pStyle w:val="TableText"/>
            </w:pPr>
            <w:r w:rsidRPr="00E07B1B">
              <w:t>Sweden</w:t>
            </w:r>
          </w:p>
        </w:tc>
        <w:tc>
          <w:tcPr>
            <w:tcW w:w="437" w:type="pct"/>
            <w:tcBorders>
              <w:top w:val="nil"/>
              <w:bottom w:val="nil"/>
            </w:tcBorders>
            <w:shd w:val="clear" w:color="auto" w:fill="auto"/>
          </w:tcPr>
          <w:p w:rsidR="00853A74" w:rsidRPr="00E07B1B" w:rsidRDefault="00853A74" w:rsidP="00B1262D">
            <w:pPr>
              <w:pStyle w:val="TableText"/>
              <w:tabs>
                <w:tab w:val="decimal" w:pos="936"/>
              </w:tabs>
            </w:pPr>
            <w:r w:rsidRPr="00E07B1B">
              <w:t>174</w:t>
            </w:r>
          </w:p>
        </w:tc>
        <w:tc>
          <w:tcPr>
            <w:tcW w:w="2209" w:type="pct"/>
            <w:tcBorders>
              <w:top w:val="nil"/>
              <w:bottom w:val="nil"/>
            </w:tcBorders>
            <w:shd w:val="clear" w:color="auto" w:fill="auto"/>
          </w:tcPr>
          <w:p w:rsidR="00853A74" w:rsidRPr="00E07B1B" w:rsidRDefault="00853A74" w:rsidP="00A125BF">
            <w:pPr>
              <w:pStyle w:val="TableText"/>
            </w:pPr>
            <w:r w:rsidRPr="00E07B1B">
              <w:t xml:space="preserve">OR 4.3 </w:t>
            </w:r>
            <w:r>
              <w:t>(</w:t>
            </w:r>
            <w:r w:rsidRPr="00E07B1B">
              <w:t xml:space="preserve">95%CI </w:t>
            </w:r>
            <w:r>
              <w:t>n</w:t>
            </w:r>
            <w:r w:rsidRPr="00E07B1B">
              <w:t xml:space="preserve">ot stated, </w:t>
            </w:r>
            <w:r w:rsidRPr="00C42FA8">
              <w:rPr>
                <w:i/>
              </w:rPr>
              <w:t>p</w:t>
            </w:r>
            <w:r>
              <w:t xml:space="preserve"> </w:t>
            </w:r>
            <w:r w:rsidRPr="00E07B1B">
              <w:t>=</w:t>
            </w:r>
            <w:r>
              <w:t xml:space="preserve"> </w:t>
            </w:r>
            <w:r w:rsidRPr="00E07B1B">
              <w:t>0.02</w:t>
            </w:r>
            <w:r>
              <w:t>)</w:t>
            </w:r>
          </w:p>
        </w:tc>
        <w:tc>
          <w:tcPr>
            <w:tcW w:w="364" w:type="pct"/>
            <w:tcBorders>
              <w:top w:val="nil"/>
              <w:bottom w:val="nil"/>
            </w:tcBorders>
            <w:shd w:val="clear" w:color="auto" w:fill="auto"/>
          </w:tcPr>
          <w:p w:rsidR="00853A74" w:rsidRPr="00E07B1B" w:rsidRDefault="00853A74" w:rsidP="00B1262D">
            <w:pPr>
              <w:pStyle w:val="TableText"/>
              <w:jc w:val="center"/>
            </w:pPr>
            <w:r w:rsidRPr="00E07B1B">
              <w:t>MEDIUM</w:t>
            </w:r>
          </w:p>
        </w:tc>
      </w:tr>
      <w:tr w:rsidR="00853A74" w:rsidRPr="00E07B1B" w:rsidTr="00A36118">
        <w:trPr>
          <w:cantSplit/>
        </w:trPr>
        <w:tc>
          <w:tcPr>
            <w:tcW w:w="923" w:type="pct"/>
            <w:tcBorders>
              <w:top w:val="nil"/>
              <w:bottom w:val="single" w:sz="4" w:space="0" w:color="A6A6A6" w:themeColor="background1" w:themeShade="A6"/>
            </w:tcBorders>
            <w:shd w:val="clear" w:color="auto" w:fill="F2F2F2" w:themeFill="background1" w:themeFillShade="F2"/>
          </w:tcPr>
          <w:p w:rsidR="00853A74" w:rsidRPr="00E07B1B" w:rsidRDefault="00853A74" w:rsidP="00B1262D">
            <w:pPr>
              <w:pStyle w:val="TableText"/>
            </w:pPr>
            <w:r w:rsidRPr="00E07B1B">
              <w:t>Interval between first and second pregnancy of &lt;</w:t>
            </w:r>
            <w:r>
              <w:t> </w:t>
            </w:r>
            <w:r w:rsidRPr="00E07B1B">
              <w:t>2</w:t>
            </w:r>
            <w:r w:rsidR="00B1262D">
              <w:t> </w:t>
            </w:r>
            <w:r w:rsidRPr="00E07B1B">
              <w:t>years</w:t>
            </w:r>
          </w:p>
        </w:tc>
        <w:tc>
          <w:tcPr>
            <w:tcW w:w="731" w:type="pct"/>
            <w:tcBorders>
              <w:top w:val="nil"/>
              <w:bottom w:val="single" w:sz="4" w:space="0" w:color="A6A6A6" w:themeColor="background1" w:themeShade="A6"/>
            </w:tcBorders>
            <w:shd w:val="clear" w:color="auto" w:fill="F2F2F2" w:themeFill="background1" w:themeFillShade="F2"/>
          </w:tcPr>
          <w:p w:rsidR="00853A74" w:rsidRPr="00E07B1B" w:rsidRDefault="00853A74" w:rsidP="00A125BF">
            <w:pPr>
              <w:pStyle w:val="TableText"/>
            </w:pPr>
            <w:r w:rsidRPr="00E07B1B">
              <w:t xml:space="preserve">Russell </w:t>
            </w:r>
            <w:r>
              <w:t>(</w:t>
            </w:r>
            <w:r w:rsidRPr="00E07B1B">
              <w:t>2008</w:t>
            </w:r>
            <w:r>
              <w:t>)</w:t>
            </w:r>
          </w:p>
        </w:tc>
        <w:tc>
          <w:tcPr>
            <w:tcW w:w="336" w:type="pct"/>
            <w:tcBorders>
              <w:top w:val="nil"/>
              <w:bottom w:val="single" w:sz="4" w:space="0" w:color="A6A6A6" w:themeColor="background1" w:themeShade="A6"/>
            </w:tcBorders>
            <w:shd w:val="clear" w:color="auto" w:fill="F2F2F2" w:themeFill="background1" w:themeFillShade="F2"/>
          </w:tcPr>
          <w:p w:rsidR="00853A74" w:rsidRPr="00E07B1B" w:rsidRDefault="00853A74" w:rsidP="00A125BF">
            <w:pPr>
              <w:pStyle w:val="TableText"/>
            </w:pPr>
            <w:r w:rsidRPr="00E07B1B">
              <w:t>Canada</w:t>
            </w:r>
          </w:p>
        </w:tc>
        <w:tc>
          <w:tcPr>
            <w:tcW w:w="437" w:type="pct"/>
            <w:tcBorders>
              <w:top w:val="nil"/>
              <w:bottom w:val="single" w:sz="4" w:space="0" w:color="A6A6A6" w:themeColor="background1" w:themeShade="A6"/>
            </w:tcBorders>
            <w:shd w:val="clear" w:color="auto" w:fill="F2F2F2" w:themeFill="background1" w:themeFillShade="F2"/>
          </w:tcPr>
          <w:p w:rsidR="00853A74" w:rsidRPr="00E07B1B" w:rsidRDefault="00853A74" w:rsidP="00B1262D">
            <w:pPr>
              <w:pStyle w:val="TableText"/>
              <w:tabs>
                <w:tab w:val="decimal" w:pos="936"/>
              </w:tabs>
            </w:pPr>
            <w:r w:rsidRPr="00E07B1B">
              <w:t>1401</w:t>
            </w:r>
          </w:p>
        </w:tc>
        <w:tc>
          <w:tcPr>
            <w:tcW w:w="2209" w:type="pct"/>
            <w:tcBorders>
              <w:top w:val="nil"/>
              <w:bottom w:val="single" w:sz="4" w:space="0" w:color="A6A6A6" w:themeColor="background1" w:themeShade="A6"/>
            </w:tcBorders>
            <w:shd w:val="clear" w:color="auto" w:fill="F2F2F2" w:themeFill="background1" w:themeFillShade="F2"/>
          </w:tcPr>
          <w:p w:rsidR="00853A74" w:rsidRPr="00E07B1B" w:rsidRDefault="00853A74" w:rsidP="00B1262D">
            <w:pPr>
              <w:pStyle w:val="TableText"/>
            </w:pPr>
            <w:r>
              <w:t>U</w:t>
            </w:r>
            <w:r w:rsidRPr="00E07B1B">
              <w:t xml:space="preserve">nadjusted RR 4.2 </w:t>
            </w:r>
            <w:r>
              <w:t>(</w:t>
            </w:r>
            <w:r w:rsidRPr="00E07B1B">
              <w:t>95%CI 1.2</w:t>
            </w:r>
            <w:r>
              <w:t>–</w:t>
            </w:r>
            <w:r w:rsidRPr="00E07B1B">
              <w:t>15.0)</w:t>
            </w:r>
          </w:p>
        </w:tc>
        <w:tc>
          <w:tcPr>
            <w:tcW w:w="364" w:type="pct"/>
            <w:tcBorders>
              <w:top w:val="nil"/>
              <w:bottom w:val="single" w:sz="4" w:space="0" w:color="A6A6A6" w:themeColor="background1" w:themeShade="A6"/>
            </w:tcBorders>
            <w:shd w:val="clear" w:color="auto" w:fill="F2F2F2" w:themeFill="background1" w:themeFillShade="F2"/>
          </w:tcPr>
          <w:p w:rsidR="00853A74" w:rsidRPr="00E07B1B" w:rsidRDefault="00853A74" w:rsidP="00B1262D">
            <w:pPr>
              <w:pStyle w:val="TableText"/>
              <w:jc w:val="center"/>
            </w:pPr>
            <w:r w:rsidRPr="00E07B1B">
              <w:t>MEDIUM</w:t>
            </w:r>
          </w:p>
        </w:tc>
      </w:tr>
      <w:tr w:rsidR="00853A74" w:rsidRPr="00B1262D" w:rsidTr="00A36118">
        <w:trPr>
          <w:cantSplit/>
        </w:trPr>
        <w:tc>
          <w:tcPr>
            <w:tcW w:w="5000" w:type="pct"/>
            <w:gridSpan w:val="6"/>
            <w:tcBorders>
              <w:top w:val="single" w:sz="4" w:space="0" w:color="A6A6A6" w:themeColor="background1" w:themeShade="A6"/>
              <w:bottom w:val="nil"/>
            </w:tcBorders>
            <w:shd w:val="clear" w:color="auto" w:fill="auto"/>
          </w:tcPr>
          <w:p w:rsidR="00853A74" w:rsidRPr="00B1262D" w:rsidRDefault="00853A74" w:rsidP="00A125BF">
            <w:pPr>
              <w:pStyle w:val="TableText"/>
              <w:rPr>
                <w:b/>
              </w:rPr>
            </w:pPr>
            <w:r w:rsidRPr="00B1262D">
              <w:rPr>
                <w:b/>
              </w:rPr>
              <w:t>Maternal age</w:t>
            </w:r>
          </w:p>
        </w:tc>
      </w:tr>
      <w:tr w:rsidR="00853A74" w:rsidRPr="00E07B1B" w:rsidTr="00A36118">
        <w:trPr>
          <w:cantSplit/>
        </w:trPr>
        <w:tc>
          <w:tcPr>
            <w:tcW w:w="923" w:type="pct"/>
            <w:vMerge w:val="restart"/>
            <w:tcBorders>
              <w:top w:val="nil"/>
              <w:bottom w:val="nil"/>
            </w:tcBorders>
            <w:shd w:val="clear" w:color="auto" w:fill="F2F2F2" w:themeFill="background1" w:themeFillShade="F2"/>
          </w:tcPr>
          <w:p w:rsidR="00853A74" w:rsidRPr="00E07B1B" w:rsidRDefault="00853A74" w:rsidP="00A125BF">
            <w:pPr>
              <w:pStyle w:val="TableText"/>
            </w:pPr>
            <w:r w:rsidRPr="00E07B1B">
              <w:t>Increasing age</w:t>
            </w: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Chodick </w:t>
            </w:r>
            <w:r>
              <w:t>(</w:t>
            </w:r>
            <w:r w:rsidRPr="00E07B1B">
              <w:t>2010</w:t>
            </w:r>
            <w:r>
              <w:t>)</w:t>
            </w:r>
          </w:p>
        </w:tc>
        <w:tc>
          <w:tcPr>
            <w:tcW w:w="336" w:type="pct"/>
            <w:tcBorders>
              <w:top w:val="nil"/>
              <w:bottom w:val="nil"/>
            </w:tcBorders>
            <w:shd w:val="clear" w:color="auto" w:fill="F2F2F2" w:themeFill="background1" w:themeFillShade="F2"/>
          </w:tcPr>
          <w:p w:rsidR="00853A74" w:rsidRPr="00E07B1B" w:rsidRDefault="00853A74" w:rsidP="00A125BF">
            <w:pPr>
              <w:pStyle w:val="TableText"/>
            </w:pPr>
            <w:r w:rsidRPr="00E07B1B">
              <w:t>Israel</w:t>
            </w:r>
          </w:p>
        </w:tc>
        <w:tc>
          <w:tcPr>
            <w:tcW w:w="437" w:type="pct"/>
            <w:tcBorders>
              <w:top w:val="nil"/>
              <w:bottom w:val="nil"/>
            </w:tcBorders>
            <w:shd w:val="clear" w:color="auto" w:fill="F2F2F2" w:themeFill="background1" w:themeFillShade="F2"/>
          </w:tcPr>
          <w:p w:rsidR="00853A74" w:rsidRPr="00E07B1B" w:rsidRDefault="00853A74" w:rsidP="001F54B4">
            <w:pPr>
              <w:pStyle w:val="TableText"/>
              <w:tabs>
                <w:tab w:val="decimal" w:pos="936"/>
              </w:tabs>
            </w:pPr>
            <w:r w:rsidRPr="00E07B1B">
              <w:t>185,416</w:t>
            </w:r>
          </w:p>
        </w:tc>
        <w:tc>
          <w:tcPr>
            <w:tcW w:w="2209" w:type="pct"/>
            <w:tcBorders>
              <w:top w:val="nil"/>
              <w:bottom w:val="nil"/>
            </w:tcBorders>
            <w:shd w:val="clear" w:color="auto" w:fill="F2F2F2" w:themeFill="background1" w:themeFillShade="F2"/>
          </w:tcPr>
          <w:p w:rsidR="00853A74" w:rsidRPr="00E07B1B" w:rsidRDefault="00853A74" w:rsidP="00A125BF">
            <w:pPr>
              <w:pStyle w:val="TableText"/>
            </w:pPr>
            <w:r>
              <w:t>A</w:t>
            </w:r>
            <w:r w:rsidRPr="00E07B1B">
              <w:t>dj HR 1.03 (95%CI 1.02</w:t>
            </w:r>
            <w:r>
              <w:t>–</w:t>
            </w:r>
            <w:r w:rsidRPr="00E07B1B">
              <w:t xml:space="preserve">1.04, </w:t>
            </w:r>
            <w:r w:rsidRPr="00C42FA8">
              <w:rPr>
                <w:i/>
              </w:rPr>
              <w:t>p</w:t>
            </w:r>
            <w:r w:rsidRPr="00E07B1B">
              <w:t xml:space="preserve"> &lt;</w:t>
            </w:r>
            <w:r>
              <w:t xml:space="preserve"> </w:t>
            </w:r>
            <w:r w:rsidRPr="00E07B1B">
              <w:t>0.001)</w:t>
            </w:r>
          </w:p>
        </w:tc>
        <w:tc>
          <w:tcPr>
            <w:tcW w:w="364" w:type="pct"/>
            <w:tcBorders>
              <w:top w:val="nil"/>
              <w:bottom w:val="nil"/>
            </w:tcBorders>
            <w:shd w:val="clear" w:color="auto" w:fill="F2F2F2" w:themeFill="background1" w:themeFillShade="F2"/>
          </w:tcPr>
          <w:p w:rsidR="00853A74" w:rsidRPr="00E07B1B" w:rsidRDefault="00853A74" w:rsidP="00B1262D">
            <w:pPr>
              <w:pStyle w:val="TableText"/>
              <w:jc w:val="center"/>
            </w:pPr>
            <w:r w:rsidRPr="00E07B1B">
              <w:t>MEDIUM</w:t>
            </w:r>
          </w:p>
        </w:tc>
      </w:tr>
      <w:tr w:rsidR="00853A74" w:rsidRPr="00E07B1B" w:rsidTr="00A36118">
        <w:trPr>
          <w:cantSplit/>
        </w:trPr>
        <w:tc>
          <w:tcPr>
            <w:tcW w:w="923" w:type="pct"/>
            <w:vMerge/>
            <w:tcBorders>
              <w:top w:val="nil"/>
              <w:bottom w:val="nil"/>
            </w:tcBorders>
            <w:shd w:val="clear" w:color="auto" w:fill="F2F2F2" w:themeFill="background1" w:themeFillShade="F2"/>
          </w:tcPr>
          <w:p w:rsidR="00853A74" w:rsidRPr="00E07B1B" w:rsidRDefault="00853A74" w:rsidP="00A125BF">
            <w:pPr>
              <w:pStyle w:val="TableText"/>
            </w:pP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Oldfield </w:t>
            </w:r>
            <w:r>
              <w:t>(</w:t>
            </w:r>
            <w:r w:rsidRPr="00E07B1B">
              <w:t>2007</w:t>
            </w:r>
            <w:r>
              <w:t>)</w:t>
            </w:r>
          </w:p>
        </w:tc>
        <w:tc>
          <w:tcPr>
            <w:tcW w:w="336" w:type="pct"/>
            <w:tcBorders>
              <w:top w:val="nil"/>
              <w:bottom w:val="nil"/>
            </w:tcBorders>
            <w:shd w:val="clear" w:color="auto" w:fill="F2F2F2" w:themeFill="background1" w:themeFillShade="F2"/>
          </w:tcPr>
          <w:p w:rsidR="00853A74" w:rsidRPr="00E07B1B" w:rsidRDefault="00853A74" w:rsidP="00A125BF">
            <w:pPr>
              <w:pStyle w:val="TableText"/>
            </w:pPr>
            <w:r w:rsidRPr="00E07B1B">
              <w:t>UK</w:t>
            </w:r>
          </w:p>
        </w:tc>
        <w:tc>
          <w:tcPr>
            <w:tcW w:w="437" w:type="pct"/>
            <w:tcBorders>
              <w:top w:val="nil"/>
              <w:bottom w:val="nil"/>
            </w:tcBorders>
            <w:shd w:val="clear" w:color="auto" w:fill="F2F2F2" w:themeFill="background1" w:themeFillShade="F2"/>
          </w:tcPr>
          <w:p w:rsidR="00853A74" w:rsidRPr="00E07B1B" w:rsidRDefault="00853A74" w:rsidP="001F54B4">
            <w:pPr>
              <w:pStyle w:val="TableText"/>
              <w:tabs>
                <w:tab w:val="decimal" w:pos="936"/>
              </w:tabs>
            </w:pPr>
            <w:r w:rsidRPr="00E07B1B">
              <w:t>73</w:t>
            </w:r>
          </w:p>
        </w:tc>
        <w:tc>
          <w:tcPr>
            <w:tcW w:w="2209" w:type="pct"/>
            <w:tcBorders>
              <w:top w:val="nil"/>
              <w:bottom w:val="nil"/>
            </w:tcBorders>
            <w:shd w:val="clear" w:color="auto" w:fill="F2F2F2" w:themeFill="background1" w:themeFillShade="F2"/>
          </w:tcPr>
          <w:p w:rsidR="00853A74" w:rsidRPr="00E07B1B" w:rsidRDefault="00853A74" w:rsidP="00A125BF">
            <w:pPr>
              <w:pStyle w:val="TableText"/>
            </w:pPr>
            <w:r w:rsidRPr="00E07B1B">
              <w:t>Caucasian OR 1.31 (95%CI 1.1</w:t>
            </w:r>
            <w:r>
              <w:t>–</w:t>
            </w:r>
            <w:r w:rsidRPr="00E07B1B">
              <w:t xml:space="preserve">1.59, </w:t>
            </w:r>
            <w:r w:rsidRPr="00C42FA8">
              <w:rPr>
                <w:i/>
              </w:rPr>
              <w:t>p</w:t>
            </w:r>
            <w:r>
              <w:t xml:space="preserve"> </w:t>
            </w:r>
            <w:r w:rsidRPr="00E07B1B">
              <w:t>=</w:t>
            </w:r>
            <w:r>
              <w:t xml:space="preserve"> </w:t>
            </w:r>
            <w:r w:rsidRPr="00E07B1B">
              <w:t>0.007), South Asian OR 1.13 (95%CI 1.02</w:t>
            </w:r>
            <w:r>
              <w:t>–</w:t>
            </w:r>
            <w:r w:rsidRPr="00E07B1B">
              <w:t xml:space="preserve">1.25, </w:t>
            </w:r>
            <w:r w:rsidRPr="00C42FA8">
              <w:rPr>
                <w:i/>
              </w:rPr>
              <w:t>p</w:t>
            </w:r>
            <w:r>
              <w:t xml:space="preserve"> </w:t>
            </w:r>
            <w:r w:rsidRPr="00E07B1B">
              <w:t>=</w:t>
            </w:r>
            <w:r>
              <w:t xml:space="preserve"> </w:t>
            </w:r>
            <w:r w:rsidRPr="00E07B1B">
              <w:t>0.02)</w:t>
            </w:r>
          </w:p>
        </w:tc>
        <w:tc>
          <w:tcPr>
            <w:tcW w:w="364" w:type="pct"/>
            <w:tcBorders>
              <w:top w:val="nil"/>
              <w:bottom w:val="nil"/>
            </w:tcBorders>
            <w:shd w:val="clear" w:color="auto" w:fill="F2F2F2" w:themeFill="background1" w:themeFillShade="F2"/>
          </w:tcPr>
          <w:p w:rsidR="00853A74" w:rsidRPr="00E07B1B" w:rsidRDefault="00853A74" w:rsidP="00B1262D">
            <w:pPr>
              <w:pStyle w:val="TableText"/>
              <w:jc w:val="center"/>
            </w:pPr>
            <w:r w:rsidRPr="00E07B1B">
              <w:t>LOW</w:t>
            </w:r>
          </w:p>
        </w:tc>
      </w:tr>
      <w:tr w:rsidR="00853A74" w:rsidRPr="00E07B1B" w:rsidTr="00A36118">
        <w:trPr>
          <w:cantSplit/>
        </w:trPr>
        <w:tc>
          <w:tcPr>
            <w:tcW w:w="923" w:type="pct"/>
            <w:vMerge/>
            <w:tcBorders>
              <w:top w:val="nil"/>
              <w:bottom w:val="nil"/>
            </w:tcBorders>
            <w:shd w:val="clear" w:color="auto" w:fill="F2F2F2" w:themeFill="background1" w:themeFillShade="F2"/>
          </w:tcPr>
          <w:p w:rsidR="00853A74" w:rsidRPr="00E07B1B" w:rsidRDefault="00853A74" w:rsidP="00A125BF">
            <w:pPr>
              <w:pStyle w:val="TableText"/>
            </w:pP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Wang </w:t>
            </w:r>
            <w:r>
              <w:t>(</w:t>
            </w:r>
            <w:r w:rsidRPr="00E07B1B">
              <w:t>201</w:t>
            </w:r>
            <w:r>
              <w:t>3)</w:t>
            </w:r>
          </w:p>
        </w:tc>
        <w:tc>
          <w:tcPr>
            <w:tcW w:w="336" w:type="pct"/>
            <w:tcBorders>
              <w:top w:val="nil"/>
              <w:bottom w:val="nil"/>
            </w:tcBorders>
            <w:shd w:val="clear" w:color="auto" w:fill="F2F2F2" w:themeFill="background1" w:themeFillShade="F2"/>
          </w:tcPr>
          <w:p w:rsidR="00853A74" w:rsidRPr="00E07B1B" w:rsidRDefault="00853A74" w:rsidP="00A125BF">
            <w:pPr>
              <w:pStyle w:val="TableText"/>
            </w:pPr>
            <w:r w:rsidRPr="00E07B1B">
              <w:t>USA</w:t>
            </w:r>
          </w:p>
        </w:tc>
        <w:tc>
          <w:tcPr>
            <w:tcW w:w="437" w:type="pct"/>
            <w:tcBorders>
              <w:top w:val="nil"/>
              <w:bottom w:val="nil"/>
            </w:tcBorders>
            <w:shd w:val="clear" w:color="auto" w:fill="F2F2F2" w:themeFill="background1" w:themeFillShade="F2"/>
          </w:tcPr>
          <w:p w:rsidR="00853A74" w:rsidRPr="00E07B1B" w:rsidRDefault="00853A74" w:rsidP="001F54B4">
            <w:pPr>
              <w:pStyle w:val="TableText"/>
              <w:tabs>
                <w:tab w:val="decimal" w:pos="936"/>
              </w:tabs>
            </w:pPr>
            <w:r w:rsidRPr="00E07B1B">
              <w:t>19,998</w:t>
            </w:r>
          </w:p>
        </w:tc>
        <w:tc>
          <w:tcPr>
            <w:tcW w:w="2209" w:type="pct"/>
            <w:tcBorders>
              <w:top w:val="nil"/>
              <w:bottom w:val="nil"/>
            </w:tcBorders>
            <w:shd w:val="clear" w:color="auto" w:fill="F2F2F2" w:themeFill="background1" w:themeFillShade="F2"/>
          </w:tcPr>
          <w:p w:rsidR="00853A74" w:rsidRPr="00E07B1B" w:rsidRDefault="00853A74" w:rsidP="00A125BF">
            <w:pPr>
              <w:pStyle w:val="TableText"/>
            </w:pPr>
            <w:r w:rsidRPr="00E07B1B">
              <w:t>Women age</w:t>
            </w:r>
            <w:r>
              <w:t>d</w:t>
            </w:r>
            <w:r w:rsidRPr="00E07B1B">
              <w:t xml:space="preserve"> 13</w:t>
            </w:r>
            <w:r>
              <w:t>–</w:t>
            </w:r>
            <w:r w:rsidRPr="00E07B1B">
              <w:t>29.9 years (HR 8.97, 95%CI 7.57</w:t>
            </w:r>
            <w:r>
              <w:t>–</w:t>
            </w:r>
            <w:r w:rsidRPr="00E07B1B">
              <w:t>10.6)</w:t>
            </w:r>
            <w:r>
              <w:t>, compared with</w:t>
            </w:r>
            <w:r w:rsidRPr="00E07B1B">
              <w:t xml:space="preserve"> women age</w:t>
            </w:r>
            <w:r>
              <w:t>d</w:t>
            </w:r>
            <w:r w:rsidRPr="00E07B1B">
              <w:t xml:space="preserve"> 30</w:t>
            </w:r>
            <w:r>
              <w:t>–</w:t>
            </w:r>
            <w:r w:rsidRPr="00E07B1B">
              <w:t>40 years (HR 5.27, 95%CI 4.27</w:t>
            </w:r>
            <w:r>
              <w:t>–</w:t>
            </w:r>
            <w:r w:rsidRPr="00E07B1B">
              <w:t>6.51) and 40</w:t>
            </w:r>
            <w:r>
              <w:t>–</w:t>
            </w:r>
            <w:r w:rsidRPr="00E07B1B">
              <w:t>50 years (HR 5.30, 95%CI 2.88</w:t>
            </w:r>
            <w:r>
              <w:t>–</w:t>
            </w:r>
            <w:r w:rsidRPr="00E07B1B">
              <w:t>9.76)</w:t>
            </w:r>
          </w:p>
        </w:tc>
        <w:tc>
          <w:tcPr>
            <w:tcW w:w="364" w:type="pct"/>
            <w:tcBorders>
              <w:top w:val="nil"/>
              <w:bottom w:val="nil"/>
            </w:tcBorders>
            <w:shd w:val="clear" w:color="auto" w:fill="F2F2F2" w:themeFill="background1" w:themeFillShade="F2"/>
          </w:tcPr>
          <w:p w:rsidR="00853A74" w:rsidRPr="00E07B1B" w:rsidRDefault="00853A74" w:rsidP="00B1262D">
            <w:pPr>
              <w:pStyle w:val="TableText"/>
              <w:jc w:val="center"/>
            </w:pPr>
            <w:r w:rsidRPr="00E07B1B">
              <w:t>HIGH</w:t>
            </w:r>
          </w:p>
        </w:tc>
      </w:tr>
      <w:tr w:rsidR="00853A74" w:rsidRPr="00E07B1B" w:rsidTr="001F54B4">
        <w:trPr>
          <w:cantSplit/>
        </w:trPr>
        <w:tc>
          <w:tcPr>
            <w:tcW w:w="923" w:type="pct"/>
            <w:vMerge/>
            <w:tcBorders>
              <w:top w:val="nil"/>
              <w:bottom w:val="single" w:sz="4" w:space="0" w:color="A6A6A6" w:themeColor="background1" w:themeShade="A6"/>
            </w:tcBorders>
            <w:shd w:val="clear" w:color="auto" w:fill="F2F2F2" w:themeFill="background1" w:themeFillShade="F2"/>
          </w:tcPr>
          <w:p w:rsidR="00853A74" w:rsidRPr="00E07B1B" w:rsidRDefault="00853A74" w:rsidP="00A125BF">
            <w:pPr>
              <w:pStyle w:val="TableText"/>
            </w:pPr>
          </w:p>
        </w:tc>
        <w:tc>
          <w:tcPr>
            <w:tcW w:w="731" w:type="pct"/>
            <w:tcBorders>
              <w:top w:val="nil"/>
              <w:bottom w:val="single" w:sz="4" w:space="0" w:color="A6A6A6" w:themeColor="background1" w:themeShade="A6"/>
            </w:tcBorders>
            <w:shd w:val="clear" w:color="auto" w:fill="F2F2F2" w:themeFill="background1" w:themeFillShade="F2"/>
          </w:tcPr>
          <w:p w:rsidR="00853A74" w:rsidRPr="00E07B1B" w:rsidRDefault="00853A74" w:rsidP="00A125BF">
            <w:pPr>
              <w:pStyle w:val="TableText"/>
            </w:pPr>
            <w:r w:rsidRPr="00E07B1B">
              <w:t xml:space="preserve">Malinowski-Polubiec </w:t>
            </w:r>
            <w:r>
              <w:t>(</w:t>
            </w:r>
            <w:r w:rsidRPr="00E07B1B">
              <w:t>2012</w:t>
            </w:r>
            <w:r>
              <w:t>)</w:t>
            </w:r>
          </w:p>
        </w:tc>
        <w:tc>
          <w:tcPr>
            <w:tcW w:w="336" w:type="pct"/>
            <w:tcBorders>
              <w:top w:val="nil"/>
              <w:bottom w:val="single" w:sz="4" w:space="0" w:color="A6A6A6" w:themeColor="background1" w:themeShade="A6"/>
            </w:tcBorders>
            <w:shd w:val="clear" w:color="auto" w:fill="F2F2F2" w:themeFill="background1" w:themeFillShade="F2"/>
          </w:tcPr>
          <w:p w:rsidR="00853A74" w:rsidRPr="00E07B1B" w:rsidRDefault="00853A74" w:rsidP="00A125BF">
            <w:pPr>
              <w:pStyle w:val="TableText"/>
            </w:pPr>
            <w:r w:rsidRPr="00E07B1B">
              <w:t>Poland</w:t>
            </w:r>
          </w:p>
        </w:tc>
        <w:tc>
          <w:tcPr>
            <w:tcW w:w="437" w:type="pct"/>
            <w:tcBorders>
              <w:top w:val="nil"/>
              <w:bottom w:val="single" w:sz="4" w:space="0" w:color="A6A6A6" w:themeColor="background1" w:themeShade="A6"/>
            </w:tcBorders>
            <w:shd w:val="clear" w:color="auto" w:fill="F2F2F2" w:themeFill="background1" w:themeFillShade="F2"/>
          </w:tcPr>
          <w:p w:rsidR="00853A74" w:rsidRPr="00E07B1B" w:rsidRDefault="00853A74" w:rsidP="001F54B4">
            <w:pPr>
              <w:pStyle w:val="TableText"/>
              <w:tabs>
                <w:tab w:val="decimal" w:pos="936"/>
              </w:tabs>
            </w:pPr>
            <w:r w:rsidRPr="00E07B1B">
              <w:t>155</w:t>
            </w:r>
          </w:p>
        </w:tc>
        <w:tc>
          <w:tcPr>
            <w:tcW w:w="2209" w:type="pct"/>
            <w:tcBorders>
              <w:top w:val="nil"/>
              <w:bottom w:val="single" w:sz="4" w:space="0" w:color="A6A6A6" w:themeColor="background1" w:themeShade="A6"/>
            </w:tcBorders>
            <w:shd w:val="clear" w:color="auto" w:fill="F2F2F2" w:themeFill="background1" w:themeFillShade="F2"/>
          </w:tcPr>
          <w:p w:rsidR="00853A74" w:rsidRPr="00E07B1B" w:rsidRDefault="00853A74" w:rsidP="00A125BF">
            <w:pPr>
              <w:pStyle w:val="TableText"/>
            </w:pPr>
            <w:r>
              <w:t>Women a</w:t>
            </w:r>
            <w:r w:rsidRPr="00E07B1B">
              <w:t>ge</w:t>
            </w:r>
            <w:r>
              <w:t>d</w:t>
            </w:r>
            <w:r w:rsidRPr="00E07B1B">
              <w:t xml:space="preserve"> &lt;</w:t>
            </w:r>
            <w:r>
              <w:t xml:space="preserve"> </w:t>
            </w:r>
            <w:r w:rsidRPr="00E07B1B">
              <w:t xml:space="preserve">25 years versus </w:t>
            </w:r>
            <w:r>
              <w:t xml:space="preserve">women </w:t>
            </w:r>
            <w:r w:rsidRPr="00E07B1B">
              <w:t>aged 25</w:t>
            </w:r>
            <w:r>
              <w:t>–</w:t>
            </w:r>
            <w:r w:rsidRPr="00E07B1B">
              <w:t>35 years RR 2.49 (no CIs provided); women age</w:t>
            </w:r>
            <w:r>
              <w:t>d</w:t>
            </w:r>
            <w:r w:rsidRPr="00E07B1B">
              <w:t xml:space="preserve"> &gt;</w:t>
            </w:r>
            <w:r>
              <w:t xml:space="preserve"> </w:t>
            </w:r>
            <w:r w:rsidRPr="00E07B1B">
              <w:t>35 years RR 3.30 (no CIs provided)</w:t>
            </w:r>
          </w:p>
        </w:tc>
        <w:tc>
          <w:tcPr>
            <w:tcW w:w="364" w:type="pct"/>
            <w:tcBorders>
              <w:top w:val="nil"/>
              <w:bottom w:val="single" w:sz="4" w:space="0" w:color="A6A6A6" w:themeColor="background1" w:themeShade="A6"/>
            </w:tcBorders>
            <w:shd w:val="clear" w:color="auto" w:fill="F2F2F2" w:themeFill="background1" w:themeFillShade="F2"/>
          </w:tcPr>
          <w:p w:rsidR="00853A74" w:rsidRPr="00E07B1B" w:rsidRDefault="00853A74" w:rsidP="00B1262D">
            <w:pPr>
              <w:pStyle w:val="TableText"/>
              <w:jc w:val="center"/>
            </w:pPr>
            <w:r w:rsidRPr="00E07B1B">
              <w:t>LOW</w:t>
            </w:r>
          </w:p>
        </w:tc>
      </w:tr>
      <w:tr w:rsidR="00853A74" w:rsidRPr="001F54B4" w:rsidTr="001F54B4">
        <w:trPr>
          <w:cantSplit/>
        </w:trPr>
        <w:tc>
          <w:tcPr>
            <w:tcW w:w="5000" w:type="pct"/>
            <w:gridSpan w:val="6"/>
            <w:tcBorders>
              <w:top w:val="single" w:sz="4" w:space="0" w:color="A6A6A6" w:themeColor="background1" w:themeShade="A6"/>
              <w:bottom w:val="nil"/>
            </w:tcBorders>
            <w:shd w:val="clear" w:color="auto" w:fill="auto"/>
          </w:tcPr>
          <w:p w:rsidR="00853A74" w:rsidRPr="001F54B4" w:rsidRDefault="00853A74" w:rsidP="00A125BF">
            <w:pPr>
              <w:pStyle w:val="TableText"/>
              <w:rPr>
                <w:b/>
              </w:rPr>
            </w:pPr>
            <w:r w:rsidRPr="001F54B4">
              <w:rPr>
                <w:b/>
              </w:rPr>
              <w:t>Gestational week at diagnosis</w:t>
            </w:r>
          </w:p>
        </w:tc>
      </w:tr>
      <w:tr w:rsidR="00853A74" w:rsidRPr="00E07B1B" w:rsidTr="001F54B4">
        <w:trPr>
          <w:cantSplit/>
        </w:trPr>
        <w:tc>
          <w:tcPr>
            <w:tcW w:w="923" w:type="pct"/>
            <w:vMerge w:val="restart"/>
            <w:tcBorders>
              <w:top w:val="nil"/>
              <w:bottom w:val="nil"/>
            </w:tcBorders>
            <w:shd w:val="clear" w:color="auto" w:fill="F2F2F2" w:themeFill="background1" w:themeFillShade="F2"/>
          </w:tcPr>
          <w:p w:rsidR="00853A74" w:rsidRPr="00E07B1B" w:rsidRDefault="00853A74" w:rsidP="00A125BF">
            <w:pPr>
              <w:pStyle w:val="TableText"/>
            </w:pPr>
            <w:r w:rsidRPr="00E07B1B">
              <w:t>Gestational week at diagnosis</w:t>
            </w: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Orgonowski </w:t>
            </w:r>
            <w:r w:rsidRPr="003D6EF5">
              <w:rPr>
                <w:szCs w:val="24"/>
              </w:rPr>
              <w:t>and Miazgowski</w:t>
            </w:r>
            <w:r>
              <w:t xml:space="preserve"> (</w:t>
            </w:r>
            <w:r w:rsidRPr="00E07B1B">
              <w:t>2009</w:t>
            </w:r>
            <w:r>
              <w:t>)</w:t>
            </w:r>
          </w:p>
        </w:tc>
        <w:tc>
          <w:tcPr>
            <w:tcW w:w="336" w:type="pct"/>
            <w:tcBorders>
              <w:top w:val="nil"/>
              <w:bottom w:val="nil"/>
            </w:tcBorders>
            <w:shd w:val="clear" w:color="auto" w:fill="F2F2F2" w:themeFill="background1" w:themeFillShade="F2"/>
          </w:tcPr>
          <w:p w:rsidR="00853A74" w:rsidRPr="00E07B1B" w:rsidRDefault="00853A74" w:rsidP="001F54B4">
            <w:pPr>
              <w:pStyle w:val="TableText"/>
            </w:pPr>
            <w:r w:rsidRPr="00E07B1B">
              <w:t>Poland</w:t>
            </w:r>
          </w:p>
        </w:tc>
        <w:tc>
          <w:tcPr>
            <w:tcW w:w="437" w:type="pct"/>
            <w:tcBorders>
              <w:top w:val="nil"/>
              <w:bottom w:val="nil"/>
            </w:tcBorders>
            <w:shd w:val="clear" w:color="auto" w:fill="F2F2F2" w:themeFill="background1" w:themeFillShade="F2"/>
          </w:tcPr>
          <w:p w:rsidR="00853A74" w:rsidRPr="00E07B1B" w:rsidRDefault="00853A74" w:rsidP="001F54B4">
            <w:pPr>
              <w:pStyle w:val="TableText"/>
              <w:tabs>
                <w:tab w:val="decimal" w:pos="936"/>
              </w:tabs>
            </w:pPr>
            <w:r w:rsidRPr="00E07B1B">
              <w:t>855</w:t>
            </w:r>
          </w:p>
        </w:tc>
        <w:tc>
          <w:tcPr>
            <w:tcW w:w="2209"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Adj OR 0.91 </w:t>
            </w:r>
            <w:r>
              <w:t>(</w:t>
            </w:r>
            <w:r w:rsidRPr="00E07B1B">
              <w:t>95%CI 0.86</w:t>
            </w:r>
            <w:r>
              <w:t>–</w:t>
            </w:r>
            <w:r w:rsidRPr="00E07B1B">
              <w:t xml:space="preserve">0.96, </w:t>
            </w:r>
            <w:r w:rsidRPr="003D6EF5">
              <w:rPr>
                <w:i/>
              </w:rPr>
              <w:t>p</w:t>
            </w:r>
            <w:r>
              <w:t xml:space="preserve"> </w:t>
            </w:r>
            <w:r w:rsidRPr="00E07B1B">
              <w:t>=</w:t>
            </w:r>
            <w:r>
              <w:t xml:space="preserve"> </w:t>
            </w:r>
            <w:r w:rsidRPr="00E07B1B">
              <w:t>0.001</w:t>
            </w:r>
            <w:r>
              <w:t>)</w:t>
            </w:r>
          </w:p>
        </w:tc>
        <w:tc>
          <w:tcPr>
            <w:tcW w:w="364" w:type="pct"/>
            <w:tcBorders>
              <w:top w:val="nil"/>
              <w:bottom w:val="nil"/>
            </w:tcBorders>
            <w:shd w:val="clear" w:color="auto" w:fill="F2F2F2" w:themeFill="background1" w:themeFillShade="F2"/>
          </w:tcPr>
          <w:p w:rsidR="00853A74" w:rsidRPr="00E07B1B" w:rsidRDefault="00853A74" w:rsidP="00B1262D">
            <w:pPr>
              <w:pStyle w:val="TableText"/>
              <w:jc w:val="center"/>
            </w:pPr>
            <w:r w:rsidRPr="00E07B1B">
              <w:t>MEDIUM</w:t>
            </w:r>
          </w:p>
        </w:tc>
      </w:tr>
      <w:tr w:rsidR="00853A74" w:rsidRPr="00E07B1B" w:rsidTr="001F54B4">
        <w:trPr>
          <w:cantSplit/>
        </w:trPr>
        <w:tc>
          <w:tcPr>
            <w:tcW w:w="923" w:type="pct"/>
            <w:vMerge/>
            <w:tcBorders>
              <w:top w:val="nil"/>
              <w:bottom w:val="nil"/>
            </w:tcBorders>
            <w:shd w:val="clear" w:color="auto" w:fill="F2F2F2" w:themeFill="background1" w:themeFillShade="F2"/>
          </w:tcPr>
          <w:p w:rsidR="00853A74" w:rsidRPr="00E07B1B" w:rsidRDefault="00853A74" w:rsidP="00A125BF">
            <w:pPr>
              <w:pStyle w:val="TableText"/>
            </w:pP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Schaefer-Graf </w:t>
            </w:r>
            <w:r>
              <w:t>(</w:t>
            </w:r>
            <w:r w:rsidRPr="00E07B1B">
              <w:t>2009</w:t>
            </w:r>
            <w:r>
              <w:t>)</w:t>
            </w:r>
          </w:p>
        </w:tc>
        <w:tc>
          <w:tcPr>
            <w:tcW w:w="336" w:type="pct"/>
            <w:tcBorders>
              <w:top w:val="nil"/>
              <w:bottom w:val="nil"/>
            </w:tcBorders>
            <w:shd w:val="clear" w:color="auto" w:fill="F2F2F2" w:themeFill="background1" w:themeFillShade="F2"/>
          </w:tcPr>
          <w:p w:rsidR="00853A74" w:rsidRPr="00E07B1B" w:rsidRDefault="00853A74" w:rsidP="00A125BF">
            <w:pPr>
              <w:pStyle w:val="TableText"/>
            </w:pPr>
            <w:r w:rsidRPr="00E07B1B">
              <w:t>Germany</w:t>
            </w:r>
          </w:p>
        </w:tc>
        <w:tc>
          <w:tcPr>
            <w:tcW w:w="437" w:type="pct"/>
            <w:tcBorders>
              <w:top w:val="nil"/>
              <w:bottom w:val="nil"/>
            </w:tcBorders>
            <w:shd w:val="clear" w:color="auto" w:fill="F2F2F2" w:themeFill="background1" w:themeFillShade="F2"/>
          </w:tcPr>
          <w:p w:rsidR="00853A74" w:rsidRPr="00E07B1B" w:rsidRDefault="00853A74" w:rsidP="001F54B4">
            <w:pPr>
              <w:pStyle w:val="TableText"/>
              <w:tabs>
                <w:tab w:val="decimal" w:pos="936"/>
              </w:tabs>
            </w:pPr>
            <w:r w:rsidRPr="00E07B1B">
              <w:t>1184</w:t>
            </w:r>
          </w:p>
        </w:tc>
        <w:tc>
          <w:tcPr>
            <w:tcW w:w="2209"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OR 1.81 (95%CI 1.16 </w:t>
            </w:r>
            <w:r>
              <w:t>–</w:t>
            </w:r>
            <w:r w:rsidRPr="00E07B1B">
              <w:t xml:space="preserve">2.85, </w:t>
            </w:r>
            <w:r w:rsidRPr="003D6EF5">
              <w:rPr>
                <w:i/>
              </w:rPr>
              <w:t>p</w:t>
            </w:r>
            <w:r>
              <w:t xml:space="preserve"> </w:t>
            </w:r>
            <w:r w:rsidRPr="00E07B1B">
              <w:t>=</w:t>
            </w:r>
            <w:r>
              <w:t xml:space="preserve"> </w:t>
            </w:r>
            <w:r w:rsidRPr="00E07B1B">
              <w:t>0.01) (≤</w:t>
            </w:r>
            <w:r>
              <w:t xml:space="preserve"> </w:t>
            </w:r>
            <w:r w:rsidRPr="00E07B1B">
              <w:t>24 weeks)</w:t>
            </w:r>
          </w:p>
        </w:tc>
        <w:tc>
          <w:tcPr>
            <w:tcW w:w="364" w:type="pct"/>
            <w:tcBorders>
              <w:top w:val="nil"/>
              <w:bottom w:val="nil"/>
            </w:tcBorders>
            <w:shd w:val="clear" w:color="auto" w:fill="F2F2F2" w:themeFill="background1" w:themeFillShade="F2"/>
          </w:tcPr>
          <w:p w:rsidR="00853A74" w:rsidRPr="00E07B1B" w:rsidRDefault="00853A74" w:rsidP="00B1262D">
            <w:pPr>
              <w:pStyle w:val="TableText"/>
              <w:jc w:val="center"/>
            </w:pPr>
            <w:r w:rsidRPr="00E07B1B">
              <w:t>LOW</w:t>
            </w:r>
          </w:p>
        </w:tc>
      </w:tr>
      <w:tr w:rsidR="00853A74" w:rsidRPr="00E07B1B" w:rsidTr="001F54B4">
        <w:trPr>
          <w:cantSplit/>
        </w:trPr>
        <w:tc>
          <w:tcPr>
            <w:tcW w:w="923" w:type="pct"/>
            <w:vMerge/>
            <w:tcBorders>
              <w:top w:val="nil"/>
              <w:bottom w:val="single" w:sz="4" w:space="0" w:color="A6A6A6" w:themeColor="background1" w:themeShade="A6"/>
            </w:tcBorders>
            <w:shd w:val="clear" w:color="auto" w:fill="F2F2F2" w:themeFill="background1" w:themeFillShade="F2"/>
          </w:tcPr>
          <w:p w:rsidR="00853A74" w:rsidRPr="00E07B1B" w:rsidRDefault="00853A74" w:rsidP="00A125BF">
            <w:pPr>
              <w:pStyle w:val="TableText"/>
            </w:pPr>
          </w:p>
        </w:tc>
        <w:tc>
          <w:tcPr>
            <w:tcW w:w="731" w:type="pct"/>
            <w:tcBorders>
              <w:top w:val="nil"/>
              <w:bottom w:val="single" w:sz="4" w:space="0" w:color="A6A6A6" w:themeColor="background1" w:themeShade="A6"/>
            </w:tcBorders>
            <w:shd w:val="clear" w:color="auto" w:fill="F2F2F2" w:themeFill="background1" w:themeFillShade="F2"/>
          </w:tcPr>
          <w:p w:rsidR="00853A74" w:rsidRPr="00E07B1B" w:rsidRDefault="00853A74" w:rsidP="00A125BF">
            <w:pPr>
              <w:pStyle w:val="TableText"/>
            </w:pPr>
            <w:r w:rsidRPr="00E07B1B">
              <w:t xml:space="preserve">Malinowski-Polubiec </w:t>
            </w:r>
            <w:r>
              <w:t>(</w:t>
            </w:r>
            <w:r w:rsidRPr="00E07B1B">
              <w:t>2012</w:t>
            </w:r>
            <w:r>
              <w:t>)</w:t>
            </w:r>
          </w:p>
        </w:tc>
        <w:tc>
          <w:tcPr>
            <w:tcW w:w="336" w:type="pct"/>
            <w:tcBorders>
              <w:top w:val="nil"/>
              <w:bottom w:val="single" w:sz="4" w:space="0" w:color="A6A6A6" w:themeColor="background1" w:themeShade="A6"/>
            </w:tcBorders>
            <w:shd w:val="clear" w:color="auto" w:fill="F2F2F2" w:themeFill="background1" w:themeFillShade="F2"/>
          </w:tcPr>
          <w:p w:rsidR="00853A74" w:rsidRPr="00E07B1B" w:rsidRDefault="00853A74" w:rsidP="00A125BF">
            <w:pPr>
              <w:pStyle w:val="TableText"/>
            </w:pPr>
            <w:r w:rsidRPr="00E07B1B">
              <w:t>Poland</w:t>
            </w:r>
          </w:p>
        </w:tc>
        <w:tc>
          <w:tcPr>
            <w:tcW w:w="437" w:type="pct"/>
            <w:tcBorders>
              <w:top w:val="nil"/>
              <w:bottom w:val="single" w:sz="4" w:space="0" w:color="A6A6A6" w:themeColor="background1" w:themeShade="A6"/>
            </w:tcBorders>
            <w:shd w:val="clear" w:color="auto" w:fill="F2F2F2" w:themeFill="background1" w:themeFillShade="F2"/>
          </w:tcPr>
          <w:p w:rsidR="00853A74" w:rsidRPr="00E07B1B" w:rsidRDefault="00853A74" w:rsidP="001F54B4">
            <w:pPr>
              <w:pStyle w:val="TableText"/>
              <w:tabs>
                <w:tab w:val="decimal" w:pos="936"/>
              </w:tabs>
            </w:pPr>
            <w:r w:rsidRPr="00E07B1B">
              <w:t>155</w:t>
            </w:r>
          </w:p>
        </w:tc>
        <w:tc>
          <w:tcPr>
            <w:tcW w:w="2209" w:type="pct"/>
            <w:tcBorders>
              <w:top w:val="nil"/>
              <w:bottom w:val="single" w:sz="4" w:space="0" w:color="A6A6A6" w:themeColor="background1" w:themeShade="A6"/>
            </w:tcBorders>
            <w:shd w:val="clear" w:color="auto" w:fill="F2F2F2" w:themeFill="background1" w:themeFillShade="F2"/>
          </w:tcPr>
          <w:p w:rsidR="00853A74" w:rsidRPr="00E07B1B" w:rsidRDefault="00853A74" w:rsidP="00A125BF">
            <w:pPr>
              <w:pStyle w:val="TableText"/>
            </w:pPr>
            <w:r w:rsidRPr="00E07B1B">
              <w:t>&gt;</w:t>
            </w:r>
            <w:r>
              <w:t xml:space="preserve"> </w:t>
            </w:r>
            <w:r w:rsidRPr="00E07B1B">
              <w:t>28 weeks RR 0.49 (no CIs provided)</w:t>
            </w:r>
          </w:p>
        </w:tc>
        <w:tc>
          <w:tcPr>
            <w:tcW w:w="364" w:type="pct"/>
            <w:tcBorders>
              <w:top w:val="nil"/>
              <w:bottom w:val="single" w:sz="4" w:space="0" w:color="A6A6A6" w:themeColor="background1" w:themeShade="A6"/>
            </w:tcBorders>
            <w:shd w:val="clear" w:color="auto" w:fill="F2F2F2" w:themeFill="background1" w:themeFillShade="F2"/>
          </w:tcPr>
          <w:p w:rsidR="00853A74" w:rsidRPr="00E07B1B" w:rsidRDefault="00853A74" w:rsidP="00B1262D">
            <w:pPr>
              <w:pStyle w:val="TableText"/>
              <w:jc w:val="center"/>
            </w:pPr>
            <w:r w:rsidRPr="00E07B1B">
              <w:t>LOW</w:t>
            </w:r>
          </w:p>
        </w:tc>
      </w:tr>
      <w:tr w:rsidR="00853A74" w:rsidRPr="001F54B4" w:rsidTr="001F54B4">
        <w:trPr>
          <w:cantSplit/>
        </w:trPr>
        <w:tc>
          <w:tcPr>
            <w:tcW w:w="5000" w:type="pct"/>
            <w:gridSpan w:val="6"/>
            <w:tcBorders>
              <w:top w:val="single" w:sz="4" w:space="0" w:color="A6A6A6" w:themeColor="background1" w:themeShade="A6"/>
              <w:bottom w:val="nil"/>
            </w:tcBorders>
            <w:shd w:val="clear" w:color="auto" w:fill="auto"/>
          </w:tcPr>
          <w:p w:rsidR="00853A74" w:rsidRPr="001F54B4" w:rsidRDefault="00853A74" w:rsidP="00A125BF">
            <w:pPr>
              <w:pStyle w:val="TableText"/>
              <w:rPr>
                <w:b/>
              </w:rPr>
            </w:pPr>
            <w:r w:rsidRPr="001F54B4">
              <w:rPr>
                <w:b/>
              </w:rPr>
              <w:t>Family history of diabetes</w:t>
            </w:r>
          </w:p>
        </w:tc>
      </w:tr>
      <w:tr w:rsidR="00853A74" w:rsidRPr="00E07B1B" w:rsidTr="001F54B4">
        <w:trPr>
          <w:cantSplit/>
        </w:trPr>
        <w:tc>
          <w:tcPr>
            <w:tcW w:w="923" w:type="pct"/>
            <w:vMerge w:val="restart"/>
            <w:tcBorders>
              <w:top w:val="nil"/>
              <w:bottom w:val="nil"/>
            </w:tcBorders>
            <w:shd w:val="clear" w:color="auto" w:fill="F2F2F2" w:themeFill="background1" w:themeFillShade="F2"/>
          </w:tcPr>
          <w:p w:rsidR="00853A74" w:rsidRPr="00E07B1B" w:rsidRDefault="00853A74" w:rsidP="00A125BF">
            <w:pPr>
              <w:pStyle w:val="TableText"/>
            </w:pPr>
            <w:r w:rsidRPr="00E07B1B">
              <w:t>Family history of diabetes</w:t>
            </w: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Kim </w:t>
            </w:r>
            <w:r>
              <w:t>(</w:t>
            </w:r>
            <w:r w:rsidRPr="00E07B1B">
              <w:t>2011</w:t>
            </w:r>
            <w:r>
              <w:t>)</w:t>
            </w:r>
          </w:p>
        </w:tc>
        <w:tc>
          <w:tcPr>
            <w:tcW w:w="336" w:type="pct"/>
            <w:tcBorders>
              <w:top w:val="nil"/>
              <w:bottom w:val="nil"/>
            </w:tcBorders>
            <w:shd w:val="clear" w:color="auto" w:fill="F2F2F2" w:themeFill="background1" w:themeFillShade="F2"/>
          </w:tcPr>
          <w:p w:rsidR="00853A74" w:rsidRPr="00E07B1B" w:rsidRDefault="00853A74" w:rsidP="00A125BF">
            <w:pPr>
              <w:pStyle w:val="TableText"/>
            </w:pPr>
            <w:r w:rsidRPr="00E07B1B">
              <w:t>Korea</w:t>
            </w:r>
          </w:p>
        </w:tc>
        <w:tc>
          <w:tcPr>
            <w:tcW w:w="437" w:type="pct"/>
            <w:tcBorders>
              <w:top w:val="nil"/>
              <w:bottom w:val="nil"/>
            </w:tcBorders>
            <w:shd w:val="clear" w:color="auto" w:fill="F2F2F2" w:themeFill="background1" w:themeFillShade="F2"/>
          </w:tcPr>
          <w:p w:rsidR="00853A74" w:rsidRPr="00E07B1B" w:rsidRDefault="00853A74" w:rsidP="006A0ECE">
            <w:pPr>
              <w:pStyle w:val="TableText"/>
              <w:tabs>
                <w:tab w:val="decimal" w:pos="936"/>
              </w:tabs>
            </w:pPr>
            <w:r w:rsidRPr="00E07B1B">
              <w:t>882</w:t>
            </w:r>
          </w:p>
        </w:tc>
        <w:tc>
          <w:tcPr>
            <w:tcW w:w="2209" w:type="pct"/>
            <w:tcBorders>
              <w:top w:val="nil"/>
              <w:bottom w:val="nil"/>
            </w:tcBorders>
            <w:shd w:val="clear" w:color="auto" w:fill="F2F2F2" w:themeFill="background1" w:themeFillShade="F2"/>
          </w:tcPr>
          <w:p w:rsidR="00853A74" w:rsidRPr="00E07B1B" w:rsidRDefault="00853A74" w:rsidP="00A125BF">
            <w:pPr>
              <w:pStyle w:val="TableText"/>
            </w:pPr>
            <w:r w:rsidRPr="003D6EF5">
              <w:rPr>
                <w:i/>
              </w:rPr>
              <w:t>β</w:t>
            </w:r>
            <w:r>
              <w:t xml:space="preserve"> </w:t>
            </w:r>
            <w:r w:rsidRPr="00E07B1B">
              <w:t>=</w:t>
            </w:r>
            <w:r>
              <w:t xml:space="preserve"> </w:t>
            </w:r>
            <w:r w:rsidRPr="00E07B1B">
              <w:t xml:space="preserve">0.38, </w:t>
            </w:r>
            <w:r w:rsidRPr="003D6EF5">
              <w:rPr>
                <w:i/>
              </w:rPr>
              <w:t>p</w:t>
            </w:r>
            <w:r>
              <w:t xml:space="preserve"> </w:t>
            </w:r>
            <w:r w:rsidRPr="00E07B1B">
              <w:t>=</w:t>
            </w:r>
            <w:r>
              <w:t xml:space="preserve"> </w:t>
            </w:r>
            <w:r w:rsidRPr="00E07B1B">
              <w:t>0.05</w:t>
            </w:r>
          </w:p>
        </w:tc>
        <w:tc>
          <w:tcPr>
            <w:tcW w:w="364" w:type="pct"/>
            <w:tcBorders>
              <w:top w:val="nil"/>
              <w:bottom w:val="nil"/>
            </w:tcBorders>
            <w:shd w:val="clear" w:color="auto" w:fill="F2F2F2" w:themeFill="background1" w:themeFillShade="F2"/>
          </w:tcPr>
          <w:p w:rsidR="00853A74" w:rsidRPr="00E07B1B" w:rsidRDefault="00853A74" w:rsidP="00B1262D">
            <w:pPr>
              <w:pStyle w:val="TableText"/>
              <w:jc w:val="center"/>
            </w:pPr>
            <w:r w:rsidRPr="00E07B1B">
              <w:t>LOW</w:t>
            </w:r>
          </w:p>
        </w:tc>
      </w:tr>
      <w:tr w:rsidR="00853A74" w:rsidRPr="00E07B1B" w:rsidTr="001F54B4">
        <w:trPr>
          <w:cantSplit/>
        </w:trPr>
        <w:tc>
          <w:tcPr>
            <w:tcW w:w="923" w:type="pct"/>
            <w:vMerge/>
            <w:tcBorders>
              <w:top w:val="nil"/>
              <w:bottom w:val="nil"/>
            </w:tcBorders>
            <w:shd w:val="clear" w:color="auto" w:fill="F2F2F2" w:themeFill="background1" w:themeFillShade="F2"/>
          </w:tcPr>
          <w:p w:rsidR="00853A74" w:rsidRPr="00E07B1B" w:rsidRDefault="00853A74" w:rsidP="00A125BF">
            <w:pPr>
              <w:pStyle w:val="TableText"/>
            </w:pP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Ekelund </w:t>
            </w:r>
            <w:r>
              <w:t>(</w:t>
            </w:r>
            <w:r w:rsidRPr="00E07B1B">
              <w:t>2010</w:t>
            </w:r>
            <w:r>
              <w:t>)</w:t>
            </w:r>
          </w:p>
        </w:tc>
        <w:tc>
          <w:tcPr>
            <w:tcW w:w="336" w:type="pct"/>
            <w:tcBorders>
              <w:top w:val="nil"/>
              <w:bottom w:val="nil"/>
            </w:tcBorders>
            <w:shd w:val="clear" w:color="auto" w:fill="F2F2F2" w:themeFill="background1" w:themeFillShade="F2"/>
          </w:tcPr>
          <w:p w:rsidR="00853A74" w:rsidRPr="00E07B1B" w:rsidRDefault="00853A74" w:rsidP="00A125BF">
            <w:pPr>
              <w:pStyle w:val="TableText"/>
            </w:pPr>
            <w:r w:rsidRPr="00E07B1B">
              <w:t>Sweden</w:t>
            </w:r>
          </w:p>
        </w:tc>
        <w:tc>
          <w:tcPr>
            <w:tcW w:w="437" w:type="pct"/>
            <w:tcBorders>
              <w:top w:val="nil"/>
              <w:bottom w:val="nil"/>
            </w:tcBorders>
            <w:shd w:val="clear" w:color="auto" w:fill="F2F2F2" w:themeFill="background1" w:themeFillShade="F2"/>
          </w:tcPr>
          <w:p w:rsidR="00853A74" w:rsidRPr="00E07B1B" w:rsidRDefault="00853A74" w:rsidP="006A0ECE">
            <w:pPr>
              <w:pStyle w:val="TableText"/>
              <w:tabs>
                <w:tab w:val="decimal" w:pos="936"/>
              </w:tabs>
            </w:pPr>
            <w:r w:rsidRPr="00E07B1B">
              <w:t>174</w:t>
            </w:r>
          </w:p>
        </w:tc>
        <w:tc>
          <w:tcPr>
            <w:tcW w:w="2209"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OR 4.1 </w:t>
            </w:r>
            <w:r>
              <w:t>(</w:t>
            </w:r>
            <w:r w:rsidRPr="00E07B1B">
              <w:t xml:space="preserve">95%CI </w:t>
            </w:r>
            <w:r>
              <w:t>n</w:t>
            </w:r>
            <w:r w:rsidRPr="00E07B1B">
              <w:t xml:space="preserve">ot stated, </w:t>
            </w:r>
            <w:r w:rsidRPr="003D6EF5">
              <w:rPr>
                <w:i/>
              </w:rPr>
              <w:t>p</w:t>
            </w:r>
            <w:r>
              <w:t xml:space="preserve"> </w:t>
            </w:r>
            <w:r w:rsidRPr="00E07B1B">
              <w:t>=</w:t>
            </w:r>
            <w:r>
              <w:t xml:space="preserve"> </w:t>
            </w:r>
            <w:r w:rsidRPr="00E07B1B">
              <w:t>0.03</w:t>
            </w:r>
            <w:r>
              <w:t>)</w:t>
            </w:r>
          </w:p>
        </w:tc>
        <w:tc>
          <w:tcPr>
            <w:tcW w:w="364" w:type="pct"/>
            <w:tcBorders>
              <w:top w:val="nil"/>
              <w:bottom w:val="nil"/>
            </w:tcBorders>
            <w:shd w:val="clear" w:color="auto" w:fill="F2F2F2" w:themeFill="background1" w:themeFillShade="F2"/>
          </w:tcPr>
          <w:p w:rsidR="00853A74" w:rsidRPr="00E07B1B" w:rsidRDefault="00853A74" w:rsidP="006A0ECE">
            <w:pPr>
              <w:pStyle w:val="TableText"/>
              <w:jc w:val="center"/>
            </w:pPr>
            <w:r w:rsidRPr="00E07B1B">
              <w:t>MEDIUM</w:t>
            </w:r>
          </w:p>
        </w:tc>
      </w:tr>
      <w:tr w:rsidR="00853A74" w:rsidRPr="00E07B1B" w:rsidTr="001F54B4">
        <w:trPr>
          <w:cantSplit/>
        </w:trPr>
        <w:tc>
          <w:tcPr>
            <w:tcW w:w="923" w:type="pct"/>
            <w:vMerge/>
            <w:tcBorders>
              <w:top w:val="nil"/>
              <w:bottom w:val="single" w:sz="4" w:space="0" w:color="A6A6A6" w:themeColor="background1" w:themeShade="A6"/>
            </w:tcBorders>
            <w:shd w:val="clear" w:color="auto" w:fill="F2F2F2" w:themeFill="background1" w:themeFillShade="F2"/>
          </w:tcPr>
          <w:p w:rsidR="00853A74" w:rsidRPr="00E07B1B" w:rsidRDefault="00853A74" w:rsidP="00A125BF">
            <w:pPr>
              <w:pStyle w:val="TableText"/>
            </w:pPr>
          </w:p>
        </w:tc>
        <w:tc>
          <w:tcPr>
            <w:tcW w:w="731" w:type="pct"/>
            <w:tcBorders>
              <w:top w:val="nil"/>
              <w:bottom w:val="single" w:sz="4" w:space="0" w:color="A6A6A6" w:themeColor="background1" w:themeShade="A6"/>
            </w:tcBorders>
            <w:shd w:val="clear" w:color="auto" w:fill="F2F2F2" w:themeFill="background1" w:themeFillShade="F2"/>
          </w:tcPr>
          <w:p w:rsidR="00853A74" w:rsidRPr="00E07B1B" w:rsidRDefault="00853A74" w:rsidP="00A125BF">
            <w:pPr>
              <w:pStyle w:val="TableText"/>
            </w:pPr>
            <w:r w:rsidRPr="00E07B1B">
              <w:t xml:space="preserve">Oldfield </w:t>
            </w:r>
            <w:r>
              <w:t>(</w:t>
            </w:r>
            <w:r w:rsidRPr="00E07B1B">
              <w:t>2007</w:t>
            </w:r>
            <w:r>
              <w:t>)</w:t>
            </w:r>
          </w:p>
        </w:tc>
        <w:tc>
          <w:tcPr>
            <w:tcW w:w="336" w:type="pct"/>
            <w:tcBorders>
              <w:top w:val="nil"/>
              <w:bottom w:val="single" w:sz="4" w:space="0" w:color="A6A6A6" w:themeColor="background1" w:themeShade="A6"/>
            </w:tcBorders>
            <w:shd w:val="clear" w:color="auto" w:fill="F2F2F2" w:themeFill="background1" w:themeFillShade="F2"/>
          </w:tcPr>
          <w:p w:rsidR="00853A74" w:rsidRPr="00E07B1B" w:rsidRDefault="001F54B4" w:rsidP="00A125BF">
            <w:pPr>
              <w:pStyle w:val="TableText"/>
            </w:pPr>
            <w:r>
              <w:t>UK</w:t>
            </w:r>
          </w:p>
        </w:tc>
        <w:tc>
          <w:tcPr>
            <w:tcW w:w="437" w:type="pct"/>
            <w:tcBorders>
              <w:top w:val="nil"/>
              <w:bottom w:val="single" w:sz="4" w:space="0" w:color="A6A6A6" w:themeColor="background1" w:themeShade="A6"/>
            </w:tcBorders>
            <w:shd w:val="clear" w:color="auto" w:fill="F2F2F2" w:themeFill="background1" w:themeFillShade="F2"/>
          </w:tcPr>
          <w:p w:rsidR="00853A74" w:rsidRPr="00E07B1B" w:rsidRDefault="00853A74" w:rsidP="006A0ECE">
            <w:pPr>
              <w:pStyle w:val="TableText"/>
              <w:tabs>
                <w:tab w:val="decimal" w:pos="936"/>
              </w:tabs>
            </w:pPr>
            <w:r w:rsidRPr="00E07B1B">
              <w:t>73</w:t>
            </w:r>
          </w:p>
        </w:tc>
        <w:tc>
          <w:tcPr>
            <w:tcW w:w="2209" w:type="pct"/>
            <w:tcBorders>
              <w:top w:val="nil"/>
              <w:bottom w:val="single" w:sz="4" w:space="0" w:color="A6A6A6" w:themeColor="background1" w:themeShade="A6"/>
            </w:tcBorders>
            <w:shd w:val="clear" w:color="auto" w:fill="F2F2F2" w:themeFill="background1" w:themeFillShade="F2"/>
          </w:tcPr>
          <w:p w:rsidR="00853A74" w:rsidRPr="00E07B1B" w:rsidRDefault="00853A74" w:rsidP="00A125BF">
            <w:pPr>
              <w:pStyle w:val="TableText"/>
            </w:pPr>
            <w:r w:rsidRPr="00E07B1B">
              <w:t>Caucasian (NS), South Asian</w:t>
            </w:r>
            <w:r>
              <w:t xml:space="preserve"> </w:t>
            </w:r>
            <w:r w:rsidRPr="00E07B1B">
              <w:t>OR 9.0 (95%CI 2.50</w:t>
            </w:r>
            <w:r>
              <w:t>–</w:t>
            </w:r>
            <w:r w:rsidRPr="00E07B1B">
              <w:t xml:space="preserve">32.67, </w:t>
            </w:r>
            <w:r w:rsidRPr="003D6EF5">
              <w:rPr>
                <w:i/>
              </w:rPr>
              <w:t>p</w:t>
            </w:r>
            <w:r>
              <w:t xml:space="preserve"> </w:t>
            </w:r>
            <w:r w:rsidRPr="00E07B1B">
              <w:t>=</w:t>
            </w:r>
            <w:r>
              <w:t xml:space="preserve"> </w:t>
            </w:r>
            <w:r w:rsidRPr="00E07B1B">
              <w:t>0.001)</w:t>
            </w:r>
          </w:p>
        </w:tc>
        <w:tc>
          <w:tcPr>
            <w:tcW w:w="364" w:type="pct"/>
            <w:tcBorders>
              <w:top w:val="nil"/>
              <w:bottom w:val="single" w:sz="4" w:space="0" w:color="A6A6A6" w:themeColor="background1" w:themeShade="A6"/>
            </w:tcBorders>
            <w:shd w:val="clear" w:color="auto" w:fill="F2F2F2" w:themeFill="background1" w:themeFillShade="F2"/>
          </w:tcPr>
          <w:p w:rsidR="00853A74" w:rsidRPr="00E07B1B" w:rsidRDefault="00853A74" w:rsidP="006A0ECE">
            <w:pPr>
              <w:pStyle w:val="TableText"/>
              <w:jc w:val="center"/>
            </w:pPr>
            <w:r w:rsidRPr="00E07B1B">
              <w:t>LOW</w:t>
            </w:r>
          </w:p>
        </w:tc>
      </w:tr>
      <w:tr w:rsidR="00853A74" w:rsidRPr="001F54B4" w:rsidTr="006F54DF">
        <w:trPr>
          <w:cantSplit/>
        </w:trPr>
        <w:tc>
          <w:tcPr>
            <w:tcW w:w="5000" w:type="pct"/>
            <w:gridSpan w:val="6"/>
            <w:tcBorders>
              <w:top w:val="single" w:sz="4" w:space="0" w:color="A6A6A6" w:themeColor="background1" w:themeShade="A6"/>
              <w:bottom w:val="nil"/>
            </w:tcBorders>
            <w:shd w:val="clear" w:color="auto" w:fill="auto"/>
          </w:tcPr>
          <w:p w:rsidR="00853A74" w:rsidRPr="001F54B4" w:rsidRDefault="00853A74" w:rsidP="001F54B4">
            <w:pPr>
              <w:pStyle w:val="TableText"/>
              <w:keepNext/>
              <w:rPr>
                <w:b/>
              </w:rPr>
            </w:pPr>
            <w:r w:rsidRPr="001F54B4">
              <w:rPr>
                <w:b/>
              </w:rPr>
              <w:t>History of GDM</w:t>
            </w:r>
          </w:p>
        </w:tc>
      </w:tr>
      <w:tr w:rsidR="00853A74" w:rsidRPr="00E07B1B" w:rsidTr="006F54DF">
        <w:trPr>
          <w:cantSplit/>
        </w:trPr>
        <w:tc>
          <w:tcPr>
            <w:tcW w:w="923" w:type="pct"/>
            <w:vMerge w:val="restart"/>
            <w:tcBorders>
              <w:top w:val="nil"/>
              <w:bottom w:val="nil"/>
            </w:tcBorders>
            <w:shd w:val="clear" w:color="auto" w:fill="F2F2F2" w:themeFill="background1" w:themeFillShade="F2"/>
          </w:tcPr>
          <w:p w:rsidR="00853A74" w:rsidRPr="00E07B1B" w:rsidRDefault="00853A74" w:rsidP="006F54DF">
            <w:pPr>
              <w:pStyle w:val="TableText"/>
              <w:keepNext/>
            </w:pPr>
            <w:r w:rsidRPr="00E07B1B">
              <w:t>Subsequent pregnancy with GDM</w:t>
            </w:r>
          </w:p>
        </w:tc>
        <w:tc>
          <w:tcPr>
            <w:tcW w:w="731" w:type="pct"/>
            <w:tcBorders>
              <w:top w:val="nil"/>
              <w:bottom w:val="nil"/>
            </w:tcBorders>
            <w:shd w:val="clear" w:color="auto" w:fill="F2F2F2" w:themeFill="background1" w:themeFillShade="F2"/>
          </w:tcPr>
          <w:p w:rsidR="00853A74" w:rsidRPr="00E07B1B" w:rsidRDefault="00853A74" w:rsidP="001F54B4">
            <w:pPr>
              <w:pStyle w:val="TableText"/>
              <w:keepNext/>
            </w:pPr>
            <w:r w:rsidRPr="00E07B1B">
              <w:t xml:space="preserve">Russell </w:t>
            </w:r>
            <w:r>
              <w:t>(</w:t>
            </w:r>
            <w:r w:rsidRPr="00E07B1B">
              <w:t>2008</w:t>
            </w:r>
            <w:r>
              <w:t>)</w:t>
            </w:r>
          </w:p>
        </w:tc>
        <w:tc>
          <w:tcPr>
            <w:tcW w:w="336" w:type="pct"/>
            <w:tcBorders>
              <w:top w:val="nil"/>
              <w:bottom w:val="nil"/>
            </w:tcBorders>
            <w:shd w:val="clear" w:color="auto" w:fill="F2F2F2" w:themeFill="background1" w:themeFillShade="F2"/>
          </w:tcPr>
          <w:p w:rsidR="00853A74" w:rsidRPr="00E07B1B" w:rsidRDefault="00853A74" w:rsidP="001F54B4">
            <w:pPr>
              <w:pStyle w:val="TableText"/>
              <w:keepNext/>
            </w:pPr>
            <w:r w:rsidRPr="00E07B1B">
              <w:t>Canada</w:t>
            </w:r>
          </w:p>
        </w:tc>
        <w:tc>
          <w:tcPr>
            <w:tcW w:w="437" w:type="pct"/>
            <w:tcBorders>
              <w:top w:val="nil"/>
              <w:bottom w:val="nil"/>
            </w:tcBorders>
            <w:shd w:val="clear" w:color="auto" w:fill="F2F2F2" w:themeFill="background1" w:themeFillShade="F2"/>
          </w:tcPr>
          <w:p w:rsidR="00853A74" w:rsidRPr="00E07B1B" w:rsidRDefault="00853A74" w:rsidP="006F54DF">
            <w:pPr>
              <w:pStyle w:val="TableText"/>
              <w:keepNext/>
              <w:tabs>
                <w:tab w:val="decimal" w:pos="936"/>
              </w:tabs>
            </w:pPr>
            <w:r w:rsidRPr="00E07B1B">
              <w:t>1401</w:t>
            </w:r>
          </w:p>
        </w:tc>
        <w:tc>
          <w:tcPr>
            <w:tcW w:w="2209" w:type="pct"/>
            <w:tcBorders>
              <w:top w:val="nil"/>
              <w:bottom w:val="nil"/>
            </w:tcBorders>
            <w:shd w:val="clear" w:color="auto" w:fill="F2F2F2" w:themeFill="background1" w:themeFillShade="F2"/>
          </w:tcPr>
          <w:p w:rsidR="00853A74" w:rsidRPr="00E07B1B" w:rsidRDefault="00853A74" w:rsidP="001F54B4">
            <w:pPr>
              <w:pStyle w:val="TableText"/>
              <w:keepNext/>
            </w:pPr>
            <w:r>
              <w:t>A</w:t>
            </w:r>
            <w:r w:rsidRPr="00E07B1B">
              <w:t>dj RR 2.3 (95%CI 1.6</w:t>
            </w:r>
            <w:r>
              <w:t>–</w:t>
            </w:r>
            <w:r w:rsidRPr="00E07B1B">
              <w:t>3.4)</w:t>
            </w:r>
          </w:p>
        </w:tc>
        <w:tc>
          <w:tcPr>
            <w:tcW w:w="364" w:type="pct"/>
            <w:tcBorders>
              <w:top w:val="nil"/>
              <w:bottom w:val="nil"/>
            </w:tcBorders>
            <w:shd w:val="clear" w:color="auto" w:fill="F2F2F2" w:themeFill="background1" w:themeFillShade="F2"/>
          </w:tcPr>
          <w:p w:rsidR="00853A74" w:rsidRPr="00E07B1B" w:rsidRDefault="00853A74" w:rsidP="006F54DF">
            <w:pPr>
              <w:pStyle w:val="TableText"/>
              <w:keepNext/>
              <w:jc w:val="center"/>
            </w:pPr>
            <w:r w:rsidRPr="00E07B1B">
              <w:t>MEDIUM</w:t>
            </w:r>
          </w:p>
        </w:tc>
      </w:tr>
      <w:tr w:rsidR="00853A74" w:rsidRPr="00E07B1B" w:rsidTr="006F54DF">
        <w:trPr>
          <w:cantSplit/>
        </w:trPr>
        <w:tc>
          <w:tcPr>
            <w:tcW w:w="923" w:type="pct"/>
            <w:vMerge/>
            <w:tcBorders>
              <w:top w:val="nil"/>
              <w:bottom w:val="nil"/>
            </w:tcBorders>
            <w:shd w:val="clear" w:color="auto" w:fill="F2F2F2" w:themeFill="background1" w:themeFillShade="F2"/>
          </w:tcPr>
          <w:p w:rsidR="00853A74" w:rsidRPr="00E07B1B" w:rsidRDefault="00853A74" w:rsidP="00A125BF">
            <w:pPr>
              <w:pStyle w:val="TableText"/>
            </w:pP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Retnakaran </w:t>
            </w:r>
            <w:r>
              <w:t>(</w:t>
            </w:r>
            <w:r w:rsidRPr="00E07B1B">
              <w:t>2011</w:t>
            </w:r>
            <w:r>
              <w:t>)</w:t>
            </w:r>
          </w:p>
        </w:tc>
        <w:tc>
          <w:tcPr>
            <w:tcW w:w="336" w:type="pct"/>
            <w:tcBorders>
              <w:top w:val="nil"/>
              <w:bottom w:val="nil"/>
            </w:tcBorders>
            <w:shd w:val="clear" w:color="auto" w:fill="F2F2F2" w:themeFill="background1" w:themeFillShade="F2"/>
          </w:tcPr>
          <w:p w:rsidR="00853A74" w:rsidRPr="00E07B1B" w:rsidRDefault="00853A74" w:rsidP="00A125BF">
            <w:pPr>
              <w:pStyle w:val="TableText"/>
            </w:pPr>
            <w:r w:rsidRPr="00E07B1B">
              <w:t>Canada</w:t>
            </w:r>
          </w:p>
        </w:tc>
        <w:tc>
          <w:tcPr>
            <w:tcW w:w="437" w:type="pct"/>
            <w:tcBorders>
              <w:top w:val="nil"/>
              <w:bottom w:val="nil"/>
            </w:tcBorders>
            <w:shd w:val="clear" w:color="auto" w:fill="F2F2F2" w:themeFill="background1" w:themeFillShade="F2"/>
          </w:tcPr>
          <w:p w:rsidR="00853A74" w:rsidRPr="00E07B1B" w:rsidRDefault="00853A74" w:rsidP="006F54DF">
            <w:pPr>
              <w:pStyle w:val="TableText"/>
              <w:tabs>
                <w:tab w:val="decimal" w:pos="936"/>
              </w:tabs>
            </w:pPr>
            <w:r w:rsidRPr="00E07B1B">
              <w:t>16,817</w:t>
            </w:r>
          </w:p>
        </w:tc>
        <w:tc>
          <w:tcPr>
            <w:tcW w:w="2209" w:type="pct"/>
            <w:tcBorders>
              <w:top w:val="nil"/>
              <w:bottom w:val="nil"/>
            </w:tcBorders>
            <w:shd w:val="clear" w:color="auto" w:fill="F2F2F2" w:themeFill="background1" w:themeFillShade="F2"/>
          </w:tcPr>
          <w:p w:rsidR="00853A74" w:rsidRPr="00E07B1B" w:rsidRDefault="00853A74" w:rsidP="00A125BF">
            <w:pPr>
              <w:pStyle w:val="TableText"/>
            </w:pPr>
            <w:r>
              <w:t>A</w:t>
            </w:r>
            <w:r w:rsidRPr="00E07B1B">
              <w:t>dj HR 1.16 (95%CI 1.01</w:t>
            </w:r>
            <w:r>
              <w:t>–</w:t>
            </w:r>
            <w:r w:rsidRPr="00E07B1B">
              <w:t>1.34</w:t>
            </w:r>
            <w:r>
              <w:t>,</w:t>
            </w:r>
            <w:r w:rsidRPr="00E07B1B">
              <w:t xml:space="preserve"> </w:t>
            </w:r>
            <w:r w:rsidRPr="003D6EF5">
              <w:rPr>
                <w:i/>
              </w:rPr>
              <w:t>p</w:t>
            </w:r>
            <w:r>
              <w:t xml:space="preserve"> </w:t>
            </w:r>
            <w:r w:rsidRPr="00E07B1B">
              <w:t>=</w:t>
            </w:r>
            <w:r>
              <w:t xml:space="preserve"> </w:t>
            </w:r>
            <w:r w:rsidRPr="00E07B1B">
              <w:t>0.03</w:t>
            </w:r>
            <w:r>
              <w:t>)</w:t>
            </w:r>
          </w:p>
        </w:tc>
        <w:tc>
          <w:tcPr>
            <w:tcW w:w="364" w:type="pct"/>
            <w:tcBorders>
              <w:top w:val="nil"/>
              <w:bottom w:val="nil"/>
            </w:tcBorders>
            <w:shd w:val="clear" w:color="auto" w:fill="F2F2F2" w:themeFill="background1" w:themeFillShade="F2"/>
          </w:tcPr>
          <w:p w:rsidR="00853A74" w:rsidRPr="00E07B1B" w:rsidRDefault="00853A74" w:rsidP="006F54DF">
            <w:pPr>
              <w:pStyle w:val="TableText"/>
              <w:jc w:val="center"/>
            </w:pPr>
            <w:r w:rsidRPr="00E07B1B">
              <w:t>MEDIUM</w:t>
            </w:r>
          </w:p>
        </w:tc>
      </w:tr>
      <w:tr w:rsidR="00853A74" w:rsidRPr="00E07B1B" w:rsidTr="006F54DF">
        <w:trPr>
          <w:cantSplit/>
        </w:trPr>
        <w:tc>
          <w:tcPr>
            <w:tcW w:w="923" w:type="pct"/>
            <w:vMerge w:val="restart"/>
            <w:tcBorders>
              <w:top w:val="nil"/>
            </w:tcBorders>
            <w:shd w:val="clear" w:color="auto" w:fill="auto"/>
          </w:tcPr>
          <w:p w:rsidR="00853A74" w:rsidRPr="00E07B1B" w:rsidRDefault="00853A74" w:rsidP="006F54DF">
            <w:pPr>
              <w:pStyle w:val="TableText"/>
            </w:pPr>
            <w:r w:rsidRPr="00E07B1B">
              <w:t>Previous GDM or GDM in index pregnancy</w:t>
            </w:r>
          </w:p>
        </w:tc>
        <w:tc>
          <w:tcPr>
            <w:tcW w:w="731" w:type="pct"/>
            <w:tcBorders>
              <w:top w:val="nil"/>
            </w:tcBorders>
            <w:shd w:val="clear" w:color="auto" w:fill="auto"/>
          </w:tcPr>
          <w:p w:rsidR="00853A74" w:rsidRPr="00E07B1B" w:rsidRDefault="00853A74" w:rsidP="00A125BF">
            <w:pPr>
              <w:pStyle w:val="TableText"/>
            </w:pPr>
            <w:r w:rsidRPr="00E07B1B">
              <w:t xml:space="preserve">Chodick </w:t>
            </w:r>
            <w:r>
              <w:t>(</w:t>
            </w:r>
            <w:r w:rsidRPr="00E07B1B">
              <w:t>2010</w:t>
            </w:r>
            <w:r>
              <w:t>)</w:t>
            </w:r>
          </w:p>
        </w:tc>
        <w:tc>
          <w:tcPr>
            <w:tcW w:w="336" w:type="pct"/>
            <w:tcBorders>
              <w:top w:val="nil"/>
            </w:tcBorders>
            <w:shd w:val="clear" w:color="auto" w:fill="auto"/>
          </w:tcPr>
          <w:p w:rsidR="00853A74" w:rsidRPr="00E07B1B" w:rsidRDefault="00853A74" w:rsidP="00A125BF">
            <w:pPr>
              <w:pStyle w:val="TableText"/>
            </w:pPr>
            <w:r w:rsidRPr="00E07B1B">
              <w:t>Israel</w:t>
            </w:r>
          </w:p>
        </w:tc>
        <w:tc>
          <w:tcPr>
            <w:tcW w:w="437" w:type="pct"/>
            <w:tcBorders>
              <w:top w:val="nil"/>
            </w:tcBorders>
            <w:shd w:val="clear" w:color="auto" w:fill="auto"/>
          </w:tcPr>
          <w:p w:rsidR="00853A74" w:rsidRPr="00E07B1B" w:rsidRDefault="00853A74" w:rsidP="006F54DF">
            <w:pPr>
              <w:pStyle w:val="TableText"/>
              <w:tabs>
                <w:tab w:val="decimal" w:pos="936"/>
              </w:tabs>
            </w:pPr>
            <w:r w:rsidRPr="00E07B1B">
              <w:t>185,416</w:t>
            </w:r>
          </w:p>
        </w:tc>
        <w:tc>
          <w:tcPr>
            <w:tcW w:w="2209" w:type="pct"/>
            <w:tcBorders>
              <w:top w:val="nil"/>
            </w:tcBorders>
            <w:shd w:val="clear" w:color="auto" w:fill="auto"/>
          </w:tcPr>
          <w:p w:rsidR="00853A74" w:rsidRPr="00E07B1B" w:rsidRDefault="00853A74" w:rsidP="00A125BF">
            <w:pPr>
              <w:pStyle w:val="TableText"/>
            </w:pPr>
            <w:r>
              <w:t>A</w:t>
            </w:r>
            <w:r w:rsidRPr="00E07B1B">
              <w:t>dj HR 7.70 (95</w:t>
            </w:r>
            <w:r>
              <w:t>%</w:t>
            </w:r>
            <w:r w:rsidRPr="00E07B1B">
              <w:t>CI 7.05</w:t>
            </w:r>
            <w:r>
              <w:t>–</w:t>
            </w:r>
            <w:r w:rsidRPr="00E07B1B">
              <w:t xml:space="preserve">8.41, </w:t>
            </w:r>
            <w:r w:rsidRPr="003D6EF5">
              <w:rPr>
                <w:i/>
              </w:rPr>
              <w:t>p</w:t>
            </w:r>
            <w:r>
              <w:t xml:space="preserve"> </w:t>
            </w:r>
            <w:r w:rsidRPr="00E07B1B">
              <w:t>&lt;</w:t>
            </w:r>
            <w:r>
              <w:t xml:space="preserve"> </w:t>
            </w:r>
            <w:r w:rsidRPr="00E07B1B">
              <w:t>0.001)</w:t>
            </w:r>
          </w:p>
        </w:tc>
        <w:tc>
          <w:tcPr>
            <w:tcW w:w="364" w:type="pct"/>
            <w:tcBorders>
              <w:top w:val="nil"/>
            </w:tcBorders>
            <w:shd w:val="clear" w:color="auto" w:fill="auto"/>
          </w:tcPr>
          <w:p w:rsidR="00853A74" w:rsidRPr="00E07B1B" w:rsidRDefault="00853A74" w:rsidP="006F54DF">
            <w:pPr>
              <w:pStyle w:val="TableText"/>
              <w:jc w:val="center"/>
            </w:pPr>
            <w:r w:rsidRPr="00E07B1B">
              <w:t>HIGH</w:t>
            </w:r>
          </w:p>
        </w:tc>
      </w:tr>
      <w:tr w:rsidR="00853A74" w:rsidRPr="00E07B1B" w:rsidTr="00A66CC1">
        <w:trPr>
          <w:cantSplit/>
        </w:trPr>
        <w:tc>
          <w:tcPr>
            <w:tcW w:w="923" w:type="pct"/>
            <w:vMerge/>
            <w:shd w:val="clear" w:color="auto" w:fill="auto"/>
          </w:tcPr>
          <w:p w:rsidR="00853A74" w:rsidRPr="00E07B1B" w:rsidRDefault="00853A74" w:rsidP="00A125BF">
            <w:pPr>
              <w:pStyle w:val="TableText"/>
            </w:pPr>
          </w:p>
        </w:tc>
        <w:tc>
          <w:tcPr>
            <w:tcW w:w="731" w:type="pct"/>
            <w:shd w:val="clear" w:color="auto" w:fill="auto"/>
          </w:tcPr>
          <w:p w:rsidR="00853A74" w:rsidRPr="00E07B1B" w:rsidRDefault="00853A74" w:rsidP="00A125BF">
            <w:pPr>
              <w:pStyle w:val="TableText"/>
            </w:pPr>
            <w:r w:rsidRPr="00E07B1B">
              <w:t xml:space="preserve">Retnakaran </w:t>
            </w:r>
            <w:r>
              <w:t>(</w:t>
            </w:r>
            <w:r w:rsidRPr="00E07B1B">
              <w:t>2010</w:t>
            </w:r>
            <w:r>
              <w:t>)</w:t>
            </w:r>
          </w:p>
        </w:tc>
        <w:tc>
          <w:tcPr>
            <w:tcW w:w="336" w:type="pct"/>
            <w:shd w:val="clear" w:color="auto" w:fill="auto"/>
          </w:tcPr>
          <w:p w:rsidR="00853A74" w:rsidRPr="00E07B1B" w:rsidRDefault="00853A74" w:rsidP="00A125BF">
            <w:pPr>
              <w:pStyle w:val="TableText"/>
            </w:pPr>
            <w:r w:rsidRPr="00E07B1B">
              <w:t>Canada</w:t>
            </w:r>
          </w:p>
        </w:tc>
        <w:tc>
          <w:tcPr>
            <w:tcW w:w="437" w:type="pct"/>
            <w:shd w:val="clear" w:color="auto" w:fill="auto"/>
          </w:tcPr>
          <w:p w:rsidR="00853A74" w:rsidRPr="00E07B1B" w:rsidRDefault="00853A74" w:rsidP="006F54DF">
            <w:pPr>
              <w:pStyle w:val="TableText"/>
              <w:tabs>
                <w:tab w:val="decimal" w:pos="936"/>
              </w:tabs>
            </w:pPr>
            <w:r w:rsidRPr="00E07B1B">
              <w:t>325</w:t>
            </w:r>
          </w:p>
        </w:tc>
        <w:tc>
          <w:tcPr>
            <w:tcW w:w="2209" w:type="pct"/>
            <w:shd w:val="clear" w:color="auto" w:fill="auto"/>
          </w:tcPr>
          <w:p w:rsidR="00853A74" w:rsidRPr="00E07B1B" w:rsidRDefault="00853A74" w:rsidP="00A125BF">
            <w:pPr>
              <w:pStyle w:val="TableText"/>
            </w:pPr>
            <w:r>
              <w:t>A</w:t>
            </w:r>
            <w:r w:rsidRPr="00E07B1B">
              <w:t xml:space="preserve">dj OR 5.99 </w:t>
            </w:r>
            <w:r>
              <w:t>(</w:t>
            </w:r>
            <w:r w:rsidRPr="00E07B1B">
              <w:t>95%CI 1.25</w:t>
            </w:r>
            <w:r>
              <w:t>–</w:t>
            </w:r>
            <w:r w:rsidRPr="00E07B1B">
              <w:t xml:space="preserve">28.64, </w:t>
            </w:r>
            <w:r w:rsidRPr="003D6EF5">
              <w:rPr>
                <w:i/>
              </w:rPr>
              <w:t>p</w:t>
            </w:r>
            <w:r>
              <w:t xml:space="preserve"> </w:t>
            </w:r>
            <w:r w:rsidRPr="00E07B1B">
              <w:t>=</w:t>
            </w:r>
            <w:r>
              <w:t xml:space="preserve"> </w:t>
            </w:r>
            <w:r w:rsidRPr="00E07B1B">
              <w:t>0.03</w:t>
            </w:r>
            <w:r>
              <w:t>)</w:t>
            </w:r>
          </w:p>
        </w:tc>
        <w:tc>
          <w:tcPr>
            <w:tcW w:w="364" w:type="pct"/>
            <w:shd w:val="clear" w:color="auto" w:fill="auto"/>
          </w:tcPr>
          <w:p w:rsidR="00853A74" w:rsidRPr="00E07B1B" w:rsidRDefault="00853A74" w:rsidP="006F54DF">
            <w:pPr>
              <w:pStyle w:val="TableText"/>
              <w:jc w:val="center"/>
            </w:pPr>
            <w:r w:rsidRPr="00E07B1B">
              <w:t>MEDIUM</w:t>
            </w:r>
          </w:p>
        </w:tc>
      </w:tr>
      <w:tr w:rsidR="00853A74" w:rsidRPr="00E07B1B" w:rsidTr="00A66CC1">
        <w:trPr>
          <w:cantSplit/>
        </w:trPr>
        <w:tc>
          <w:tcPr>
            <w:tcW w:w="923" w:type="pct"/>
            <w:vMerge/>
            <w:shd w:val="clear" w:color="auto" w:fill="auto"/>
          </w:tcPr>
          <w:p w:rsidR="00853A74" w:rsidRPr="00E07B1B" w:rsidRDefault="00853A74" w:rsidP="00A125BF">
            <w:pPr>
              <w:pStyle w:val="TableText"/>
            </w:pPr>
          </w:p>
        </w:tc>
        <w:tc>
          <w:tcPr>
            <w:tcW w:w="731" w:type="pct"/>
            <w:shd w:val="clear" w:color="auto" w:fill="auto"/>
          </w:tcPr>
          <w:p w:rsidR="00853A74" w:rsidRPr="00E07B1B" w:rsidRDefault="00853A74" w:rsidP="00A125BF">
            <w:pPr>
              <w:pStyle w:val="TableText"/>
            </w:pPr>
            <w:r w:rsidRPr="00E07B1B">
              <w:t>Pirkola</w:t>
            </w:r>
            <w:r>
              <w:t xml:space="preserve"> (</w:t>
            </w:r>
            <w:r w:rsidRPr="00E07B1B">
              <w:t>2010</w:t>
            </w:r>
            <w:r>
              <w:t>)</w:t>
            </w:r>
          </w:p>
        </w:tc>
        <w:tc>
          <w:tcPr>
            <w:tcW w:w="336" w:type="pct"/>
            <w:shd w:val="clear" w:color="auto" w:fill="auto"/>
          </w:tcPr>
          <w:p w:rsidR="00853A74" w:rsidRPr="00E07B1B" w:rsidRDefault="00853A74" w:rsidP="006F54DF">
            <w:pPr>
              <w:pStyle w:val="TableText"/>
            </w:pPr>
            <w:r w:rsidRPr="00E07B1B">
              <w:t>Finland</w:t>
            </w:r>
          </w:p>
        </w:tc>
        <w:tc>
          <w:tcPr>
            <w:tcW w:w="437" w:type="pct"/>
            <w:shd w:val="clear" w:color="auto" w:fill="auto"/>
          </w:tcPr>
          <w:p w:rsidR="00853A74" w:rsidRPr="00E07B1B" w:rsidRDefault="00853A74" w:rsidP="006F54DF">
            <w:pPr>
              <w:pStyle w:val="TableText"/>
              <w:tabs>
                <w:tab w:val="decimal" w:pos="936"/>
              </w:tabs>
            </w:pPr>
            <w:r w:rsidRPr="00E07B1B">
              <w:t>6483</w:t>
            </w:r>
          </w:p>
        </w:tc>
        <w:tc>
          <w:tcPr>
            <w:tcW w:w="2209" w:type="pct"/>
            <w:shd w:val="clear" w:color="auto" w:fill="auto"/>
          </w:tcPr>
          <w:p w:rsidR="00853A74" w:rsidRPr="00E07B1B" w:rsidRDefault="00853A74" w:rsidP="00A125BF">
            <w:pPr>
              <w:pStyle w:val="TableText"/>
            </w:pPr>
            <w:r w:rsidRPr="00E07B1B">
              <w:t xml:space="preserve">HR 10.61 </w:t>
            </w:r>
            <w:r>
              <w:t>(</w:t>
            </w:r>
            <w:r w:rsidRPr="00E07B1B">
              <w:t>95%CI 4.17</w:t>
            </w:r>
            <w:r>
              <w:t>–</w:t>
            </w:r>
            <w:r w:rsidRPr="00E07B1B">
              <w:t xml:space="preserve">27.0, </w:t>
            </w:r>
            <w:r w:rsidRPr="003D6EF5">
              <w:rPr>
                <w:i/>
              </w:rPr>
              <w:t>p</w:t>
            </w:r>
            <w:r>
              <w:t xml:space="preserve"> </w:t>
            </w:r>
            <w:r w:rsidRPr="00E07B1B">
              <w:t>&lt;</w:t>
            </w:r>
            <w:r>
              <w:t xml:space="preserve"> </w:t>
            </w:r>
            <w:r w:rsidRPr="00E07B1B">
              <w:t>0.001</w:t>
            </w:r>
            <w:r>
              <w:t>)</w:t>
            </w:r>
            <w:r w:rsidRPr="00E07B1B">
              <w:t xml:space="preserve"> (normal pre-pregnancy weight)</w:t>
            </w:r>
          </w:p>
          <w:p w:rsidR="00853A74" w:rsidRPr="00E07B1B" w:rsidRDefault="00853A74" w:rsidP="006F54DF">
            <w:pPr>
              <w:pStyle w:val="TableText"/>
            </w:pPr>
            <w:r w:rsidRPr="00E07B1B">
              <w:t xml:space="preserve">HR 47.24 </w:t>
            </w:r>
            <w:r>
              <w:t>(</w:t>
            </w:r>
            <w:r w:rsidRPr="00E07B1B">
              <w:t>95%CI 25.53</w:t>
            </w:r>
            <w:r>
              <w:t>–</w:t>
            </w:r>
            <w:r w:rsidRPr="00E07B1B">
              <w:t xml:space="preserve">87.40, </w:t>
            </w:r>
            <w:r w:rsidRPr="003D6EF5">
              <w:rPr>
                <w:i/>
              </w:rPr>
              <w:t>p</w:t>
            </w:r>
            <w:r>
              <w:t xml:space="preserve"> </w:t>
            </w:r>
            <w:r w:rsidRPr="00E07B1B">
              <w:t>&lt;</w:t>
            </w:r>
            <w:r>
              <w:t xml:space="preserve"> </w:t>
            </w:r>
            <w:r w:rsidRPr="00E07B1B">
              <w:t>0.001</w:t>
            </w:r>
            <w:r>
              <w:t>)</w:t>
            </w:r>
            <w:r w:rsidRPr="00E07B1B">
              <w:t xml:space="preserve"> (pre-pregnancy weight &gt;</w:t>
            </w:r>
            <w:r w:rsidR="006F54DF">
              <w:t> </w:t>
            </w:r>
            <w:r w:rsidRPr="00E07B1B">
              <w:t>25</w:t>
            </w:r>
            <w:r w:rsidR="006F54DF">
              <w:t> </w:t>
            </w:r>
            <w:r w:rsidRPr="00E07B1B">
              <w:t>kg/m</w:t>
            </w:r>
            <w:r w:rsidRPr="00E07B1B">
              <w:rPr>
                <w:vertAlign w:val="superscript"/>
              </w:rPr>
              <w:t>2</w:t>
            </w:r>
            <w:r w:rsidRPr="00E07B1B">
              <w:t>)</w:t>
            </w:r>
          </w:p>
        </w:tc>
        <w:tc>
          <w:tcPr>
            <w:tcW w:w="364" w:type="pct"/>
            <w:shd w:val="clear" w:color="auto" w:fill="auto"/>
          </w:tcPr>
          <w:p w:rsidR="00853A74" w:rsidRPr="00E07B1B" w:rsidRDefault="00853A74" w:rsidP="006F54DF">
            <w:pPr>
              <w:pStyle w:val="TableText"/>
              <w:jc w:val="center"/>
            </w:pPr>
            <w:r w:rsidRPr="00E07B1B">
              <w:t>MEDIUM</w:t>
            </w:r>
          </w:p>
          <w:p w:rsidR="00853A74" w:rsidRPr="00E07B1B" w:rsidRDefault="00853A74" w:rsidP="006F54DF">
            <w:pPr>
              <w:pStyle w:val="TableText"/>
              <w:jc w:val="center"/>
            </w:pPr>
            <w:r w:rsidRPr="00E07B1B">
              <w:t>MEDIUM</w:t>
            </w:r>
          </w:p>
        </w:tc>
      </w:tr>
      <w:tr w:rsidR="00853A74" w:rsidRPr="00E07B1B" w:rsidTr="006F54DF">
        <w:trPr>
          <w:cantSplit/>
        </w:trPr>
        <w:tc>
          <w:tcPr>
            <w:tcW w:w="923" w:type="pct"/>
            <w:vMerge/>
            <w:tcBorders>
              <w:bottom w:val="single" w:sz="4" w:space="0" w:color="A6A6A6" w:themeColor="background1" w:themeShade="A6"/>
            </w:tcBorders>
            <w:shd w:val="clear" w:color="auto" w:fill="auto"/>
          </w:tcPr>
          <w:p w:rsidR="00853A74" w:rsidRPr="00E07B1B" w:rsidRDefault="00853A74" w:rsidP="00A125BF">
            <w:pPr>
              <w:pStyle w:val="TableText"/>
            </w:pPr>
          </w:p>
        </w:tc>
        <w:tc>
          <w:tcPr>
            <w:tcW w:w="731" w:type="pct"/>
            <w:tcBorders>
              <w:bottom w:val="single" w:sz="4" w:space="0" w:color="A6A6A6" w:themeColor="background1" w:themeShade="A6"/>
            </w:tcBorders>
            <w:shd w:val="clear" w:color="auto" w:fill="auto"/>
          </w:tcPr>
          <w:p w:rsidR="00853A74" w:rsidRPr="00E07B1B" w:rsidRDefault="00853A74" w:rsidP="00A125BF">
            <w:pPr>
              <w:pStyle w:val="TableText"/>
            </w:pPr>
            <w:r w:rsidRPr="00E07B1B">
              <w:t xml:space="preserve">Girgis </w:t>
            </w:r>
            <w:r>
              <w:t>(</w:t>
            </w:r>
            <w:r w:rsidRPr="00E07B1B">
              <w:t>2012</w:t>
            </w:r>
            <w:r>
              <w:t>)</w:t>
            </w:r>
            <w:r w:rsidRPr="00E07B1B">
              <w:t>*</w:t>
            </w:r>
          </w:p>
        </w:tc>
        <w:tc>
          <w:tcPr>
            <w:tcW w:w="336" w:type="pct"/>
            <w:tcBorders>
              <w:bottom w:val="single" w:sz="4" w:space="0" w:color="A6A6A6" w:themeColor="background1" w:themeShade="A6"/>
            </w:tcBorders>
            <w:shd w:val="clear" w:color="auto" w:fill="auto"/>
          </w:tcPr>
          <w:p w:rsidR="00853A74" w:rsidRPr="00E07B1B" w:rsidRDefault="00853A74" w:rsidP="00A125BF">
            <w:pPr>
              <w:pStyle w:val="TableText"/>
            </w:pPr>
            <w:r w:rsidRPr="00E07B1B">
              <w:t>Australia</w:t>
            </w:r>
          </w:p>
        </w:tc>
        <w:tc>
          <w:tcPr>
            <w:tcW w:w="437" w:type="pct"/>
            <w:tcBorders>
              <w:bottom w:val="single" w:sz="4" w:space="0" w:color="A6A6A6" w:themeColor="background1" w:themeShade="A6"/>
            </w:tcBorders>
            <w:shd w:val="clear" w:color="auto" w:fill="auto"/>
          </w:tcPr>
          <w:p w:rsidR="00853A74" w:rsidRPr="00E07B1B" w:rsidRDefault="00853A74" w:rsidP="006F54DF">
            <w:pPr>
              <w:pStyle w:val="TableText"/>
              <w:tabs>
                <w:tab w:val="decimal" w:pos="936"/>
              </w:tabs>
            </w:pPr>
            <w:r w:rsidRPr="00E07B1B">
              <w:t>101</w:t>
            </w:r>
          </w:p>
        </w:tc>
        <w:tc>
          <w:tcPr>
            <w:tcW w:w="2209" w:type="pct"/>
            <w:tcBorders>
              <w:bottom w:val="single" w:sz="4" w:space="0" w:color="A6A6A6" w:themeColor="background1" w:themeShade="A6"/>
            </w:tcBorders>
            <w:shd w:val="clear" w:color="auto" w:fill="auto"/>
          </w:tcPr>
          <w:p w:rsidR="00853A74" w:rsidRPr="00E07B1B" w:rsidRDefault="00853A74" w:rsidP="006F54DF">
            <w:pPr>
              <w:pStyle w:val="TableText"/>
            </w:pPr>
            <w:r w:rsidRPr="00E07B1B">
              <w:t>Abnormal versus normal glucose tolerance OR 2.2 (95%CI 1.0</w:t>
            </w:r>
            <w:r>
              <w:t>–</w:t>
            </w:r>
            <w:r w:rsidRPr="00E07B1B">
              <w:t xml:space="preserve">4.8, </w:t>
            </w:r>
            <w:r w:rsidRPr="003D6EF5">
              <w:rPr>
                <w:i/>
              </w:rPr>
              <w:t>p</w:t>
            </w:r>
            <w:r w:rsidR="006F54DF">
              <w:rPr>
                <w:i/>
              </w:rPr>
              <w:t> </w:t>
            </w:r>
            <w:r w:rsidRPr="00E07B1B">
              <w:t>=</w:t>
            </w:r>
            <w:r w:rsidR="006F54DF">
              <w:t> </w:t>
            </w:r>
            <w:r w:rsidRPr="00E07B1B">
              <w:t>0.04)</w:t>
            </w:r>
          </w:p>
        </w:tc>
        <w:tc>
          <w:tcPr>
            <w:tcW w:w="364" w:type="pct"/>
            <w:tcBorders>
              <w:bottom w:val="single" w:sz="4" w:space="0" w:color="A6A6A6" w:themeColor="background1" w:themeShade="A6"/>
            </w:tcBorders>
            <w:shd w:val="clear" w:color="auto" w:fill="auto"/>
          </w:tcPr>
          <w:p w:rsidR="00853A74" w:rsidRPr="00E07B1B" w:rsidRDefault="00853A74" w:rsidP="006F54DF">
            <w:pPr>
              <w:pStyle w:val="TableText"/>
              <w:jc w:val="center"/>
            </w:pPr>
            <w:r w:rsidRPr="00E07B1B">
              <w:t>LOW</w:t>
            </w:r>
          </w:p>
        </w:tc>
      </w:tr>
      <w:tr w:rsidR="00853A74" w:rsidRPr="006F54DF" w:rsidTr="006F54DF">
        <w:trPr>
          <w:cantSplit/>
        </w:trPr>
        <w:tc>
          <w:tcPr>
            <w:tcW w:w="5000" w:type="pct"/>
            <w:gridSpan w:val="6"/>
            <w:tcBorders>
              <w:top w:val="single" w:sz="4" w:space="0" w:color="A6A6A6" w:themeColor="background1" w:themeShade="A6"/>
              <w:bottom w:val="nil"/>
            </w:tcBorders>
            <w:shd w:val="clear" w:color="auto" w:fill="F2F2F2" w:themeFill="background1" w:themeFillShade="F2"/>
          </w:tcPr>
          <w:p w:rsidR="00853A74" w:rsidRPr="006F54DF" w:rsidRDefault="00853A74" w:rsidP="00A125BF">
            <w:pPr>
              <w:pStyle w:val="TableText"/>
              <w:rPr>
                <w:b/>
              </w:rPr>
            </w:pPr>
            <w:r w:rsidRPr="006F54DF">
              <w:rPr>
                <w:b/>
              </w:rPr>
              <w:t>Other factors</w:t>
            </w:r>
          </w:p>
        </w:tc>
      </w:tr>
      <w:tr w:rsidR="00853A74" w:rsidRPr="00E07B1B" w:rsidTr="006F54DF">
        <w:trPr>
          <w:cantSplit/>
        </w:trPr>
        <w:tc>
          <w:tcPr>
            <w:tcW w:w="923" w:type="pct"/>
            <w:tcBorders>
              <w:top w:val="nil"/>
              <w:bottom w:val="nil"/>
            </w:tcBorders>
            <w:shd w:val="clear" w:color="auto" w:fill="auto"/>
          </w:tcPr>
          <w:p w:rsidR="00853A74" w:rsidRPr="00E07B1B" w:rsidRDefault="00853A74" w:rsidP="00A125BF">
            <w:pPr>
              <w:pStyle w:val="TableText"/>
            </w:pPr>
            <w:r w:rsidRPr="00E07B1B">
              <w:t>Postpartum energy intake as a percentage of estimated energy requirement</w:t>
            </w:r>
          </w:p>
        </w:tc>
        <w:tc>
          <w:tcPr>
            <w:tcW w:w="731" w:type="pct"/>
            <w:tcBorders>
              <w:top w:val="nil"/>
              <w:bottom w:val="nil"/>
            </w:tcBorders>
            <w:shd w:val="clear" w:color="auto" w:fill="auto"/>
          </w:tcPr>
          <w:p w:rsidR="00853A74" w:rsidRPr="00E07B1B" w:rsidRDefault="00853A74" w:rsidP="00A125BF">
            <w:pPr>
              <w:pStyle w:val="TableText"/>
            </w:pPr>
            <w:r w:rsidRPr="00E07B1B">
              <w:t xml:space="preserve">Kim </w:t>
            </w:r>
            <w:r>
              <w:t>(</w:t>
            </w:r>
            <w:r w:rsidRPr="00E07B1B">
              <w:t>2011</w:t>
            </w:r>
            <w:r>
              <w:t>)</w:t>
            </w:r>
          </w:p>
        </w:tc>
        <w:tc>
          <w:tcPr>
            <w:tcW w:w="336" w:type="pct"/>
            <w:tcBorders>
              <w:top w:val="nil"/>
              <w:bottom w:val="nil"/>
            </w:tcBorders>
            <w:shd w:val="clear" w:color="auto" w:fill="auto"/>
          </w:tcPr>
          <w:p w:rsidR="00853A74" w:rsidRPr="00E07B1B" w:rsidRDefault="00853A74" w:rsidP="00A125BF">
            <w:pPr>
              <w:pStyle w:val="TableText"/>
            </w:pPr>
            <w:r w:rsidRPr="00E07B1B">
              <w:t>Korea</w:t>
            </w:r>
          </w:p>
        </w:tc>
        <w:tc>
          <w:tcPr>
            <w:tcW w:w="437" w:type="pct"/>
            <w:tcBorders>
              <w:top w:val="nil"/>
              <w:bottom w:val="nil"/>
            </w:tcBorders>
            <w:shd w:val="clear" w:color="auto" w:fill="auto"/>
          </w:tcPr>
          <w:p w:rsidR="00853A74" w:rsidRPr="00E07B1B" w:rsidRDefault="00853A74" w:rsidP="006F54DF">
            <w:pPr>
              <w:pStyle w:val="TableText"/>
              <w:tabs>
                <w:tab w:val="decimal" w:pos="936"/>
              </w:tabs>
            </w:pPr>
            <w:r w:rsidRPr="00E07B1B">
              <w:t>882</w:t>
            </w:r>
          </w:p>
        </w:tc>
        <w:tc>
          <w:tcPr>
            <w:tcW w:w="2209" w:type="pct"/>
            <w:tcBorders>
              <w:top w:val="nil"/>
              <w:bottom w:val="nil"/>
            </w:tcBorders>
            <w:shd w:val="clear" w:color="auto" w:fill="auto"/>
          </w:tcPr>
          <w:p w:rsidR="00853A74" w:rsidRPr="00E07B1B" w:rsidRDefault="00853A74" w:rsidP="00A125BF">
            <w:pPr>
              <w:pStyle w:val="TableText"/>
            </w:pPr>
            <w:r w:rsidRPr="003D6EF5">
              <w:rPr>
                <w:i/>
              </w:rPr>
              <w:t>β</w:t>
            </w:r>
            <w:r>
              <w:t xml:space="preserve"> </w:t>
            </w:r>
            <w:r w:rsidRPr="00E07B1B">
              <w:t>=</w:t>
            </w:r>
            <w:r>
              <w:t xml:space="preserve"> </w:t>
            </w:r>
            <w:r w:rsidRPr="00E07B1B">
              <w:t xml:space="preserve">0.009, </w:t>
            </w:r>
            <w:r w:rsidRPr="003D6EF5">
              <w:rPr>
                <w:i/>
              </w:rPr>
              <w:t>p</w:t>
            </w:r>
            <w:r>
              <w:t xml:space="preserve"> </w:t>
            </w:r>
            <w:r w:rsidRPr="00E07B1B">
              <w:t>=</w:t>
            </w:r>
            <w:r>
              <w:t xml:space="preserve"> </w:t>
            </w:r>
            <w:r w:rsidRPr="00E07B1B">
              <w:t>0.05</w:t>
            </w:r>
          </w:p>
        </w:tc>
        <w:tc>
          <w:tcPr>
            <w:tcW w:w="364" w:type="pct"/>
            <w:tcBorders>
              <w:top w:val="nil"/>
              <w:bottom w:val="nil"/>
            </w:tcBorders>
            <w:shd w:val="clear" w:color="auto" w:fill="auto"/>
          </w:tcPr>
          <w:p w:rsidR="00853A74" w:rsidRPr="00E07B1B" w:rsidRDefault="00853A74" w:rsidP="006F54DF">
            <w:pPr>
              <w:pStyle w:val="TableText"/>
              <w:jc w:val="center"/>
            </w:pPr>
            <w:r w:rsidRPr="00E07B1B">
              <w:t>LOW</w:t>
            </w:r>
          </w:p>
        </w:tc>
      </w:tr>
      <w:tr w:rsidR="00853A74" w:rsidRPr="00E07B1B" w:rsidTr="006F54DF">
        <w:trPr>
          <w:cantSplit/>
        </w:trPr>
        <w:tc>
          <w:tcPr>
            <w:tcW w:w="923" w:type="pct"/>
            <w:tcBorders>
              <w:top w:val="nil"/>
              <w:bottom w:val="nil"/>
            </w:tcBorders>
            <w:shd w:val="clear" w:color="auto" w:fill="F2F2F2" w:themeFill="background1" w:themeFillShade="F2"/>
          </w:tcPr>
          <w:p w:rsidR="00853A74" w:rsidRPr="00E07B1B" w:rsidRDefault="00853A74" w:rsidP="00A125BF">
            <w:pPr>
              <w:pStyle w:val="TableText"/>
            </w:pPr>
            <w:r w:rsidRPr="00E07B1B">
              <w:t>Breastfeeding</w:t>
            </w: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Kim </w:t>
            </w:r>
            <w:r>
              <w:t>(</w:t>
            </w:r>
            <w:r w:rsidRPr="00E07B1B">
              <w:t>2011</w:t>
            </w:r>
            <w:r>
              <w:t>)</w:t>
            </w:r>
          </w:p>
        </w:tc>
        <w:tc>
          <w:tcPr>
            <w:tcW w:w="336" w:type="pct"/>
            <w:tcBorders>
              <w:top w:val="nil"/>
              <w:bottom w:val="nil"/>
            </w:tcBorders>
            <w:shd w:val="clear" w:color="auto" w:fill="F2F2F2" w:themeFill="background1" w:themeFillShade="F2"/>
          </w:tcPr>
          <w:p w:rsidR="00853A74" w:rsidRPr="00E07B1B" w:rsidRDefault="00853A74" w:rsidP="00A125BF">
            <w:pPr>
              <w:pStyle w:val="TableText"/>
            </w:pPr>
            <w:r w:rsidRPr="00E07B1B">
              <w:t>Korea</w:t>
            </w:r>
          </w:p>
        </w:tc>
        <w:tc>
          <w:tcPr>
            <w:tcW w:w="437" w:type="pct"/>
            <w:tcBorders>
              <w:top w:val="nil"/>
              <w:bottom w:val="nil"/>
            </w:tcBorders>
            <w:shd w:val="clear" w:color="auto" w:fill="F2F2F2" w:themeFill="background1" w:themeFillShade="F2"/>
          </w:tcPr>
          <w:p w:rsidR="00853A74" w:rsidRPr="00E07B1B" w:rsidRDefault="00853A74" w:rsidP="006F54DF">
            <w:pPr>
              <w:pStyle w:val="TableText"/>
              <w:tabs>
                <w:tab w:val="decimal" w:pos="936"/>
              </w:tabs>
            </w:pPr>
            <w:r w:rsidRPr="00E07B1B">
              <w:t>882</w:t>
            </w:r>
          </w:p>
        </w:tc>
        <w:tc>
          <w:tcPr>
            <w:tcW w:w="2209" w:type="pct"/>
            <w:tcBorders>
              <w:top w:val="nil"/>
              <w:bottom w:val="nil"/>
            </w:tcBorders>
            <w:shd w:val="clear" w:color="auto" w:fill="F2F2F2" w:themeFill="background1" w:themeFillShade="F2"/>
          </w:tcPr>
          <w:p w:rsidR="00853A74" w:rsidRPr="00E07B1B" w:rsidRDefault="00853A74" w:rsidP="00A125BF">
            <w:pPr>
              <w:pStyle w:val="TableText"/>
            </w:pPr>
            <w:r w:rsidRPr="003D6EF5">
              <w:rPr>
                <w:i/>
              </w:rPr>
              <w:t>β</w:t>
            </w:r>
            <w:r>
              <w:t xml:space="preserve"> </w:t>
            </w:r>
            <w:r w:rsidRPr="00E07B1B">
              <w:t>=</w:t>
            </w:r>
            <w:r>
              <w:t xml:space="preserve"> </w:t>
            </w:r>
            <w:r w:rsidRPr="003D6EF5">
              <w:rPr>
                <w:vertAlign w:val="superscript"/>
              </w:rPr>
              <w:t>–</w:t>
            </w:r>
            <w:r w:rsidRPr="00E07B1B">
              <w:t xml:space="preserve">0.016, </w:t>
            </w:r>
            <w:r w:rsidRPr="003D6EF5">
              <w:rPr>
                <w:i/>
              </w:rPr>
              <w:t>p</w:t>
            </w:r>
            <w:r>
              <w:t xml:space="preserve"> </w:t>
            </w:r>
            <w:r w:rsidRPr="00E07B1B">
              <w:t>=</w:t>
            </w:r>
            <w:r>
              <w:t xml:space="preserve"> </w:t>
            </w:r>
            <w:r w:rsidRPr="00E07B1B">
              <w:t>0.25</w:t>
            </w:r>
          </w:p>
        </w:tc>
        <w:tc>
          <w:tcPr>
            <w:tcW w:w="364" w:type="pct"/>
            <w:tcBorders>
              <w:top w:val="nil"/>
              <w:bottom w:val="nil"/>
            </w:tcBorders>
            <w:shd w:val="clear" w:color="auto" w:fill="F2F2F2" w:themeFill="background1" w:themeFillShade="F2"/>
          </w:tcPr>
          <w:p w:rsidR="00853A74" w:rsidRPr="00E07B1B" w:rsidRDefault="00853A74" w:rsidP="006F54DF">
            <w:pPr>
              <w:pStyle w:val="TableText"/>
              <w:jc w:val="center"/>
            </w:pPr>
            <w:r w:rsidRPr="00E07B1B">
              <w:t>LOW</w:t>
            </w:r>
          </w:p>
        </w:tc>
      </w:tr>
      <w:tr w:rsidR="00853A74" w:rsidRPr="00E07B1B" w:rsidTr="006F54DF">
        <w:trPr>
          <w:cantSplit/>
        </w:trPr>
        <w:tc>
          <w:tcPr>
            <w:tcW w:w="923" w:type="pct"/>
            <w:tcBorders>
              <w:top w:val="nil"/>
              <w:bottom w:val="nil"/>
            </w:tcBorders>
            <w:shd w:val="clear" w:color="auto" w:fill="auto"/>
          </w:tcPr>
          <w:p w:rsidR="00853A74" w:rsidRPr="00E07B1B" w:rsidRDefault="00853A74" w:rsidP="006F54DF">
            <w:pPr>
              <w:pStyle w:val="TableText"/>
            </w:pPr>
            <w:r w:rsidRPr="00E07B1B">
              <w:t>Ethnicity</w:t>
            </w:r>
          </w:p>
        </w:tc>
        <w:tc>
          <w:tcPr>
            <w:tcW w:w="731" w:type="pct"/>
            <w:tcBorders>
              <w:top w:val="nil"/>
              <w:bottom w:val="nil"/>
            </w:tcBorders>
            <w:shd w:val="clear" w:color="auto" w:fill="auto"/>
          </w:tcPr>
          <w:p w:rsidR="00853A74" w:rsidRPr="00E07B1B" w:rsidRDefault="00853A74" w:rsidP="00A125BF">
            <w:pPr>
              <w:pStyle w:val="TableText"/>
            </w:pPr>
            <w:r w:rsidRPr="00E07B1B">
              <w:t xml:space="preserve">Mukerji </w:t>
            </w:r>
            <w:r>
              <w:t>(</w:t>
            </w:r>
            <w:r w:rsidRPr="00E07B1B">
              <w:t>2012</w:t>
            </w:r>
            <w:r>
              <w:t>)</w:t>
            </w:r>
          </w:p>
        </w:tc>
        <w:tc>
          <w:tcPr>
            <w:tcW w:w="336" w:type="pct"/>
            <w:tcBorders>
              <w:top w:val="nil"/>
              <w:bottom w:val="nil"/>
            </w:tcBorders>
            <w:shd w:val="clear" w:color="auto" w:fill="auto"/>
          </w:tcPr>
          <w:p w:rsidR="00853A74" w:rsidRPr="00E07B1B" w:rsidRDefault="00853A74" w:rsidP="00A125BF">
            <w:pPr>
              <w:pStyle w:val="TableText"/>
            </w:pPr>
            <w:r w:rsidRPr="00E07B1B">
              <w:t>Canada</w:t>
            </w:r>
          </w:p>
        </w:tc>
        <w:tc>
          <w:tcPr>
            <w:tcW w:w="437" w:type="pct"/>
            <w:tcBorders>
              <w:top w:val="nil"/>
              <w:bottom w:val="nil"/>
            </w:tcBorders>
            <w:shd w:val="clear" w:color="auto" w:fill="auto"/>
          </w:tcPr>
          <w:p w:rsidR="00853A74" w:rsidRPr="00E07B1B" w:rsidRDefault="00853A74" w:rsidP="006F54DF">
            <w:pPr>
              <w:pStyle w:val="TableText"/>
              <w:tabs>
                <w:tab w:val="decimal" w:pos="936"/>
              </w:tabs>
            </w:pPr>
            <w:r w:rsidRPr="00E07B1B">
              <w:t>1,050,108</w:t>
            </w:r>
          </w:p>
        </w:tc>
        <w:tc>
          <w:tcPr>
            <w:tcW w:w="2209" w:type="pct"/>
            <w:tcBorders>
              <w:top w:val="nil"/>
              <w:bottom w:val="nil"/>
            </w:tcBorders>
            <w:shd w:val="clear" w:color="auto" w:fill="auto"/>
          </w:tcPr>
          <w:p w:rsidR="00853A74" w:rsidRPr="00E07B1B" w:rsidRDefault="00853A74" w:rsidP="00A125BF">
            <w:pPr>
              <w:pStyle w:val="TableText"/>
            </w:pPr>
            <w:r w:rsidRPr="00E07B1B">
              <w:t>Compared with White women</w:t>
            </w:r>
            <w:r>
              <w:t xml:space="preserve">, </w:t>
            </w:r>
            <w:r w:rsidRPr="00E07B1B">
              <w:t>Chinese women (adj HR 0.6, 95%CI 0.6</w:t>
            </w:r>
            <w:r>
              <w:t>–</w:t>
            </w:r>
            <w:r w:rsidRPr="00E07B1B">
              <w:t>0.7)</w:t>
            </w:r>
            <w:r>
              <w:t xml:space="preserve"> </w:t>
            </w:r>
            <w:r w:rsidRPr="00E07B1B">
              <w:t>and South Asian women (adj HR 1.4, 95%CI 1.3</w:t>
            </w:r>
            <w:r>
              <w:t>–</w:t>
            </w:r>
            <w:r w:rsidRPr="00E07B1B">
              <w:t>1.5)</w:t>
            </w:r>
            <w:r>
              <w:t>.</w:t>
            </w:r>
            <w:r w:rsidRPr="00E07B1B">
              <w:t xml:space="preserve"> Compared </w:t>
            </w:r>
            <w:r>
              <w:t>with</w:t>
            </w:r>
            <w:r w:rsidRPr="00E07B1B">
              <w:t xml:space="preserve"> women without GDM from the same ethnic group</w:t>
            </w:r>
            <w:r>
              <w:t>,</w:t>
            </w:r>
            <w:r w:rsidRPr="00E07B1B">
              <w:t xml:space="preserve"> women with GDM had significantly increased risk of developing diabetes (Chinese adj HR 9.2</w:t>
            </w:r>
            <w:r>
              <w:t xml:space="preserve">, </w:t>
            </w:r>
            <w:r w:rsidRPr="00E07B1B">
              <w:t>95%CI 8.1</w:t>
            </w:r>
            <w:r>
              <w:t>–</w:t>
            </w:r>
            <w:r w:rsidRPr="00E07B1B">
              <w:t>10.3; South Asian adj HR 9.6</w:t>
            </w:r>
            <w:r>
              <w:t xml:space="preserve">, </w:t>
            </w:r>
            <w:r w:rsidRPr="00E07B1B">
              <w:t>95%CI 8.8</w:t>
            </w:r>
            <w:r>
              <w:t>–</w:t>
            </w:r>
            <w:r w:rsidRPr="00E07B1B">
              <w:t>10.5; White adj HR 13.6</w:t>
            </w:r>
            <w:r>
              <w:t>,</w:t>
            </w:r>
            <w:r w:rsidRPr="00E07B1B">
              <w:t xml:space="preserve"> 95%CI 13.2</w:t>
            </w:r>
            <w:r>
              <w:t>–</w:t>
            </w:r>
            <w:r w:rsidRPr="00E07B1B">
              <w:t xml:space="preserve">14.0) </w:t>
            </w:r>
          </w:p>
        </w:tc>
        <w:tc>
          <w:tcPr>
            <w:tcW w:w="364" w:type="pct"/>
            <w:tcBorders>
              <w:top w:val="nil"/>
              <w:bottom w:val="nil"/>
            </w:tcBorders>
            <w:shd w:val="clear" w:color="auto" w:fill="auto"/>
          </w:tcPr>
          <w:p w:rsidR="00853A74" w:rsidRPr="00E07B1B" w:rsidRDefault="00853A74" w:rsidP="006F54DF">
            <w:pPr>
              <w:pStyle w:val="TableText"/>
              <w:jc w:val="center"/>
            </w:pPr>
            <w:r w:rsidRPr="00E07B1B">
              <w:t>MEDIUM</w:t>
            </w:r>
          </w:p>
          <w:p w:rsidR="00853A74" w:rsidRPr="00E07B1B" w:rsidRDefault="00853A74" w:rsidP="006F54DF">
            <w:pPr>
              <w:pStyle w:val="TableText"/>
              <w:jc w:val="center"/>
            </w:pPr>
            <w:r w:rsidRPr="00E07B1B">
              <w:t>HIGH</w:t>
            </w:r>
          </w:p>
        </w:tc>
      </w:tr>
      <w:tr w:rsidR="00853A74" w:rsidRPr="00E07B1B" w:rsidTr="006F54DF">
        <w:trPr>
          <w:cantSplit/>
        </w:trPr>
        <w:tc>
          <w:tcPr>
            <w:tcW w:w="923"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Polycystic </w:t>
            </w:r>
            <w:r>
              <w:t>o</w:t>
            </w:r>
            <w:r w:rsidRPr="00E07B1B">
              <w:t xml:space="preserve">vary </w:t>
            </w:r>
            <w:r>
              <w:t>s</w:t>
            </w:r>
            <w:r w:rsidRPr="00E07B1B">
              <w:t>yndrome</w:t>
            </w:r>
          </w:p>
        </w:tc>
        <w:tc>
          <w:tcPr>
            <w:tcW w:w="731" w:type="pct"/>
            <w:tcBorders>
              <w:top w:val="nil"/>
              <w:bottom w:val="nil"/>
            </w:tcBorders>
            <w:shd w:val="clear" w:color="auto" w:fill="F2F2F2" w:themeFill="background1" w:themeFillShade="F2"/>
          </w:tcPr>
          <w:p w:rsidR="00853A74" w:rsidRPr="00E07B1B" w:rsidRDefault="00853A74" w:rsidP="00A125BF">
            <w:pPr>
              <w:pStyle w:val="TableText"/>
            </w:pPr>
            <w:r w:rsidRPr="00E07B1B">
              <w:t xml:space="preserve">Palomba </w:t>
            </w:r>
            <w:r>
              <w:t>(</w:t>
            </w:r>
            <w:r w:rsidRPr="00E07B1B">
              <w:t>2012</w:t>
            </w:r>
            <w:r>
              <w:t>)</w:t>
            </w:r>
          </w:p>
        </w:tc>
        <w:tc>
          <w:tcPr>
            <w:tcW w:w="336" w:type="pct"/>
            <w:tcBorders>
              <w:top w:val="nil"/>
              <w:bottom w:val="nil"/>
            </w:tcBorders>
            <w:shd w:val="clear" w:color="auto" w:fill="F2F2F2" w:themeFill="background1" w:themeFillShade="F2"/>
          </w:tcPr>
          <w:p w:rsidR="00853A74" w:rsidRPr="00E07B1B" w:rsidRDefault="00853A74" w:rsidP="00A125BF">
            <w:pPr>
              <w:pStyle w:val="TableText"/>
            </w:pPr>
            <w:r w:rsidRPr="00E07B1B">
              <w:t>Italy</w:t>
            </w:r>
          </w:p>
        </w:tc>
        <w:tc>
          <w:tcPr>
            <w:tcW w:w="437" w:type="pct"/>
            <w:tcBorders>
              <w:top w:val="nil"/>
              <w:bottom w:val="nil"/>
            </w:tcBorders>
            <w:shd w:val="clear" w:color="auto" w:fill="F2F2F2" w:themeFill="background1" w:themeFillShade="F2"/>
          </w:tcPr>
          <w:p w:rsidR="00853A74" w:rsidRPr="00E07B1B" w:rsidRDefault="00853A74" w:rsidP="006F54DF">
            <w:pPr>
              <w:pStyle w:val="TableText"/>
              <w:tabs>
                <w:tab w:val="decimal" w:pos="936"/>
              </w:tabs>
            </w:pPr>
            <w:r w:rsidRPr="00E07B1B">
              <w:t>42 cases</w:t>
            </w:r>
          </w:p>
          <w:p w:rsidR="00853A74" w:rsidRPr="00E07B1B" w:rsidRDefault="00853A74" w:rsidP="006F54DF">
            <w:pPr>
              <w:pStyle w:val="TableText"/>
              <w:tabs>
                <w:tab w:val="decimal" w:pos="936"/>
              </w:tabs>
            </w:pPr>
            <w:r w:rsidRPr="00E07B1B">
              <w:t>84 controls</w:t>
            </w:r>
          </w:p>
        </w:tc>
        <w:tc>
          <w:tcPr>
            <w:tcW w:w="2209" w:type="pct"/>
            <w:tcBorders>
              <w:top w:val="nil"/>
              <w:bottom w:val="nil"/>
            </w:tcBorders>
            <w:shd w:val="clear" w:color="auto" w:fill="F2F2F2" w:themeFill="background1" w:themeFillShade="F2"/>
          </w:tcPr>
          <w:p w:rsidR="00853A74" w:rsidRPr="00E07B1B" w:rsidRDefault="00853A74" w:rsidP="00A125BF">
            <w:pPr>
              <w:pStyle w:val="TableText"/>
            </w:pPr>
            <w:r w:rsidRPr="00E07B1B">
              <w:t>Diabetes RR 4.0 (95%CI 0.37</w:t>
            </w:r>
            <w:r>
              <w:t>–</w:t>
            </w:r>
            <w:r w:rsidRPr="00E07B1B">
              <w:t>42.86, NS</w:t>
            </w:r>
            <w:r>
              <w:t>)</w:t>
            </w:r>
          </w:p>
          <w:p w:rsidR="00853A74" w:rsidRPr="00E07B1B" w:rsidRDefault="00853A74" w:rsidP="006F54DF">
            <w:pPr>
              <w:pStyle w:val="TableText"/>
            </w:pPr>
            <w:r w:rsidRPr="00E07B1B">
              <w:t>Glucose metabolism impairment RR 3.45 (95%CI 1.82</w:t>
            </w:r>
            <w:r>
              <w:t>–</w:t>
            </w:r>
            <w:r w:rsidRPr="00E07B1B">
              <w:t xml:space="preserve">6.58, </w:t>
            </w:r>
            <w:r w:rsidRPr="003D6EF5">
              <w:rPr>
                <w:i/>
              </w:rPr>
              <w:t>p</w:t>
            </w:r>
            <w:r w:rsidR="006F54DF">
              <w:rPr>
                <w:i/>
              </w:rPr>
              <w:t> </w:t>
            </w:r>
            <w:r w:rsidRPr="00E07B1B">
              <w:t>=</w:t>
            </w:r>
            <w:r w:rsidR="006F54DF">
              <w:t> </w:t>
            </w:r>
            <w:r w:rsidRPr="00E07B1B">
              <w:t>0.0002</w:t>
            </w:r>
            <w:r>
              <w:t>)</w:t>
            </w:r>
          </w:p>
        </w:tc>
        <w:tc>
          <w:tcPr>
            <w:tcW w:w="364" w:type="pct"/>
            <w:tcBorders>
              <w:top w:val="nil"/>
              <w:bottom w:val="nil"/>
            </w:tcBorders>
            <w:shd w:val="clear" w:color="auto" w:fill="F2F2F2" w:themeFill="background1" w:themeFillShade="F2"/>
          </w:tcPr>
          <w:p w:rsidR="00853A74" w:rsidRPr="00E07B1B" w:rsidRDefault="00853A74" w:rsidP="006F54DF">
            <w:pPr>
              <w:pStyle w:val="TableText"/>
              <w:jc w:val="center"/>
            </w:pPr>
            <w:r w:rsidRPr="00E07B1B">
              <w:t>LOW</w:t>
            </w:r>
          </w:p>
        </w:tc>
      </w:tr>
      <w:tr w:rsidR="00853A74" w:rsidRPr="00E07B1B" w:rsidTr="006F54DF">
        <w:trPr>
          <w:cantSplit/>
        </w:trPr>
        <w:tc>
          <w:tcPr>
            <w:tcW w:w="923" w:type="pct"/>
            <w:tcBorders>
              <w:top w:val="nil"/>
            </w:tcBorders>
            <w:shd w:val="clear" w:color="auto" w:fill="auto"/>
          </w:tcPr>
          <w:p w:rsidR="00853A74" w:rsidRPr="00E07B1B" w:rsidRDefault="00853A74" w:rsidP="00A125BF">
            <w:pPr>
              <w:pStyle w:val="TableText"/>
            </w:pPr>
            <w:r w:rsidRPr="00E07B1B">
              <w:t>Neonatal hypoglycaemia</w:t>
            </w:r>
          </w:p>
        </w:tc>
        <w:tc>
          <w:tcPr>
            <w:tcW w:w="731" w:type="pct"/>
            <w:tcBorders>
              <w:top w:val="nil"/>
            </w:tcBorders>
            <w:shd w:val="clear" w:color="auto" w:fill="auto"/>
          </w:tcPr>
          <w:p w:rsidR="00853A74" w:rsidRPr="00E07B1B" w:rsidRDefault="00853A74" w:rsidP="00A125BF">
            <w:pPr>
              <w:pStyle w:val="TableText"/>
            </w:pPr>
            <w:r w:rsidRPr="00E07B1B">
              <w:t xml:space="preserve">Russell </w:t>
            </w:r>
            <w:r>
              <w:t>(</w:t>
            </w:r>
            <w:r w:rsidRPr="00E07B1B">
              <w:t>2008</w:t>
            </w:r>
            <w:r>
              <w:t>)</w:t>
            </w:r>
          </w:p>
        </w:tc>
        <w:tc>
          <w:tcPr>
            <w:tcW w:w="336" w:type="pct"/>
            <w:tcBorders>
              <w:top w:val="nil"/>
            </w:tcBorders>
            <w:shd w:val="clear" w:color="auto" w:fill="auto"/>
          </w:tcPr>
          <w:p w:rsidR="00853A74" w:rsidRPr="00E07B1B" w:rsidRDefault="00853A74" w:rsidP="00A125BF">
            <w:pPr>
              <w:pStyle w:val="TableText"/>
            </w:pPr>
            <w:r w:rsidRPr="00E07B1B">
              <w:t>Canada</w:t>
            </w:r>
          </w:p>
        </w:tc>
        <w:tc>
          <w:tcPr>
            <w:tcW w:w="437" w:type="pct"/>
            <w:tcBorders>
              <w:top w:val="nil"/>
            </w:tcBorders>
            <w:shd w:val="clear" w:color="auto" w:fill="auto"/>
          </w:tcPr>
          <w:p w:rsidR="00853A74" w:rsidRPr="00E07B1B" w:rsidRDefault="00853A74" w:rsidP="006F54DF">
            <w:pPr>
              <w:pStyle w:val="TableText"/>
              <w:tabs>
                <w:tab w:val="decimal" w:pos="936"/>
              </w:tabs>
            </w:pPr>
            <w:r w:rsidRPr="00E07B1B">
              <w:t>1401</w:t>
            </w:r>
          </w:p>
        </w:tc>
        <w:tc>
          <w:tcPr>
            <w:tcW w:w="2209" w:type="pct"/>
            <w:tcBorders>
              <w:top w:val="nil"/>
            </w:tcBorders>
            <w:shd w:val="clear" w:color="auto" w:fill="auto"/>
          </w:tcPr>
          <w:p w:rsidR="00853A74" w:rsidRPr="00E07B1B" w:rsidRDefault="00853A74" w:rsidP="00A125BF">
            <w:pPr>
              <w:pStyle w:val="TableText"/>
            </w:pPr>
            <w:r>
              <w:t>A</w:t>
            </w:r>
            <w:r w:rsidRPr="00E07B1B">
              <w:t xml:space="preserve">dj RR 2.6 </w:t>
            </w:r>
            <w:r>
              <w:t>(</w:t>
            </w:r>
            <w:r w:rsidRPr="00E07B1B">
              <w:t>95%CI 1.6</w:t>
            </w:r>
            <w:r>
              <w:t>–</w:t>
            </w:r>
            <w:r w:rsidRPr="00E07B1B">
              <w:t>4.2</w:t>
            </w:r>
            <w:r>
              <w:t>)</w:t>
            </w:r>
          </w:p>
        </w:tc>
        <w:tc>
          <w:tcPr>
            <w:tcW w:w="364" w:type="pct"/>
            <w:tcBorders>
              <w:top w:val="nil"/>
            </w:tcBorders>
            <w:shd w:val="clear" w:color="auto" w:fill="auto"/>
          </w:tcPr>
          <w:p w:rsidR="00853A74" w:rsidRPr="00E07B1B" w:rsidRDefault="00853A74" w:rsidP="006F54DF">
            <w:pPr>
              <w:pStyle w:val="TableText"/>
              <w:jc w:val="center"/>
            </w:pPr>
            <w:r w:rsidRPr="00E07B1B">
              <w:t>MEDIUM</w:t>
            </w:r>
          </w:p>
        </w:tc>
      </w:tr>
    </w:tbl>
    <w:p w:rsidR="00853A74" w:rsidRDefault="00853A74" w:rsidP="00A125BF">
      <w:pPr>
        <w:pStyle w:val="Note"/>
        <w:ind w:left="0" w:firstLine="0"/>
      </w:pPr>
      <w:r>
        <w:t>Note: BMI = body mass index; CI = confidence interval; GDM = gestational diabetes mellitus; HR = hazard ratio; NS = not significant; OGTT = oral glucose tolerance test; OR = odds ratio; RR = risk ratio</w:t>
      </w:r>
      <w:r w:rsidR="00A125BF">
        <w:t>.</w:t>
      </w:r>
    </w:p>
    <w:p w:rsidR="00853A74" w:rsidRDefault="00853A74" w:rsidP="00A125BF">
      <w:pPr>
        <w:pStyle w:val="Note"/>
      </w:pPr>
      <w:r w:rsidRPr="00E07B1B">
        <w:t>*</w:t>
      </w:r>
      <w:r w:rsidR="00A125BF">
        <w:tab/>
      </w:r>
      <w:r w:rsidRPr="00E07B1B">
        <w:t xml:space="preserve">Data include </w:t>
      </w:r>
      <w:r>
        <w:t>impaired fasting glucose</w:t>
      </w:r>
      <w:r w:rsidRPr="00E07B1B">
        <w:t xml:space="preserve"> and </w:t>
      </w:r>
      <w:r>
        <w:t xml:space="preserve">impaired glucose tolerance </w:t>
      </w:r>
      <w:r w:rsidRPr="00E07B1B">
        <w:t>as well as type 2 diabetes</w:t>
      </w:r>
      <w:r>
        <w:t xml:space="preserve"> </w:t>
      </w:r>
      <w:r w:rsidRPr="00E07B1B">
        <w:t>adjusted</w:t>
      </w:r>
      <w:r>
        <w:t>.</w:t>
      </w:r>
    </w:p>
    <w:p w:rsidR="00853A74" w:rsidRPr="006F54DF" w:rsidRDefault="00853A74" w:rsidP="00AB6313">
      <w:pPr>
        <w:rPr>
          <w:sz w:val="2"/>
          <w:szCs w:val="2"/>
        </w:rPr>
      </w:pPr>
    </w:p>
    <w:p w:rsidR="00AB6313" w:rsidRDefault="00AB6313" w:rsidP="00C04C3B">
      <w:pPr>
        <w:pStyle w:val="Heading2"/>
        <w:spacing w:before="0" w:after="240"/>
        <w:ind w:left="0" w:firstLine="0"/>
        <w:sectPr w:rsidR="00AB6313" w:rsidSect="00AB6313">
          <w:footerReference w:type="default" r:id="rId77"/>
          <w:pgSz w:w="16834" w:h="11907" w:orient="landscape" w:code="9"/>
          <w:pgMar w:top="1134" w:right="1134" w:bottom="1134" w:left="1134" w:header="284" w:footer="567" w:gutter="0"/>
          <w:cols w:space="720"/>
          <w:docGrid w:linePitch="299"/>
        </w:sectPr>
      </w:pPr>
      <w:bookmarkStart w:id="593" w:name="_Toc363717818"/>
      <w:bookmarkStart w:id="594" w:name="_Toc402873642"/>
      <w:bookmarkStart w:id="595" w:name="_Toc403469703"/>
    </w:p>
    <w:p w:rsidR="0025490C" w:rsidRPr="00E07B1B" w:rsidRDefault="0025490C" w:rsidP="00C04C3B">
      <w:pPr>
        <w:pStyle w:val="Heading2"/>
        <w:spacing w:before="0" w:after="240"/>
        <w:ind w:left="0" w:firstLine="0"/>
      </w:pPr>
      <w:bookmarkStart w:id="596" w:name="_Toc363717851"/>
      <w:bookmarkStart w:id="597" w:name="_Toc402873647"/>
      <w:bookmarkStart w:id="598" w:name="_Toc403469708"/>
      <w:bookmarkEnd w:id="593"/>
      <w:bookmarkEnd w:id="594"/>
      <w:bookmarkEnd w:id="595"/>
      <w:r w:rsidRPr="00E07B1B">
        <w:t>Appendix P</w:t>
      </w:r>
      <w:r>
        <w:t>: Supporting evidence for</w:t>
      </w:r>
      <w:r w:rsidRPr="00E07B1B">
        <w:t xml:space="preserve"> Chapter</w:t>
      </w:r>
      <w:r w:rsidR="00C04C3B">
        <w:t> </w:t>
      </w:r>
      <w:r w:rsidRPr="00E07B1B">
        <w:t>1</w:t>
      </w:r>
      <w:bookmarkEnd w:id="596"/>
      <w:r w:rsidRPr="00E07B1B">
        <w:t>1</w:t>
      </w:r>
      <w:bookmarkEnd w:id="597"/>
      <w:bookmarkEnd w:id="598"/>
    </w:p>
    <w:p w:rsidR="0025490C" w:rsidRPr="00E07B1B" w:rsidRDefault="0025490C" w:rsidP="001D5E29">
      <w:pPr>
        <w:pStyle w:val="Table"/>
      </w:pPr>
      <w:bookmarkStart w:id="599" w:name="_Toc363717852"/>
      <w:bookmarkStart w:id="600" w:name="_Toc403635929"/>
      <w:r w:rsidRPr="00E07B1B">
        <w:t>Table 48</w:t>
      </w:r>
      <w:r w:rsidR="001D5E29">
        <w:t>:</w:t>
      </w:r>
      <w:r w:rsidRPr="00E07B1B">
        <w:t xml:space="preserve"> Effect of Diabetes Prevention Program</w:t>
      </w:r>
      <w:r w:rsidR="001D5E29">
        <w:t>me</w:t>
      </w:r>
      <w:r w:rsidRPr="00E07B1B">
        <w:t xml:space="preserve"> treatment on incidence of </w:t>
      </w:r>
      <w:r>
        <w:t xml:space="preserve">gestational </w:t>
      </w:r>
      <w:r w:rsidRPr="00E07B1B">
        <w:t>diabetes</w:t>
      </w:r>
      <w:bookmarkEnd w:id="599"/>
      <w:bookmarkEnd w:id="600"/>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13"/>
        <w:gridCol w:w="778"/>
        <w:gridCol w:w="780"/>
        <w:gridCol w:w="849"/>
        <w:gridCol w:w="851"/>
        <w:gridCol w:w="992"/>
        <w:gridCol w:w="992"/>
      </w:tblGrid>
      <w:tr w:rsidR="00104928" w:rsidRPr="00AB5026" w:rsidTr="00E90740">
        <w:trPr>
          <w:cantSplit/>
          <w:tblHeader/>
        </w:trPr>
        <w:tc>
          <w:tcPr>
            <w:tcW w:w="2198" w:type="pct"/>
            <w:vMerge w:val="restart"/>
            <w:tcBorders>
              <w:left w:val="nil"/>
              <w:bottom w:val="nil"/>
              <w:right w:val="single" w:sz="4" w:space="0" w:color="A6A6A6" w:themeColor="background1" w:themeShade="A6"/>
            </w:tcBorders>
            <w:shd w:val="clear" w:color="auto" w:fill="auto"/>
          </w:tcPr>
          <w:p w:rsidR="0025490C" w:rsidRPr="00AB5026" w:rsidRDefault="0025490C" w:rsidP="001D5E29">
            <w:pPr>
              <w:pStyle w:val="TableText"/>
            </w:pPr>
          </w:p>
        </w:tc>
        <w:tc>
          <w:tcPr>
            <w:tcW w:w="833"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5490C" w:rsidRPr="00104928" w:rsidRDefault="0025490C" w:rsidP="00104928">
            <w:pPr>
              <w:pStyle w:val="TableText"/>
              <w:jc w:val="center"/>
              <w:rPr>
                <w:b/>
              </w:rPr>
            </w:pPr>
            <w:r w:rsidRPr="00104928">
              <w:rPr>
                <w:b/>
              </w:rPr>
              <w:t>Placebo</w:t>
            </w:r>
          </w:p>
        </w:tc>
        <w:tc>
          <w:tcPr>
            <w:tcW w:w="90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5490C" w:rsidRPr="00104928" w:rsidRDefault="0025490C" w:rsidP="00104928">
            <w:pPr>
              <w:pStyle w:val="TableText"/>
              <w:jc w:val="center"/>
              <w:rPr>
                <w:b/>
              </w:rPr>
            </w:pPr>
            <w:r w:rsidRPr="00104928">
              <w:rPr>
                <w:b/>
              </w:rPr>
              <w:t>Metformin</w:t>
            </w:r>
          </w:p>
        </w:tc>
        <w:tc>
          <w:tcPr>
            <w:tcW w:w="1060" w:type="pct"/>
            <w:gridSpan w:val="2"/>
            <w:tcBorders>
              <w:left w:val="single" w:sz="4" w:space="0" w:color="A6A6A6" w:themeColor="background1" w:themeShade="A6"/>
              <w:bottom w:val="single" w:sz="4" w:space="0" w:color="A6A6A6" w:themeColor="background1" w:themeShade="A6"/>
              <w:right w:val="nil"/>
            </w:tcBorders>
            <w:shd w:val="clear" w:color="auto" w:fill="auto"/>
          </w:tcPr>
          <w:p w:rsidR="0025490C" w:rsidRPr="00104928" w:rsidRDefault="0025490C" w:rsidP="00104928">
            <w:pPr>
              <w:pStyle w:val="TableText"/>
              <w:jc w:val="center"/>
              <w:rPr>
                <w:b/>
              </w:rPr>
            </w:pPr>
            <w:r w:rsidRPr="00104928">
              <w:rPr>
                <w:b/>
              </w:rPr>
              <w:t>Intensive lifestyle</w:t>
            </w:r>
          </w:p>
        </w:tc>
      </w:tr>
      <w:tr w:rsidR="00E90740" w:rsidRPr="00AB5026" w:rsidTr="00E90740">
        <w:trPr>
          <w:cantSplit/>
          <w:tblHeader/>
        </w:trPr>
        <w:tc>
          <w:tcPr>
            <w:tcW w:w="2198" w:type="pct"/>
            <w:vMerge/>
            <w:tcBorders>
              <w:top w:val="nil"/>
              <w:left w:val="nil"/>
              <w:bottom w:val="single" w:sz="4" w:space="0" w:color="auto"/>
              <w:right w:val="single" w:sz="4" w:space="0" w:color="A6A6A6" w:themeColor="background1" w:themeShade="A6"/>
            </w:tcBorders>
            <w:shd w:val="clear" w:color="auto" w:fill="auto"/>
          </w:tcPr>
          <w:p w:rsidR="0025490C" w:rsidRPr="00AB5026" w:rsidRDefault="0025490C" w:rsidP="001D5E29">
            <w:pPr>
              <w:pStyle w:val="TableText"/>
            </w:pPr>
          </w:p>
        </w:tc>
        <w:tc>
          <w:tcPr>
            <w:tcW w:w="416" w:type="pct"/>
            <w:tcBorders>
              <w:top w:val="single" w:sz="4" w:space="0" w:color="A6A6A6" w:themeColor="background1" w:themeShade="A6"/>
              <w:left w:val="single" w:sz="4" w:space="0" w:color="A6A6A6" w:themeColor="background1" w:themeShade="A6"/>
              <w:bottom w:val="single" w:sz="4" w:space="0" w:color="auto"/>
              <w:right w:val="nil"/>
            </w:tcBorders>
            <w:shd w:val="clear" w:color="auto" w:fill="auto"/>
          </w:tcPr>
          <w:p w:rsidR="0025490C" w:rsidRPr="00104928" w:rsidRDefault="0025490C" w:rsidP="00104928">
            <w:pPr>
              <w:pStyle w:val="TableText"/>
              <w:jc w:val="center"/>
              <w:rPr>
                <w:b/>
              </w:rPr>
            </w:pPr>
            <w:r w:rsidRPr="00104928">
              <w:rPr>
                <w:b/>
              </w:rPr>
              <w:t>GDM</w:t>
            </w:r>
          </w:p>
        </w:tc>
        <w:tc>
          <w:tcPr>
            <w:tcW w:w="416" w:type="pct"/>
            <w:tcBorders>
              <w:top w:val="single" w:sz="4" w:space="0" w:color="A6A6A6" w:themeColor="background1" w:themeShade="A6"/>
              <w:left w:val="nil"/>
              <w:bottom w:val="single" w:sz="4" w:space="0" w:color="auto"/>
              <w:right w:val="single" w:sz="4" w:space="0" w:color="A6A6A6" w:themeColor="background1" w:themeShade="A6"/>
            </w:tcBorders>
            <w:shd w:val="clear" w:color="auto" w:fill="auto"/>
          </w:tcPr>
          <w:p w:rsidR="0025490C" w:rsidRPr="00104928" w:rsidRDefault="0025490C" w:rsidP="00104928">
            <w:pPr>
              <w:pStyle w:val="TableText"/>
              <w:jc w:val="center"/>
              <w:rPr>
                <w:b/>
              </w:rPr>
            </w:pPr>
            <w:r w:rsidRPr="00104928">
              <w:rPr>
                <w:b/>
              </w:rPr>
              <w:t>No GDM</w:t>
            </w:r>
          </w:p>
        </w:tc>
        <w:tc>
          <w:tcPr>
            <w:tcW w:w="454" w:type="pct"/>
            <w:tcBorders>
              <w:top w:val="single" w:sz="4" w:space="0" w:color="A6A6A6" w:themeColor="background1" w:themeShade="A6"/>
              <w:left w:val="single" w:sz="4" w:space="0" w:color="A6A6A6" w:themeColor="background1" w:themeShade="A6"/>
              <w:bottom w:val="single" w:sz="4" w:space="0" w:color="auto"/>
              <w:right w:val="nil"/>
            </w:tcBorders>
            <w:shd w:val="clear" w:color="auto" w:fill="auto"/>
          </w:tcPr>
          <w:p w:rsidR="0025490C" w:rsidRPr="00104928" w:rsidRDefault="0025490C" w:rsidP="00104928">
            <w:pPr>
              <w:pStyle w:val="TableText"/>
              <w:jc w:val="center"/>
              <w:rPr>
                <w:b/>
              </w:rPr>
            </w:pPr>
            <w:r w:rsidRPr="00104928">
              <w:rPr>
                <w:b/>
              </w:rPr>
              <w:t>GDM</w:t>
            </w:r>
          </w:p>
        </w:tc>
        <w:tc>
          <w:tcPr>
            <w:tcW w:w="455" w:type="pct"/>
            <w:tcBorders>
              <w:top w:val="single" w:sz="4" w:space="0" w:color="A6A6A6" w:themeColor="background1" w:themeShade="A6"/>
              <w:left w:val="nil"/>
              <w:bottom w:val="single" w:sz="4" w:space="0" w:color="auto"/>
              <w:right w:val="single" w:sz="4" w:space="0" w:color="A6A6A6" w:themeColor="background1" w:themeShade="A6"/>
            </w:tcBorders>
            <w:shd w:val="clear" w:color="auto" w:fill="auto"/>
          </w:tcPr>
          <w:p w:rsidR="0025490C" w:rsidRPr="00104928" w:rsidRDefault="0025490C" w:rsidP="00104928">
            <w:pPr>
              <w:pStyle w:val="TableText"/>
              <w:jc w:val="center"/>
              <w:rPr>
                <w:b/>
              </w:rPr>
            </w:pPr>
            <w:r w:rsidRPr="00104928">
              <w:rPr>
                <w:b/>
              </w:rPr>
              <w:t>No GDM</w:t>
            </w:r>
          </w:p>
        </w:tc>
        <w:tc>
          <w:tcPr>
            <w:tcW w:w="530" w:type="pct"/>
            <w:tcBorders>
              <w:top w:val="single" w:sz="4" w:space="0" w:color="A6A6A6" w:themeColor="background1" w:themeShade="A6"/>
              <w:left w:val="single" w:sz="4" w:space="0" w:color="A6A6A6" w:themeColor="background1" w:themeShade="A6"/>
              <w:bottom w:val="single" w:sz="4" w:space="0" w:color="auto"/>
              <w:right w:val="nil"/>
            </w:tcBorders>
            <w:shd w:val="clear" w:color="auto" w:fill="auto"/>
          </w:tcPr>
          <w:p w:rsidR="0025490C" w:rsidRPr="00104928" w:rsidRDefault="0025490C" w:rsidP="00104928">
            <w:pPr>
              <w:pStyle w:val="TableText"/>
              <w:jc w:val="center"/>
              <w:rPr>
                <w:b/>
              </w:rPr>
            </w:pPr>
            <w:r w:rsidRPr="00104928">
              <w:rPr>
                <w:b/>
              </w:rPr>
              <w:t>GDM</w:t>
            </w:r>
          </w:p>
        </w:tc>
        <w:tc>
          <w:tcPr>
            <w:tcW w:w="530" w:type="pct"/>
            <w:tcBorders>
              <w:top w:val="single" w:sz="4" w:space="0" w:color="A6A6A6" w:themeColor="background1" w:themeShade="A6"/>
              <w:left w:val="nil"/>
              <w:bottom w:val="single" w:sz="4" w:space="0" w:color="auto"/>
              <w:right w:val="nil"/>
            </w:tcBorders>
            <w:shd w:val="clear" w:color="auto" w:fill="auto"/>
          </w:tcPr>
          <w:p w:rsidR="0025490C" w:rsidRPr="00104928" w:rsidRDefault="0025490C" w:rsidP="00104928">
            <w:pPr>
              <w:pStyle w:val="TableText"/>
              <w:jc w:val="center"/>
              <w:rPr>
                <w:b/>
              </w:rPr>
            </w:pPr>
            <w:r w:rsidRPr="00104928">
              <w:rPr>
                <w:b/>
              </w:rPr>
              <w:t>No GDM</w:t>
            </w:r>
          </w:p>
        </w:tc>
      </w:tr>
      <w:tr w:rsidR="00E90740" w:rsidRPr="00AB5026" w:rsidTr="00E90740">
        <w:trPr>
          <w:cantSplit/>
        </w:trPr>
        <w:tc>
          <w:tcPr>
            <w:tcW w:w="2198" w:type="pct"/>
            <w:tcBorders>
              <w:top w:val="single" w:sz="4" w:space="0" w:color="auto"/>
              <w:left w:val="nil"/>
              <w:bottom w:val="nil"/>
              <w:right w:val="single" w:sz="4" w:space="0" w:color="A6A6A6" w:themeColor="background1" w:themeShade="A6"/>
            </w:tcBorders>
            <w:shd w:val="clear" w:color="auto" w:fill="F2F2F2" w:themeFill="background1" w:themeFillShade="F2"/>
          </w:tcPr>
          <w:p w:rsidR="0025490C" w:rsidRPr="00AB5026" w:rsidRDefault="0025490C" w:rsidP="001D5E29">
            <w:pPr>
              <w:pStyle w:val="TableText"/>
            </w:pPr>
            <w:r w:rsidRPr="00AB5026">
              <w:t>Incidence of diabetes (number of cases per 100 person-years)</w:t>
            </w:r>
            <w:r>
              <w:rPr>
                <w:rFonts w:cs="Arial"/>
              </w:rPr>
              <w:t>*</w:t>
            </w:r>
          </w:p>
        </w:tc>
        <w:tc>
          <w:tcPr>
            <w:tcW w:w="416" w:type="pct"/>
            <w:tcBorders>
              <w:top w:val="single" w:sz="4" w:space="0" w:color="auto"/>
              <w:left w:val="single" w:sz="4" w:space="0" w:color="A6A6A6" w:themeColor="background1" w:themeShade="A6"/>
              <w:bottom w:val="nil"/>
              <w:right w:val="nil"/>
            </w:tcBorders>
            <w:shd w:val="clear" w:color="auto" w:fill="F2F2F2" w:themeFill="background1" w:themeFillShade="F2"/>
          </w:tcPr>
          <w:p w:rsidR="0025490C" w:rsidRPr="00AB5026" w:rsidRDefault="0025490C" w:rsidP="00104928">
            <w:pPr>
              <w:pStyle w:val="TableText"/>
              <w:jc w:val="center"/>
            </w:pPr>
            <w:r w:rsidRPr="00AB5026">
              <w:t>15.2</w:t>
            </w:r>
            <w:r w:rsidRPr="00AB5026">
              <w:rPr>
                <w:vertAlign w:val="superscript"/>
              </w:rPr>
              <w:t>b</w:t>
            </w:r>
          </w:p>
        </w:tc>
        <w:tc>
          <w:tcPr>
            <w:tcW w:w="416" w:type="pct"/>
            <w:tcBorders>
              <w:top w:val="single" w:sz="4" w:space="0" w:color="auto"/>
              <w:left w:val="nil"/>
              <w:bottom w:val="nil"/>
              <w:right w:val="single" w:sz="4" w:space="0" w:color="A6A6A6" w:themeColor="background1" w:themeShade="A6"/>
            </w:tcBorders>
            <w:shd w:val="clear" w:color="auto" w:fill="F2F2F2" w:themeFill="background1" w:themeFillShade="F2"/>
          </w:tcPr>
          <w:p w:rsidR="0025490C" w:rsidRPr="00AB5026" w:rsidRDefault="0025490C" w:rsidP="00104928">
            <w:pPr>
              <w:pStyle w:val="TableText"/>
              <w:jc w:val="center"/>
            </w:pPr>
            <w:r w:rsidRPr="00AB5026">
              <w:t>8.9</w:t>
            </w:r>
          </w:p>
        </w:tc>
        <w:tc>
          <w:tcPr>
            <w:tcW w:w="454" w:type="pct"/>
            <w:tcBorders>
              <w:top w:val="single" w:sz="4" w:space="0" w:color="auto"/>
              <w:left w:val="single" w:sz="4" w:space="0" w:color="A6A6A6" w:themeColor="background1" w:themeShade="A6"/>
              <w:bottom w:val="nil"/>
              <w:right w:val="nil"/>
            </w:tcBorders>
            <w:shd w:val="clear" w:color="auto" w:fill="F2F2F2" w:themeFill="background1" w:themeFillShade="F2"/>
          </w:tcPr>
          <w:p w:rsidR="0025490C" w:rsidRPr="00AB5026" w:rsidRDefault="0025490C" w:rsidP="00E90740">
            <w:pPr>
              <w:pStyle w:val="TableText"/>
              <w:tabs>
                <w:tab w:val="decimal" w:pos="369"/>
              </w:tabs>
            </w:pPr>
            <w:r w:rsidRPr="00AB5026">
              <w:t>7.8</w:t>
            </w:r>
          </w:p>
        </w:tc>
        <w:tc>
          <w:tcPr>
            <w:tcW w:w="455" w:type="pct"/>
            <w:tcBorders>
              <w:top w:val="single" w:sz="4" w:space="0" w:color="auto"/>
              <w:left w:val="nil"/>
              <w:bottom w:val="nil"/>
              <w:right w:val="single" w:sz="4" w:space="0" w:color="A6A6A6" w:themeColor="background1" w:themeShade="A6"/>
            </w:tcBorders>
            <w:shd w:val="clear" w:color="auto" w:fill="F2F2F2" w:themeFill="background1" w:themeFillShade="F2"/>
          </w:tcPr>
          <w:p w:rsidR="0025490C" w:rsidRPr="00AB5026" w:rsidRDefault="0025490C" w:rsidP="00E90740">
            <w:pPr>
              <w:pStyle w:val="TableText"/>
              <w:tabs>
                <w:tab w:val="decimal" w:pos="369"/>
              </w:tabs>
            </w:pPr>
            <w:r w:rsidRPr="00AB5026">
              <w:t>7.8</w:t>
            </w:r>
          </w:p>
        </w:tc>
        <w:tc>
          <w:tcPr>
            <w:tcW w:w="530" w:type="pct"/>
            <w:tcBorders>
              <w:top w:val="single" w:sz="4" w:space="0" w:color="auto"/>
              <w:left w:val="single" w:sz="4" w:space="0" w:color="A6A6A6" w:themeColor="background1" w:themeShade="A6"/>
              <w:bottom w:val="nil"/>
              <w:right w:val="nil"/>
            </w:tcBorders>
            <w:shd w:val="clear" w:color="auto" w:fill="F2F2F2" w:themeFill="background1" w:themeFillShade="F2"/>
          </w:tcPr>
          <w:p w:rsidR="0025490C" w:rsidRPr="00AB5026" w:rsidRDefault="0025490C" w:rsidP="00E90740">
            <w:pPr>
              <w:pStyle w:val="TableText"/>
              <w:tabs>
                <w:tab w:val="decimal" w:pos="454"/>
              </w:tabs>
            </w:pPr>
            <w:r w:rsidRPr="00AB5026">
              <w:t>7.4</w:t>
            </w:r>
          </w:p>
        </w:tc>
        <w:tc>
          <w:tcPr>
            <w:tcW w:w="530" w:type="pct"/>
            <w:tcBorders>
              <w:top w:val="single" w:sz="4" w:space="0" w:color="auto"/>
              <w:left w:val="nil"/>
              <w:bottom w:val="nil"/>
              <w:right w:val="nil"/>
            </w:tcBorders>
            <w:shd w:val="clear" w:color="auto" w:fill="F2F2F2" w:themeFill="background1" w:themeFillShade="F2"/>
          </w:tcPr>
          <w:p w:rsidR="0025490C" w:rsidRPr="00AB5026" w:rsidRDefault="0025490C" w:rsidP="00E90740">
            <w:pPr>
              <w:pStyle w:val="TableText"/>
              <w:tabs>
                <w:tab w:val="decimal" w:pos="454"/>
              </w:tabs>
            </w:pPr>
            <w:r w:rsidRPr="00AB5026">
              <w:t>4.7</w:t>
            </w:r>
          </w:p>
        </w:tc>
      </w:tr>
      <w:tr w:rsidR="00104928" w:rsidRPr="00AB5026" w:rsidTr="00E90740">
        <w:trPr>
          <w:cantSplit/>
        </w:trPr>
        <w:tc>
          <w:tcPr>
            <w:tcW w:w="2198" w:type="pct"/>
            <w:tcBorders>
              <w:top w:val="nil"/>
              <w:left w:val="nil"/>
              <w:bottom w:val="nil"/>
              <w:right w:val="single" w:sz="4" w:space="0" w:color="A6A6A6" w:themeColor="background1" w:themeShade="A6"/>
            </w:tcBorders>
            <w:shd w:val="clear" w:color="auto" w:fill="auto"/>
          </w:tcPr>
          <w:p w:rsidR="0025490C" w:rsidRPr="00AB5026" w:rsidRDefault="0025490C" w:rsidP="001D5E29">
            <w:pPr>
              <w:pStyle w:val="TableText"/>
            </w:pPr>
            <w:r w:rsidRPr="00AB5026">
              <w:t>Reduction in incidence (compared with placebo) %</w:t>
            </w:r>
            <w:r>
              <w:rPr>
                <w:rFonts w:cs="Arial"/>
              </w:rPr>
              <w:t>**</w:t>
            </w:r>
          </w:p>
        </w:tc>
        <w:tc>
          <w:tcPr>
            <w:tcW w:w="833" w:type="pct"/>
            <w:gridSpan w:val="2"/>
            <w:tcBorders>
              <w:top w:val="nil"/>
              <w:left w:val="single" w:sz="4" w:space="0" w:color="A6A6A6" w:themeColor="background1" w:themeShade="A6"/>
              <w:bottom w:val="nil"/>
              <w:right w:val="single" w:sz="4" w:space="0" w:color="A6A6A6" w:themeColor="background1" w:themeShade="A6"/>
            </w:tcBorders>
            <w:shd w:val="clear" w:color="auto" w:fill="auto"/>
          </w:tcPr>
          <w:p w:rsidR="0025490C" w:rsidRPr="00AB5026" w:rsidRDefault="0025490C" w:rsidP="00104928">
            <w:pPr>
              <w:pStyle w:val="TableText"/>
              <w:jc w:val="center"/>
            </w:pPr>
          </w:p>
        </w:tc>
        <w:tc>
          <w:tcPr>
            <w:tcW w:w="454" w:type="pct"/>
            <w:tcBorders>
              <w:top w:val="nil"/>
              <w:left w:val="single" w:sz="4" w:space="0" w:color="A6A6A6" w:themeColor="background1" w:themeShade="A6"/>
              <w:bottom w:val="nil"/>
              <w:right w:val="nil"/>
            </w:tcBorders>
            <w:shd w:val="clear" w:color="auto" w:fill="auto"/>
          </w:tcPr>
          <w:p w:rsidR="0025490C" w:rsidRPr="00AB5026" w:rsidRDefault="0025490C" w:rsidP="00E90740">
            <w:pPr>
              <w:pStyle w:val="TableText"/>
              <w:tabs>
                <w:tab w:val="decimal" w:pos="369"/>
              </w:tabs>
            </w:pPr>
            <w:r w:rsidRPr="00AB5026">
              <w:t>50.4</w:t>
            </w:r>
            <w:r w:rsidRPr="00AB5026">
              <w:rPr>
                <w:vertAlign w:val="superscript"/>
              </w:rPr>
              <w:t>c</w:t>
            </w:r>
          </w:p>
        </w:tc>
        <w:tc>
          <w:tcPr>
            <w:tcW w:w="455" w:type="pct"/>
            <w:tcBorders>
              <w:top w:val="nil"/>
              <w:left w:val="nil"/>
              <w:bottom w:val="nil"/>
              <w:right w:val="single" w:sz="4" w:space="0" w:color="A6A6A6" w:themeColor="background1" w:themeShade="A6"/>
            </w:tcBorders>
            <w:shd w:val="clear" w:color="auto" w:fill="auto"/>
          </w:tcPr>
          <w:p w:rsidR="0025490C" w:rsidRPr="00AB5026" w:rsidRDefault="0025490C" w:rsidP="00E90740">
            <w:pPr>
              <w:pStyle w:val="TableText"/>
              <w:tabs>
                <w:tab w:val="decimal" w:pos="369"/>
              </w:tabs>
            </w:pPr>
            <w:r w:rsidRPr="00AB5026">
              <w:t>14.4</w:t>
            </w:r>
          </w:p>
        </w:tc>
        <w:tc>
          <w:tcPr>
            <w:tcW w:w="530" w:type="pct"/>
            <w:tcBorders>
              <w:top w:val="nil"/>
              <w:left w:val="single" w:sz="4" w:space="0" w:color="A6A6A6" w:themeColor="background1" w:themeShade="A6"/>
              <w:bottom w:val="nil"/>
              <w:right w:val="nil"/>
            </w:tcBorders>
            <w:shd w:val="clear" w:color="auto" w:fill="auto"/>
          </w:tcPr>
          <w:p w:rsidR="0025490C" w:rsidRPr="00AB5026" w:rsidRDefault="0025490C" w:rsidP="00E90740">
            <w:pPr>
              <w:pStyle w:val="TableText"/>
              <w:tabs>
                <w:tab w:val="decimal" w:pos="454"/>
              </w:tabs>
            </w:pPr>
            <w:r w:rsidRPr="00AB5026">
              <w:t>53.4</w:t>
            </w:r>
            <w:r w:rsidRPr="00AB5026">
              <w:rPr>
                <w:vertAlign w:val="superscript"/>
              </w:rPr>
              <w:t>c</w:t>
            </w:r>
          </w:p>
        </w:tc>
        <w:tc>
          <w:tcPr>
            <w:tcW w:w="530" w:type="pct"/>
            <w:tcBorders>
              <w:top w:val="nil"/>
              <w:left w:val="nil"/>
              <w:bottom w:val="nil"/>
              <w:right w:val="nil"/>
            </w:tcBorders>
            <w:shd w:val="clear" w:color="auto" w:fill="auto"/>
          </w:tcPr>
          <w:p w:rsidR="0025490C" w:rsidRPr="00AB5026" w:rsidRDefault="0025490C" w:rsidP="00E90740">
            <w:pPr>
              <w:pStyle w:val="TableText"/>
              <w:tabs>
                <w:tab w:val="decimal" w:pos="454"/>
              </w:tabs>
            </w:pPr>
            <w:r w:rsidRPr="00AB5026">
              <w:t>49.2</w:t>
            </w:r>
            <w:r w:rsidRPr="00AB5026">
              <w:rPr>
                <w:vertAlign w:val="superscript"/>
              </w:rPr>
              <w:t>c</w:t>
            </w:r>
          </w:p>
        </w:tc>
      </w:tr>
      <w:tr w:rsidR="00E90740" w:rsidRPr="00AB5026" w:rsidTr="00E90740">
        <w:trPr>
          <w:cantSplit/>
        </w:trPr>
        <w:tc>
          <w:tcPr>
            <w:tcW w:w="2198" w:type="pct"/>
            <w:tcBorders>
              <w:top w:val="nil"/>
              <w:left w:val="nil"/>
              <w:right w:val="single" w:sz="4" w:space="0" w:color="A6A6A6" w:themeColor="background1" w:themeShade="A6"/>
            </w:tcBorders>
            <w:shd w:val="clear" w:color="auto" w:fill="F2F2F2" w:themeFill="background1" w:themeFillShade="F2"/>
          </w:tcPr>
          <w:p w:rsidR="0025490C" w:rsidRPr="00AB5026" w:rsidRDefault="0025490C" w:rsidP="001D5E29">
            <w:pPr>
              <w:pStyle w:val="TableText"/>
            </w:pPr>
            <w:r w:rsidRPr="00AB5026">
              <w:t xml:space="preserve">Number needed to treat (to prevent one case in </w:t>
            </w:r>
            <w:r>
              <w:t>three</w:t>
            </w:r>
            <w:r w:rsidRPr="00AB5026">
              <w:t xml:space="preserve"> year</w:t>
            </w:r>
            <w:r>
              <w:t>s</w:t>
            </w:r>
            <w:r w:rsidRPr="00AB5026">
              <w:t xml:space="preserve"> compared with placebo)</w:t>
            </w:r>
            <w:r>
              <w:rPr>
                <w:rFonts w:cs="Arial"/>
              </w:rPr>
              <w:t>^</w:t>
            </w:r>
          </w:p>
        </w:tc>
        <w:tc>
          <w:tcPr>
            <w:tcW w:w="833" w:type="pct"/>
            <w:gridSpan w:val="2"/>
            <w:tcBorders>
              <w:top w:val="nil"/>
              <w:left w:val="single" w:sz="4" w:space="0" w:color="A6A6A6" w:themeColor="background1" w:themeShade="A6"/>
              <w:right w:val="single" w:sz="4" w:space="0" w:color="A6A6A6" w:themeColor="background1" w:themeShade="A6"/>
            </w:tcBorders>
            <w:shd w:val="clear" w:color="auto" w:fill="F2F2F2" w:themeFill="background1" w:themeFillShade="F2"/>
          </w:tcPr>
          <w:p w:rsidR="0025490C" w:rsidRPr="00AB5026" w:rsidRDefault="0025490C" w:rsidP="00104928">
            <w:pPr>
              <w:pStyle w:val="TableText"/>
              <w:jc w:val="center"/>
            </w:pPr>
          </w:p>
        </w:tc>
        <w:tc>
          <w:tcPr>
            <w:tcW w:w="454" w:type="pct"/>
            <w:tcBorders>
              <w:top w:val="nil"/>
              <w:left w:val="single" w:sz="4" w:space="0" w:color="A6A6A6" w:themeColor="background1" w:themeShade="A6"/>
              <w:right w:val="nil"/>
            </w:tcBorders>
            <w:shd w:val="clear" w:color="auto" w:fill="F2F2F2" w:themeFill="background1" w:themeFillShade="F2"/>
          </w:tcPr>
          <w:p w:rsidR="0025490C" w:rsidRPr="00AB5026" w:rsidRDefault="0025490C" w:rsidP="00E90740">
            <w:pPr>
              <w:pStyle w:val="TableText"/>
              <w:tabs>
                <w:tab w:val="decimal" w:pos="369"/>
              </w:tabs>
            </w:pPr>
            <w:r w:rsidRPr="00AB5026">
              <w:t>6.1</w:t>
            </w:r>
          </w:p>
        </w:tc>
        <w:tc>
          <w:tcPr>
            <w:tcW w:w="455" w:type="pct"/>
            <w:tcBorders>
              <w:top w:val="nil"/>
              <w:left w:val="nil"/>
              <w:right w:val="single" w:sz="4" w:space="0" w:color="A6A6A6" w:themeColor="background1" w:themeShade="A6"/>
            </w:tcBorders>
            <w:shd w:val="clear" w:color="auto" w:fill="F2F2F2" w:themeFill="background1" w:themeFillShade="F2"/>
          </w:tcPr>
          <w:p w:rsidR="0025490C" w:rsidRPr="00AB5026" w:rsidRDefault="0025490C" w:rsidP="00E90740">
            <w:pPr>
              <w:pStyle w:val="TableText"/>
              <w:tabs>
                <w:tab w:val="decimal" w:pos="369"/>
              </w:tabs>
            </w:pPr>
            <w:r w:rsidRPr="00AB5026">
              <w:t>24.0</w:t>
            </w:r>
          </w:p>
        </w:tc>
        <w:tc>
          <w:tcPr>
            <w:tcW w:w="530" w:type="pct"/>
            <w:tcBorders>
              <w:top w:val="nil"/>
              <w:left w:val="single" w:sz="4" w:space="0" w:color="A6A6A6" w:themeColor="background1" w:themeShade="A6"/>
              <w:right w:val="nil"/>
            </w:tcBorders>
            <w:shd w:val="clear" w:color="auto" w:fill="F2F2F2" w:themeFill="background1" w:themeFillShade="F2"/>
          </w:tcPr>
          <w:p w:rsidR="0025490C" w:rsidRPr="00AB5026" w:rsidRDefault="0025490C" w:rsidP="00E90740">
            <w:pPr>
              <w:pStyle w:val="TableText"/>
              <w:tabs>
                <w:tab w:val="decimal" w:pos="454"/>
              </w:tabs>
            </w:pPr>
            <w:r w:rsidRPr="00AB5026">
              <w:t>5.3</w:t>
            </w:r>
          </w:p>
        </w:tc>
        <w:tc>
          <w:tcPr>
            <w:tcW w:w="530" w:type="pct"/>
            <w:tcBorders>
              <w:top w:val="nil"/>
              <w:left w:val="nil"/>
              <w:right w:val="nil"/>
            </w:tcBorders>
            <w:shd w:val="clear" w:color="auto" w:fill="F2F2F2" w:themeFill="background1" w:themeFillShade="F2"/>
          </w:tcPr>
          <w:p w:rsidR="0025490C" w:rsidRPr="00AB5026" w:rsidRDefault="0025490C" w:rsidP="00E90740">
            <w:pPr>
              <w:pStyle w:val="TableText"/>
              <w:tabs>
                <w:tab w:val="decimal" w:pos="454"/>
              </w:tabs>
            </w:pPr>
            <w:r w:rsidRPr="00AB5026">
              <w:t>9.0</w:t>
            </w:r>
          </w:p>
        </w:tc>
      </w:tr>
    </w:tbl>
    <w:p w:rsidR="0025490C" w:rsidRDefault="0025490C" w:rsidP="001D5E29">
      <w:pPr>
        <w:pStyle w:val="Note"/>
      </w:pPr>
      <w:r>
        <w:t>Note: GDM = gestational diabetes mellitus</w:t>
      </w:r>
      <w:r w:rsidR="001D5E29">
        <w:t>.</w:t>
      </w:r>
    </w:p>
    <w:p w:rsidR="0025490C" w:rsidRPr="00E07B1B" w:rsidRDefault="0025490C" w:rsidP="001D5E29">
      <w:pPr>
        <w:pStyle w:val="Note"/>
        <w:spacing w:before="40"/>
      </w:pPr>
      <w:r>
        <w:t>*</w:t>
      </w:r>
      <w:r w:rsidR="001D5E29">
        <w:tab/>
      </w:r>
      <w:r w:rsidRPr="00E07B1B">
        <w:t>Adjusted for age</w:t>
      </w:r>
      <w:r w:rsidR="001D5E29">
        <w:t>.</w:t>
      </w:r>
    </w:p>
    <w:p w:rsidR="0025490C" w:rsidRPr="00E07B1B" w:rsidRDefault="0025490C" w:rsidP="001D5E29">
      <w:pPr>
        <w:pStyle w:val="Note"/>
        <w:spacing w:before="40"/>
      </w:pPr>
      <w:r w:rsidRPr="001D5E29">
        <w:rPr>
          <w:rStyle w:val="FootnoteReference"/>
          <w:rFonts w:cs="Arial"/>
          <w:vertAlign w:val="baseline"/>
        </w:rPr>
        <w:t>**</w:t>
      </w:r>
      <w:r w:rsidR="001D5E29">
        <w:rPr>
          <w:rStyle w:val="FootnoteReference"/>
          <w:rFonts w:cs="Arial"/>
        </w:rPr>
        <w:tab/>
      </w:r>
      <w:r>
        <w:rPr>
          <w:i/>
        </w:rPr>
        <w:t xml:space="preserve">p </w:t>
      </w:r>
      <w:r w:rsidRPr="00E07B1B">
        <w:t>&lt;</w:t>
      </w:r>
      <w:r>
        <w:t xml:space="preserve"> </w:t>
      </w:r>
      <w:r w:rsidRPr="00E07B1B">
        <w:t>0.05 compared with non-GDM group</w:t>
      </w:r>
      <w:r w:rsidR="001D5E29">
        <w:t>.</w:t>
      </w:r>
    </w:p>
    <w:p w:rsidR="0025490C" w:rsidRPr="00E07B1B" w:rsidRDefault="0025490C" w:rsidP="001D5E29">
      <w:pPr>
        <w:pStyle w:val="Note"/>
        <w:spacing w:before="40"/>
      </w:pPr>
      <w:r>
        <w:rPr>
          <w:rStyle w:val="FootnoteReference"/>
          <w:rFonts w:cs="Arial"/>
        </w:rPr>
        <w:t>^</w:t>
      </w:r>
      <w:r w:rsidR="001D5E29">
        <w:rPr>
          <w:rStyle w:val="FootnoteReference"/>
          <w:rFonts w:cs="Arial"/>
        </w:rPr>
        <w:tab/>
      </w:r>
      <w:r>
        <w:rPr>
          <w:i/>
        </w:rPr>
        <w:t xml:space="preserve">p </w:t>
      </w:r>
      <w:r w:rsidRPr="00E07B1B">
        <w:t>&lt;</w:t>
      </w:r>
      <w:r>
        <w:t xml:space="preserve"> </w:t>
      </w:r>
      <w:r w:rsidRPr="00E07B1B">
        <w:t>0.05 compared with placebo</w:t>
      </w:r>
      <w:r w:rsidR="001D5E29">
        <w:t>.</w:t>
      </w:r>
    </w:p>
    <w:p w:rsidR="0068074A" w:rsidRDefault="0025490C" w:rsidP="001D5E29">
      <w:pPr>
        <w:pStyle w:val="Source"/>
      </w:pPr>
      <w:r w:rsidRPr="00E07B1B">
        <w:t>Source: Ratner</w:t>
      </w:r>
      <w:r>
        <w:t xml:space="preserve"> </w:t>
      </w:r>
      <w:r w:rsidR="00D562F2">
        <w:t>et al</w:t>
      </w:r>
      <w:r w:rsidRPr="00E07B1B">
        <w:t xml:space="preserve"> (2008)</w:t>
      </w:r>
      <w:r>
        <w:t>,</w:t>
      </w:r>
      <w:r w:rsidRPr="00E07B1B">
        <w:t xml:space="preserve"> p 4779</w:t>
      </w:r>
    </w:p>
    <w:p w:rsidR="001D5E29" w:rsidRPr="001D5E29" w:rsidRDefault="001D5E29" w:rsidP="00104928"/>
    <w:p w:rsidR="0025490C" w:rsidRPr="00E07B1B" w:rsidRDefault="0025490C" w:rsidP="001D5E29">
      <w:pPr>
        <w:pStyle w:val="Table"/>
      </w:pPr>
      <w:bookmarkStart w:id="601" w:name="_Toc363717853"/>
      <w:bookmarkStart w:id="602" w:name="_Toc403635930"/>
      <w:r w:rsidRPr="00E07B1B">
        <w:t>Table 49</w:t>
      </w:r>
      <w:r w:rsidR="001D5E29">
        <w:t>:</w:t>
      </w:r>
      <w:r w:rsidRPr="00E07B1B">
        <w:t xml:space="preserve"> Table of effects: Lifestyle interventions for the prevention of type 2 diabetes for people with impaired glucose tolerance</w:t>
      </w:r>
      <w:bookmarkEnd w:id="601"/>
      <w:bookmarkEnd w:id="602"/>
    </w:p>
    <w:tbl>
      <w:tblPr>
        <w:tblW w:w="494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4962"/>
        <w:gridCol w:w="4393"/>
      </w:tblGrid>
      <w:tr w:rsidR="0025490C" w:rsidRPr="001D5E29" w:rsidTr="0095033F">
        <w:trPr>
          <w:cantSplit/>
          <w:tblHeader/>
        </w:trPr>
        <w:tc>
          <w:tcPr>
            <w:tcW w:w="2652" w:type="pct"/>
            <w:tcBorders>
              <w:top w:val="single" w:sz="4" w:space="0" w:color="auto"/>
              <w:bottom w:val="single" w:sz="4" w:space="0" w:color="auto"/>
            </w:tcBorders>
            <w:shd w:val="clear" w:color="auto" w:fill="auto"/>
          </w:tcPr>
          <w:p w:rsidR="0025490C" w:rsidRPr="001D5E29" w:rsidRDefault="0025490C" w:rsidP="001D5E29">
            <w:pPr>
              <w:pStyle w:val="TableText"/>
              <w:rPr>
                <w:b/>
              </w:rPr>
            </w:pPr>
            <w:r w:rsidRPr="001D5E29">
              <w:rPr>
                <w:b/>
              </w:rPr>
              <w:t>Intervention</w:t>
            </w:r>
          </w:p>
        </w:tc>
        <w:tc>
          <w:tcPr>
            <w:tcW w:w="2348" w:type="pct"/>
            <w:tcBorders>
              <w:top w:val="single" w:sz="4" w:space="0" w:color="auto"/>
              <w:bottom w:val="single" w:sz="4" w:space="0" w:color="auto"/>
            </w:tcBorders>
            <w:shd w:val="clear" w:color="auto" w:fill="auto"/>
          </w:tcPr>
          <w:p w:rsidR="0025490C" w:rsidRPr="001D5E29" w:rsidRDefault="0025490C" w:rsidP="0095033F">
            <w:pPr>
              <w:pStyle w:val="TableText"/>
              <w:jc w:val="center"/>
              <w:rPr>
                <w:b/>
              </w:rPr>
            </w:pPr>
            <w:r w:rsidRPr="001D5E29">
              <w:rPr>
                <w:b/>
              </w:rPr>
              <w:t>Hazard ratio (95% confidence interval)</w:t>
            </w:r>
          </w:p>
        </w:tc>
      </w:tr>
      <w:tr w:rsidR="0025490C" w:rsidRPr="00E07B1B" w:rsidTr="0095033F">
        <w:trPr>
          <w:cantSplit/>
        </w:trPr>
        <w:tc>
          <w:tcPr>
            <w:tcW w:w="2652" w:type="pct"/>
            <w:tcBorders>
              <w:top w:val="single" w:sz="4" w:space="0" w:color="auto"/>
              <w:bottom w:val="nil"/>
            </w:tcBorders>
            <w:shd w:val="clear" w:color="auto" w:fill="F2F2F2" w:themeFill="background1" w:themeFillShade="F2"/>
          </w:tcPr>
          <w:p w:rsidR="0025490C" w:rsidRPr="00E07B1B" w:rsidRDefault="0095033F" w:rsidP="001D5E29">
            <w:pPr>
              <w:pStyle w:val="TableText"/>
            </w:pPr>
            <w:r>
              <w:t>Lifestyle interventions</w:t>
            </w:r>
          </w:p>
        </w:tc>
        <w:tc>
          <w:tcPr>
            <w:tcW w:w="2348" w:type="pct"/>
            <w:tcBorders>
              <w:top w:val="single" w:sz="4" w:space="0" w:color="auto"/>
              <w:bottom w:val="nil"/>
            </w:tcBorders>
            <w:shd w:val="clear" w:color="auto" w:fill="F2F2F2" w:themeFill="background1" w:themeFillShade="F2"/>
          </w:tcPr>
          <w:p w:rsidR="0025490C" w:rsidRPr="00E07B1B" w:rsidRDefault="0025490C" w:rsidP="0095033F">
            <w:pPr>
              <w:pStyle w:val="TableText"/>
              <w:jc w:val="center"/>
            </w:pPr>
            <w:r w:rsidRPr="00E07B1B">
              <w:t>0.51 (0.43</w:t>
            </w:r>
            <w:r>
              <w:t>–</w:t>
            </w:r>
            <w:r w:rsidRPr="00E07B1B">
              <w:t>0.62)</w:t>
            </w:r>
          </w:p>
        </w:tc>
      </w:tr>
      <w:tr w:rsidR="0025490C" w:rsidRPr="00E07B1B" w:rsidTr="0095033F">
        <w:trPr>
          <w:cantSplit/>
        </w:trPr>
        <w:tc>
          <w:tcPr>
            <w:tcW w:w="2652" w:type="pct"/>
            <w:tcBorders>
              <w:top w:val="nil"/>
              <w:bottom w:val="nil"/>
            </w:tcBorders>
            <w:shd w:val="clear" w:color="auto" w:fill="auto"/>
          </w:tcPr>
          <w:p w:rsidR="0025490C" w:rsidRPr="00E07B1B" w:rsidRDefault="0025490C" w:rsidP="001D5E29">
            <w:pPr>
              <w:pStyle w:val="TableText"/>
            </w:pPr>
            <w:r w:rsidRPr="00E07B1B">
              <w:t>Diet</w:t>
            </w:r>
          </w:p>
        </w:tc>
        <w:tc>
          <w:tcPr>
            <w:tcW w:w="2348" w:type="pct"/>
            <w:tcBorders>
              <w:top w:val="nil"/>
              <w:bottom w:val="nil"/>
            </w:tcBorders>
            <w:shd w:val="clear" w:color="auto" w:fill="auto"/>
          </w:tcPr>
          <w:p w:rsidR="0025490C" w:rsidRPr="00E07B1B" w:rsidRDefault="0025490C" w:rsidP="0095033F">
            <w:pPr>
              <w:pStyle w:val="TableText"/>
              <w:jc w:val="center"/>
            </w:pPr>
            <w:r w:rsidRPr="00E07B1B">
              <w:t>0.67 (0.49</w:t>
            </w:r>
            <w:r>
              <w:t>–</w:t>
            </w:r>
            <w:r w:rsidRPr="00E07B1B">
              <w:t>0.92)</w:t>
            </w:r>
          </w:p>
        </w:tc>
      </w:tr>
      <w:tr w:rsidR="0025490C" w:rsidRPr="00E07B1B" w:rsidTr="0095033F">
        <w:trPr>
          <w:cantSplit/>
        </w:trPr>
        <w:tc>
          <w:tcPr>
            <w:tcW w:w="2652" w:type="pct"/>
            <w:tcBorders>
              <w:top w:val="nil"/>
              <w:bottom w:val="nil"/>
            </w:tcBorders>
            <w:shd w:val="clear" w:color="auto" w:fill="F2F2F2" w:themeFill="background1" w:themeFillShade="F2"/>
          </w:tcPr>
          <w:p w:rsidR="0025490C" w:rsidRPr="00E07B1B" w:rsidRDefault="0025490C" w:rsidP="001D5E29">
            <w:pPr>
              <w:pStyle w:val="TableText"/>
            </w:pPr>
            <w:r w:rsidRPr="00E07B1B">
              <w:t>Exercise</w:t>
            </w:r>
          </w:p>
        </w:tc>
        <w:tc>
          <w:tcPr>
            <w:tcW w:w="2348" w:type="pct"/>
            <w:tcBorders>
              <w:top w:val="nil"/>
              <w:bottom w:val="nil"/>
            </w:tcBorders>
            <w:shd w:val="clear" w:color="auto" w:fill="F2F2F2" w:themeFill="background1" w:themeFillShade="F2"/>
          </w:tcPr>
          <w:p w:rsidR="0025490C" w:rsidRPr="00E07B1B" w:rsidRDefault="0025490C" w:rsidP="0095033F">
            <w:pPr>
              <w:pStyle w:val="TableText"/>
              <w:jc w:val="center"/>
            </w:pPr>
            <w:r w:rsidRPr="00E07B1B">
              <w:rPr>
                <w:rFonts w:eastAsia="MS Mincho"/>
                <w:color w:val="282828"/>
                <w:lang w:eastAsia="ja-JP"/>
              </w:rPr>
              <w:t>0.53 (0.34</w:t>
            </w:r>
            <w:r>
              <w:rPr>
                <w:rFonts w:eastAsia="MS Mincho"/>
                <w:color w:val="282828"/>
                <w:lang w:eastAsia="ja-JP"/>
              </w:rPr>
              <w:t>–</w:t>
            </w:r>
            <w:r w:rsidRPr="00E07B1B">
              <w:rPr>
                <w:rFonts w:eastAsia="MS Mincho"/>
                <w:color w:val="282828"/>
                <w:lang w:eastAsia="ja-JP"/>
              </w:rPr>
              <w:t>0.83)</w:t>
            </w:r>
          </w:p>
        </w:tc>
      </w:tr>
      <w:tr w:rsidR="0025490C" w:rsidRPr="00E07B1B" w:rsidTr="0095033F">
        <w:trPr>
          <w:cantSplit/>
        </w:trPr>
        <w:tc>
          <w:tcPr>
            <w:tcW w:w="2652" w:type="pct"/>
            <w:tcBorders>
              <w:top w:val="nil"/>
            </w:tcBorders>
            <w:shd w:val="clear" w:color="auto" w:fill="auto"/>
          </w:tcPr>
          <w:p w:rsidR="0025490C" w:rsidRPr="00E07B1B" w:rsidRDefault="0025490C" w:rsidP="001D5E29">
            <w:pPr>
              <w:pStyle w:val="TableText"/>
            </w:pPr>
            <w:r w:rsidRPr="00E07B1B">
              <w:t>Diet and exercise</w:t>
            </w:r>
          </w:p>
        </w:tc>
        <w:tc>
          <w:tcPr>
            <w:tcW w:w="2348" w:type="pct"/>
            <w:tcBorders>
              <w:top w:val="nil"/>
            </w:tcBorders>
            <w:shd w:val="clear" w:color="auto" w:fill="auto"/>
          </w:tcPr>
          <w:p w:rsidR="0025490C" w:rsidRPr="00E07B1B" w:rsidRDefault="0025490C" w:rsidP="0095033F">
            <w:pPr>
              <w:pStyle w:val="TableText"/>
              <w:jc w:val="center"/>
              <w:rPr>
                <w:rFonts w:eastAsia="MS Mincho"/>
                <w:color w:val="282828"/>
                <w:lang w:eastAsia="ja-JP"/>
              </w:rPr>
            </w:pPr>
            <w:r w:rsidRPr="00E07B1B">
              <w:rPr>
                <w:rFonts w:eastAsia="MS Mincho"/>
                <w:color w:val="282828"/>
                <w:lang w:eastAsia="ja-JP"/>
              </w:rPr>
              <w:t>0.47 (0.37</w:t>
            </w:r>
            <w:r>
              <w:rPr>
                <w:rFonts w:eastAsia="MS Mincho"/>
                <w:color w:val="282828"/>
                <w:lang w:eastAsia="ja-JP"/>
              </w:rPr>
              <w:t>–</w:t>
            </w:r>
            <w:r w:rsidRPr="00E07B1B">
              <w:rPr>
                <w:rFonts w:eastAsia="MS Mincho"/>
                <w:color w:val="282828"/>
                <w:lang w:eastAsia="ja-JP"/>
              </w:rPr>
              <w:t>0.59)</w:t>
            </w:r>
          </w:p>
        </w:tc>
      </w:tr>
    </w:tbl>
    <w:p w:rsidR="0025490C" w:rsidRDefault="0025490C" w:rsidP="001D5E29">
      <w:pPr>
        <w:pStyle w:val="Source"/>
      </w:pPr>
      <w:r w:rsidRPr="00E07B1B">
        <w:rPr>
          <w:color w:val="282828"/>
          <w:lang w:eastAsia="ja-JP"/>
        </w:rPr>
        <w:t xml:space="preserve">Adapted from </w:t>
      </w:r>
      <w:r w:rsidRPr="00E07B1B">
        <w:t xml:space="preserve">National Institute </w:t>
      </w:r>
      <w:r>
        <w:t>for</w:t>
      </w:r>
      <w:r w:rsidRPr="00E07B1B">
        <w:t xml:space="preserve"> Health and </w:t>
      </w:r>
      <w:r>
        <w:t>Care</w:t>
      </w:r>
      <w:r w:rsidRPr="00E07B1B">
        <w:t xml:space="preserve"> Excellence</w:t>
      </w:r>
      <w:r>
        <w:t xml:space="preserve"> (NICE</w:t>
      </w:r>
      <w:r w:rsidRPr="00E07B1B">
        <w:t xml:space="preserve"> 2012</w:t>
      </w:r>
      <w:r>
        <w:t>)</w:t>
      </w:r>
    </w:p>
    <w:p w:rsidR="001D5E29" w:rsidRPr="001D5E29" w:rsidRDefault="001D5E29" w:rsidP="001D5E29"/>
    <w:p w:rsidR="00783BBE" w:rsidRDefault="00783BBE" w:rsidP="001D5E29">
      <w:pPr>
        <w:pStyle w:val="Table"/>
        <w:sectPr w:rsidR="00783BBE" w:rsidSect="00F26156">
          <w:footerReference w:type="default" r:id="rId78"/>
          <w:pgSz w:w="11907" w:h="16834" w:code="9"/>
          <w:pgMar w:top="851" w:right="1134" w:bottom="1418" w:left="1134" w:header="284" w:footer="567" w:gutter="284"/>
          <w:cols w:space="720"/>
        </w:sectPr>
      </w:pPr>
      <w:bookmarkStart w:id="603" w:name="_Toc363717854"/>
    </w:p>
    <w:p w:rsidR="0025490C" w:rsidRPr="00E07B1B" w:rsidRDefault="0025490C" w:rsidP="009024BB">
      <w:pPr>
        <w:pStyle w:val="Table"/>
        <w:spacing w:before="0"/>
      </w:pPr>
      <w:bookmarkStart w:id="604" w:name="_Toc403635931"/>
      <w:r w:rsidRPr="00E07B1B">
        <w:t>Table 50</w:t>
      </w:r>
      <w:r w:rsidR="001D5E29">
        <w:t>:</w:t>
      </w:r>
      <w:r w:rsidRPr="00E07B1B">
        <w:t xml:space="preserve"> Goals of the major diabetes prevention trials</w:t>
      </w:r>
      <w:bookmarkEnd w:id="603"/>
      <w:bookmarkEnd w:id="60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235"/>
        <w:gridCol w:w="3118"/>
        <w:gridCol w:w="1665"/>
        <w:gridCol w:w="1665"/>
        <w:gridCol w:w="1665"/>
        <w:gridCol w:w="1985"/>
        <w:gridCol w:w="2268"/>
      </w:tblGrid>
      <w:tr w:rsidR="0025490C" w:rsidRPr="001D5E29" w:rsidTr="009024BB">
        <w:trPr>
          <w:cantSplit/>
          <w:tblHeader/>
        </w:trPr>
        <w:tc>
          <w:tcPr>
            <w:tcW w:w="2235" w:type="dxa"/>
            <w:vMerge w:val="restart"/>
            <w:tcBorders>
              <w:left w:val="nil"/>
              <w:bottom w:val="nil"/>
              <w:right w:val="nil"/>
            </w:tcBorders>
            <w:shd w:val="clear" w:color="auto" w:fill="auto"/>
          </w:tcPr>
          <w:p w:rsidR="0025490C" w:rsidRPr="001D5E29" w:rsidRDefault="0025490C" w:rsidP="001D5E29">
            <w:pPr>
              <w:pStyle w:val="TableText"/>
              <w:rPr>
                <w:b/>
              </w:rPr>
            </w:pPr>
            <w:r w:rsidRPr="001D5E29">
              <w:rPr>
                <w:b/>
              </w:rPr>
              <w:t>Trial</w:t>
            </w:r>
          </w:p>
        </w:tc>
        <w:tc>
          <w:tcPr>
            <w:tcW w:w="12366" w:type="dxa"/>
            <w:gridSpan w:val="6"/>
            <w:tcBorders>
              <w:left w:val="nil"/>
              <w:bottom w:val="single" w:sz="4" w:space="0" w:color="A6A6A6" w:themeColor="background1" w:themeShade="A6"/>
              <w:right w:val="nil"/>
            </w:tcBorders>
            <w:shd w:val="clear" w:color="auto" w:fill="auto"/>
          </w:tcPr>
          <w:p w:rsidR="0025490C" w:rsidRPr="001D5E29" w:rsidRDefault="0025490C" w:rsidP="009024BB">
            <w:pPr>
              <w:pStyle w:val="TableText"/>
              <w:jc w:val="center"/>
              <w:rPr>
                <w:b/>
              </w:rPr>
            </w:pPr>
            <w:r w:rsidRPr="001D5E29">
              <w:rPr>
                <w:b/>
              </w:rPr>
              <w:t>Goals</w:t>
            </w:r>
          </w:p>
        </w:tc>
      </w:tr>
      <w:tr w:rsidR="0025490C" w:rsidRPr="001D5E29" w:rsidTr="009024BB">
        <w:trPr>
          <w:cantSplit/>
          <w:tblHeader/>
        </w:trPr>
        <w:tc>
          <w:tcPr>
            <w:tcW w:w="2235" w:type="dxa"/>
            <w:vMerge/>
            <w:tcBorders>
              <w:top w:val="nil"/>
              <w:left w:val="nil"/>
              <w:bottom w:val="single" w:sz="4" w:space="0" w:color="auto"/>
              <w:right w:val="nil"/>
            </w:tcBorders>
            <w:shd w:val="clear" w:color="auto" w:fill="auto"/>
          </w:tcPr>
          <w:p w:rsidR="0025490C" w:rsidRPr="001D5E29" w:rsidRDefault="0025490C" w:rsidP="001D5E29">
            <w:pPr>
              <w:pStyle w:val="TableText"/>
              <w:rPr>
                <w:b/>
              </w:rPr>
            </w:pPr>
          </w:p>
        </w:tc>
        <w:tc>
          <w:tcPr>
            <w:tcW w:w="3118" w:type="dxa"/>
            <w:tcBorders>
              <w:top w:val="single" w:sz="4" w:space="0" w:color="A6A6A6" w:themeColor="background1" w:themeShade="A6"/>
              <w:left w:val="nil"/>
              <w:bottom w:val="single" w:sz="4" w:space="0" w:color="auto"/>
              <w:right w:val="nil"/>
            </w:tcBorders>
            <w:shd w:val="clear" w:color="auto" w:fill="auto"/>
          </w:tcPr>
          <w:p w:rsidR="0025490C" w:rsidRPr="001D5E29" w:rsidRDefault="0025490C" w:rsidP="009024BB">
            <w:pPr>
              <w:pStyle w:val="TableText"/>
              <w:jc w:val="center"/>
              <w:rPr>
                <w:b/>
              </w:rPr>
            </w:pPr>
            <w:r w:rsidRPr="001D5E29">
              <w:rPr>
                <w:b/>
              </w:rPr>
              <w:t>Physical activity</w:t>
            </w:r>
          </w:p>
        </w:tc>
        <w:tc>
          <w:tcPr>
            <w:tcW w:w="1665" w:type="dxa"/>
            <w:tcBorders>
              <w:top w:val="single" w:sz="4" w:space="0" w:color="A6A6A6" w:themeColor="background1" w:themeShade="A6"/>
              <w:left w:val="nil"/>
              <w:bottom w:val="single" w:sz="4" w:space="0" w:color="auto"/>
              <w:right w:val="nil"/>
            </w:tcBorders>
            <w:shd w:val="clear" w:color="auto" w:fill="auto"/>
          </w:tcPr>
          <w:p w:rsidR="0025490C" w:rsidRPr="001D5E29" w:rsidRDefault="0025490C" w:rsidP="009024BB">
            <w:pPr>
              <w:pStyle w:val="TableText"/>
              <w:jc w:val="center"/>
              <w:rPr>
                <w:b/>
              </w:rPr>
            </w:pPr>
            <w:r w:rsidRPr="001D5E29">
              <w:rPr>
                <w:b/>
              </w:rPr>
              <w:t>Weight loss</w:t>
            </w:r>
          </w:p>
        </w:tc>
        <w:tc>
          <w:tcPr>
            <w:tcW w:w="1665" w:type="dxa"/>
            <w:tcBorders>
              <w:top w:val="single" w:sz="4" w:space="0" w:color="A6A6A6" w:themeColor="background1" w:themeShade="A6"/>
              <w:left w:val="nil"/>
              <w:bottom w:val="single" w:sz="4" w:space="0" w:color="auto"/>
              <w:right w:val="nil"/>
            </w:tcBorders>
            <w:shd w:val="clear" w:color="auto" w:fill="auto"/>
          </w:tcPr>
          <w:p w:rsidR="0025490C" w:rsidRPr="001D5E29" w:rsidRDefault="0025490C" w:rsidP="009024BB">
            <w:pPr>
              <w:pStyle w:val="TableText"/>
              <w:jc w:val="center"/>
              <w:rPr>
                <w:b/>
              </w:rPr>
            </w:pPr>
            <w:r w:rsidRPr="001D5E29">
              <w:rPr>
                <w:b/>
              </w:rPr>
              <w:t>Increase fibre intake</w:t>
            </w:r>
          </w:p>
        </w:tc>
        <w:tc>
          <w:tcPr>
            <w:tcW w:w="1665" w:type="dxa"/>
            <w:tcBorders>
              <w:top w:val="single" w:sz="4" w:space="0" w:color="A6A6A6" w:themeColor="background1" w:themeShade="A6"/>
              <w:left w:val="nil"/>
              <w:bottom w:val="single" w:sz="4" w:space="0" w:color="auto"/>
              <w:right w:val="nil"/>
            </w:tcBorders>
            <w:shd w:val="clear" w:color="auto" w:fill="auto"/>
          </w:tcPr>
          <w:p w:rsidR="0025490C" w:rsidRPr="001D5E29" w:rsidRDefault="0025490C" w:rsidP="009024BB">
            <w:pPr>
              <w:pStyle w:val="TableText"/>
              <w:jc w:val="center"/>
              <w:rPr>
                <w:b/>
              </w:rPr>
            </w:pPr>
            <w:r w:rsidRPr="001D5E29">
              <w:rPr>
                <w:b/>
              </w:rPr>
              <w:t>Reduce total fat intake</w:t>
            </w:r>
          </w:p>
        </w:tc>
        <w:tc>
          <w:tcPr>
            <w:tcW w:w="1985" w:type="dxa"/>
            <w:tcBorders>
              <w:top w:val="single" w:sz="4" w:space="0" w:color="A6A6A6" w:themeColor="background1" w:themeShade="A6"/>
              <w:left w:val="nil"/>
              <w:bottom w:val="single" w:sz="4" w:space="0" w:color="auto"/>
              <w:right w:val="nil"/>
            </w:tcBorders>
            <w:shd w:val="clear" w:color="auto" w:fill="auto"/>
          </w:tcPr>
          <w:p w:rsidR="0025490C" w:rsidRPr="001D5E29" w:rsidRDefault="0025490C" w:rsidP="009024BB">
            <w:pPr>
              <w:pStyle w:val="TableText"/>
              <w:jc w:val="center"/>
              <w:rPr>
                <w:b/>
              </w:rPr>
            </w:pPr>
            <w:r w:rsidRPr="001D5E29">
              <w:rPr>
                <w:b/>
              </w:rPr>
              <w:t>Reduce saturated fat intake</w:t>
            </w:r>
          </w:p>
        </w:tc>
        <w:tc>
          <w:tcPr>
            <w:tcW w:w="2268" w:type="dxa"/>
            <w:tcBorders>
              <w:top w:val="single" w:sz="4" w:space="0" w:color="A6A6A6" w:themeColor="background1" w:themeShade="A6"/>
              <w:left w:val="nil"/>
              <w:bottom w:val="single" w:sz="4" w:space="0" w:color="auto"/>
              <w:right w:val="nil"/>
            </w:tcBorders>
            <w:shd w:val="clear" w:color="auto" w:fill="auto"/>
          </w:tcPr>
          <w:p w:rsidR="0025490C" w:rsidRPr="001D5E29" w:rsidRDefault="0025490C" w:rsidP="009024BB">
            <w:pPr>
              <w:pStyle w:val="TableText"/>
              <w:jc w:val="center"/>
              <w:rPr>
                <w:b/>
              </w:rPr>
            </w:pPr>
            <w:r w:rsidRPr="001D5E29">
              <w:rPr>
                <w:b/>
              </w:rPr>
              <w:t>Other dietary goals</w:t>
            </w:r>
          </w:p>
        </w:tc>
      </w:tr>
      <w:tr w:rsidR="0025490C" w:rsidRPr="00274289" w:rsidTr="009024BB">
        <w:trPr>
          <w:cantSplit/>
        </w:trPr>
        <w:tc>
          <w:tcPr>
            <w:tcW w:w="2235" w:type="dxa"/>
            <w:tcBorders>
              <w:top w:val="single" w:sz="4" w:space="0" w:color="auto"/>
              <w:left w:val="nil"/>
              <w:bottom w:val="nil"/>
              <w:right w:val="nil"/>
            </w:tcBorders>
            <w:shd w:val="clear" w:color="auto" w:fill="F2F2F2" w:themeFill="background1" w:themeFillShade="F2"/>
          </w:tcPr>
          <w:p w:rsidR="0025490C" w:rsidRPr="00274289" w:rsidRDefault="0025490C" w:rsidP="009024BB">
            <w:pPr>
              <w:pStyle w:val="TableText"/>
            </w:pPr>
            <w:r w:rsidRPr="00274289">
              <w:rPr>
                <w:bCs/>
              </w:rPr>
              <w:t>Da-Qing study (China) (Pan</w:t>
            </w:r>
            <w:r>
              <w:rPr>
                <w:bCs/>
              </w:rPr>
              <w:t xml:space="preserve"> </w:t>
            </w:r>
            <w:r w:rsidRPr="00274289">
              <w:rPr>
                <w:bCs/>
              </w:rPr>
              <w:t>1997) Cluster-randomised</w:t>
            </w:r>
          </w:p>
        </w:tc>
        <w:tc>
          <w:tcPr>
            <w:tcW w:w="3118" w:type="dxa"/>
            <w:tcBorders>
              <w:top w:val="single" w:sz="4" w:space="0" w:color="auto"/>
              <w:left w:val="nil"/>
              <w:bottom w:val="nil"/>
              <w:right w:val="nil"/>
            </w:tcBorders>
            <w:shd w:val="clear" w:color="auto" w:fill="F2F2F2" w:themeFill="background1" w:themeFillShade="F2"/>
          </w:tcPr>
          <w:p w:rsidR="0025490C" w:rsidRPr="00274289" w:rsidRDefault="0025490C" w:rsidP="009024BB">
            <w:pPr>
              <w:pStyle w:val="TableText"/>
            </w:pPr>
            <w:r w:rsidRPr="00274289">
              <w:t>1</w:t>
            </w:r>
            <w:r>
              <w:t>–</w:t>
            </w:r>
            <w:r w:rsidRPr="00274289">
              <w:t xml:space="preserve">2 </w:t>
            </w:r>
            <w:r w:rsidR="0068074A">
              <w:t>‘</w:t>
            </w:r>
            <w:r w:rsidRPr="00274289">
              <w:t>units</w:t>
            </w:r>
            <w:r w:rsidR="0068074A">
              <w:t>’</w:t>
            </w:r>
            <w:r w:rsidRPr="00274289">
              <w:t xml:space="preserve"> a day. 1 unit = 30</w:t>
            </w:r>
            <w:r w:rsidR="009024BB">
              <w:t> </w:t>
            </w:r>
            <w:r w:rsidRPr="00274289">
              <w:t xml:space="preserve">minutes of slow walking or housework; or 20 minutes </w:t>
            </w:r>
            <w:r>
              <w:t xml:space="preserve">of </w:t>
            </w:r>
            <w:r w:rsidRPr="00274289">
              <w:t>fast walking/cycling or ballroom dancing; or 10 minutes</w:t>
            </w:r>
            <w:r>
              <w:t xml:space="preserve"> of</w:t>
            </w:r>
            <w:r w:rsidRPr="00274289">
              <w:t xml:space="preserve"> climbing stairs; or 5 minutes </w:t>
            </w:r>
            <w:r>
              <w:t xml:space="preserve">of </w:t>
            </w:r>
            <w:r w:rsidRPr="00274289">
              <w:t>swimming or basketball</w:t>
            </w:r>
          </w:p>
        </w:tc>
        <w:tc>
          <w:tcPr>
            <w:tcW w:w="1665" w:type="dxa"/>
            <w:tcBorders>
              <w:top w:val="single" w:sz="4" w:space="0" w:color="auto"/>
              <w:left w:val="nil"/>
              <w:bottom w:val="nil"/>
              <w:right w:val="nil"/>
            </w:tcBorders>
            <w:shd w:val="clear" w:color="auto" w:fill="F2F2F2" w:themeFill="background1" w:themeFillShade="F2"/>
          </w:tcPr>
          <w:p w:rsidR="0025490C" w:rsidRPr="00274289" w:rsidRDefault="0025490C" w:rsidP="009024BB">
            <w:pPr>
              <w:pStyle w:val="TableText"/>
            </w:pPr>
            <w:r w:rsidRPr="00274289">
              <w:t>Reduce body mass index to less than 24</w:t>
            </w:r>
            <w:r w:rsidR="009024BB">
              <w:t> </w:t>
            </w:r>
            <w:r w:rsidRPr="00274289">
              <w:t>kg/m</w:t>
            </w:r>
            <w:r w:rsidRPr="00274289">
              <w:rPr>
                <w:vertAlign w:val="superscript"/>
              </w:rPr>
              <w:t xml:space="preserve">2 </w:t>
            </w:r>
            <w:r w:rsidRPr="00274289">
              <w:t>if body mass index over 25 kg/m</w:t>
            </w:r>
            <w:r w:rsidRPr="00274289">
              <w:rPr>
                <w:vertAlign w:val="superscript"/>
              </w:rPr>
              <w:t>2</w:t>
            </w:r>
          </w:p>
        </w:tc>
        <w:tc>
          <w:tcPr>
            <w:tcW w:w="1665" w:type="dxa"/>
            <w:tcBorders>
              <w:top w:val="single" w:sz="4" w:space="0" w:color="auto"/>
              <w:left w:val="nil"/>
              <w:bottom w:val="nil"/>
              <w:right w:val="nil"/>
            </w:tcBorders>
            <w:shd w:val="clear" w:color="auto" w:fill="F2F2F2" w:themeFill="background1" w:themeFillShade="F2"/>
          </w:tcPr>
          <w:p w:rsidR="0025490C" w:rsidRPr="00274289" w:rsidRDefault="009024BB" w:rsidP="001D5E29">
            <w:pPr>
              <w:pStyle w:val="TableText"/>
            </w:pPr>
            <w:r>
              <w:t>–</w:t>
            </w:r>
          </w:p>
        </w:tc>
        <w:tc>
          <w:tcPr>
            <w:tcW w:w="1665" w:type="dxa"/>
            <w:tcBorders>
              <w:top w:val="single" w:sz="4" w:space="0" w:color="auto"/>
              <w:left w:val="nil"/>
              <w:bottom w:val="nil"/>
              <w:right w:val="nil"/>
            </w:tcBorders>
            <w:shd w:val="clear" w:color="auto" w:fill="F2F2F2" w:themeFill="background1" w:themeFillShade="F2"/>
          </w:tcPr>
          <w:p w:rsidR="0025490C" w:rsidRPr="00274289" w:rsidRDefault="0025490C" w:rsidP="009024BB">
            <w:pPr>
              <w:pStyle w:val="TableText"/>
            </w:pPr>
            <w:r w:rsidRPr="00274289">
              <w:t>Reduce to</w:t>
            </w:r>
            <w:r w:rsidR="009024BB">
              <w:br/>
            </w:r>
            <w:r w:rsidRPr="00274289">
              <w:t>25–30% of energy intake</w:t>
            </w:r>
          </w:p>
        </w:tc>
        <w:tc>
          <w:tcPr>
            <w:tcW w:w="1985" w:type="dxa"/>
            <w:tcBorders>
              <w:top w:val="single" w:sz="4" w:space="0" w:color="auto"/>
              <w:left w:val="nil"/>
              <w:bottom w:val="nil"/>
              <w:right w:val="nil"/>
            </w:tcBorders>
            <w:shd w:val="clear" w:color="auto" w:fill="F2F2F2" w:themeFill="background1" w:themeFillShade="F2"/>
          </w:tcPr>
          <w:p w:rsidR="0025490C" w:rsidRPr="00274289" w:rsidRDefault="0025490C" w:rsidP="001D5E29">
            <w:pPr>
              <w:pStyle w:val="TableText"/>
            </w:pPr>
          </w:p>
        </w:tc>
        <w:tc>
          <w:tcPr>
            <w:tcW w:w="2268" w:type="dxa"/>
            <w:tcBorders>
              <w:top w:val="single" w:sz="4" w:space="0" w:color="auto"/>
              <w:left w:val="nil"/>
              <w:bottom w:val="nil"/>
              <w:right w:val="nil"/>
            </w:tcBorders>
            <w:shd w:val="clear" w:color="auto" w:fill="F2F2F2" w:themeFill="background1" w:themeFillShade="F2"/>
          </w:tcPr>
          <w:p w:rsidR="0025490C" w:rsidRPr="00274289" w:rsidRDefault="0025490C" w:rsidP="001D5E29">
            <w:pPr>
              <w:pStyle w:val="TableText"/>
            </w:pPr>
            <w:r w:rsidRPr="00274289">
              <w:t>Carbohydrate</w:t>
            </w:r>
            <w:r w:rsidRPr="00274289">
              <w:rPr>
                <w:rFonts w:eastAsia="MS Mincho"/>
                <w:color w:val="282828"/>
                <w:lang w:eastAsia="ja-JP"/>
              </w:rPr>
              <w:t xml:space="preserve"> </w:t>
            </w:r>
            <w:r w:rsidRPr="00274289">
              <w:t>55–65% of energy intake. Increase vegetable intake. Reduce sugar intake. Control alcohol intake</w:t>
            </w:r>
          </w:p>
        </w:tc>
      </w:tr>
      <w:tr w:rsidR="0025490C" w:rsidRPr="00274289" w:rsidTr="009024BB">
        <w:trPr>
          <w:cantSplit/>
        </w:trPr>
        <w:tc>
          <w:tcPr>
            <w:tcW w:w="2235" w:type="dxa"/>
            <w:tcBorders>
              <w:top w:val="nil"/>
              <w:left w:val="nil"/>
              <w:bottom w:val="nil"/>
              <w:right w:val="nil"/>
            </w:tcBorders>
            <w:shd w:val="clear" w:color="auto" w:fill="auto"/>
          </w:tcPr>
          <w:p w:rsidR="0025490C" w:rsidRPr="00274289" w:rsidRDefault="0025490C" w:rsidP="001D5E29">
            <w:pPr>
              <w:pStyle w:val="TableText"/>
              <w:rPr>
                <w:bCs/>
              </w:rPr>
            </w:pPr>
            <w:r w:rsidRPr="00274289">
              <w:rPr>
                <w:bCs/>
              </w:rPr>
              <w:t>Diabetes prevention study (Finland) (Tuomilehto 2001)</w:t>
            </w:r>
          </w:p>
        </w:tc>
        <w:tc>
          <w:tcPr>
            <w:tcW w:w="3118" w:type="dxa"/>
            <w:tcBorders>
              <w:top w:val="nil"/>
              <w:left w:val="nil"/>
              <w:bottom w:val="nil"/>
              <w:right w:val="nil"/>
            </w:tcBorders>
            <w:shd w:val="clear" w:color="auto" w:fill="auto"/>
          </w:tcPr>
          <w:p w:rsidR="0025490C" w:rsidRPr="00274289" w:rsidRDefault="0025490C" w:rsidP="001D5E29">
            <w:pPr>
              <w:pStyle w:val="TableText"/>
            </w:pPr>
            <w:r w:rsidRPr="00274289">
              <w:rPr>
                <w:rFonts w:eastAsia="MS Mincho"/>
                <w:color w:val="282828"/>
                <w:lang w:eastAsia="ja-JP"/>
              </w:rPr>
              <w:t>More than 4 hours/week, moderate intensity</w:t>
            </w:r>
          </w:p>
        </w:tc>
        <w:tc>
          <w:tcPr>
            <w:tcW w:w="1665" w:type="dxa"/>
            <w:tcBorders>
              <w:top w:val="nil"/>
              <w:left w:val="nil"/>
              <w:bottom w:val="nil"/>
              <w:right w:val="nil"/>
            </w:tcBorders>
            <w:shd w:val="clear" w:color="auto" w:fill="auto"/>
          </w:tcPr>
          <w:p w:rsidR="0025490C" w:rsidRPr="00274289" w:rsidRDefault="0025490C" w:rsidP="001D5E29">
            <w:pPr>
              <w:pStyle w:val="TableText"/>
              <w:rPr>
                <w:rFonts w:eastAsia="MS Mincho"/>
                <w:color w:val="282828"/>
                <w:lang w:eastAsia="ja-JP"/>
              </w:rPr>
            </w:pPr>
            <w:r w:rsidRPr="00274289">
              <w:rPr>
                <w:rFonts w:eastAsia="MS Mincho"/>
                <w:color w:val="282828"/>
                <w:lang w:eastAsia="ja-JP"/>
              </w:rPr>
              <w:t>5% or more of initial body weight</w:t>
            </w:r>
          </w:p>
        </w:tc>
        <w:tc>
          <w:tcPr>
            <w:tcW w:w="1665" w:type="dxa"/>
            <w:tcBorders>
              <w:top w:val="nil"/>
              <w:left w:val="nil"/>
              <w:bottom w:val="nil"/>
              <w:right w:val="nil"/>
            </w:tcBorders>
            <w:shd w:val="clear" w:color="auto" w:fill="auto"/>
          </w:tcPr>
          <w:p w:rsidR="0025490C" w:rsidRPr="00274289" w:rsidRDefault="0025490C" w:rsidP="001D5E29">
            <w:pPr>
              <w:pStyle w:val="TableText"/>
              <w:rPr>
                <w:rFonts w:eastAsia="MS Mincho"/>
                <w:color w:val="282828"/>
                <w:lang w:eastAsia="ja-JP"/>
              </w:rPr>
            </w:pPr>
            <w:r w:rsidRPr="00274289">
              <w:rPr>
                <w:rFonts w:eastAsia="MS Mincho"/>
                <w:color w:val="282828"/>
                <w:lang w:eastAsia="ja-JP"/>
              </w:rPr>
              <w:t>Over 15 g per 1000 kcals</w:t>
            </w:r>
          </w:p>
        </w:tc>
        <w:tc>
          <w:tcPr>
            <w:tcW w:w="1665" w:type="dxa"/>
            <w:tcBorders>
              <w:top w:val="nil"/>
              <w:left w:val="nil"/>
              <w:bottom w:val="nil"/>
              <w:right w:val="nil"/>
            </w:tcBorders>
            <w:shd w:val="clear" w:color="auto" w:fill="auto"/>
          </w:tcPr>
          <w:p w:rsidR="0025490C" w:rsidRPr="00274289" w:rsidRDefault="0025490C" w:rsidP="001D5E29">
            <w:pPr>
              <w:pStyle w:val="TableText"/>
              <w:rPr>
                <w:rFonts w:eastAsia="MS Mincho"/>
                <w:color w:val="282828"/>
                <w:lang w:eastAsia="ja-JP"/>
              </w:rPr>
            </w:pPr>
            <w:r w:rsidRPr="00274289">
              <w:rPr>
                <w:rFonts w:eastAsia="MS Mincho"/>
                <w:color w:val="282828"/>
                <w:lang w:eastAsia="ja-JP"/>
              </w:rPr>
              <w:t>Reduce to less than 30% of energy intake</w:t>
            </w:r>
          </w:p>
        </w:tc>
        <w:tc>
          <w:tcPr>
            <w:tcW w:w="1985" w:type="dxa"/>
            <w:tcBorders>
              <w:top w:val="nil"/>
              <w:left w:val="nil"/>
              <w:bottom w:val="nil"/>
              <w:right w:val="nil"/>
            </w:tcBorders>
            <w:shd w:val="clear" w:color="auto" w:fill="auto"/>
          </w:tcPr>
          <w:p w:rsidR="0025490C" w:rsidRPr="00274289" w:rsidRDefault="0025490C" w:rsidP="001D5E29">
            <w:pPr>
              <w:pStyle w:val="TableText"/>
              <w:rPr>
                <w:rFonts w:eastAsia="MS Mincho"/>
                <w:color w:val="282828"/>
                <w:lang w:eastAsia="ja-JP"/>
              </w:rPr>
            </w:pPr>
            <w:r w:rsidRPr="00274289">
              <w:rPr>
                <w:rFonts w:eastAsia="MS Mincho"/>
                <w:color w:val="282828"/>
                <w:lang w:eastAsia="ja-JP"/>
              </w:rPr>
              <w:t>Less than 10% of energy intake</w:t>
            </w:r>
          </w:p>
        </w:tc>
        <w:tc>
          <w:tcPr>
            <w:tcW w:w="2268" w:type="dxa"/>
            <w:tcBorders>
              <w:top w:val="nil"/>
              <w:left w:val="nil"/>
              <w:bottom w:val="nil"/>
              <w:right w:val="nil"/>
            </w:tcBorders>
            <w:shd w:val="clear" w:color="auto" w:fill="auto"/>
          </w:tcPr>
          <w:p w:rsidR="0025490C" w:rsidRPr="00274289" w:rsidRDefault="009024BB" w:rsidP="009024BB">
            <w:pPr>
              <w:pStyle w:val="TableText"/>
              <w:jc w:val="center"/>
            </w:pPr>
            <w:r>
              <w:t>–</w:t>
            </w:r>
          </w:p>
        </w:tc>
      </w:tr>
      <w:tr w:rsidR="0025490C" w:rsidRPr="00274289" w:rsidTr="009024BB">
        <w:trPr>
          <w:cantSplit/>
        </w:trPr>
        <w:tc>
          <w:tcPr>
            <w:tcW w:w="2235" w:type="dxa"/>
            <w:tcBorders>
              <w:top w:val="nil"/>
              <w:left w:val="nil"/>
              <w:bottom w:val="nil"/>
              <w:right w:val="nil"/>
            </w:tcBorders>
            <w:shd w:val="clear" w:color="auto" w:fill="F2F2F2" w:themeFill="background1" w:themeFillShade="F2"/>
          </w:tcPr>
          <w:p w:rsidR="0025490C" w:rsidRPr="00274289" w:rsidRDefault="0025490C" w:rsidP="001D5E29">
            <w:pPr>
              <w:pStyle w:val="TableText"/>
              <w:rPr>
                <w:bCs/>
              </w:rPr>
            </w:pPr>
            <w:r w:rsidRPr="00274289">
              <w:rPr>
                <w:bCs/>
              </w:rPr>
              <w:t>Diabetes prevention program (USA) (Diabetes Prevention Program Research Group 2002)</w:t>
            </w:r>
          </w:p>
        </w:tc>
        <w:tc>
          <w:tcPr>
            <w:tcW w:w="3118" w:type="dxa"/>
            <w:tcBorders>
              <w:top w:val="nil"/>
              <w:left w:val="nil"/>
              <w:bottom w:val="nil"/>
              <w:right w:val="nil"/>
            </w:tcBorders>
            <w:shd w:val="clear" w:color="auto" w:fill="F2F2F2" w:themeFill="background1" w:themeFillShade="F2"/>
          </w:tcPr>
          <w:p w:rsidR="0025490C" w:rsidRPr="00274289" w:rsidRDefault="0025490C" w:rsidP="001D5E29">
            <w:pPr>
              <w:pStyle w:val="TableText"/>
              <w:rPr>
                <w:rFonts w:eastAsia="MS Mincho"/>
                <w:color w:val="282828"/>
                <w:lang w:eastAsia="ja-JP"/>
              </w:rPr>
            </w:pPr>
            <w:r w:rsidRPr="00274289">
              <w:rPr>
                <w:rFonts w:eastAsia="MS Mincho"/>
                <w:color w:val="282828"/>
                <w:lang w:eastAsia="ja-JP"/>
              </w:rPr>
              <w:t>At least 150 minutes/week moderate intensity</w:t>
            </w:r>
          </w:p>
        </w:tc>
        <w:tc>
          <w:tcPr>
            <w:tcW w:w="1665" w:type="dxa"/>
            <w:tcBorders>
              <w:top w:val="nil"/>
              <w:left w:val="nil"/>
              <w:bottom w:val="nil"/>
              <w:right w:val="nil"/>
            </w:tcBorders>
            <w:shd w:val="clear" w:color="auto" w:fill="F2F2F2" w:themeFill="background1" w:themeFillShade="F2"/>
          </w:tcPr>
          <w:p w:rsidR="0025490C" w:rsidRPr="00274289" w:rsidRDefault="0025490C" w:rsidP="001D5E29">
            <w:pPr>
              <w:pStyle w:val="TableText"/>
              <w:rPr>
                <w:rFonts w:eastAsia="MS Mincho"/>
                <w:color w:val="282828"/>
                <w:lang w:eastAsia="ja-JP"/>
              </w:rPr>
            </w:pPr>
            <w:r w:rsidRPr="00274289">
              <w:rPr>
                <w:rFonts w:eastAsia="MS Mincho"/>
                <w:color w:val="282828"/>
                <w:lang w:eastAsia="ja-JP"/>
              </w:rPr>
              <w:t>7% of initial body weight</w:t>
            </w:r>
          </w:p>
        </w:tc>
        <w:tc>
          <w:tcPr>
            <w:tcW w:w="1665" w:type="dxa"/>
            <w:tcBorders>
              <w:top w:val="nil"/>
              <w:left w:val="nil"/>
              <w:bottom w:val="nil"/>
              <w:right w:val="nil"/>
            </w:tcBorders>
            <w:shd w:val="clear" w:color="auto" w:fill="F2F2F2" w:themeFill="background1" w:themeFillShade="F2"/>
          </w:tcPr>
          <w:p w:rsidR="0025490C" w:rsidRPr="00274289" w:rsidRDefault="009024BB" w:rsidP="009024BB">
            <w:pPr>
              <w:pStyle w:val="TableText"/>
              <w:jc w:val="center"/>
              <w:rPr>
                <w:rFonts w:eastAsia="MS Mincho"/>
                <w:color w:val="282828"/>
                <w:lang w:eastAsia="ja-JP"/>
              </w:rPr>
            </w:pPr>
            <w:r>
              <w:rPr>
                <w:rFonts w:eastAsia="MS Mincho"/>
                <w:color w:val="282828"/>
                <w:lang w:eastAsia="ja-JP"/>
              </w:rPr>
              <w:t>–</w:t>
            </w:r>
          </w:p>
        </w:tc>
        <w:tc>
          <w:tcPr>
            <w:tcW w:w="1665" w:type="dxa"/>
            <w:tcBorders>
              <w:top w:val="nil"/>
              <w:left w:val="nil"/>
              <w:bottom w:val="nil"/>
              <w:right w:val="nil"/>
            </w:tcBorders>
            <w:shd w:val="clear" w:color="auto" w:fill="F2F2F2" w:themeFill="background1" w:themeFillShade="F2"/>
          </w:tcPr>
          <w:p w:rsidR="0025490C" w:rsidRPr="00274289" w:rsidRDefault="0025490C" w:rsidP="001D5E29">
            <w:pPr>
              <w:pStyle w:val="TableText"/>
              <w:rPr>
                <w:rFonts w:eastAsia="MS Mincho"/>
                <w:color w:val="282828"/>
                <w:lang w:eastAsia="ja-JP"/>
              </w:rPr>
            </w:pPr>
            <w:r w:rsidRPr="00274289">
              <w:rPr>
                <w:rFonts w:eastAsia="MS Mincho"/>
                <w:color w:val="282828"/>
                <w:lang w:eastAsia="ja-JP"/>
              </w:rPr>
              <w:t>Adopt a low-fat diet</w:t>
            </w:r>
          </w:p>
        </w:tc>
        <w:tc>
          <w:tcPr>
            <w:tcW w:w="1985" w:type="dxa"/>
            <w:tcBorders>
              <w:top w:val="nil"/>
              <w:left w:val="nil"/>
              <w:bottom w:val="nil"/>
              <w:right w:val="nil"/>
            </w:tcBorders>
            <w:shd w:val="clear" w:color="auto" w:fill="F2F2F2" w:themeFill="background1" w:themeFillShade="F2"/>
          </w:tcPr>
          <w:p w:rsidR="0025490C" w:rsidRPr="00274289" w:rsidRDefault="009024BB" w:rsidP="009024BB">
            <w:pPr>
              <w:pStyle w:val="TableText"/>
              <w:jc w:val="center"/>
              <w:rPr>
                <w:rFonts w:eastAsia="MS Mincho"/>
                <w:color w:val="282828"/>
                <w:lang w:eastAsia="ja-JP"/>
              </w:rPr>
            </w:pPr>
            <w:r>
              <w:rPr>
                <w:rFonts w:eastAsia="MS Mincho"/>
                <w:color w:val="282828"/>
                <w:lang w:eastAsia="ja-JP"/>
              </w:rPr>
              <w:t>–</w:t>
            </w:r>
          </w:p>
        </w:tc>
        <w:tc>
          <w:tcPr>
            <w:tcW w:w="2268" w:type="dxa"/>
            <w:tcBorders>
              <w:top w:val="nil"/>
              <w:left w:val="nil"/>
              <w:bottom w:val="nil"/>
              <w:right w:val="nil"/>
            </w:tcBorders>
            <w:shd w:val="clear" w:color="auto" w:fill="F2F2F2" w:themeFill="background1" w:themeFillShade="F2"/>
          </w:tcPr>
          <w:p w:rsidR="0025490C" w:rsidRPr="00274289" w:rsidRDefault="0025490C" w:rsidP="001D5E29">
            <w:pPr>
              <w:pStyle w:val="TableText"/>
            </w:pPr>
            <w:r w:rsidRPr="00274289">
              <w:rPr>
                <w:rFonts w:eastAsia="MS Mincho"/>
                <w:color w:val="282828"/>
                <w:lang w:eastAsia="ja-JP"/>
              </w:rPr>
              <w:t>Low calorie</w:t>
            </w:r>
          </w:p>
        </w:tc>
      </w:tr>
      <w:tr w:rsidR="0025490C" w:rsidRPr="00274289" w:rsidTr="009024BB">
        <w:trPr>
          <w:cantSplit/>
        </w:trPr>
        <w:tc>
          <w:tcPr>
            <w:tcW w:w="2235" w:type="dxa"/>
            <w:tcBorders>
              <w:top w:val="nil"/>
              <w:left w:val="nil"/>
              <w:right w:val="nil"/>
            </w:tcBorders>
            <w:shd w:val="clear" w:color="auto" w:fill="auto"/>
          </w:tcPr>
          <w:p w:rsidR="0025490C" w:rsidRPr="00274289" w:rsidRDefault="0025490C" w:rsidP="001D5E29">
            <w:pPr>
              <w:pStyle w:val="TableText"/>
              <w:rPr>
                <w:bCs/>
              </w:rPr>
            </w:pPr>
            <w:r w:rsidRPr="00274289">
              <w:rPr>
                <w:bCs/>
              </w:rPr>
              <w:t>Diabetes prevention program (India) (Ramachandran 2006)</w:t>
            </w:r>
          </w:p>
        </w:tc>
        <w:tc>
          <w:tcPr>
            <w:tcW w:w="3118" w:type="dxa"/>
            <w:tcBorders>
              <w:top w:val="nil"/>
              <w:left w:val="nil"/>
              <w:right w:val="nil"/>
            </w:tcBorders>
            <w:shd w:val="clear" w:color="auto" w:fill="auto"/>
          </w:tcPr>
          <w:p w:rsidR="0025490C" w:rsidRPr="00274289" w:rsidRDefault="0025490C" w:rsidP="001D5E29">
            <w:pPr>
              <w:pStyle w:val="TableText"/>
              <w:rPr>
                <w:rFonts w:eastAsia="MS Mincho"/>
                <w:color w:val="282828"/>
                <w:lang w:eastAsia="ja-JP"/>
              </w:rPr>
            </w:pPr>
            <w:r w:rsidRPr="00274289">
              <w:rPr>
                <w:rFonts w:eastAsia="MS Mincho"/>
                <w:color w:val="282828"/>
                <w:lang w:eastAsia="ja-JP"/>
              </w:rPr>
              <w:t xml:space="preserve">At least 30 minutes </w:t>
            </w:r>
            <w:r>
              <w:rPr>
                <w:rFonts w:eastAsia="MS Mincho"/>
                <w:color w:val="282828"/>
                <w:lang w:eastAsia="ja-JP"/>
              </w:rPr>
              <w:t>of b</w:t>
            </w:r>
            <w:r w:rsidRPr="00274289">
              <w:rPr>
                <w:rFonts w:eastAsia="MS Mincho"/>
                <w:color w:val="282828"/>
                <w:lang w:eastAsia="ja-JP"/>
              </w:rPr>
              <w:t>risk walking or cycling a day</w:t>
            </w:r>
          </w:p>
        </w:tc>
        <w:tc>
          <w:tcPr>
            <w:tcW w:w="1665" w:type="dxa"/>
            <w:tcBorders>
              <w:top w:val="nil"/>
              <w:left w:val="nil"/>
              <w:right w:val="nil"/>
            </w:tcBorders>
            <w:shd w:val="clear" w:color="auto" w:fill="auto"/>
          </w:tcPr>
          <w:p w:rsidR="0025490C" w:rsidRPr="00274289" w:rsidRDefault="009024BB" w:rsidP="009024BB">
            <w:pPr>
              <w:pStyle w:val="TableText"/>
              <w:jc w:val="center"/>
              <w:rPr>
                <w:rFonts w:eastAsia="MS Mincho"/>
                <w:color w:val="282828"/>
                <w:lang w:eastAsia="ja-JP"/>
              </w:rPr>
            </w:pPr>
            <w:r>
              <w:rPr>
                <w:rFonts w:eastAsia="MS Mincho"/>
                <w:color w:val="282828"/>
                <w:lang w:eastAsia="ja-JP"/>
              </w:rPr>
              <w:t>–</w:t>
            </w:r>
          </w:p>
        </w:tc>
        <w:tc>
          <w:tcPr>
            <w:tcW w:w="1665" w:type="dxa"/>
            <w:tcBorders>
              <w:top w:val="nil"/>
              <w:left w:val="nil"/>
              <w:right w:val="nil"/>
            </w:tcBorders>
            <w:shd w:val="clear" w:color="auto" w:fill="auto"/>
          </w:tcPr>
          <w:p w:rsidR="0025490C" w:rsidRPr="00274289" w:rsidRDefault="0025490C" w:rsidP="001D5E29">
            <w:pPr>
              <w:pStyle w:val="TableText"/>
              <w:rPr>
                <w:rFonts w:eastAsia="MS Mincho"/>
                <w:color w:val="282828"/>
                <w:lang w:eastAsia="ja-JP"/>
              </w:rPr>
            </w:pPr>
            <w:r w:rsidRPr="00274289">
              <w:rPr>
                <w:rFonts w:eastAsia="MS Mincho"/>
                <w:color w:val="282828"/>
                <w:lang w:eastAsia="ja-JP"/>
              </w:rPr>
              <w:t>Include fibre</w:t>
            </w:r>
            <w:r>
              <w:rPr>
                <w:rFonts w:eastAsia="MS Mincho"/>
                <w:color w:val="282828"/>
                <w:lang w:eastAsia="ja-JP"/>
              </w:rPr>
              <w:t>-</w:t>
            </w:r>
            <w:r w:rsidRPr="00274289">
              <w:rPr>
                <w:rFonts w:eastAsia="MS Mincho"/>
                <w:color w:val="282828"/>
                <w:lang w:eastAsia="ja-JP"/>
              </w:rPr>
              <w:t>rich foods</w:t>
            </w:r>
          </w:p>
        </w:tc>
        <w:tc>
          <w:tcPr>
            <w:tcW w:w="1665" w:type="dxa"/>
            <w:tcBorders>
              <w:top w:val="nil"/>
              <w:left w:val="nil"/>
              <w:right w:val="nil"/>
            </w:tcBorders>
            <w:shd w:val="clear" w:color="auto" w:fill="auto"/>
          </w:tcPr>
          <w:p w:rsidR="0025490C" w:rsidRPr="00274289" w:rsidRDefault="0025490C" w:rsidP="001D5E29">
            <w:pPr>
              <w:pStyle w:val="TableText"/>
              <w:rPr>
                <w:rFonts w:eastAsia="MS Mincho"/>
                <w:color w:val="282828"/>
                <w:lang w:eastAsia="ja-JP"/>
              </w:rPr>
            </w:pPr>
            <w:r w:rsidRPr="00274289">
              <w:rPr>
                <w:rFonts w:eastAsia="MS Mincho"/>
                <w:color w:val="282828"/>
                <w:lang w:eastAsia="ja-JP"/>
              </w:rPr>
              <w:t>Reduc</w:t>
            </w:r>
            <w:r>
              <w:rPr>
                <w:rFonts w:eastAsia="MS Mincho"/>
                <w:color w:val="282828"/>
                <w:lang w:eastAsia="ja-JP"/>
              </w:rPr>
              <w:t>e</w:t>
            </w:r>
            <w:r w:rsidRPr="00274289">
              <w:rPr>
                <w:rFonts w:eastAsia="MS Mincho"/>
                <w:color w:val="282828"/>
                <w:lang w:eastAsia="ja-JP"/>
              </w:rPr>
              <w:t xml:space="preserve"> fats</w:t>
            </w:r>
          </w:p>
        </w:tc>
        <w:tc>
          <w:tcPr>
            <w:tcW w:w="1985" w:type="dxa"/>
            <w:tcBorders>
              <w:top w:val="nil"/>
              <w:left w:val="nil"/>
              <w:right w:val="nil"/>
            </w:tcBorders>
            <w:shd w:val="clear" w:color="auto" w:fill="auto"/>
          </w:tcPr>
          <w:p w:rsidR="0025490C" w:rsidRPr="00274289" w:rsidRDefault="009024BB" w:rsidP="009024BB">
            <w:pPr>
              <w:pStyle w:val="TableText"/>
              <w:jc w:val="center"/>
              <w:rPr>
                <w:rFonts w:eastAsia="MS Mincho"/>
                <w:color w:val="282828"/>
                <w:lang w:eastAsia="ja-JP"/>
              </w:rPr>
            </w:pPr>
            <w:r>
              <w:rPr>
                <w:rFonts w:eastAsia="MS Mincho"/>
                <w:color w:val="282828"/>
                <w:lang w:eastAsia="ja-JP"/>
              </w:rPr>
              <w:t>–</w:t>
            </w:r>
          </w:p>
        </w:tc>
        <w:tc>
          <w:tcPr>
            <w:tcW w:w="2268" w:type="dxa"/>
            <w:tcBorders>
              <w:top w:val="nil"/>
              <w:left w:val="nil"/>
              <w:right w:val="nil"/>
            </w:tcBorders>
            <w:shd w:val="clear" w:color="auto" w:fill="auto"/>
          </w:tcPr>
          <w:p w:rsidR="0025490C" w:rsidRPr="00274289" w:rsidRDefault="0025490C" w:rsidP="001D5E29">
            <w:pPr>
              <w:pStyle w:val="TableText"/>
              <w:rPr>
                <w:rFonts w:eastAsia="MS Mincho"/>
                <w:color w:val="282828"/>
                <w:lang w:eastAsia="ja-JP"/>
              </w:rPr>
            </w:pPr>
            <w:r w:rsidRPr="00274289">
              <w:rPr>
                <w:rFonts w:eastAsia="MS Mincho"/>
                <w:color w:val="282828"/>
                <w:lang w:eastAsia="ja-JP"/>
              </w:rPr>
              <w:t>Reduce total calorie and refined carbohydrate intake. Avoid sugar</w:t>
            </w:r>
          </w:p>
        </w:tc>
      </w:tr>
    </w:tbl>
    <w:p w:rsidR="0025490C" w:rsidRDefault="0025490C" w:rsidP="001D5E29">
      <w:pPr>
        <w:pStyle w:val="Source"/>
      </w:pPr>
      <w:r>
        <w:t xml:space="preserve">Source: </w:t>
      </w:r>
      <w:r w:rsidRPr="00E07B1B">
        <w:t>Reproduced from</w:t>
      </w:r>
      <w:r>
        <w:t xml:space="preserve"> </w:t>
      </w:r>
      <w:r w:rsidRPr="00E07B1B">
        <w:t xml:space="preserve">National Institute </w:t>
      </w:r>
      <w:r>
        <w:t>for</w:t>
      </w:r>
      <w:r w:rsidRPr="00E07B1B">
        <w:t xml:space="preserve"> Health and </w:t>
      </w:r>
      <w:r>
        <w:t xml:space="preserve">Care </w:t>
      </w:r>
      <w:r w:rsidRPr="00E07B1B">
        <w:t xml:space="preserve">Excellence </w:t>
      </w:r>
      <w:r>
        <w:t xml:space="preserve">(NICE </w:t>
      </w:r>
      <w:r w:rsidRPr="00E07B1B">
        <w:t>2012</w:t>
      </w:r>
      <w:r>
        <w:t>)</w:t>
      </w:r>
    </w:p>
    <w:p w:rsidR="001D5E29" w:rsidRPr="001D5E29" w:rsidRDefault="001D5E29" w:rsidP="001D5E29"/>
    <w:p w:rsidR="00783BBE" w:rsidRDefault="00783BBE" w:rsidP="009024BB">
      <w:bookmarkStart w:id="605" w:name="_Toc363717855"/>
    </w:p>
    <w:p w:rsidR="00783BBE" w:rsidRDefault="00783BBE" w:rsidP="001D5E29">
      <w:pPr>
        <w:pStyle w:val="BoxTitle"/>
        <w:sectPr w:rsidR="00783BBE" w:rsidSect="00783BBE">
          <w:pgSz w:w="16834" w:h="11907" w:orient="landscape" w:code="9"/>
          <w:pgMar w:top="1134" w:right="1134" w:bottom="1134" w:left="1134" w:header="284" w:footer="567" w:gutter="0"/>
          <w:cols w:space="720"/>
          <w:docGrid w:linePitch="299"/>
        </w:sectPr>
      </w:pPr>
    </w:p>
    <w:p w:rsidR="0025490C" w:rsidRDefault="0025490C" w:rsidP="009024BB">
      <w:pPr>
        <w:pStyle w:val="BoxTitle"/>
        <w:spacing w:before="0"/>
      </w:pPr>
      <w:r w:rsidRPr="00E07B1B">
        <w:t>Box 1</w:t>
      </w:r>
      <w:r w:rsidR="001D5E29">
        <w:t>:</w:t>
      </w:r>
      <w:r w:rsidRPr="00E07B1B">
        <w:t xml:space="preserve"> EURO guideline lifestyle interventions for the prevention of type 2 diabetes</w:t>
      </w:r>
      <w:bookmarkEnd w:id="605"/>
    </w:p>
    <w:p w:rsidR="009024BB" w:rsidRDefault="009024BB" w:rsidP="009024BB">
      <w:pPr>
        <w:pStyle w:val="BoxHeading"/>
        <w:spacing w:after="120"/>
      </w:pPr>
      <w:r>
        <w:t>EURO lifestyle interventions for preventing type 2 diabetes</w:t>
      </w:r>
    </w:p>
    <w:p w:rsidR="009024BB" w:rsidRDefault="009024BB" w:rsidP="009024BB">
      <w:pPr>
        <w:pStyle w:val="BoxBullet"/>
      </w:pPr>
      <w:r>
        <w:t>Intensive lifestyle interventions to encourage people to change their diet and to increase physical activity levels should be used to prevent or delay the onset of type 2 diabetes in adults with impaired glucose tolerance. The number needed to treat for prevention of one case of type 2 diabetes was 6.4 (95% CI 5.0–8.4) at mean follow-up ranging from 1.83 to 4.62 years. (A grade recommendation)</w:t>
      </w:r>
    </w:p>
    <w:p w:rsidR="009024BB" w:rsidRDefault="009024BB" w:rsidP="009024BB">
      <w:pPr>
        <w:pStyle w:val="BoxBullet"/>
      </w:pPr>
      <w:r>
        <w:t>Weight reduction is an essential element of prevention of type 2 diabetes prevention. Sustained weight reduction by 5–7% is sufficient to substantially lower the risk of type 2 diabetes. (A grade recommendation)</w:t>
      </w:r>
    </w:p>
    <w:p w:rsidR="009024BB" w:rsidRDefault="009024BB" w:rsidP="009024BB">
      <w:pPr>
        <w:pStyle w:val="BoxBullet"/>
      </w:pPr>
      <w:r>
        <w:t>An increase in physical activity even at a level of 30 minutes per day of moderate exercise reduces the risk of type 2 diabetes and is therefore recommended. (B grade recommendation)</w:t>
      </w:r>
    </w:p>
    <w:p w:rsidR="009024BB" w:rsidRDefault="009024BB" w:rsidP="009024BB">
      <w:pPr>
        <w:pStyle w:val="BoxBullet"/>
      </w:pPr>
      <w:r>
        <w:t>A diet with high fibre (≥ 15 g per 1000 kcal), moderate fat (≤ 10% of total energy) can lower body weight. (B grade recommendation)</w:t>
      </w:r>
    </w:p>
    <w:p w:rsidR="009024BB" w:rsidRDefault="009024BB" w:rsidP="009024BB">
      <w:pPr>
        <w:pStyle w:val="BoxBullet"/>
      </w:pPr>
      <w:r>
        <w:t>Comorbidities, particularly metabolic syndrome, should be monitored and taken into account while planning the diet. (C grade recommendation)</w:t>
      </w:r>
    </w:p>
    <w:p w:rsidR="009024BB" w:rsidRDefault="009024BB" w:rsidP="009024BB">
      <w:pPr>
        <w:pStyle w:val="BoxBullet"/>
      </w:pPr>
      <w:r>
        <w:t>Currently there is no evidence from long-term prevention studies that reducing total dietary carbohydrate prevents type 2 diabetes. Carbohydrate sources should mainly be wholegrain cereal, fruit, vegetables, and legumes. (C grade recommendation)</w:t>
      </w:r>
    </w:p>
    <w:p w:rsidR="009024BB" w:rsidRDefault="009024BB" w:rsidP="009024BB">
      <w:pPr>
        <w:pStyle w:val="BoxBullet"/>
      </w:pPr>
      <w:r>
        <w:t>There is no evidence from clinical trials of the effectiveness of interventions to prevent the onset of type 2 diabetes among children and adolescents. However, on the basis of physiological evidence and research in adults it can reasonably be assumed that maintaining a healthy weight through physical activity and balanced/healthy nutrition is the key factor and will be important to prevent or postpone the onset of type 2 diabetes among youth. (C grade recommendation)</w:t>
      </w:r>
    </w:p>
    <w:p w:rsidR="009024BB" w:rsidRPr="009024BB" w:rsidRDefault="009024BB" w:rsidP="009024BB">
      <w:pPr>
        <w:pStyle w:val="Source"/>
      </w:pPr>
      <w:r>
        <w:t>Adapted from a European evidence-based guideline for the prevention of type 2 diabetes (Paulweber, 2010, page S17).</w:t>
      </w:r>
    </w:p>
    <w:p w:rsidR="0025490C" w:rsidRPr="00E07B1B" w:rsidRDefault="0025490C" w:rsidP="001D5E29"/>
    <w:p w:rsidR="0025490C" w:rsidRPr="00E07B1B" w:rsidRDefault="0025490C" w:rsidP="001D5E29">
      <w:pPr>
        <w:pStyle w:val="Table"/>
      </w:pPr>
      <w:bookmarkStart w:id="606" w:name="_Toc363717856"/>
      <w:bookmarkStart w:id="607" w:name="_Toc403635932"/>
      <w:r w:rsidRPr="00E07B1B">
        <w:t>Table 51</w:t>
      </w:r>
      <w:r w:rsidR="001D5E29">
        <w:t>:</w:t>
      </w:r>
      <w:r w:rsidRPr="00E07B1B">
        <w:t xml:space="preserve"> Table of effects: </w:t>
      </w:r>
      <w:r w:rsidR="001D5E29">
        <w:t>p</w:t>
      </w:r>
      <w:r w:rsidRPr="00E07B1B">
        <w:t>harmacological treatments for people with impaired glucose tolerance</w:t>
      </w:r>
      <w:bookmarkEnd w:id="606"/>
      <w:bookmarkEnd w:id="607"/>
    </w:p>
    <w:tbl>
      <w:tblPr>
        <w:tblW w:w="494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2412"/>
        <w:gridCol w:w="2692"/>
        <w:gridCol w:w="4251"/>
      </w:tblGrid>
      <w:tr w:rsidR="0025490C" w:rsidRPr="001D5E29" w:rsidTr="00345C95">
        <w:trPr>
          <w:cantSplit/>
        </w:trPr>
        <w:tc>
          <w:tcPr>
            <w:tcW w:w="1289" w:type="pct"/>
            <w:tcBorders>
              <w:top w:val="single" w:sz="4" w:space="0" w:color="auto"/>
              <w:bottom w:val="single" w:sz="4" w:space="0" w:color="auto"/>
            </w:tcBorders>
            <w:shd w:val="clear" w:color="auto" w:fill="auto"/>
          </w:tcPr>
          <w:p w:rsidR="0025490C" w:rsidRPr="001D5E29" w:rsidRDefault="0025490C" w:rsidP="001D5E29">
            <w:pPr>
              <w:pStyle w:val="TableText"/>
              <w:rPr>
                <w:b/>
              </w:rPr>
            </w:pPr>
            <w:r w:rsidRPr="001D5E29">
              <w:rPr>
                <w:b/>
              </w:rPr>
              <w:t>Guideline</w:t>
            </w:r>
          </w:p>
        </w:tc>
        <w:tc>
          <w:tcPr>
            <w:tcW w:w="1439" w:type="pct"/>
            <w:tcBorders>
              <w:top w:val="single" w:sz="4" w:space="0" w:color="auto"/>
              <w:bottom w:val="single" w:sz="4" w:space="0" w:color="auto"/>
            </w:tcBorders>
            <w:shd w:val="clear" w:color="auto" w:fill="auto"/>
          </w:tcPr>
          <w:p w:rsidR="0025490C" w:rsidRPr="001D5E29" w:rsidRDefault="001D5E29" w:rsidP="001D5E29">
            <w:pPr>
              <w:pStyle w:val="TableText"/>
              <w:rPr>
                <w:b/>
              </w:rPr>
            </w:pPr>
            <w:r>
              <w:rPr>
                <w:b/>
              </w:rPr>
              <w:t>Outcome</w:t>
            </w:r>
          </w:p>
        </w:tc>
        <w:tc>
          <w:tcPr>
            <w:tcW w:w="2273" w:type="pct"/>
            <w:tcBorders>
              <w:top w:val="single" w:sz="4" w:space="0" w:color="auto"/>
              <w:bottom w:val="single" w:sz="4" w:space="0" w:color="auto"/>
            </w:tcBorders>
            <w:shd w:val="clear" w:color="auto" w:fill="auto"/>
          </w:tcPr>
          <w:p w:rsidR="0025490C" w:rsidRPr="001D5E29" w:rsidRDefault="0025490C" w:rsidP="0045166A">
            <w:pPr>
              <w:pStyle w:val="TableText"/>
              <w:jc w:val="center"/>
              <w:rPr>
                <w:b/>
              </w:rPr>
            </w:pPr>
            <w:r w:rsidRPr="001D5E29">
              <w:rPr>
                <w:b/>
              </w:rPr>
              <w:t>Hazard ratio (95% confidence interval)</w:t>
            </w:r>
          </w:p>
        </w:tc>
      </w:tr>
      <w:tr w:rsidR="0025490C" w:rsidRPr="00E07B1B" w:rsidTr="00345C95">
        <w:trPr>
          <w:cantSplit/>
        </w:trPr>
        <w:tc>
          <w:tcPr>
            <w:tcW w:w="1289" w:type="pct"/>
            <w:vMerge w:val="restart"/>
            <w:tcBorders>
              <w:top w:val="single" w:sz="4" w:space="0" w:color="auto"/>
            </w:tcBorders>
            <w:shd w:val="clear" w:color="auto" w:fill="auto"/>
          </w:tcPr>
          <w:p w:rsidR="0025490C" w:rsidRPr="00E07B1B" w:rsidRDefault="0025490C" w:rsidP="0045166A">
            <w:pPr>
              <w:pStyle w:val="TableText"/>
            </w:pPr>
            <w:r w:rsidRPr="00E07B1B">
              <w:t>NICE: Preventing</w:t>
            </w:r>
            <w:r w:rsidR="0045166A">
              <w:br/>
            </w:r>
            <w:r w:rsidRPr="00E07B1B">
              <w:t>type 2 diabetes</w:t>
            </w:r>
          </w:p>
        </w:tc>
        <w:tc>
          <w:tcPr>
            <w:tcW w:w="1439" w:type="pct"/>
            <w:tcBorders>
              <w:top w:val="single" w:sz="4" w:space="0" w:color="auto"/>
            </w:tcBorders>
            <w:shd w:val="clear" w:color="auto" w:fill="auto"/>
          </w:tcPr>
          <w:p w:rsidR="0025490C" w:rsidRPr="00E07B1B" w:rsidRDefault="0025490C" w:rsidP="001D5E29">
            <w:pPr>
              <w:pStyle w:val="TableText"/>
            </w:pPr>
            <w:r w:rsidRPr="00E07B1B">
              <w:t>Pharmacological treatments</w:t>
            </w:r>
          </w:p>
        </w:tc>
        <w:tc>
          <w:tcPr>
            <w:tcW w:w="2273" w:type="pct"/>
            <w:tcBorders>
              <w:top w:val="single" w:sz="4" w:space="0" w:color="auto"/>
            </w:tcBorders>
            <w:shd w:val="clear" w:color="auto" w:fill="auto"/>
          </w:tcPr>
          <w:p w:rsidR="0025490C" w:rsidRPr="00E07B1B" w:rsidRDefault="0025490C" w:rsidP="0045166A">
            <w:pPr>
              <w:pStyle w:val="TableText"/>
              <w:jc w:val="center"/>
            </w:pPr>
            <w:r w:rsidRPr="00E07B1B">
              <w:rPr>
                <w:rFonts w:eastAsia="MS Mincho"/>
                <w:color w:val="282828"/>
                <w:lang w:eastAsia="ja-JP"/>
              </w:rPr>
              <w:t>0.64 (0.53</w:t>
            </w:r>
            <w:r>
              <w:rPr>
                <w:rFonts w:eastAsia="MS Mincho"/>
                <w:color w:val="282828"/>
                <w:lang w:eastAsia="ja-JP"/>
              </w:rPr>
              <w:t>–</w:t>
            </w:r>
            <w:r w:rsidRPr="00E07B1B">
              <w:rPr>
                <w:rFonts w:eastAsia="MS Mincho"/>
                <w:color w:val="282828"/>
                <w:lang w:eastAsia="ja-JP"/>
              </w:rPr>
              <w:t>0.76)</w:t>
            </w:r>
          </w:p>
        </w:tc>
      </w:tr>
      <w:tr w:rsidR="0025490C" w:rsidRPr="00E07B1B" w:rsidTr="00345C95">
        <w:trPr>
          <w:cantSplit/>
        </w:trPr>
        <w:tc>
          <w:tcPr>
            <w:tcW w:w="1289" w:type="pct"/>
            <w:vMerge/>
            <w:shd w:val="clear" w:color="auto" w:fill="auto"/>
          </w:tcPr>
          <w:p w:rsidR="0025490C" w:rsidRPr="00E07B1B" w:rsidRDefault="0025490C" w:rsidP="001D5E29">
            <w:pPr>
              <w:pStyle w:val="TableText"/>
            </w:pPr>
          </w:p>
        </w:tc>
        <w:tc>
          <w:tcPr>
            <w:tcW w:w="1439" w:type="pct"/>
            <w:shd w:val="clear" w:color="auto" w:fill="auto"/>
          </w:tcPr>
          <w:p w:rsidR="0025490C" w:rsidRPr="00E07B1B" w:rsidRDefault="0025490C" w:rsidP="001D5E29">
            <w:pPr>
              <w:pStyle w:val="TableText"/>
            </w:pPr>
            <w:r w:rsidRPr="00E07B1B">
              <w:t>Oral diabetes drugs</w:t>
            </w:r>
          </w:p>
        </w:tc>
        <w:tc>
          <w:tcPr>
            <w:tcW w:w="2273" w:type="pct"/>
            <w:shd w:val="clear" w:color="auto" w:fill="auto"/>
          </w:tcPr>
          <w:p w:rsidR="0025490C" w:rsidRPr="00E07B1B" w:rsidRDefault="0025490C" w:rsidP="0045166A">
            <w:pPr>
              <w:pStyle w:val="TableText"/>
              <w:jc w:val="center"/>
              <w:rPr>
                <w:rFonts w:eastAsia="MS Mincho"/>
                <w:color w:val="282828"/>
                <w:lang w:eastAsia="ja-JP"/>
              </w:rPr>
            </w:pPr>
            <w:r w:rsidRPr="00E07B1B">
              <w:rPr>
                <w:rFonts w:eastAsia="MS Mincho"/>
                <w:color w:val="282828"/>
                <w:lang w:eastAsia="ja-JP"/>
              </w:rPr>
              <w:t>0.60 (0.44</w:t>
            </w:r>
            <w:r>
              <w:rPr>
                <w:rFonts w:eastAsia="MS Mincho"/>
                <w:color w:val="282828"/>
                <w:lang w:eastAsia="ja-JP"/>
              </w:rPr>
              <w:t>–</w:t>
            </w:r>
            <w:r w:rsidRPr="00E07B1B">
              <w:rPr>
                <w:rFonts w:eastAsia="MS Mincho"/>
                <w:color w:val="282828"/>
                <w:lang w:eastAsia="ja-JP"/>
              </w:rPr>
              <w:t>0.82)</w:t>
            </w:r>
          </w:p>
        </w:tc>
      </w:tr>
      <w:tr w:rsidR="0025490C" w:rsidRPr="00E07B1B" w:rsidTr="00345C95">
        <w:trPr>
          <w:cantSplit/>
        </w:trPr>
        <w:tc>
          <w:tcPr>
            <w:tcW w:w="1289" w:type="pct"/>
            <w:vMerge/>
            <w:shd w:val="clear" w:color="auto" w:fill="auto"/>
          </w:tcPr>
          <w:p w:rsidR="0025490C" w:rsidRPr="00E07B1B" w:rsidRDefault="0025490C" w:rsidP="001D5E29">
            <w:pPr>
              <w:pStyle w:val="TableText"/>
            </w:pPr>
          </w:p>
        </w:tc>
        <w:tc>
          <w:tcPr>
            <w:tcW w:w="1439" w:type="pct"/>
            <w:shd w:val="clear" w:color="auto" w:fill="auto"/>
          </w:tcPr>
          <w:p w:rsidR="0025490C" w:rsidRPr="00E07B1B" w:rsidRDefault="0025490C" w:rsidP="001D5E29">
            <w:pPr>
              <w:pStyle w:val="TableText"/>
            </w:pPr>
            <w:r w:rsidRPr="00E07B1B">
              <w:t>Anti-obesity drugs</w:t>
            </w:r>
          </w:p>
        </w:tc>
        <w:tc>
          <w:tcPr>
            <w:tcW w:w="2273" w:type="pct"/>
            <w:shd w:val="clear" w:color="auto" w:fill="auto"/>
          </w:tcPr>
          <w:p w:rsidR="0025490C" w:rsidRPr="00E07B1B" w:rsidRDefault="0025490C" w:rsidP="0045166A">
            <w:pPr>
              <w:pStyle w:val="TableText"/>
              <w:jc w:val="center"/>
              <w:rPr>
                <w:rFonts w:eastAsia="MS Mincho"/>
                <w:color w:val="282828"/>
                <w:lang w:eastAsia="ja-JP"/>
              </w:rPr>
            </w:pPr>
            <w:r w:rsidRPr="00E07B1B">
              <w:rPr>
                <w:rFonts w:eastAsia="MS Mincho"/>
                <w:color w:val="282828"/>
                <w:lang w:eastAsia="ja-JP"/>
              </w:rPr>
              <w:t>0.67 (0.55</w:t>
            </w:r>
            <w:r>
              <w:rPr>
                <w:rFonts w:eastAsia="MS Mincho"/>
                <w:color w:val="282828"/>
                <w:lang w:eastAsia="ja-JP"/>
              </w:rPr>
              <w:t>–</w:t>
            </w:r>
            <w:r w:rsidRPr="00E07B1B">
              <w:rPr>
                <w:rFonts w:eastAsia="MS Mincho"/>
                <w:color w:val="282828"/>
                <w:lang w:eastAsia="ja-JP"/>
              </w:rPr>
              <w:t>0.81)</w:t>
            </w:r>
          </w:p>
        </w:tc>
      </w:tr>
    </w:tbl>
    <w:p w:rsidR="0025490C" w:rsidRPr="00E07B1B" w:rsidRDefault="0025490C" w:rsidP="001D5E29">
      <w:pPr>
        <w:pStyle w:val="Source"/>
      </w:pPr>
      <w:r w:rsidRPr="00E07B1B">
        <w:rPr>
          <w:color w:val="282828"/>
          <w:lang w:eastAsia="ja-JP"/>
        </w:rPr>
        <w:t xml:space="preserve">Adapted from </w:t>
      </w:r>
      <w:r w:rsidRPr="00E07B1B">
        <w:t xml:space="preserve">National Institute </w:t>
      </w:r>
      <w:r>
        <w:t>for</w:t>
      </w:r>
      <w:r w:rsidRPr="00E07B1B">
        <w:t xml:space="preserve"> Health and </w:t>
      </w:r>
      <w:r>
        <w:t xml:space="preserve">Care </w:t>
      </w:r>
      <w:r w:rsidRPr="00E07B1B">
        <w:t xml:space="preserve">Excellence </w:t>
      </w:r>
      <w:r>
        <w:t xml:space="preserve">(NICE </w:t>
      </w:r>
      <w:r w:rsidRPr="00E07B1B">
        <w:t>2012</w:t>
      </w:r>
      <w:r>
        <w:t>)</w:t>
      </w:r>
    </w:p>
    <w:p w:rsidR="0025490C" w:rsidRPr="00E07B1B" w:rsidRDefault="0025490C" w:rsidP="001D5E29">
      <w:pPr>
        <w:rPr>
          <w:rFonts w:eastAsia="MS Gothic"/>
        </w:rPr>
      </w:pPr>
    </w:p>
    <w:p w:rsidR="0025490C" w:rsidRPr="00E07B1B" w:rsidRDefault="001D5E29" w:rsidP="001D5E29">
      <w:pPr>
        <w:pStyle w:val="BoxTitle"/>
      </w:pPr>
      <w:bookmarkStart w:id="608" w:name="_Toc363717857"/>
      <w:r>
        <w:t>B</w:t>
      </w:r>
      <w:r w:rsidR="0025490C" w:rsidRPr="00E07B1B">
        <w:t>ox 2. EURO guideline pharmacological interventions for the prevention of type 2 diabetes</w:t>
      </w:r>
      <w:bookmarkEnd w:id="608"/>
    </w:p>
    <w:p w:rsidR="00F3308D" w:rsidRDefault="00345C95" w:rsidP="00345C95">
      <w:pPr>
        <w:pStyle w:val="BoxBullet"/>
        <w:keepNext/>
      </w:pPr>
      <w:r>
        <w:t>In people with impaired glucose tolerance, metformin and acarbose can be used as second-line strategies for prevention of type 2 diabetes, provided that the drugs are tolerated (gastrointestinal side-effects), and contra-indications to metformin therapy (kidney, liver diseases, hypoxic conditions) are considered. (A grade recommendation)</w:t>
      </w:r>
    </w:p>
    <w:p w:rsidR="00345C95" w:rsidRDefault="00345C95" w:rsidP="00345C95">
      <w:pPr>
        <w:pStyle w:val="BoxBullet"/>
      </w:pPr>
      <w:r>
        <w:t>In obese people with or without impaired glucose tolerance, carefully monitored anti</w:t>
      </w:r>
      <w:r>
        <w:noBreakHyphen/>
        <w:t>obesity treatment with orlistat, in addition to intensive lifestyle modification, can be used as a second-line strategy to prevent type 2 diabetes. (A grade recommendation)</w:t>
      </w:r>
    </w:p>
    <w:p w:rsidR="00345C95" w:rsidRDefault="00345C95" w:rsidP="00345C95">
      <w:pPr>
        <w:pStyle w:val="BoxBullet"/>
      </w:pPr>
      <w:r>
        <w:t>Glucose-lowering drugs such as glipizide or thiazolidendiones may reduce the risk of type 2 diabetes in certain high-risk groups, but either long-term efficacy or safety is unclear so these drugs cannot be recommended for diabetes prevention at present. (C grade recommendation)</w:t>
      </w:r>
    </w:p>
    <w:p w:rsidR="00345C95" w:rsidRDefault="00345C95" w:rsidP="00345C95">
      <w:pPr>
        <w:pStyle w:val="BoxBullet"/>
      </w:pPr>
      <w:r>
        <w:t>Antihypertensive and lipid-lowering drugs cannot be recommended for the prevention of type 2 diabetes at present. (C grade recommendation)</w:t>
      </w:r>
    </w:p>
    <w:p w:rsidR="00345C95" w:rsidRDefault="00345C95" w:rsidP="00345C95">
      <w:pPr>
        <w:pStyle w:val="Source"/>
      </w:pPr>
      <w:r>
        <w:t>Source: Adapted from Paulweber et al (2010, p S17)</w:t>
      </w:r>
    </w:p>
    <w:p w:rsidR="00345C95" w:rsidRPr="00345C95" w:rsidRDefault="00345C95" w:rsidP="00345C95"/>
    <w:sectPr w:rsidR="00345C95" w:rsidRPr="00345C95" w:rsidSect="00F26156">
      <w:pgSz w:w="11907" w:h="16834" w:code="9"/>
      <w:pgMar w:top="851" w:right="1134" w:bottom="1418"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06" w:rsidRDefault="00115006">
      <w:pPr>
        <w:spacing w:line="240" w:lineRule="auto"/>
      </w:pPr>
      <w:r>
        <w:separator/>
      </w:r>
    </w:p>
  </w:endnote>
  <w:endnote w:type="continuationSeparator" w:id="0">
    <w:p w:rsidR="00115006" w:rsidRDefault="00115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OptimaLTStd">
    <w:altName w:val="Arial"/>
    <w:panose1 w:val="00000000000000000000"/>
    <w:charset w:val="4D"/>
    <w:family w:val="swiss"/>
    <w:notTrueType/>
    <w:pitch w:val="default"/>
    <w:sig w:usb0="00000003" w:usb1="00000000" w:usb2="00000000" w:usb3="00000000" w:csb0="00000001" w:csb1="00000000"/>
  </w:font>
  <w:font w:name="Berkeley-Book">
    <w:panose1 w:val="00000000000000000000"/>
    <w:charset w:val="00"/>
    <w:family w:val="roman"/>
    <w:notTrueType/>
    <w:pitch w:val="default"/>
    <w:sig w:usb0="00000003" w:usb1="00000000" w:usb2="00000000" w:usb3="00000000" w:csb0="00000001" w:csb1="00000000"/>
  </w:font>
  <w:font w:name="MyriadPro-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rsidP="00415623">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F97CC8">
      <w:rPr>
        <w:rStyle w:val="PageNumber"/>
        <w:noProof/>
      </w:rPr>
      <w:t>14</w:t>
    </w:r>
    <w:r w:rsidRPr="00FC46E7">
      <w:rPr>
        <w:rStyle w:val="PageNumber"/>
      </w:rPr>
      <w:fldChar w:fldCharType="end"/>
    </w:r>
    <w:r>
      <w:tab/>
      <w:t>S</w:t>
    </w:r>
    <w:r w:rsidRPr="000D74D6">
      <w:t xml:space="preserve">creening, diagnosis and </w:t>
    </w:r>
    <w:r>
      <w:t>management</w:t>
    </w:r>
    <w:r w:rsidRPr="000D74D6">
      <w:t xml:space="preserve"> of gestational diabetes in New Zealand</w:t>
    </w:r>
    <w:r>
      <w:t>:</w:t>
    </w:r>
    <w:r>
      <w:br/>
      <w:t>A clinical practice guideline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rsidP="00503D0F">
    <w:pPr>
      <w:pStyle w:val="RectoFooter"/>
    </w:pPr>
    <w:r>
      <w:tab/>
      <w:t>S</w:t>
    </w:r>
    <w:r w:rsidRPr="000D74D6">
      <w:t xml:space="preserve">creening, diagnosis and </w:t>
    </w:r>
    <w:r>
      <w:t xml:space="preserve">management </w:t>
    </w:r>
    <w:r w:rsidRPr="000D74D6">
      <w:t>of gestational diabetes in New Zealand</w:t>
    </w:r>
    <w:r>
      <w:t>:</w:t>
    </w:r>
    <w:r>
      <w:tab/>
    </w:r>
    <w:r>
      <w:rPr>
        <w:rStyle w:val="PageNumber"/>
      </w:rPr>
      <w:fldChar w:fldCharType="begin"/>
    </w:r>
    <w:r>
      <w:rPr>
        <w:rStyle w:val="PageNumber"/>
      </w:rPr>
      <w:instrText xml:space="preserve"> PAGE </w:instrText>
    </w:r>
    <w:r>
      <w:rPr>
        <w:rStyle w:val="PageNumber"/>
      </w:rPr>
      <w:fldChar w:fldCharType="separate"/>
    </w:r>
    <w:r w:rsidR="00F97CC8">
      <w:rPr>
        <w:rStyle w:val="PageNumber"/>
        <w:noProof/>
      </w:rPr>
      <w:t>13</w:t>
    </w:r>
    <w:r>
      <w:rPr>
        <w:rStyle w:val="PageNumber"/>
      </w:rPr>
      <w:fldChar w:fldCharType="end"/>
    </w:r>
    <w:r>
      <w:br/>
    </w:r>
    <w:r>
      <w:tab/>
      <w:t>A clinical practice guideline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rsidP="00415623">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F97CC8">
      <w:rPr>
        <w:rStyle w:val="PageNumber"/>
        <w:noProof/>
      </w:rPr>
      <w:t>240</w:t>
    </w:r>
    <w:r w:rsidRPr="00FC46E7">
      <w:rPr>
        <w:rStyle w:val="PageNumber"/>
      </w:rPr>
      <w:fldChar w:fldCharType="end"/>
    </w:r>
    <w:r>
      <w:tab/>
      <w:t>S</w:t>
    </w:r>
    <w:r w:rsidRPr="000D74D6">
      <w:t xml:space="preserve">creening, diagnosis and </w:t>
    </w:r>
    <w:r>
      <w:t>management</w:t>
    </w:r>
    <w:r w:rsidRPr="000D74D6">
      <w:t xml:space="preserve"> of gestational diabetes in New Zealand</w:t>
    </w:r>
    <w:r>
      <w:t>: A clinical practice guideline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rsidP="00BD6E47">
    <w:pPr>
      <w:pStyle w:val="RectoFooter"/>
      <w:tabs>
        <w:tab w:val="clear" w:pos="8647"/>
        <w:tab w:val="clear" w:pos="9356"/>
        <w:tab w:val="right" w:pos="13892"/>
        <w:tab w:val="right" w:pos="14601"/>
      </w:tabs>
      <w:jc w:val="right"/>
    </w:pPr>
    <w:r>
      <w:t>S</w:t>
    </w:r>
    <w:r w:rsidRPr="000D74D6">
      <w:t xml:space="preserve">creening, diagnosis and </w:t>
    </w:r>
    <w:r>
      <w:t>management</w:t>
    </w:r>
    <w:r w:rsidRPr="000D74D6">
      <w:t xml:space="preserve"> of gestational diabetes in New Zealand</w:t>
    </w:r>
    <w:r>
      <w:t>: A clinical practice guideline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97CC8">
      <w:rPr>
        <w:rStyle w:val="PageNumber"/>
        <w:noProof/>
      </w:rPr>
      <w:t>117</w:t>
    </w:r>
    <w:r>
      <w:rPr>
        <w:rStyle w:val="PageNumber"/>
      </w:rPr>
      <w:fldChar w:fldCharType="end"/>
    </w:r>
    <w:r>
      <w:br/>
    </w: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rsidP="00415623">
    <w:pPr>
      <w:pStyle w:val="RectoFooter"/>
    </w:pPr>
    <w:r>
      <w:tab/>
      <w:t>S</w:t>
    </w:r>
    <w:r w:rsidRPr="000D74D6">
      <w:t xml:space="preserve">creening, diagnosis and </w:t>
    </w:r>
    <w:r>
      <w:t xml:space="preserve">management </w:t>
    </w:r>
    <w:r w:rsidRPr="000D74D6">
      <w:t>of gestational diabetes in New Zealand</w:t>
    </w:r>
    <w:r>
      <w:t>:</w:t>
    </w:r>
    <w:r>
      <w:tab/>
    </w:r>
    <w:r>
      <w:rPr>
        <w:rStyle w:val="PageNumber"/>
      </w:rPr>
      <w:fldChar w:fldCharType="begin"/>
    </w:r>
    <w:r>
      <w:rPr>
        <w:rStyle w:val="PageNumber"/>
      </w:rPr>
      <w:instrText xml:space="preserve"> PAGE </w:instrText>
    </w:r>
    <w:r>
      <w:rPr>
        <w:rStyle w:val="PageNumber"/>
      </w:rPr>
      <w:fldChar w:fldCharType="separate"/>
    </w:r>
    <w:r w:rsidR="00F97CC8">
      <w:rPr>
        <w:rStyle w:val="PageNumber"/>
        <w:noProof/>
      </w:rPr>
      <w:t>131</w:t>
    </w:r>
    <w:r>
      <w:rPr>
        <w:rStyle w:val="PageNumber"/>
      </w:rPr>
      <w:fldChar w:fldCharType="end"/>
    </w:r>
    <w:r>
      <w:br/>
    </w:r>
    <w:r>
      <w:tab/>
      <w:t>A clinical practice guideline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rsidP="00187579">
    <w:pPr>
      <w:pStyle w:val="RectoFooter"/>
      <w:tabs>
        <w:tab w:val="clear" w:pos="8647"/>
        <w:tab w:val="clear" w:pos="9356"/>
        <w:tab w:val="right" w:pos="13892"/>
        <w:tab w:val="right" w:pos="14601"/>
      </w:tabs>
    </w:pPr>
    <w:r>
      <w:tab/>
    </w:r>
    <w:r w:rsidRPr="000D74D6">
      <w:t>Diabetes in Pregnancy: Quick reference guide for health professionals</w:t>
    </w:r>
    <w:r>
      <w:tab/>
    </w:r>
    <w:r>
      <w:rPr>
        <w:rStyle w:val="PageNumber"/>
      </w:rPr>
      <w:fldChar w:fldCharType="begin"/>
    </w:r>
    <w:r>
      <w:rPr>
        <w:rStyle w:val="PageNumber"/>
      </w:rPr>
      <w:instrText xml:space="preserve"> PAGE </w:instrText>
    </w:r>
    <w:r>
      <w:rPr>
        <w:rStyle w:val="PageNumber"/>
      </w:rPr>
      <w:fldChar w:fldCharType="separate"/>
    </w:r>
    <w:r w:rsidR="00F97CC8">
      <w:rPr>
        <w:rStyle w:val="PageNumber"/>
        <w:noProof/>
      </w:rPr>
      <w:t>171</w:t>
    </w:r>
    <w:r>
      <w:rPr>
        <w:rStyle w:val="PageNumber"/>
      </w:rPr>
      <w:fldChar w:fldCharType="end"/>
    </w:r>
    <w:r>
      <w:br/>
    </w:r>
    <w:r>
      <w:tab/>
    </w:r>
    <w:r w:rsidRPr="000D74D6">
      <w:t>on the screening, diagnosis and treatment of gestational diabetes in New Zealand</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rsidP="00415623">
    <w:pPr>
      <w:pStyle w:val="RectoFooter"/>
    </w:pPr>
    <w:r>
      <w:tab/>
    </w:r>
    <w:r w:rsidRPr="000D74D6">
      <w:t>Diabetes in Pregnancy: Quick reference guide for health professionals</w:t>
    </w:r>
    <w:r>
      <w:tab/>
    </w:r>
    <w:r>
      <w:rPr>
        <w:rStyle w:val="PageNumber"/>
      </w:rPr>
      <w:fldChar w:fldCharType="begin"/>
    </w:r>
    <w:r>
      <w:rPr>
        <w:rStyle w:val="PageNumber"/>
      </w:rPr>
      <w:instrText xml:space="preserve"> PAGE </w:instrText>
    </w:r>
    <w:r>
      <w:rPr>
        <w:rStyle w:val="PageNumber"/>
      </w:rPr>
      <w:fldChar w:fldCharType="separate"/>
    </w:r>
    <w:r w:rsidR="00F97CC8">
      <w:rPr>
        <w:rStyle w:val="PageNumber"/>
        <w:noProof/>
      </w:rPr>
      <w:t>179</w:t>
    </w:r>
    <w:r>
      <w:rPr>
        <w:rStyle w:val="PageNumber"/>
      </w:rPr>
      <w:fldChar w:fldCharType="end"/>
    </w:r>
    <w:r>
      <w:br/>
    </w:r>
    <w:r>
      <w:tab/>
    </w:r>
    <w:r w:rsidRPr="000D74D6">
      <w:t>on the screening, diagnosis and treatment of gestational diabetes in New Zealand</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rsidP="0093633C">
    <w:pPr>
      <w:pStyle w:val="RectoFooter"/>
      <w:tabs>
        <w:tab w:val="clear" w:pos="8647"/>
        <w:tab w:val="clear" w:pos="9356"/>
        <w:tab w:val="right" w:pos="13750"/>
        <w:tab w:val="right" w:pos="14601"/>
      </w:tabs>
    </w:pPr>
    <w:r>
      <w:tab/>
      <w:t>S</w:t>
    </w:r>
    <w:r w:rsidRPr="000D74D6">
      <w:t xml:space="preserve">creening, diagnosis and </w:t>
    </w:r>
    <w:r>
      <w:t>management</w:t>
    </w:r>
    <w:r w:rsidRPr="000D74D6">
      <w:t xml:space="preserve"> of gestational diabetes in New Zealand</w:t>
    </w:r>
    <w:r>
      <w:t>: A clinical practice guideline</w:t>
    </w:r>
    <w:r>
      <w:tab/>
    </w:r>
    <w:r>
      <w:rPr>
        <w:rStyle w:val="PageNumber"/>
      </w:rPr>
      <w:fldChar w:fldCharType="begin"/>
    </w:r>
    <w:r>
      <w:rPr>
        <w:rStyle w:val="PageNumber"/>
      </w:rPr>
      <w:instrText xml:space="preserve"> PAGE </w:instrText>
    </w:r>
    <w:r>
      <w:rPr>
        <w:rStyle w:val="PageNumber"/>
      </w:rPr>
      <w:fldChar w:fldCharType="separate"/>
    </w:r>
    <w:r w:rsidR="00F97CC8">
      <w:rPr>
        <w:rStyle w:val="PageNumber"/>
        <w:noProof/>
      </w:rPr>
      <w:t>187</w:t>
    </w:r>
    <w:r>
      <w:rPr>
        <w:rStyle w:val="PageNumber"/>
      </w:rPr>
      <w:fldChar w:fldCharType="end"/>
    </w:r>
    <w:r>
      <w:br/>
    </w:r>
    <w: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rsidP="00BD6E47">
    <w:pPr>
      <w:pStyle w:val="RectoFooter"/>
      <w:jc w:val="right"/>
    </w:pPr>
    <w:r>
      <w:tab/>
      <w:t>S</w:t>
    </w:r>
    <w:r w:rsidRPr="000D74D6">
      <w:t xml:space="preserve">creening, diagnosis and </w:t>
    </w:r>
    <w:r>
      <w:t>management</w:t>
    </w:r>
    <w:r w:rsidRPr="000D74D6">
      <w:t xml:space="preserve"> of gestational diabetes in New Zealand</w:t>
    </w:r>
    <w:r>
      <w:t xml:space="preserve">: </w:t>
    </w:r>
    <w:r>
      <w:br/>
      <w:t xml:space="preserve">A clinical practice guideline </w:t>
    </w:r>
    <w:r>
      <w:rPr>
        <w:rStyle w:val="PageNumber"/>
      </w:rPr>
      <w:fldChar w:fldCharType="begin"/>
    </w:r>
    <w:r>
      <w:rPr>
        <w:rStyle w:val="PageNumber"/>
      </w:rPr>
      <w:instrText xml:space="preserve"> PAGE </w:instrText>
    </w:r>
    <w:r>
      <w:rPr>
        <w:rStyle w:val="PageNumber"/>
      </w:rPr>
      <w:fldChar w:fldCharType="separate"/>
    </w:r>
    <w:r w:rsidR="00F97CC8">
      <w:rPr>
        <w:rStyle w:val="PageNumber"/>
        <w:noProof/>
      </w:rPr>
      <w:t>191</w:t>
    </w:r>
    <w:r>
      <w:rPr>
        <w:rStyle w:val="PageNumber"/>
      </w:rPr>
      <w:fldChar w:fldCharType="end"/>
    </w:r>
    <w:r>
      <w:br/>
    </w: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rsidP="00853A74">
    <w:pPr>
      <w:pStyle w:val="RectoFooter"/>
      <w:tabs>
        <w:tab w:val="clear" w:pos="8647"/>
        <w:tab w:val="clear" w:pos="9356"/>
        <w:tab w:val="right" w:pos="13892"/>
        <w:tab w:val="right" w:pos="14601"/>
      </w:tabs>
    </w:pPr>
    <w:r>
      <w:tab/>
      <w:t>S</w:t>
    </w:r>
    <w:r w:rsidRPr="000D74D6">
      <w:t xml:space="preserve">creening, diagnosis and </w:t>
    </w:r>
    <w:r>
      <w:t>management</w:t>
    </w:r>
    <w:r w:rsidRPr="000D74D6">
      <w:t xml:space="preserve"> of gestational diabetes in New Zealand</w:t>
    </w:r>
    <w:r>
      <w:t>: A clinical practice guideline</w:t>
    </w:r>
    <w:r>
      <w:tab/>
    </w:r>
    <w:r>
      <w:rPr>
        <w:rStyle w:val="PageNumber"/>
      </w:rPr>
      <w:fldChar w:fldCharType="begin"/>
    </w:r>
    <w:r>
      <w:rPr>
        <w:rStyle w:val="PageNumber"/>
      </w:rPr>
      <w:instrText xml:space="preserve"> PAGE </w:instrText>
    </w:r>
    <w:r>
      <w:rPr>
        <w:rStyle w:val="PageNumber"/>
      </w:rPr>
      <w:fldChar w:fldCharType="separate"/>
    </w:r>
    <w:r w:rsidR="00F97CC8">
      <w:rPr>
        <w:rStyle w:val="PageNumber"/>
        <w:noProof/>
      </w:rPr>
      <w:t>237</w:t>
    </w:r>
    <w:r>
      <w:rPr>
        <w:rStyle w:val="PageNumber"/>
      </w:rPr>
      <w:fldChar w:fldCharType="end"/>
    </w:r>
    <w:r>
      <w:br/>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Pr="003648EF" w:rsidRDefault="009E000C" w:rsidP="003648EF">
    <w:pPr>
      <w:pStyle w:val="Footer"/>
      <w:pBdr>
        <w:bottom w:val="none" w:sz="0" w:space="0" w:color="auto"/>
      </w:pBd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rsidP="00BD6E47">
    <w:pPr>
      <w:pStyle w:val="RectoFooter"/>
      <w:jc w:val="right"/>
    </w:pPr>
    <w:r>
      <w:tab/>
      <w:t>S</w:t>
    </w:r>
    <w:r w:rsidRPr="000D74D6">
      <w:t xml:space="preserve">creening, diagnosis and </w:t>
    </w:r>
    <w:r>
      <w:t>management</w:t>
    </w:r>
    <w:r w:rsidRPr="000D74D6">
      <w:t xml:space="preserve"> of gestational diabetes in New Zealand</w:t>
    </w:r>
    <w:r>
      <w:t>: A clinical practice guideline</w:t>
    </w:r>
    <w:r>
      <w:tab/>
    </w:r>
    <w:r>
      <w:rPr>
        <w:rStyle w:val="PageNumber"/>
      </w:rPr>
      <w:fldChar w:fldCharType="begin"/>
    </w:r>
    <w:r>
      <w:rPr>
        <w:rStyle w:val="PageNumber"/>
      </w:rPr>
      <w:instrText xml:space="preserve"> PAGE </w:instrText>
    </w:r>
    <w:r>
      <w:rPr>
        <w:rStyle w:val="PageNumber"/>
      </w:rPr>
      <w:fldChar w:fldCharType="separate"/>
    </w:r>
    <w:r w:rsidR="00F97CC8">
      <w:rPr>
        <w:rStyle w:val="PageNumber"/>
        <w:noProof/>
      </w:rPr>
      <w:t>241</w:t>
    </w:r>
    <w:r>
      <w:rPr>
        <w:rStyle w:val="PageNumber"/>
      </w:rPr>
      <w:fldChar w:fldCharType="end"/>
    </w:r>
    <w:r>
      <w:br/>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rsidP="004D6689">
    <w:pPr>
      <w:pStyle w:val="Footer"/>
      <w:pBdr>
        <w:bottom w:val="none" w:sz="0" w:space="0" w:color="auto"/>
      </w:pBd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Pr="00275D08" w:rsidRDefault="009E000C"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F97CC8">
      <w:rPr>
        <w:rStyle w:val="PageNumber"/>
        <w:noProof/>
      </w:rPr>
      <w:t>iv</w:t>
    </w:r>
    <w:r w:rsidRPr="00FC46E7">
      <w:rPr>
        <w:rStyle w:val="PageNumber"/>
      </w:rPr>
      <w:fldChar w:fldCharType="end"/>
    </w:r>
    <w:r>
      <w:tab/>
      <w:t>S</w:t>
    </w:r>
    <w:r w:rsidRPr="000D74D6">
      <w:t xml:space="preserve">creening, diagnosis and </w:t>
    </w:r>
    <w:r>
      <w:t>management</w:t>
    </w:r>
    <w:r w:rsidRPr="000D74D6">
      <w:t xml:space="preserve"> of gestational diabetes in New Zealand</w:t>
    </w:r>
    <w:r>
      <w:t>:</w:t>
    </w:r>
    <w:r>
      <w:br/>
      <w:t>A clinical practice guideline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rsidP="00533B90">
    <w:pPr>
      <w:pStyle w:val="RectoFooter"/>
    </w:pPr>
    <w:r>
      <w:tab/>
      <w:t>S</w:t>
    </w:r>
    <w:r w:rsidRPr="000D74D6">
      <w:t xml:space="preserve">creening, diagnosis and </w:t>
    </w:r>
    <w:r>
      <w:t xml:space="preserve">management </w:t>
    </w:r>
    <w:r w:rsidRPr="000D74D6">
      <w:t>of gestational diabetes in New Zealand</w:t>
    </w:r>
    <w:r>
      <w:t>:</w:t>
    </w:r>
    <w:r>
      <w:tab/>
    </w:r>
    <w:r>
      <w:rPr>
        <w:rStyle w:val="PageNumber"/>
      </w:rPr>
      <w:fldChar w:fldCharType="begin"/>
    </w:r>
    <w:r>
      <w:rPr>
        <w:rStyle w:val="PageNumber"/>
      </w:rPr>
      <w:instrText xml:space="preserve"> PAGE </w:instrText>
    </w:r>
    <w:r>
      <w:rPr>
        <w:rStyle w:val="PageNumber"/>
      </w:rPr>
      <w:fldChar w:fldCharType="separate"/>
    </w:r>
    <w:r w:rsidR="00F97CC8">
      <w:rPr>
        <w:rStyle w:val="PageNumber"/>
        <w:noProof/>
      </w:rPr>
      <w:t>iii</w:t>
    </w:r>
    <w:r>
      <w:rPr>
        <w:rStyle w:val="PageNumber"/>
      </w:rPr>
      <w:fldChar w:fldCharType="end"/>
    </w:r>
    <w:r>
      <w:br/>
    </w:r>
    <w:r>
      <w:tab/>
      <w:t>A clinical practice guideline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Pr="008B73AF" w:rsidRDefault="009E000C" w:rsidP="008B73AF">
    <w:pPr>
      <w:pStyle w:val="Footer"/>
      <w:pBdr>
        <w:bottom w:val="none" w:sz="0" w:space="0" w:color="auto"/>
      </w:pBd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Pr="00275D08" w:rsidRDefault="009E000C"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F97CC8">
      <w:rPr>
        <w:rStyle w:val="PageNumber"/>
        <w:noProof/>
      </w:rPr>
      <w:t>xxii</w:t>
    </w:r>
    <w:r w:rsidRPr="00FC46E7">
      <w:rPr>
        <w:rStyle w:val="PageNumber"/>
      </w:rPr>
      <w:fldChar w:fldCharType="end"/>
    </w:r>
    <w:r>
      <w:tab/>
      <w:t>S</w:t>
    </w:r>
    <w:r w:rsidRPr="000D74D6">
      <w:t xml:space="preserve">creening, diagnosis and </w:t>
    </w:r>
    <w:r>
      <w:t>management</w:t>
    </w:r>
    <w:r w:rsidRPr="000D74D6">
      <w:t xml:space="preserve"> of gestational diabetes in New Zealand</w:t>
    </w:r>
    <w:r>
      <w:t>:</w:t>
    </w:r>
    <w:r>
      <w:br/>
      <w:t>A clinical practice guideline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06" w:rsidRPr="00E460B6" w:rsidRDefault="00115006" w:rsidP="007B4D3E"/>
  </w:footnote>
  <w:footnote w:type="continuationSeparator" w:id="0">
    <w:p w:rsidR="00115006" w:rsidRDefault="00115006">
      <w:pPr>
        <w:spacing w:line="240" w:lineRule="auto"/>
      </w:pPr>
      <w:r>
        <w:continuationSeparator/>
      </w:r>
    </w:p>
  </w:footnote>
  <w:footnote w:id="1">
    <w:p w:rsidR="009E000C" w:rsidRDefault="009E000C" w:rsidP="00A95BDA">
      <w:pPr>
        <w:pStyle w:val="FootnoteText"/>
      </w:pPr>
      <w:r w:rsidRPr="00415623">
        <w:rPr>
          <w:rStyle w:val="FootnoteReference"/>
        </w:rPr>
        <w:footnoteRef/>
      </w:r>
      <w:r>
        <w:tab/>
        <w:t xml:space="preserve">Provisional data also extracted from </w:t>
      </w:r>
      <w:r w:rsidRPr="00E07B1B">
        <w:t>National Maternity Collection 2013</w:t>
      </w:r>
      <w:r>
        <w:t>, Ministry of Health.</w:t>
      </w:r>
    </w:p>
  </w:footnote>
  <w:footnote w:id="2">
    <w:p w:rsidR="009E000C" w:rsidRDefault="009E000C" w:rsidP="00EF023B">
      <w:pPr>
        <w:pStyle w:val="FootnoteText"/>
      </w:pPr>
      <w:r w:rsidRPr="00EF023B">
        <w:rPr>
          <w:rStyle w:val="FootnoteReference"/>
        </w:rPr>
        <w:footnoteRef/>
      </w:r>
      <w:r>
        <w:tab/>
        <w:t>Data also extracted from</w:t>
      </w:r>
      <w:r w:rsidRPr="0067647D">
        <w:rPr>
          <w:lang w:eastAsia="en-NZ"/>
        </w:rPr>
        <w:t xml:space="preserve"> </w:t>
      </w:r>
      <w:r w:rsidRPr="00E07B1B">
        <w:rPr>
          <w:lang w:eastAsia="en-NZ"/>
        </w:rPr>
        <w:t>National Maternity Collection 2012</w:t>
      </w:r>
      <w:r>
        <w:rPr>
          <w:lang w:eastAsia="en-NZ"/>
        </w:rPr>
        <w:t>, Ministry of Health.</w:t>
      </w:r>
    </w:p>
  </w:footnote>
  <w:footnote w:id="3">
    <w:p w:rsidR="009E000C" w:rsidRDefault="009E000C" w:rsidP="00EF023B">
      <w:pPr>
        <w:pStyle w:val="FootnoteText"/>
      </w:pPr>
      <w:r w:rsidRPr="00EF023B">
        <w:rPr>
          <w:rStyle w:val="FootnoteReference"/>
        </w:rPr>
        <w:footnoteRef/>
      </w:r>
      <w:r>
        <w:rPr>
          <w:lang w:eastAsia="en-NZ"/>
        </w:rPr>
        <w:tab/>
      </w:r>
      <w:r w:rsidRPr="00E07B1B">
        <w:rPr>
          <w:lang w:eastAsia="en-NZ"/>
        </w:rPr>
        <w:t>National Maternity Collection 2012</w:t>
      </w:r>
      <w:r>
        <w:rPr>
          <w:lang w:eastAsia="en-NZ"/>
        </w:rPr>
        <w:t>, Ministry of Health.</w:t>
      </w:r>
    </w:p>
  </w:footnote>
  <w:footnote w:id="4">
    <w:p w:rsidR="009E000C" w:rsidRDefault="009E000C" w:rsidP="00EF023B">
      <w:pPr>
        <w:pStyle w:val="FootnoteText"/>
      </w:pPr>
      <w:r w:rsidRPr="00EF023B">
        <w:rPr>
          <w:rStyle w:val="FootnoteReference"/>
        </w:rPr>
        <w:footnoteRef/>
      </w:r>
      <w:r>
        <w:rPr>
          <w:lang w:eastAsia="en-NZ"/>
        </w:rPr>
        <w:tab/>
      </w:r>
      <w:r w:rsidRPr="00E07B1B">
        <w:rPr>
          <w:lang w:eastAsia="en-NZ"/>
        </w:rPr>
        <w:t>National Maternity Collection 2012</w:t>
      </w:r>
      <w:r>
        <w:rPr>
          <w:lang w:eastAsia="en-NZ"/>
        </w:rPr>
        <w:t>, Ministry of Health.</w:t>
      </w:r>
    </w:p>
  </w:footnote>
  <w:footnote w:id="5">
    <w:p w:rsidR="009E000C" w:rsidRDefault="009E000C" w:rsidP="00E27BE3">
      <w:pPr>
        <w:pStyle w:val="FootnoteText"/>
      </w:pPr>
      <w:r w:rsidRPr="00E27BE3">
        <w:rPr>
          <w:rStyle w:val="FootnoteReference"/>
        </w:rPr>
        <w:footnoteRef/>
      </w:r>
      <w:r>
        <w:rPr>
          <w:lang w:eastAsia="en-NZ"/>
        </w:rPr>
        <w:tab/>
      </w:r>
      <w:r w:rsidRPr="00E07B1B">
        <w:rPr>
          <w:lang w:eastAsia="en-NZ"/>
        </w:rPr>
        <w:t>National Maternity Collection 2012</w:t>
      </w:r>
      <w:r>
        <w:rPr>
          <w:lang w:eastAsia="en-NZ"/>
        </w:rPr>
        <w:t>, Ministry of Health.</w:t>
      </w:r>
    </w:p>
  </w:footnote>
  <w:footnote w:id="6">
    <w:p w:rsidR="009E000C" w:rsidRDefault="009E000C" w:rsidP="000E36B2">
      <w:pPr>
        <w:pStyle w:val="FootnoteText"/>
      </w:pPr>
      <w:r w:rsidRPr="000E36B2">
        <w:rPr>
          <w:rStyle w:val="FootnoteReference"/>
        </w:rPr>
        <w:footnoteRef/>
      </w:r>
      <w:r>
        <w:rPr>
          <w:lang w:eastAsia="en-NZ"/>
        </w:rPr>
        <w:tab/>
      </w:r>
      <w:r w:rsidRPr="00E07B1B">
        <w:rPr>
          <w:lang w:eastAsia="en-NZ"/>
        </w:rPr>
        <w:t>National Maternity Collection 2012</w:t>
      </w:r>
      <w:r>
        <w:rPr>
          <w:lang w:eastAsia="en-NZ"/>
        </w:rPr>
        <w:t>, Ministry of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rsidP="00D25FFE">
    <w:pPr>
      <w:pStyle w:val="Header"/>
      <w:ind w:left="-1559"/>
    </w:pPr>
    <w:r>
      <w:rPr>
        <w:noProof/>
        <w:lang w:eastAsia="en-NZ"/>
      </w:rPr>
      <w:drawing>
        <wp:inline distT="0" distB="0" distL="0" distR="0" wp14:anchorId="3E218C0A" wp14:editId="28062D75">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0C" w:rsidRDefault="009E0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1C4672"/>
    <w:lvl w:ilvl="0">
      <w:start w:val="1"/>
      <w:numFmt w:val="bullet"/>
      <w:lvlText w:val=""/>
      <w:lvlJc w:val="left"/>
      <w:pPr>
        <w:tabs>
          <w:tab w:val="num" w:pos="360"/>
        </w:tabs>
        <w:ind w:left="360" w:hanging="360"/>
      </w:pPr>
      <w:rPr>
        <w:rFonts w:ascii="Symbol" w:hAnsi="Symbol" w:hint="default"/>
      </w:rPr>
    </w:lvl>
  </w:abstractNum>
  <w:abstractNum w:abstractNumId="1">
    <w:nsid w:val="014726B3"/>
    <w:multiLevelType w:val="hybridMultilevel"/>
    <w:tmpl w:val="A8C062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2">
    <w:nsid w:val="031D139F"/>
    <w:multiLevelType w:val="hybridMultilevel"/>
    <w:tmpl w:val="219CE6BC"/>
    <w:lvl w:ilvl="0" w:tplc="14090001">
      <w:start w:val="1"/>
      <w:numFmt w:val="bullet"/>
      <w:lvlText w:val=""/>
      <w:lvlJc w:val="left"/>
      <w:pPr>
        <w:ind w:left="720" w:hanging="360"/>
      </w:pPr>
      <w:rPr>
        <w:rFonts w:ascii="Symbol" w:hAnsi="Symbol" w:hint="default"/>
      </w:rPr>
    </w:lvl>
    <w:lvl w:ilvl="1" w:tplc="51D85426">
      <w:numFmt w:val="bullet"/>
      <w:lvlText w:val="•"/>
      <w:lvlJc w:val="left"/>
      <w:pPr>
        <w:ind w:left="1440" w:hanging="360"/>
      </w:pPr>
      <w:rPr>
        <w:rFonts w:ascii="Eurostile" w:eastAsia="MS Mincho" w:hAnsi="Eurostile"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nsid w:val="051F1CDA"/>
    <w:multiLevelType w:val="hybridMultilevel"/>
    <w:tmpl w:val="0194C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6D26090"/>
    <w:multiLevelType w:val="hybridMultilevel"/>
    <w:tmpl w:val="8AD46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896E5F"/>
    <w:multiLevelType w:val="hybridMultilevel"/>
    <w:tmpl w:val="E8689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E237B95"/>
    <w:multiLevelType w:val="hybridMultilevel"/>
    <w:tmpl w:val="D0DE9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E521028"/>
    <w:multiLevelType w:val="hybridMultilevel"/>
    <w:tmpl w:val="226CF4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9">
    <w:nsid w:val="14246B4A"/>
    <w:multiLevelType w:val="hybridMultilevel"/>
    <w:tmpl w:val="54FA643A"/>
    <w:lvl w:ilvl="0" w:tplc="14090017">
      <w:start w:val="1"/>
      <w:numFmt w:val="lowerLetter"/>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0">
    <w:nsid w:val="1F523388"/>
    <w:multiLevelType w:val="hybridMultilevel"/>
    <w:tmpl w:val="DF8EC9F6"/>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nsid w:val="207F6D50"/>
    <w:multiLevelType w:val="hybridMultilevel"/>
    <w:tmpl w:val="B7EC8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75D455F"/>
    <w:multiLevelType w:val="hybridMultilevel"/>
    <w:tmpl w:val="47169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B4D53A1"/>
    <w:multiLevelType w:val="hybridMultilevel"/>
    <w:tmpl w:val="415AA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BE079B8"/>
    <w:multiLevelType w:val="hybridMultilevel"/>
    <w:tmpl w:val="AE462C0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5">
    <w:nsid w:val="316D514A"/>
    <w:multiLevelType w:val="hybridMultilevel"/>
    <w:tmpl w:val="6FE635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8F55E6A"/>
    <w:multiLevelType w:val="hybridMultilevel"/>
    <w:tmpl w:val="CA34B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B4B7022"/>
    <w:multiLevelType w:val="hybridMultilevel"/>
    <w:tmpl w:val="3F806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5C50CB"/>
    <w:multiLevelType w:val="hybridMultilevel"/>
    <w:tmpl w:val="325A14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1">
    <w:nsid w:val="449E2B0C"/>
    <w:multiLevelType w:val="hybridMultilevel"/>
    <w:tmpl w:val="06B8073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22">
    <w:nsid w:val="44DB4D4F"/>
    <w:multiLevelType w:val="hybridMultilevel"/>
    <w:tmpl w:val="32C87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7E735FF"/>
    <w:multiLevelType w:val="hybridMultilevel"/>
    <w:tmpl w:val="712AB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95C0D46"/>
    <w:multiLevelType w:val="hybridMultilevel"/>
    <w:tmpl w:val="E9585A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4C21400B"/>
    <w:multiLevelType w:val="hybridMultilevel"/>
    <w:tmpl w:val="67A486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2252C65"/>
    <w:multiLevelType w:val="hybridMultilevel"/>
    <w:tmpl w:val="D6E6D4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93A5871"/>
    <w:multiLevelType w:val="hybridMultilevel"/>
    <w:tmpl w:val="712C0A5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2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9">
    <w:nsid w:val="698434F7"/>
    <w:multiLevelType w:val="hybridMultilevel"/>
    <w:tmpl w:val="3D7882E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30">
    <w:nsid w:val="6B1A09AE"/>
    <w:multiLevelType w:val="hybridMultilevel"/>
    <w:tmpl w:val="2A0EE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9CB2F71"/>
    <w:multiLevelType w:val="hybridMultilevel"/>
    <w:tmpl w:val="7B166C1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3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3">
    <w:nsid w:val="7F8D225B"/>
    <w:multiLevelType w:val="hybridMultilevel"/>
    <w:tmpl w:val="4C98EC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num w:numId="1">
    <w:abstractNumId w:val="32"/>
  </w:num>
  <w:num w:numId="2">
    <w:abstractNumId w:val="28"/>
  </w:num>
  <w:num w:numId="3">
    <w:abstractNumId w:val="18"/>
  </w:num>
  <w:num w:numId="4">
    <w:abstractNumId w:val="19"/>
  </w:num>
  <w:num w:numId="5">
    <w:abstractNumId w:val="3"/>
  </w:num>
  <w:num w:numId="6">
    <w:abstractNumId w:val="0"/>
  </w:num>
  <w:num w:numId="7">
    <w:abstractNumId w:val="24"/>
  </w:num>
  <w:num w:numId="8">
    <w:abstractNumId w:val="14"/>
  </w:num>
  <w:num w:numId="9">
    <w:abstractNumId w:val="33"/>
  </w:num>
  <w:num w:numId="10">
    <w:abstractNumId w:val="1"/>
  </w:num>
  <w:num w:numId="11">
    <w:abstractNumId w:val="29"/>
  </w:num>
  <w:num w:numId="12">
    <w:abstractNumId w:val="21"/>
  </w:num>
  <w:num w:numId="13">
    <w:abstractNumId w:val="31"/>
  </w:num>
  <w:num w:numId="14">
    <w:abstractNumId w:val="2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2"/>
  </w:num>
  <w:num w:numId="19">
    <w:abstractNumId w:val="15"/>
  </w:num>
  <w:num w:numId="20">
    <w:abstractNumId w:val="10"/>
  </w:num>
  <w:num w:numId="21">
    <w:abstractNumId w:val="12"/>
  </w:num>
  <w:num w:numId="22">
    <w:abstractNumId w:val="17"/>
  </w:num>
  <w:num w:numId="23">
    <w:abstractNumId w:val="22"/>
  </w:num>
  <w:num w:numId="24">
    <w:abstractNumId w:val="26"/>
  </w:num>
  <w:num w:numId="25">
    <w:abstractNumId w:val="11"/>
  </w:num>
  <w:num w:numId="26">
    <w:abstractNumId w:val="6"/>
  </w:num>
  <w:num w:numId="27">
    <w:abstractNumId w:val="5"/>
  </w:num>
  <w:num w:numId="28">
    <w:abstractNumId w:val="13"/>
  </w:num>
  <w:num w:numId="29">
    <w:abstractNumId w:val="7"/>
  </w:num>
  <w:num w:numId="30">
    <w:abstractNumId w:val="4"/>
  </w:num>
  <w:num w:numId="31">
    <w:abstractNumId w:val="16"/>
  </w:num>
  <w:num w:numId="32">
    <w:abstractNumId w:val="30"/>
  </w:num>
  <w:num w:numId="33">
    <w:abstractNumId w:val="23"/>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B75"/>
    <w:rsid w:val="00022E70"/>
    <w:rsid w:val="00030B26"/>
    <w:rsid w:val="00031126"/>
    <w:rsid w:val="00033995"/>
    <w:rsid w:val="00037A16"/>
    <w:rsid w:val="0005079A"/>
    <w:rsid w:val="00050E74"/>
    <w:rsid w:val="0006228D"/>
    <w:rsid w:val="00066D54"/>
    <w:rsid w:val="00072BD6"/>
    <w:rsid w:val="00072E9B"/>
    <w:rsid w:val="00075B78"/>
    <w:rsid w:val="00082CD6"/>
    <w:rsid w:val="00085AFE"/>
    <w:rsid w:val="00090BC8"/>
    <w:rsid w:val="00090C44"/>
    <w:rsid w:val="00093132"/>
    <w:rsid w:val="000A176C"/>
    <w:rsid w:val="000A561D"/>
    <w:rsid w:val="000A645D"/>
    <w:rsid w:val="000A767D"/>
    <w:rsid w:val="000B0730"/>
    <w:rsid w:val="000C1845"/>
    <w:rsid w:val="000C35E3"/>
    <w:rsid w:val="000C3836"/>
    <w:rsid w:val="000D74D6"/>
    <w:rsid w:val="000E1A04"/>
    <w:rsid w:val="000E36B2"/>
    <w:rsid w:val="000F0C53"/>
    <w:rsid w:val="000F2AE2"/>
    <w:rsid w:val="000F7CFA"/>
    <w:rsid w:val="00102063"/>
    <w:rsid w:val="00104566"/>
    <w:rsid w:val="00104928"/>
    <w:rsid w:val="00104F38"/>
    <w:rsid w:val="00105226"/>
    <w:rsid w:val="0010541C"/>
    <w:rsid w:val="00106F93"/>
    <w:rsid w:val="0010745D"/>
    <w:rsid w:val="00110A7A"/>
    <w:rsid w:val="00111D50"/>
    <w:rsid w:val="00113B8E"/>
    <w:rsid w:val="00115006"/>
    <w:rsid w:val="00116953"/>
    <w:rsid w:val="0011795B"/>
    <w:rsid w:val="00123192"/>
    <w:rsid w:val="001244A8"/>
    <w:rsid w:val="00126044"/>
    <w:rsid w:val="001342C7"/>
    <w:rsid w:val="0013585C"/>
    <w:rsid w:val="00136CD5"/>
    <w:rsid w:val="00142954"/>
    <w:rsid w:val="001460E0"/>
    <w:rsid w:val="00147F71"/>
    <w:rsid w:val="00150A6E"/>
    <w:rsid w:val="00152FAD"/>
    <w:rsid w:val="0016468A"/>
    <w:rsid w:val="00164D1B"/>
    <w:rsid w:val="00170E40"/>
    <w:rsid w:val="00171D88"/>
    <w:rsid w:val="00187579"/>
    <w:rsid w:val="001967D2"/>
    <w:rsid w:val="001A286C"/>
    <w:rsid w:val="001A5CF5"/>
    <w:rsid w:val="001B39D2"/>
    <w:rsid w:val="001B423A"/>
    <w:rsid w:val="001C4326"/>
    <w:rsid w:val="001C4705"/>
    <w:rsid w:val="001D3541"/>
    <w:rsid w:val="001D5E29"/>
    <w:rsid w:val="001F54B4"/>
    <w:rsid w:val="00201A01"/>
    <w:rsid w:val="0020476F"/>
    <w:rsid w:val="002079BB"/>
    <w:rsid w:val="002104D3"/>
    <w:rsid w:val="00213A33"/>
    <w:rsid w:val="00213F94"/>
    <w:rsid w:val="00215058"/>
    <w:rsid w:val="0021763B"/>
    <w:rsid w:val="00230694"/>
    <w:rsid w:val="0024015A"/>
    <w:rsid w:val="00246DB1"/>
    <w:rsid w:val="00247279"/>
    <w:rsid w:val="002476B5"/>
    <w:rsid w:val="00253659"/>
    <w:rsid w:val="00253ECF"/>
    <w:rsid w:val="002546A1"/>
    <w:rsid w:val="0025490C"/>
    <w:rsid w:val="00260258"/>
    <w:rsid w:val="002716E2"/>
    <w:rsid w:val="00275D08"/>
    <w:rsid w:val="002858E3"/>
    <w:rsid w:val="00285FCD"/>
    <w:rsid w:val="00291908"/>
    <w:rsid w:val="0029190A"/>
    <w:rsid w:val="00291C12"/>
    <w:rsid w:val="00292C5A"/>
    <w:rsid w:val="00293389"/>
    <w:rsid w:val="00295241"/>
    <w:rsid w:val="002B047D"/>
    <w:rsid w:val="002B6AB5"/>
    <w:rsid w:val="002B732B"/>
    <w:rsid w:val="002C04F3"/>
    <w:rsid w:val="002C2219"/>
    <w:rsid w:val="002C798B"/>
    <w:rsid w:val="002D0DF2"/>
    <w:rsid w:val="002D1288"/>
    <w:rsid w:val="002D2371"/>
    <w:rsid w:val="002D23BD"/>
    <w:rsid w:val="002E0B47"/>
    <w:rsid w:val="002F478F"/>
    <w:rsid w:val="002F7213"/>
    <w:rsid w:val="0030382F"/>
    <w:rsid w:val="0030408D"/>
    <w:rsid w:val="003060E4"/>
    <w:rsid w:val="0031600D"/>
    <w:rsid w:val="003160E7"/>
    <w:rsid w:val="0031739E"/>
    <w:rsid w:val="003325AB"/>
    <w:rsid w:val="0033412B"/>
    <w:rsid w:val="00343365"/>
    <w:rsid w:val="00345C95"/>
    <w:rsid w:val="00350054"/>
    <w:rsid w:val="00353501"/>
    <w:rsid w:val="003606F8"/>
    <w:rsid w:val="003616DD"/>
    <w:rsid w:val="00363CCF"/>
    <w:rsid w:val="003648EF"/>
    <w:rsid w:val="00366100"/>
    <w:rsid w:val="00366DD0"/>
    <w:rsid w:val="003673E6"/>
    <w:rsid w:val="003769A9"/>
    <w:rsid w:val="00377264"/>
    <w:rsid w:val="00392D0A"/>
    <w:rsid w:val="00393CD1"/>
    <w:rsid w:val="003A26A5"/>
    <w:rsid w:val="003A3761"/>
    <w:rsid w:val="003A5FEA"/>
    <w:rsid w:val="003B07D2"/>
    <w:rsid w:val="003B1D10"/>
    <w:rsid w:val="003C330B"/>
    <w:rsid w:val="003C6598"/>
    <w:rsid w:val="003C665A"/>
    <w:rsid w:val="003C76D4"/>
    <w:rsid w:val="003D623D"/>
    <w:rsid w:val="003E165B"/>
    <w:rsid w:val="003E3F88"/>
    <w:rsid w:val="003E4B01"/>
    <w:rsid w:val="003E7C46"/>
    <w:rsid w:val="003F2442"/>
    <w:rsid w:val="003F52A7"/>
    <w:rsid w:val="0040240C"/>
    <w:rsid w:val="00413021"/>
    <w:rsid w:val="00415623"/>
    <w:rsid w:val="004325FD"/>
    <w:rsid w:val="00440BE0"/>
    <w:rsid w:val="00442C1C"/>
    <w:rsid w:val="004444B7"/>
    <w:rsid w:val="0044584B"/>
    <w:rsid w:val="00447CB7"/>
    <w:rsid w:val="0045166A"/>
    <w:rsid w:val="00460826"/>
    <w:rsid w:val="00460EA7"/>
    <w:rsid w:val="0046195B"/>
    <w:rsid w:val="00461E35"/>
    <w:rsid w:val="0046596D"/>
    <w:rsid w:val="00466D32"/>
    <w:rsid w:val="004674D8"/>
    <w:rsid w:val="0047787A"/>
    <w:rsid w:val="00487B97"/>
    <w:rsid w:val="00487C04"/>
    <w:rsid w:val="004907E1"/>
    <w:rsid w:val="004930A1"/>
    <w:rsid w:val="004A035B"/>
    <w:rsid w:val="004A38D7"/>
    <w:rsid w:val="004A778C"/>
    <w:rsid w:val="004C2E6A"/>
    <w:rsid w:val="004D2A2D"/>
    <w:rsid w:val="004D6689"/>
    <w:rsid w:val="004E1D1D"/>
    <w:rsid w:val="004E4EE1"/>
    <w:rsid w:val="004E6401"/>
    <w:rsid w:val="004E7AC8"/>
    <w:rsid w:val="004F0C94"/>
    <w:rsid w:val="004F4231"/>
    <w:rsid w:val="004F5FF8"/>
    <w:rsid w:val="005019AE"/>
    <w:rsid w:val="00503749"/>
    <w:rsid w:val="00503D0F"/>
    <w:rsid w:val="00504CF4"/>
    <w:rsid w:val="00505B63"/>
    <w:rsid w:val="0050635B"/>
    <w:rsid w:val="00521282"/>
    <w:rsid w:val="0053199F"/>
    <w:rsid w:val="00533B90"/>
    <w:rsid w:val="005410F8"/>
    <w:rsid w:val="005448EC"/>
    <w:rsid w:val="00545963"/>
    <w:rsid w:val="00550256"/>
    <w:rsid w:val="00553844"/>
    <w:rsid w:val="00553958"/>
    <w:rsid w:val="0055763D"/>
    <w:rsid w:val="005621F2"/>
    <w:rsid w:val="00567B58"/>
    <w:rsid w:val="005763E0"/>
    <w:rsid w:val="005A27CA"/>
    <w:rsid w:val="005A43BD"/>
    <w:rsid w:val="005B0769"/>
    <w:rsid w:val="005D17C7"/>
    <w:rsid w:val="005E226E"/>
    <w:rsid w:val="006015D7"/>
    <w:rsid w:val="00601B21"/>
    <w:rsid w:val="0060437C"/>
    <w:rsid w:val="00624357"/>
    <w:rsid w:val="00626CF8"/>
    <w:rsid w:val="00636D7D"/>
    <w:rsid w:val="00637408"/>
    <w:rsid w:val="00637A5A"/>
    <w:rsid w:val="00642868"/>
    <w:rsid w:val="006452A9"/>
    <w:rsid w:val="00647AFE"/>
    <w:rsid w:val="006512BC"/>
    <w:rsid w:val="00653A5A"/>
    <w:rsid w:val="006575F4"/>
    <w:rsid w:val="006579E6"/>
    <w:rsid w:val="00661DF7"/>
    <w:rsid w:val="006627F7"/>
    <w:rsid w:val="00663EDC"/>
    <w:rsid w:val="00671078"/>
    <w:rsid w:val="00674A83"/>
    <w:rsid w:val="0068074A"/>
    <w:rsid w:val="00680A04"/>
    <w:rsid w:val="006843C2"/>
    <w:rsid w:val="00686D80"/>
    <w:rsid w:val="00694895"/>
    <w:rsid w:val="00697E2E"/>
    <w:rsid w:val="006A0ECE"/>
    <w:rsid w:val="006A25A2"/>
    <w:rsid w:val="006A4CD6"/>
    <w:rsid w:val="006B0E73"/>
    <w:rsid w:val="006B3F78"/>
    <w:rsid w:val="006B4A4D"/>
    <w:rsid w:val="006B5695"/>
    <w:rsid w:val="006C78EB"/>
    <w:rsid w:val="006D1660"/>
    <w:rsid w:val="006E2033"/>
    <w:rsid w:val="006E4135"/>
    <w:rsid w:val="006F1B67"/>
    <w:rsid w:val="006F34F3"/>
    <w:rsid w:val="006F54DF"/>
    <w:rsid w:val="006F6D0E"/>
    <w:rsid w:val="0070091D"/>
    <w:rsid w:val="00702854"/>
    <w:rsid w:val="00704470"/>
    <w:rsid w:val="0071741C"/>
    <w:rsid w:val="0072363C"/>
    <w:rsid w:val="00733FF0"/>
    <w:rsid w:val="00742B90"/>
    <w:rsid w:val="0074434D"/>
    <w:rsid w:val="00746F01"/>
    <w:rsid w:val="00766D2E"/>
    <w:rsid w:val="00767B42"/>
    <w:rsid w:val="00771B1E"/>
    <w:rsid w:val="00773C95"/>
    <w:rsid w:val="0078171E"/>
    <w:rsid w:val="00782114"/>
    <w:rsid w:val="00782EE8"/>
    <w:rsid w:val="00783BBE"/>
    <w:rsid w:val="00790E32"/>
    <w:rsid w:val="007910D2"/>
    <w:rsid w:val="00795B34"/>
    <w:rsid w:val="007A226C"/>
    <w:rsid w:val="007B1770"/>
    <w:rsid w:val="007B4D3E"/>
    <w:rsid w:val="007B5EEF"/>
    <w:rsid w:val="007B7C70"/>
    <w:rsid w:val="007C3F5E"/>
    <w:rsid w:val="007D1572"/>
    <w:rsid w:val="007D2151"/>
    <w:rsid w:val="007D42CC"/>
    <w:rsid w:val="007D5DE4"/>
    <w:rsid w:val="007E1341"/>
    <w:rsid w:val="007E1B41"/>
    <w:rsid w:val="007E30B9"/>
    <w:rsid w:val="007E3726"/>
    <w:rsid w:val="007E6190"/>
    <w:rsid w:val="007F0F0C"/>
    <w:rsid w:val="007F1288"/>
    <w:rsid w:val="00800A8A"/>
    <w:rsid w:val="0080155C"/>
    <w:rsid w:val="0080418E"/>
    <w:rsid w:val="008041F2"/>
    <w:rsid w:val="008052E1"/>
    <w:rsid w:val="00822F2C"/>
    <w:rsid w:val="008305E8"/>
    <w:rsid w:val="00833FB1"/>
    <w:rsid w:val="00844C60"/>
    <w:rsid w:val="00845CBA"/>
    <w:rsid w:val="00853A74"/>
    <w:rsid w:val="00853E1C"/>
    <w:rsid w:val="00860826"/>
    <w:rsid w:val="00860E21"/>
    <w:rsid w:val="00863117"/>
    <w:rsid w:val="0086388B"/>
    <w:rsid w:val="008642E5"/>
    <w:rsid w:val="0086616F"/>
    <w:rsid w:val="00872D93"/>
    <w:rsid w:val="00880470"/>
    <w:rsid w:val="00880D94"/>
    <w:rsid w:val="008910FB"/>
    <w:rsid w:val="008924DE"/>
    <w:rsid w:val="00893B07"/>
    <w:rsid w:val="00894626"/>
    <w:rsid w:val="008A3755"/>
    <w:rsid w:val="008A7DBA"/>
    <w:rsid w:val="008B264F"/>
    <w:rsid w:val="008B6F83"/>
    <w:rsid w:val="008B73AF"/>
    <w:rsid w:val="008B7FD8"/>
    <w:rsid w:val="008C2973"/>
    <w:rsid w:val="008C64C4"/>
    <w:rsid w:val="008D12F6"/>
    <w:rsid w:val="008D1B19"/>
    <w:rsid w:val="008D74D5"/>
    <w:rsid w:val="008E6687"/>
    <w:rsid w:val="008F29BE"/>
    <w:rsid w:val="008F4AE5"/>
    <w:rsid w:val="008F51EB"/>
    <w:rsid w:val="00900197"/>
    <w:rsid w:val="009024BB"/>
    <w:rsid w:val="00902F55"/>
    <w:rsid w:val="0090582B"/>
    <w:rsid w:val="009060C0"/>
    <w:rsid w:val="009133F5"/>
    <w:rsid w:val="00920A27"/>
    <w:rsid w:val="00921216"/>
    <w:rsid w:val="00932D69"/>
    <w:rsid w:val="00934E31"/>
    <w:rsid w:val="0093633C"/>
    <w:rsid w:val="00944647"/>
    <w:rsid w:val="00950152"/>
    <w:rsid w:val="0095033F"/>
    <w:rsid w:val="00963F60"/>
    <w:rsid w:val="009703F7"/>
    <w:rsid w:val="009759EE"/>
    <w:rsid w:val="00977B8A"/>
    <w:rsid w:val="00982971"/>
    <w:rsid w:val="009845AD"/>
    <w:rsid w:val="00991AD3"/>
    <w:rsid w:val="00995BA0"/>
    <w:rsid w:val="0099772D"/>
    <w:rsid w:val="009A418B"/>
    <w:rsid w:val="009A4473"/>
    <w:rsid w:val="009B248D"/>
    <w:rsid w:val="009B3054"/>
    <w:rsid w:val="009B53DF"/>
    <w:rsid w:val="009B6458"/>
    <w:rsid w:val="009C151C"/>
    <w:rsid w:val="009D5125"/>
    <w:rsid w:val="009D60B8"/>
    <w:rsid w:val="009D7D4B"/>
    <w:rsid w:val="009E000C"/>
    <w:rsid w:val="009E36ED"/>
    <w:rsid w:val="009E3907"/>
    <w:rsid w:val="009E6B77"/>
    <w:rsid w:val="009F460A"/>
    <w:rsid w:val="00A0217F"/>
    <w:rsid w:val="00A043FB"/>
    <w:rsid w:val="00A0729C"/>
    <w:rsid w:val="00A07779"/>
    <w:rsid w:val="00A125BF"/>
    <w:rsid w:val="00A16258"/>
    <w:rsid w:val="00A20B2E"/>
    <w:rsid w:val="00A3068F"/>
    <w:rsid w:val="00A30F3A"/>
    <w:rsid w:val="00A3145B"/>
    <w:rsid w:val="00A339D0"/>
    <w:rsid w:val="00A36118"/>
    <w:rsid w:val="00A41002"/>
    <w:rsid w:val="00A4201A"/>
    <w:rsid w:val="00A553CE"/>
    <w:rsid w:val="00A5677A"/>
    <w:rsid w:val="00A6490D"/>
    <w:rsid w:val="00A66CC1"/>
    <w:rsid w:val="00A66FA5"/>
    <w:rsid w:val="00A71131"/>
    <w:rsid w:val="00A75B0C"/>
    <w:rsid w:val="00A80363"/>
    <w:rsid w:val="00A9169D"/>
    <w:rsid w:val="00A95BDA"/>
    <w:rsid w:val="00AB1098"/>
    <w:rsid w:val="00AB3D77"/>
    <w:rsid w:val="00AB5C8F"/>
    <w:rsid w:val="00AB6313"/>
    <w:rsid w:val="00AC101C"/>
    <w:rsid w:val="00AD1776"/>
    <w:rsid w:val="00AD4CF1"/>
    <w:rsid w:val="00AD5988"/>
    <w:rsid w:val="00AF77C6"/>
    <w:rsid w:val="00AF7800"/>
    <w:rsid w:val="00B01366"/>
    <w:rsid w:val="00B072E0"/>
    <w:rsid w:val="00B111D8"/>
    <w:rsid w:val="00B1262D"/>
    <w:rsid w:val="00B16355"/>
    <w:rsid w:val="00B253F6"/>
    <w:rsid w:val="00B332F8"/>
    <w:rsid w:val="00B3492B"/>
    <w:rsid w:val="00B379A1"/>
    <w:rsid w:val="00B4646F"/>
    <w:rsid w:val="00B5139D"/>
    <w:rsid w:val="00B53EF0"/>
    <w:rsid w:val="00B54C12"/>
    <w:rsid w:val="00B55C7D"/>
    <w:rsid w:val="00B63038"/>
    <w:rsid w:val="00B64BD8"/>
    <w:rsid w:val="00B66529"/>
    <w:rsid w:val="00B701D1"/>
    <w:rsid w:val="00B73AF2"/>
    <w:rsid w:val="00B7551A"/>
    <w:rsid w:val="00B97FDC"/>
    <w:rsid w:val="00BA456F"/>
    <w:rsid w:val="00BB68CC"/>
    <w:rsid w:val="00BC59F1"/>
    <w:rsid w:val="00BC72FE"/>
    <w:rsid w:val="00BD6E47"/>
    <w:rsid w:val="00BF3DE1"/>
    <w:rsid w:val="00BF4843"/>
    <w:rsid w:val="00BF5205"/>
    <w:rsid w:val="00C04C3B"/>
    <w:rsid w:val="00C12508"/>
    <w:rsid w:val="00C129EC"/>
    <w:rsid w:val="00C27F79"/>
    <w:rsid w:val="00C45AA2"/>
    <w:rsid w:val="00C50E54"/>
    <w:rsid w:val="00C555BE"/>
    <w:rsid w:val="00C6431A"/>
    <w:rsid w:val="00C66296"/>
    <w:rsid w:val="00C76209"/>
    <w:rsid w:val="00C77282"/>
    <w:rsid w:val="00C82FCE"/>
    <w:rsid w:val="00C84C34"/>
    <w:rsid w:val="00C84DE5"/>
    <w:rsid w:val="00C86248"/>
    <w:rsid w:val="00C956E3"/>
    <w:rsid w:val="00CA1638"/>
    <w:rsid w:val="00CA4C33"/>
    <w:rsid w:val="00CA6F4A"/>
    <w:rsid w:val="00CD2119"/>
    <w:rsid w:val="00CD36AC"/>
    <w:rsid w:val="00CF1747"/>
    <w:rsid w:val="00D06F73"/>
    <w:rsid w:val="00D07674"/>
    <w:rsid w:val="00D17509"/>
    <w:rsid w:val="00D1791E"/>
    <w:rsid w:val="00D216E2"/>
    <w:rsid w:val="00D2206A"/>
    <w:rsid w:val="00D2392A"/>
    <w:rsid w:val="00D25FFE"/>
    <w:rsid w:val="00D35A88"/>
    <w:rsid w:val="00D4476F"/>
    <w:rsid w:val="00D54D50"/>
    <w:rsid w:val="00D55BE7"/>
    <w:rsid w:val="00D562F2"/>
    <w:rsid w:val="00D61331"/>
    <w:rsid w:val="00D66797"/>
    <w:rsid w:val="00D7087C"/>
    <w:rsid w:val="00D70C3C"/>
    <w:rsid w:val="00D72BE5"/>
    <w:rsid w:val="00D774AC"/>
    <w:rsid w:val="00D82F26"/>
    <w:rsid w:val="00D863D0"/>
    <w:rsid w:val="00D87C87"/>
    <w:rsid w:val="00DA11EE"/>
    <w:rsid w:val="00DA1E47"/>
    <w:rsid w:val="00DB39CF"/>
    <w:rsid w:val="00DD447A"/>
    <w:rsid w:val="00DE3B20"/>
    <w:rsid w:val="00DE42C6"/>
    <w:rsid w:val="00DE44C2"/>
    <w:rsid w:val="00DE4985"/>
    <w:rsid w:val="00DE6C94"/>
    <w:rsid w:val="00DE6FD7"/>
    <w:rsid w:val="00DE6FEB"/>
    <w:rsid w:val="00DE7576"/>
    <w:rsid w:val="00DF1211"/>
    <w:rsid w:val="00DF737E"/>
    <w:rsid w:val="00E01FD3"/>
    <w:rsid w:val="00E06671"/>
    <w:rsid w:val="00E11191"/>
    <w:rsid w:val="00E11F9C"/>
    <w:rsid w:val="00E12339"/>
    <w:rsid w:val="00E23271"/>
    <w:rsid w:val="00E24F80"/>
    <w:rsid w:val="00E259F3"/>
    <w:rsid w:val="00E278A0"/>
    <w:rsid w:val="00E27BE3"/>
    <w:rsid w:val="00E33238"/>
    <w:rsid w:val="00E36057"/>
    <w:rsid w:val="00E4486C"/>
    <w:rsid w:val="00E460B6"/>
    <w:rsid w:val="00E511D5"/>
    <w:rsid w:val="00E533EA"/>
    <w:rsid w:val="00E53E0E"/>
    <w:rsid w:val="00E60249"/>
    <w:rsid w:val="00E65269"/>
    <w:rsid w:val="00E65DAC"/>
    <w:rsid w:val="00E72FFF"/>
    <w:rsid w:val="00E76D66"/>
    <w:rsid w:val="00E90740"/>
    <w:rsid w:val="00E95F5E"/>
    <w:rsid w:val="00EA6C08"/>
    <w:rsid w:val="00EA796A"/>
    <w:rsid w:val="00EB1367"/>
    <w:rsid w:val="00EB1856"/>
    <w:rsid w:val="00EC4B01"/>
    <w:rsid w:val="00EC50CE"/>
    <w:rsid w:val="00EC5B34"/>
    <w:rsid w:val="00EC7F63"/>
    <w:rsid w:val="00EE1CCB"/>
    <w:rsid w:val="00EE4ADE"/>
    <w:rsid w:val="00EE5CB7"/>
    <w:rsid w:val="00EF023B"/>
    <w:rsid w:val="00EF4183"/>
    <w:rsid w:val="00EF5FF5"/>
    <w:rsid w:val="00F024FE"/>
    <w:rsid w:val="00F02F91"/>
    <w:rsid w:val="00F05AD4"/>
    <w:rsid w:val="00F17509"/>
    <w:rsid w:val="00F26156"/>
    <w:rsid w:val="00F26D17"/>
    <w:rsid w:val="00F3046D"/>
    <w:rsid w:val="00F328EE"/>
    <w:rsid w:val="00F3308D"/>
    <w:rsid w:val="00F65F1B"/>
    <w:rsid w:val="00F67496"/>
    <w:rsid w:val="00F67B16"/>
    <w:rsid w:val="00F801BA"/>
    <w:rsid w:val="00F80F4A"/>
    <w:rsid w:val="00F93897"/>
    <w:rsid w:val="00F946C9"/>
    <w:rsid w:val="00F97CC8"/>
    <w:rsid w:val="00FA74EE"/>
    <w:rsid w:val="00FC1CBC"/>
    <w:rsid w:val="00FC3B96"/>
    <w:rsid w:val="00FC46E7"/>
    <w:rsid w:val="00FC5D25"/>
    <w:rsid w:val="00FD0D7E"/>
    <w:rsid w:val="00FE6E13"/>
    <w:rsid w:val="00FF15F6"/>
    <w:rsid w:val="00FF31D1"/>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97C6EB-0999-4574-80C3-02B36E23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9"/>
    <w:qFormat/>
    <w:rsid w:val="00624357"/>
    <w:pPr>
      <w:keepNext/>
      <w:spacing w:before="120" w:after="120"/>
      <w:ind w:left="1134" w:hanging="1134"/>
      <w:outlineLvl w:val="1"/>
    </w:pPr>
    <w:rPr>
      <w:b/>
      <w:sz w:val="40"/>
    </w:rPr>
  </w:style>
  <w:style w:type="paragraph" w:styleId="Heading3">
    <w:name w:val="heading 3"/>
    <w:basedOn w:val="Normal"/>
    <w:next w:val="Normal"/>
    <w:link w:val="Heading3Char"/>
    <w:uiPriority w:val="99"/>
    <w:qFormat/>
    <w:rsid w:val="00624357"/>
    <w:pPr>
      <w:keepNext/>
      <w:spacing w:before="120" w:after="120"/>
      <w:ind w:left="1134" w:hanging="1134"/>
      <w:outlineLvl w:val="2"/>
    </w:pPr>
    <w:rPr>
      <w:b/>
      <w:sz w:val="28"/>
    </w:rPr>
  </w:style>
  <w:style w:type="paragraph" w:styleId="Heading4">
    <w:name w:val="heading 4"/>
    <w:basedOn w:val="Normal"/>
    <w:next w:val="Normal"/>
    <w:link w:val="Heading4Char"/>
    <w:uiPriority w:val="99"/>
    <w:qFormat/>
    <w:rsid w:val="007D5DE4"/>
    <w:pPr>
      <w:keepNext/>
      <w:spacing w:before="120" w:after="120"/>
      <w:outlineLvl w:val="3"/>
    </w:pPr>
    <w:rPr>
      <w:b/>
    </w:rPr>
  </w:style>
  <w:style w:type="paragraph" w:styleId="Heading5">
    <w:name w:val="heading 5"/>
    <w:basedOn w:val="Normal"/>
    <w:next w:val="Normal"/>
    <w:link w:val="Heading5Char"/>
    <w:uiPriority w:val="99"/>
    <w:qFormat/>
    <w:rsid w:val="0013585C"/>
    <w:pPr>
      <w:keepNext/>
      <w:spacing w:before="120" w:after="120"/>
      <w:outlineLvl w:val="4"/>
    </w:pPr>
    <w:rPr>
      <w:u w:val="single"/>
    </w:rPr>
  </w:style>
  <w:style w:type="paragraph" w:styleId="Heading6">
    <w:name w:val="heading 6"/>
    <w:basedOn w:val="Normal"/>
    <w:next w:val="Normal"/>
    <w:link w:val="Heading6Char"/>
    <w:uiPriority w:val="99"/>
    <w:qFormat/>
    <w:rsid w:val="0025490C"/>
    <w:pPr>
      <w:keepNext/>
      <w:keepLines/>
      <w:spacing w:before="200" w:line="240" w:lineRule="atLeast"/>
      <w:outlineLvl w:val="5"/>
    </w:pPr>
    <w:rPr>
      <w:rFonts w:ascii="Cambria" w:eastAsia="MS Gothic" w:hAnsi="Cambria"/>
      <w:i/>
      <w:iCs/>
      <w:color w:val="243F60"/>
      <w:sz w:val="24"/>
      <w:szCs w:val="22"/>
      <w:lang w:eastAsia="en-US"/>
    </w:rPr>
  </w:style>
  <w:style w:type="paragraph" w:styleId="Heading7">
    <w:name w:val="heading 7"/>
    <w:basedOn w:val="Normal"/>
    <w:next w:val="Normal"/>
    <w:link w:val="Heading7Char"/>
    <w:uiPriority w:val="99"/>
    <w:qFormat/>
    <w:rsid w:val="0025490C"/>
    <w:pPr>
      <w:keepNext/>
      <w:keepLines/>
      <w:spacing w:before="200" w:line="240" w:lineRule="atLeast"/>
      <w:outlineLvl w:val="6"/>
    </w:pPr>
    <w:rPr>
      <w:rFonts w:ascii="Cambria" w:eastAsia="MS Gothic" w:hAnsi="Cambria"/>
      <w:i/>
      <w:iCs/>
      <w:color w:val="404040"/>
      <w:sz w:val="24"/>
      <w:szCs w:val="22"/>
      <w:lang w:eastAsia="en-US"/>
    </w:rPr>
  </w:style>
  <w:style w:type="paragraph" w:styleId="Heading8">
    <w:name w:val="heading 8"/>
    <w:basedOn w:val="Normal"/>
    <w:next w:val="Normal"/>
    <w:link w:val="Heading8Char"/>
    <w:uiPriority w:val="99"/>
    <w:qFormat/>
    <w:rsid w:val="0025490C"/>
    <w:pPr>
      <w:keepNext/>
      <w:keepLines/>
      <w:spacing w:before="200" w:line="240" w:lineRule="atLeast"/>
      <w:outlineLvl w:val="7"/>
    </w:pPr>
    <w:rPr>
      <w:rFonts w:ascii="Cambria" w:eastAsia="MS Gothic" w:hAnsi="Cambria"/>
      <w:color w:val="40404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6388B"/>
    <w:rPr>
      <w:rFonts w:ascii="Georgia" w:hAnsi="Georgia"/>
      <w:b/>
      <w:sz w:val="60"/>
      <w:lang w:eastAsia="en-GB"/>
    </w:rPr>
  </w:style>
  <w:style w:type="character" w:customStyle="1" w:styleId="Heading2Char">
    <w:name w:val="Heading 2 Char"/>
    <w:link w:val="Heading2"/>
    <w:uiPriority w:val="99"/>
    <w:rsid w:val="00624357"/>
    <w:rPr>
      <w:rFonts w:ascii="Georgia" w:hAnsi="Georgia"/>
      <w:b/>
      <w:sz w:val="40"/>
      <w:lang w:eastAsia="en-GB"/>
    </w:rPr>
  </w:style>
  <w:style w:type="character" w:customStyle="1" w:styleId="Heading3Char">
    <w:name w:val="Heading 3 Char"/>
    <w:link w:val="Heading3"/>
    <w:uiPriority w:val="99"/>
    <w:rsid w:val="00624357"/>
    <w:rPr>
      <w:rFonts w:ascii="Georgia" w:hAnsi="Georgia"/>
      <w:b/>
      <w:sz w:val="28"/>
      <w:lang w:eastAsia="en-GB"/>
    </w:rPr>
  </w:style>
  <w:style w:type="character" w:customStyle="1" w:styleId="Heading4Char">
    <w:name w:val="Heading 4 Char"/>
    <w:link w:val="Heading4"/>
    <w:uiPriority w:val="99"/>
    <w:locked/>
    <w:rsid w:val="00F3308D"/>
    <w:rPr>
      <w:rFonts w:ascii="Georgia" w:hAnsi="Georgia"/>
      <w:b/>
      <w:sz w:val="22"/>
      <w:lang w:eastAsia="en-GB"/>
    </w:rPr>
  </w:style>
  <w:style w:type="character" w:customStyle="1" w:styleId="Heading5Char">
    <w:name w:val="Heading 5 Char"/>
    <w:link w:val="Heading5"/>
    <w:uiPriority w:val="99"/>
    <w:locked/>
    <w:rsid w:val="00F3308D"/>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C04C3B"/>
    <w:pPr>
      <w:tabs>
        <w:tab w:val="left" w:pos="567"/>
        <w:tab w:val="right" w:pos="9356"/>
      </w:tabs>
      <w:spacing w:before="60"/>
      <w:ind w:left="567"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950152"/>
    <w:pPr>
      <w:ind w:right="1418"/>
    </w:pPr>
    <w:rPr>
      <w:b/>
      <w:sz w:val="64"/>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uiPriority w:val="99"/>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0A561D"/>
    <w:pPr>
      <w:spacing w:before="60" w:after="60"/>
    </w:pPr>
    <w:rPr>
      <w:sz w:val="20"/>
    </w:rPr>
  </w:style>
  <w:style w:type="paragraph" w:customStyle="1" w:styleId="TableBullet">
    <w:name w:val="TableBullet"/>
    <w:basedOn w:val="TableText"/>
    <w:qFormat/>
    <w:rsid w:val="00E53E0E"/>
    <w:pPr>
      <w:numPr>
        <w:numId w:val="5"/>
      </w:numPr>
      <w:spacing w:before="0"/>
      <w:ind w:left="851"/>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rsid w:val="00164D1B"/>
    <w:pPr>
      <w:numPr>
        <w:numId w:val="2"/>
      </w:numPr>
      <w:tabs>
        <w:tab w:val="clear" w:pos="360"/>
      </w:tabs>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05079A"/>
    <w:pPr>
      <w:spacing w:before="80"/>
      <w:ind w:left="284" w:hanging="284"/>
    </w:pPr>
    <w:rPr>
      <w:sz w:val="18"/>
    </w:rPr>
  </w:style>
  <w:style w:type="character" w:customStyle="1" w:styleId="NoteChar">
    <w:name w:val="Note Char"/>
    <w:link w:val="Note"/>
    <w:rsid w:val="0005079A"/>
    <w:rPr>
      <w:rFonts w:ascii="Georgia" w:hAnsi="Georgia"/>
      <w:sz w:val="18"/>
      <w:lang w:eastAsia="en-GB"/>
    </w:rPr>
  </w:style>
  <w:style w:type="paragraph" w:customStyle="1" w:styleId="Subhead">
    <w:name w:val="Subhead"/>
    <w:basedOn w:val="Normal"/>
    <w:next w:val="Normal"/>
    <w:qFormat/>
    <w:rsid w:val="0068074A"/>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Normal"/>
    <w:next w:val="Subhead"/>
    <w:qFormat/>
    <w:rsid w:val="00123192"/>
    <w:pPr>
      <w:pBdr>
        <w:bottom w:val="single" w:sz="48" w:space="6" w:color="auto"/>
      </w:pBdr>
      <w:spacing w:before="180"/>
      <w:ind w:right="1418"/>
    </w:pPr>
    <w:rPr>
      <w:sz w:val="44"/>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6Char">
    <w:name w:val="Heading 6 Char"/>
    <w:basedOn w:val="DefaultParagraphFont"/>
    <w:link w:val="Heading6"/>
    <w:uiPriority w:val="99"/>
    <w:rsid w:val="0025490C"/>
    <w:rPr>
      <w:rFonts w:ascii="Cambria" w:eastAsia="MS Gothic" w:hAnsi="Cambria"/>
      <w:i/>
      <w:iCs/>
      <w:color w:val="243F60"/>
      <w:sz w:val="24"/>
      <w:szCs w:val="22"/>
      <w:lang w:eastAsia="en-US"/>
    </w:rPr>
  </w:style>
  <w:style w:type="character" w:customStyle="1" w:styleId="Heading7Char">
    <w:name w:val="Heading 7 Char"/>
    <w:basedOn w:val="DefaultParagraphFont"/>
    <w:link w:val="Heading7"/>
    <w:uiPriority w:val="99"/>
    <w:rsid w:val="0025490C"/>
    <w:rPr>
      <w:rFonts w:ascii="Cambria" w:eastAsia="MS Gothic" w:hAnsi="Cambria"/>
      <w:i/>
      <w:iCs/>
      <w:color w:val="404040"/>
      <w:sz w:val="24"/>
      <w:szCs w:val="22"/>
      <w:lang w:eastAsia="en-US"/>
    </w:rPr>
  </w:style>
  <w:style w:type="character" w:customStyle="1" w:styleId="Heading8Char">
    <w:name w:val="Heading 8 Char"/>
    <w:basedOn w:val="DefaultParagraphFont"/>
    <w:link w:val="Heading8"/>
    <w:uiPriority w:val="99"/>
    <w:rsid w:val="0025490C"/>
    <w:rPr>
      <w:rFonts w:ascii="Cambria" w:eastAsia="MS Gothic" w:hAnsi="Cambria"/>
      <w:color w:val="404040"/>
      <w:lang w:eastAsia="en-US"/>
    </w:rPr>
  </w:style>
  <w:style w:type="character" w:customStyle="1" w:styleId="TitleChar">
    <w:name w:val="Title Char"/>
    <w:link w:val="Title"/>
    <w:uiPriority w:val="99"/>
    <w:locked/>
    <w:rsid w:val="0025490C"/>
    <w:rPr>
      <w:rFonts w:ascii="Georgia" w:hAnsi="Georgia"/>
      <w:b/>
      <w:sz w:val="64"/>
      <w:lang w:eastAsia="en-GB"/>
    </w:rPr>
  </w:style>
  <w:style w:type="paragraph" w:styleId="BalloonText">
    <w:name w:val="Balloon Text"/>
    <w:basedOn w:val="Normal"/>
    <w:link w:val="BalloonTextChar"/>
    <w:uiPriority w:val="99"/>
    <w:semiHidden/>
    <w:unhideWhenUsed/>
    <w:rsid w:val="004778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7A"/>
    <w:rPr>
      <w:rFonts w:ascii="Tahoma" w:hAnsi="Tahoma" w:cs="Tahoma"/>
      <w:sz w:val="16"/>
      <w:szCs w:val="16"/>
      <w:lang w:eastAsia="en-GB"/>
    </w:rPr>
  </w:style>
  <w:style w:type="paragraph" w:customStyle="1" w:styleId="BoxTitle">
    <w:name w:val="BoxTitle"/>
    <w:basedOn w:val="Figure"/>
    <w:next w:val="Normal"/>
    <w:qFormat/>
    <w:rsid w:val="001D5E29"/>
  </w:style>
  <w:style w:type="character" w:customStyle="1" w:styleId="A4">
    <w:name w:val="A4"/>
    <w:uiPriority w:val="99"/>
    <w:rsid w:val="00F97CC8"/>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5.xml"/><Relationship Id="rId26" Type="http://schemas.openxmlformats.org/officeDocument/2006/relationships/hyperlink" Target="http://www.ligginstrials.org/GEMS" TargetMode="External"/><Relationship Id="rId39" Type="http://schemas.openxmlformats.org/officeDocument/2006/relationships/hyperlink" Target="http://www.health.govt.nz/your-health/healthy-living/food-and-physical-activity/%20nutrition/baby-led-weaning" TargetMode="External"/><Relationship Id="rId21" Type="http://schemas.openxmlformats.org/officeDocument/2006/relationships/footer" Target="footer8.xml"/><Relationship Id="rId34" Type="http://schemas.openxmlformats.org/officeDocument/2006/relationships/hyperlink" Target="http://www.clinicaltrials.gov/ct2/show/NCT01756105" TargetMode="External"/><Relationship Id="rId42" Type="http://schemas.openxmlformats.org/officeDocument/2006/relationships/hyperlink" Target="http://www.health.govt.nz/publication/guidance-healthy-weight-gain-pregnancy" TargetMode="External"/><Relationship Id="rId47" Type="http://schemas.openxmlformats.org/officeDocument/2006/relationships/hyperlink" Target="http://www.gradeworkinggroup.org" TargetMode="External"/><Relationship Id="rId50" Type="http://schemas.openxmlformats.org/officeDocument/2006/relationships/image" Target="media/image6.png"/><Relationship Id="rId55" Type="http://schemas.openxmlformats.org/officeDocument/2006/relationships/footer" Target="footer12.xml"/><Relationship Id="rId63" Type="http://schemas.openxmlformats.org/officeDocument/2006/relationships/image" Target="media/image9.emf"/><Relationship Id="rId68" Type="http://schemas.openxmlformats.org/officeDocument/2006/relationships/footer" Target="footer18.xml"/><Relationship Id="rId76" Type="http://schemas.openxmlformats.org/officeDocument/2006/relationships/image" Target="media/image20.png"/><Relationship Id="rId7" Type="http://schemas.openxmlformats.org/officeDocument/2006/relationships/header" Target="header1.xml"/><Relationship Id="rId71"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http://www.ligginstrials.org/GEMS" TargetMode="External"/><Relationship Id="rId11" Type="http://schemas.openxmlformats.org/officeDocument/2006/relationships/header" Target="header3.xml"/><Relationship Id="rId24" Type="http://schemas.openxmlformats.org/officeDocument/2006/relationships/image" Target="media/image4.png"/><Relationship Id="rId32" Type="http://schemas.openxmlformats.org/officeDocument/2006/relationships/hyperlink" Target="mailto:gems@auckland.ac.nz" TargetMode="External"/><Relationship Id="rId37" Type="http://schemas.openxmlformats.org/officeDocument/2006/relationships/hyperlink" Target="http://www.clinicaltrials.gov/ct2/show/NCT00681460" TargetMode="External"/><Relationship Id="rId40" Type="http://schemas.openxmlformats.org/officeDocument/2006/relationships/hyperlink" Target="http://www.clinicaltrials.gov/ct2/show/NCT00998595" TargetMode="External"/><Relationship Id="rId45" Type="http://schemas.openxmlformats.org/officeDocument/2006/relationships/hyperlink" Target="http://publications.nice.org.uk/the-guidelines-manual-appendices-bi-pmg6b/appendix-f-methodology-checklist-the-quadas-2-tool-for-studies-of-diagnostic-test-accuracy" TargetMode="External"/><Relationship Id="rId53" Type="http://schemas.openxmlformats.org/officeDocument/2006/relationships/footer" Target="footer10.xml"/><Relationship Id="rId58" Type="http://schemas.openxmlformats.org/officeDocument/2006/relationships/footer" Target="footer14.xml"/><Relationship Id="rId66" Type="http://schemas.openxmlformats.org/officeDocument/2006/relationships/image" Target="media/image12.emf"/><Relationship Id="rId74" Type="http://schemas.openxmlformats.org/officeDocument/2006/relationships/image" Target="media/image18.png"/><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16.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yperlink" Target="http://www.nzssd.org.nz" TargetMode="External"/><Relationship Id="rId44" Type="http://schemas.openxmlformats.org/officeDocument/2006/relationships/hyperlink" Target="http://dx.doi.org/10.3945/ajcn.110.005306" TargetMode="External"/><Relationship Id="rId52" Type="http://schemas.openxmlformats.org/officeDocument/2006/relationships/header" Target="header6.xml"/><Relationship Id="rId60" Type="http://schemas.openxmlformats.org/officeDocument/2006/relationships/footer" Target="footer15.xml"/><Relationship Id="rId65" Type="http://schemas.openxmlformats.org/officeDocument/2006/relationships/image" Target="media/image11.emf"/><Relationship Id="rId73" Type="http://schemas.openxmlformats.org/officeDocument/2006/relationships/image" Target="media/image17.png"/><Relationship Id="rId78"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mailto:gems@auckland.ac.nz" TargetMode="External"/><Relationship Id="rId27" Type="http://schemas.openxmlformats.org/officeDocument/2006/relationships/hyperlink" Target="http://www.nzssd.org.nz/documents/misc/13%2006%20Virtual%20Diabetes%20Register%20release%2031%20Dec%202012%20(2).pdf" TargetMode="External"/><Relationship Id="rId30" Type="http://schemas.openxmlformats.org/officeDocument/2006/relationships/footer" Target="footer9.xml"/><Relationship Id="rId35" Type="http://schemas.openxmlformats.org/officeDocument/2006/relationships/hyperlink" Target="http://www.clinicaltrials.gov/ct2/show/NCT01240785" TargetMode="External"/><Relationship Id="rId43" Type="http://schemas.openxmlformats.org/officeDocument/2006/relationships/hyperlink" Target="http://www.nice.org.uk/guidance/ph38" TargetMode="External"/><Relationship Id="rId48" Type="http://schemas.openxmlformats.org/officeDocument/2006/relationships/hyperlink" Target="http://www.Cochrane.org" TargetMode="External"/><Relationship Id="rId56" Type="http://schemas.openxmlformats.org/officeDocument/2006/relationships/footer" Target="footer13.xml"/><Relationship Id="rId64" Type="http://schemas.openxmlformats.org/officeDocument/2006/relationships/image" Target="media/image10.emf"/><Relationship Id="rId69" Type="http://schemas.openxmlformats.org/officeDocument/2006/relationships/image" Target="media/image13.png"/><Relationship Id="rId77" Type="http://schemas.openxmlformats.org/officeDocument/2006/relationships/footer" Target="footer19.xml"/><Relationship Id="rId8" Type="http://schemas.openxmlformats.org/officeDocument/2006/relationships/header" Target="header2.xml"/><Relationship Id="rId51" Type="http://schemas.openxmlformats.org/officeDocument/2006/relationships/image" Target="media/image7.png"/><Relationship Id="rId72" Type="http://schemas.openxmlformats.org/officeDocument/2006/relationships/image" Target="media/image16.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mailto:gems@auckland.ac.nz" TargetMode="External"/><Relationship Id="rId33" Type="http://schemas.openxmlformats.org/officeDocument/2006/relationships/hyperlink" Target="http://www.ligginstrials.org/GEMS" TargetMode="External"/><Relationship Id="rId38" Type="http://schemas.openxmlformats.org/officeDocument/2006/relationships/hyperlink" Target="http://www.health.govt.nz/your-health/healthy-living/food-and-physical-activity/physical-activity" TargetMode="External"/><Relationship Id="rId46" Type="http://schemas.openxmlformats.org/officeDocument/2006/relationships/hyperlink" Target="http://www.agreetrust.org/" TargetMode="External"/><Relationship Id="rId59" Type="http://schemas.openxmlformats.org/officeDocument/2006/relationships/hyperlink" Target="http://www.nzssd.org.nz/statements.html" TargetMode="External"/><Relationship Id="rId67" Type="http://schemas.openxmlformats.org/officeDocument/2006/relationships/footer" Target="footer17.xml"/><Relationship Id="rId20" Type="http://schemas.openxmlformats.org/officeDocument/2006/relationships/footer" Target="footer7.xml"/><Relationship Id="rId41" Type="http://schemas.openxmlformats.org/officeDocument/2006/relationships/hyperlink" Target="http://www.anzctr.org.au" TargetMode="External"/><Relationship Id="rId54" Type="http://schemas.openxmlformats.org/officeDocument/2006/relationships/footer" Target="footer11.xml"/><Relationship Id="rId62" Type="http://schemas.openxmlformats.org/officeDocument/2006/relationships/image" Target="media/image8.emf"/><Relationship Id="rId70" Type="http://schemas.openxmlformats.org/officeDocument/2006/relationships/image" Target="media/image14.png"/><Relationship Id="rId75"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www.ligginstrials.org/GEMS" TargetMode="External"/><Relationship Id="rId28" Type="http://schemas.openxmlformats.org/officeDocument/2006/relationships/hyperlink" Target="mailto:gems@auckland.ac.nz" TargetMode="External"/><Relationship Id="rId36" Type="http://schemas.openxmlformats.org/officeDocument/2006/relationships/hyperlink" Target="http://www.clinicaltrials.gov/ct2/show/NCT01215331" TargetMode="External"/><Relationship Id="rId49" Type="http://schemas.openxmlformats.org/officeDocument/2006/relationships/image" Target="media/image5.png"/><Relationship Id="rId57" Type="http://schemas.openxmlformats.org/officeDocument/2006/relationships/hyperlink" Target="http://www.nzssd.org.nz/statement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267</Pages>
  <Words>81738</Words>
  <Characters>465913</Characters>
  <Application>Microsoft Office Word</Application>
  <DocSecurity>0</DocSecurity>
  <Lines>3882</Lines>
  <Paragraphs>1093</Paragraphs>
  <ScaleCrop>false</ScaleCrop>
  <HeadingPairs>
    <vt:vector size="2" baseType="variant">
      <vt:variant>
        <vt:lpstr>Title</vt:lpstr>
      </vt:variant>
      <vt:variant>
        <vt:i4>1</vt:i4>
      </vt:variant>
    </vt:vector>
  </HeadingPairs>
  <TitlesOfParts>
    <vt:vector size="1" baseType="lpstr">
      <vt:lpstr>Screening, Diagnosis and Management of Gestational Diabetes in New Zealand: A clinical practice guideline</vt:lpstr>
    </vt:vector>
  </TitlesOfParts>
  <Company>Microsoft</Company>
  <LinksUpToDate>false</LinksUpToDate>
  <CharactersWithSpaces>546558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Diagnosis and Management of Gestational Diabetes in New Zealand: A clinical practice guideline</dc:title>
  <dc:creator>Ministry of Health</dc:creator>
  <cp:lastModifiedBy>Logan Smith</cp:lastModifiedBy>
  <cp:revision>2</cp:revision>
  <cp:lastPrinted>2014-12-10T00:25:00Z</cp:lastPrinted>
  <dcterms:created xsi:type="dcterms:W3CDTF">2015-08-17T04:21:00Z</dcterms:created>
  <dcterms:modified xsi:type="dcterms:W3CDTF">2015-08-17T04:21:00Z</dcterms:modified>
</cp:coreProperties>
</file>